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CE" w:rsidRDefault="00963ECE" w:rsidP="00963ECE">
      <w:pPr>
        <w:pStyle w:val="Heading1"/>
      </w:pPr>
      <w:r>
        <w:t>Submission Form</w:t>
      </w:r>
      <w:r>
        <w:br/>
      </w:r>
      <w:r w:rsidRPr="00963ECE">
        <w:rPr>
          <w:rStyle w:val="Heading2Char"/>
        </w:rPr>
        <w:t>Proposed regulations for Fire and Emergency New Zealand</w:t>
      </w:r>
      <w:r w:rsidR="00A74CAB">
        <w:rPr>
          <w:rStyle w:val="Heading2Char"/>
        </w:rPr>
        <w:t xml:space="preserve"> 2016</w:t>
      </w:r>
    </w:p>
    <w:p w:rsidR="00963ECE" w:rsidRDefault="00963ECE" w:rsidP="00963ECE">
      <w:r>
        <w:br/>
        <w:t xml:space="preserve">To help you organise your submission, here is a list of questions in this document. </w:t>
      </w:r>
      <w:r w:rsidR="00BF40E7">
        <w:br/>
      </w:r>
      <w:r>
        <w:t xml:space="preserve">You do not have to answer all the questions. </w:t>
      </w:r>
      <w:r w:rsidR="00BF40E7">
        <w:t xml:space="preserve">Please </w:t>
      </w:r>
      <w:r>
        <w:t>answer the ones you want.</w:t>
      </w:r>
    </w:p>
    <w:p w:rsidR="00BF40E7" w:rsidRPr="00160B04" w:rsidRDefault="00963ECE" w:rsidP="00963ECE">
      <w:pPr>
        <w:rPr>
          <w:b/>
          <w:bCs/>
          <w:color w:val="000000" w:themeColor="text1"/>
        </w:rPr>
      </w:pPr>
      <w:r w:rsidRPr="00160B04">
        <w:rPr>
          <w:b/>
          <w:bCs/>
          <w:color w:val="000000" w:themeColor="text1"/>
        </w:rPr>
        <w:t xml:space="preserve">Submissions can be </w:t>
      </w:r>
      <w:r w:rsidR="00BF40E7" w:rsidRPr="00160B04">
        <w:rPr>
          <w:b/>
          <w:bCs/>
          <w:color w:val="000000" w:themeColor="text1"/>
        </w:rPr>
        <w:t>s</w:t>
      </w:r>
      <w:r w:rsidR="00160B04" w:rsidRPr="00160B04">
        <w:rPr>
          <w:b/>
          <w:bCs/>
          <w:color w:val="000000" w:themeColor="text1"/>
        </w:rPr>
        <w:t>ubmitted via email or post</w:t>
      </w:r>
    </w:p>
    <w:p w:rsidR="00963ECE" w:rsidRPr="00DE4353" w:rsidRDefault="00BF40E7" w:rsidP="00160B04">
      <w:pPr>
        <w:pStyle w:val="Bullet"/>
      </w:pPr>
      <w:r>
        <w:t>Email</w:t>
      </w:r>
      <w:r w:rsidR="00963ECE">
        <w:t>:</w:t>
      </w:r>
      <w:r w:rsidR="00963ECE" w:rsidRPr="00DE4353">
        <w:t xml:space="preserve"> </w:t>
      </w:r>
      <w:r>
        <w:tab/>
      </w:r>
      <w:hyperlink r:id="rId9" w:history="1">
        <w:r w:rsidR="00963ECE" w:rsidRPr="00E33C38">
          <w:rPr>
            <w:rStyle w:val="Hyperlink"/>
          </w:rPr>
          <w:t>FireServicesTransition@dia.govt.nz</w:t>
        </w:r>
      </w:hyperlink>
      <w:r w:rsidR="00160B04">
        <w:rPr>
          <w:rStyle w:val="Hyperlink"/>
        </w:rPr>
        <w:br/>
      </w:r>
    </w:p>
    <w:p w:rsidR="00A74CAB" w:rsidRDefault="00BF40E7" w:rsidP="00A74CAB">
      <w:pPr>
        <w:pStyle w:val="Bullet"/>
        <w:spacing w:before="0" w:after="0"/>
      </w:pPr>
      <w:r>
        <w:t>Post</w:t>
      </w:r>
      <w:r w:rsidR="00963ECE" w:rsidRPr="00DE4353">
        <w:t>:</w:t>
      </w:r>
      <w:r w:rsidR="00A74CAB">
        <w:tab/>
      </w:r>
      <w:r w:rsidR="00963ECE">
        <w:t>Fire Services Review</w:t>
      </w:r>
    </w:p>
    <w:p w:rsidR="00963ECE" w:rsidRPr="00DE4353" w:rsidRDefault="00963ECE" w:rsidP="00A74CAB">
      <w:pPr>
        <w:pStyle w:val="Bullet"/>
        <w:numPr>
          <w:ilvl w:val="0"/>
          <w:numId w:val="0"/>
        </w:numPr>
        <w:spacing w:before="0" w:after="0"/>
        <w:ind w:left="1494" w:firstLine="207"/>
      </w:pPr>
      <w:r w:rsidRPr="00DE4353">
        <w:t>Department of Internal Affairs</w:t>
      </w:r>
    </w:p>
    <w:p w:rsidR="00963ECE" w:rsidRPr="00DE4353" w:rsidRDefault="00963ECE" w:rsidP="00A74CAB">
      <w:pPr>
        <w:spacing w:before="0" w:after="0"/>
        <w:ind w:left="1134" w:firstLine="567"/>
      </w:pPr>
      <w:r w:rsidRPr="00DE4353">
        <w:t>PO Box 805</w:t>
      </w:r>
    </w:p>
    <w:p w:rsidR="00963ECE" w:rsidRDefault="00963ECE" w:rsidP="00A74CAB">
      <w:pPr>
        <w:spacing w:before="0" w:after="0"/>
        <w:ind w:left="1134" w:firstLine="567"/>
      </w:pPr>
      <w:r w:rsidRPr="00DE4353">
        <w:t>Wellington 6140</w:t>
      </w:r>
      <w:r w:rsidR="00BF40E7">
        <w:br/>
      </w:r>
    </w:p>
    <w:p w:rsidR="00963ECE" w:rsidRDefault="00963ECE" w:rsidP="00963ECE">
      <w:pPr>
        <w:pBdr>
          <w:top w:val="single" w:sz="4" w:space="1" w:color="auto"/>
          <w:left w:val="single" w:sz="4" w:space="4" w:color="auto"/>
          <w:bottom w:val="single" w:sz="4" w:space="1" w:color="auto"/>
          <w:right w:val="single" w:sz="4" w:space="4" w:color="auto"/>
        </w:pBdr>
        <w:spacing w:before="0" w:after="0"/>
        <w:jc w:val="center"/>
      </w:pPr>
    </w:p>
    <w:p w:rsidR="00963ECE" w:rsidRDefault="00963ECE" w:rsidP="00963ECE">
      <w:pPr>
        <w:pBdr>
          <w:top w:val="single" w:sz="4" w:space="1" w:color="auto"/>
          <w:left w:val="single" w:sz="4" w:space="4" w:color="auto"/>
          <w:bottom w:val="single" w:sz="4" w:space="1" w:color="auto"/>
          <w:right w:val="single" w:sz="4" w:space="4" w:color="auto"/>
        </w:pBdr>
        <w:spacing w:before="0" w:after="0"/>
        <w:jc w:val="center"/>
        <w:rPr>
          <w:b/>
        </w:rPr>
      </w:pPr>
      <w:r>
        <w:t xml:space="preserve">The closing date for submissions is </w:t>
      </w:r>
      <w:r w:rsidR="00A9082A">
        <w:br/>
      </w:r>
      <w:r w:rsidRPr="00C85047">
        <w:rPr>
          <w:b/>
        </w:rPr>
        <w:t>Thursday 18 August</w:t>
      </w:r>
      <w:r>
        <w:rPr>
          <w:b/>
        </w:rPr>
        <w:t xml:space="preserve"> 2016</w:t>
      </w:r>
    </w:p>
    <w:p w:rsidR="00963ECE" w:rsidRDefault="00963ECE" w:rsidP="00963ECE">
      <w:pPr>
        <w:pBdr>
          <w:top w:val="single" w:sz="4" w:space="1" w:color="auto"/>
          <w:left w:val="single" w:sz="4" w:space="4" w:color="auto"/>
          <w:bottom w:val="single" w:sz="4" w:space="1" w:color="auto"/>
          <w:right w:val="single" w:sz="4" w:space="4" w:color="auto"/>
        </w:pBdr>
        <w:spacing w:before="0" w:after="0"/>
        <w:jc w:val="center"/>
        <w:rPr>
          <w:b/>
        </w:rPr>
      </w:pPr>
    </w:p>
    <w:p w:rsidR="00963ECE" w:rsidRDefault="00BF40E7" w:rsidP="00963ECE">
      <w:r>
        <w:br/>
      </w:r>
      <w:r w:rsidR="00963ECE">
        <w:t xml:space="preserve">All submissions will be kept by the Department. </w:t>
      </w:r>
      <w:r w:rsidR="00963ECE" w:rsidRPr="00C70C96">
        <w:t xml:space="preserve">The Department </w:t>
      </w:r>
      <w:r w:rsidR="00963ECE">
        <w:t xml:space="preserve">may </w:t>
      </w:r>
      <w:r w:rsidR="00963ECE" w:rsidRPr="00C70C96">
        <w:t xml:space="preserve">publish the submissions it receives and provide a summary of them on its website </w:t>
      </w:r>
      <w:hyperlink r:id="rId10" w:history="1">
        <w:r w:rsidR="00963ECE" w:rsidRPr="00451DBE">
          <w:rPr>
            <w:rStyle w:val="Hyperlink"/>
          </w:rPr>
          <w:t>www.dia.govt.nz</w:t>
        </w:r>
      </w:hyperlink>
      <w:r w:rsidR="00963ECE">
        <w:t xml:space="preserve">. </w:t>
      </w:r>
      <w:r>
        <w:br/>
      </w:r>
      <w:r w:rsidR="00963ECE">
        <w:t>This would</w:t>
      </w:r>
      <w:r w:rsidR="00963ECE" w:rsidRPr="00C70C96">
        <w:t xml:space="preserve"> include your name or the name of your group</w:t>
      </w:r>
      <w:r w:rsidR="00963ECE">
        <w:t>, but not your contact details.</w:t>
      </w:r>
    </w:p>
    <w:p w:rsidR="00963ECE" w:rsidRDefault="00963ECE" w:rsidP="00963ECE">
      <w:r>
        <w:t>Submissions may be subject to a request to the Department under the Official Information Act 1982. Personal details can be withheld under this Act, including names and addresses. If you or your group do not want any information contained in your submission to be released, you need to make this clear in the submission and explain why. For example, you might want some information to remain confidential because it is commercially sensitive or personal. The Department will take your request into account.</w:t>
      </w:r>
    </w:p>
    <w:p w:rsidR="00963ECE" w:rsidRDefault="00963ECE" w:rsidP="00963ECE">
      <w:r>
        <w:t>The Privacy Act 1993 governs how the Department collects, holds, uses and discloses personal information about submitters and their applications. Submitters have the right to access and correct personal information.</w:t>
      </w:r>
    </w:p>
    <w:p w:rsidR="00B63448" w:rsidRDefault="00B63448">
      <w:pPr>
        <w:keepLines w:val="0"/>
      </w:pPr>
      <w:r>
        <w:br w:type="page"/>
      </w:r>
    </w:p>
    <w:p w:rsidR="00B63448" w:rsidRDefault="00B63448" w:rsidP="00B63448">
      <w:pPr>
        <w:pStyle w:val="Heading4"/>
      </w:pPr>
      <w:r w:rsidRPr="001B5B9B">
        <w:lastRenderedPageBreak/>
        <w:t>Assessing the options in this discussion document</w:t>
      </w:r>
      <w:r>
        <w:t xml:space="preserve"> </w:t>
      </w:r>
    </w:p>
    <w:p w:rsidR="00B63448" w:rsidRDefault="00B63448" w:rsidP="001B4B43">
      <w:pPr>
        <w:keepNext/>
      </w:pPr>
      <w:r>
        <w:t>1. Do you have any other objectives or critical success factors that you think should be included for assessing the different options?</w:t>
      </w:r>
    </w:p>
    <w:sdt>
      <w:sdtPr>
        <w:id w:val="1761492989"/>
        <w:placeholder>
          <w:docPart w:val="DefaultPlaceholder_1082065158"/>
        </w:placeholder>
        <w:showingPlcHdr/>
        <w:text w:multiLine="1"/>
      </w:sdtPr>
      <w:sdtEndPr/>
      <w:sdtContent>
        <w:p w:rsidR="00B63448" w:rsidRDefault="00B63448" w:rsidP="00B63448">
          <w:r w:rsidRPr="00840796">
            <w:rPr>
              <w:rStyle w:val="PlaceholderText"/>
            </w:rPr>
            <w:t>Click here to enter text.</w:t>
          </w:r>
        </w:p>
      </w:sdtContent>
    </w:sdt>
    <w:p w:rsidR="00B63448" w:rsidRDefault="00B63448" w:rsidP="001B4B43">
      <w:pPr>
        <w:keepNext/>
      </w:pPr>
      <w:r>
        <w:t>2. Which of the objectives or critical success factors are the most important to you when helping you decide the best option?</w:t>
      </w:r>
    </w:p>
    <w:sdt>
      <w:sdtPr>
        <w:id w:val="1875570691"/>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Pr="00B63448" w:rsidRDefault="00B63448" w:rsidP="00CA432C">
      <w:pPr>
        <w:keepNext/>
        <w:rPr>
          <w:b/>
          <w:bCs/>
          <w:i/>
          <w:color w:val="1F546B" w:themeColor="text2"/>
          <w:szCs w:val="28"/>
        </w:rPr>
      </w:pPr>
      <w:r w:rsidRPr="00B63448">
        <w:rPr>
          <w:b/>
          <w:bCs/>
          <w:i/>
          <w:color w:val="1F546B" w:themeColor="text2"/>
          <w:szCs w:val="28"/>
        </w:rPr>
        <w:t>Levy exemptions</w:t>
      </w:r>
    </w:p>
    <w:p w:rsidR="00B63448" w:rsidRDefault="00B63448" w:rsidP="001B4B43">
      <w:pPr>
        <w:keepNext/>
      </w:pPr>
      <w:r>
        <w:t>3. Do you agree with the suggested levy exemptions?</w:t>
      </w:r>
    </w:p>
    <w:sdt>
      <w:sdtPr>
        <w:id w:val="-1048072322"/>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Default="00B63448" w:rsidP="001B4B43">
      <w:pPr>
        <w:keepNext/>
      </w:pPr>
      <w:r>
        <w:t>4. Are there any other property types that should be exempt from the levy?</w:t>
      </w:r>
    </w:p>
    <w:sdt>
      <w:sdtPr>
        <w:id w:val="756024494"/>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Default="00B63448" w:rsidP="001B4B43">
      <w:pPr>
        <w:keepNext/>
      </w:pPr>
      <w:r>
        <w:t>5. Do you think there are owners of certain types of properties who should be exempt?</w:t>
      </w:r>
    </w:p>
    <w:sdt>
      <w:sdtPr>
        <w:id w:val="-617759984"/>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Pr="00B63448" w:rsidRDefault="00B63448" w:rsidP="00CA432C">
      <w:pPr>
        <w:keepNext/>
        <w:rPr>
          <w:b/>
          <w:bCs/>
          <w:i/>
          <w:color w:val="1F546B" w:themeColor="text2"/>
          <w:szCs w:val="28"/>
        </w:rPr>
      </w:pPr>
      <w:r w:rsidRPr="00B63448">
        <w:rPr>
          <w:b/>
          <w:bCs/>
          <w:i/>
          <w:color w:val="1F546B" w:themeColor="text2"/>
          <w:szCs w:val="28"/>
        </w:rPr>
        <w:t>Insurance information requirements</w:t>
      </w:r>
    </w:p>
    <w:p w:rsidR="00B63448" w:rsidRDefault="00B63448" w:rsidP="001B4B43">
      <w:pPr>
        <w:keepNext/>
      </w:pPr>
      <w:r>
        <w:t xml:space="preserve">6. Do you agree with the preferred option (Option 4)? </w:t>
      </w:r>
      <w:proofErr w:type="gramStart"/>
      <w:r>
        <w:t>If no, why not?</w:t>
      </w:r>
      <w:proofErr w:type="gramEnd"/>
    </w:p>
    <w:sdt>
      <w:sdtPr>
        <w:id w:val="-592708446"/>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Default="00B63448" w:rsidP="001B4B43">
      <w:pPr>
        <w:keepNext/>
      </w:pPr>
      <w:r>
        <w:t>7. What would the costs be to provide the information set out in Option 4? Are there means of potentially limiting these costs for insurers and property owners?</w:t>
      </w:r>
    </w:p>
    <w:sdt>
      <w:sdtPr>
        <w:id w:val="-1661916888"/>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Default="00B63448" w:rsidP="001B4B43">
      <w:pPr>
        <w:keepNext/>
      </w:pPr>
      <w:r>
        <w:t>8. Do you have any concerns about commercially confidential information or privacy related to the provision of this information to FENZ (keeping in mind the modernised levy secrecy provisions in the new legislation)?</w:t>
      </w:r>
    </w:p>
    <w:sdt>
      <w:sdtPr>
        <w:id w:val="332268667"/>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Default="00B63448" w:rsidP="001B4B43">
      <w:pPr>
        <w:keepNext/>
      </w:pPr>
      <w:r>
        <w:t>9. Is there any other information needed to support FENZ’s management of funding streams?</w:t>
      </w:r>
    </w:p>
    <w:sdt>
      <w:sdtPr>
        <w:id w:val="-1667927281"/>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Default="00B63448" w:rsidP="001B4B43">
      <w:pPr>
        <w:keepNext/>
      </w:pPr>
      <w:r>
        <w:t>10. Are there any other options for ensuring that FENZ has the information it needs to ensure sufficient funding, and to allow it to effectively forecast future levy revenue trends?</w:t>
      </w:r>
    </w:p>
    <w:sdt>
      <w:sdtPr>
        <w:id w:val="1089046559"/>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Pr="00B63448" w:rsidRDefault="00B63448" w:rsidP="00CA432C">
      <w:pPr>
        <w:keepNext/>
        <w:rPr>
          <w:b/>
          <w:bCs/>
          <w:i/>
          <w:color w:val="1F546B" w:themeColor="text2"/>
          <w:szCs w:val="28"/>
        </w:rPr>
      </w:pPr>
      <w:r w:rsidRPr="00B63448">
        <w:rPr>
          <w:b/>
          <w:bCs/>
          <w:i/>
          <w:color w:val="1F546B" w:themeColor="text2"/>
          <w:szCs w:val="28"/>
        </w:rPr>
        <w:lastRenderedPageBreak/>
        <w:t>Committee Terms of Office</w:t>
      </w:r>
    </w:p>
    <w:p w:rsidR="00B63448" w:rsidRDefault="00B63448" w:rsidP="001B4B43">
      <w:pPr>
        <w:keepNext/>
      </w:pPr>
      <w:r>
        <w:t>11. Do the provisions of the Crown Entities Act provide an adequate foundation for local committees?</w:t>
      </w:r>
    </w:p>
    <w:sdt>
      <w:sdtPr>
        <w:id w:val="-869149490"/>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Default="00B63448" w:rsidP="001B4B43">
      <w:pPr>
        <w:keepNext/>
      </w:pPr>
      <w:r>
        <w:t>12. Or, are there additional provisions of the Crown Entities Act that should be included?</w:t>
      </w:r>
    </w:p>
    <w:sdt>
      <w:sdtPr>
        <w:id w:val="-929511183"/>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Pr="00B63448" w:rsidRDefault="00B63448" w:rsidP="00CA432C">
      <w:pPr>
        <w:keepNext/>
        <w:rPr>
          <w:b/>
          <w:bCs/>
          <w:i/>
          <w:color w:val="1F546B" w:themeColor="text2"/>
          <w:szCs w:val="28"/>
        </w:rPr>
      </w:pPr>
      <w:r w:rsidRPr="00B63448">
        <w:rPr>
          <w:b/>
          <w:bCs/>
          <w:i/>
          <w:color w:val="1F546B" w:themeColor="text2"/>
          <w:szCs w:val="28"/>
        </w:rPr>
        <w:t>Establishment and appointment of Committees</w:t>
      </w:r>
    </w:p>
    <w:p w:rsidR="00B63448" w:rsidRDefault="00B63448" w:rsidP="001B4B43">
      <w:pPr>
        <w:keepNext/>
      </w:pPr>
      <w:r>
        <w:t>13. Are regulations needed for the nomination and appointment process for local committees?</w:t>
      </w:r>
    </w:p>
    <w:sdt>
      <w:sdtPr>
        <w:id w:val="546194279"/>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Default="00B63448" w:rsidP="001B4B43">
      <w:pPr>
        <w:keepNext/>
      </w:pPr>
      <w:r>
        <w:t xml:space="preserve">14. If yes, are there particular aspects of the nomination and appointment process you would like contained in regulations, rather than in operational policy? </w:t>
      </w:r>
    </w:p>
    <w:sdt>
      <w:sdtPr>
        <w:id w:val="705602887"/>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Default="00B63448" w:rsidP="00CA432C">
      <w:pPr>
        <w:keepNext/>
      </w:pPr>
      <w:r w:rsidRPr="00B63448">
        <w:rPr>
          <w:b/>
          <w:bCs/>
          <w:i/>
          <w:color w:val="1F546B" w:themeColor="text2"/>
          <w:szCs w:val="28"/>
        </w:rPr>
        <w:t>Committee functions</w:t>
      </w:r>
    </w:p>
    <w:p w:rsidR="00B63448" w:rsidRDefault="00B63448" w:rsidP="001B4B43">
      <w:pPr>
        <w:keepNext/>
      </w:pPr>
      <w:r>
        <w:t>15. Are regulations needed to provide for the functions of local committees?</w:t>
      </w:r>
    </w:p>
    <w:sdt>
      <w:sdtPr>
        <w:id w:val="670305522"/>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Default="00B63448" w:rsidP="001B4B43">
      <w:pPr>
        <w:keepNext/>
      </w:pPr>
      <w:r>
        <w:t>16. If yes, what aspects should be covered?</w:t>
      </w:r>
    </w:p>
    <w:sdt>
      <w:sdtPr>
        <w:id w:val="688103720"/>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Pr="00B63448" w:rsidRDefault="00B63448" w:rsidP="00CA432C">
      <w:pPr>
        <w:keepNext/>
        <w:rPr>
          <w:b/>
          <w:bCs/>
          <w:i/>
          <w:color w:val="1F546B" w:themeColor="text2"/>
          <w:szCs w:val="28"/>
        </w:rPr>
      </w:pPr>
      <w:r w:rsidRPr="00B63448">
        <w:rPr>
          <w:b/>
          <w:bCs/>
          <w:i/>
          <w:color w:val="1F546B" w:themeColor="text2"/>
          <w:szCs w:val="28"/>
        </w:rPr>
        <w:t>Committee boundaries</w:t>
      </w:r>
    </w:p>
    <w:p w:rsidR="00B63448" w:rsidRDefault="00B63448" w:rsidP="001B4B43">
      <w:pPr>
        <w:keepNext/>
      </w:pPr>
      <w:r>
        <w:t>17. Do you think there should be regulations relating to boundaries?</w:t>
      </w:r>
    </w:p>
    <w:sdt>
      <w:sdtPr>
        <w:id w:val="-590463177"/>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Default="00B63448" w:rsidP="001B4B43">
      <w:pPr>
        <w:keepNext/>
      </w:pPr>
      <w:r>
        <w:t>18. Should there be a minimum and maximum time between reviews of boundaries? What do you think would be a good timeframe for this?</w:t>
      </w:r>
    </w:p>
    <w:sdt>
      <w:sdtPr>
        <w:id w:val="1798648008"/>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Default="00B63448" w:rsidP="001B4B43">
      <w:pPr>
        <w:keepNext/>
      </w:pPr>
      <w:r>
        <w:t>19. Who so you think should initiate a review of committee boundaries, if anyone?</w:t>
      </w:r>
    </w:p>
    <w:sdt>
      <w:sdtPr>
        <w:id w:val="-1048148138"/>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Default="00B63448" w:rsidP="001B4B43">
      <w:pPr>
        <w:keepNext/>
      </w:pPr>
      <w:r>
        <w:t>20. Are there other matters relating to bounda</w:t>
      </w:r>
      <w:r w:rsidR="00957CD8">
        <w:t>ries that need to be regulated?</w:t>
      </w:r>
    </w:p>
    <w:sdt>
      <w:sdtPr>
        <w:id w:val="-673655746"/>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Pr="00B63448" w:rsidRDefault="00B63448" w:rsidP="00CA432C">
      <w:pPr>
        <w:keepNext/>
        <w:rPr>
          <w:b/>
          <w:bCs/>
          <w:i/>
          <w:color w:val="1F546B" w:themeColor="text2"/>
          <w:szCs w:val="28"/>
        </w:rPr>
      </w:pPr>
      <w:r w:rsidRPr="00B63448">
        <w:rPr>
          <w:b/>
          <w:bCs/>
          <w:i/>
          <w:color w:val="1F546B" w:themeColor="text2"/>
          <w:szCs w:val="28"/>
        </w:rPr>
        <w:t>Fire plan content</w:t>
      </w:r>
    </w:p>
    <w:p w:rsidR="00B63448" w:rsidRDefault="00B63448" w:rsidP="001B4B43">
      <w:pPr>
        <w:keepNext/>
      </w:pPr>
      <w:r>
        <w:t>21. Which of the three options do you prefer?</w:t>
      </w:r>
    </w:p>
    <w:sdt>
      <w:sdtPr>
        <w:id w:val="763489764"/>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Default="00B63448" w:rsidP="001B4B43">
      <w:pPr>
        <w:keepNext/>
      </w:pPr>
      <w:r>
        <w:t>22. Do you think that regulating the main content of the fire plan (Option 2) would provide sufficient guidance to stakeholders on the use of fire control measures?</w:t>
      </w:r>
    </w:p>
    <w:sdt>
      <w:sdtPr>
        <w:id w:val="-2028469848"/>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Default="00B63448" w:rsidP="001B4B43">
      <w:pPr>
        <w:keepNext/>
      </w:pPr>
      <w:r>
        <w:t>23. What should the main content of the fire plan contain, i.e</w:t>
      </w:r>
      <w:r w:rsidR="005774C1">
        <w:t>.</w:t>
      </w:r>
      <w:r>
        <w:t xml:space="preserve"> what core details would you expect each fire plan to cover?</w:t>
      </w:r>
    </w:p>
    <w:sdt>
      <w:sdtPr>
        <w:id w:val="-1988083841"/>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Pr="00B63448" w:rsidRDefault="00B63448" w:rsidP="00CA432C">
      <w:pPr>
        <w:keepNext/>
        <w:rPr>
          <w:b/>
          <w:bCs/>
          <w:i/>
          <w:color w:val="1F546B" w:themeColor="text2"/>
          <w:szCs w:val="28"/>
        </w:rPr>
      </w:pPr>
      <w:r w:rsidRPr="00B63448">
        <w:rPr>
          <w:b/>
          <w:bCs/>
          <w:i/>
          <w:color w:val="1F546B" w:themeColor="text2"/>
          <w:szCs w:val="28"/>
        </w:rPr>
        <w:t>Establishing the consultation requirements for the use of fire control measures</w:t>
      </w:r>
    </w:p>
    <w:p w:rsidR="00B63448" w:rsidRDefault="00B63448" w:rsidP="001B4B43">
      <w:pPr>
        <w:keepNext/>
      </w:pPr>
      <w:r>
        <w:t>24. Which of the three options do you prefer?</w:t>
      </w:r>
    </w:p>
    <w:sdt>
      <w:sdtPr>
        <w:id w:val="1820079672"/>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p w:rsidR="00B63448" w:rsidRDefault="00B63448" w:rsidP="001B4B43">
      <w:pPr>
        <w:keepNext/>
      </w:pPr>
      <w:r>
        <w:t>25. Does current engagement with stakeholders on the fire plan enable sufficient input to how fire control measures are used?</w:t>
      </w:r>
    </w:p>
    <w:sdt>
      <w:sdtPr>
        <w:id w:val="-979070800"/>
        <w:placeholder>
          <w:docPart w:val="DefaultPlaceholder_1082065158"/>
        </w:placeholder>
        <w:showingPlcHdr/>
        <w:text w:multiLine="1"/>
      </w:sdtPr>
      <w:sdtEndPr/>
      <w:sdtContent>
        <w:p w:rsidR="00957CD8" w:rsidRDefault="00957CD8" w:rsidP="00B63448">
          <w:r w:rsidRPr="00840796">
            <w:rPr>
              <w:rStyle w:val="PlaceholderText"/>
            </w:rPr>
            <w:t>Click here to enter text.</w:t>
          </w:r>
        </w:p>
      </w:sdtContent>
    </w:sdt>
    <w:sectPr w:rsidR="00957CD8" w:rsidSect="00CF4BE3">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4C1" w:rsidRDefault="005774C1">
      <w:r>
        <w:separator/>
      </w:r>
    </w:p>
    <w:p w:rsidR="005774C1" w:rsidRDefault="005774C1"/>
    <w:p w:rsidR="005774C1" w:rsidRDefault="005774C1"/>
  </w:endnote>
  <w:endnote w:type="continuationSeparator" w:id="0">
    <w:p w:rsidR="005774C1" w:rsidRDefault="005774C1">
      <w:r>
        <w:continuationSeparator/>
      </w:r>
    </w:p>
    <w:p w:rsidR="005774C1" w:rsidRDefault="005774C1"/>
    <w:p w:rsidR="005774C1" w:rsidRDefault="00577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1A" w:rsidRDefault="00C90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C1" w:rsidRPr="00160B04" w:rsidRDefault="005774C1" w:rsidP="00160B04">
    <w:pPr>
      <w:pStyle w:val="Footer"/>
    </w:pPr>
    <w:r w:rsidRPr="00160B04">
      <w:tab/>
      <w:t xml:space="preserve">Page </w:t>
    </w:r>
    <w:r w:rsidRPr="00160B04">
      <w:fldChar w:fldCharType="begin"/>
    </w:r>
    <w:r w:rsidRPr="00160B04">
      <w:instrText xml:space="preserve"> PAGE  \* Arabic  \* MERGEFORMAT </w:instrText>
    </w:r>
    <w:r w:rsidRPr="00160B04">
      <w:fldChar w:fldCharType="separate"/>
    </w:r>
    <w:r w:rsidR="00C9081A">
      <w:rPr>
        <w:noProof/>
      </w:rPr>
      <w:t>4</w:t>
    </w:r>
    <w:r w:rsidRPr="00160B04">
      <w:fldChar w:fldCharType="end"/>
    </w:r>
    <w:r w:rsidRPr="00160B04">
      <w:t xml:space="preserve"> of </w:t>
    </w:r>
    <w:r w:rsidR="00C9081A">
      <w:fldChar w:fldCharType="begin"/>
    </w:r>
    <w:r w:rsidR="00C9081A">
      <w:instrText xml:space="preserve"> NUMPAGES   \* MERGEFORMAT </w:instrText>
    </w:r>
    <w:r w:rsidR="00C9081A">
      <w:fldChar w:fldCharType="separate"/>
    </w:r>
    <w:r w:rsidR="00C9081A">
      <w:rPr>
        <w:noProof/>
      </w:rPr>
      <w:t>4</w:t>
    </w:r>
    <w:r w:rsidR="00C9081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1A" w:rsidRDefault="00C90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4C1" w:rsidRDefault="005774C1" w:rsidP="00FB1990">
      <w:pPr>
        <w:pStyle w:val="Spacer"/>
      </w:pPr>
      <w:r>
        <w:separator/>
      </w:r>
    </w:p>
    <w:p w:rsidR="005774C1" w:rsidRDefault="005774C1" w:rsidP="00FB1990">
      <w:pPr>
        <w:pStyle w:val="Spacer"/>
      </w:pPr>
    </w:p>
  </w:footnote>
  <w:footnote w:type="continuationSeparator" w:id="0">
    <w:p w:rsidR="005774C1" w:rsidRDefault="005774C1">
      <w:r>
        <w:continuationSeparator/>
      </w:r>
    </w:p>
    <w:p w:rsidR="005774C1" w:rsidRDefault="005774C1"/>
    <w:p w:rsidR="005774C1" w:rsidRDefault="005774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1A" w:rsidRDefault="00C908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C1" w:rsidRDefault="005774C1" w:rsidP="00460B3F">
    <w:pPr>
      <w:pStyle w:val="Header"/>
      <w:tabs>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1A" w:rsidRDefault="00C90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nsid w:val="61E71937"/>
    <w:multiLevelType w:val="hybridMultilevel"/>
    <w:tmpl w:val="838859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6"/>
  </w:num>
  <w:num w:numId="8">
    <w:abstractNumId w:val="17"/>
  </w:num>
  <w:num w:numId="9">
    <w:abstractNumId w:val="14"/>
  </w:num>
  <w:num w:numId="10">
    <w:abstractNumId w:val="10"/>
  </w:num>
  <w:num w:numId="11">
    <w:abstractNumId w:val="18"/>
  </w:num>
  <w:num w:numId="12">
    <w:abstractNumId w:val="21"/>
  </w:num>
  <w:num w:numId="13">
    <w:abstractNumId w:val="23"/>
  </w:num>
  <w:num w:numId="14">
    <w:abstractNumId w:val="7"/>
  </w:num>
  <w:num w:numId="15">
    <w:abstractNumId w:val="12"/>
  </w:num>
  <w:num w:numId="16">
    <w:abstractNumId w:val="24"/>
  </w:num>
  <w:num w:numId="17">
    <w:abstractNumId w:val="22"/>
  </w:num>
  <w:num w:numId="18">
    <w:abstractNumId w:val="20"/>
  </w:num>
  <w:num w:numId="19">
    <w:abstractNumId w:val="15"/>
  </w:num>
  <w:num w:numId="20">
    <w:abstractNumId w:val="13"/>
  </w:num>
  <w:num w:numId="21">
    <w:abstractNumId w:val="9"/>
  </w:num>
  <w:num w:numId="22">
    <w:abstractNumId w:val="6"/>
  </w:num>
  <w:num w:numId="23">
    <w:abstractNumId w:val="11"/>
  </w:num>
  <w:num w:numId="24">
    <w:abstractNumId w:val="8"/>
  </w:num>
  <w:num w:numId="2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1" w:cryptProviderType="rsaFull" w:cryptAlgorithmClass="hash" w:cryptAlgorithmType="typeAny" w:cryptAlgorithmSid="4" w:cryptSpinCount="100000" w:hash="NFmjZPtn/Eix7GSROo/lrTuxNYM=" w:salt="MRrFmNEoqtHeGF5HGkGxDA=="/>
  <w:defaultTabStop w:val="567"/>
  <w:characterSpacingControl w:val="doNotCompress"/>
  <w:hdrShapeDefaults>
    <o:shapedefaults v:ext="edit" spidmax="8193"/>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CE"/>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0062"/>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0B04"/>
    <w:rsid w:val="0016433D"/>
    <w:rsid w:val="00184C0F"/>
    <w:rsid w:val="001A5F55"/>
    <w:rsid w:val="001B4B43"/>
    <w:rsid w:val="001C0031"/>
    <w:rsid w:val="001C0C30"/>
    <w:rsid w:val="001D0111"/>
    <w:rsid w:val="001D7EAE"/>
    <w:rsid w:val="001E64FC"/>
    <w:rsid w:val="001F0724"/>
    <w:rsid w:val="002007DF"/>
    <w:rsid w:val="00205FE8"/>
    <w:rsid w:val="00206BA3"/>
    <w:rsid w:val="002134EF"/>
    <w:rsid w:val="00215160"/>
    <w:rsid w:val="002224B4"/>
    <w:rsid w:val="00226D5E"/>
    <w:rsid w:val="00237A3D"/>
    <w:rsid w:val="00240E83"/>
    <w:rsid w:val="002502D1"/>
    <w:rsid w:val="00251E76"/>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5ABE"/>
    <w:rsid w:val="005366B6"/>
    <w:rsid w:val="00554BCD"/>
    <w:rsid w:val="00555F60"/>
    <w:rsid w:val="005605A5"/>
    <w:rsid w:val="00560B3C"/>
    <w:rsid w:val="00561A97"/>
    <w:rsid w:val="00563DAC"/>
    <w:rsid w:val="005675E0"/>
    <w:rsid w:val="00570A71"/>
    <w:rsid w:val="00570C00"/>
    <w:rsid w:val="00576AAA"/>
    <w:rsid w:val="005774C1"/>
    <w:rsid w:val="0058206B"/>
    <w:rsid w:val="00585690"/>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41F2"/>
    <w:rsid w:val="006064F5"/>
    <w:rsid w:val="00617298"/>
    <w:rsid w:val="00637753"/>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6BF"/>
    <w:rsid w:val="008F67F5"/>
    <w:rsid w:val="008F6BCE"/>
    <w:rsid w:val="00900D4B"/>
    <w:rsid w:val="00905F9B"/>
    <w:rsid w:val="00913E95"/>
    <w:rsid w:val="009170B9"/>
    <w:rsid w:val="00923A87"/>
    <w:rsid w:val="00927482"/>
    <w:rsid w:val="00936FF5"/>
    <w:rsid w:val="0094654B"/>
    <w:rsid w:val="0095112B"/>
    <w:rsid w:val="0095712A"/>
    <w:rsid w:val="00957CD8"/>
    <w:rsid w:val="00963ECE"/>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4CAB"/>
    <w:rsid w:val="00A77512"/>
    <w:rsid w:val="00A863E3"/>
    <w:rsid w:val="00A9082A"/>
    <w:rsid w:val="00A94161"/>
    <w:rsid w:val="00A97BFB"/>
    <w:rsid w:val="00AB0BBC"/>
    <w:rsid w:val="00AB3A92"/>
    <w:rsid w:val="00AB478B"/>
    <w:rsid w:val="00AB47AC"/>
    <w:rsid w:val="00AB4AD9"/>
    <w:rsid w:val="00AD6E77"/>
    <w:rsid w:val="00AD7A25"/>
    <w:rsid w:val="00AE2666"/>
    <w:rsid w:val="00AF3A5A"/>
    <w:rsid w:val="00AF3E15"/>
    <w:rsid w:val="00AF5218"/>
    <w:rsid w:val="00AF60A0"/>
    <w:rsid w:val="00B0480E"/>
    <w:rsid w:val="00B1026A"/>
    <w:rsid w:val="00B21166"/>
    <w:rsid w:val="00B263AE"/>
    <w:rsid w:val="00B33A6C"/>
    <w:rsid w:val="00B42F17"/>
    <w:rsid w:val="00B43A02"/>
    <w:rsid w:val="00B47091"/>
    <w:rsid w:val="00B56534"/>
    <w:rsid w:val="00B57A21"/>
    <w:rsid w:val="00B62C3E"/>
    <w:rsid w:val="00B63448"/>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40E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081A"/>
    <w:rsid w:val="00C96BFD"/>
    <w:rsid w:val="00C96C98"/>
    <w:rsid w:val="00CA432C"/>
    <w:rsid w:val="00CA5358"/>
    <w:rsid w:val="00CB1DCA"/>
    <w:rsid w:val="00CD502A"/>
    <w:rsid w:val="00CF12CF"/>
    <w:rsid w:val="00CF4BE3"/>
    <w:rsid w:val="00D060D2"/>
    <w:rsid w:val="00D13E2D"/>
    <w:rsid w:val="00D14394"/>
    <w:rsid w:val="00D242CD"/>
    <w:rsid w:val="00D26944"/>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22E82"/>
    <w:rsid w:val="00F2483A"/>
    <w:rsid w:val="00F25AF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963ECE"/>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customStyle="1" w:styleId="Style1">
    <w:name w:val="Style1"/>
    <w:basedOn w:val="TableNormal"/>
    <w:uiPriority w:val="99"/>
    <w:rsid w:val="00963ECE"/>
    <w:pPr>
      <w:spacing w:before="0" w:after="0"/>
    </w:pPr>
    <w:rPr>
      <w:rFonts w:eastAsia="Times New Roman"/>
    </w:rPr>
    <w:tblPr>
      <w:tblBorders>
        <w:top w:val="single" w:sz="6" w:space="0" w:color="1F546B" w:themeColor="text2"/>
        <w:left w:val="single" w:sz="6" w:space="0" w:color="1F546B" w:themeColor="text2"/>
        <w:bottom w:val="single" w:sz="6" w:space="0" w:color="1F546B" w:themeColor="text2"/>
        <w:right w:val="single" w:sz="6" w:space="0" w:color="1F546B" w:themeColor="text2"/>
        <w:insideH w:val="single" w:sz="6" w:space="0" w:color="1F546B" w:themeColor="text2"/>
        <w:insideV w:val="single" w:sz="6" w:space="0" w:color="1F546B" w:themeColor="text2"/>
      </w:tblBorders>
    </w:tblPr>
    <w:tcPr>
      <w:shd w:val="clear" w:color="auto" w:fill="FFFFFF" w:themeFill="background1"/>
    </w:tcPr>
  </w:style>
  <w:style w:type="character" w:styleId="PlaceholderText">
    <w:name w:val="Placeholder Text"/>
    <w:basedOn w:val="DefaultParagraphFont"/>
    <w:uiPriority w:val="99"/>
    <w:semiHidden/>
    <w:rsid w:val="00B6344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963ECE"/>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customStyle="1" w:styleId="Style1">
    <w:name w:val="Style1"/>
    <w:basedOn w:val="TableNormal"/>
    <w:uiPriority w:val="99"/>
    <w:rsid w:val="00963ECE"/>
    <w:pPr>
      <w:spacing w:before="0" w:after="0"/>
    </w:pPr>
    <w:rPr>
      <w:rFonts w:eastAsia="Times New Roman"/>
    </w:rPr>
    <w:tblPr>
      <w:tblBorders>
        <w:top w:val="single" w:sz="6" w:space="0" w:color="1F546B" w:themeColor="text2"/>
        <w:left w:val="single" w:sz="6" w:space="0" w:color="1F546B" w:themeColor="text2"/>
        <w:bottom w:val="single" w:sz="6" w:space="0" w:color="1F546B" w:themeColor="text2"/>
        <w:right w:val="single" w:sz="6" w:space="0" w:color="1F546B" w:themeColor="text2"/>
        <w:insideH w:val="single" w:sz="6" w:space="0" w:color="1F546B" w:themeColor="text2"/>
        <w:insideV w:val="single" w:sz="6" w:space="0" w:color="1F546B" w:themeColor="text2"/>
      </w:tblBorders>
    </w:tblPr>
    <w:tcPr>
      <w:shd w:val="clear" w:color="auto" w:fill="FFFFFF" w:themeFill="background1"/>
    </w:tcPr>
  </w:style>
  <w:style w:type="character" w:styleId="PlaceholderText">
    <w:name w:val="Placeholder Text"/>
    <w:basedOn w:val="DefaultParagraphFont"/>
    <w:uiPriority w:val="99"/>
    <w:semiHidden/>
    <w:rsid w:val="00B634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dia.govt.n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FireServicesTransition@dia.govt.nz"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B9FDF3-52A9-4EA7-9DC6-BC759F1E8451}"/>
      </w:docPartPr>
      <w:docPartBody>
        <w:p w:rsidR="003A0D29" w:rsidRDefault="003A0D29">
          <w:r w:rsidRPr="008407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29"/>
    <w:rsid w:val="003A0D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D2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D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0AE83-A598-4FE7-AE5F-816FFD61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138F768E</Template>
  <TotalTime>0</TotalTime>
  <Pages>4</Pages>
  <Words>833</Words>
  <Characters>4360</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2016-07-06T01:38:00Z</dcterms:created>
  <dcterms:modified xsi:type="dcterms:W3CDTF">2016-07-06T01:39:00Z</dcterms:modified>
</cp:coreProperties>
</file>