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13" w:rsidRDefault="00575413" w:rsidP="0064782B">
      <w:pPr>
        <w:pStyle w:val="BodyText"/>
        <w:spacing w:after="0" w:line="240" w:lineRule="auto"/>
        <w:rPr>
          <w:rFonts w:ascii="Calibri" w:hAnsi="Calibri"/>
          <w:b/>
          <w:sz w:val="24"/>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0.8pt;margin-top:39.7pt;width:294.8pt;height:52.3pt;z-index:-251658240;mso-position-horizontal-relative:page;mso-position-vertical-relative:page" wrapcoords="-55 0 -55 21291 21600 21291 21600 0 -55 0">
            <v:imagedata r:id="rId7" o:title=""/>
            <w10:wrap type="tight" anchorx="page" anchory="page"/>
          </v:shape>
        </w:pict>
      </w:r>
    </w:p>
    <w:p w:rsidR="00575413" w:rsidRDefault="00575413" w:rsidP="0064782B">
      <w:pPr>
        <w:pStyle w:val="BodyText"/>
        <w:spacing w:after="0" w:line="240" w:lineRule="auto"/>
        <w:rPr>
          <w:rFonts w:ascii="Calibri" w:hAnsi="Calibri"/>
          <w:b/>
          <w:sz w:val="24"/>
        </w:rPr>
      </w:pPr>
    </w:p>
    <w:p w:rsidR="00575413" w:rsidRDefault="00575413" w:rsidP="0064782B">
      <w:pPr>
        <w:pStyle w:val="BodyText"/>
        <w:spacing w:after="0" w:line="240" w:lineRule="auto"/>
        <w:rPr>
          <w:rFonts w:ascii="Calibri" w:hAnsi="Calibri"/>
          <w:b/>
          <w:sz w:val="24"/>
        </w:rPr>
      </w:pPr>
    </w:p>
    <w:p w:rsidR="00575413" w:rsidRDefault="00575413" w:rsidP="0064782B">
      <w:pPr>
        <w:pStyle w:val="BodyText"/>
        <w:spacing w:after="0" w:line="240" w:lineRule="auto"/>
        <w:rPr>
          <w:rFonts w:ascii="Calibri" w:hAnsi="Calibri"/>
          <w:b/>
          <w:sz w:val="24"/>
        </w:rPr>
      </w:pPr>
    </w:p>
    <w:p w:rsidR="00575413" w:rsidRDefault="00575413" w:rsidP="0064782B">
      <w:pPr>
        <w:pStyle w:val="BodyText"/>
        <w:spacing w:after="0" w:line="240" w:lineRule="auto"/>
        <w:rPr>
          <w:rFonts w:ascii="Calibri" w:hAnsi="Calibri"/>
          <w:b/>
          <w:sz w:val="24"/>
        </w:rPr>
      </w:pPr>
    </w:p>
    <w:p w:rsidR="00575413" w:rsidRDefault="00575413" w:rsidP="0064782B">
      <w:pPr>
        <w:pStyle w:val="BodyText"/>
        <w:spacing w:after="0" w:line="240" w:lineRule="auto"/>
        <w:rPr>
          <w:rFonts w:ascii="Calibri" w:hAnsi="Calibri"/>
          <w:b/>
          <w:sz w:val="24"/>
        </w:rPr>
      </w:pPr>
    </w:p>
    <w:p w:rsidR="00575413" w:rsidRPr="00815E82" w:rsidRDefault="00575413" w:rsidP="0064782B">
      <w:pPr>
        <w:pStyle w:val="BodyText"/>
        <w:spacing w:after="0" w:line="240" w:lineRule="auto"/>
        <w:rPr>
          <w:rFonts w:ascii="Calibri" w:hAnsi="Calibri"/>
          <w:b/>
          <w:sz w:val="24"/>
        </w:rPr>
      </w:pPr>
      <w:r>
        <w:rPr>
          <w:rFonts w:ascii="Calibri" w:hAnsi="Calibri"/>
          <w:b/>
          <w:sz w:val="24"/>
        </w:rPr>
        <w:t>Non-bank non-deposit taking lending (</w:t>
      </w:r>
      <w:r w:rsidRPr="00815E82">
        <w:rPr>
          <w:rFonts w:ascii="Calibri" w:hAnsi="Calibri"/>
          <w:b/>
          <w:sz w:val="24"/>
        </w:rPr>
        <w:t>NBNDTL</w:t>
      </w:r>
      <w:r>
        <w:rPr>
          <w:rFonts w:ascii="Calibri" w:hAnsi="Calibri"/>
          <w:b/>
          <w:sz w:val="24"/>
        </w:rPr>
        <w:t>)</w:t>
      </w:r>
    </w:p>
    <w:p w:rsidR="00575413" w:rsidRPr="00815E82" w:rsidRDefault="00575413" w:rsidP="0064782B">
      <w:pPr>
        <w:pStyle w:val="BodyText"/>
        <w:spacing w:after="0" w:line="240" w:lineRule="auto"/>
        <w:jc w:val="both"/>
        <w:rPr>
          <w:rFonts w:ascii="Calibri" w:hAnsi="Calibri"/>
          <w:sz w:val="24"/>
        </w:rPr>
      </w:pPr>
    </w:p>
    <w:p w:rsidR="00575413" w:rsidRPr="00815E82" w:rsidRDefault="00575413" w:rsidP="00DD28A6">
      <w:pPr>
        <w:pStyle w:val="BodyText"/>
        <w:spacing w:after="0" w:line="240" w:lineRule="auto"/>
        <w:jc w:val="both"/>
        <w:rPr>
          <w:rFonts w:ascii="Calibri" w:hAnsi="Calibri"/>
          <w:sz w:val="24"/>
        </w:rPr>
      </w:pPr>
      <w:r w:rsidRPr="00815E82">
        <w:rPr>
          <w:rFonts w:ascii="Calibri" w:hAnsi="Calibri"/>
          <w:sz w:val="24"/>
        </w:rPr>
        <w:t xml:space="preserve">The overall risk assessment rating for </w:t>
      </w:r>
      <w:r>
        <w:rPr>
          <w:rFonts w:ascii="Calibri" w:hAnsi="Calibri"/>
          <w:sz w:val="24"/>
        </w:rPr>
        <w:t>non-bank non-deposit taking lending</w:t>
      </w:r>
      <w:r w:rsidRPr="00815E82">
        <w:rPr>
          <w:rFonts w:ascii="Calibri" w:hAnsi="Calibri"/>
          <w:sz w:val="24"/>
        </w:rPr>
        <w:t xml:space="preserve"> is </w:t>
      </w:r>
      <w:r>
        <w:rPr>
          <w:rFonts w:ascii="Calibri" w:hAnsi="Calibri"/>
          <w:b/>
          <w:sz w:val="24"/>
        </w:rPr>
        <w:t>LOW.</w:t>
      </w:r>
    </w:p>
    <w:p w:rsidR="00575413" w:rsidRPr="00815E82" w:rsidRDefault="00575413" w:rsidP="00DD28A6">
      <w:pPr>
        <w:pStyle w:val="BodyText"/>
        <w:spacing w:after="0" w:line="240" w:lineRule="auto"/>
        <w:jc w:val="both"/>
        <w:rPr>
          <w:rFonts w:ascii="Calibri" w:hAnsi="Calibri"/>
          <w:sz w:val="24"/>
        </w:rPr>
      </w:pPr>
    </w:p>
    <w:p w:rsidR="00575413" w:rsidRDefault="00575413" w:rsidP="00DD28A6">
      <w:pPr>
        <w:pStyle w:val="BodyText"/>
        <w:spacing w:after="0"/>
        <w:jc w:val="both"/>
        <w:rPr>
          <w:rFonts w:ascii="Calibri" w:hAnsi="Calibri"/>
          <w:sz w:val="24"/>
        </w:rPr>
      </w:pPr>
      <w:r w:rsidRPr="00683287">
        <w:rPr>
          <w:rFonts w:ascii="Calibri" w:hAnsi="Calibri"/>
          <w:sz w:val="24"/>
        </w:rPr>
        <w:t xml:space="preserve">The features identified in the table of this guide will help </w:t>
      </w:r>
      <w:r>
        <w:rPr>
          <w:rFonts w:ascii="Calibri" w:hAnsi="Calibri"/>
          <w:sz w:val="24"/>
        </w:rPr>
        <w:t xml:space="preserve">you </w:t>
      </w:r>
      <w:r w:rsidRPr="00683287">
        <w:rPr>
          <w:rFonts w:ascii="Calibri" w:hAnsi="Calibri"/>
          <w:sz w:val="24"/>
        </w:rPr>
        <w:t xml:space="preserve">conduct </w:t>
      </w:r>
      <w:r>
        <w:rPr>
          <w:rFonts w:ascii="Calibri" w:hAnsi="Calibri"/>
          <w:sz w:val="24"/>
        </w:rPr>
        <w:t xml:space="preserve">a </w:t>
      </w:r>
      <w:r w:rsidRPr="00683287">
        <w:rPr>
          <w:rFonts w:ascii="Calibri" w:hAnsi="Calibri"/>
          <w:sz w:val="24"/>
        </w:rPr>
        <w:t xml:space="preserve">risk assessment about </w:t>
      </w:r>
      <w:r>
        <w:rPr>
          <w:rFonts w:ascii="Calibri" w:hAnsi="Calibri"/>
          <w:sz w:val="24"/>
        </w:rPr>
        <w:t xml:space="preserve">your business relating to </w:t>
      </w:r>
      <w:r w:rsidRPr="00683287">
        <w:rPr>
          <w:rFonts w:ascii="Calibri" w:hAnsi="Calibri"/>
          <w:sz w:val="24"/>
        </w:rPr>
        <w:t xml:space="preserve">money laundering and financing of terrorism. </w:t>
      </w:r>
    </w:p>
    <w:p w:rsidR="00575413" w:rsidRDefault="00575413" w:rsidP="00DD28A6">
      <w:pPr>
        <w:pStyle w:val="BodyText"/>
        <w:spacing w:after="0"/>
        <w:jc w:val="both"/>
        <w:rPr>
          <w:rFonts w:ascii="Calibri" w:hAnsi="Calibri"/>
          <w:sz w:val="24"/>
        </w:rPr>
      </w:pPr>
    </w:p>
    <w:p w:rsidR="00575413" w:rsidRDefault="00575413" w:rsidP="00DD28A6">
      <w:pPr>
        <w:pStyle w:val="BodyText"/>
        <w:spacing w:after="0"/>
        <w:jc w:val="both"/>
        <w:rPr>
          <w:rFonts w:ascii="Calibri" w:hAnsi="Calibri"/>
          <w:sz w:val="24"/>
        </w:rPr>
      </w:pPr>
      <w:r w:rsidRPr="00683287">
        <w:rPr>
          <w:rFonts w:ascii="Calibri" w:hAnsi="Calibri"/>
          <w:sz w:val="24"/>
        </w:rPr>
        <w:t>The</w:t>
      </w:r>
      <w:r>
        <w:rPr>
          <w:rFonts w:ascii="Calibri" w:hAnsi="Calibri"/>
          <w:sz w:val="24"/>
        </w:rPr>
        <w:t xml:space="preserve"> table </w:t>
      </w:r>
      <w:r w:rsidRPr="00683287">
        <w:rPr>
          <w:rFonts w:ascii="Calibri" w:hAnsi="Calibri"/>
          <w:sz w:val="24"/>
        </w:rPr>
        <w:t xml:space="preserve">will help you create policies and procedures which accurately reflect how </w:t>
      </w:r>
      <w:r>
        <w:rPr>
          <w:rFonts w:ascii="Calibri" w:hAnsi="Calibri"/>
          <w:sz w:val="24"/>
        </w:rPr>
        <w:t xml:space="preserve">money launderers could use </w:t>
      </w:r>
      <w:r w:rsidRPr="00683287">
        <w:rPr>
          <w:rFonts w:ascii="Calibri" w:hAnsi="Calibri"/>
          <w:sz w:val="24"/>
        </w:rPr>
        <w:t>your business</w:t>
      </w:r>
      <w:r>
        <w:rPr>
          <w:rFonts w:ascii="Calibri" w:hAnsi="Calibri"/>
          <w:sz w:val="24"/>
        </w:rPr>
        <w:t xml:space="preserve">. </w:t>
      </w:r>
    </w:p>
    <w:p w:rsidR="00575413" w:rsidRDefault="00575413" w:rsidP="00DD28A6">
      <w:pPr>
        <w:pStyle w:val="BodyText"/>
        <w:spacing w:after="0"/>
        <w:jc w:val="both"/>
        <w:rPr>
          <w:rFonts w:ascii="Calibri" w:hAnsi="Calibri"/>
          <w:sz w:val="24"/>
        </w:rPr>
      </w:pPr>
    </w:p>
    <w:p w:rsidR="00575413" w:rsidRDefault="00575413" w:rsidP="00DD28A6">
      <w:pPr>
        <w:pStyle w:val="BodyText"/>
        <w:spacing w:after="0"/>
        <w:jc w:val="both"/>
        <w:rPr>
          <w:rFonts w:ascii="Calibri" w:hAnsi="Calibri"/>
          <w:sz w:val="24"/>
        </w:rPr>
      </w:pPr>
      <w:r w:rsidRPr="003A0AB8">
        <w:rPr>
          <w:rFonts w:ascii="Calibri" w:hAnsi="Calibri"/>
          <w:sz w:val="24"/>
        </w:rPr>
        <w:t xml:space="preserve">We encourage you to think about ways to spot transactions that may signal potential money laundering. For example </w:t>
      </w:r>
      <w:r>
        <w:rPr>
          <w:rFonts w:ascii="Calibri" w:hAnsi="Calibri"/>
          <w:sz w:val="24"/>
        </w:rPr>
        <w:t>methods</w:t>
      </w:r>
      <w:r w:rsidRPr="003A0AB8">
        <w:rPr>
          <w:rFonts w:ascii="Calibri" w:hAnsi="Calibri"/>
          <w:sz w:val="24"/>
        </w:rPr>
        <w:t xml:space="preserve"> that identify unusual deposits</w:t>
      </w:r>
      <w:r>
        <w:rPr>
          <w:rFonts w:ascii="Calibri" w:hAnsi="Calibri"/>
          <w:sz w:val="24"/>
        </w:rPr>
        <w:t>, unusual payments</w:t>
      </w:r>
      <w:r w:rsidRPr="003A0AB8">
        <w:rPr>
          <w:rFonts w:ascii="Calibri" w:hAnsi="Calibri"/>
          <w:sz w:val="24"/>
        </w:rPr>
        <w:t xml:space="preserve"> or unusual movements of funds.</w:t>
      </w:r>
    </w:p>
    <w:p w:rsidR="00575413" w:rsidRDefault="00575413" w:rsidP="00DD28A6">
      <w:pPr>
        <w:pStyle w:val="BodyText"/>
        <w:spacing w:after="0"/>
        <w:jc w:val="both"/>
        <w:rPr>
          <w:rFonts w:ascii="Calibri" w:hAnsi="Calibri"/>
          <w:sz w:val="24"/>
        </w:rPr>
      </w:pPr>
    </w:p>
    <w:p w:rsidR="00575413" w:rsidRDefault="00575413" w:rsidP="00DD28A6">
      <w:pPr>
        <w:pStyle w:val="BodyText"/>
        <w:spacing w:after="0"/>
        <w:jc w:val="both"/>
        <w:rPr>
          <w:rFonts w:ascii="Calibri" w:hAnsi="Calibri"/>
          <w:sz w:val="24"/>
        </w:rPr>
      </w:pPr>
      <w:r w:rsidRPr="00683287">
        <w:rPr>
          <w:rFonts w:ascii="Calibri" w:hAnsi="Calibri"/>
          <w:sz w:val="24"/>
        </w:rPr>
        <w:t>The table does not cover every way a money launderer may use your business. It reflects ways that money launderers have acted in the past. We encourage you to think about other situations that may apply to your specific business.</w:t>
      </w:r>
    </w:p>
    <w:p w:rsidR="00575413" w:rsidRPr="00683287" w:rsidRDefault="00575413" w:rsidP="00DD28A6">
      <w:pPr>
        <w:pStyle w:val="BodyText"/>
        <w:spacing w:after="0"/>
        <w:jc w:val="both"/>
        <w:rPr>
          <w:rFonts w:ascii="Calibri" w:hAnsi="Calibri"/>
          <w:sz w:val="24"/>
        </w:rPr>
      </w:pPr>
    </w:p>
    <w:p w:rsidR="00575413" w:rsidRDefault="00575413" w:rsidP="00DD28A6">
      <w:pPr>
        <w:pStyle w:val="BodyText"/>
        <w:spacing w:after="0"/>
        <w:jc w:val="both"/>
        <w:rPr>
          <w:rFonts w:ascii="Calibri" w:hAnsi="Calibri"/>
          <w:sz w:val="24"/>
        </w:rPr>
      </w:pPr>
      <w:r w:rsidRPr="00683287">
        <w:rPr>
          <w:rFonts w:ascii="Calibri" w:hAnsi="Calibri"/>
          <w:sz w:val="24"/>
        </w:rPr>
        <w:t xml:space="preserve">Transactions or activities listed in the table may not necessarily signal money laundering if they are consistent with a customer’s legitimate business. </w:t>
      </w:r>
    </w:p>
    <w:p w:rsidR="00575413" w:rsidRPr="00683287" w:rsidRDefault="00575413" w:rsidP="00DD28A6">
      <w:pPr>
        <w:pStyle w:val="BodyText"/>
        <w:spacing w:after="0"/>
        <w:jc w:val="both"/>
        <w:rPr>
          <w:rFonts w:ascii="Calibri" w:hAnsi="Calibri"/>
          <w:sz w:val="24"/>
        </w:rPr>
      </w:pPr>
    </w:p>
    <w:p w:rsidR="00575413" w:rsidRPr="00683287" w:rsidRDefault="00575413" w:rsidP="00DD28A6">
      <w:pPr>
        <w:pStyle w:val="BodyText"/>
        <w:spacing w:after="0"/>
        <w:jc w:val="both"/>
        <w:rPr>
          <w:rFonts w:ascii="Calibri" w:hAnsi="Calibri"/>
          <w:sz w:val="24"/>
        </w:rPr>
      </w:pPr>
      <w:r w:rsidRPr="00683287">
        <w:rPr>
          <w:rFonts w:ascii="Calibri" w:hAnsi="Calibri"/>
          <w:sz w:val="24"/>
        </w:rPr>
        <w:t>Based on knowledge of your own business you should decide what risk particular customers or transactions pose and how you can lessen that risk.</w:t>
      </w:r>
    </w:p>
    <w:p w:rsidR="00575413" w:rsidRDefault="00575413" w:rsidP="0064782B">
      <w:pPr>
        <w:pStyle w:val="BodyText"/>
        <w:spacing w:after="0" w:line="240" w:lineRule="auto"/>
        <w:jc w:val="both"/>
        <w:rPr>
          <w:rFonts w:ascii="Calibri" w:hAnsi="Calibri"/>
          <w:sz w:val="24"/>
        </w:rPr>
      </w:pPr>
    </w:p>
    <w:p w:rsidR="00575413" w:rsidRDefault="00575413" w:rsidP="0064782B">
      <w:pPr>
        <w:pStyle w:val="BodyText"/>
        <w:spacing w:after="0" w:line="240" w:lineRule="auto"/>
        <w:jc w:val="both"/>
        <w:rPr>
          <w:rFonts w:ascii="Calibri" w:hAnsi="Calibri"/>
          <w:sz w:val="24"/>
        </w:rPr>
      </w:pPr>
    </w:p>
    <w:tbl>
      <w:tblPr>
        <w:tblW w:w="1026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Look w:val="01E0"/>
      </w:tblPr>
      <w:tblGrid>
        <w:gridCol w:w="2160"/>
        <w:gridCol w:w="1800"/>
        <w:gridCol w:w="3240"/>
        <w:gridCol w:w="3060"/>
      </w:tblGrid>
      <w:tr w:rsidR="00575413" w:rsidRPr="00122F59" w:rsidTr="0019505A">
        <w:trPr>
          <w:tblHeader/>
        </w:trPr>
        <w:tc>
          <w:tcPr>
            <w:tcW w:w="3960" w:type="dxa"/>
            <w:gridSpan w:val="2"/>
            <w:tcBorders>
              <w:top w:val="single" w:sz="4" w:space="0" w:color="auto"/>
            </w:tcBorders>
            <w:shd w:val="clear" w:color="000000" w:fill="E6E6E6"/>
            <w:vAlign w:val="center"/>
          </w:tcPr>
          <w:p w:rsidR="00575413" w:rsidRPr="0019505A" w:rsidRDefault="00575413" w:rsidP="0019505A">
            <w:pPr>
              <w:pStyle w:val="BodyText"/>
              <w:spacing w:after="0" w:line="240" w:lineRule="auto"/>
              <w:jc w:val="center"/>
              <w:rPr>
                <w:rFonts w:ascii="Calibri" w:hAnsi="Calibri"/>
                <w:b/>
                <w:bCs/>
              </w:rPr>
            </w:pPr>
          </w:p>
        </w:tc>
        <w:tc>
          <w:tcPr>
            <w:tcW w:w="3240" w:type="dxa"/>
            <w:tcBorders>
              <w:top w:val="single" w:sz="4" w:space="0" w:color="auto"/>
            </w:tcBorders>
            <w:shd w:val="clear" w:color="000000" w:fill="E6E6E6"/>
            <w:vAlign w:val="center"/>
          </w:tcPr>
          <w:p w:rsidR="00575413" w:rsidRPr="0019505A" w:rsidRDefault="00575413" w:rsidP="0019505A">
            <w:pPr>
              <w:pStyle w:val="BodyText"/>
              <w:spacing w:after="0" w:line="240" w:lineRule="auto"/>
              <w:jc w:val="center"/>
              <w:rPr>
                <w:rFonts w:ascii="Calibri" w:hAnsi="Calibri"/>
                <w:b/>
                <w:bCs/>
              </w:rPr>
            </w:pPr>
            <w:r w:rsidRPr="0019505A">
              <w:rPr>
                <w:rFonts w:ascii="Calibri" w:hAnsi="Calibri"/>
                <w:b/>
                <w:bCs/>
                <w:szCs w:val="22"/>
              </w:rPr>
              <w:t>HIGHER RISK FACTORS</w:t>
            </w:r>
          </w:p>
        </w:tc>
        <w:tc>
          <w:tcPr>
            <w:tcW w:w="3060" w:type="dxa"/>
            <w:tcBorders>
              <w:top w:val="single" w:sz="4" w:space="0" w:color="auto"/>
            </w:tcBorders>
            <w:shd w:val="clear" w:color="000000" w:fill="E6E6E6"/>
            <w:vAlign w:val="center"/>
          </w:tcPr>
          <w:p w:rsidR="00575413" w:rsidRPr="0019505A" w:rsidRDefault="00575413" w:rsidP="0019505A">
            <w:pPr>
              <w:pStyle w:val="BodyText"/>
              <w:spacing w:after="0" w:line="240" w:lineRule="auto"/>
              <w:jc w:val="center"/>
              <w:rPr>
                <w:rFonts w:ascii="Calibri" w:hAnsi="Calibri"/>
                <w:b/>
                <w:bCs/>
              </w:rPr>
            </w:pPr>
            <w:r w:rsidRPr="0019505A">
              <w:rPr>
                <w:rFonts w:ascii="Calibri" w:hAnsi="Calibri"/>
                <w:b/>
                <w:bCs/>
                <w:szCs w:val="22"/>
              </w:rPr>
              <w:t>LOWER RISK FACTORS</w:t>
            </w:r>
          </w:p>
        </w:tc>
      </w:tr>
      <w:tr w:rsidR="00575413" w:rsidRPr="00122F59" w:rsidTr="0019505A">
        <w:trPr>
          <w:cantSplit/>
          <w:trHeight w:val="675"/>
        </w:trPr>
        <w:tc>
          <w:tcPr>
            <w:tcW w:w="2160" w:type="dxa"/>
            <w:vMerge w:val="restart"/>
            <w:shd w:val="clear" w:color="auto" w:fill="E6E6E6"/>
            <w:vAlign w:val="center"/>
          </w:tcPr>
          <w:p w:rsidR="00575413" w:rsidRPr="0019505A" w:rsidRDefault="00575413" w:rsidP="0064782B">
            <w:pPr>
              <w:pStyle w:val="BodyText"/>
              <w:rPr>
                <w:rFonts w:ascii="Calibri" w:hAnsi="Calibri"/>
                <w:b/>
              </w:rPr>
            </w:pPr>
            <w:r w:rsidRPr="0019505A">
              <w:rPr>
                <w:rFonts w:ascii="Calibri" w:hAnsi="Calibri"/>
                <w:b/>
                <w:szCs w:val="22"/>
              </w:rPr>
              <w:t xml:space="preserve">The nature, size, and complexity of the business </w:t>
            </w:r>
          </w:p>
        </w:tc>
        <w:tc>
          <w:tcPr>
            <w:tcW w:w="1800" w:type="dxa"/>
            <w:vMerge w:val="restart"/>
            <w:vAlign w:val="center"/>
          </w:tcPr>
          <w:p w:rsidR="00575413" w:rsidRPr="0019505A" w:rsidRDefault="00575413" w:rsidP="0019505A">
            <w:pPr>
              <w:pStyle w:val="BodyText"/>
              <w:spacing w:after="0" w:line="240" w:lineRule="auto"/>
              <w:rPr>
                <w:rFonts w:ascii="Calibri" w:hAnsi="Calibri"/>
              </w:rPr>
            </w:pPr>
            <w:r w:rsidRPr="0019505A">
              <w:rPr>
                <w:rFonts w:ascii="Calibri" w:hAnsi="Calibri"/>
                <w:szCs w:val="22"/>
              </w:rPr>
              <w:t>Scope of lending transaction</w:t>
            </w:r>
          </w:p>
        </w:tc>
        <w:tc>
          <w:tcPr>
            <w:tcW w:w="3240" w:type="dxa"/>
          </w:tcPr>
          <w:p w:rsidR="00575413" w:rsidRPr="0019505A" w:rsidRDefault="00575413" w:rsidP="0019505A">
            <w:pPr>
              <w:pStyle w:val="BodyText"/>
              <w:spacing w:after="0" w:line="240" w:lineRule="auto"/>
              <w:rPr>
                <w:rFonts w:ascii="Calibri" w:hAnsi="Calibri"/>
              </w:rPr>
            </w:pPr>
            <w:r>
              <w:rPr>
                <w:rFonts w:ascii="Calibri" w:hAnsi="Calibri"/>
                <w:szCs w:val="22"/>
              </w:rPr>
              <w:t>L</w:t>
            </w:r>
            <w:r w:rsidRPr="0019505A">
              <w:rPr>
                <w:rFonts w:ascii="Calibri" w:hAnsi="Calibri"/>
                <w:szCs w:val="22"/>
              </w:rPr>
              <w:t xml:space="preserve">oan agreements with </w:t>
            </w:r>
            <w:r>
              <w:rPr>
                <w:rFonts w:ascii="Calibri" w:hAnsi="Calibri"/>
                <w:szCs w:val="22"/>
              </w:rPr>
              <w:t>friends or family;</w:t>
            </w:r>
          </w:p>
        </w:tc>
        <w:tc>
          <w:tcPr>
            <w:tcW w:w="3060" w:type="dxa"/>
          </w:tcPr>
          <w:p w:rsidR="00575413" w:rsidRPr="0019505A" w:rsidRDefault="00575413" w:rsidP="0019505A">
            <w:pPr>
              <w:pStyle w:val="BodyText"/>
              <w:spacing w:after="0" w:line="240" w:lineRule="auto"/>
              <w:rPr>
                <w:rFonts w:ascii="Calibri" w:hAnsi="Calibri"/>
              </w:rPr>
            </w:pPr>
          </w:p>
        </w:tc>
      </w:tr>
      <w:tr w:rsidR="00575413" w:rsidRPr="00122F59" w:rsidTr="0019505A">
        <w:trPr>
          <w:cantSplit/>
          <w:trHeight w:val="810"/>
        </w:trPr>
        <w:tc>
          <w:tcPr>
            <w:tcW w:w="2160" w:type="dxa"/>
            <w:vMerge/>
            <w:shd w:val="clear" w:color="auto" w:fill="E6E6E6"/>
            <w:vAlign w:val="center"/>
          </w:tcPr>
          <w:p w:rsidR="00575413" w:rsidRPr="0019505A" w:rsidRDefault="00575413" w:rsidP="0064782B">
            <w:pPr>
              <w:pStyle w:val="BodyText"/>
              <w:rPr>
                <w:rFonts w:ascii="Calibri" w:hAnsi="Calibri"/>
                <w:b/>
              </w:rPr>
            </w:pPr>
          </w:p>
        </w:tc>
        <w:tc>
          <w:tcPr>
            <w:tcW w:w="1800" w:type="dxa"/>
            <w:vMerge/>
            <w:vAlign w:val="center"/>
          </w:tcPr>
          <w:p w:rsidR="00575413" w:rsidRPr="0019505A" w:rsidRDefault="00575413" w:rsidP="0019505A">
            <w:pPr>
              <w:pStyle w:val="BodyText"/>
              <w:spacing w:after="0" w:line="240" w:lineRule="auto"/>
              <w:rPr>
                <w:rFonts w:ascii="Calibri" w:hAnsi="Calibri"/>
              </w:rPr>
            </w:pPr>
          </w:p>
        </w:tc>
        <w:tc>
          <w:tcPr>
            <w:tcW w:w="3240" w:type="dxa"/>
          </w:tcPr>
          <w:p w:rsidR="00575413" w:rsidRPr="0019505A" w:rsidRDefault="00575413" w:rsidP="0019505A">
            <w:pPr>
              <w:pStyle w:val="BodyText"/>
              <w:spacing w:after="0" w:line="240" w:lineRule="auto"/>
              <w:rPr>
                <w:rFonts w:ascii="Calibri" w:hAnsi="Calibri"/>
              </w:rPr>
            </w:pPr>
            <w:r w:rsidRPr="0019505A">
              <w:rPr>
                <w:rFonts w:ascii="Calibri" w:hAnsi="Calibri"/>
                <w:szCs w:val="22"/>
              </w:rPr>
              <w:t>Pre-existing collateral, such as a foreign bank balance, a cash deposit or a sum of cash, used as security for the loan; (the security may be assets acquired directly or indirectly from crime)</w:t>
            </w:r>
          </w:p>
        </w:tc>
        <w:tc>
          <w:tcPr>
            <w:tcW w:w="3060" w:type="dxa"/>
          </w:tcPr>
          <w:p w:rsidR="00575413" w:rsidRPr="0019505A" w:rsidRDefault="00575413" w:rsidP="0019505A">
            <w:pPr>
              <w:pStyle w:val="BodyText"/>
              <w:spacing w:after="0" w:line="240" w:lineRule="auto"/>
              <w:rPr>
                <w:rFonts w:ascii="Calibri" w:hAnsi="Calibri"/>
              </w:rPr>
            </w:pPr>
          </w:p>
        </w:tc>
      </w:tr>
      <w:tr w:rsidR="00575413" w:rsidRPr="00122F59" w:rsidTr="0019505A">
        <w:trPr>
          <w:cantSplit/>
          <w:trHeight w:val="180"/>
        </w:trPr>
        <w:tc>
          <w:tcPr>
            <w:tcW w:w="2160" w:type="dxa"/>
            <w:vMerge/>
            <w:shd w:val="clear" w:color="auto" w:fill="E6E6E6"/>
            <w:vAlign w:val="center"/>
          </w:tcPr>
          <w:p w:rsidR="00575413" w:rsidRPr="0019505A" w:rsidRDefault="00575413" w:rsidP="0064782B">
            <w:pPr>
              <w:pStyle w:val="BodyText"/>
              <w:rPr>
                <w:rFonts w:ascii="Calibri" w:hAnsi="Calibri"/>
                <w:b/>
              </w:rPr>
            </w:pPr>
          </w:p>
        </w:tc>
        <w:tc>
          <w:tcPr>
            <w:tcW w:w="1800" w:type="dxa"/>
            <w:vMerge/>
            <w:vAlign w:val="center"/>
          </w:tcPr>
          <w:p w:rsidR="00575413" w:rsidRPr="0019505A" w:rsidRDefault="00575413" w:rsidP="0019505A">
            <w:pPr>
              <w:pStyle w:val="BodyText"/>
              <w:spacing w:after="0" w:line="240" w:lineRule="auto"/>
              <w:rPr>
                <w:rFonts w:ascii="Calibri" w:hAnsi="Calibri"/>
              </w:rPr>
            </w:pPr>
          </w:p>
        </w:tc>
        <w:tc>
          <w:tcPr>
            <w:tcW w:w="3240" w:type="dxa"/>
          </w:tcPr>
          <w:p w:rsidR="00575413" w:rsidRPr="0019505A" w:rsidRDefault="00575413" w:rsidP="0019505A">
            <w:pPr>
              <w:pStyle w:val="BodyText"/>
              <w:spacing w:after="0" w:line="240" w:lineRule="auto"/>
              <w:rPr>
                <w:rFonts w:ascii="Calibri" w:hAnsi="Calibri"/>
              </w:rPr>
            </w:pPr>
            <w:r w:rsidRPr="0019505A">
              <w:rPr>
                <w:rFonts w:ascii="Calibri" w:hAnsi="Calibri"/>
                <w:szCs w:val="22"/>
              </w:rPr>
              <w:t>Loan advances sent offshore;</w:t>
            </w:r>
          </w:p>
        </w:tc>
        <w:tc>
          <w:tcPr>
            <w:tcW w:w="3060" w:type="dxa"/>
          </w:tcPr>
          <w:p w:rsidR="00575413" w:rsidRPr="0019505A" w:rsidRDefault="00575413" w:rsidP="0019505A">
            <w:pPr>
              <w:pStyle w:val="BodyText"/>
              <w:spacing w:after="0" w:line="240" w:lineRule="auto"/>
              <w:rPr>
                <w:rFonts w:ascii="Calibri" w:hAnsi="Calibri"/>
              </w:rPr>
            </w:pPr>
          </w:p>
        </w:tc>
      </w:tr>
      <w:tr w:rsidR="00575413" w:rsidRPr="00122F59" w:rsidTr="0019505A">
        <w:trPr>
          <w:cantSplit/>
          <w:trHeight w:val="405"/>
        </w:trPr>
        <w:tc>
          <w:tcPr>
            <w:tcW w:w="2160" w:type="dxa"/>
            <w:vMerge/>
            <w:shd w:val="clear" w:color="auto" w:fill="E6E6E6"/>
            <w:vAlign w:val="center"/>
          </w:tcPr>
          <w:p w:rsidR="00575413" w:rsidRPr="0019505A" w:rsidRDefault="00575413" w:rsidP="0064782B">
            <w:pPr>
              <w:pStyle w:val="BodyText"/>
              <w:rPr>
                <w:rFonts w:ascii="Calibri" w:hAnsi="Calibri"/>
                <w:b/>
              </w:rPr>
            </w:pPr>
          </w:p>
        </w:tc>
        <w:tc>
          <w:tcPr>
            <w:tcW w:w="1800" w:type="dxa"/>
            <w:vMerge w:val="restart"/>
            <w:vAlign w:val="center"/>
          </w:tcPr>
          <w:p w:rsidR="00575413" w:rsidRPr="0019505A" w:rsidRDefault="00575413" w:rsidP="0019505A">
            <w:pPr>
              <w:pStyle w:val="BodyText"/>
              <w:spacing w:after="0" w:line="240" w:lineRule="auto"/>
              <w:rPr>
                <w:rFonts w:ascii="Calibri" w:hAnsi="Calibri"/>
              </w:rPr>
            </w:pPr>
            <w:r w:rsidRPr="0019505A">
              <w:rPr>
                <w:rFonts w:ascii="Calibri" w:hAnsi="Calibri"/>
                <w:szCs w:val="22"/>
              </w:rPr>
              <w:t>Provision of funds for loans</w:t>
            </w:r>
          </w:p>
        </w:tc>
        <w:tc>
          <w:tcPr>
            <w:tcW w:w="3240" w:type="dxa"/>
          </w:tcPr>
          <w:p w:rsidR="00575413" w:rsidRPr="0019505A" w:rsidRDefault="00575413" w:rsidP="0019505A">
            <w:pPr>
              <w:pStyle w:val="BodyText"/>
              <w:spacing w:after="0" w:line="240" w:lineRule="auto"/>
              <w:rPr>
                <w:rFonts w:ascii="Calibri" w:hAnsi="Calibri"/>
              </w:rPr>
            </w:pPr>
            <w:r w:rsidRPr="0019505A">
              <w:rPr>
                <w:rFonts w:ascii="Calibri" w:hAnsi="Calibri"/>
                <w:szCs w:val="22"/>
              </w:rPr>
              <w:t>Source of funds for lending unclear; lack of or low due diligence conducted on investors;</w:t>
            </w:r>
          </w:p>
        </w:tc>
        <w:tc>
          <w:tcPr>
            <w:tcW w:w="3060" w:type="dxa"/>
          </w:tcPr>
          <w:p w:rsidR="00575413" w:rsidRPr="0019505A" w:rsidRDefault="00575413" w:rsidP="0019505A">
            <w:pPr>
              <w:pStyle w:val="BodyText"/>
              <w:spacing w:after="0" w:line="240" w:lineRule="auto"/>
              <w:rPr>
                <w:rFonts w:ascii="Calibri" w:hAnsi="Calibri"/>
              </w:rPr>
            </w:pPr>
          </w:p>
        </w:tc>
      </w:tr>
      <w:tr w:rsidR="00575413" w:rsidRPr="00122F59" w:rsidTr="0019505A">
        <w:trPr>
          <w:cantSplit/>
          <w:trHeight w:val="405"/>
        </w:trPr>
        <w:tc>
          <w:tcPr>
            <w:tcW w:w="2160" w:type="dxa"/>
            <w:vMerge/>
            <w:shd w:val="clear" w:color="auto" w:fill="E6E6E6"/>
            <w:vAlign w:val="center"/>
          </w:tcPr>
          <w:p w:rsidR="00575413" w:rsidRPr="0019505A" w:rsidRDefault="00575413" w:rsidP="0064782B">
            <w:pPr>
              <w:pStyle w:val="BodyText"/>
              <w:rPr>
                <w:rFonts w:ascii="Calibri" w:hAnsi="Calibri"/>
                <w:b/>
              </w:rPr>
            </w:pPr>
          </w:p>
        </w:tc>
        <w:tc>
          <w:tcPr>
            <w:tcW w:w="1800" w:type="dxa"/>
            <w:vMerge/>
            <w:vAlign w:val="center"/>
          </w:tcPr>
          <w:p w:rsidR="00575413" w:rsidRPr="0019505A" w:rsidRDefault="00575413" w:rsidP="0019505A">
            <w:pPr>
              <w:pStyle w:val="BodyText"/>
              <w:spacing w:after="0" w:line="240" w:lineRule="auto"/>
              <w:rPr>
                <w:rFonts w:ascii="Calibri" w:hAnsi="Calibri"/>
              </w:rPr>
            </w:pPr>
          </w:p>
        </w:tc>
        <w:tc>
          <w:tcPr>
            <w:tcW w:w="3240" w:type="dxa"/>
          </w:tcPr>
          <w:p w:rsidR="00575413" w:rsidRPr="0019505A" w:rsidRDefault="00575413" w:rsidP="0019505A">
            <w:pPr>
              <w:pStyle w:val="BodyText"/>
              <w:spacing w:after="0" w:line="240" w:lineRule="auto"/>
              <w:rPr>
                <w:rFonts w:ascii="Calibri" w:hAnsi="Calibri"/>
              </w:rPr>
            </w:pPr>
            <w:r w:rsidRPr="0019505A">
              <w:rPr>
                <w:rFonts w:ascii="Calibri" w:hAnsi="Calibri" w:cs="Caecilia Roman"/>
                <w:color w:val="000000"/>
                <w:szCs w:val="22"/>
              </w:rPr>
              <w:t>Foreign offshore corporations used as the third party lender;</w:t>
            </w:r>
          </w:p>
        </w:tc>
        <w:tc>
          <w:tcPr>
            <w:tcW w:w="3060" w:type="dxa"/>
          </w:tcPr>
          <w:p w:rsidR="00575413" w:rsidRPr="0019505A" w:rsidRDefault="00575413" w:rsidP="0019505A">
            <w:pPr>
              <w:pStyle w:val="BodyText"/>
              <w:spacing w:after="0" w:line="240" w:lineRule="auto"/>
              <w:rPr>
                <w:rFonts w:ascii="Calibri" w:hAnsi="Calibri"/>
              </w:rPr>
            </w:pPr>
          </w:p>
        </w:tc>
      </w:tr>
      <w:tr w:rsidR="00575413" w:rsidRPr="00122F59" w:rsidTr="0019505A">
        <w:trPr>
          <w:cantSplit/>
          <w:trHeight w:val="622"/>
        </w:trPr>
        <w:tc>
          <w:tcPr>
            <w:tcW w:w="2160" w:type="dxa"/>
            <w:vMerge/>
            <w:shd w:val="clear" w:color="auto" w:fill="E6E6E6"/>
            <w:vAlign w:val="center"/>
          </w:tcPr>
          <w:p w:rsidR="00575413" w:rsidRPr="0019505A" w:rsidRDefault="00575413" w:rsidP="0064782B">
            <w:pPr>
              <w:pStyle w:val="BodyText"/>
              <w:rPr>
                <w:rFonts w:ascii="Calibri" w:hAnsi="Calibri"/>
                <w:b/>
              </w:rPr>
            </w:pPr>
          </w:p>
        </w:tc>
        <w:tc>
          <w:tcPr>
            <w:tcW w:w="1800" w:type="dxa"/>
            <w:vMerge/>
            <w:vAlign w:val="center"/>
          </w:tcPr>
          <w:p w:rsidR="00575413" w:rsidRPr="0019505A" w:rsidRDefault="00575413" w:rsidP="0019505A">
            <w:pPr>
              <w:pStyle w:val="BodyText"/>
              <w:spacing w:after="0" w:line="240" w:lineRule="auto"/>
              <w:rPr>
                <w:rFonts w:ascii="Calibri" w:hAnsi="Calibri"/>
                <w:b/>
              </w:rPr>
            </w:pPr>
          </w:p>
        </w:tc>
        <w:tc>
          <w:tcPr>
            <w:tcW w:w="3240" w:type="dxa"/>
          </w:tcPr>
          <w:p w:rsidR="00575413" w:rsidRPr="0019505A" w:rsidRDefault="00575413" w:rsidP="0019505A">
            <w:pPr>
              <w:pStyle w:val="BodyText"/>
              <w:spacing w:after="0" w:line="240" w:lineRule="auto"/>
              <w:rPr>
                <w:rFonts w:ascii="Calibri" w:hAnsi="Calibri"/>
              </w:rPr>
            </w:pPr>
            <w:r w:rsidRPr="0019505A">
              <w:rPr>
                <w:rFonts w:ascii="Calibri" w:hAnsi="Calibri"/>
                <w:szCs w:val="22"/>
              </w:rPr>
              <w:t>Non-profit organisations providing financial services and loans;</w:t>
            </w:r>
          </w:p>
        </w:tc>
        <w:tc>
          <w:tcPr>
            <w:tcW w:w="3060" w:type="dxa"/>
          </w:tcPr>
          <w:p w:rsidR="00575413" w:rsidRPr="0019505A" w:rsidRDefault="00575413" w:rsidP="0019505A">
            <w:pPr>
              <w:pStyle w:val="BodyText"/>
              <w:spacing w:after="0" w:line="240" w:lineRule="auto"/>
              <w:rPr>
                <w:rFonts w:ascii="Calibri" w:hAnsi="Calibri" w:cs="Caecilia Roman"/>
                <w:color w:val="000000"/>
              </w:rPr>
            </w:pPr>
          </w:p>
        </w:tc>
      </w:tr>
      <w:tr w:rsidR="00575413" w:rsidRPr="00122F59" w:rsidTr="0019505A">
        <w:trPr>
          <w:cantSplit/>
          <w:trHeight w:val="135"/>
        </w:trPr>
        <w:tc>
          <w:tcPr>
            <w:tcW w:w="2160" w:type="dxa"/>
            <w:vMerge/>
            <w:shd w:val="clear" w:color="auto" w:fill="E6E6E6"/>
            <w:vAlign w:val="center"/>
          </w:tcPr>
          <w:p w:rsidR="00575413" w:rsidRPr="0019505A" w:rsidRDefault="00575413" w:rsidP="0019505A">
            <w:pPr>
              <w:pStyle w:val="BodyText"/>
              <w:spacing w:after="0" w:line="240" w:lineRule="auto"/>
              <w:rPr>
                <w:rFonts w:ascii="Calibri" w:hAnsi="Calibri"/>
                <w:b/>
              </w:rPr>
            </w:pPr>
          </w:p>
        </w:tc>
        <w:tc>
          <w:tcPr>
            <w:tcW w:w="1800" w:type="dxa"/>
            <w:vAlign w:val="center"/>
          </w:tcPr>
          <w:p w:rsidR="00575413" w:rsidRPr="0019505A" w:rsidRDefault="00575413" w:rsidP="0019505A">
            <w:pPr>
              <w:pStyle w:val="BodyText"/>
              <w:spacing w:after="0" w:line="240" w:lineRule="auto"/>
              <w:rPr>
                <w:rFonts w:ascii="Calibri" w:hAnsi="Calibri"/>
              </w:rPr>
            </w:pPr>
            <w:r w:rsidRPr="0019505A">
              <w:rPr>
                <w:rFonts w:ascii="Calibri" w:hAnsi="Calibri"/>
                <w:szCs w:val="22"/>
              </w:rPr>
              <w:t>Lending limits</w:t>
            </w:r>
          </w:p>
        </w:tc>
        <w:tc>
          <w:tcPr>
            <w:tcW w:w="3240" w:type="dxa"/>
          </w:tcPr>
          <w:p w:rsidR="00575413" w:rsidRPr="0019505A" w:rsidRDefault="00575413" w:rsidP="0019505A">
            <w:pPr>
              <w:pStyle w:val="BodyText"/>
              <w:spacing w:after="0" w:line="240" w:lineRule="auto"/>
              <w:rPr>
                <w:rFonts w:ascii="Calibri" w:hAnsi="Calibri"/>
              </w:rPr>
            </w:pPr>
            <w:r w:rsidRPr="0019505A">
              <w:rPr>
                <w:rFonts w:ascii="Calibri" w:hAnsi="Calibri"/>
                <w:szCs w:val="22"/>
              </w:rPr>
              <w:t>No, or high, loan limits;</w:t>
            </w:r>
          </w:p>
        </w:tc>
        <w:tc>
          <w:tcPr>
            <w:tcW w:w="3060" w:type="dxa"/>
          </w:tcPr>
          <w:p w:rsidR="00575413" w:rsidRPr="0019505A" w:rsidRDefault="00575413" w:rsidP="0019505A">
            <w:pPr>
              <w:pStyle w:val="BodyText"/>
              <w:spacing w:after="0" w:line="240" w:lineRule="auto"/>
              <w:rPr>
                <w:rFonts w:ascii="Calibri" w:hAnsi="Calibri"/>
              </w:rPr>
            </w:pPr>
            <w:r w:rsidRPr="0019505A">
              <w:rPr>
                <w:rFonts w:ascii="Calibri" w:hAnsi="Calibri"/>
                <w:szCs w:val="22"/>
              </w:rPr>
              <w:t>Low loan limits;</w:t>
            </w:r>
          </w:p>
        </w:tc>
      </w:tr>
      <w:tr w:rsidR="00575413" w:rsidRPr="00122F59" w:rsidTr="0019505A">
        <w:trPr>
          <w:cantSplit/>
          <w:trHeight w:val="260"/>
        </w:trPr>
        <w:tc>
          <w:tcPr>
            <w:tcW w:w="2160" w:type="dxa"/>
            <w:vMerge/>
            <w:shd w:val="clear" w:color="auto" w:fill="E6E6E6"/>
            <w:vAlign w:val="center"/>
          </w:tcPr>
          <w:p w:rsidR="00575413" w:rsidRPr="0019505A" w:rsidRDefault="00575413" w:rsidP="0019505A">
            <w:pPr>
              <w:pStyle w:val="BodyText"/>
              <w:spacing w:after="0" w:line="240" w:lineRule="auto"/>
              <w:rPr>
                <w:rFonts w:ascii="Calibri" w:hAnsi="Calibri"/>
                <w:b/>
              </w:rPr>
            </w:pPr>
          </w:p>
        </w:tc>
        <w:tc>
          <w:tcPr>
            <w:tcW w:w="1800" w:type="dxa"/>
            <w:vMerge w:val="restart"/>
            <w:vAlign w:val="center"/>
          </w:tcPr>
          <w:p w:rsidR="00575413" w:rsidRPr="0019505A" w:rsidRDefault="00575413" w:rsidP="0064782B">
            <w:pPr>
              <w:pStyle w:val="BodyText"/>
              <w:rPr>
                <w:rFonts w:ascii="Calibri" w:hAnsi="Calibri"/>
              </w:rPr>
            </w:pPr>
            <w:r w:rsidRPr="0019505A">
              <w:rPr>
                <w:rFonts w:ascii="Calibri" w:hAnsi="Calibri"/>
                <w:szCs w:val="22"/>
              </w:rPr>
              <w:t>Repayment arrangements</w:t>
            </w:r>
          </w:p>
        </w:tc>
        <w:tc>
          <w:tcPr>
            <w:tcW w:w="3240" w:type="dxa"/>
            <w:vAlign w:val="center"/>
          </w:tcPr>
          <w:p w:rsidR="00575413" w:rsidRPr="0019505A" w:rsidRDefault="00575413" w:rsidP="0019505A">
            <w:pPr>
              <w:pStyle w:val="BodyText"/>
              <w:spacing w:after="0" w:line="240" w:lineRule="auto"/>
              <w:rPr>
                <w:rFonts w:ascii="Calibri" w:hAnsi="Calibri"/>
              </w:rPr>
            </w:pPr>
            <w:r w:rsidRPr="0019505A">
              <w:rPr>
                <w:rFonts w:ascii="Calibri" w:hAnsi="Calibri"/>
                <w:szCs w:val="22"/>
              </w:rPr>
              <w:t>Uncharacteristic transactions which are not in keeping with a customer’s known activities. For example, changes in the loan arrangements such as speeding up  an agreed repayment schedule, either by lump sum repayments, or early termination without commercial rationale;</w:t>
            </w:r>
          </w:p>
        </w:tc>
        <w:tc>
          <w:tcPr>
            <w:tcW w:w="3060" w:type="dxa"/>
            <w:vAlign w:val="center"/>
          </w:tcPr>
          <w:p w:rsidR="00575413" w:rsidRPr="00DD1F51" w:rsidRDefault="00575413" w:rsidP="0019505A">
            <w:pPr>
              <w:pStyle w:val="BodyText"/>
              <w:spacing w:after="0" w:line="240" w:lineRule="auto"/>
            </w:pPr>
          </w:p>
        </w:tc>
      </w:tr>
      <w:tr w:rsidR="00575413" w:rsidRPr="00122F59" w:rsidTr="0019505A">
        <w:trPr>
          <w:cantSplit/>
          <w:trHeight w:val="260"/>
        </w:trPr>
        <w:tc>
          <w:tcPr>
            <w:tcW w:w="2160" w:type="dxa"/>
            <w:vMerge/>
            <w:shd w:val="clear" w:color="auto" w:fill="E6E6E6"/>
            <w:vAlign w:val="center"/>
          </w:tcPr>
          <w:p w:rsidR="00575413" w:rsidRPr="0019505A" w:rsidRDefault="00575413" w:rsidP="0019505A">
            <w:pPr>
              <w:pStyle w:val="BodyText"/>
              <w:spacing w:after="0" w:line="240" w:lineRule="auto"/>
              <w:rPr>
                <w:rFonts w:ascii="Calibri" w:hAnsi="Calibri"/>
                <w:b/>
              </w:rPr>
            </w:pPr>
          </w:p>
        </w:tc>
        <w:tc>
          <w:tcPr>
            <w:tcW w:w="1800" w:type="dxa"/>
            <w:vMerge/>
            <w:vAlign w:val="center"/>
          </w:tcPr>
          <w:p w:rsidR="00575413" w:rsidRPr="0019505A" w:rsidRDefault="00575413" w:rsidP="0064782B">
            <w:pPr>
              <w:pStyle w:val="BodyText"/>
              <w:rPr>
                <w:rFonts w:ascii="Calibri" w:hAnsi="Calibri"/>
              </w:rPr>
            </w:pPr>
          </w:p>
        </w:tc>
        <w:tc>
          <w:tcPr>
            <w:tcW w:w="3240" w:type="dxa"/>
            <w:vAlign w:val="center"/>
          </w:tcPr>
          <w:p w:rsidR="00575413" w:rsidRPr="0019505A" w:rsidRDefault="00575413" w:rsidP="0019505A">
            <w:pPr>
              <w:pStyle w:val="BodyText"/>
              <w:spacing w:after="0" w:line="240" w:lineRule="auto"/>
              <w:rPr>
                <w:rFonts w:ascii="Calibri" w:hAnsi="Calibri"/>
              </w:rPr>
            </w:pPr>
            <w:r w:rsidRPr="0019505A">
              <w:rPr>
                <w:rFonts w:ascii="Calibri" w:hAnsi="Calibri"/>
                <w:szCs w:val="22"/>
              </w:rPr>
              <w:t>Loan repayments made in cash;</w:t>
            </w:r>
          </w:p>
        </w:tc>
        <w:tc>
          <w:tcPr>
            <w:tcW w:w="3060" w:type="dxa"/>
            <w:vAlign w:val="center"/>
          </w:tcPr>
          <w:p w:rsidR="00575413" w:rsidRPr="00DD1F51" w:rsidRDefault="00575413" w:rsidP="0019505A">
            <w:pPr>
              <w:pStyle w:val="BodyText"/>
              <w:spacing w:after="0" w:line="240" w:lineRule="auto"/>
            </w:pPr>
          </w:p>
        </w:tc>
      </w:tr>
      <w:tr w:rsidR="00575413" w:rsidRPr="00122F59" w:rsidTr="0019505A">
        <w:trPr>
          <w:cantSplit/>
          <w:trHeight w:val="537"/>
        </w:trPr>
        <w:tc>
          <w:tcPr>
            <w:tcW w:w="2160" w:type="dxa"/>
            <w:vMerge/>
            <w:shd w:val="clear" w:color="auto" w:fill="E6E6E6"/>
            <w:vAlign w:val="center"/>
          </w:tcPr>
          <w:p w:rsidR="00575413" w:rsidRPr="0019505A" w:rsidRDefault="00575413" w:rsidP="0019505A">
            <w:pPr>
              <w:pStyle w:val="BodyText"/>
              <w:spacing w:after="0" w:line="240" w:lineRule="auto"/>
              <w:rPr>
                <w:rFonts w:ascii="Calibri" w:hAnsi="Calibri"/>
                <w:b/>
              </w:rPr>
            </w:pPr>
          </w:p>
        </w:tc>
        <w:tc>
          <w:tcPr>
            <w:tcW w:w="1800" w:type="dxa"/>
            <w:vMerge/>
            <w:vAlign w:val="center"/>
          </w:tcPr>
          <w:p w:rsidR="00575413" w:rsidRPr="0019505A" w:rsidRDefault="00575413" w:rsidP="0019505A">
            <w:pPr>
              <w:pStyle w:val="BodyText"/>
              <w:spacing w:after="0" w:line="240" w:lineRule="auto"/>
              <w:rPr>
                <w:rFonts w:ascii="Calibri" w:hAnsi="Calibri"/>
              </w:rPr>
            </w:pPr>
          </w:p>
        </w:tc>
        <w:tc>
          <w:tcPr>
            <w:tcW w:w="3240" w:type="dxa"/>
            <w:vAlign w:val="center"/>
          </w:tcPr>
          <w:p w:rsidR="00575413" w:rsidRPr="0019505A" w:rsidRDefault="00575413" w:rsidP="0019505A">
            <w:pPr>
              <w:pStyle w:val="BodyText"/>
              <w:spacing w:after="0" w:line="240" w:lineRule="auto"/>
              <w:rPr>
                <w:rFonts w:ascii="Calibri" w:hAnsi="Calibri"/>
              </w:rPr>
            </w:pPr>
            <w:r w:rsidRPr="0019505A">
              <w:rPr>
                <w:rFonts w:ascii="Calibri" w:hAnsi="Calibri"/>
                <w:szCs w:val="22"/>
              </w:rPr>
              <w:t>Source of funds for large cash payments unclear;</w:t>
            </w:r>
          </w:p>
        </w:tc>
        <w:tc>
          <w:tcPr>
            <w:tcW w:w="3060" w:type="dxa"/>
            <w:vAlign w:val="center"/>
          </w:tcPr>
          <w:p w:rsidR="00575413" w:rsidRPr="00DD1F51" w:rsidRDefault="00575413" w:rsidP="0019505A">
            <w:pPr>
              <w:pStyle w:val="BodyText"/>
              <w:spacing w:after="0" w:line="240" w:lineRule="auto"/>
            </w:pPr>
          </w:p>
        </w:tc>
      </w:tr>
      <w:tr w:rsidR="00575413" w:rsidRPr="00122F59" w:rsidTr="0019505A">
        <w:trPr>
          <w:cantSplit/>
          <w:trHeight w:val="563"/>
        </w:trPr>
        <w:tc>
          <w:tcPr>
            <w:tcW w:w="2160" w:type="dxa"/>
            <w:vMerge/>
            <w:shd w:val="clear" w:color="auto" w:fill="E6E6E6"/>
            <w:vAlign w:val="center"/>
          </w:tcPr>
          <w:p w:rsidR="00575413" w:rsidRPr="0019505A" w:rsidRDefault="00575413" w:rsidP="0019505A">
            <w:pPr>
              <w:pStyle w:val="BodyText"/>
              <w:spacing w:after="0" w:line="240" w:lineRule="auto"/>
              <w:rPr>
                <w:rFonts w:ascii="Calibri" w:hAnsi="Calibri"/>
                <w:b/>
              </w:rPr>
            </w:pPr>
          </w:p>
        </w:tc>
        <w:tc>
          <w:tcPr>
            <w:tcW w:w="1800" w:type="dxa"/>
            <w:vMerge/>
            <w:vAlign w:val="center"/>
          </w:tcPr>
          <w:p w:rsidR="00575413" w:rsidRPr="0019505A" w:rsidRDefault="00575413" w:rsidP="0019505A">
            <w:pPr>
              <w:pStyle w:val="BodyText"/>
              <w:spacing w:after="0" w:line="240" w:lineRule="auto"/>
              <w:rPr>
                <w:rFonts w:ascii="Calibri" w:hAnsi="Calibri"/>
              </w:rPr>
            </w:pPr>
          </w:p>
        </w:tc>
        <w:tc>
          <w:tcPr>
            <w:tcW w:w="3240" w:type="dxa"/>
          </w:tcPr>
          <w:p w:rsidR="00575413" w:rsidRPr="0019505A" w:rsidRDefault="00575413" w:rsidP="0019505A">
            <w:pPr>
              <w:pStyle w:val="BodyText"/>
              <w:spacing w:after="0" w:line="240" w:lineRule="auto"/>
              <w:rPr>
                <w:rFonts w:ascii="Calibri" w:hAnsi="Calibri"/>
              </w:rPr>
            </w:pPr>
            <w:r w:rsidRPr="0019505A">
              <w:rPr>
                <w:rFonts w:ascii="Calibri" w:hAnsi="Calibri"/>
                <w:szCs w:val="22"/>
              </w:rPr>
              <w:t xml:space="preserve">Repayment not from the customer’s country; </w:t>
            </w:r>
          </w:p>
        </w:tc>
        <w:tc>
          <w:tcPr>
            <w:tcW w:w="3060" w:type="dxa"/>
            <w:vAlign w:val="center"/>
          </w:tcPr>
          <w:p w:rsidR="00575413" w:rsidRPr="00DD1F51" w:rsidRDefault="00575413" w:rsidP="0019505A">
            <w:pPr>
              <w:pStyle w:val="BodyText"/>
              <w:spacing w:after="0" w:line="240" w:lineRule="auto"/>
            </w:pPr>
          </w:p>
        </w:tc>
      </w:tr>
      <w:tr w:rsidR="00575413" w:rsidRPr="00122F59" w:rsidTr="0019505A">
        <w:trPr>
          <w:cantSplit/>
          <w:trHeight w:val="351"/>
        </w:trPr>
        <w:tc>
          <w:tcPr>
            <w:tcW w:w="2160" w:type="dxa"/>
            <w:vMerge/>
            <w:shd w:val="clear" w:color="auto" w:fill="E6E6E6"/>
            <w:vAlign w:val="center"/>
          </w:tcPr>
          <w:p w:rsidR="00575413" w:rsidRPr="0019505A" w:rsidRDefault="00575413" w:rsidP="0019505A">
            <w:pPr>
              <w:pStyle w:val="BodyText"/>
              <w:spacing w:after="0" w:line="240" w:lineRule="auto"/>
              <w:rPr>
                <w:rFonts w:ascii="Calibri" w:hAnsi="Calibri"/>
                <w:b/>
              </w:rPr>
            </w:pPr>
          </w:p>
        </w:tc>
        <w:tc>
          <w:tcPr>
            <w:tcW w:w="1800" w:type="dxa"/>
            <w:vMerge/>
            <w:vAlign w:val="center"/>
          </w:tcPr>
          <w:p w:rsidR="00575413" w:rsidRPr="0019505A" w:rsidRDefault="00575413" w:rsidP="0019505A">
            <w:pPr>
              <w:pStyle w:val="BodyText"/>
              <w:spacing w:after="0" w:line="240" w:lineRule="auto"/>
              <w:rPr>
                <w:rFonts w:ascii="Calibri" w:hAnsi="Calibri"/>
              </w:rPr>
            </w:pPr>
          </w:p>
        </w:tc>
        <w:tc>
          <w:tcPr>
            <w:tcW w:w="3240" w:type="dxa"/>
          </w:tcPr>
          <w:p w:rsidR="00575413" w:rsidRPr="0019505A" w:rsidRDefault="00575413" w:rsidP="0019505A">
            <w:pPr>
              <w:pStyle w:val="BodyText"/>
              <w:spacing w:after="0" w:line="240" w:lineRule="auto"/>
              <w:rPr>
                <w:rFonts w:ascii="Calibri" w:hAnsi="Calibri"/>
              </w:rPr>
            </w:pPr>
            <w:r w:rsidRPr="0019505A">
              <w:rPr>
                <w:rFonts w:ascii="Calibri" w:hAnsi="Calibri"/>
                <w:szCs w:val="22"/>
              </w:rPr>
              <w:t>Repayment through a third party;</w:t>
            </w:r>
          </w:p>
        </w:tc>
        <w:tc>
          <w:tcPr>
            <w:tcW w:w="3060" w:type="dxa"/>
            <w:vAlign w:val="center"/>
          </w:tcPr>
          <w:p w:rsidR="00575413" w:rsidRPr="00DD1F51" w:rsidRDefault="00575413" w:rsidP="0019505A">
            <w:pPr>
              <w:pStyle w:val="BodyText"/>
              <w:spacing w:after="0" w:line="240" w:lineRule="auto"/>
            </w:pPr>
          </w:p>
        </w:tc>
      </w:tr>
      <w:tr w:rsidR="00575413" w:rsidRPr="00122F59" w:rsidTr="0019505A">
        <w:trPr>
          <w:cantSplit/>
          <w:trHeight w:val="135"/>
        </w:trPr>
        <w:tc>
          <w:tcPr>
            <w:tcW w:w="3960" w:type="dxa"/>
            <w:gridSpan w:val="2"/>
            <w:vMerge w:val="restart"/>
            <w:shd w:val="clear" w:color="auto" w:fill="E6E6E6"/>
            <w:vAlign w:val="center"/>
          </w:tcPr>
          <w:p w:rsidR="00575413" w:rsidRPr="0019505A" w:rsidRDefault="00575413" w:rsidP="0019505A">
            <w:pPr>
              <w:pStyle w:val="BodyText"/>
              <w:spacing w:after="0" w:line="240" w:lineRule="auto"/>
              <w:rPr>
                <w:rFonts w:ascii="Calibri" w:hAnsi="Calibri"/>
              </w:rPr>
            </w:pPr>
            <w:r w:rsidRPr="0019505A">
              <w:rPr>
                <w:rFonts w:ascii="Calibri" w:hAnsi="Calibri"/>
                <w:b/>
                <w:szCs w:val="22"/>
              </w:rPr>
              <w:t>Customers dealt with</w:t>
            </w:r>
          </w:p>
        </w:tc>
        <w:tc>
          <w:tcPr>
            <w:tcW w:w="3240" w:type="dxa"/>
          </w:tcPr>
          <w:p w:rsidR="00575413" w:rsidRPr="0019505A" w:rsidRDefault="00575413" w:rsidP="0019505A">
            <w:pPr>
              <w:pStyle w:val="BodyText"/>
              <w:spacing w:after="0" w:line="240" w:lineRule="auto"/>
              <w:rPr>
                <w:rFonts w:ascii="Calibri" w:hAnsi="Calibri"/>
              </w:rPr>
            </w:pPr>
            <w:r w:rsidRPr="0019505A">
              <w:rPr>
                <w:rFonts w:ascii="Calibri" w:hAnsi="Calibri"/>
                <w:szCs w:val="22"/>
              </w:rPr>
              <w:t>International customer base;</w:t>
            </w:r>
          </w:p>
        </w:tc>
        <w:tc>
          <w:tcPr>
            <w:tcW w:w="3060" w:type="dxa"/>
          </w:tcPr>
          <w:p w:rsidR="00575413" w:rsidRPr="0019505A" w:rsidRDefault="00575413" w:rsidP="0019505A">
            <w:pPr>
              <w:pStyle w:val="BodyText"/>
              <w:spacing w:after="0" w:line="240" w:lineRule="auto"/>
              <w:rPr>
                <w:rFonts w:ascii="Calibri" w:hAnsi="Calibri"/>
              </w:rPr>
            </w:pPr>
            <w:r w:rsidRPr="0019505A">
              <w:rPr>
                <w:rFonts w:ascii="Calibri" w:hAnsi="Calibri"/>
                <w:szCs w:val="22"/>
              </w:rPr>
              <w:t>Domestic customer base;</w:t>
            </w:r>
          </w:p>
        </w:tc>
      </w:tr>
      <w:tr w:rsidR="00575413" w:rsidRPr="00122F59" w:rsidTr="0019505A">
        <w:trPr>
          <w:cantSplit/>
          <w:trHeight w:val="135"/>
        </w:trPr>
        <w:tc>
          <w:tcPr>
            <w:tcW w:w="3960" w:type="dxa"/>
            <w:gridSpan w:val="2"/>
            <w:vMerge/>
            <w:shd w:val="clear" w:color="auto" w:fill="E6E6E6"/>
            <w:vAlign w:val="center"/>
          </w:tcPr>
          <w:p w:rsidR="00575413" w:rsidRPr="0019505A" w:rsidRDefault="00575413" w:rsidP="0019505A">
            <w:pPr>
              <w:pStyle w:val="BodyText"/>
              <w:spacing w:after="0" w:line="240" w:lineRule="auto"/>
              <w:rPr>
                <w:rFonts w:ascii="Calibri" w:hAnsi="Calibri"/>
                <w:b/>
              </w:rPr>
            </w:pPr>
          </w:p>
        </w:tc>
        <w:tc>
          <w:tcPr>
            <w:tcW w:w="3240" w:type="dxa"/>
          </w:tcPr>
          <w:p w:rsidR="00575413" w:rsidRPr="0019505A" w:rsidRDefault="00575413" w:rsidP="0019505A">
            <w:pPr>
              <w:pStyle w:val="BodyText"/>
              <w:spacing w:after="0" w:line="240" w:lineRule="auto"/>
              <w:rPr>
                <w:rFonts w:ascii="Calibri" w:hAnsi="Calibri"/>
              </w:rPr>
            </w:pPr>
            <w:r w:rsidRPr="0019505A">
              <w:rPr>
                <w:rFonts w:ascii="Calibri" w:hAnsi="Calibri"/>
                <w:szCs w:val="22"/>
              </w:rPr>
              <w:t>Customers based in, or conducting business in or through, a high-risk country, or a country with known levels of corruption, organised crime,  drug production or distribution;</w:t>
            </w:r>
          </w:p>
        </w:tc>
        <w:tc>
          <w:tcPr>
            <w:tcW w:w="3060" w:type="dxa"/>
          </w:tcPr>
          <w:p w:rsidR="00575413" w:rsidRPr="0019505A" w:rsidRDefault="00575413" w:rsidP="0019505A">
            <w:pPr>
              <w:pStyle w:val="BodyText"/>
              <w:spacing w:after="0" w:line="240" w:lineRule="auto"/>
              <w:rPr>
                <w:rFonts w:ascii="Calibri" w:hAnsi="Calibri"/>
              </w:rPr>
            </w:pPr>
          </w:p>
        </w:tc>
      </w:tr>
      <w:tr w:rsidR="00575413" w:rsidRPr="00122F59" w:rsidTr="0019505A">
        <w:trPr>
          <w:cantSplit/>
          <w:trHeight w:val="564"/>
        </w:trPr>
        <w:tc>
          <w:tcPr>
            <w:tcW w:w="3960" w:type="dxa"/>
            <w:gridSpan w:val="2"/>
            <w:vMerge w:val="restart"/>
            <w:shd w:val="clear" w:color="auto" w:fill="E6E6E6"/>
            <w:vAlign w:val="center"/>
          </w:tcPr>
          <w:p w:rsidR="00575413" w:rsidRPr="0019505A" w:rsidRDefault="00575413" w:rsidP="0019505A">
            <w:pPr>
              <w:pStyle w:val="BodyText"/>
              <w:spacing w:after="0" w:line="240" w:lineRule="auto"/>
              <w:rPr>
                <w:rFonts w:ascii="Calibri" w:hAnsi="Calibri"/>
              </w:rPr>
            </w:pPr>
            <w:r w:rsidRPr="0019505A">
              <w:rPr>
                <w:rFonts w:ascii="Calibri" w:hAnsi="Calibri"/>
                <w:b/>
                <w:szCs w:val="22"/>
              </w:rPr>
              <w:t>Methods by which lending services are delivered to customers</w:t>
            </w:r>
          </w:p>
        </w:tc>
        <w:tc>
          <w:tcPr>
            <w:tcW w:w="3240" w:type="dxa"/>
          </w:tcPr>
          <w:p w:rsidR="00575413" w:rsidRPr="0019505A" w:rsidRDefault="00575413" w:rsidP="0019505A">
            <w:pPr>
              <w:pStyle w:val="BodyText"/>
              <w:spacing w:after="0" w:line="240" w:lineRule="auto"/>
              <w:rPr>
                <w:rFonts w:ascii="Calibri" w:hAnsi="Calibri"/>
              </w:rPr>
            </w:pPr>
            <w:r w:rsidRPr="0019505A">
              <w:rPr>
                <w:rFonts w:ascii="Calibri" w:hAnsi="Calibri"/>
                <w:szCs w:val="22"/>
              </w:rPr>
              <w:t>Applications accepted by non face-to-face methods, for example. on-line and phone applications ;</w:t>
            </w:r>
          </w:p>
        </w:tc>
        <w:tc>
          <w:tcPr>
            <w:tcW w:w="3060" w:type="dxa"/>
          </w:tcPr>
          <w:p w:rsidR="00575413" w:rsidRPr="0019505A" w:rsidRDefault="00575413" w:rsidP="0019505A">
            <w:pPr>
              <w:pStyle w:val="BodyText"/>
              <w:spacing w:after="0" w:line="240" w:lineRule="auto"/>
              <w:rPr>
                <w:rFonts w:ascii="Calibri" w:hAnsi="Calibri"/>
              </w:rPr>
            </w:pPr>
            <w:r>
              <w:rPr>
                <w:rFonts w:ascii="Calibri" w:hAnsi="Calibri"/>
                <w:szCs w:val="22"/>
              </w:rPr>
              <w:t>Transactions carried out f</w:t>
            </w:r>
            <w:r w:rsidRPr="0019505A">
              <w:rPr>
                <w:rFonts w:ascii="Calibri" w:hAnsi="Calibri"/>
                <w:szCs w:val="22"/>
              </w:rPr>
              <w:t>ace-to-face;</w:t>
            </w:r>
          </w:p>
        </w:tc>
      </w:tr>
      <w:tr w:rsidR="00575413" w:rsidRPr="00122F59" w:rsidTr="0019505A">
        <w:trPr>
          <w:cantSplit/>
          <w:trHeight w:val="79"/>
        </w:trPr>
        <w:tc>
          <w:tcPr>
            <w:tcW w:w="3960" w:type="dxa"/>
            <w:gridSpan w:val="2"/>
            <w:vMerge/>
            <w:shd w:val="clear" w:color="auto" w:fill="E6E6E6"/>
            <w:vAlign w:val="center"/>
          </w:tcPr>
          <w:p w:rsidR="00575413" w:rsidRPr="0019505A" w:rsidRDefault="00575413" w:rsidP="0019505A">
            <w:pPr>
              <w:pStyle w:val="BodyText"/>
              <w:spacing w:after="0" w:line="240" w:lineRule="auto"/>
              <w:rPr>
                <w:rFonts w:ascii="Calibri" w:hAnsi="Calibri"/>
                <w:b/>
              </w:rPr>
            </w:pPr>
          </w:p>
        </w:tc>
        <w:tc>
          <w:tcPr>
            <w:tcW w:w="3240" w:type="dxa"/>
            <w:vAlign w:val="center"/>
          </w:tcPr>
          <w:p w:rsidR="00575413" w:rsidRPr="0019505A" w:rsidRDefault="00575413" w:rsidP="0019505A">
            <w:pPr>
              <w:pStyle w:val="BodyText"/>
              <w:spacing w:after="0" w:line="240" w:lineRule="auto"/>
              <w:rPr>
                <w:rFonts w:ascii="Calibri" w:hAnsi="Calibri"/>
              </w:rPr>
            </w:pPr>
            <w:r w:rsidRPr="0019505A">
              <w:rPr>
                <w:rFonts w:ascii="Calibri" w:hAnsi="Calibri"/>
                <w:szCs w:val="22"/>
              </w:rPr>
              <w:t>Online peer-to-peer (p2p) lending, where individual lenders provide loans direct to individual borrowers without using  an institution;</w:t>
            </w:r>
          </w:p>
        </w:tc>
        <w:tc>
          <w:tcPr>
            <w:tcW w:w="3060" w:type="dxa"/>
            <w:vAlign w:val="center"/>
          </w:tcPr>
          <w:p w:rsidR="00575413" w:rsidRPr="0019505A" w:rsidRDefault="00575413" w:rsidP="0019505A">
            <w:pPr>
              <w:pStyle w:val="BodyText"/>
              <w:spacing w:after="0" w:line="240" w:lineRule="auto"/>
              <w:rPr>
                <w:rFonts w:ascii="Calibri" w:hAnsi="Calibri"/>
              </w:rPr>
            </w:pPr>
          </w:p>
        </w:tc>
      </w:tr>
      <w:tr w:rsidR="00575413" w:rsidRPr="00122F59" w:rsidTr="0019505A">
        <w:trPr>
          <w:cantSplit/>
          <w:trHeight w:val="79"/>
        </w:trPr>
        <w:tc>
          <w:tcPr>
            <w:tcW w:w="3960" w:type="dxa"/>
            <w:gridSpan w:val="2"/>
            <w:vMerge/>
            <w:tcBorders>
              <w:bottom w:val="single" w:sz="4" w:space="0" w:color="auto"/>
            </w:tcBorders>
            <w:shd w:val="clear" w:color="auto" w:fill="E6E6E6"/>
            <w:vAlign w:val="center"/>
          </w:tcPr>
          <w:p w:rsidR="00575413" w:rsidRPr="0019505A" w:rsidRDefault="00575413" w:rsidP="0019505A">
            <w:pPr>
              <w:pStyle w:val="BodyText"/>
              <w:spacing w:after="0" w:line="240" w:lineRule="auto"/>
              <w:rPr>
                <w:rFonts w:ascii="Calibri" w:hAnsi="Calibri"/>
                <w:b/>
              </w:rPr>
            </w:pPr>
          </w:p>
        </w:tc>
        <w:tc>
          <w:tcPr>
            <w:tcW w:w="3240" w:type="dxa"/>
            <w:tcBorders>
              <w:bottom w:val="single" w:sz="4" w:space="0" w:color="auto"/>
            </w:tcBorders>
          </w:tcPr>
          <w:p w:rsidR="00575413" w:rsidRPr="0019505A" w:rsidRDefault="00575413" w:rsidP="0019505A">
            <w:pPr>
              <w:pStyle w:val="BodyText"/>
              <w:spacing w:after="0" w:line="240" w:lineRule="auto"/>
              <w:rPr>
                <w:rFonts w:ascii="Calibri" w:hAnsi="Calibri"/>
              </w:rPr>
            </w:pPr>
            <w:r w:rsidRPr="0019505A">
              <w:rPr>
                <w:rFonts w:ascii="Calibri" w:hAnsi="Calibri"/>
                <w:szCs w:val="22"/>
              </w:rPr>
              <w:t>Agency channel (for example  using agents or brokers);</w:t>
            </w:r>
          </w:p>
        </w:tc>
        <w:tc>
          <w:tcPr>
            <w:tcW w:w="3060" w:type="dxa"/>
            <w:tcBorders>
              <w:bottom w:val="single" w:sz="4" w:space="0" w:color="auto"/>
            </w:tcBorders>
          </w:tcPr>
          <w:p w:rsidR="00575413" w:rsidRPr="0019505A" w:rsidRDefault="00575413" w:rsidP="0019505A">
            <w:pPr>
              <w:pStyle w:val="BodyText"/>
              <w:spacing w:after="0" w:line="240" w:lineRule="auto"/>
              <w:rPr>
                <w:rFonts w:ascii="Calibri" w:hAnsi="Calibri"/>
              </w:rPr>
            </w:pPr>
            <w:r w:rsidRPr="0019505A">
              <w:rPr>
                <w:rFonts w:ascii="Calibri" w:hAnsi="Calibri"/>
                <w:szCs w:val="22"/>
              </w:rPr>
              <w:t>Whole transaction carried out by one service provider;</w:t>
            </w:r>
          </w:p>
        </w:tc>
      </w:tr>
    </w:tbl>
    <w:p w:rsidR="00575413" w:rsidRPr="00122F59" w:rsidRDefault="00575413" w:rsidP="0064782B">
      <w:pPr>
        <w:pStyle w:val="BodyText"/>
        <w:spacing w:after="0" w:line="240" w:lineRule="auto"/>
        <w:rPr>
          <w:rFonts w:ascii="Calibri" w:hAnsi="Calibri"/>
          <w:szCs w:val="22"/>
        </w:rPr>
      </w:pPr>
    </w:p>
    <w:sectPr w:rsidR="00575413" w:rsidRPr="00122F59" w:rsidSect="00F13531">
      <w:footerReference w:type="even" r:id="rId8"/>
      <w:footerReference w:type="default" r:id="rId9"/>
      <w:footerReference w:type="first" r:id="rId10"/>
      <w:pgSz w:w="11907" w:h="16840" w:code="9"/>
      <w:pgMar w:top="851"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413" w:rsidRDefault="00575413">
      <w:r>
        <w:separator/>
      </w:r>
    </w:p>
  </w:endnote>
  <w:endnote w:type="continuationSeparator" w:id="0">
    <w:p w:rsidR="00575413" w:rsidRDefault="00575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ecilia Roman">
    <w:altName w:val="Caecilia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13" w:rsidRDefault="00575413" w:rsidP="009E2F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413" w:rsidRDefault="00575413" w:rsidP="00206B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13" w:rsidRDefault="00575413" w:rsidP="009E2F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75413" w:rsidRPr="006F110B" w:rsidRDefault="00575413" w:rsidP="009E2F5C">
    <w:pPr>
      <w:jc w:val="right"/>
      <w:rPr>
        <w:rFonts w:ascii="Calibri" w:hAnsi="Calibri"/>
        <w:i/>
        <w:sz w:val="18"/>
        <w:szCs w:val="18"/>
      </w:rPr>
    </w:pPr>
    <w:r w:rsidRPr="006F110B">
      <w:rPr>
        <w:rFonts w:ascii="Calibri" w:hAnsi="Calibri"/>
        <w:i/>
        <w:sz w:val="18"/>
        <w:szCs w:val="18"/>
      </w:rPr>
      <w:t>Department of Internal Affairs Te Tari Taiwhenua</w:t>
    </w:r>
  </w:p>
  <w:p w:rsidR="00575413" w:rsidRPr="009E2F5C" w:rsidRDefault="00575413" w:rsidP="009E2F5C">
    <w:pPr>
      <w:pStyle w:val="Footer"/>
      <w:jc w:val="right"/>
      <w:rPr>
        <w:rFonts w:ascii="Calibri" w:hAnsi="Calibri"/>
        <w:i/>
      </w:rPr>
    </w:pPr>
    <w:r w:rsidRPr="006F110B">
      <w:rPr>
        <w:rFonts w:ascii="Calibri" w:hAnsi="Calibri"/>
        <w:i/>
      </w:rPr>
      <w:t>April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13" w:rsidRPr="006F110B" w:rsidRDefault="00575413" w:rsidP="009E2F5C">
    <w:pPr>
      <w:jc w:val="right"/>
      <w:rPr>
        <w:rFonts w:ascii="Calibri" w:hAnsi="Calibri"/>
        <w:i/>
        <w:sz w:val="18"/>
        <w:szCs w:val="18"/>
      </w:rPr>
    </w:pPr>
    <w:r w:rsidRPr="006F110B">
      <w:rPr>
        <w:rFonts w:ascii="Calibri" w:hAnsi="Calibri"/>
        <w:i/>
        <w:sz w:val="18"/>
        <w:szCs w:val="18"/>
      </w:rPr>
      <w:t>Department of Internal Affairs Te Tari Taiwhenua</w:t>
    </w:r>
  </w:p>
  <w:p w:rsidR="00575413" w:rsidRPr="009E2F5C" w:rsidRDefault="00575413" w:rsidP="009E2F5C">
    <w:pPr>
      <w:pStyle w:val="Footer"/>
      <w:jc w:val="right"/>
      <w:rPr>
        <w:rFonts w:ascii="Calibri" w:hAnsi="Calibri"/>
        <w:i/>
      </w:rPr>
    </w:pPr>
    <w:r w:rsidRPr="006F110B">
      <w:rPr>
        <w:rFonts w:ascii="Calibri" w:hAnsi="Calibri"/>
        <w:i/>
      </w:rPr>
      <w:t>April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413" w:rsidRDefault="00575413">
      <w:r>
        <w:separator/>
      </w:r>
    </w:p>
  </w:footnote>
  <w:footnote w:type="continuationSeparator" w:id="0">
    <w:p w:rsidR="00575413" w:rsidRDefault="00575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2F2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00E3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5A99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3222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0463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66EE60"/>
    <w:lvl w:ilvl="0">
      <w:start w:val="1"/>
      <w:numFmt w:val="bullet"/>
      <w:lvlText w:val=""/>
      <w:lvlJc w:val="left"/>
      <w:pPr>
        <w:tabs>
          <w:tab w:val="num" w:pos="360"/>
        </w:tabs>
        <w:ind w:left="360" w:hanging="360"/>
      </w:pPr>
      <w:rPr>
        <w:rFonts w:ascii="Symbol" w:hAnsi="Symbol" w:hint="default"/>
      </w:rPr>
    </w:lvl>
  </w:abstractNum>
  <w:abstractNum w:abstractNumId="10">
    <w:nsid w:val="048801E9"/>
    <w:multiLevelType w:val="multilevel"/>
    <w:tmpl w:val="FE2EC25C"/>
    <w:lvl w:ilvl="0">
      <w:start w:val="1"/>
      <w:numFmt w:val="decimal"/>
      <w:pStyle w:val="NumbersTableLevel1"/>
      <w:lvlText w:val="%1."/>
      <w:lvlJc w:val="left"/>
      <w:pPr>
        <w:tabs>
          <w:tab w:val="num" w:pos="369"/>
        </w:tabs>
        <w:ind w:left="369" w:hanging="369"/>
      </w:pPr>
      <w:rPr>
        <w:rFonts w:cs="Times New Roman" w:hint="default"/>
      </w:rPr>
    </w:lvl>
    <w:lvl w:ilvl="1">
      <w:start w:val="1"/>
      <w:numFmt w:val="lowerLetter"/>
      <w:pStyle w:val="NumbersTableLevel2"/>
      <w:lvlText w:val="(%2)"/>
      <w:lvlJc w:val="left"/>
      <w:pPr>
        <w:tabs>
          <w:tab w:val="num" w:pos="737"/>
        </w:tabs>
        <w:ind w:left="737" w:hanging="368"/>
      </w:pPr>
      <w:rPr>
        <w:rFonts w:cs="Times New Roman" w:hint="default"/>
      </w:rPr>
    </w:lvl>
    <w:lvl w:ilvl="2">
      <w:start w:val="1"/>
      <w:numFmt w:val="lowerRoman"/>
      <w:pStyle w:val="NumbersTableLevel3"/>
      <w:lvlText w:val="(%3)"/>
      <w:lvlJc w:val="left"/>
      <w:pPr>
        <w:tabs>
          <w:tab w:val="num" w:pos="1106"/>
        </w:tabs>
        <w:ind w:left="1106" w:hanging="369"/>
      </w:pPr>
      <w:rPr>
        <w:rFonts w:cs="Times New Roman" w:hint="default"/>
      </w:rPr>
    </w:lvl>
    <w:lvl w:ilvl="3">
      <w:start w:val="1"/>
      <w:numFmt w:val="none"/>
      <w:pStyle w:val="BodyTextTableLevel3"/>
      <w:isLgl/>
      <w:suff w:val="nothing"/>
      <w:lvlText w:val=""/>
      <w:lvlJc w:val="left"/>
      <w:pPr>
        <w:ind w:left="1106"/>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11">
    <w:nsid w:val="056778AE"/>
    <w:multiLevelType w:val="multilevel"/>
    <w:tmpl w:val="08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pPr>
      <w:rPr>
        <w:rFonts w:cs="Tunga" w:hint="default"/>
      </w:rPr>
    </w:lvl>
    <w:lvl w:ilvl="5">
      <w:start w:val="1"/>
      <w:numFmt w:val="none"/>
      <w:lvlText w:val=""/>
      <w:lvlJc w:val="left"/>
      <w:pPr>
        <w:tabs>
          <w:tab w:val="num" w:pos="0"/>
        </w:tabs>
      </w:pPr>
      <w:rPr>
        <w:rFonts w:cs="Tunga" w:hint="default"/>
      </w:rPr>
    </w:lvl>
    <w:lvl w:ilvl="6">
      <w:start w:val="1"/>
      <w:numFmt w:val="none"/>
      <w:lvlText w:val=""/>
      <w:lvlJc w:val="left"/>
      <w:pPr>
        <w:tabs>
          <w:tab w:val="num" w:pos="0"/>
        </w:tabs>
      </w:pPr>
      <w:rPr>
        <w:rFonts w:cs="Tunga" w:hint="default"/>
      </w:rPr>
    </w:lvl>
    <w:lvl w:ilvl="7">
      <w:start w:val="1"/>
      <w:numFmt w:val="none"/>
      <w:lvlText w:val=""/>
      <w:lvlJc w:val="left"/>
      <w:pPr>
        <w:tabs>
          <w:tab w:val="num" w:pos="0"/>
        </w:tabs>
      </w:pPr>
      <w:rPr>
        <w:rFonts w:cs="Tunga" w:hint="default"/>
      </w:rPr>
    </w:lvl>
    <w:lvl w:ilvl="8">
      <w:start w:val="1"/>
      <w:numFmt w:val="none"/>
      <w:lvlText w:val=""/>
      <w:lvlJc w:val="left"/>
      <w:pPr>
        <w:tabs>
          <w:tab w:val="num" w:pos="0"/>
        </w:tabs>
      </w:pPr>
      <w:rPr>
        <w:rFonts w:cs="Tunga" w:hint="default"/>
      </w:rPr>
    </w:lvl>
  </w:abstractNum>
  <w:abstractNum w:abstractNumId="13">
    <w:nsid w:val="2BCD0943"/>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2DAA16A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42206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30E502C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7A5AA8"/>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404D7CD4"/>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9">
    <w:nsid w:val="58D4778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EB6441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6DE824E7"/>
    <w:multiLevelType w:val="multilevel"/>
    <w:tmpl w:val="0380C358"/>
    <w:lvl w:ilvl="0">
      <w:numFmt w:val="none"/>
      <w:pStyle w:val="BodyTextTableLevel1"/>
      <w:suff w:val="nothing"/>
      <w:lvlText w:val=""/>
      <w:lvlJc w:val="left"/>
      <w:pPr>
        <w:ind w:left="425"/>
      </w:pPr>
      <w:rPr>
        <w:rFonts w:cs="Times New Roman" w:hint="default"/>
      </w:rPr>
    </w:lvl>
    <w:lvl w:ilvl="1">
      <w:start w:val="1"/>
      <w:numFmt w:val="none"/>
      <w:pStyle w:val="BodyTextTableLevel2"/>
      <w:suff w:val="nothing"/>
      <w:lvlText w:val="%2%1"/>
      <w:lvlJc w:val="left"/>
      <w:pPr>
        <w:ind w:left="709"/>
      </w:pPr>
      <w:rPr>
        <w:rFonts w:cs="Times New Roman" w:hint="default"/>
      </w:rPr>
    </w:lvl>
    <w:lvl w:ilvl="2">
      <w:start w:val="1"/>
      <w:numFmt w:val="none"/>
      <w:suff w:val="nothing"/>
      <w:lvlText w:val="%3%1"/>
      <w:lvlJc w:val="left"/>
      <w:pPr>
        <w:ind w:left="1134"/>
      </w:pPr>
      <w:rPr>
        <w:rFonts w:cs="Times New Roman" w:hint="default"/>
      </w:rPr>
    </w:lvl>
    <w:lvl w:ilvl="3">
      <w:start w:val="1"/>
      <w:numFmt w:val="none"/>
      <w:isLgl/>
      <w:lvlText w:val=""/>
      <w:lvlJc w:val="left"/>
      <w:pPr>
        <w:tabs>
          <w:tab w:val="num" w:pos="0"/>
        </w:tabs>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22">
    <w:nsid w:val="7D870AA5"/>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7DA33486"/>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E7B01A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7"/>
  </w:num>
  <w:num w:numId="42">
    <w:abstractNumId w:val="12"/>
  </w:num>
  <w:num w:numId="43">
    <w:abstractNumId w:val="10"/>
  </w:num>
  <w:num w:numId="44">
    <w:abstractNumId w:val="21"/>
  </w:num>
  <w:num w:numId="45">
    <w:abstractNumId w:val="20"/>
  </w:num>
  <w:num w:numId="46">
    <w:abstractNumId w:val="19"/>
  </w:num>
  <w:num w:numId="47">
    <w:abstractNumId w:val="17"/>
  </w:num>
  <w:num w:numId="48">
    <w:abstractNumId w:val="18"/>
  </w:num>
  <w:num w:numId="49">
    <w:abstractNumId w:val="15"/>
  </w:num>
  <w:num w:numId="50">
    <w:abstractNumId w:val="14"/>
  </w:num>
  <w:num w:numId="51">
    <w:abstractNumId w:val="11"/>
  </w:num>
  <w:num w:numId="52">
    <w:abstractNumId w:val="23"/>
  </w:num>
  <w:num w:numId="53">
    <w:abstractNumId w:val="13"/>
  </w:num>
  <w:num w:numId="54">
    <w:abstractNumId w:val="22"/>
  </w:num>
  <w:num w:numId="55">
    <w:abstractNumId w:val="24"/>
  </w:num>
  <w:num w:numId="56">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D04"/>
  <w:defaultTabStop w:val="56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F59"/>
    <w:rsid w:val="0000202C"/>
    <w:rsid w:val="00003360"/>
    <w:rsid w:val="00020010"/>
    <w:rsid w:val="00034673"/>
    <w:rsid w:val="00036B74"/>
    <w:rsid w:val="0004101B"/>
    <w:rsid w:val="00044EA1"/>
    <w:rsid w:val="00066F30"/>
    <w:rsid w:val="00077013"/>
    <w:rsid w:val="00081A12"/>
    <w:rsid w:val="00097DA9"/>
    <w:rsid w:val="000E677B"/>
    <w:rsid w:val="000F61AF"/>
    <w:rsid w:val="0010171C"/>
    <w:rsid w:val="00102FAD"/>
    <w:rsid w:val="00111A2A"/>
    <w:rsid w:val="00122F59"/>
    <w:rsid w:val="0019505A"/>
    <w:rsid w:val="001C0031"/>
    <w:rsid w:val="001D0111"/>
    <w:rsid w:val="001D1A74"/>
    <w:rsid w:val="001E6B3B"/>
    <w:rsid w:val="001F5290"/>
    <w:rsid w:val="00206BA3"/>
    <w:rsid w:val="00210D77"/>
    <w:rsid w:val="002137A8"/>
    <w:rsid w:val="00215160"/>
    <w:rsid w:val="002224B4"/>
    <w:rsid w:val="0023024D"/>
    <w:rsid w:val="00234448"/>
    <w:rsid w:val="00237A3D"/>
    <w:rsid w:val="00240307"/>
    <w:rsid w:val="00247B26"/>
    <w:rsid w:val="002502D1"/>
    <w:rsid w:val="00270EEC"/>
    <w:rsid w:val="002748F7"/>
    <w:rsid w:val="002806A2"/>
    <w:rsid w:val="00297CC7"/>
    <w:rsid w:val="002A4BD9"/>
    <w:rsid w:val="002A4FE7"/>
    <w:rsid w:val="00327B3B"/>
    <w:rsid w:val="00330820"/>
    <w:rsid w:val="00353D97"/>
    <w:rsid w:val="00355E4A"/>
    <w:rsid w:val="00370FC0"/>
    <w:rsid w:val="003A0AB8"/>
    <w:rsid w:val="003B2EC5"/>
    <w:rsid w:val="003B3A23"/>
    <w:rsid w:val="003F5886"/>
    <w:rsid w:val="0040700B"/>
    <w:rsid w:val="00407F54"/>
    <w:rsid w:val="00415CDB"/>
    <w:rsid w:val="0042551E"/>
    <w:rsid w:val="00430659"/>
    <w:rsid w:val="00455139"/>
    <w:rsid w:val="004552A0"/>
    <w:rsid w:val="00460A83"/>
    <w:rsid w:val="00472228"/>
    <w:rsid w:val="00477619"/>
    <w:rsid w:val="00486E6E"/>
    <w:rsid w:val="004878D2"/>
    <w:rsid w:val="004C1543"/>
    <w:rsid w:val="004D1706"/>
    <w:rsid w:val="004D243F"/>
    <w:rsid w:val="004D598F"/>
    <w:rsid w:val="004E46A3"/>
    <w:rsid w:val="00502BDD"/>
    <w:rsid w:val="005053F6"/>
    <w:rsid w:val="00513609"/>
    <w:rsid w:val="00517F47"/>
    <w:rsid w:val="0052216D"/>
    <w:rsid w:val="005225A2"/>
    <w:rsid w:val="00526115"/>
    <w:rsid w:val="005366B6"/>
    <w:rsid w:val="00570C00"/>
    <w:rsid w:val="00575413"/>
    <w:rsid w:val="0058206B"/>
    <w:rsid w:val="0059662F"/>
    <w:rsid w:val="00597125"/>
    <w:rsid w:val="005B7845"/>
    <w:rsid w:val="005C227D"/>
    <w:rsid w:val="005C2511"/>
    <w:rsid w:val="005E4C02"/>
    <w:rsid w:val="005F1105"/>
    <w:rsid w:val="00600CA4"/>
    <w:rsid w:val="00602416"/>
    <w:rsid w:val="006041F2"/>
    <w:rsid w:val="00621E84"/>
    <w:rsid w:val="006302C2"/>
    <w:rsid w:val="00630711"/>
    <w:rsid w:val="0064782B"/>
    <w:rsid w:val="00650446"/>
    <w:rsid w:val="00662716"/>
    <w:rsid w:val="00677B13"/>
    <w:rsid w:val="00677C79"/>
    <w:rsid w:val="00677F4E"/>
    <w:rsid w:val="00683287"/>
    <w:rsid w:val="006838E7"/>
    <w:rsid w:val="00685ECF"/>
    <w:rsid w:val="00687CEA"/>
    <w:rsid w:val="00695B75"/>
    <w:rsid w:val="006A2200"/>
    <w:rsid w:val="006B2943"/>
    <w:rsid w:val="006C125A"/>
    <w:rsid w:val="006C1417"/>
    <w:rsid w:val="006C4D1E"/>
    <w:rsid w:val="006D638F"/>
    <w:rsid w:val="006E7781"/>
    <w:rsid w:val="006F110B"/>
    <w:rsid w:val="007035FF"/>
    <w:rsid w:val="007068C8"/>
    <w:rsid w:val="00752B06"/>
    <w:rsid w:val="0075764B"/>
    <w:rsid w:val="0075774F"/>
    <w:rsid w:val="0075789F"/>
    <w:rsid w:val="00760C01"/>
    <w:rsid w:val="007662D9"/>
    <w:rsid w:val="00767C04"/>
    <w:rsid w:val="007A5DCB"/>
    <w:rsid w:val="007A6226"/>
    <w:rsid w:val="007C0BE8"/>
    <w:rsid w:val="007C2908"/>
    <w:rsid w:val="007C6EAF"/>
    <w:rsid w:val="007D1918"/>
    <w:rsid w:val="007D1C66"/>
    <w:rsid w:val="007F7854"/>
    <w:rsid w:val="00815E82"/>
    <w:rsid w:val="00843D71"/>
    <w:rsid w:val="00863C37"/>
    <w:rsid w:val="00870045"/>
    <w:rsid w:val="00880D51"/>
    <w:rsid w:val="008A1919"/>
    <w:rsid w:val="008A2F27"/>
    <w:rsid w:val="008B51C2"/>
    <w:rsid w:val="008B7364"/>
    <w:rsid w:val="008C3187"/>
    <w:rsid w:val="008D63B7"/>
    <w:rsid w:val="008E3F15"/>
    <w:rsid w:val="008E7FEE"/>
    <w:rsid w:val="008F219B"/>
    <w:rsid w:val="008F67F5"/>
    <w:rsid w:val="008F6BCE"/>
    <w:rsid w:val="00900D4B"/>
    <w:rsid w:val="00927482"/>
    <w:rsid w:val="009341FB"/>
    <w:rsid w:val="0095112B"/>
    <w:rsid w:val="00972A0A"/>
    <w:rsid w:val="009968B0"/>
    <w:rsid w:val="009B7D2E"/>
    <w:rsid w:val="009D350C"/>
    <w:rsid w:val="009E2F5C"/>
    <w:rsid w:val="00A04392"/>
    <w:rsid w:val="00A12F83"/>
    <w:rsid w:val="00A16003"/>
    <w:rsid w:val="00A24FBB"/>
    <w:rsid w:val="00A42ED2"/>
    <w:rsid w:val="00A449F6"/>
    <w:rsid w:val="00A50E00"/>
    <w:rsid w:val="00A52E3F"/>
    <w:rsid w:val="00A53624"/>
    <w:rsid w:val="00A906F9"/>
    <w:rsid w:val="00AB478B"/>
    <w:rsid w:val="00AB4AD9"/>
    <w:rsid w:val="00AC2D51"/>
    <w:rsid w:val="00AC63D8"/>
    <w:rsid w:val="00AD6E77"/>
    <w:rsid w:val="00AF5218"/>
    <w:rsid w:val="00B263AE"/>
    <w:rsid w:val="00B32CAA"/>
    <w:rsid w:val="00B47091"/>
    <w:rsid w:val="00B52202"/>
    <w:rsid w:val="00B5645A"/>
    <w:rsid w:val="00B65857"/>
    <w:rsid w:val="00B66698"/>
    <w:rsid w:val="00B812F6"/>
    <w:rsid w:val="00B84350"/>
    <w:rsid w:val="00B855A6"/>
    <w:rsid w:val="00B91098"/>
    <w:rsid w:val="00B92735"/>
    <w:rsid w:val="00BA12AB"/>
    <w:rsid w:val="00BA291A"/>
    <w:rsid w:val="00BB60C6"/>
    <w:rsid w:val="00BD137C"/>
    <w:rsid w:val="00BE0D0D"/>
    <w:rsid w:val="00BE48B7"/>
    <w:rsid w:val="00BE693A"/>
    <w:rsid w:val="00BE7EC9"/>
    <w:rsid w:val="00BF1D9B"/>
    <w:rsid w:val="00C03596"/>
    <w:rsid w:val="00C11731"/>
    <w:rsid w:val="00C238D9"/>
    <w:rsid w:val="00C24A9D"/>
    <w:rsid w:val="00C2677E"/>
    <w:rsid w:val="00C57819"/>
    <w:rsid w:val="00C60C02"/>
    <w:rsid w:val="00C762EB"/>
    <w:rsid w:val="00C80D62"/>
    <w:rsid w:val="00C8406C"/>
    <w:rsid w:val="00C96BFD"/>
    <w:rsid w:val="00CB52F0"/>
    <w:rsid w:val="00CD502A"/>
    <w:rsid w:val="00D228A8"/>
    <w:rsid w:val="00D242CD"/>
    <w:rsid w:val="00D341C3"/>
    <w:rsid w:val="00D42843"/>
    <w:rsid w:val="00D5152A"/>
    <w:rsid w:val="00D61FA8"/>
    <w:rsid w:val="00D65145"/>
    <w:rsid w:val="00D74314"/>
    <w:rsid w:val="00D96EB8"/>
    <w:rsid w:val="00DA5101"/>
    <w:rsid w:val="00DA79EF"/>
    <w:rsid w:val="00DB0C0B"/>
    <w:rsid w:val="00DB3B74"/>
    <w:rsid w:val="00DD0901"/>
    <w:rsid w:val="00DD1F51"/>
    <w:rsid w:val="00DD28A6"/>
    <w:rsid w:val="00DE16B6"/>
    <w:rsid w:val="00DE339C"/>
    <w:rsid w:val="00DE36CA"/>
    <w:rsid w:val="00DF2989"/>
    <w:rsid w:val="00DF60D9"/>
    <w:rsid w:val="00E11827"/>
    <w:rsid w:val="00E3041C"/>
    <w:rsid w:val="00E37E71"/>
    <w:rsid w:val="00E4152A"/>
    <w:rsid w:val="00E42847"/>
    <w:rsid w:val="00E62940"/>
    <w:rsid w:val="00E647B8"/>
    <w:rsid w:val="00E73AA8"/>
    <w:rsid w:val="00E80228"/>
    <w:rsid w:val="00EA2ED4"/>
    <w:rsid w:val="00EA491A"/>
    <w:rsid w:val="00ED4F31"/>
    <w:rsid w:val="00EF353D"/>
    <w:rsid w:val="00EF63C6"/>
    <w:rsid w:val="00F001BC"/>
    <w:rsid w:val="00F034FB"/>
    <w:rsid w:val="00F037AF"/>
    <w:rsid w:val="00F1075A"/>
    <w:rsid w:val="00F13531"/>
    <w:rsid w:val="00F15AEC"/>
    <w:rsid w:val="00F22E82"/>
    <w:rsid w:val="00F33D14"/>
    <w:rsid w:val="00F43835"/>
    <w:rsid w:val="00F473B6"/>
    <w:rsid w:val="00F53E06"/>
    <w:rsid w:val="00F54188"/>
    <w:rsid w:val="00F63BA2"/>
    <w:rsid w:val="00FA67D2"/>
    <w:rsid w:val="00FB5A92"/>
    <w:rsid w:val="00FE7A33"/>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79EF"/>
    <w:pPr>
      <w:spacing w:line="280" w:lineRule="atLeast"/>
    </w:pPr>
    <w:rPr>
      <w:rFonts w:ascii="Arial" w:hAnsi="Arial"/>
      <w:szCs w:val="24"/>
      <w:lang w:eastAsia="en-US"/>
    </w:rPr>
  </w:style>
  <w:style w:type="paragraph" w:styleId="Heading1">
    <w:name w:val="heading 1"/>
    <w:basedOn w:val="Normal"/>
    <w:next w:val="BodyText"/>
    <w:link w:val="Heading1Char"/>
    <w:uiPriority w:val="99"/>
    <w:qFormat/>
    <w:rsid w:val="00EA491A"/>
    <w:pPr>
      <w:keepNext/>
      <w:spacing w:before="240" w:after="60"/>
      <w:outlineLvl w:val="0"/>
    </w:pPr>
    <w:rPr>
      <w:rFonts w:cs="Arial"/>
      <w:b/>
      <w:bCs/>
      <w:kern w:val="32"/>
      <w:sz w:val="32"/>
      <w:szCs w:val="32"/>
    </w:rPr>
  </w:style>
  <w:style w:type="paragraph" w:styleId="Heading2">
    <w:name w:val="heading 2"/>
    <w:basedOn w:val="Normal"/>
    <w:next w:val="BodyText"/>
    <w:link w:val="Heading2Char"/>
    <w:uiPriority w:val="99"/>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uiPriority w:val="99"/>
    <w:qFormat/>
    <w:rsid w:val="00EA491A"/>
    <w:pPr>
      <w:keepNext/>
      <w:spacing w:before="240" w:after="60"/>
      <w:outlineLvl w:val="2"/>
    </w:pPr>
    <w:rPr>
      <w:rFonts w:cs="Arial"/>
      <w:b/>
      <w:bCs/>
      <w:sz w:val="24"/>
      <w:szCs w:val="26"/>
    </w:rPr>
  </w:style>
  <w:style w:type="paragraph" w:styleId="Heading4">
    <w:name w:val="heading 4"/>
    <w:basedOn w:val="Normal"/>
    <w:next w:val="BodyText"/>
    <w:link w:val="Heading4Char"/>
    <w:uiPriority w:val="99"/>
    <w:qFormat/>
    <w:rsid w:val="00EA491A"/>
    <w:pPr>
      <w:keepNext/>
      <w:spacing w:before="240" w:after="60"/>
      <w:outlineLvl w:val="3"/>
    </w:pPr>
    <w:rPr>
      <w:b/>
      <w:bCs/>
      <w:szCs w:val="28"/>
    </w:rPr>
  </w:style>
  <w:style w:type="paragraph" w:styleId="Heading5">
    <w:name w:val="heading 5"/>
    <w:basedOn w:val="Normal"/>
    <w:next w:val="BodyText"/>
    <w:link w:val="Heading5Char"/>
    <w:uiPriority w:val="99"/>
    <w:qFormat/>
    <w:rsid w:val="00B263AE"/>
    <w:pPr>
      <w:keepNext/>
      <w:spacing w:before="240" w:after="60"/>
      <w:outlineLvl w:val="4"/>
    </w:pPr>
    <w:rPr>
      <w:b/>
      <w:bCs/>
      <w:i/>
      <w:iCs/>
      <w:szCs w:val="26"/>
    </w:rPr>
  </w:style>
  <w:style w:type="paragraph" w:styleId="Heading6">
    <w:name w:val="heading 6"/>
    <w:basedOn w:val="Normal"/>
    <w:next w:val="Normal"/>
    <w:link w:val="Heading6Char"/>
    <w:uiPriority w:val="99"/>
    <w:qFormat/>
    <w:rsid w:val="00EA491A"/>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EA491A"/>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EA491A"/>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EA491A"/>
    <w:p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1C66"/>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7D1C66"/>
    <w:rPr>
      <w:rFonts w:ascii="Cambria" w:hAnsi="Cambria" w:cs="Times New Roman"/>
      <w:b/>
      <w:i/>
      <w:sz w:val="28"/>
      <w:lang w:eastAsia="en-US"/>
    </w:rPr>
  </w:style>
  <w:style w:type="character" w:customStyle="1" w:styleId="Heading3Char">
    <w:name w:val="Heading 3 Char"/>
    <w:basedOn w:val="DefaultParagraphFont"/>
    <w:link w:val="Heading3"/>
    <w:uiPriority w:val="99"/>
    <w:locked/>
    <w:rsid w:val="00F33D14"/>
    <w:rPr>
      <w:rFonts w:ascii="Arial" w:hAnsi="Arial" w:cs="Times New Roman"/>
      <w:b/>
      <w:sz w:val="26"/>
      <w:lang w:val="en-NZ" w:eastAsia="en-US"/>
    </w:rPr>
  </w:style>
  <w:style w:type="character" w:customStyle="1" w:styleId="Heading4Char">
    <w:name w:val="Heading 4 Char"/>
    <w:basedOn w:val="DefaultParagraphFont"/>
    <w:link w:val="Heading4"/>
    <w:uiPriority w:val="99"/>
    <w:semiHidden/>
    <w:locked/>
    <w:rsid w:val="007D1C66"/>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7D1C66"/>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7D1C66"/>
    <w:rPr>
      <w:rFonts w:ascii="Calibri" w:hAnsi="Calibri" w:cs="Times New Roman"/>
      <w:b/>
      <w:lang w:eastAsia="en-US"/>
    </w:rPr>
  </w:style>
  <w:style w:type="character" w:customStyle="1" w:styleId="Heading7Char">
    <w:name w:val="Heading 7 Char"/>
    <w:basedOn w:val="DefaultParagraphFont"/>
    <w:link w:val="Heading7"/>
    <w:uiPriority w:val="99"/>
    <w:semiHidden/>
    <w:locked/>
    <w:rsid w:val="007D1C66"/>
    <w:rPr>
      <w:rFonts w:ascii="Calibri" w:hAnsi="Calibri" w:cs="Times New Roman"/>
      <w:sz w:val="24"/>
      <w:lang w:eastAsia="en-US"/>
    </w:rPr>
  </w:style>
  <w:style w:type="character" w:customStyle="1" w:styleId="Heading8Char">
    <w:name w:val="Heading 8 Char"/>
    <w:basedOn w:val="DefaultParagraphFont"/>
    <w:link w:val="Heading8"/>
    <w:uiPriority w:val="99"/>
    <w:semiHidden/>
    <w:locked/>
    <w:rsid w:val="007D1C66"/>
    <w:rPr>
      <w:rFonts w:ascii="Calibri" w:hAnsi="Calibri" w:cs="Times New Roman"/>
      <w:i/>
      <w:sz w:val="24"/>
      <w:lang w:eastAsia="en-US"/>
    </w:rPr>
  </w:style>
  <w:style w:type="character" w:customStyle="1" w:styleId="Heading9Char">
    <w:name w:val="Heading 9 Char"/>
    <w:basedOn w:val="DefaultParagraphFont"/>
    <w:link w:val="Heading9"/>
    <w:uiPriority w:val="99"/>
    <w:semiHidden/>
    <w:locked/>
    <w:rsid w:val="007D1C66"/>
    <w:rPr>
      <w:rFonts w:ascii="Cambria" w:hAnsi="Cambria" w:cs="Times New Roman"/>
      <w:lang w:eastAsia="en-US"/>
    </w:rPr>
  </w:style>
  <w:style w:type="paragraph" w:styleId="BodyText">
    <w:name w:val="Body Text"/>
    <w:basedOn w:val="Normal"/>
    <w:link w:val="BodyTextChar"/>
    <w:uiPriority w:val="99"/>
    <w:rsid w:val="00EA491A"/>
    <w:pPr>
      <w:spacing w:after="200"/>
    </w:pPr>
  </w:style>
  <w:style w:type="character" w:customStyle="1" w:styleId="BodyTextChar">
    <w:name w:val="Body Text Char"/>
    <w:basedOn w:val="DefaultParagraphFont"/>
    <w:link w:val="BodyText"/>
    <w:uiPriority w:val="99"/>
    <w:semiHidden/>
    <w:locked/>
    <w:rsid w:val="007D1C66"/>
    <w:rPr>
      <w:rFonts w:ascii="Arial" w:hAnsi="Arial" w:cs="Times New Roman"/>
      <w:sz w:val="24"/>
      <w:lang w:eastAsia="en-US"/>
    </w:rPr>
  </w:style>
  <w:style w:type="paragraph" w:styleId="BlockText">
    <w:name w:val="Block Text"/>
    <w:basedOn w:val="Normal"/>
    <w:uiPriority w:val="99"/>
    <w:semiHidden/>
    <w:rsid w:val="00DB3B74"/>
    <w:pPr>
      <w:spacing w:after="120"/>
      <w:ind w:left="1440" w:right="1440"/>
    </w:pPr>
  </w:style>
  <w:style w:type="paragraph" w:styleId="BodyText2">
    <w:name w:val="Body Text 2"/>
    <w:basedOn w:val="Normal"/>
    <w:link w:val="BodyText2Char"/>
    <w:uiPriority w:val="99"/>
    <w:semiHidden/>
    <w:rsid w:val="00DB3B74"/>
    <w:pPr>
      <w:spacing w:after="120" w:line="480" w:lineRule="auto"/>
    </w:pPr>
  </w:style>
  <w:style w:type="character" w:customStyle="1" w:styleId="BodyText2Char">
    <w:name w:val="Body Text 2 Char"/>
    <w:basedOn w:val="DefaultParagraphFont"/>
    <w:link w:val="BodyText2"/>
    <w:uiPriority w:val="99"/>
    <w:semiHidden/>
    <w:locked/>
    <w:rsid w:val="007D1C66"/>
    <w:rPr>
      <w:rFonts w:ascii="Arial" w:hAnsi="Arial" w:cs="Times New Roman"/>
      <w:sz w:val="24"/>
      <w:lang w:eastAsia="en-US"/>
    </w:rPr>
  </w:style>
  <w:style w:type="paragraph" w:styleId="BodyText3">
    <w:name w:val="Body Text 3"/>
    <w:basedOn w:val="Normal"/>
    <w:link w:val="BodyText3Char"/>
    <w:uiPriority w:val="99"/>
    <w:semiHidden/>
    <w:rsid w:val="00DB3B74"/>
    <w:pPr>
      <w:spacing w:after="120"/>
    </w:pPr>
    <w:rPr>
      <w:sz w:val="16"/>
      <w:szCs w:val="16"/>
    </w:rPr>
  </w:style>
  <w:style w:type="character" w:customStyle="1" w:styleId="BodyText3Char">
    <w:name w:val="Body Text 3 Char"/>
    <w:basedOn w:val="DefaultParagraphFont"/>
    <w:link w:val="BodyText3"/>
    <w:uiPriority w:val="99"/>
    <w:semiHidden/>
    <w:locked/>
    <w:rsid w:val="007D1C66"/>
    <w:rPr>
      <w:rFonts w:ascii="Arial" w:hAnsi="Arial" w:cs="Times New Roman"/>
      <w:sz w:val="16"/>
      <w:lang w:eastAsia="en-US"/>
    </w:rPr>
  </w:style>
  <w:style w:type="paragraph" w:styleId="BodyTextFirstIndent">
    <w:name w:val="Body Text First Indent"/>
    <w:basedOn w:val="BodyText"/>
    <w:link w:val="BodyTextFirstIndentChar"/>
    <w:uiPriority w:val="99"/>
    <w:semiHidden/>
    <w:rsid w:val="00DB3B74"/>
    <w:pPr>
      <w:spacing w:after="120"/>
      <w:ind w:firstLine="210"/>
    </w:pPr>
  </w:style>
  <w:style w:type="character" w:customStyle="1" w:styleId="BodyTextFirstIndentChar">
    <w:name w:val="Body Text First Indent Char"/>
    <w:basedOn w:val="BodyTextChar"/>
    <w:link w:val="BodyTextFirstIndent"/>
    <w:uiPriority w:val="99"/>
    <w:semiHidden/>
    <w:locked/>
    <w:rsid w:val="007D1C66"/>
  </w:style>
  <w:style w:type="paragraph" w:styleId="BodyTextIndent">
    <w:name w:val="Body Text Indent"/>
    <w:basedOn w:val="Normal"/>
    <w:link w:val="BodyTextIndentChar"/>
    <w:uiPriority w:val="99"/>
    <w:semiHidden/>
    <w:rsid w:val="00DB3B74"/>
    <w:pPr>
      <w:spacing w:after="120"/>
      <w:ind w:left="283"/>
    </w:pPr>
  </w:style>
  <w:style w:type="character" w:customStyle="1" w:styleId="BodyTextIndentChar">
    <w:name w:val="Body Text Indent Char"/>
    <w:basedOn w:val="DefaultParagraphFont"/>
    <w:link w:val="BodyTextIndent"/>
    <w:uiPriority w:val="99"/>
    <w:semiHidden/>
    <w:locked/>
    <w:rsid w:val="007D1C66"/>
    <w:rPr>
      <w:rFonts w:ascii="Arial" w:hAnsi="Arial" w:cs="Times New Roman"/>
      <w:sz w:val="24"/>
      <w:lang w:eastAsia="en-US"/>
    </w:rPr>
  </w:style>
  <w:style w:type="paragraph" w:styleId="BodyTextFirstIndent2">
    <w:name w:val="Body Text First Indent 2"/>
    <w:basedOn w:val="BodyTextIndent"/>
    <w:link w:val="BodyTextFirstIndent2Char"/>
    <w:uiPriority w:val="99"/>
    <w:semiHidden/>
    <w:rsid w:val="00DB3B74"/>
    <w:pPr>
      <w:ind w:firstLine="210"/>
    </w:pPr>
  </w:style>
  <w:style w:type="character" w:customStyle="1" w:styleId="BodyTextFirstIndent2Char">
    <w:name w:val="Body Text First Indent 2 Char"/>
    <w:basedOn w:val="BodyTextIndentChar"/>
    <w:link w:val="BodyTextFirstIndent2"/>
    <w:uiPriority w:val="99"/>
    <w:semiHidden/>
    <w:locked/>
    <w:rsid w:val="007D1C66"/>
  </w:style>
  <w:style w:type="paragraph" w:styleId="BodyTextIndent2">
    <w:name w:val="Body Text Indent 2"/>
    <w:basedOn w:val="Normal"/>
    <w:link w:val="BodyTextIndent2Char"/>
    <w:uiPriority w:val="99"/>
    <w:semiHidden/>
    <w:rsid w:val="00DB3B7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1C66"/>
    <w:rPr>
      <w:rFonts w:ascii="Arial" w:hAnsi="Arial" w:cs="Times New Roman"/>
      <w:sz w:val="24"/>
      <w:lang w:eastAsia="en-US"/>
    </w:rPr>
  </w:style>
  <w:style w:type="paragraph" w:styleId="BodyTextIndent3">
    <w:name w:val="Body Text Indent 3"/>
    <w:basedOn w:val="Normal"/>
    <w:link w:val="BodyTextIndent3Char"/>
    <w:uiPriority w:val="99"/>
    <w:semiHidden/>
    <w:rsid w:val="00DB3B7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D1C66"/>
    <w:rPr>
      <w:rFonts w:ascii="Arial" w:hAnsi="Arial" w:cs="Times New Roman"/>
      <w:sz w:val="16"/>
      <w:lang w:eastAsia="en-US"/>
    </w:rPr>
  </w:style>
  <w:style w:type="paragraph" w:styleId="Closing">
    <w:name w:val="Closing"/>
    <w:basedOn w:val="Normal"/>
    <w:link w:val="ClosingChar"/>
    <w:uiPriority w:val="99"/>
    <w:semiHidden/>
    <w:rsid w:val="00DB3B74"/>
    <w:pPr>
      <w:ind w:left="4252"/>
    </w:pPr>
  </w:style>
  <w:style w:type="character" w:customStyle="1" w:styleId="ClosingChar">
    <w:name w:val="Closing Char"/>
    <w:basedOn w:val="DefaultParagraphFont"/>
    <w:link w:val="Closing"/>
    <w:uiPriority w:val="99"/>
    <w:semiHidden/>
    <w:locked/>
    <w:rsid w:val="007D1C66"/>
    <w:rPr>
      <w:rFonts w:ascii="Arial" w:hAnsi="Arial" w:cs="Times New Roman"/>
      <w:sz w:val="24"/>
      <w:lang w:eastAsia="en-US"/>
    </w:rPr>
  </w:style>
  <w:style w:type="paragraph" w:styleId="Date">
    <w:name w:val="Date"/>
    <w:basedOn w:val="Normal"/>
    <w:next w:val="Normal"/>
    <w:link w:val="DateChar"/>
    <w:uiPriority w:val="99"/>
    <w:semiHidden/>
    <w:rsid w:val="00DB3B74"/>
  </w:style>
  <w:style w:type="character" w:customStyle="1" w:styleId="DateChar">
    <w:name w:val="Date Char"/>
    <w:basedOn w:val="DefaultParagraphFont"/>
    <w:link w:val="Date"/>
    <w:uiPriority w:val="99"/>
    <w:semiHidden/>
    <w:locked/>
    <w:rsid w:val="007D1C66"/>
    <w:rPr>
      <w:rFonts w:ascii="Arial" w:hAnsi="Arial" w:cs="Times New Roman"/>
      <w:sz w:val="24"/>
      <w:lang w:eastAsia="en-US"/>
    </w:rPr>
  </w:style>
  <w:style w:type="paragraph" w:styleId="E-mailSignature">
    <w:name w:val="E-mail Signature"/>
    <w:basedOn w:val="Normal"/>
    <w:link w:val="E-mailSignatureChar"/>
    <w:uiPriority w:val="99"/>
    <w:semiHidden/>
    <w:rsid w:val="00EA491A"/>
  </w:style>
  <w:style w:type="character" w:customStyle="1" w:styleId="E-mailSignatureChar">
    <w:name w:val="E-mail Signature Char"/>
    <w:basedOn w:val="DefaultParagraphFont"/>
    <w:link w:val="E-mailSignature"/>
    <w:uiPriority w:val="99"/>
    <w:semiHidden/>
    <w:locked/>
    <w:rsid w:val="007D1C66"/>
    <w:rPr>
      <w:rFonts w:ascii="Arial" w:hAnsi="Arial" w:cs="Times New Roman"/>
      <w:sz w:val="24"/>
      <w:lang w:eastAsia="en-US"/>
    </w:rPr>
  </w:style>
  <w:style w:type="character" w:styleId="Emphasis">
    <w:name w:val="Emphasis"/>
    <w:basedOn w:val="DefaultParagraphFont"/>
    <w:uiPriority w:val="99"/>
    <w:qFormat/>
    <w:rsid w:val="00EA491A"/>
    <w:rPr>
      <w:rFonts w:cs="Times New Roman"/>
      <w:i/>
    </w:rPr>
  </w:style>
  <w:style w:type="paragraph" w:styleId="EnvelopeAddress">
    <w:name w:val="envelope address"/>
    <w:basedOn w:val="Normal"/>
    <w:uiPriority w:val="99"/>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EA491A"/>
    <w:rPr>
      <w:rFonts w:cs="Arial"/>
      <w:sz w:val="20"/>
      <w:szCs w:val="20"/>
    </w:rPr>
  </w:style>
  <w:style w:type="character" w:styleId="FollowedHyperlink">
    <w:name w:val="FollowedHyperlink"/>
    <w:basedOn w:val="DefaultParagraphFont"/>
    <w:uiPriority w:val="99"/>
    <w:semiHidden/>
    <w:rsid w:val="00EA491A"/>
    <w:rPr>
      <w:rFonts w:cs="Times New Roman"/>
      <w:color w:val="800080"/>
      <w:u w:val="single"/>
    </w:rPr>
  </w:style>
  <w:style w:type="paragraph" w:styleId="Footer">
    <w:name w:val="footer"/>
    <w:basedOn w:val="Normal"/>
    <w:link w:val="FooterChar"/>
    <w:uiPriority w:val="99"/>
    <w:rsid w:val="00D5152A"/>
    <w:pPr>
      <w:spacing w:line="260" w:lineRule="atLeast"/>
    </w:pPr>
    <w:rPr>
      <w:sz w:val="18"/>
    </w:rPr>
  </w:style>
  <w:style w:type="character" w:customStyle="1" w:styleId="FooterChar">
    <w:name w:val="Footer Char"/>
    <w:basedOn w:val="DefaultParagraphFont"/>
    <w:link w:val="Footer"/>
    <w:uiPriority w:val="99"/>
    <w:semiHidden/>
    <w:locked/>
    <w:rsid w:val="007D1C66"/>
    <w:rPr>
      <w:rFonts w:ascii="Arial" w:hAnsi="Arial" w:cs="Times New Roman"/>
      <w:sz w:val="24"/>
      <w:lang w:eastAsia="en-US"/>
    </w:rPr>
  </w:style>
  <w:style w:type="paragraph" w:styleId="Header">
    <w:name w:val="header"/>
    <w:basedOn w:val="Normal"/>
    <w:link w:val="HeaderChar"/>
    <w:uiPriority w:val="99"/>
    <w:rsid w:val="00206BA3"/>
    <w:rPr>
      <w:sz w:val="18"/>
    </w:rPr>
  </w:style>
  <w:style w:type="character" w:customStyle="1" w:styleId="HeaderChar">
    <w:name w:val="Header Char"/>
    <w:basedOn w:val="DefaultParagraphFont"/>
    <w:link w:val="Header"/>
    <w:uiPriority w:val="99"/>
    <w:semiHidden/>
    <w:locked/>
    <w:rsid w:val="007D1C66"/>
    <w:rPr>
      <w:rFonts w:ascii="Arial" w:hAnsi="Arial" w:cs="Times New Roman"/>
      <w:sz w:val="24"/>
      <w:lang w:eastAsia="en-US"/>
    </w:rPr>
  </w:style>
  <w:style w:type="character" w:styleId="HTMLAcronym">
    <w:name w:val="HTML Acronym"/>
    <w:basedOn w:val="DefaultParagraphFont"/>
    <w:uiPriority w:val="99"/>
    <w:semiHidden/>
    <w:rsid w:val="00DB3B74"/>
    <w:rPr>
      <w:rFonts w:cs="Times New Roman"/>
    </w:rPr>
  </w:style>
  <w:style w:type="paragraph" w:styleId="HTMLAddress">
    <w:name w:val="HTML Address"/>
    <w:basedOn w:val="Normal"/>
    <w:link w:val="HTMLAddressChar"/>
    <w:uiPriority w:val="99"/>
    <w:semiHidden/>
    <w:rsid w:val="00DB3B74"/>
    <w:rPr>
      <w:i/>
      <w:iCs/>
    </w:rPr>
  </w:style>
  <w:style w:type="character" w:customStyle="1" w:styleId="HTMLAddressChar">
    <w:name w:val="HTML Address Char"/>
    <w:basedOn w:val="DefaultParagraphFont"/>
    <w:link w:val="HTMLAddress"/>
    <w:uiPriority w:val="99"/>
    <w:semiHidden/>
    <w:locked/>
    <w:rsid w:val="007D1C66"/>
    <w:rPr>
      <w:rFonts w:ascii="Arial" w:hAnsi="Arial" w:cs="Times New Roman"/>
      <w:i/>
      <w:sz w:val="24"/>
      <w:lang w:eastAsia="en-US"/>
    </w:rPr>
  </w:style>
  <w:style w:type="character" w:styleId="HTMLCite">
    <w:name w:val="HTML Cite"/>
    <w:basedOn w:val="DefaultParagraphFont"/>
    <w:uiPriority w:val="99"/>
    <w:semiHidden/>
    <w:rsid w:val="00DB3B74"/>
    <w:rPr>
      <w:rFonts w:cs="Times New Roman"/>
      <w:i/>
    </w:rPr>
  </w:style>
  <w:style w:type="character" w:styleId="HTMLCode">
    <w:name w:val="HTML Code"/>
    <w:basedOn w:val="DefaultParagraphFont"/>
    <w:uiPriority w:val="99"/>
    <w:semiHidden/>
    <w:rsid w:val="00DB3B74"/>
    <w:rPr>
      <w:rFonts w:ascii="Courier New" w:hAnsi="Courier New" w:cs="Times New Roman"/>
      <w:sz w:val="20"/>
    </w:rPr>
  </w:style>
  <w:style w:type="character" w:styleId="HTMLDefinition">
    <w:name w:val="HTML Definition"/>
    <w:basedOn w:val="DefaultParagraphFont"/>
    <w:uiPriority w:val="99"/>
    <w:semiHidden/>
    <w:rsid w:val="00DB3B74"/>
    <w:rPr>
      <w:rFonts w:cs="Times New Roman"/>
      <w:i/>
    </w:rPr>
  </w:style>
  <w:style w:type="character" w:styleId="HTMLKeyboard">
    <w:name w:val="HTML Keyboard"/>
    <w:basedOn w:val="DefaultParagraphFont"/>
    <w:uiPriority w:val="99"/>
    <w:semiHidden/>
    <w:rsid w:val="00DB3B74"/>
    <w:rPr>
      <w:rFonts w:ascii="Courier New" w:hAnsi="Courier New" w:cs="Times New Roman"/>
      <w:sz w:val="20"/>
    </w:rPr>
  </w:style>
  <w:style w:type="paragraph" w:styleId="HTMLPreformatted">
    <w:name w:val="HTML Preformatted"/>
    <w:basedOn w:val="Normal"/>
    <w:link w:val="HTMLPreformattedChar"/>
    <w:uiPriority w:val="99"/>
    <w:semiHidden/>
    <w:rsid w:val="00DB3B7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D1C66"/>
    <w:rPr>
      <w:rFonts w:ascii="Courier New" w:hAnsi="Courier New" w:cs="Times New Roman"/>
      <w:sz w:val="20"/>
      <w:lang w:eastAsia="en-US"/>
    </w:rPr>
  </w:style>
  <w:style w:type="character" w:styleId="HTMLSample">
    <w:name w:val="HTML Sample"/>
    <w:basedOn w:val="DefaultParagraphFont"/>
    <w:uiPriority w:val="99"/>
    <w:semiHidden/>
    <w:rsid w:val="00DB3B74"/>
    <w:rPr>
      <w:rFonts w:ascii="Courier New" w:hAnsi="Courier New" w:cs="Times New Roman"/>
    </w:rPr>
  </w:style>
  <w:style w:type="character" w:styleId="HTMLTypewriter">
    <w:name w:val="HTML Typewriter"/>
    <w:basedOn w:val="DefaultParagraphFont"/>
    <w:uiPriority w:val="99"/>
    <w:semiHidden/>
    <w:rsid w:val="00DB3B74"/>
    <w:rPr>
      <w:rFonts w:ascii="Courier New" w:hAnsi="Courier New" w:cs="Times New Roman"/>
      <w:sz w:val="20"/>
    </w:rPr>
  </w:style>
  <w:style w:type="character" w:styleId="HTMLVariable">
    <w:name w:val="HTML Variable"/>
    <w:basedOn w:val="DefaultParagraphFont"/>
    <w:uiPriority w:val="99"/>
    <w:semiHidden/>
    <w:rsid w:val="00DB3B74"/>
    <w:rPr>
      <w:rFonts w:cs="Times New Roman"/>
      <w:i/>
    </w:rPr>
  </w:style>
  <w:style w:type="character" w:styleId="Hyperlink">
    <w:name w:val="Hyperlink"/>
    <w:basedOn w:val="DefaultParagraphFont"/>
    <w:uiPriority w:val="99"/>
    <w:semiHidden/>
    <w:rsid w:val="00EA491A"/>
    <w:rPr>
      <w:rFonts w:cs="Times New Roman"/>
      <w:color w:val="0000FF"/>
      <w:u w:val="single"/>
    </w:rPr>
  </w:style>
  <w:style w:type="character" w:styleId="LineNumber">
    <w:name w:val="line number"/>
    <w:basedOn w:val="DefaultParagraphFont"/>
    <w:uiPriority w:val="99"/>
    <w:semiHidden/>
    <w:rsid w:val="00DB3B74"/>
    <w:rPr>
      <w:rFonts w:cs="Times New Roman"/>
    </w:rPr>
  </w:style>
  <w:style w:type="paragraph" w:styleId="List">
    <w:name w:val="List"/>
    <w:basedOn w:val="Normal"/>
    <w:uiPriority w:val="99"/>
    <w:semiHidden/>
    <w:rsid w:val="00DB3B74"/>
    <w:pPr>
      <w:ind w:left="283" w:hanging="283"/>
    </w:pPr>
  </w:style>
  <w:style w:type="paragraph" w:styleId="List2">
    <w:name w:val="List 2"/>
    <w:basedOn w:val="Normal"/>
    <w:uiPriority w:val="99"/>
    <w:semiHidden/>
    <w:rsid w:val="00DB3B74"/>
    <w:pPr>
      <w:ind w:left="566" w:hanging="283"/>
    </w:pPr>
  </w:style>
  <w:style w:type="paragraph" w:styleId="List3">
    <w:name w:val="List 3"/>
    <w:basedOn w:val="Normal"/>
    <w:uiPriority w:val="99"/>
    <w:semiHidden/>
    <w:rsid w:val="00DB3B74"/>
    <w:pPr>
      <w:ind w:left="849" w:hanging="283"/>
    </w:pPr>
  </w:style>
  <w:style w:type="paragraph" w:styleId="List4">
    <w:name w:val="List 4"/>
    <w:basedOn w:val="Normal"/>
    <w:uiPriority w:val="99"/>
    <w:semiHidden/>
    <w:rsid w:val="00DB3B74"/>
    <w:pPr>
      <w:ind w:left="1132" w:hanging="283"/>
    </w:pPr>
  </w:style>
  <w:style w:type="paragraph" w:styleId="List5">
    <w:name w:val="List 5"/>
    <w:basedOn w:val="Normal"/>
    <w:uiPriority w:val="99"/>
    <w:semiHidden/>
    <w:rsid w:val="00DB3B74"/>
    <w:pPr>
      <w:ind w:left="1415" w:hanging="283"/>
    </w:pPr>
  </w:style>
  <w:style w:type="paragraph" w:styleId="ListBullet">
    <w:name w:val="List Bullet"/>
    <w:basedOn w:val="Normal"/>
    <w:uiPriority w:val="99"/>
    <w:semiHidden/>
    <w:rsid w:val="00DB3B74"/>
    <w:pPr>
      <w:numPr>
        <w:numId w:val="1"/>
      </w:numPr>
    </w:pPr>
  </w:style>
  <w:style w:type="paragraph" w:styleId="ListBullet2">
    <w:name w:val="List Bullet 2"/>
    <w:basedOn w:val="Normal"/>
    <w:uiPriority w:val="99"/>
    <w:semiHidden/>
    <w:rsid w:val="00DB3B74"/>
    <w:pPr>
      <w:numPr>
        <w:numId w:val="2"/>
      </w:numPr>
    </w:pPr>
  </w:style>
  <w:style w:type="paragraph" w:styleId="ListBullet3">
    <w:name w:val="List Bullet 3"/>
    <w:basedOn w:val="Normal"/>
    <w:uiPriority w:val="99"/>
    <w:semiHidden/>
    <w:rsid w:val="00DB3B74"/>
    <w:pPr>
      <w:numPr>
        <w:numId w:val="3"/>
      </w:numPr>
    </w:pPr>
  </w:style>
  <w:style w:type="paragraph" w:styleId="ListBullet4">
    <w:name w:val="List Bullet 4"/>
    <w:basedOn w:val="Normal"/>
    <w:uiPriority w:val="99"/>
    <w:semiHidden/>
    <w:rsid w:val="00DB3B74"/>
    <w:pPr>
      <w:numPr>
        <w:numId w:val="4"/>
      </w:numPr>
    </w:pPr>
  </w:style>
  <w:style w:type="paragraph" w:styleId="ListBullet5">
    <w:name w:val="List Bullet 5"/>
    <w:basedOn w:val="Normal"/>
    <w:uiPriority w:val="99"/>
    <w:semiHidden/>
    <w:rsid w:val="00DB3B74"/>
    <w:pPr>
      <w:numPr>
        <w:numId w:val="5"/>
      </w:numPr>
    </w:pPr>
  </w:style>
  <w:style w:type="paragraph" w:styleId="ListContinue">
    <w:name w:val="List Continue"/>
    <w:basedOn w:val="Normal"/>
    <w:uiPriority w:val="99"/>
    <w:semiHidden/>
    <w:rsid w:val="00DB3B74"/>
    <w:pPr>
      <w:spacing w:after="120"/>
      <w:ind w:left="283"/>
    </w:pPr>
  </w:style>
  <w:style w:type="paragraph" w:styleId="ListContinue2">
    <w:name w:val="List Continue 2"/>
    <w:basedOn w:val="Normal"/>
    <w:uiPriority w:val="99"/>
    <w:semiHidden/>
    <w:rsid w:val="00DB3B74"/>
    <w:pPr>
      <w:spacing w:after="120"/>
      <w:ind w:left="566"/>
    </w:pPr>
  </w:style>
  <w:style w:type="paragraph" w:styleId="ListContinue3">
    <w:name w:val="List Continue 3"/>
    <w:basedOn w:val="Normal"/>
    <w:uiPriority w:val="99"/>
    <w:semiHidden/>
    <w:rsid w:val="00DB3B74"/>
    <w:pPr>
      <w:spacing w:after="120"/>
      <w:ind w:left="849"/>
    </w:pPr>
  </w:style>
  <w:style w:type="paragraph" w:styleId="ListContinue4">
    <w:name w:val="List Continue 4"/>
    <w:basedOn w:val="Normal"/>
    <w:uiPriority w:val="99"/>
    <w:semiHidden/>
    <w:rsid w:val="00DB3B74"/>
    <w:pPr>
      <w:spacing w:after="120"/>
      <w:ind w:left="1132"/>
    </w:pPr>
  </w:style>
  <w:style w:type="paragraph" w:styleId="ListContinue5">
    <w:name w:val="List Continue 5"/>
    <w:basedOn w:val="Normal"/>
    <w:uiPriority w:val="99"/>
    <w:semiHidden/>
    <w:rsid w:val="00DB3B74"/>
    <w:pPr>
      <w:spacing w:after="120"/>
      <w:ind w:left="1415"/>
    </w:pPr>
  </w:style>
  <w:style w:type="paragraph" w:styleId="ListNumber">
    <w:name w:val="List Number"/>
    <w:basedOn w:val="Normal"/>
    <w:uiPriority w:val="99"/>
    <w:semiHidden/>
    <w:rsid w:val="00DB3B74"/>
    <w:pPr>
      <w:numPr>
        <w:numId w:val="6"/>
      </w:numPr>
    </w:pPr>
  </w:style>
  <w:style w:type="paragraph" w:styleId="ListNumber2">
    <w:name w:val="List Number 2"/>
    <w:basedOn w:val="Normal"/>
    <w:uiPriority w:val="99"/>
    <w:semiHidden/>
    <w:rsid w:val="00DB3B74"/>
    <w:pPr>
      <w:numPr>
        <w:numId w:val="7"/>
      </w:numPr>
    </w:pPr>
  </w:style>
  <w:style w:type="paragraph" w:styleId="ListNumber3">
    <w:name w:val="List Number 3"/>
    <w:basedOn w:val="Normal"/>
    <w:uiPriority w:val="99"/>
    <w:semiHidden/>
    <w:rsid w:val="00DB3B74"/>
    <w:pPr>
      <w:numPr>
        <w:numId w:val="8"/>
      </w:numPr>
    </w:pPr>
  </w:style>
  <w:style w:type="paragraph" w:styleId="ListNumber4">
    <w:name w:val="List Number 4"/>
    <w:basedOn w:val="Normal"/>
    <w:uiPriority w:val="99"/>
    <w:semiHidden/>
    <w:rsid w:val="00DB3B74"/>
    <w:pPr>
      <w:numPr>
        <w:numId w:val="9"/>
      </w:numPr>
    </w:pPr>
  </w:style>
  <w:style w:type="paragraph" w:styleId="ListNumber5">
    <w:name w:val="List Number 5"/>
    <w:basedOn w:val="Normal"/>
    <w:uiPriority w:val="99"/>
    <w:semiHidden/>
    <w:rsid w:val="00DB3B74"/>
    <w:pPr>
      <w:numPr>
        <w:numId w:val="10"/>
      </w:numPr>
    </w:pPr>
  </w:style>
  <w:style w:type="paragraph" w:styleId="MessageHeader">
    <w:name w:val="Message Header"/>
    <w:basedOn w:val="Normal"/>
    <w:link w:val="MessageHeaderChar"/>
    <w:uiPriority w:val="99"/>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7D1C66"/>
    <w:rPr>
      <w:rFonts w:ascii="Cambria" w:hAnsi="Cambria" w:cs="Times New Roman"/>
      <w:sz w:val="24"/>
      <w:shd w:val="pct20" w:color="auto" w:fill="auto"/>
      <w:lang w:eastAsia="en-US"/>
    </w:rPr>
  </w:style>
  <w:style w:type="paragraph" w:styleId="NormalWeb">
    <w:name w:val="Normal (Web)"/>
    <w:basedOn w:val="Normal"/>
    <w:uiPriority w:val="99"/>
    <w:semiHidden/>
    <w:rsid w:val="00DB3B74"/>
    <w:rPr>
      <w:rFonts w:ascii="Times New Roman" w:hAnsi="Times New Roman"/>
      <w:sz w:val="24"/>
    </w:rPr>
  </w:style>
  <w:style w:type="paragraph" w:styleId="NormalIndent">
    <w:name w:val="Normal Indent"/>
    <w:basedOn w:val="Normal"/>
    <w:uiPriority w:val="99"/>
    <w:semiHidden/>
    <w:rsid w:val="00DB3B74"/>
    <w:pPr>
      <w:ind w:left="709"/>
    </w:pPr>
  </w:style>
  <w:style w:type="paragraph" w:styleId="NoteHeading">
    <w:name w:val="Note Heading"/>
    <w:basedOn w:val="Normal"/>
    <w:next w:val="Normal"/>
    <w:link w:val="NoteHeadingChar"/>
    <w:uiPriority w:val="99"/>
    <w:semiHidden/>
    <w:rsid w:val="00DB3B74"/>
  </w:style>
  <w:style w:type="character" w:customStyle="1" w:styleId="NoteHeadingChar">
    <w:name w:val="Note Heading Char"/>
    <w:basedOn w:val="DefaultParagraphFont"/>
    <w:link w:val="NoteHeading"/>
    <w:uiPriority w:val="99"/>
    <w:semiHidden/>
    <w:locked/>
    <w:rsid w:val="007D1C66"/>
    <w:rPr>
      <w:rFonts w:ascii="Arial" w:hAnsi="Arial" w:cs="Times New Roman"/>
      <w:sz w:val="24"/>
      <w:lang w:eastAsia="en-US"/>
    </w:rPr>
  </w:style>
  <w:style w:type="character" w:styleId="PageNumber">
    <w:name w:val="page number"/>
    <w:basedOn w:val="DefaultParagraphFont"/>
    <w:uiPriority w:val="99"/>
    <w:rsid w:val="00206BA3"/>
    <w:rPr>
      <w:rFonts w:cs="Times New Roman"/>
      <w:sz w:val="18"/>
    </w:rPr>
  </w:style>
  <w:style w:type="paragraph" w:styleId="PlainText">
    <w:name w:val="Plain Text"/>
    <w:basedOn w:val="Normal"/>
    <w:link w:val="PlainTextChar"/>
    <w:uiPriority w:val="99"/>
    <w:semiHidden/>
    <w:rsid w:val="00EA491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D1C66"/>
    <w:rPr>
      <w:rFonts w:ascii="Courier New" w:hAnsi="Courier New" w:cs="Times New Roman"/>
      <w:sz w:val="20"/>
      <w:lang w:eastAsia="en-US"/>
    </w:rPr>
  </w:style>
  <w:style w:type="paragraph" w:styleId="Salutation">
    <w:name w:val="Salutation"/>
    <w:basedOn w:val="Normal"/>
    <w:next w:val="Normal"/>
    <w:link w:val="SalutationChar"/>
    <w:uiPriority w:val="99"/>
    <w:semiHidden/>
    <w:rsid w:val="00DB3B74"/>
  </w:style>
  <w:style w:type="character" w:customStyle="1" w:styleId="SalutationChar">
    <w:name w:val="Salutation Char"/>
    <w:basedOn w:val="DefaultParagraphFont"/>
    <w:link w:val="Salutation"/>
    <w:uiPriority w:val="99"/>
    <w:semiHidden/>
    <w:locked/>
    <w:rsid w:val="007D1C66"/>
    <w:rPr>
      <w:rFonts w:ascii="Arial" w:hAnsi="Arial" w:cs="Times New Roman"/>
      <w:sz w:val="24"/>
      <w:lang w:eastAsia="en-US"/>
    </w:rPr>
  </w:style>
  <w:style w:type="paragraph" w:styleId="Signature">
    <w:name w:val="Signature"/>
    <w:basedOn w:val="Normal"/>
    <w:link w:val="SignatureChar"/>
    <w:uiPriority w:val="99"/>
    <w:semiHidden/>
    <w:rsid w:val="00DB3B74"/>
    <w:pPr>
      <w:ind w:left="4252"/>
    </w:pPr>
  </w:style>
  <w:style w:type="character" w:customStyle="1" w:styleId="SignatureChar">
    <w:name w:val="Signature Char"/>
    <w:basedOn w:val="DefaultParagraphFont"/>
    <w:link w:val="Signature"/>
    <w:uiPriority w:val="99"/>
    <w:semiHidden/>
    <w:locked/>
    <w:rsid w:val="007D1C66"/>
    <w:rPr>
      <w:rFonts w:ascii="Arial" w:hAnsi="Arial" w:cs="Times New Roman"/>
      <w:sz w:val="24"/>
      <w:lang w:eastAsia="en-US"/>
    </w:rPr>
  </w:style>
  <w:style w:type="character" w:styleId="Strong">
    <w:name w:val="Strong"/>
    <w:basedOn w:val="DefaultParagraphFont"/>
    <w:uiPriority w:val="99"/>
    <w:qFormat/>
    <w:rsid w:val="00DB3B74"/>
    <w:rPr>
      <w:rFonts w:cs="Times New Roman"/>
      <w:b/>
    </w:rPr>
  </w:style>
  <w:style w:type="paragraph" w:styleId="Subtitle">
    <w:name w:val="Subtitle"/>
    <w:basedOn w:val="Normal"/>
    <w:link w:val="SubtitleChar"/>
    <w:uiPriority w:val="99"/>
    <w:qFormat/>
    <w:rsid w:val="00DB3B74"/>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7D1C66"/>
    <w:rPr>
      <w:rFonts w:ascii="Cambria" w:hAnsi="Cambria" w:cs="Times New Roman"/>
      <w:sz w:val="24"/>
      <w:lang w:eastAsia="en-US"/>
    </w:rPr>
  </w:style>
  <w:style w:type="table" w:styleId="Table3Deffects1">
    <w:name w:val="Table 3D effects 1"/>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B3B74"/>
    <w:pPr>
      <w:spacing w:line="28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B3B74"/>
    <w:pPr>
      <w:spacing w:line="28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B3B74"/>
    <w:pPr>
      <w:spacing w:line="28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B3B74"/>
    <w:pPr>
      <w:spacing w:line="28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B3B74"/>
    <w:pPr>
      <w:spacing w:line="28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B3B74"/>
    <w:pPr>
      <w:spacing w:line="28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B3B74"/>
    <w:pPr>
      <w:spacing w:line="28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B3B74"/>
    <w:pPr>
      <w:spacing w:line="28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B3B74"/>
    <w:pPr>
      <w:spacing w:line="28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B3B74"/>
    <w:pPr>
      <w:spacing w:line="28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B3B74"/>
    <w:pPr>
      <w:spacing w:line="28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B3B74"/>
    <w:pPr>
      <w:spacing w:line="28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B3B74"/>
    <w:pPr>
      <w:spacing w:line="28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EA49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B3B74"/>
    <w:pPr>
      <w:spacing w:line="28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B3B74"/>
    <w:pPr>
      <w:spacing w:line="28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B3B74"/>
    <w:pPr>
      <w:spacing w:line="28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B3B74"/>
    <w:pPr>
      <w:spacing w:line="28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B3B74"/>
    <w:pPr>
      <w:spacing w:line="28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B3B74"/>
    <w:pPr>
      <w:spacing w:line="28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B3B74"/>
    <w:pPr>
      <w:spacing w:line="28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B3B74"/>
    <w:pPr>
      <w:spacing w:line="28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EA491A"/>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B3B74"/>
    <w:pPr>
      <w:spacing w:line="28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B3B74"/>
    <w:pPr>
      <w:spacing w:line="28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B3B7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DB3B74"/>
    <w:pPr>
      <w:spacing w:line="28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B3B74"/>
    <w:pPr>
      <w:spacing w:line="28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B3B74"/>
    <w:pPr>
      <w:spacing w:line="28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B3B74"/>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7D1C66"/>
    <w:rPr>
      <w:rFonts w:ascii="Cambria" w:hAnsi="Cambria" w:cs="Times New Roman"/>
      <w:b/>
      <w:kern w:val="28"/>
      <w:sz w:val="32"/>
      <w:lang w:eastAsia="en-US"/>
    </w:rPr>
  </w:style>
  <w:style w:type="paragraph" w:customStyle="1" w:styleId="BodyTextIndentLevel1">
    <w:name w:val="Body Text Indent Level 1"/>
    <w:basedOn w:val="BodyText"/>
    <w:uiPriority w:val="99"/>
    <w:rsid w:val="00EA491A"/>
    <w:pPr>
      <w:ind w:left="709"/>
    </w:pPr>
  </w:style>
  <w:style w:type="paragraph" w:customStyle="1" w:styleId="BodyTextIndentLevel2">
    <w:name w:val="Body Text Indent Level 2"/>
    <w:basedOn w:val="BodyText"/>
    <w:uiPriority w:val="99"/>
    <w:rsid w:val="00EA491A"/>
    <w:pPr>
      <w:ind w:left="1276"/>
    </w:pPr>
  </w:style>
  <w:style w:type="paragraph" w:customStyle="1" w:styleId="BodyTextIndentLevel3">
    <w:name w:val="Body Text Indent Level 3"/>
    <w:basedOn w:val="BodyText"/>
    <w:uiPriority w:val="99"/>
    <w:rsid w:val="00E73AA8"/>
    <w:pPr>
      <w:numPr>
        <w:ilvl w:val="4"/>
        <w:numId w:val="11"/>
      </w:numPr>
      <w:tabs>
        <w:tab w:val="clear" w:pos="360"/>
      </w:tabs>
      <w:ind w:left="1843" w:firstLine="0"/>
    </w:pPr>
  </w:style>
  <w:style w:type="paragraph" w:customStyle="1" w:styleId="SingleSpacedParagraph">
    <w:name w:val="Single Spaced Paragraph"/>
    <w:basedOn w:val="Normal"/>
    <w:uiPriority w:val="99"/>
    <w:rsid w:val="000F61AF"/>
  </w:style>
  <w:style w:type="paragraph" w:customStyle="1" w:styleId="HeadingNumberLevel1">
    <w:name w:val="Heading Number Level 1"/>
    <w:basedOn w:val="Heading1"/>
    <w:next w:val="BodyTextIndentLevel1"/>
    <w:uiPriority w:val="99"/>
    <w:rsid w:val="00D5152A"/>
    <w:pPr>
      <w:numPr>
        <w:numId w:val="11"/>
      </w:numPr>
      <w:tabs>
        <w:tab w:val="clear" w:pos="360"/>
        <w:tab w:val="num" w:pos="709"/>
      </w:tabs>
      <w:ind w:left="709" w:hanging="709"/>
      <w:outlineLvl w:val="5"/>
    </w:pPr>
  </w:style>
  <w:style w:type="paragraph" w:customStyle="1" w:styleId="HeadingNumberLevel2">
    <w:name w:val="Heading Number Level 2"/>
    <w:basedOn w:val="Heading2"/>
    <w:next w:val="BodyTextIndentLevel1"/>
    <w:uiPriority w:val="99"/>
    <w:rsid w:val="00D5152A"/>
    <w:pPr>
      <w:numPr>
        <w:ilvl w:val="1"/>
        <w:numId w:val="11"/>
      </w:numPr>
      <w:tabs>
        <w:tab w:val="clear" w:pos="360"/>
        <w:tab w:val="num" w:pos="709"/>
      </w:tabs>
      <w:ind w:left="709" w:hanging="709"/>
      <w:outlineLvl w:val="6"/>
    </w:pPr>
  </w:style>
  <w:style w:type="paragraph" w:customStyle="1" w:styleId="HeadingNumberLevel3">
    <w:name w:val="Heading Number Level 3"/>
    <w:basedOn w:val="BodyText"/>
    <w:uiPriority w:val="99"/>
    <w:rsid w:val="00D5152A"/>
    <w:pPr>
      <w:numPr>
        <w:ilvl w:val="2"/>
        <w:numId w:val="11"/>
      </w:numPr>
      <w:tabs>
        <w:tab w:val="clear" w:pos="360"/>
        <w:tab w:val="num" w:pos="1276"/>
      </w:tabs>
      <w:ind w:left="1276" w:hanging="567"/>
    </w:pPr>
  </w:style>
  <w:style w:type="paragraph" w:customStyle="1" w:styleId="HeadingNumberLevel4">
    <w:name w:val="Heading Number Level 4"/>
    <w:basedOn w:val="BodyText"/>
    <w:uiPriority w:val="99"/>
    <w:rsid w:val="00D5152A"/>
    <w:pPr>
      <w:numPr>
        <w:ilvl w:val="3"/>
        <w:numId w:val="11"/>
      </w:numPr>
      <w:tabs>
        <w:tab w:val="clear" w:pos="360"/>
        <w:tab w:val="num" w:pos="1843"/>
      </w:tabs>
      <w:ind w:left="1843" w:hanging="567"/>
    </w:pPr>
  </w:style>
  <w:style w:type="paragraph" w:customStyle="1" w:styleId="NumbersLevel1">
    <w:name w:val="Numbers Level 1"/>
    <w:basedOn w:val="BodyText"/>
    <w:uiPriority w:val="99"/>
    <w:rsid w:val="00E73AA8"/>
    <w:pPr>
      <w:numPr>
        <w:numId w:val="42"/>
      </w:numPr>
    </w:pPr>
  </w:style>
  <w:style w:type="paragraph" w:customStyle="1" w:styleId="NumbersLevel2">
    <w:name w:val="Numbers Level 2"/>
    <w:basedOn w:val="BodyText"/>
    <w:uiPriority w:val="99"/>
    <w:rsid w:val="00E73AA8"/>
    <w:pPr>
      <w:numPr>
        <w:ilvl w:val="1"/>
        <w:numId w:val="42"/>
      </w:numPr>
    </w:pPr>
  </w:style>
  <w:style w:type="paragraph" w:customStyle="1" w:styleId="NumbersLevel3">
    <w:name w:val="Numbers Level 3"/>
    <w:basedOn w:val="BodyText"/>
    <w:uiPriority w:val="99"/>
    <w:rsid w:val="00E73AA8"/>
    <w:pPr>
      <w:numPr>
        <w:ilvl w:val="2"/>
        <w:numId w:val="42"/>
      </w:numPr>
    </w:pPr>
  </w:style>
  <w:style w:type="paragraph" w:customStyle="1" w:styleId="NumbersLevel4">
    <w:name w:val="Numbers Level 4"/>
    <w:basedOn w:val="BodyText"/>
    <w:uiPriority w:val="99"/>
    <w:rsid w:val="00E73AA8"/>
    <w:pPr>
      <w:numPr>
        <w:ilvl w:val="3"/>
        <w:numId w:val="42"/>
      </w:numPr>
    </w:pPr>
  </w:style>
  <w:style w:type="paragraph" w:customStyle="1" w:styleId="BulletLevel1">
    <w:name w:val="Bullet Level 1"/>
    <w:basedOn w:val="BodyText"/>
    <w:uiPriority w:val="99"/>
    <w:rsid w:val="0058206B"/>
    <w:pPr>
      <w:numPr>
        <w:numId w:val="5"/>
      </w:numPr>
      <w:tabs>
        <w:tab w:val="clear" w:pos="1492"/>
        <w:tab w:val="num" w:pos="567"/>
      </w:tabs>
      <w:ind w:left="567" w:hanging="567"/>
    </w:pPr>
  </w:style>
  <w:style w:type="paragraph" w:customStyle="1" w:styleId="BulletLevel2">
    <w:name w:val="Bullet Level 2"/>
    <w:basedOn w:val="BodyText"/>
    <w:uiPriority w:val="99"/>
    <w:rsid w:val="0058206B"/>
    <w:pPr>
      <w:numPr>
        <w:ilvl w:val="1"/>
        <w:numId w:val="5"/>
      </w:numPr>
      <w:tabs>
        <w:tab w:val="clear" w:pos="1492"/>
        <w:tab w:val="num" w:pos="1134"/>
      </w:tabs>
      <w:ind w:left="1134" w:hanging="567"/>
    </w:pPr>
  </w:style>
  <w:style w:type="paragraph" w:customStyle="1" w:styleId="BulletLevel3">
    <w:name w:val="Bullet Level 3"/>
    <w:basedOn w:val="BodyText"/>
    <w:uiPriority w:val="99"/>
    <w:rsid w:val="0058206B"/>
    <w:pPr>
      <w:numPr>
        <w:ilvl w:val="2"/>
        <w:numId w:val="5"/>
      </w:numPr>
      <w:tabs>
        <w:tab w:val="clear" w:pos="1492"/>
        <w:tab w:val="num" w:pos="1701"/>
      </w:tabs>
      <w:ind w:left="1701" w:hanging="567"/>
    </w:pPr>
  </w:style>
  <w:style w:type="paragraph" w:customStyle="1" w:styleId="BodyTextBulletIndentLevel1">
    <w:name w:val="Body Text Bullet Indent Level 1"/>
    <w:basedOn w:val="BodyText"/>
    <w:uiPriority w:val="99"/>
    <w:rsid w:val="00C238D9"/>
    <w:pPr>
      <w:ind w:left="567"/>
    </w:pPr>
  </w:style>
  <w:style w:type="paragraph" w:customStyle="1" w:styleId="BodyTextBulletIndentLevel2">
    <w:name w:val="Body Text Bullet Indent Level 2"/>
    <w:basedOn w:val="BodyText"/>
    <w:uiPriority w:val="99"/>
    <w:rsid w:val="00C238D9"/>
    <w:pPr>
      <w:ind w:left="1134"/>
    </w:pPr>
  </w:style>
  <w:style w:type="paragraph" w:customStyle="1" w:styleId="BodyTextBulletIndentLevel3">
    <w:name w:val="Body Text Bullet Indent Level 3"/>
    <w:basedOn w:val="BodyText"/>
    <w:uiPriority w:val="99"/>
    <w:rsid w:val="00C238D9"/>
    <w:pPr>
      <w:ind w:left="1701"/>
    </w:pPr>
  </w:style>
  <w:style w:type="paragraph" w:customStyle="1" w:styleId="ListAlpha">
    <w:name w:val="List Alpha"/>
    <w:basedOn w:val="BodyText"/>
    <w:uiPriority w:val="99"/>
    <w:rsid w:val="00BD137C"/>
    <w:pPr>
      <w:numPr>
        <w:numId w:val="2"/>
      </w:numPr>
      <w:tabs>
        <w:tab w:val="clear" w:pos="643"/>
        <w:tab w:val="num" w:pos="567"/>
      </w:tabs>
      <w:ind w:left="567" w:hanging="567"/>
    </w:pPr>
  </w:style>
  <w:style w:type="paragraph" w:customStyle="1" w:styleId="ListNumeric">
    <w:name w:val="List Numeric"/>
    <w:basedOn w:val="BodyText"/>
    <w:uiPriority w:val="99"/>
    <w:rsid w:val="00BD137C"/>
    <w:pPr>
      <w:numPr>
        <w:numId w:val="3"/>
      </w:numPr>
      <w:tabs>
        <w:tab w:val="clear" w:pos="926"/>
        <w:tab w:val="num" w:pos="567"/>
      </w:tabs>
      <w:ind w:left="567" w:hanging="567"/>
    </w:pPr>
  </w:style>
  <w:style w:type="paragraph" w:styleId="FootnoteText">
    <w:name w:val="footnote text"/>
    <w:basedOn w:val="Normal"/>
    <w:link w:val="FootnoteTextChar"/>
    <w:uiPriority w:val="99"/>
    <w:rsid w:val="00B91098"/>
    <w:pPr>
      <w:spacing w:after="120" w:line="240" w:lineRule="atLeast"/>
      <w:ind w:left="284" w:hanging="284"/>
    </w:pPr>
    <w:rPr>
      <w:sz w:val="18"/>
      <w:szCs w:val="20"/>
    </w:rPr>
  </w:style>
  <w:style w:type="character" w:customStyle="1" w:styleId="FootnoteTextChar">
    <w:name w:val="Footnote Text Char"/>
    <w:basedOn w:val="DefaultParagraphFont"/>
    <w:link w:val="FootnoteText"/>
    <w:uiPriority w:val="99"/>
    <w:semiHidden/>
    <w:locked/>
    <w:rsid w:val="007D1C66"/>
    <w:rPr>
      <w:rFonts w:ascii="Arial" w:hAnsi="Arial" w:cs="Times New Roman"/>
      <w:sz w:val="20"/>
      <w:lang w:eastAsia="en-US"/>
    </w:rPr>
  </w:style>
  <w:style w:type="character" w:styleId="FootnoteReference">
    <w:name w:val="footnote reference"/>
    <w:basedOn w:val="DefaultParagraphFont"/>
    <w:uiPriority w:val="99"/>
    <w:semiHidden/>
    <w:rsid w:val="00003360"/>
    <w:rPr>
      <w:rFonts w:cs="Times New Roman"/>
      <w:vertAlign w:val="superscript"/>
    </w:rPr>
  </w:style>
  <w:style w:type="paragraph" w:styleId="TOC1">
    <w:name w:val="toc 1"/>
    <w:basedOn w:val="Normal"/>
    <w:next w:val="Normal"/>
    <w:uiPriority w:val="99"/>
    <w:rsid w:val="006041F2"/>
    <w:pPr>
      <w:tabs>
        <w:tab w:val="right" w:pos="9072"/>
      </w:tabs>
      <w:spacing w:before="200"/>
      <w:ind w:right="567"/>
    </w:pPr>
    <w:rPr>
      <w:b/>
    </w:rPr>
  </w:style>
  <w:style w:type="paragraph" w:styleId="TOC2">
    <w:name w:val="toc 2"/>
    <w:basedOn w:val="Normal"/>
    <w:next w:val="Normal"/>
    <w:uiPriority w:val="99"/>
    <w:rsid w:val="006041F2"/>
    <w:pPr>
      <w:tabs>
        <w:tab w:val="left" w:pos="567"/>
        <w:tab w:val="right" w:pos="9072"/>
      </w:tabs>
      <w:ind w:left="284" w:right="567"/>
    </w:pPr>
  </w:style>
  <w:style w:type="paragraph" w:styleId="TOC3">
    <w:name w:val="toc 3"/>
    <w:basedOn w:val="Normal"/>
    <w:next w:val="Normal"/>
    <w:autoRedefine/>
    <w:uiPriority w:val="99"/>
    <w:rsid w:val="006041F2"/>
    <w:pPr>
      <w:tabs>
        <w:tab w:val="right" w:pos="9072"/>
      </w:tabs>
      <w:ind w:left="567" w:right="567"/>
    </w:pPr>
  </w:style>
  <w:style w:type="paragraph" w:styleId="TOC4">
    <w:name w:val="toc 4"/>
    <w:basedOn w:val="Normal"/>
    <w:next w:val="Normal"/>
    <w:autoRedefine/>
    <w:uiPriority w:val="99"/>
    <w:rsid w:val="00D5152A"/>
    <w:pPr>
      <w:tabs>
        <w:tab w:val="right" w:pos="9072"/>
      </w:tabs>
      <w:ind w:left="851" w:right="567"/>
    </w:pPr>
  </w:style>
  <w:style w:type="paragraph" w:styleId="TOC5">
    <w:name w:val="toc 5"/>
    <w:basedOn w:val="Normal"/>
    <w:next w:val="Normal"/>
    <w:autoRedefine/>
    <w:uiPriority w:val="99"/>
    <w:rsid w:val="00D5152A"/>
    <w:pPr>
      <w:tabs>
        <w:tab w:val="right" w:pos="9072"/>
      </w:tabs>
      <w:ind w:left="1134" w:right="567"/>
    </w:pPr>
  </w:style>
  <w:style w:type="paragraph" w:customStyle="1" w:styleId="HeadingContents">
    <w:name w:val="Heading Contents"/>
    <w:basedOn w:val="BodyText"/>
    <w:uiPriority w:val="99"/>
    <w:rsid w:val="008E7FEE"/>
    <w:pPr>
      <w:keepNext/>
      <w:spacing w:after="0"/>
    </w:pPr>
    <w:rPr>
      <w:b/>
      <w:sz w:val="32"/>
    </w:rPr>
  </w:style>
  <w:style w:type="paragraph" w:customStyle="1" w:styleId="HeadingTable">
    <w:name w:val="Heading Table"/>
    <w:basedOn w:val="Normal"/>
    <w:uiPriority w:val="99"/>
    <w:rsid w:val="005E4C02"/>
    <w:pPr>
      <w:spacing w:line="260" w:lineRule="atLeast"/>
    </w:pPr>
    <w:rPr>
      <w:b/>
      <w:sz w:val="20"/>
    </w:rPr>
  </w:style>
  <w:style w:type="paragraph" w:customStyle="1" w:styleId="HeadingTableCentre">
    <w:name w:val="Heading Table Centre"/>
    <w:basedOn w:val="HeadingTable"/>
    <w:uiPriority w:val="99"/>
    <w:rsid w:val="005E4C02"/>
    <w:pPr>
      <w:jc w:val="center"/>
    </w:pPr>
  </w:style>
  <w:style w:type="paragraph" w:customStyle="1" w:styleId="BodyTextTable">
    <w:name w:val="Body Text Table"/>
    <w:basedOn w:val="BodyText"/>
    <w:uiPriority w:val="99"/>
    <w:rsid w:val="00415CDB"/>
    <w:pPr>
      <w:spacing w:after="180" w:line="260" w:lineRule="atLeast"/>
    </w:pPr>
    <w:rPr>
      <w:sz w:val="20"/>
    </w:rPr>
  </w:style>
  <w:style w:type="paragraph" w:customStyle="1" w:styleId="BodyTextTableLastLine">
    <w:name w:val="Body Text Table Last Line"/>
    <w:basedOn w:val="BodyTextTable"/>
    <w:uiPriority w:val="99"/>
    <w:rsid w:val="00415CDB"/>
    <w:pPr>
      <w:spacing w:after="0"/>
    </w:pPr>
  </w:style>
  <w:style w:type="paragraph" w:customStyle="1" w:styleId="BulletTableLevel1">
    <w:name w:val="Bullet Table Level 1"/>
    <w:basedOn w:val="BodyTextTable"/>
    <w:uiPriority w:val="99"/>
    <w:rsid w:val="00EA2ED4"/>
    <w:pPr>
      <w:numPr>
        <w:numId w:val="6"/>
      </w:numPr>
      <w:tabs>
        <w:tab w:val="clear" w:pos="360"/>
        <w:tab w:val="num" w:pos="369"/>
      </w:tabs>
      <w:ind w:left="369" w:hanging="369"/>
    </w:pPr>
  </w:style>
  <w:style w:type="paragraph" w:customStyle="1" w:styleId="BulletTableLevel2">
    <w:name w:val="Bullet Table Level 2"/>
    <w:basedOn w:val="BodyTextTable"/>
    <w:uiPriority w:val="99"/>
    <w:rsid w:val="00EA2ED4"/>
    <w:pPr>
      <w:numPr>
        <w:ilvl w:val="1"/>
        <w:numId w:val="6"/>
      </w:numPr>
      <w:tabs>
        <w:tab w:val="clear" w:pos="360"/>
        <w:tab w:val="num" w:pos="737"/>
      </w:tabs>
      <w:ind w:left="737" w:hanging="368"/>
    </w:pPr>
  </w:style>
  <w:style w:type="paragraph" w:customStyle="1" w:styleId="BulletTableLevel3">
    <w:name w:val="Bullet Table Level 3"/>
    <w:basedOn w:val="BodyTextTable"/>
    <w:uiPriority w:val="99"/>
    <w:rsid w:val="00EA2ED4"/>
    <w:pPr>
      <w:numPr>
        <w:ilvl w:val="2"/>
        <w:numId w:val="6"/>
      </w:numPr>
      <w:tabs>
        <w:tab w:val="clear" w:pos="360"/>
        <w:tab w:val="num" w:pos="1106"/>
      </w:tabs>
      <w:ind w:left="1106" w:hanging="369"/>
    </w:pPr>
  </w:style>
  <w:style w:type="paragraph" w:customStyle="1" w:styleId="NumbersTableLevel1">
    <w:name w:val="Numbers Table Level 1"/>
    <w:basedOn w:val="BodyTextTable"/>
    <w:uiPriority w:val="99"/>
    <w:rsid w:val="00A50E00"/>
    <w:pPr>
      <w:numPr>
        <w:numId w:val="43"/>
      </w:numPr>
    </w:pPr>
  </w:style>
  <w:style w:type="paragraph" w:customStyle="1" w:styleId="NumbersTableLevel2">
    <w:name w:val="Numbers Table Level 2"/>
    <w:basedOn w:val="BodyTextTable"/>
    <w:uiPriority w:val="99"/>
    <w:rsid w:val="00A50E00"/>
    <w:pPr>
      <w:numPr>
        <w:ilvl w:val="1"/>
        <w:numId w:val="43"/>
      </w:numPr>
    </w:pPr>
  </w:style>
  <w:style w:type="paragraph" w:customStyle="1" w:styleId="NumbersTableLevel3">
    <w:name w:val="Numbers Table Level 3"/>
    <w:basedOn w:val="BodyTextTable"/>
    <w:uiPriority w:val="99"/>
    <w:rsid w:val="00A50E00"/>
    <w:pPr>
      <w:numPr>
        <w:ilvl w:val="2"/>
        <w:numId w:val="43"/>
      </w:numPr>
    </w:pPr>
  </w:style>
  <w:style w:type="paragraph" w:customStyle="1" w:styleId="BodyTextTableLevel1">
    <w:name w:val="Body Text Table Level 1"/>
    <w:basedOn w:val="BodyTextTable"/>
    <w:uiPriority w:val="99"/>
    <w:rsid w:val="00A50E00"/>
    <w:pPr>
      <w:numPr>
        <w:numId w:val="44"/>
      </w:numPr>
      <w:ind w:left="369"/>
    </w:pPr>
  </w:style>
  <w:style w:type="paragraph" w:customStyle="1" w:styleId="BodyTextTableLevel2">
    <w:name w:val="Body Text Table Level 2"/>
    <w:basedOn w:val="BodyTextTable"/>
    <w:uiPriority w:val="99"/>
    <w:rsid w:val="00A50E00"/>
    <w:pPr>
      <w:numPr>
        <w:ilvl w:val="1"/>
        <w:numId w:val="44"/>
      </w:numPr>
      <w:ind w:left="737"/>
    </w:pPr>
  </w:style>
  <w:style w:type="paragraph" w:customStyle="1" w:styleId="BodyTextTableLevel3">
    <w:name w:val="Body Text Table Level 3"/>
    <w:basedOn w:val="BodyTextTable"/>
    <w:uiPriority w:val="99"/>
    <w:rsid w:val="00A50E00"/>
    <w:pPr>
      <w:numPr>
        <w:ilvl w:val="3"/>
        <w:numId w:val="43"/>
      </w:numPr>
    </w:pPr>
  </w:style>
  <w:style w:type="paragraph" w:styleId="Caption">
    <w:name w:val="caption"/>
    <w:basedOn w:val="Normal"/>
    <w:next w:val="BodyText"/>
    <w:uiPriority w:val="99"/>
    <w:qFormat/>
    <w:rsid w:val="00020010"/>
    <w:pPr>
      <w:spacing w:after="200"/>
    </w:pPr>
    <w:rPr>
      <w:b/>
      <w:bCs/>
      <w:sz w:val="20"/>
      <w:szCs w:val="20"/>
    </w:rPr>
  </w:style>
  <w:style w:type="paragraph" w:customStyle="1" w:styleId="WhiteSpace">
    <w:name w:val="White Space"/>
    <w:basedOn w:val="Normal"/>
    <w:uiPriority w:val="99"/>
    <w:rsid w:val="00020010"/>
    <w:pPr>
      <w:spacing w:line="240" w:lineRule="auto"/>
    </w:pPr>
    <w:rPr>
      <w:sz w:val="12"/>
    </w:rPr>
  </w:style>
  <w:style w:type="table" w:customStyle="1" w:styleId="TableDIA">
    <w:name w:val="Table DIA"/>
    <w:uiPriority w:val="99"/>
    <w:rsid w:val="00900D4B"/>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style>
  <w:style w:type="paragraph" w:customStyle="1" w:styleId="HeadingAppendix">
    <w:name w:val="Heading Appendix"/>
    <w:basedOn w:val="Heading1"/>
    <w:next w:val="BodyText"/>
    <w:uiPriority w:val="99"/>
    <w:rsid w:val="002806A2"/>
    <w:pPr>
      <w:pageBreakBefore/>
      <w:numPr>
        <w:numId w:val="4"/>
      </w:numPr>
      <w:tabs>
        <w:tab w:val="clear" w:pos="1209"/>
        <w:tab w:val="left" w:pos="2268"/>
      </w:tabs>
      <w:spacing w:before="0"/>
      <w:ind w:left="0" w:firstLine="0"/>
      <w:outlineLvl w:val="7"/>
    </w:pPr>
  </w:style>
  <w:style w:type="paragraph" w:customStyle="1" w:styleId="Heading1Non-Contents">
    <w:name w:val="Heading 1 Non-Contents"/>
    <w:basedOn w:val="Normal"/>
    <w:next w:val="BodyText"/>
    <w:uiPriority w:val="99"/>
    <w:rsid w:val="00FE7A33"/>
    <w:pPr>
      <w:keepNext/>
      <w:spacing w:before="240" w:after="60"/>
    </w:pPr>
    <w:rPr>
      <w:b/>
      <w:kern w:val="32"/>
      <w:sz w:val="32"/>
    </w:rPr>
  </w:style>
  <w:style w:type="paragraph" w:styleId="TOC6">
    <w:name w:val="toc 6"/>
    <w:basedOn w:val="Normal"/>
    <w:next w:val="Normal"/>
    <w:autoRedefine/>
    <w:uiPriority w:val="99"/>
    <w:rsid w:val="00F33D14"/>
    <w:pPr>
      <w:tabs>
        <w:tab w:val="right" w:pos="9072"/>
      </w:tabs>
      <w:spacing w:before="200"/>
      <w:ind w:left="567" w:right="567" w:hanging="567"/>
    </w:pPr>
    <w:rPr>
      <w:b/>
    </w:rPr>
  </w:style>
  <w:style w:type="paragraph" w:styleId="TOC7">
    <w:name w:val="toc 7"/>
    <w:basedOn w:val="Normal"/>
    <w:next w:val="Normal"/>
    <w:autoRedefine/>
    <w:uiPriority w:val="99"/>
    <w:rsid w:val="00F22E82"/>
    <w:pPr>
      <w:tabs>
        <w:tab w:val="left" w:pos="567"/>
        <w:tab w:val="right" w:pos="9072"/>
      </w:tabs>
      <w:ind w:left="567" w:right="567" w:hanging="567"/>
    </w:pPr>
  </w:style>
  <w:style w:type="paragraph" w:styleId="TOC8">
    <w:name w:val="toc 8"/>
    <w:basedOn w:val="Normal"/>
    <w:next w:val="Normal"/>
    <w:autoRedefine/>
    <w:uiPriority w:val="99"/>
    <w:rsid w:val="00F33D14"/>
    <w:pPr>
      <w:tabs>
        <w:tab w:val="right" w:pos="9072"/>
      </w:tabs>
      <w:spacing w:before="200"/>
      <w:ind w:left="284" w:hanging="284"/>
    </w:pPr>
    <w:rPr>
      <w:b/>
    </w:rPr>
  </w:style>
  <w:style w:type="paragraph" w:customStyle="1" w:styleId="HeadingPage">
    <w:name w:val="Heading Page"/>
    <w:basedOn w:val="BodyText"/>
    <w:uiPriority w:val="99"/>
    <w:rsid w:val="002502D1"/>
    <w:pPr>
      <w:spacing w:before="400" w:after="60"/>
    </w:pPr>
    <w:rPr>
      <w:b/>
      <w:sz w:val="48"/>
    </w:rPr>
  </w:style>
  <w:style w:type="paragraph" w:customStyle="1" w:styleId="Heading2Non-Contents">
    <w:name w:val="Heading 2 Non-Contents"/>
    <w:basedOn w:val="BodyText"/>
    <w:uiPriority w:val="99"/>
    <w:rsid w:val="002A4BD9"/>
    <w:pPr>
      <w:keepNext/>
      <w:spacing w:before="240" w:after="60"/>
    </w:pPr>
    <w:rPr>
      <w:b/>
      <w:sz w:val="28"/>
    </w:rPr>
  </w:style>
  <w:style w:type="paragraph" w:styleId="BalloonText">
    <w:name w:val="Balloon Text"/>
    <w:basedOn w:val="Normal"/>
    <w:link w:val="BalloonTextChar"/>
    <w:uiPriority w:val="99"/>
    <w:semiHidden/>
    <w:rsid w:val="00F33D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1C66"/>
    <w:rPr>
      <w:rFonts w:cs="Times New Roman"/>
      <w:sz w:val="2"/>
      <w:lang w:eastAsia="en-US"/>
    </w:rPr>
  </w:style>
  <w:style w:type="paragraph" w:styleId="TableofFigures">
    <w:name w:val="table of figures"/>
    <w:basedOn w:val="Normal"/>
    <w:next w:val="Normal"/>
    <w:uiPriority w:val="99"/>
    <w:semiHidden/>
    <w:rsid w:val="00297CC7"/>
    <w:pPr>
      <w:tabs>
        <w:tab w:val="right" w:pos="9072"/>
      </w:tabs>
    </w:pPr>
  </w:style>
  <w:style w:type="paragraph" w:customStyle="1" w:styleId="HeadingTableofTables">
    <w:name w:val="Heading Table of Tables"/>
    <w:basedOn w:val="HeadingContents"/>
    <w:next w:val="BodyText"/>
    <w:uiPriority w:val="99"/>
    <w:rsid w:val="00F33D14"/>
    <w:pPr>
      <w:spacing w:before="240" w:after="60"/>
    </w:pPr>
    <w:rPr>
      <w:sz w:val="28"/>
    </w:rPr>
  </w:style>
  <w:style w:type="paragraph" w:customStyle="1" w:styleId="HeadingTableofFigures">
    <w:name w:val="Heading Table of Figures"/>
    <w:basedOn w:val="HeadingTableofTables"/>
    <w:next w:val="BodyText"/>
    <w:uiPriority w:val="99"/>
    <w:rsid w:val="00F33D14"/>
    <w:rPr>
      <w:rFonts w:ascii="Arial Bold" w:hAnsi="Arial Bold"/>
    </w:rPr>
  </w:style>
  <w:style w:type="character" w:styleId="CommentReference">
    <w:name w:val="annotation reference"/>
    <w:basedOn w:val="DefaultParagraphFont"/>
    <w:uiPriority w:val="99"/>
    <w:rsid w:val="006B2943"/>
    <w:rPr>
      <w:rFonts w:cs="Times New Roman"/>
      <w:sz w:val="16"/>
    </w:rPr>
  </w:style>
  <w:style w:type="paragraph" w:styleId="CommentText">
    <w:name w:val="annotation text"/>
    <w:basedOn w:val="Normal"/>
    <w:link w:val="CommentTextChar"/>
    <w:uiPriority w:val="99"/>
    <w:rsid w:val="006B2943"/>
    <w:rPr>
      <w:sz w:val="20"/>
      <w:szCs w:val="20"/>
    </w:rPr>
  </w:style>
  <w:style w:type="character" w:customStyle="1" w:styleId="CommentTextChar">
    <w:name w:val="Comment Text Char"/>
    <w:basedOn w:val="DefaultParagraphFont"/>
    <w:link w:val="CommentText"/>
    <w:uiPriority w:val="99"/>
    <w:locked/>
    <w:rsid w:val="006B2943"/>
    <w:rPr>
      <w:rFonts w:ascii="Arial" w:hAnsi="Arial" w:cs="Times New Roman"/>
      <w:lang w:eastAsia="en-US"/>
    </w:rPr>
  </w:style>
  <w:style w:type="paragraph" w:styleId="CommentSubject">
    <w:name w:val="annotation subject"/>
    <w:basedOn w:val="CommentText"/>
    <w:next w:val="CommentText"/>
    <w:link w:val="CommentSubjectChar"/>
    <w:uiPriority w:val="99"/>
    <w:rsid w:val="006B2943"/>
    <w:rPr>
      <w:b/>
      <w:bCs/>
    </w:rPr>
  </w:style>
  <w:style w:type="character" w:customStyle="1" w:styleId="CommentSubjectChar">
    <w:name w:val="Comment Subject Char"/>
    <w:basedOn w:val="CommentTextChar"/>
    <w:link w:val="CommentSubject"/>
    <w:uiPriority w:val="99"/>
    <w:locked/>
    <w:rsid w:val="006B2943"/>
    <w:rPr>
      <w:b/>
    </w:rPr>
  </w:style>
  <w:style w:type="numbering" w:styleId="ArticleSection">
    <w:name w:val="Outline List 3"/>
    <w:basedOn w:val="NoList"/>
    <w:uiPriority w:val="99"/>
    <w:semiHidden/>
    <w:unhideWhenUsed/>
    <w:locked/>
    <w:rsid w:val="0016622C"/>
    <w:pPr>
      <w:numPr>
        <w:numId w:val="47"/>
      </w:numPr>
    </w:pPr>
  </w:style>
  <w:style w:type="numbering" w:styleId="1ai">
    <w:name w:val="Outline List 1"/>
    <w:basedOn w:val="NoList"/>
    <w:uiPriority w:val="99"/>
    <w:semiHidden/>
    <w:unhideWhenUsed/>
    <w:locked/>
    <w:rsid w:val="0016622C"/>
    <w:pPr>
      <w:numPr>
        <w:numId w:val="46"/>
      </w:numPr>
    </w:pPr>
  </w:style>
  <w:style w:type="numbering" w:styleId="111111">
    <w:name w:val="Outline List 2"/>
    <w:basedOn w:val="NoList"/>
    <w:uiPriority w:val="99"/>
    <w:semiHidden/>
    <w:unhideWhenUsed/>
    <w:locked/>
    <w:rsid w:val="0016622C"/>
    <w:pPr>
      <w:numPr>
        <w:numId w:val="45"/>
      </w:numPr>
    </w:pPr>
  </w:style>
</w:styles>
</file>

<file path=word/webSettings.xml><?xml version="1.0" encoding="utf-8"?>
<w:webSettings xmlns:r="http://schemas.openxmlformats.org/officeDocument/2006/relationships" xmlns:w="http://schemas.openxmlformats.org/wordprocessingml/2006/main">
  <w:divs>
    <w:div w:id="2034190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455</Words>
  <Characters>2596</Characters>
  <Application>Microsoft Office Outlook</Application>
  <DocSecurity>0</DocSecurity>
  <Lines>0</Lines>
  <Paragraphs>0</Paragraphs>
  <ScaleCrop>false</ScaleCrop>
  <Company>Department of Internal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Payment Methods</dc:title>
  <dc:subject/>
  <dc:creator>martinni</dc:creator>
  <cp:keywords/>
  <dc:description/>
  <cp:lastModifiedBy>lagutiol</cp:lastModifiedBy>
  <cp:revision>4</cp:revision>
  <cp:lastPrinted>2014-01-20T19:52:00Z</cp:lastPrinted>
  <dcterms:created xsi:type="dcterms:W3CDTF">2014-04-23T21:04:00Z</dcterms:created>
  <dcterms:modified xsi:type="dcterms:W3CDTF">2014-04-23T21:40:00Z</dcterms:modified>
</cp:coreProperties>
</file>