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33" w:rsidRDefault="00261C33" w:rsidP="0077516B">
      <w:pPr>
        <w:pStyle w:val="BodyText"/>
        <w:spacing w:after="0" w:line="240" w:lineRule="auto"/>
        <w:rPr>
          <w:rFonts w:ascii="Calibri" w:hAnsi="Calibri"/>
          <w:b/>
          <w:sz w:val="24"/>
        </w:rPr>
      </w:pPr>
    </w:p>
    <w:p w:rsidR="00261C33" w:rsidRDefault="00261C33" w:rsidP="0077516B">
      <w:pPr>
        <w:pStyle w:val="BodyText"/>
        <w:spacing w:after="0" w:line="240" w:lineRule="auto"/>
        <w:rPr>
          <w:rFonts w:ascii="Calibri" w:hAnsi="Calibri"/>
          <w:b/>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8pt;margin-top:39.7pt;width:294.8pt;height:52.3pt;z-index:-251658240;mso-position-horizontal-relative:page;mso-position-vertical-relative:page" wrapcoords="-55 0 -55 21291 21600 21291 21600 0 -55 0">
            <v:imagedata r:id="rId7" o:title=""/>
            <w10:wrap type="tight" anchorx="page" anchory="page"/>
          </v:shape>
        </w:pict>
      </w:r>
    </w:p>
    <w:p w:rsidR="00261C33" w:rsidRDefault="00261C33" w:rsidP="0077516B">
      <w:pPr>
        <w:pStyle w:val="BodyText"/>
        <w:spacing w:after="0" w:line="240" w:lineRule="auto"/>
        <w:rPr>
          <w:rFonts w:ascii="Calibri" w:hAnsi="Calibri"/>
          <w:b/>
          <w:sz w:val="24"/>
        </w:rPr>
      </w:pPr>
    </w:p>
    <w:p w:rsidR="00261C33" w:rsidRDefault="00261C33" w:rsidP="0077516B">
      <w:pPr>
        <w:pStyle w:val="BodyText"/>
        <w:spacing w:after="0" w:line="240" w:lineRule="auto"/>
        <w:rPr>
          <w:rFonts w:ascii="Calibri" w:hAnsi="Calibri"/>
          <w:b/>
          <w:sz w:val="24"/>
        </w:rPr>
      </w:pPr>
    </w:p>
    <w:p w:rsidR="00261C33" w:rsidRDefault="00261C33" w:rsidP="0077516B">
      <w:pPr>
        <w:pStyle w:val="BodyText"/>
        <w:spacing w:after="0" w:line="240" w:lineRule="auto"/>
        <w:rPr>
          <w:rFonts w:ascii="Calibri" w:hAnsi="Calibri"/>
          <w:b/>
          <w:sz w:val="24"/>
        </w:rPr>
      </w:pPr>
    </w:p>
    <w:p w:rsidR="00261C33" w:rsidRDefault="00261C33" w:rsidP="0077516B">
      <w:pPr>
        <w:pStyle w:val="BodyText"/>
        <w:spacing w:after="0" w:line="240" w:lineRule="auto"/>
        <w:rPr>
          <w:rFonts w:ascii="Calibri" w:hAnsi="Calibri"/>
          <w:b/>
          <w:sz w:val="24"/>
        </w:rPr>
      </w:pPr>
    </w:p>
    <w:p w:rsidR="00261C33" w:rsidRDefault="00261C33" w:rsidP="0077516B">
      <w:pPr>
        <w:pStyle w:val="BodyText"/>
        <w:spacing w:after="0" w:line="240" w:lineRule="auto"/>
        <w:rPr>
          <w:rFonts w:ascii="Calibri" w:hAnsi="Calibri"/>
          <w:b/>
          <w:sz w:val="24"/>
        </w:rPr>
      </w:pPr>
    </w:p>
    <w:p w:rsidR="00261C33" w:rsidRPr="00AD0920" w:rsidRDefault="00261C33" w:rsidP="0077516B">
      <w:pPr>
        <w:pStyle w:val="BodyText"/>
        <w:spacing w:after="0" w:line="240" w:lineRule="auto"/>
        <w:rPr>
          <w:rFonts w:ascii="Calibri" w:hAnsi="Calibri"/>
          <w:b/>
          <w:sz w:val="24"/>
        </w:rPr>
      </w:pPr>
      <w:r w:rsidRPr="00AD0920">
        <w:rPr>
          <w:rFonts w:ascii="Calibri" w:hAnsi="Calibri"/>
          <w:b/>
          <w:sz w:val="24"/>
        </w:rPr>
        <w:t>Money Remittance/ Transfer</w:t>
      </w:r>
    </w:p>
    <w:p w:rsidR="00261C33" w:rsidRPr="00510108" w:rsidRDefault="00261C33" w:rsidP="0077516B">
      <w:pPr>
        <w:pStyle w:val="BodyText"/>
        <w:spacing w:after="0" w:line="240" w:lineRule="auto"/>
        <w:jc w:val="both"/>
        <w:rPr>
          <w:rFonts w:ascii="Calibri" w:hAnsi="Calibri"/>
          <w:sz w:val="16"/>
          <w:szCs w:val="16"/>
        </w:rPr>
      </w:pPr>
    </w:p>
    <w:p w:rsidR="00261C33" w:rsidRPr="0028779F" w:rsidRDefault="00261C33" w:rsidP="005E6480">
      <w:pPr>
        <w:pStyle w:val="BodyText"/>
        <w:spacing w:after="0" w:line="240" w:lineRule="auto"/>
        <w:jc w:val="both"/>
        <w:rPr>
          <w:rFonts w:ascii="Calibri" w:hAnsi="Calibri"/>
          <w:szCs w:val="22"/>
        </w:rPr>
      </w:pPr>
      <w:r w:rsidRPr="0028779F">
        <w:rPr>
          <w:rFonts w:ascii="Calibri" w:hAnsi="Calibri"/>
          <w:szCs w:val="22"/>
        </w:rPr>
        <w:t xml:space="preserve">The overall risk assessment rating for Money Remittance / Transfer is </w:t>
      </w:r>
      <w:r w:rsidRPr="0028779F">
        <w:rPr>
          <w:rFonts w:ascii="Calibri" w:hAnsi="Calibri"/>
          <w:b/>
          <w:szCs w:val="22"/>
        </w:rPr>
        <w:t>HIGH</w:t>
      </w:r>
      <w:r w:rsidRPr="0028779F">
        <w:rPr>
          <w:rFonts w:ascii="Calibri" w:hAnsi="Calibri"/>
          <w:szCs w:val="22"/>
        </w:rPr>
        <w:t>.</w:t>
      </w:r>
    </w:p>
    <w:p w:rsidR="00261C33" w:rsidRPr="0028779F" w:rsidRDefault="00261C33" w:rsidP="005E6480">
      <w:pPr>
        <w:pStyle w:val="BodyText"/>
        <w:spacing w:after="0" w:line="240" w:lineRule="auto"/>
        <w:jc w:val="both"/>
        <w:rPr>
          <w:rFonts w:ascii="Calibri" w:hAnsi="Calibri"/>
          <w:szCs w:val="22"/>
        </w:rPr>
      </w:pPr>
    </w:p>
    <w:p w:rsidR="00261C33" w:rsidRPr="0028779F" w:rsidRDefault="00261C33" w:rsidP="005E6480">
      <w:pPr>
        <w:pStyle w:val="BodyText"/>
        <w:spacing w:line="240" w:lineRule="auto"/>
        <w:jc w:val="both"/>
        <w:rPr>
          <w:rFonts w:ascii="Calibri" w:hAnsi="Calibri"/>
          <w:szCs w:val="22"/>
        </w:rPr>
      </w:pPr>
      <w:r w:rsidRPr="0028779F">
        <w:rPr>
          <w:rFonts w:ascii="Calibri" w:hAnsi="Calibri"/>
          <w:szCs w:val="22"/>
        </w:rPr>
        <w:t xml:space="preserve">The features identified in the table of this guide will help businesses in the money remittance and transfer sector conduct risk assessments about money laundering and financing of terrorism. </w:t>
      </w:r>
    </w:p>
    <w:p w:rsidR="00261C33" w:rsidRPr="0028779F" w:rsidRDefault="00261C33" w:rsidP="005E6480">
      <w:pPr>
        <w:pStyle w:val="BodyText"/>
        <w:spacing w:line="240" w:lineRule="auto"/>
        <w:jc w:val="both"/>
        <w:rPr>
          <w:rFonts w:ascii="Calibri" w:hAnsi="Calibri"/>
          <w:szCs w:val="22"/>
        </w:rPr>
      </w:pPr>
      <w:r w:rsidRPr="0028779F">
        <w:rPr>
          <w:rFonts w:ascii="Calibri" w:hAnsi="Calibri"/>
          <w:szCs w:val="22"/>
        </w:rPr>
        <w:t>They will help you create policies and procedures which accurately reflect how much your business could be affected by money laundering.</w:t>
      </w:r>
    </w:p>
    <w:p w:rsidR="00261C33" w:rsidRPr="0028779F" w:rsidRDefault="00261C33" w:rsidP="005E6480">
      <w:pPr>
        <w:pStyle w:val="BodyText"/>
        <w:spacing w:line="240" w:lineRule="auto"/>
        <w:jc w:val="both"/>
        <w:rPr>
          <w:rFonts w:ascii="Calibri" w:hAnsi="Calibri"/>
          <w:szCs w:val="22"/>
        </w:rPr>
      </w:pPr>
      <w:r w:rsidRPr="0028779F">
        <w:rPr>
          <w:rFonts w:ascii="Calibri" w:hAnsi="Calibri"/>
          <w:szCs w:val="22"/>
        </w:rPr>
        <w:t>The table does not cover every way a money launderer may use your business. It reflects ways that money launderers have acted in the past. We encourage you to think about other situations that may apply to your specific business.</w:t>
      </w:r>
    </w:p>
    <w:p w:rsidR="00261C33" w:rsidRPr="0028779F" w:rsidRDefault="00261C33" w:rsidP="005E6480">
      <w:pPr>
        <w:pStyle w:val="BodyText"/>
        <w:spacing w:line="240" w:lineRule="auto"/>
        <w:jc w:val="both"/>
        <w:rPr>
          <w:rFonts w:ascii="Calibri" w:hAnsi="Calibri"/>
          <w:szCs w:val="22"/>
        </w:rPr>
      </w:pPr>
      <w:r w:rsidRPr="0028779F">
        <w:rPr>
          <w:rFonts w:ascii="Calibri" w:hAnsi="Calibri"/>
          <w:szCs w:val="22"/>
        </w:rPr>
        <w:t xml:space="preserve">Transactions or activities listed in the table may not necessarily signal money laundering if they are consistent with a customer’s legitimate business. </w:t>
      </w:r>
    </w:p>
    <w:p w:rsidR="00261C33" w:rsidRPr="0028779F" w:rsidRDefault="00261C33" w:rsidP="005E6480">
      <w:pPr>
        <w:pStyle w:val="BodyText"/>
        <w:spacing w:line="240" w:lineRule="auto"/>
        <w:jc w:val="both"/>
        <w:rPr>
          <w:rFonts w:ascii="Calibri" w:hAnsi="Calibri"/>
          <w:szCs w:val="22"/>
        </w:rPr>
      </w:pPr>
      <w:r w:rsidRPr="0028779F">
        <w:rPr>
          <w:rFonts w:ascii="Calibri" w:hAnsi="Calibri"/>
          <w:szCs w:val="22"/>
        </w:rPr>
        <w:t>Based on knowledge of your own business you should decide what risk particular customers or transactions pose and how you can lessen that risk.</w:t>
      </w:r>
    </w:p>
    <w:p w:rsidR="00261C33" w:rsidRDefault="00261C33" w:rsidP="0077516B">
      <w:pPr>
        <w:pStyle w:val="BodyText"/>
        <w:spacing w:after="0" w:line="240" w:lineRule="auto"/>
        <w:jc w:val="both"/>
        <w:rPr>
          <w:rFonts w:ascii="Calibri" w:hAnsi="Calibri"/>
          <w:sz w:val="21"/>
          <w:szCs w:val="21"/>
        </w:rPr>
      </w:pPr>
    </w:p>
    <w:p w:rsidR="00261C33" w:rsidRPr="0077516B" w:rsidRDefault="00261C33" w:rsidP="0077516B">
      <w:pPr>
        <w:pStyle w:val="BodyText"/>
        <w:spacing w:after="0" w:line="240" w:lineRule="auto"/>
        <w:jc w:val="both"/>
        <w:rPr>
          <w:rFonts w:ascii="Calibri" w:hAnsi="Calibri"/>
          <w:sz w:val="16"/>
          <w:szCs w:val="16"/>
        </w:rPr>
      </w:pPr>
    </w:p>
    <w:tbl>
      <w:tblPr>
        <w:tblW w:w="104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1E0"/>
      </w:tblPr>
      <w:tblGrid>
        <w:gridCol w:w="2160"/>
        <w:gridCol w:w="1857"/>
        <w:gridCol w:w="3183"/>
        <w:gridCol w:w="3240"/>
      </w:tblGrid>
      <w:tr w:rsidR="00261C33" w:rsidRPr="00122F59" w:rsidTr="00E726F7">
        <w:trPr>
          <w:tblHeader/>
        </w:trPr>
        <w:tc>
          <w:tcPr>
            <w:tcW w:w="4017" w:type="dxa"/>
            <w:gridSpan w:val="2"/>
            <w:tcBorders>
              <w:top w:val="single" w:sz="4" w:space="0" w:color="auto"/>
            </w:tcBorders>
            <w:shd w:val="clear" w:color="000000" w:fill="E6E6E6"/>
            <w:vAlign w:val="center"/>
          </w:tcPr>
          <w:p w:rsidR="00261C33" w:rsidRPr="00E726F7" w:rsidRDefault="00261C33" w:rsidP="00E726F7">
            <w:pPr>
              <w:pStyle w:val="BodyText"/>
              <w:spacing w:after="0" w:line="240" w:lineRule="auto"/>
              <w:jc w:val="center"/>
              <w:rPr>
                <w:rFonts w:ascii="Calibri" w:hAnsi="Calibri"/>
                <w:b/>
                <w:bCs/>
              </w:rPr>
            </w:pPr>
          </w:p>
        </w:tc>
        <w:tc>
          <w:tcPr>
            <w:tcW w:w="3183" w:type="dxa"/>
            <w:tcBorders>
              <w:top w:val="single" w:sz="4" w:space="0" w:color="auto"/>
            </w:tcBorders>
            <w:shd w:val="clear" w:color="000000" w:fill="E6E6E6"/>
            <w:vAlign w:val="center"/>
          </w:tcPr>
          <w:p w:rsidR="00261C33" w:rsidRPr="00E726F7" w:rsidRDefault="00261C33" w:rsidP="00E726F7">
            <w:pPr>
              <w:pStyle w:val="BodyText"/>
              <w:spacing w:after="0" w:line="240" w:lineRule="auto"/>
              <w:jc w:val="center"/>
              <w:rPr>
                <w:rFonts w:ascii="Calibri" w:hAnsi="Calibri"/>
                <w:b/>
                <w:bCs/>
                <w:sz w:val="21"/>
                <w:szCs w:val="21"/>
              </w:rPr>
            </w:pPr>
            <w:r w:rsidRPr="00E726F7">
              <w:rPr>
                <w:rFonts w:ascii="Calibri" w:hAnsi="Calibri"/>
                <w:b/>
                <w:bCs/>
                <w:sz w:val="21"/>
                <w:szCs w:val="21"/>
              </w:rPr>
              <w:t>HIGHER RISK CHARACTERISTICS</w:t>
            </w:r>
          </w:p>
        </w:tc>
        <w:tc>
          <w:tcPr>
            <w:tcW w:w="3240" w:type="dxa"/>
            <w:tcBorders>
              <w:top w:val="single" w:sz="4" w:space="0" w:color="auto"/>
            </w:tcBorders>
            <w:shd w:val="clear" w:color="000000" w:fill="E6E6E6"/>
            <w:vAlign w:val="center"/>
          </w:tcPr>
          <w:p w:rsidR="00261C33" w:rsidRPr="00E726F7" w:rsidRDefault="00261C33" w:rsidP="00E726F7">
            <w:pPr>
              <w:pStyle w:val="BodyText"/>
              <w:spacing w:after="0" w:line="240" w:lineRule="auto"/>
              <w:jc w:val="center"/>
              <w:rPr>
                <w:rFonts w:ascii="Calibri" w:hAnsi="Calibri"/>
                <w:b/>
                <w:bCs/>
                <w:sz w:val="21"/>
                <w:szCs w:val="21"/>
              </w:rPr>
            </w:pPr>
            <w:r w:rsidRPr="00E726F7">
              <w:rPr>
                <w:rFonts w:ascii="Calibri" w:hAnsi="Calibri"/>
                <w:b/>
                <w:bCs/>
                <w:sz w:val="21"/>
                <w:szCs w:val="21"/>
              </w:rPr>
              <w:t>LOWER RISK CHARACTERISTICS</w:t>
            </w:r>
          </w:p>
        </w:tc>
      </w:tr>
      <w:tr w:rsidR="00261C33" w:rsidRPr="00122F59" w:rsidTr="00E726F7">
        <w:trPr>
          <w:cantSplit/>
          <w:trHeight w:val="608"/>
        </w:trPr>
        <w:tc>
          <w:tcPr>
            <w:tcW w:w="4017" w:type="dxa"/>
            <w:gridSpan w:val="2"/>
            <w:vMerge w:val="restart"/>
            <w:shd w:val="clear" w:color="auto" w:fill="E6E6E6"/>
            <w:vAlign w:val="center"/>
          </w:tcPr>
          <w:p w:rsidR="00261C33" w:rsidRPr="00E726F7" w:rsidRDefault="00261C33" w:rsidP="00E726F7">
            <w:pPr>
              <w:pStyle w:val="BodyText"/>
              <w:spacing w:after="0" w:line="240" w:lineRule="auto"/>
              <w:rPr>
                <w:rFonts w:ascii="Calibri" w:hAnsi="Calibri"/>
              </w:rPr>
            </w:pPr>
            <w:r w:rsidRPr="00E726F7">
              <w:rPr>
                <w:rFonts w:ascii="Calibri" w:hAnsi="Calibri"/>
                <w:b/>
                <w:szCs w:val="22"/>
              </w:rPr>
              <w:t>Services Offered</w:t>
            </w:r>
          </w:p>
        </w:tc>
        <w:tc>
          <w:tcPr>
            <w:tcW w:w="3183"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Money remittance which enables cash or value to be transferred overseas;</w:t>
            </w:r>
          </w:p>
        </w:tc>
        <w:tc>
          <w:tcPr>
            <w:tcW w:w="3240"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Domestic transfers (of cash or value);</w:t>
            </w:r>
          </w:p>
        </w:tc>
      </w:tr>
      <w:tr w:rsidR="00261C33" w:rsidRPr="00122F59" w:rsidTr="00E726F7">
        <w:trPr>
          <w:cantSplit/>
          <w:trHeight w:val="300"/>
        </w:trPr>
        <w:tc>
          <w:tcPr>
            <w:tcW w:w="4017" w:type="dxa"/>
            <w:gridSpan w:val="2"/>
            <w:vMerge/>
            <w:shd w:val="clear" w:color="auto" w:fill="E6E6E6"/>
            <w:vAlign w:val="center"/>
          </w:tcPr>
          <w:p w:rsidR="00261C33" w:rsidRPr="00E726F7" w:rsidRDefault="00261C33" w:rsidP="00E726F7">
            <w:pPr>
              <w:pStyle w:val="BodyText"/>
              <w:spacing w:after="0" w:line="240" w:lineRule="auto"/>
              <w:rPr>
                <w:rFonts w:ascii="Calibri" w:hAnsi="Calibri"/>
                <w:b/>
              </w:rPr>
            </w:pPr>
          </w:p>
        </w:tc>
        <w:tc>
          <w:tcPr>
            <w:tcW w:w="3183"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Payment by prepaid cards;</w:t>
            </w:r>
          </w:p>
        </w:tc>
        <w:tc>
          <w:tcPr>
            <w:tcW w:w="3240" w:type="dxa"/>
          </w:tcPr>
          <w:p w:rsidR="00261C33" w:rsidRPr="00E726F7" w:rsidRDefault="00261C33" w:rsidP="00E726F7">
            <w:pPr>
              <w:pStyle w:val="BodyText"/>
              <w:spacing w:after="0" w:line="240" w:lineRule="auto"/>
              <w:rPr>
                <w:rFonts w:ascii="Calibri" w:hAnsi="Calibri"/>
                <w:sz w:val="21"/>
                <w:szCs w:val="21"/>
              </w:rPr>
            </w:pPr>
          </w:p>
        </w:tc>
      </w:tr>
      <w:tr w:rsidR="00261C33" w:rsidRPr="00122F59" w:rsidTr="00E726F7">
        <w:trPr>
          <w:cantSplit/>
          <w:trHeight w:val="488"/>
        </w:trPr>
        <w:tc>
          <w:tcPr>
            <w:tcW w:w="2160" w:type="dxa"/>
            <w:vMerge w:val="restart"/>
            <w:shd w:val="clear" w:color="auto" w:fill="E6E6E6"/>
            <w:vAlign w:val="center"/>
          </w:tcPr>
          <w:p w:rsidR="00261C33" w:rsidRPr="00E726F7" w:rsidRDefault="00261C33" w:rsidP="00E726F7">
            <w:pPr>
              <w:pStyle w:val="BodyText"/>
              <w:spacing w:after="0" w:line="240" w:lineRule="auto"/>
              <w:rPr>
                <w:rFonts w:ascii="Calibri" w:hAnsi="Calibri"/>
                <w:b/>
              </w:rPr>
            </w:pPr>
            <w:r w:rsidRPr="00E726F7">
              <w:rPr>
                <w:rFonts w:ascii="Calibri" w:hAnsi="Calibri"/>
                <w:b/>
                <w:szCs w:val="22"/>
              </w:rPr>
              <w:t>Nature and Complexity of the Business</w:t>
            </w:r>
          </w:p>
        </w:tc>
        <w:tc>
          <w:tcPr>
            <w:tcW w:w="1857" w:type="dxa"/>
            <w:vMerge w:val="restart"/>
            <w:vAlign w:val="center"/>
          </w:tcPr>
          <w:p w:rsidR="00261C33" w:rsidRPr="00E726F7" w:rsidRDefault="00261C33" w:rsidP="00E726F7">
            <w:pPr>
              <w:pStyle w:val="BodyText"/>
              <w:spacing w:after="0" w:line="240" w:lineRule="auto"/>
              <w:rPr>
                <w:rFonts w:ascii="Calibri" w:hAnsi="Calibri"/>
              </w:rPr>
            </w:pPr>
            <w:r w:rsidRPr="00E726F7">
              <w:rPr>
                <w:rFonts w:ascii="Calibri" w:hAnsi="Calibri"/>
                <w:szCs w:val="22"/>
              </w:rPr>
              <w:t>Transfer of funds</w:t>
            </w:r>
          </w:p>
        </w:tc>
        <w:tc>
          <w:tcPr>
            <w:tcW w:w="3183"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The initiation or receipt of a remittance transaction by mobile phone;</w:t>
            </w:r>
          </w:p>
        </w:tc>
        <w:tc>
          <w:tcPr>
            <w:tcW w:w="3240"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Cash deposit into a bank account with a financial institution;</w:t>
            </w:r>
          </w:p>
        </w:tc>
      </w:tr>
      <w:tr w:rsidR="00261C33" w:rsidRPr="00122F59" w:rsidTr="00E726F7">
        <w:trPr>
          <w:cantSplit/>
          <w:trHeight w:val="308"/>
        </w:trPr>
        <w:tc>
          <w:tcPr>
            <w:tcW w:w="2160" w:type="dxa"/>
            <w:vMerge/>
            <w:shd w:val="clear" w:color="auto" w:fill="E6E6E6"/>
            <w:vAlign w:val="center"/>
          </w:tcPr>
          <w:p w:rsidR="00261C33" w:rsidRPr="00E726F7" w:rsidRDefault="00261C33" w:rsidP="00E726F7">
            <w:pPr>
              <w:pStyle w:val="BodyText"/>
              <w:spacing w:after="0" w:line="240" w:lineRule="auto"/>
              <w:rPr>
                <w:rFonts w:ascii="Calibri" w:hAnsi="Calibri"/>
                <w:b/>
              </w:rPr>
            </w:pPr>
          </w:p>
        </w:tc>
        <w:tc>
          <w:tcPr>
            <w:tcW w:w="1857" w:type="dxa"/>
            <w:vMerge/>
            <w:vAlign w:val="center"/>
          </w:tcPr>
          <w:p w:rsidR="00261C33" w:rsidRPr="00E726F7" w:rsidRDefault="00261C33" w:rsidP="00E726F7">
            <w:pPr>
              <w:pStyle w:val="BodyText"/>
              <w:spacing w:after="0" w:line="240" w:lineRule="auto"/>
              <w:rPr>
                <w:rFonts w:ascii="Calibri" w:hAnsi="Calibri"/>
              </w:rPr>
            </w:pPr>
          </w:p>
        </w:tc>
        <w:tc>
          <w:tcPr>
            <w:tcW w:w="3183"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Online money transfer;</w:t>
            </w:r>
          </w:p>
        </w:tc>
        <w:tc>
          <w:tcPr>
            <w:tcW w:w="3240" w:type="dxa"/>
          </w:tcPr>
          <w:p w:rsidR="00261C33" w:rsidRPr="00E726F7" w:rsidRDefault="00261C33" w:rsidP="00E726F7">
            <w:pPr>
              <w:pStyle w:val="BodyText"/>
              <w:spacing w:after="0" w:line="240" w:lineRule="auto"/>
              <w:rPr>
                <w:rFonts w:ascii="Calibri" w:hAnsi="Calibri"/>
                <w:sz w:val="21"/>
                <w:szCs w:val="21"/>
                <w:highlight w:val="yellow"/>
              </w:rPr>
            </w:pPr>
          </w:p>
        </w:tc>
      </w:tr>
      <w:tr w:rsidR="00261C33" w:rsidRPr="00122F59" w:rsidTr="00E726F7">
        <w:trPr>
          <w:cantSplit/>
          <w:trHeight w:val="638"/>
        </w:trPr>
        <w:tc>
          <w:tcPr>
            <w:tcW w:w="2160" w:type="dxa"/>
            <w:vMerge/>
            <w:shd w:val="clear" w:color="auto" w:fill="E6E6E6"/>
            <w:vAlign w:val="center"/>
          </w:tcPr>
          <w:p w:rsidR="00261C33" w:rsidRPr="00E726F7" w:rsidRDefault="00261C33" w:rsidP="00E726F7">
            <w:pPr>
              <w:pStyle w:val="BodyText"/>
              <w:spacing w:after="0" w:line="240" w:lineRule="auto"/>
              <w:rPr>
                <w:rFonts w:ascii="Calibri" w:hAnsi="Calibri"/>
                <w:b/>
              </w:rPr>
            </w:pPr>
          </w:p>
        </w:tc>
        <w:tc>
          <w:tcPr>
            <w:tcW w:w="1857" w:type="dxa"/>
            <w:vMerge/>
            <w:vAlign w:val="center"/>
          </w:tcPr>
          <w:p w:rsidR="00261C33" w:rsidRPr="00E726F7" w:rsidRDefault="00261C33" w:rsidP="00E726F7">
            <w:pPr>
              <w:pStyle w:val="BodyText"/>
              <w:spacing w:after="0" w:line="240" w:lineRule="auto"/>
              <w:rPr>
                <w:rFonts w:ascii="Calibri" w:hAnsi="Calibri"/>
              </w:rPr>
            </w:pPr>
          </w:p>
        </w:tc>
        <w:tc>
          <w:tcPr>
            <w:tcW w:w="3183"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Customers sending money on the same day to several locations, to the same or different recipients;</w:t>
            </w:r>
          </w:p>
        </w:tc>
        <w:tc>
          <w:tcPr>
            <w:tcW w:w="3240" w:type="dxa"/>
          </w:tcPr>
          <w:p w:rsidR="00261C33" w:rsidRPr="00E726F7" w:rsidRDefault="00261C33" w:rsidP="00E726F7">
            <w:pPr>
              <w:pStyle w:val="BodyText"/>
              <w:spacing w:after="0" w:line="240" w:lineRule="auto"/>
              <w:ind w:left="-232"/>
              <w:rPr>
                <w:sz w:val="21"/>
                <w:szCs w:val="21"/>
              </w:rPr>
            </w:pPr>
          </w:p>
        </w:tc>
      </w:tr>
      <w:tr w:rsidR="00261C33" w:rsidRPr="00122F59" w:rsidTr="00E726F7">
        <w:trPr>
          <w:cantSplit/>
          <w:trHeight w:val="1024"/>
        </w:trPr>
        <w:tc>
          <w:tcPr>
            <w:tcW w:w="2160" w:type="dxa"/>
            <w:vMerge/>
            <w:shd w:val="clear" w:color="auto" w:fill="E6E6E6"/>
            <w:vAlign w:val="center"/>
          </w:tcPr>
          <w:p w:rsidR="00261C33" w:rsidRPr="00E726F7" w:rsidRDefault="00261C33" w:rsidP="00E726F7">
            <w:pPr>
              <w:pStyle w:val="BodyText"/>
              <w:spacing w:after="0" w:line="240" w:lineRule="auto"/>
              <w:rPr>
                <w:rFonts w:ascii="Calibri" w:hAnsi="Calibri"/>
                <w:b/>
              </w:rPr>
            </w:pPr>
          </w:p>
        </w:tc>
        <w:tc>
          <w:tcPr>
            <w:tcW w:w="1857" w:type="dxa"/>
            <w:vMerge/>
            <w:vAlign w:val="center"/>
          </w:tcPr>
          <w:p w:rsidR="00261C33" w:rsidRPr="00E726F7" w:rsidRDefault="00261C33" w:rsidP="00E726F7">
            <w:pPr>
              <w:pStyle w:val="BodyText"/>
              <w:spacing w:after="0" w:line="240" w:lineRule="auto"/>
              <w:rPr>
                <w:rFonts w:ascii="Calibri" w:hAnsi="Calibri"/>
              </w:rPr>
            </w:pPr>
          </w:p>
        </w:tc>
        <w:tc>
          <w:tcPr>
            <w:tcW w:w="3183" w:type="dxa"/>
          </w:tcPr>
          <w:p w:rsidR="00261C33" w:rsidRPr="00E726F7" w:rsidRDefault="00261C33" w:rsidP="00E726F7">
            <w:pPr>
              <w:pStyle w:val="BodyText"/>
              <w:spacing w:after="0"/>
              <w:rPr>
                <w:rFonts w:ascii="Calibri" w:hAnsi="Calibri"/>
                <w:sz w:val="21"/>
                <w:szCs w:val="21"/>
              </w:rPr>
            </w:pPr>
            <w:r w:rsidRPr="00E726F7">
              <w:rPr>
                <w:rFonts w:ascii="Calibri" w:hAnsi="Calibri"/>
                <w:sz w:val="21"/>
                <w:szCs w:val="21"/>
              </w:rPr>
              <w:t>Large or frequent transfers of money, in particular, a sudden increase in business from an existing customer;</w:t>
            </w:r>
          </w:p>
        </w:tc>
        <w:tc>
          <w:tcPr>
            <w:tcW w:w="3240" w:type="dxa"/>
          </w:tcPr>
          <w:p w:rsidR="00261C33" w:rsidRPr="00E726F7" w:rsidRDefault="00261C33" w:rsidP="00E726F7">
            <w:pPr>
              <w:pStyle w:val="BodyText"/>
              <w:spacing w:after="0" w:line="240" w:lineRule="auto"/>
              <w:ind w:left="-232"/>
              <w:rPr>
                <w:sz w:val="21"/>
                <w:szCs w:val="21"/>
              </w:rPr>
            </w:pPr>
          </w:p>
        </w:tc>
      </w:tr>
      <w:tr w:rsidR="00261C33" w:rsidRPr="00122F59" w:rsidTr="00E726F7">
        <w:trPr>
          <w:cantSplit/>
          <w:trHeight w:val="563"/>
        </w:trPr>
        <w:tc>
          <w:tcPr>
            <w:tcW w:w="2160" w:type="dxa"/>
            <w:vMerge/>
            <w:shd w:val="clear" w:color="auto" w:fill="E6E6E6"/>
            <w:vAlign w:val="center"/>
          </w:tcPr>
          <w:p w:rsidR="00261C33" w:rsidRPr="00E726F7" w:rsidRDefault="00261C33" w:rsidP="00E726F7">
            <w:pPr>
              <w:pStyle w:val="BodyText"/>
              <w:spacing w:after="0" w:line="240" w:lineRule="auto"/>
              <w:rPr>
                <w:rFonts w:ascii="Calibri" w:hAnsi="Calibri"/>
                <w:b/>
              </w:rPr>
            </w:pPr>
          </w:p>
        </w:tc>
        <w:tc>
          <w:tcPr>
            <w:tcW w:w="1857" w:type="dxa"/>
            <w:vMerge/>
            <w:vAlign w:val="center"/>
          </w:tcPr>
          <w:p w:rsidR="00261C33" w:rsidRPr="00E726F7" w:rsidRDefault="00261C33" w:rsidP="00E726F7">
            <w:pPr>
              <w:pStyle w:val="BodyText"/>
              <w:spacing w:after="0" w:line="240" w:lineRule="auto"/>
              <w:rPr>
                <w:rFonts w:ascii="Calibri" w:hAnsi="Calibri"/>
              </w:rPr>
            </w:pPr>
          </w:p>
        </w:tc>
        <w:tc>
          <w:tcPr>
            <w:tcW w:w="3183" w:type="dxa"/>
          </w:tcPr>
          <w:p w:rsidR="00261C33" w:rsidRPr="00E726F7" w:rsidRDefault="00261C33" w:rsidP="00E726F7">
            <w:pPr>
              <w:pStyle w:val="BodyText"/>
              <w:spacing w:after="0"/>
              <w:rPr>
                <w:rFonts w:ascii="Calibri" w:hAnsi="Calibri"/>
                <w:sz w:val="21"/>
                <w:szCs w:val="21"/>
              </w:rPr>
            </w:pPr>
            <w:r w:rsidRPr="00E726F7">
              <w:rPr>
                <w:rFonts w:ascii="Calibri" w:hAnsi="Calibri"/>
                <w:sz w:val="21"/>
                <w:szCs w:val="21"/>
              </w:rPr>
              <w:t>Transactions in amounts just below the level needing identity checks by the same customer in a short time;</w:t>
            </w:r>
          </w:p>
        </w:tc>
        <w:tc>
          <w:tcPr>
            <w:tcW w:w="3240" w:type="dxa"/>
          </w:tcPr>
          <w:p w:rsidR="00261C33" w:rsidRPr="00E726F7" w:rsidRDefault="00261C33" w:rsidP="00E726F7">
            <w:pPr>
              <w:pStyle w:val="BodyText"/>
              <w:spacing w:after="0" w:line="240" w:lineRule="auto"/>
              <w:ind w:left="-232"/>
              <w:rPr>
                <w:sz w:val="21"/>
                <w:szCs w:val="21"/>
              </w:rPr>
            </w:pPr>
          </w:p>
        </w:tc>
      </w:tr>
      <w:tr w:rsidR="00261C33" w:rsidRPr="00122F59" w:rsidTr="00E726F7">
        <w:trPr>
          <w:cantSplit/>
          <w:trHeight w:val="562"/>
        </w:trPr>
        <w:tc>
          <w:tcPr>
            <w:tcW w:w="2160" w:type="dxa"/>
            <w:vMerge/>
            <w:shd w:val="clear" w:color="auto" w:fill="E6E6E6"/>
            <w:vAlign w:val="center"/>
          </w:tcPr>
          <w:p w:rsidR="00261C33" w:rsidRPr="00E726F7" w:rsidRDefault="00261C33" w:rsidP="00E726F7">
            <w:pPr>
              <w:pStyle w:val="BodyText"/>
              <w:spacing w:after="0" w:line="240" w:lineRule="auto"/>
              <w:rPr>
                <w:rFonts w:ascii="Calibri" w:hAnsi="Calibri"/>
                <w:b/>
              </w:rPr>
            </w:pPr>
          </w:p>
        </w:tc>
        <w:tc>
          <w:tcPr>
            <w:tcW w:w="1857" w:type="dxa"/>
            <w:vMerge/>
            <w:vAlign w:val="center"/>
          </w:tcPr>
          <w:p w:rsidR="00261C33" w:rsidRPr="00E726F7" w:rsidRDefault="00261C33" w:rsidP="00E726F7">
            <w:pPr>
              <w:pStyle w:val="BodyText"/>
              <w:spacing w:after="0" w:line="240" w:lineRule="auto"/>
              <w:rPr>
                <w:rFonts w:ascii="Calibri" w:hAnsi="Calibri"/>
              </w:rPr>
            </w:pPr>
          </w:p>
        </w:tc>
        <w:tc>
          <w:tcPr>
            <w:tcW w:w="3183" w:type="dxa"/>
          </w:tcPr>
          <w:p w:rsidR="00261C33" w:rsidRPr="00E726F7" w:rsidRDefault="00261C33" w:rsidP="00E726F7">
            <w:pPr>
              <w:pStyle w:val="BodyText"/>
              <w:spacing w:after="0"/>
              <w:rPr>
                <w:rFonts w:ascii="Calibri" w:hAnsi="Calibri"/>
                <w:sz w:val="21"/>
                <w:szCs w:val="21"/>
              </w:rPr>
            </w:pPr>
            <w:r w:rsidRPr="00E726F7">
              <w:rPr>
                <w:rFonts w:ascii="Calibri" w:hAnsi="Calibri"/>
                <w:sz w:val="21"/>
                <w:szCs w:val="21"/>
              </w:rPr>
              <w:t>Money sent to or received from areas known to have high levels of criminal activity;</w:t>
            </w:r>
          </w:p>
        </w:tc>
        <w:tc>
          <w:tcPr>
            <w:tcW w:w="3240" w:type="dxa"/>
          </w:tcPr>
          <w:p w:rsidR="00261C33" w:rsidRPr="00E726F7" w:rsidRDefault="00261C33" w:rsidP="00E726F7">
            <w:pPr>
              <w:pStyle w:val="BodyText"/>
              <w:spacing w:after="0" w:line="240" w:lineRule="auto"/>
              <w:ind w:left="-232"/>
              <w:rPr>
                <w:sz w:val="21"/>
                <w:szCs w:val="21"/>
              </w:rPr>
            </w:pPr>
          </w:p>
        </w:tc>
      </w:tr>
      <w:tr w:rsidR="00261C33" w:rsidRPr="00122F59" w:rsidTr="00E726F7">
        <w:trPr>
          <w:cantSplit/>
          <w:trHeight w:val="771"/>
        </w:trPr>
        <w:tc>
          <w:tcPr>
            <w:tcW w:w="2160" w:type="dxa"/>
            <w:vMerge/>
            <w:shd w:val="clear" w:color="auto" w:fill="E6E6E6"/>
            <w:vAlign w:val="center"/>
          </w:tcPr>
          <w:p w:rsidR="00261C33" w:rsidRPr="00E726F7" w:rsidRDefault="00261C33" w:rsidP="00E726F7">
            <w:pPr>
              <w:pStyle w:val="BodyText"/>
              <w:spacing w:after="0" w:line="240" w:lineRule="auto"/>
              <w:rPr>
                <w:rFonts w:ascii="Calibri" w:hAnsi="Calibri"/>
                <w:b/>
              </w:rPr>
            </w:pPr>
          </w:p>
        </w:tc>
        <w:tc>
          <w:tcPr>
            <w:tcW w:w="1857" w:type="dxa"/>
            <w:vMerge w:val="restart"/>
            <w:vAlign w:val="center"/>
          </w:tcPr>
          <w:p w:rsidR="00261C33" w:rsidRPr="00E726F7" w:rsidRDefault="00261C33" w:rsidP="00E726F7">
            <w:pPr>
              <w:pStyle w:val="BodyText"/>
              <w:spacing w:after="0" w:line="240" w:lineRule="auto"/>
              <w:rPr>
                <w:rFonts w:ascii="Calibri" w:hAnsi="Calibri"/>
              </w:rPr>
            </w:pPr>
            <w:r w:rsidRPr="00E726F7">
              <w:rPr>
                <w:rFonts w:ascii="Calibri" w:hAnsi="Calibri"/>
                <w:szCs w:val="22"/>
              </w:rPr>
              <w:t>Method (s) of settlement</w:t>
            </w:r>
          </w:p>
        </w:tc>
        <w:tc>
          <w:tcPr>
            <w:tcW w:w="3183"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 xml:space="preserve">Balancing of accounts through alternative channels such as cash couriers; </w:t>
            </w:r>
          </w:p>
        </w:tc>
        <w:tc>
          <w:tcPr>
            <w:tcW w:w="3240"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 xml:space="preserve">Settlement through traditional banking channels;   </w:t>
            </w:r>
          </w:p>
        </w:tc>
      </w:tr>
      <w:tr w:rsidR="00261C33" w:rsidRPr="00122F59" w:rsidTr="00E726F7">
        <w:trPr>
          <w:cantSplit/>
          <w:trHeight w:val="260"/>
        </w:trPr>
        <w:tc>
          <w:tcPr>
            <w:tcW w:w="2160" w:type="dxa"/>
            <w:vMerge/>
            <w:shd w:val="clear" w:color="auto" w:fill="E6E6E6"/>
            <w:vAlign w:val="center"/>
          </w:tcPr>
          <w:p w:rsidR="00261C33" w:rsidRPr="00E726F7" w:rsidRDefault="00261C33" w:rsidP="00E726F7">
            <w:pPr>
              <w:pStyle w:val="BodyText"/>
              <w:spacing w:after="0" w:line="240" w:lineRule="auto"/>
              <w:rPr>
                <w:rFonts w:ascii="Calibri" w:hAnsi="Calibri"/>
                <w:b/>
              </w:rPr>
            </w:pPr>
          </w:p>
        </w:tc>
        <w:tc>
          <w:tcPr>
            <w:tcW w:w="1857" w:type="dxa"/>
            <w:vMerge/>
            <w:vAlign w:val="center"/>
          </w:tcPr>
          <w:p w:rsidR="00261C33" w:rsidRPr="00E726F7" w:rsidRDefault="00261C33" w:rsidP="00E726F7">
            <w:pPr>
              <w:pStyle w:val="BodyText"/>
              <w:spacing w:after="0" w:line="240" w:lineRule="auto"/>
              <w:rPr>
                <w:rFonts w:ascii="Calibri" w:hAnsi="Calibri"/>
              </w:rPr>
            </w:pPr>
          </w:p>
        </w:tc>
        <w:tc>
          <w:tcPr>
            <w:tcW w:w="3183"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Transactions bundled together over weeks or months to combine funds;</w:t>
            </w:r>
          </w:p>
        </w:tc>
        <w:tc>
          <w:tcPr>
            <w:tcW w:w="3240" w:type="dxa"/>
          </w:tcPr>
          <w:p w:rsidR="00261C33" w:rsidRPr="00E726F7" w:rsidRDefault="00261C33" w:rsidP="00E726F7">
            <w:pPr>
              <w:pStyle w:val="BodyText"/>
              <w:spacing w:after="0" w:line="240" w:lineRule="auto"/>
              <w:rPr>
                <w:rFonts w:ascii="Calibri" w:hAnsi="Calibri"/>
                <w:sz w:val="21"/>
                <w:szCs w:val="21"/>
              </w:rPr>
            </w:pPr>
          </w:p>
        </w:tc>
      </w:tr>
      <w:tr w:rsidR="00261C33" w:rsidRPr="00122F59" w:rsidTr="00E726F7">
        <w:trPr>
          <w:cantSplit/>
          <w:trHeight w:val="914"/>
        </w:trPr>
        <w:tc>
          <w:tcPr>
            <w:tcW w:w="2160" w:type="dxa"/>
            <w:vMerge/>
            <w:shd w:val="clear" w:color="auto" w:fill="E6E6E6"/>
            <w:vAlign w:val="center"/>
          </w:tcPr>
          <w:p w:rsidR="00261C33" w:rsidRPr="00E726F7" w:rsidRDefault="00261C33" w:rsidP="00E726F7">
            <w:pPr>
              <w:pStyle w:val="BodyText"/>
              <w:spacing w:after="0" w:line="240" w:lineRule="auto"/>
              <w:rPr>
                <w:rFonts w:ascii="Calibri" w:hAnsi="Calibri"/>
                <w:b/>
              </w:rPr>
            </w:pPr>
          </w:p>
        </w:tc>
        <w:tc>
          <w:tcPr>
            <w:tcW w:w="1857" w:type="dxa"/>
            <w:vMerge/>
            <w:vAlign w:val="center"/>
          </w:tcPr>
          <w:p w:rsidR="00261C33" w:rsidRPr="00E726F7" w:rsidRDefault="00261C33" w:rsidP="00E726F7">
            <w:pPr>
              <w:pStyle w:val="BodyText"/>
              <w:spacing w:after="0" w:line="240" w:lineRule="auto"/>
              <w:rPr>
                <w:rFonts w:ascii="Calibri" w:hAnsi="Calibri"/>
              </w:rPr>
            </w:pPr>
          </w:p>
        </w:tc>
        <w:tc>
          <w:tcPr>
            <w:tcW w:w="3183"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 xml:space="preserve">Settling of accounts through trade rather than transfer; counter-valuation done through under-invoicing or over-invoicing of product flows between import </w:t>
            </w:r>
            <w:r>
              <w:rPr>
                <w:rFonts w:ascii="Calibri" w:hAnsi="Calibri"/>
                <w:sz w:val="21"/>
                <w:szCs w:val="21"/>
              </w:rPr>
              <w:t>and/</w:t>
            </w:r>
            <w:r w:rsidRPr="00E726F7">
              <w:rPr>
                <w:rFonts w:ascii="Calibri" w:hAnsi="Calibri"/>
                <w:sz w:val="21"/>
                <w:szCs w:val="21"/>
              </w:rPr>
              <w:t>or export businesses;</w:t>
            </w:r>
          </w:p>
        </w:tc>
        <w:tc>
          <w:tcPr>
            <w:tcW w:w="3240" w:type="dxa"/>
          </w:tcPr>
          <w:p w:rsidR="00261C33" w:rsidRPr="00E726F7" w:rsidRDefault="00261C33" w:rsidP="00E726F7">
            <w:pPr>
              <w:pStyle w:val="BodyText"/>
              <w:spacing w:after="0" w:line="240" w:lineRule="auto"/>
              <w:rPr>
                <w:rFonts w:ascii="Calibri" w:hAnsi="Calibri"/>
                <w:sz w:val="21"/>
                <w:szCs w:val="21"/>
              </w:rPr>
            </w:pPr>
          </w:p>
          <w:p w:rsidR="00261C33" w:rsidRPr="00E726F7" w:rsidRDefault="00261C33" w:rsidP="00E726F7">
            <w:pPr>
              <w:pStyle w:val="BodyText"/>
              <w:spacing w:after="0" w:line="240" w:lineRule="auto"/>
              <w:rPr>
                <w:rFonts w:ascii="Calibri" w:hAnsi="Calibri"/>
                <w:sz w:val="21"/>
                <w:szCs w:val="21"/>
              </w:rPr>
            </w:pPr>
          </w:p>
        </w:tc>
      </w:tr>
      <w:tr w:rsidR="00261C33" w:rsidRPr="00122F59" w:rsidTr="00E726F7">
        <w:trPr>
          <w:cantSplit/>
          <w:trHeight w:val="578"/>
        </w:trPr>
        <w:tc>
          <w:tcPr>
            <w:tcW w:w="2160" w:type="dxa"/>
            <w:vMerge/>
            <w:shd w:val="clear" w:color="auto" w:fill="E6E6E6"/>
            <w:vAlign w:val="center"/>
          </w:tcPr>
          <w:p w:rsidR="00261C33" w:rsidRPr="00E726F7" w:rsidRDefault="00261C33" w:rsidP="00E726F7">
            <w:pPr>
              <w:pStyle w:val="BodyText"/>
              <w:spacing w:after="0" w:line="240" w:lineRule="auto"/>
              <w:rPr>
                <w:rFonts w:ascii="Calibri" w:hAnsi="Calibri"/>
                <w:b/>
              </w:rPr>
            </w:pPr>
          </w:p>
        </w:tc>
        <w:tc>
          <w:tcPr>
            <w:tcW w:w="1857" w:type="dxa"/>
            <w:vMerge/>
            <w:vAlign w:val="center"/>
          </w:tcPr>
          <w:p w:rsidR="00261C33" w:rsidRPr="00E726F7" w:rsidRDefault="00261C33" w:rsidP="00E726F7">
            <w:pPr>
              <w:pStyle w:val="BodyText"/>
              <w:spacing w:after="0" w:line="240" w:lineRule="auto"/>
              <w:rPr>
                <w:rFonts w:ascii="Calibri" w:hAnsi="Calibri"/>
              </w:rPr>
            </w:pPr>
          </w:p>
        </w:tc>
        <w:tc>
          <w:tcPr>
            <w:tcW w:w="3183"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Transactions broken down into multiple/ sequential transactions;</w:t>
            </w:r>
          </w:p>
        </w:tc>
        <w:tc>
          <w:tcPr>
            <w:tcW w:w="3240" w:type="dxa"/>
          </w:tcPr>
          <w:p w:rsidR="00261C33" w:rsidRPr="00E726F7" w:rsidRDefault="00261C33" w:rsidP="00E726F7">
            <w:pPr>
              <w:pStyle w:val="BodyText"/>
              <w:spacing w:after="0" w:line="240" w:lineRule="auto"/>
              <w:rPr>
                <w:rFonts w:ascii="Calibri" w:hAnsi="Calibri"/>
                <w:sz w:val="21"/>
                <w:szCs w:val="21"/>
              </w:rPr>
            </w:pPr>
          </w:p>
        </w:tc>
      </w:tr>
      <w:tr w:rsidR="00261C33" w:rsidRPr="00122F59" w:rsidTr="00E726F7">
        <w:trPr>
          <w:cantSplit/>
          <w:trHeight w:val="475"/>
        </w:trPr>
        <w:tc>
          <w:tcPr>
            <w:tcW w:w="4017" w:type="dxa"/>
            <w:gridSpan w:val="2"/>
            <w:vMerge w:val="restart"/>
            <w:shd w:val="clear" w:color="auto" w:fill="E6E6E6"/>
            <w:vAlign w:val="center"/>
          </w:tcPr>
          <w:p w:rsidR="00261C33" w:rsidRPr="00E726F7" w:rsidRDefault="00261C33" w:rsidP="00E726F7">
            <w:pPr>
              <w:pStyle w:val="BodyText"/>
              <w:spacing w:after="0" w:line="240" w:lineRule="auto"/>
              <w:rPr>
                <w:rFonts w:ascii="Calibri" w:hAnsi="Calibri"/>
              </w:rPr>
            </w:pPr>
            <w:r w:rsidRPr="00E726F7">
              <w:rPr>
                <w:rFonts w:ascii="Calibri" w:hAnsi="Calibri"/>
                <w:b/>
                <w:szCs w:val="22"/>
              </w:rPr>
              <w:t>Customers dealt with</w:t>
            </w:r>
          </w:p>
        </w:tc>
        <w:tc>
          <w:tcPr>
            <w:tcW w:w="3183"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Customers not physically present for identification purposes;</w:t>
            </w:r>
          </w:p>
        </w:tc>
        <w:tc>
          <w:tcPr>
            <w:tcW w:w="3240"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Large volume of business in person-to-person transactions;</w:t>
            </w:r>
          </w:p>
        </w:tc>
      </w:tr>
      <w:tr w:rsidR="00261C33" w:rsidRPr="00122F59" w:rsidTr="00E726F7">
        <w:trPr>
          <w:cantSplit/>
          <w:trHeight w:val="575"/>
        </w:trPr>
        <w:tc>
          <w:tcPr>
            <w:tcW w:w="4017" w:type="dxa"/>
            <w:gridSpan w:val="2"/>
            <w:vMerge/>
            <w:shd w:val="clear" w:color="auto" w:fill="E6E6E6"/>
            <w:vAlign w:val="center"/>
          </w:tcPr>
          <w:p w:rsidR="00261C33" w:rsidRPr="00E726F7" w:rsidRDefault="00261C33" w:rsidP="00E726F7">
            <w:pPr>
              <w:pStyle w:val="BodyText"/>
              <w:spacing w:after="0" w:line="240" w:lineRule="auto"/>
              <w:rPr>
                <w:rFonts w:ascii="Calibri" w:hAnsi="Calibri"/>
              </w:rPr>
            </w:pPr>
          </w:p>
        </w:tc>
        <w:tc>
          <w:tcPr>
            <w:tcW w:w="3183" w:type="dxa"/>
          </w:tcPr>
          <w:p w:rsidR="00261C33" w:rsidRPr="00E726F7" w:rsidRDefault="00261C33" w:rsidP="00E726F7">
            <w:pPr>
              <w:pStyle w:val="BodyText"/>
              <w:spacing w:after="0" w:line="240" w:lineRule="auto"/>
              <w:rPr>
                <w:rFonts w:ascii="Calibri" w:hAnsi="Calibri"/>
                <w:sz w:val="21"/>
                <w:szCs w:val="21"/>
              </w:rPr>
            </w:pPr>
            <w:r>
              <w:rPr>
                <w:rFonts w:ascii="Calibri" w:hAnsi="Calibri"/>
                <w:sz w:val="21"/>
                <w:szCs w:val="21"/>
              </w:rPr>
              <w:t>N</w:t>
            </w:r>
            <w:r w:rsidRPr="00E726F7">
              <w:rPr>
                <w:rFonts w:ascii="Calibri" w:hAnsi="Calibri"/>
                <w:sz w:val="21"/>
                <w:szCs w:val="21"/>
              </w:rPr>
              <w:t>o standing account or business</w:t>
            </w:r>
            <w:r>
              <w:rPr>
                <w:rFonts w:ascii="Calibri" w:hAnsi="Calibri"/>
                <w:sz w:val="21"/>
                <w:szCs w:val="21"/>
              </w:rPr>
              <w:t xml:space="preserve"> relationship with the customer (particularly where there is a high level of business conducted in a transaction);</w:t>
            </w:r>
          </w:p>
        </w:tc>
        <w:tc>
          <w:tcPr>
            <w:tcW w:w="3240" w:type="dxa"/>
          </w:tcPr>
          <w:p w:rsidR="00261C33" w:rsidRPr="00E726F7" w:rsidRDefault="00261C33" w:rsidP="00E726F7">
            <w:pPr>
              <w:pStyle w:val="BodyText"/>
              <w:spacing w:after="0" w:line="240" w:lineRule="auto"/>
              <w:rPr>
                <w:rFonts w:ascii="Calibri" w:hAnsi="Calibri"/>
                <w:sz w:val="21"/>
                <w:szCs w:val="21"/>
              </w:rPr>
            </w:pPr>
          </w:p>
        </w:tc>
      </w:tr>
      <w:tr w:rsidR="00261C33" w:rsidRPr="00122F59" w:rsidTr="00E726F7">
        <w:trPr>
          <w:cantSplit/>
          <w:trHeight w:val="128"/>
        </w:trPr>
        <w:tc>
          <w:tcPr>
            <w:tcW w:w="4017" w:type="dxa"/>
            <w:gridSpan w:val="2"/>
            <w:vMerge/>
            <w:shd w:val="clear" w:color="auto" w:fill="E6E6E6"/>
            <w:vAlign w:val="center"/>
          </w:tcPr>
          <w:p w:rsidR="00261C33" w:rsidRPr="00E726F7" w:rsidRDefault="00261C33" w:rsidP="00E726F7">
            <w:pPr>
              <w:pStyle w:val="BodyText"/>
              <w:spacing w:after="0" w:line="240" w:lineRule="auto"/>
              <w:rPr>
                <w:rFonts w:ascii="Calibri" w:hAnsi="Calibri"/>
              </w:rPr>
            </w:pPr>
          </w:p>
        </w:tc>
        <w:tc>
          <w:tcPr>
            <w:tcW w:w="3183"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High value customers;</w:t>
            </w:r>
          </w:p>
        </w:tc>
        <w:tc>
          <w:tcPr>
            <w:tcW w:w="3240" w:type="dxa"/>
          </w:tcPr>
          <w:p w:rsidR="00261C33" w:rsidRPr="00E726F7" w:rsidRDefault="00261C33" w:rsidP="00E726F7">
            <w:pPr>
              <w:pStyle w:val="BodyText"/>
              <w:spacing w:after="0" w:line="240" w:lineRule="auto"/>
              <w:rPr>
                <w:rFonts w:ascii="Calibri" w:hAnsi="Calibri"/>
                <w:sz w:val="21"/>
                <w:szCs w:val="21"/>
              </w:rPr>
            </w:pPr>
          </w:p>
        </w:tc>
      </w:tr>
      <w:tr w:rsidR="00261C33" w:rsidRPr="00122F59" w:rsidTr="00E726F7">
        <w:trPr>
          <w:cantSplit/>
          <w:trHeight w:val="127"/>
        </w:trPr>
        <w:tc>
          <w:tcPr>
            <w:tcW w:w="4017" w:type="dxa"/>
            <w:gridSpan w:val="2"/>
            <w:vMerge/>
            <w:shd w:val="clear" w:color="auto" w:fill="E6E6E6"/>
            <w:vAlign w:val="center"/>
          </w:tcPr>
          <w:p w:rsidR="00261C33" w:rsidRPr="00E726F7" w:rsidRDefault="00261C33" w:rsidP="00E726F7">
            <w:pPr>
              <w:pStyle w:val="BodyText"/>
              <w:spacing w:after="0" w:line="240" w:lineRule="auto"/>
              <w:rPr>
                <w:rFonts w:ascii="Calibri" w:hAnsi="Calibri"/>
              </w:rPr>
            </w:pPr>
          </w:p>
        </w:tc>
        <w:tc>
          <w:tcPr>
            <w:tcW w:w="3183"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 xml:space="preserve">Customer (s) based in, or conducting transactions in or through, a high-risk country, or a country with known levels of corruption, organised crime, drug production </w:t>
            </w:r>
            <w:r>
              <w:rPr>
                <w:rFonts w:ascii="Calibri" w:hAnsi="Calibri"/>
                <w:sz w:val="21"/>
                <w:szCs w:val="21"/>
              </w:rPr>
              <w:t>and/</w:t>
            </w:r>
            <w:r w:rsidRPr="00E726F7">
              <w:rPr>
                <w:rFonts w:ascii="Calibri" w:hAnsi="Calibri"/>
                <w:sz w:val="21"/>
                <w:szCs w:val="21"/>
              </w:rPr>
              <w:t>or distribution;</w:t>
            </w:r>
          </w:p>
        </w:tc>
        <w:tc>
          <w:tcPr>
            <w:tcW w:w="3240" w:type="dxa"/>
          </w:tcPr>
          <w:p w:rsidR="00261C33" w:rsidRPr="00E726F7" w:rsidRDefault="00261C33" w:rsidP="00E726F7">
            <w:pPr>
              <w:pStyle w:val="BodyText"/>
              <w:spacing w:after="0" w:line="240" w:lineRule="auto"/>
              <w:rPr>
                <w:rFonts w:ascii="Calibri" w:hAnsi="Calibri"/>
                <w:sz w:val="21"/>
                <w:szCs w:val="21"/>
              </w:rPr>
            </w:pPr>
          </w:p>
          <w:p w:rsidR="00261C33" w:rsidRPr="00425D8E" w:rsidRDefault="00261C33" w:rsidP="00425D8E"/>
          <w:p w:rsidR="00261C33" w:rsidRDefault="00261C33" w:rsidP="00425D8E"/>
          <w:p w:rsidR="00261C33" w:rsidRPr="00425D8E" w:rsidRDefault="00261C33" w:rsidP="00E726F7">
            <w:pPr>
              <w:jc w:val="center"/>
            </w:pPr>
          </w:p>
        </w:tc>
      </w:tr>
      <w:tr w:rsidR="00261C33" w:rsidRPr="00122F59" w:rsidTr="00E726F7">
        <w:trPr>
          <w:cantSplit/>
          <w:trHeight w:val="142"/>
        </w:trPr>
        <w:tc>
          <w:tcPr>
            <w:tcW w:w="4017" w:type="dxa"/>
            <w:gridSpan w:val="2"/>
            <w:vMerge/>
            <w:shd w:val="clear" w:color="auto" w:fill="E6E6E6"/>
            <w:vAlign w:val="center"/>
          </w:tcPr>
          <w:p w:rsidR="00261C33" w:rsidRPr="00E726F7" w:rsidRDefault="00261C33" w:rsidP="00E726F7">
            <w:pPr>
              <w:pStyle w:val="BodyText"/>
              <w:spacing w:after="0" w:line="240" w:lineRule="auto"/>
              <w:rPr>
                <w:rFonts w:ascii="Calibri" w:hAnsi="Calibri"/>
              </w:rPr>
            </w:pPr>
          </w:p>
        </w:tc>
        <w:tc>
          <w:tcPr>
            <w:tcW w:w="3183" w:type="dxa"/>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Uncharacteristic transactions which are not in keeping with a customer’s usual transaction activity;</w:t>
            </w:r>
          </w:p>
        </w:tc>
        <w:tc>
          <w:tcPr>
            <w:tcW w:w="3240" w:type="dxa"/>
          </w:tcPr>
          <w:p w:rsidR="00261C33" w:rsidRPr="00E726F7" w:rsidRDefault="00261C33" w:rsidP="00E726F7">
            <w:pPr>
              <w:pStyle w:val="BodyText"/>
              <w:spacing w:after="0" w:line="240" w:lineRule="auto"/>
              <w:rPr>
                <w:rFonts w:ascii="Calibri" w:hAnsi="Calibri"/>
                <w:sz w:val="21"/>
                <w:szCs w:val="21"/>
              </w:rPr>
            </w:pPr>
          </w:p>
        </w:tc>
      </w:tr>
      <w:tr w:rsidR="00261C33" w:rsidRPr="00122F59" w:rsidTr="00E726F7">
        <w:trPr>
          <w:cantSplit/>
          <w:trHeight w:val="368"/>
        </w:trPr>
        <w:tc>
          <w:tcPr>
            <w:tcW w:w="4017" w:type="dxa"/>
            <w:gridSpan w:val="2"/>
            <w:tcBorders>
              <w:bottom w:val="single" w:sz="4" w:space="0" w:color="auto"/>
            </w:tcBorders>
            <w:shd w:val="clear" w:color="auto" w:fill="E6E6E6"/>
            <w:vAlign w:val="center"/>
          </w:tcPr>
          <w:p w:rsidR="00261C33" w:rsidRPr="00E726F7" w:rsidRDefault="00261C33" w:rsidP="00E726F7">
            <w:pPr>
              <w:pStyle w:val="BodyText"/>
              <w:spacing w:after="0" w:line="240" w:lineRule="auto"/>
              <w:rPr>
                <w:rFonts w:ascii="Calibri" w:hAnsi="Calibri"/>
              </w:rPr>
            </w:pPr>
            <w:r w:rsidRPr="00E726F7">
              <w:rPr>
                <w:rFonts w:ascii="Calibri" w:hAnsi="Calibri"/>
                <w:b/>
                <w:szCs w:val="22"/>
              </w:rPr>
              <w:t>Methods by which services are delivered to customers</w:t>
            </w:r>
          </w:p>
        </w:tc>
        <w:tc>
          <w:tcPr>
            <w:tcW w:w="3183" w:type="dxa"/>
            <w:tcBorders>
              <w:bottom w:val="single" w:sz="4" w:space="0" w:color="auto"/>
            </w:tcBorders>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Agency channel (for example by dairies and small businesses);</w:t>
            </w:r>
          </w:p>
        </w:tc>
        <w:tc>
          <w:tcPr>
            <w:tcW w:w="3240" w:type="dxa"/>
            <w:tcBorders>
              <w:bottom w:val="single" w:sz="4" w:space="0" w:color="auto"/>
            </w:tcBorders>
          </w:tcPr>
          <w:p w:rsidR="00261C33" w:rsidRPr="00E726F7" w:rsidRDefault="00261C33" w:rsidP="00E726F7">
            <w:pPr>
              <w:pStyle w:val="BodyText"/>
              <w:spacing w:after="0" w:line="240" w:lineRule="auto"/>
              <w:rPr>
                <w:rFonts w:ascii="Calibri" w:hAnsi="Calibri"/>
                <w:sz w:val="21"/>
                <w:szCs w:val="21"/>
              </w:rPr>
            </w:pPr>
            <w:r w:rsidRPr="00E726F7">
              <w:rPr>
                <w:rFonts w:ascii="Calibri" w:hAnsi="Calibri"/>
                <w:sz w:val="21"/>
                <w:szCs w:val="21"/>
              </w:rPr>
              <w:t>Whole transaction carried out by one service provider;</w:t>
            </w:r>
          </w:p>
        </w:tc>
      </w:tr>
    </w:tbl>
    <w:p w:rsidR="00261C33" w:rsidRPr="00122F59" w:rsidRDefault="00261C33" w:rsidP="005D0F8B">
      <w:pPr>
        <w:pStyle w:val="BodyText"/>
        <w:spacing w:after="0" w:line="240" w:lineRule="auto"/>
      </w:pPr>
    </w:p>
    <w:sectPr w:rsidR="00261C33" w:rsidRPr="00122F59" w:rsidSect="000C2C39">
      <w:footerReference w:type="even" r:id="rId8"/>
      <w:footerReference w:type="default" r:id="rId9"/>
      <w:footerReference w:type="first" r:id="rId10"/>
      <w:pgSz w:w="11907" w:h="16840" w:code="9"/>
      <w:pgMar w:top="567" w:right="907" w:bottom="454" w:left="90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33" w:rsidRDefault="00261C33">
      <w:r>
        <w:separator/>
      </w:r>
    </w:p>
  </w:endnote>
  <w:endnote w:type="continuationSeparator" w:id="0">
    <w:p w:rsidR="00261C33" w:rsidRDefault="00261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33" w:rsidRDefault="00261C33" w:rsidP="00C52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C33" w:rsidRDefault="00261C33"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33" w:rsidRDefault="00261C33" w:rsidP="00C52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61C33" w:rsidRPr="006F110B" w:rsidRDefault="00261C33" w:rsidP="00C52646">
    <w:pPr>
      <w:jc w:val="right"/>
      <w:rPr>
        <w:rFonts w:ascii="Calibri" w:hAnsi="Calibri"/>
        <w:i/>
        <w:sz w:val="18"/>
        <w:szCs w:val="18"/>
      </w:rPr>
    </w:pPr>
    <w:r w:rsidRPr="006F110B">
      <w:rPr>
        <w:rFonts w:ascii="Calibri" w:hAnsi="Calibri"/>
        <w:i/>
        <w:sz w:val="18"/>
        <w:szCs w:val="18"/>
      </w:rPr>
      <w:t>Department of Internal Affairs Te Tari Taiwhenua</w:t>
    </w:r>
  </w:p>
  <w:p w:rsidR="00261C33" w:rsidRPr="00C52646" w:rsidRDefault="00261C33" w:rsidP="00C52646">
    <w:pPr>
      <w:pStyle w:val="Footer"/>
      <w:jc w:val="right"/>
      <w:rPr>
        <w:rFonts w:ascii="Calibri" w:hAnsi="Calibri"/>
        <w:i/>
      </w:rPr>
    </w:pPr>
    <w:r w:rsidRPr="006F110B">
      <w:rPr>
        <w:rFonts w:ascii="Calibri" w:hAnsi="Calibri"/>
        <w:i/>
      </w:rPr>
      <w:t>April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33" w:rsidRPr="006F110B" w:rsidRDefault="00261C33" w:rsidP="00C52646">
    <w:pPr>
      <w:jc w:val="right"/>
      <w:rPr>
        <w:rFonts w:ascii="Calibri" w:hAnsi="Calibri"/>
        <w:i/>
        <w:sz w:val="18"/>
        <w:szCs w:val="18"/>
      </w:rPr>
    </w:pPr>
    <w:r w:rsidRPr="006F110B">
      <w:rPr>
        <w:rFonts w:ascii="Calibri" w:hAnsi="Calibri"/>
        <w:i/>
        <w:sz w:val="18"/>
        <w:szCs w:val="18"/>
      </w:rPr>
      <w:t>Department of Internal Affairs Te Tari Taiwhenua</w:t>
    </w:r>
  </w:p>
  <w:p w:rsidR="00261C33" w:rsidRPr="00C52646" w:rsidRDefault="00261C33" w:rsidP="00C52646">
    <w:pPr>
      <w:pStyle w:val="Footer"/>
      <w:jc w:val="right"/>
      <w:rPr>
        <w:rFonts w:ascii="Calibri" w:hAnsi="Calibri"/>
        <w:i/>
      </w:rPr>
    </w:pPr>
    <w:r w:rsidRPr="006F110B">
      <w:rPr>
        <w:rFonts w:ascii="Calibri" w:hAnsi="Calibri"/>
        <w:i/>
      </w:rPr>
      <w:t>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33" w:rsidRDefault="00261C33">
      <w:r>
        <w:separator/>
      </w:r>
    </w:p>
  </w:footnote>
  <w:footnote w:type="continuationSeparator" w:id="0">
    <w:p w:rsidR="00261C33" w:rsidRDefault="00261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01728B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2">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3">
    <w:nsid w:val="16B019E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5E460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2"/>
  </w:num>
  <w:num w:numId="23">
    <w:abstractNumId w:val="11"/>
  </w:num>
  <w:num w:numId="24">
    <w:abstractNumId w:val="18"/>
  </w:num>
  <w:num w:numId="25">
    <w:abstractNumId w:val="17"/>
  </w:num>
  <w:num w:numId="26">
    <w:abstractNumId w:val="16"/>
  </w:num>
  <w:num w:numId="27">
    <w:abstractNumId w:val="15"/>
  </w:num>
  <w:num w:numId="28">
    <w:abstractNumId w:val="10"/>
  </w:num>
  <w:num w:numId="29">
    <w:abstractNumId w:val="13"/>
  </w:num>
  <w:num w:numId="30">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D04"/>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F59"/>
    <w:rsid w:val="00003360"/>
    <w:rsid w:val="0000740F"/>
    <w:rsid w:val="00020010"/>
    <w:rsid w:val="00023DC3"/>
    <w:rsid w:val="00034673"/>
    <w:rsid w:val="0004101B"/>
    <w:rsid w:val="00043DF6"/>
    <w:rsid w:val="00044EA1"/>
    <w:rsid w:val="00045925"/>
    <w:rsid w:val="00063978"/>
    <w:rsid w:val="00077013"/>
    <w:rsid w:val="00082159"/>
    <w:rsid w:val="000968F9"/>
    <w:rsid w:val="000A2061"/>
    <w:rsid w:val="000A3BEC"/>
    <w:rsid w:val="000B2D66"/>
    <w:rsid w:val="000B5752"/>
    <w:rsid w:val="000C2C39"/>
    <w:rsid w:val="000C6CB0"/>
    <w:rsid w:val="000E677B"/>
    <w:rsid w:val="000E6BB1"/>
    <w:rsid w:val="000F61AF"/>
    <w:rsid w:val="0010171C"/>
    <w:rsid w:val="00101A7C"/>
    <w:rsid w:val="00102FAD"/>
    <w:rsid w:val="00122F59"/>
    <w:rsid w:val="001312DE"/>
    <w:rsid w:val="001677B2"/>
    <w:rsid w:val="001C0031"/>
    <w:rsid w:val="001D0111"/>
    <w:rsid w:val="001E395D"/>
    <w:rsid w:val="0020570F"/>
    <w:rsid w:val="00206BA3"/>
    <w:rsid w:val="00215160"/>
    <w:rsid w:val="002224B4"/>
    <w:rsid w:val="00237A3D"/>
    <w:rsid w:val="0024020A"/>
    <w:rsid w:val="002502D1"/>
    <w:rsid w:val="00261C33"/>
    <w:rsid w:val="00270EEC"/>
    <w:rsid w:val="00275623"/>
    <w:rsid w:val="002806A2"/>
    <w:rsid w:val="002863E0"/>
    <w:rsid w:val="0028779F"/>
    <w:rsid w:val="00297CC7"/>
    <w:rsid w:val="002A4BD9"/>
    <w:rsid w:val="002A4FE7"/>
    <w:rsid w:val="002D0389"/>
    <w:rsid w:val="002E0E8F"/>
    <w:rsid w:val="00330820"/>
    <w:rsid w:val="0036375D"/>
    <w:rsid w:val="00370FC0"/>
    <w:rsid w:val="00372F80"/>
    <w:rsid w:val="00393C91"/>
    <w:rsid w:val="003A044E"/>
    <w:rsid w:val="003B3A23"/>
    <w:rsid w:val="003D0C8C"/>
    <w:rsid w:val="003F5886"/>
    <w:rsid w:val="0040700B"/>
    <w:rsid w:val="00407F54"/>
    <w:rsid w:val="00412075"/>
    <w:rsid w:val="00415CDB"/>
    <w:rsid w:val="0042551E"/>
    <w:rsid w:val="00425D8E"/>
    <w:rsid w:val="00440E5A"/>
    <w:rsid w:val="004552A0"/>
    <w:rsid w:val="00460A83"/>
    <w:rsid w:val="00465D64"/>
    <w:rsid w:val="00477619"/>
    <w:rsid w:val="00486E6E"/>
    <w:rsid w:val="004878D2"/>
    <w:rsid w:val="00490166"/>
    <w:rsid w:val="004C3822"/>
    <w:rsid w:val="004D1706"/>
    <w:rsid w:val="004D243F"/>
    <w:rsid w:val="004D71FE"/>
    <w:rsid w:val="004E3AF7"/>
    <w:rsid w:val="004E46A3"/>
    <w:rsid w:val="00502323"/>
    <w:rsid w:val="005053F6"/>
    <w:rsid w:val="00510108"/>
    <w:rsid w:val="00513609"/>
    <w:rsid w:val="005137F1"/>
    <w:rsid w:val="005159B6"/>
    <w:rsid w:val="00517F47"/>
    <w:rsid w:val="00521BA0"/>
    <w:rsid w:val="0052216D"/>
    <w:rsid w:val="0052528E"/>
    <w:rsid w:val="00526115"/>
    <w:rsid w:val="005366B6"/>
    <w:rsid w:val="00541E4A"/>
    <w:rsid w:val="00550A62"/>
    <w:rsid w:val="00570C00"/>
    <w:rsid w:val="0058206B"/>
    <w:rsid w:val="00583B99"/>
    <w:rsid w:val="0059662F"/>
    <w:rsid w:val="005C0528"/>
    <w:rsid w:val="005C6ACD"/>
    <w:rsid w:val="005D0F8B"/>
    <w:rsid w:val="005E4C02"/>
    <w:rsid w:val="005E6480"/>
    <w:rsid w:val="00600CA4"/>
    <w:rsid w:val="00602416"/>
    <w:rsid w:val="006041F2"/>
    <w:rsid w:val="006301C0"/>
    <w:rsid w:val="00630711"/>
    <w:rsid w:val="00644E6D"/>
    <w:rsid w:val="00662716"/>
    <w:rsid w:val="00677B13"/>
    <w:rsid w:val="00677F4E"/>
    <w:rsid w:val="00685ECF"/>
    <w:rsid w:val="00687CEA"/>
    <w:rsid w:val="00695B75"/>
    <w:rsid w:val="006D0408"/>
    <w:rsid w:val="006D638F"/>
    <w:rsid w:val="006F110B"/>
    <w:rsid w:val="007068C8"/>
    <w:rsid w:val="00746845"/>
    <w:rsid w:val="0075764B"/>
    <w:rsid w:val="00760C01"/>
    <w:rsid w:val="00767C04"/>
    <w:rsid w:val="0077516B"/>
    <w:rsid w:val="00782379"/>
    <w:rsid w:val="007A07F0"/>
    <w:rsid w:val="007A5DCB"/>
    <w:rsid w:val="007A6226"/>
    <w:rsid w:val="007C00A2"/>
    <w:rsid w:val="007D1918"/>
    <w:rsid w:val="007D42E9"/>
    <w:rsid w:val="007E1905"/>
    <w:rsid w:val="00823B2F"/>
    <w:rsid w:val="00843D71"/>
    <w:rsid w:val="00851395"/>
    <w:rsid w:val="00870045"/>
    <w:rsid w:val="008A1919"/>
    <w:rsid w:val="008B3B15"/>
    <w:rsid w:val="008B4D84"/>
    <w:rsid w:val="008C3187"/>
    <w:rsid w:val="008D63B7"/>
    <w:rsid w:val="008E31E9"/>
    <w:rsid w:val="008E7FEE"/>
    <w:rsid w:val="008F67F5"/>
    <w:rsid w:val="008F6BCE"/>
    <w:rsid w:val="00900D4B"/>
    <w:rsid w:val="00927482"/>
    <w:rsid w:val="00937BA1"/>
    <w:rsid w:val="0095112B"/>
    <w:rsid w:val="00971D3A"/>
    <w:rsid w:val="009968B0"/>
    <w:rsid w:val="009D350C"/>
    <w:rsid w:val="009E2B5B"/>
    <w:rsid w:val="00A04392"/>
    <w:rsid w:val="00A10A91"/>
    <w:rsid w:val="00A12F83"/>
    <w:rsid w:val="00A16003"/>
    <w:rsid w:val="00A24FBB"/>
    <w:rsid w:val="00A42ED2"/>
    <w:rsid w:val="00A50E00"/>
    <w:rsid w:val="00A5119D"/>
    <w:rsid w:val="00A53624"/>
    <w:rsid w:val="00A6114F"/>
    <w:rsid w:val="00A811B2"/>
    <w:rsid w:val="00A90AB1"/>
    <w:rsid w:val="00A93EEF"/>
    <w:rsid w:val="00AA51E9"/>
    <w:rsid w:val="00AB478B"/>
    <w:rsid w:val="00AB4AD9"/>
    <w:rsid w:val="00AC2D51"/>
    <w:rsid w:val="00AD0920"/>
    <w:rsid w:val="00AD6E77"/>
    <w:rsid w:val="00AF5218"/>
    <w:rsid w:val="00B13389"/>
    <w:rsid w:val="00B263AE"/>
    <w:rsid w:val="00B47091"/>
    <w:rsid w:val="00B56523"/>
    <w:rsid w:val="00B65857"/>
    <w:rsid w:val="00B66698"/>
    <w:rsid w:val="00B812F6"/>
    <w:rsid w:val="00B84350"/>
    <w:rsid w:val="00B855A6"/>
    <w:rsid w:val="00B91098"/>
    <w:rsid w:val="00B92735"/>
    <w:rsid w:val="00BA12AB"/>
    <w:rsid w:val="00BA291A"/>
    <w:rsid w:val="00BB60C6"/>
    <w:rsid w:val="00BD137C"/>
    <w:rsid w:val="00C03596"/>
    <w:rsid w:val="00C23879"/>
    <w:rsid w:val="00C238D9"/>
    <w:rsid w:val="00C24A9D"/>
    <w:rsid w:val="00C2677E"/>
    <w:rsid w:val="00C405B6"/>
    <w:rsid w:val="00C52646"/>
    <w:rsid w:val="00C60C02"/>
    <w:rsid w:val="00C72477"/>
    <w:rsid w:val="00C744EC"/>
    <w:rsid w:val="00C80A99"/>
    <w:rsid w:val="00C80D62"/>
    <w:rsid w:val="00C96BFD"/>
    <w:rsid w:val="00CA27F5"/>
    <w:rsid w:val="00CB3C74"/>
    <w:rsid w:val="00CC42D0"/>
    <w:rsid w:val="00CD3AAE"/>
    <w:rsid w:val="00CD502A"/>
    <w:rsid w:val="00D164A8"/>
    <w:rsid w:val="00D242CD"/>
    <w:rsid w:val="00D341C3"/>
    <w:rsid w:val="00D42843"/>
    <w:rsid w:val="00D5152A"/>
    <w:rsid w:val="00D56B69"/>
    <w:rsid w:val="00D65145"/>
    <w:rsid w:val="00D664F3"/>
    <w:rsid w:val="00D700A6"/>
    <w:rsid w:val="00D73884"/>
    <w:rsid w:val="00D74314"/>
    <w:rsid w:val="00D847A8"/>
    <w:rsid w:val="00D90796"/>
    <w:rsid w:val="00DA1301"/>
    <w:rsid w:val="00DA442A"/>
    <w:rsid w:val="00DA5101"/>
    <w:rsid w:val="00DA79EF"/>
    <w:rsid w:val="00DB0C0B"/>
    <w:rsid w:val="00DB3B74"/>
    <w:rsid w:val="00DD0901"/>
    <w:rsid w:val="00DD1F51"/>
    <w:rsid w:val="00DE16B6"/>
    <w:rsid w:val="00DE339C"/>
    <w:rsid w:val="00DE36CA"/>
    <w:rsid w:val="00E067B5"/>
    <w:rsid w:val="00E37E71"/>
    <w:rsid w:val="00E42847"/>
    <w:rsid w:val="00E44087"/>
    <w:rsid w:val="00E62940"/>
    <w:rsid w:val="00E660D4"/>
    <w:rsid w:val="00E726F7"/>
    <w:rsid w:val="00E73AA8"/>
    <w:rsid w:val="00E74D11"/>
    <w:rsid w:val="00E80228"/>
    <w:rsid w:val="00E942ED"/>
    <w:rsid w:val="00E9756E"/>
    <w:rsid w:val="00EA2ED4"/>
    <w:rsid w:val="00EA2F12"/>
    <w:rsid w:val="00EA491A"/>
    <w:rsid w:val="00ED4F31"/>
    <w:rsid w:val="00EE06B6"/>
    <w:rsid w:val="00EF63C6"/>
    <w:rsid w:val="00F001BC"/>
    <w:rsid w:val="00F034FB"/>
    <w:rsid w:val="00F1075A"/>
    <w:rsid w:val="00F22E82"/>
    <w:rsid w:val="00F33D14"/>
    <w:rsid w:val="00F473B6"/>
    <w:rsid w:val="00F53E06"/>
    <w:rsid w:val="00F54188"/>
    <w:rsid w:val="00F5795F"/>
    <w:rsid w:val="00FA67D2"/>
    <w:rsid w:val="00FB5A92"/>
    <w:rsid w:val="00FE7A33"/>
    <w:rsid w:val="00FF33A0"/>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79EF"/>
    <w:pPr>
      <w:spacing w:line="280" w:lineRule="atLeast"/>
    </w:pPr>
    <w:rPr>
      <w:rFonts w:ascii="Arial" w:hAnsi="Arial"/>
      <w:szCs w:val="24"/>
      <w:lang w:eastAsia="en-US"/>
    </w:rPr>
  </w:style>
  <w:style w:type="paragraph" w:styleId="Heading1">
    <w:name w:val="heading 1"/>
    <w:basedOn w:val="Normal"/>
    <w:next w:val="BodyText"/>
    <w:link w:val="Heading1Char"/>
    <w:uiPriority w:val="99"/>
    <w:qFormat/>
    <w:rsid w:val="00EA491A"/>
    <w:pPr>
      <w:keepNext/>
      <w:spacing w:before="240" w:after="60"/>
      <w:outlineLvl w:val="0"/>
    </w:pPr>
    <w:rPr>
      <w:rFonts w:cs="Arial"/>
      <w:b/>
      <w:bCs/>
      <w:kern w:val="32"/>
      <w:sz w:val="32"/>
      <w:szCs w:val="32"/>
    </w:rPr>
  </w:style>
  <w:style w:type="paragraph" w:styleId="Heading2">
    <w:name w:val="heading 2"/>
    <w:basedOn w:val="Normal"/>
    <w:next w:val="BodyText"/>
    <w:link w:val="Heading2Char"/>
    <w:uiPriority w:val="99"/>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uiPriority w:val="99"/>
    <w:qFormat/>
    <w:rsid w:val="00EA491A"/>
    <w:pPr>
      <w:keepNext/>
      <w:spacing w:before="240" w:after="60"/>
      <w:outlineLvl w:val="2"/>
    </w:pPr>
    <w:rPr>
      <w:rFonts w:cs="Arial"/>
      <w:b/>
      <w:bCs/>
      <w:sz w:val="24"/>
      <w:szCs w:val="26"/>
    </w:rPr>
  </w:style>
  <w:style w:type="paragraph" w:styleId="Heading4">
    <w:name w:val="heading 4"/>
    <w:basedOn w:val="Normal"/>
    <w:next w:val="BodyText"/>
    <w:link w:val="Heading4Char"/>
    <w:uiPriority w:val="99"/>
    <w:qFormat/>
    <w:rsid w:val="00EA491A"/>
    <w:pPr>
      <w:keepNext/>
      <w:spacing w:before="240" w:after="60"/>
      <w:outlineLvl w:val="3"/>
    </w:pPr>
    <w:rPr>
      <w:b/>
      <w:bCs/>
      <w:szCs w:val="28"/>
    </w:rPr>
  </w:style>
  <w:style w:type="paragraph" w:styleId="Heading5">
    <w:name w:val="heading 5"/>
    <w:basedOn w:val="Normal"/>
    <w:next w:val="BodyText"/>
    <w:link w:val="Heading5Char"/>
    <w:uiPriority w:val="99"/>
    <w:qFormat/>
    <w:rsid w:val="00B263AE"/>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389"/>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B13389"/>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F33D14"/>
    <w:rPr>
      <w:rFonts w:ascii="Arial" w:hAnsi="Arial" w:cs="Times New Roman"/>
      <w:b/>
      <w:sz w:val="26"/>
      <w:lang w:val="en-NZ" w:eastAsia="en-US"/>
    </w:rPr>
  </w:style>
  <w:style w:type="character" w:customStyle="1" w:styleId="Heading4Char">
    <w:name w:val="Heading 4 Char"/>
    <w:basedOn w:val="DefaultParagraphFont"/>
    <w:link w:val="Heading4"/>
    <w:uiPriority w:val="99"/>
    <w:semiHidden/>
    <w:locked/>
    <w:rsid w:val="00B13389"/>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B13389"/>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B13389"/>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B13389"/>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B13389"/>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B13389"/>
    <w:rPr>
      <w:rFonts w:ascii="Cambria" w:hAnsi="Cambria" w:cs="Times New Roman"/>
      <w:lang w:eastAsia="en-US"/>
    </w:rPr>
  </w:style>
  <w:style w:type="paragraph" w:styleId="BodyText">
    <w:name w:val="Body Text"/>
    <w:basedOn w:val="Normal"/>
    <w:link w:val="BodyTextChar"/>
    <w:uiPriority w:val="99"/>
    <w:rsid w:val="00EA491A"/>
    <w:pPr>
      <w:spacing w:after="200"/>
    </w:pPr>
  </w:style>
  <w:style w:type="character" w:customStyle="1" w:styleId="BodyTextChar">
    <w:name w:val="Body Text Char"/>
    <w:basedOn w:val="DefaultParagraphFont"/>
    <w:link w:val="BodyText"/>
    <w:uiPriority w:val="99"/>
    <w:semiHidden/>
    <w:locked/>
    <w:rsid w:val="00B13389"/>
    <w:rPr>
      <w:rFonts w:ascii="Arial" w:hAnsi="Arial" w:cs="Times New Roman"/>
      <w:sz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locked/>
    <w:rsid w:val="00B13389"/>
    <w:rPr>
      <w:rFonts w:ascii="Arial" w:hAnsi="Arial" w:cs="Times New Roman"/>
      <w:sz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locked/>
    <w:rsid w:val="00B13389"/>
    <w:rPr>
      <w:rFonts w:ascii="Arial" w:hAnsi="Arial" w:cs="Times New Roman"/>
      <w:sz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locked/>
    <w:rsid w:val="00B13389"/>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locked/>
    <w:rsid w:val="00B13389"/>
    <w:rPr>
      <w:rFonts w:ascii="Arial" w:hAnsi="Arial" w:cs="Times New Roman"/>
      <w:sz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locked/>
    <w:rsid w:val="00B13389"/>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13389"/>
    <w:rPr>
      <w:rFonts w:ascii="Arial" w:hAnsi="Arial" w:cs="Times New Roman"/>
      <w:sz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13389"/>
    <w:rPr>
      <w:rFonts w:ascii="Arial" w:hAnsi="Arial" w:cs="Times New Roman"/>
      <w:sz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locked/>
    <w:rsid w:val="00B13389"/>
    <w:rPr>
      <w:rFonts w:ascii="Arial" w:hAnsi="Arial" w:cs="Times New Roman"/>
      <w:sz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locked/>
    <w:rsid w:val="00B13389"/>
    <w:rPr>
      <w:rFonts w:ascii="Arial" w:hAnsi="Arial" w:cs="Times New Roman"/>
      <w:sz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locked/>
    <w:rsid w:val="00B13389"/>
    <w:rPr>
      <w:rFonts w:ascii="Arial" w:hAnsi="Arial" w:cs="Times New Roman"/>
      <w:sz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D5152A"/>
    <w:pPr>
      <w:spacing w:line="260" w:lineRule="atLeast"/>
    </w:pPr>
    <w:rPr>
      <w:sz w:val="18"/>
    </w:rPr>
  </w:style>
  <w:style w:type="character" w:customStyle="1" w:styleId="FooterChar">
    <w:name w:val="Footer Char"/>
    <w:basedOn w:val="DefaultParagraphFont"/>
    <w:link w:val="Footer"/>
    <w:uiPriority w:val="99"/>
    <w:semiHidden/>
    <w:locked/>
    <w:rsid w:val="00B13389"/>
    <w:rPr>
      <w:rFonts w:ascii="Arial" w:hAnsi="Arial" w:cs="Times New Roman"/>
      <w:sz w:val="24"/>
      <w:lang w:eastAsia="en-US"/>
    </w:rPr>
  </w:style>
  <w:style w:type="paragraph" w:styleId="Header">
    <w:name w:val="header"/>
    <w:basedOn w:val="Normal"/>
    <w:link w:val="HeaderChar"/>
    <w:uiPriority w:val="99"/>
    <w:rsid w:val="00206BA3"/>
    <w:rPr>
      <w:sz w:val="18"/>
    </w:rPr>
  </w:style>
  <w:style w:type="character" w:customStyle="1" w:styleId="HeaderChar">
    <w:name w:val="Header Char"/>
    <w:basedOn w:val="DefaultParagraphFont"/>
    <w:link w:val="Header"/>
    <w:uiPriority w:val="99"/>
    <w:semiHidden/>
    <w:locked/>
    <w:rsid w:val="00B13389"/>
    <w:rPr>
      <w:rFonts w:ascii="Arial" w:hAnsi="Arial" w:cs="Times New Roman"/>
      <w:sz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locked/>
    <w:rsid w:val="00B13389"/>
    <w:rPr>
      <w:rFonts w:ascii="Arial" w:hAnsi="Arial" w:cs="Times New Roman"/>
      <w:i/>
      <w:sz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13389"/>
    <w:rPr>
      <w:rFonts w:ascii="Courier New" w:hAnsi="Courier New" w:cs="Times New Roman"/>
      <w:sz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semiHidden/>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B13389"/>
    <w:rPr>
      <w:rFonts w:ascii="Cambria" w:hAnsi="Cambria" w:cs="Times New Roman"/>
      <w:sz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locked/>
    <w:rsid w:val="00B13389"/>
    <w:rPr>
      <w:rFonts w:ascii="Arial" w:hAnsi="Arial" w:cs="Times New Roman"/>
      <w:sz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13389"/>
    <w:rPr>
      <w:rFonts w:ascii="Courier New" w:hAnsi="Courier New" w:cs="Times New Roman"/>
      <w:sz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locked/>
    <w:rsid w:val="00B13389"/>
    <w:rPr>
      <w:rFonts w:ascii="Arial" w:hAnsi="Arial" w:cs="Times New Roman"/>
      <w:sz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locked/>
    <w:rsid w:val="00B13389"/>
    <w:rPr>
      <w:rFonts w:ascii="Arial" w:hAnsi="Arial" w:cs="Times New Roman"/>
      <w:sz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B13389"/>
    <w:rPr>
      <w:rFonts w:ascii="Cambria" w:hAnsi="Cambria" w:cs="Times New Roman"/>
      <w:sz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B13389"/>
    <w:rPr>
      <w:rFonts w:ascii="Cambria" w:hAnsi="Cambria" w:cs="Times New Roman"/>
      <w:b/>
      <w:kern w:val="28"/>
      <w:sz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11"/>
      </w:numPr>
      <w:tabs>
        <w:tab w:val="clear" w:pos="360"/>
      </w:tabs>
      <w:ind w:left="1843" w:firstLine="0"/>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D5152A"/>
    <w:pPr>
      <w:numPr>
        <w:numId w:val="11"/>
      </w:numPr>
      <w:tabs>
        <w:tab w:val="clear" w:pos="360"/>
        <w:tab w:val="num" w:pos="709"/>
      </w:tabs>
      <w:ind w:left="709" w:hanging="709"/>
      <w:outlineLvl w:val="5"/>
    </w:pPr>
  </w:style>
  <w:style w:type="paragraph" w:customStyle="1" w:styleId="HeadingNumberLevel2">
    <w:name w:val="Heading Number Level 2"/>
    <w:basedOn w:val="Heading2"/>
    <w:next w:val="BodyTextIndentLevel1"/>
    <w:uiPriority w:val="99"/>
    <w:rsid w:val="00D5152A"/>
    <w:pPr>
      <w:numPr>
        <w:ilvl w:val="1"/>
        <w:numId w:val="11"/>
      </w:numPr>
      <w:tabs>
        <w:tab w:val="clear" w:pos="360"/>
        <w:tab w:val="num" w:pos="709"/>
      </w:tabs>
      <w:ind w:left="709" w:hanging="709"/>
      <w:outlineLvl w:val="6"/>
    </w:pPr>
  </w:style>
  <w:style w:type="paragraph" w:customStyle="1" w:styleId="HeadingNumberLevel3">
    <w:name w:val="Heading Number Level 3"/>
    <w:basedOn w:val="BodyText"/>
    <w:uiPriority w:val="99"/>
    <w:rsid w:val="00D5152A"/>
    <w:pPr>
      <w:numPr>
        <w:ilvl w:val="2"/>
        <w:numId w:val="11"/>
      </w:numPr>
      <w:tabs>
        <w:tab w:val="clear" w:pos="360"/>
        <w:tab w:val="num" w:pos="1276"/>
      </w:tabs>
      <w:ind w:left="1276" w:hanging="567"/>
    </w:pPr>
  </w:style>
  <w:style w:type="paragraph" w:customStyle="1" w:styleId="HeadingNumberLevel4">
    <w:name w:val="Heading Number Level 4"/>
    <w:basedOn w:val="BodyText"/>
    <w:uiPriority w:val="99"/>
    <w:rsid w:val="00D5152A"/>
    <w:pPr>
      <w:numPr>
        <w:ilvl w:val="3"/>
        <w:numId w:val="11"/>
      </w:numPr>
      <w:tabs>
        <w:tab w:val="clear" w:pos="360"/>
        <w:tab w:val="num" w:pos="1843"/>
      </w:tabs>
      <w:ind w:left="1843" w:hanging="567"/>
    </w:pPr>
  </w:style>
  <w:style w:type="paragraph" w:customStyle="1" w:styleId="NumbersLevel1">
    <w:name w:val="Numbers Level 1"/>
    <w:basedOn w:val="BodyText"/>
    <w:uiPriority w:val="99"/>
    <w:rsid w:val="00E73AA8"/>
    <w:pPr>
      <w:numPr>
        <w:numId w:val="22"/>
      </w:numPr>
    </w:pPr>
  </w:style>
  <w:style w:type="paragraph" w:customStyle="1" w:styleId="NumbersLevel2">
    <w:name w:val="Numbers Level 2"/>
    <w:basedOn w:val="BodyText"/>
    <w:uiPriority w:val="99"/>
    <w:rsid w:val="00E73AA8"/>
    <w:pPr>
      <w:numPr>
        <w:ilvl w:val="1"/>
        <w:numId w:val="22"/>
      </w:numPr>
    </w:pPr>
  </w:style>
  <w:style w:type="paragraph" w:customStyle="1" w:styleId="NumbersLevel3">
    <w:name w:val="Numbers Level 3"/>
    <w:basedOn w:val="BodyText"/>
    <w:uiPriority w:val="99"/>
    <w:rsid w:val="00E73AA8"/>
    <w:pPr>
      <w:numPr>
        <w:ilvl w:val="2"/>
        <w:numId w:val="22"/>
      </w:numPr>
    </w:pPr>
  </w:style>
  <w:style w:type="paragraph" w:customStyle="1" w:styleId="NumbersLevel4">
    <w:name w:val="Numbers Level 4"/>
    <w:basedOn w:val="BodyText"/>
    <w:uiPriority w:val="99"/>
    <w:rsid w:val="00E73AA8"/>
    <w:pPr>
      <w:numPr>
        <w:ilvl w:val="3"/>
        <w:numId w:val="22"/>
      </w:numPr>
    </w:pPr>
  </w:style>
  <w:style w:type="paragraph" w:customStyle="1" w:styleId="BulletLevel1">
    <w:name w:val="Bullet Level 1"/>
    <w:basedOn w:val="BodyText"/>
    <w:uiPriority w:val="99"/>
    <w:rsid w:val="0058206B"/>
    <w:pPr>
      <w:numPr>
        <w:numId w:val="5"/>
      </w:numPr>
      <w:tabs>
        <w:tab w:val="clear" w:pos="1492"/>
        <w:tab w:val="num" w:pos="567"/>
      </w:tabs>
      <w:ind w:left="567" w:hanging="567"/>
    </w:pPr>
  </w:style>
  <w:style w:type="paragraph" w:customStyle="1" w:styleId="BulletLevel2">
    <w:name w:val="Bullet Level 2"/>
    <w:basedOn w:val="BodyText"/>
    <w:uiPriority w:val="99"/>
    <w:rsid w:val="0058206B"/>
    <w:pPr>
      <w:numPr>
        <w:ilvl w:val="1"/>
        <w:numId w:val="5"/>
      </w:numPr>
      <w:tabs>
        <w:tab w:val="clear" w:pos="1492"/>
        <w:tab w:val="num" w:pos="1134"/>
      </w:tabs>
      <w:ind w:left="1134" w:hanging="567"/>
    </w:pPr>
  </w:style>
  <w:style w:type="paragraph" w:customStyle="1" w:styleId="BulletLevel3">
    <w:name w:val="Bullet Level 3"/>
    <w:basedOn w:val="BodyText"/>
    <w:uiPriority w:val="99"/>
    <w:rsid w:val="0058206B"/>
    <w:pPr>
      <w:numPr>
        <w:ilvl w:val="2"/>
        <w:numId w:val="5"/>
      </w:numPr>
      <w:tabs>
        <w:tab w:val="clear" w:pos="1492"/>
        <w:tab w:val="num" w:pos="1701"/>
      </w:tabs>
      <w:ind w:left="1701" w:hanging="567"/>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2"/>
      </w:numPr>
      <w:tabs>
        <w:tab w:val="clear" w:pos="643"/>
        <w:tab w:val="num" w:pos="567"/>
      </w:tabs>
      <w:ind w:left="567" w:hanging="567"/>
    </w:pPr>
  </w:style>
  <w:style w:type="paragraph" w:customStyle="1" w:styleId="ListNumeric">
    <w:name w:val="List Numeric"/>
    <w:basedOn w:val="BodyText"/>
    <w:uiPriority w:val="99"/>
    <w:rsid w:val="00BD137C"/>
    <w:pPr>
      <w:numPr>
        <w:numId w:val="3"/>
      </w:numPr>
      <w:tabs>
        <w:tab w:val="clear" w:pos="926"/>
        <w:tab w:val="num" w:pos="567"/>
      </w:tabs>
      <w:ind w:left="567" w:hanging="567"/>
    </w:pPr>
  </w:style>
  <w:style w:type="paragraph" w:styleId="FootnoteText">
    <w:name w:val="footnote text"/>
    <w:basedOn w:val="Normal"/>
    <w:link w:val="FootnoteTextChar"/>
    <w:uiPriority w:val="99"/>
    <w:rsid w:val="00B91098"/>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semiHidden/>
    <w:locked/>
    <w:rsid w:val="00B13389"/>
    <w:rPr>
      <w:rFonts w:ascii="Arial" w:hAnsi="Arial" w:cs="Times New Roman"/>
      <w:sz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6041F2"/>
    <w:pPr>
      <w:tabs>
        <w:tab w:val="right" w:pos="9072"/>
      </w:tabs>
      <w:spacing w:before="200"/>
      <w:ind w:right="567"/>
    </w:pPr>
    <w:rPr>
      <w:b/>
    </w:rPr>
  </w:style>
  <w:style w:type="paragraph" w:styleId="TOC2">
    <w:name w:val="toc 2"/>
    <w:basedOn w:val="Normal"/>
    <w:next w:val="Normal"/>
    <w:uiPriority w:val="99"/>
    <w:rsid w:val="006041F2"/>
    <w:pPr>
      <w:tabs>
        <w:tab w:val="left" w:pos="567"/>
        <w:tab w:val="right" w:pos="9072"/>
      </w:tabs>
      <w:ind w:left="284" w:right="567"/>
    </w:pPr>
  </w:style>
  <w:style w:type="paragraph" w:styleId="TOC3">
    <w:name w:val="toc 3"/>
    <w:basedOn w:val="Normal"/>
    <w:next w:val="Normal"/>
    <w:autoRedefine/>
    <w:uiPriority w:val="99"/>
    <w:rsid w:val="006041F2"/>
    <w:pPr>
      <w:tabs>
        <w:tab w:val="right" w:pos="9072"/>
      </w:tabs>
      <w:ind w:left="567" w:right="567"/>
    </w:pPr>
  </w:style>
  <w:style w:type="paragraph" w:styleId="TOC4">
    <w:name w:val="toc 4"/>
    <w:basedOn w:val="Normal"/>
    <w:next w:val="Normal"/>
    <w:autoRedefine/>
    <w:uiPriority w:val="99"/>
    <w:rsid w:val="00D5152A"/>
    <w:pPr>
      <w:tabs>
        <w:tab w:val="right" w:pos="9072"/>
      </w:tabs>
      <w:ind w:left="851" w:right="567"/>
    </w:pPr>
  </w:style>
  <w:style w:type="paragraph" w:styleId="TOC5">
    <w:name w:val="toc 5"/>
    <w:basedOn w:val="Normal"/>
    <w:next w:val="Normal"/>
    <w:autoRedefine/>
    <w:uiPriority w:val="99"/>
    <w:rsid w:val="00D5152A"/>
    <w:pPr>
      <w:tabs>
        <w:tab w:val="right" w:pos="9072"/>
      </w:tabs>
      <w:ind w:left="1134" w:right="567"/>
    </w:pPr>
  </w:style>
  <w:style w:type="paragraph" w:customStyle="1" w:styleId="HeadingContents">
    <w:name w:val="Heading Contents"/>
    <w:basedOn w:val="BodyText"/>
    <w:uiPriority w:val="99"/>
    <w:rsid w:val="008E7FEE"/>
    <w:pPr>
      <w:keepNext/>
      <w:spacing w:after="0"/>
    </w:pPr>
    <w:rPr>
      <w:b/>
      <w:sz w:val="32"/>
    </w:rPr>
  </w:style>
  <w:style w:type="paragraph" w:customStyle="1" w:styleId="HeadingTable">
    <w:name w:val="Heading Table"/>
    <w:basedOn w:val="Normal"/>
    <w:uiPriority w:val="99"/>
    <w:rsid w:val="005E4C02"/>
    <w:pPr>
      <w:spacing w:line="260" w:lineRule="atLeast"/>
    </w:pPr>
    <w:rPr>
      <w:b/>
      <w:sz w:val="20"/>
    </w:rPr>
  </w:style>
  <w:style w:type="paragraph" w:customStyle="1" w:styleId="HeadingTableCentre">
    <w:name w:val="Heading Table Centre"/>
    <w:basedOn w:val="HeadingTable"/>
    <w:uiPriority w:val="99"/>
    <w:rsid w:val="005E4C02"/>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6"/>
      </w:numPr>
      <w:tabs>
        <w:tab w:val="clear" w:pos="360"/>
        <w:tab w:val="num" w:pos="369"/>
      </w:tabs>
      <w:ind w:left="369" w:hanging="369"/>
    </w:pPr>
  </w:style>
  <w:style w:type="paragraph" w:customStyle="1" w:styleId="BulletTableLevel2">
    <w:name w:val="Bullet Table Level 2"/>
    <w:basedOn w:val="BodyTextTable"/>
    <w:uiPriority w:val="99"/>
    <w:rsid w:val="00EA2ED4"/>
    <w:pPr>
      <w:numPr>
        <w:ilvl w:val="1"/>
        <w:numId w:val="6"/>
      </w:numPr>
      <w:tabs>
        <w:tab w:val="clear" w:pos="360"/>
        <w:tab w:val="num" w:pos="737"/>
      </w:tabs>
      <w:ind w:left="737" w:hanging="368"/>
    </w:pPr>
  </w:style>
  <w:style w:type="paragraph" w:customStyle="1" w:styleId="BulletTableLevel3">
    <w:name w:val="Bullet Table Level 3"/>
    <w:basedOn w:val="BodyTextTable"/>
    <w:uiPriority w:val="99"/>
    <w:rsid w:val="00EA2ED4"/>
    <w:pPr>
      <w:numPr>
        <w:ilvl w:val="2"/>
        <w:numId w:val="6"/>
      </w:numPr>
      <w:tabs>
        <w:tab w:val="clear" w:pos="360"/>
        <w:tab w:val="num" w:pos="1106"/>
      </w:tabs>
      <w:ind w:left="1106" w:hanging="369"/>
    </w:pPr>
  </w:style>
  <w:style w:type="paragraph" w:customStyle="1" w:styleId="NumbersTableLevel1">
    <w:name w:val="Numbers Table Level 1"/>
    <w:basedOn w:val="BodyTextTable"/>
    <w:uiPriority w:val="99"/>
    <w:rsid w:val="00A50E00"/>
    <w:pPr>
      <w:numPr>
        <w:numId w:val="23"/>
      </w:numPr>
    </w:pPr>
  </w:style>
  <w:style w:type="paragraph" w:customStyle="1" w:styleId="NumbersTableLevel2">
    <w:name w:val="Numbers Table Level 2"/>
    <w:basedOn w:val="BodyTextTable"/>
    <w:uiPriority w:val="99"/>
    <w:rsid w:val="00A50E00"/>
    <w:pPr>
      <w:numPr>
        <w:ilvl w:val="1"/>
        <w:numId w:val="23"/>
      </w:numPr>
    </w:pPr>
  </w:style>
  <w:style w:type="paragraph" w:customStyle="1" w:styleId="NumbersTableLevel3">
    <w:name w:val="Numbers Table Level 3"/>
    <w:basedOn w:val="BodyTextTable"/>
    <w:uiPriority w:val="99"/>
    <w:rsid w:val="00A50E00"/>
    <w:pPr>
      <w:numPr>
        <w:ilvl w:val="2"/>
        <w:numId w:val="23"/>
      </w:numPr>
    </w:pPr>
  </w:style>
  <w:style w:type="paragraph" w:customStyle="1" w:styleId="BodyTextTableLevel1">
    <w:name w:val="Body Text Table Level 1"/>
    <w:basedOn w:val="BodyTextTable"/>
    <w:uiPriority w:val="99"/>
    <w:rsid w:val="00A50E00"/>
    <w:pPr>
      <w:numPr>
        <w:numId w:val="24"/>
      </w:numPr>
      <w:ind w:left="369"/>
    </w:pPr>
  </w:style>
  <w:style w:type="paragraph" w:customStyle="1" w:styleId="BodyTextTableLevel2">
    <w:name w:val="Body Text Table Level 2"/>
    <w:basedOn w:val="BodyTextTable"/>
    <w:uiPriority w:val="99"/>
    <w:rsid w:val="00A50E00"/>
    <w:pPr>
      <w:numPr>
        <w:ilvl w:val="1"/>
        <w:numId w:val="24"/>
      </w:numPr>
      <w:ind w:left="737"/>
    </w:pPr>
  </w:style>
  <w:style w:type="paragraph" w:customStyle="1" w:styleId="BodyTextTableLevel3">
    <w:name w:val="Body Text Table Level 3"/>
    <w:basedOn w:val="BodyTextTable"/>
    <w:uiPriority w:val="99"/>
    <w:rsid w:val="00A50E00"/>
    <w:pPr>
      <w:numPr>
        <w:ilvl w:val="3"/>
        <w:numId w:val="23"/>
      </w:numPr>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pPr>
      <w:spacing w:line="240" w:lineRule="auto"/>
    </w:pPr>
    <w:rPr>
      <w:sz w:val="12"/>
    </w:rPr>
  </w:style>
  <w:style w:type="table" w:customStyle="1" w:styleId="TableDIA">
    <w:name w:val="Table DIA"/>
    <w:uiPriority w:val="99"/>
    <w:rsid w:val="00900D4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2806A2"/>
    <w:pPr>
      <w:pageBreakBefore/>
      <w:numPr>
        <w:numId w:val="4"/>
      </w:numPr>
      <w:tabs>
        <w:tab w:val="clear" w:pos="1209"/>
        <w:tab w:val="left" w:pos="2268"/>
      </w:tabs>
      <w:spacing w:before="0"/>
      <w:ind w:left="0" w:firstLine="0"/>
      <w:outlineLvl w:val="7"/>
    </w:pPr>
  </w:style>
  <w:style w:type="paragraph" w:customStyle="1" w:styleId="Heading1Non-Contents">
    <w:name w:val="Heading 1 Non-Contents"/>
    <w:basedOn w:val="Normal"/>
    <w:next w:val="BodyText"/>
    <w:uiPriority w:val="99"/>
    <w:rsid w:val="00FE7A33"/>
    <w:pPr>
      <w:keepNext/>
      <w:spacing w:before="240" w:after="60"/>
    </w:pPr>
    <w:rPr>
      <w:b/>
      <w:kern w:val="32"/>
      <w:sz w:val="32"/>
    </w:rPr>
  </w:style>
  <w:style w:type="paragraph" w:styleId="TOC6">
    <w:name w:val="toc 6"/>
    <w:basedOn w:val="Normal"/>
    <w:next w:val="Normal"/>
    <w:autoRedefine/>
    <w:uiPriority w:val="99"/>
    <w:rsid w:val="00F33D14"/>
    <w:pPr>
      <w:tabs>
        <w:tab w:val="right" w:pos="9072"/>
      </w:tabs>
      <w:spacing w:before="200"/>
      <w:ind w:left="567" w:right="567" w:hanging="567"/>
    </w:pPr>
    <w:rPr>
      <w:b/>
    </w:rPr>
  </w:style>
  <w:style w:type="paragraph" w:styleId="TOC7">
    <w:name w:val="toc 7"/>
    <w:basedOn w:val="Normal"/>
    <w:next w:val="Normal"/>
    <w:autoRedefine/>
    <w:uiPriority w:val="99"/>
    <w:rsid w:val="00F22E82"/>
    <w:pPr>
      <w:tabs>
        <w:tab w:val="left" w:pos="567"/>
        <w:tab w:val="right" w:pos="9072"/>
      </w:tabs>
      <w:ind w:left="567" w:right="567" w:hanging="567"/>
    </w:pPr>
  </w:style>
  <w:style w:type="paragraph" w:styleId="TOC8">
    <w:name w:val="toc 8"/>
    <w:basedOn w:val="Normal"/>
    <w:next w:val="Normal"/>
    <w:autoRedefine/>
    <w:uiPriority w:val="99"/>
    <w:rsid w:val="00F33D14"/>
    <w:pPr>
      <w:tabs>
        <w:tab w:val="right" w:pos="9072"/>
      </w:tabs>
      <w:spacing w:before="200"/>
      <w:ind w:left="284" w:hanging="284"/>
    </w:pPr>
    <w:rPr>
      <w:b/>
    </w:rPr>
  </w:style>
  <w:style w:type="paragraph" w:customStyle="1" w:styleId="HeadingPage">
    <w:name w:val="Heading Page"/>
    <w:basedOn w:val="BodyText"/>
    <w:uiPriority w:val="99"/>
    <w:rsid w:val="002502D1"/>
    <w:pPr>
      <w:spacing w:before="400" w:after="60"/>
    </w:pPr>
    <w:rPr>
      <w:b/>
      <w:sz w:val="48"/>
    </w:rPr>
  </w:style>
  <w:style w:type="paragraph" w:customStyle="1" w:styleId="Heading2Non-Contents">
    <w:name w:val="Heading 2 Non-Contents"/>
    <w:basedOn w:val="BodyText"/>
    <w:uiPriority w:val="99"/>
    <w:rsid w:val="002A4BD9"/>
    <w:pPr>
      <w:keepNext/>
      <w:spacing w:before="240" w:after="60"/>
    </w:pPr>
    <w:rPr>
      <w:b/>
      <w:sz w:val="28"/>
    </w:rPr>
  </w:style>
  <w:style w:type="paragraph" w:styleId="BalloonText">
    <w:name w:val="Balloon Text"/>
    <w:basedOn w:val="Normal"/>
    <w:link w:val="BalloonTextChar"/>
    <w:uiPriority w:val="99"/>
    <w:semiHidden/>
    <w:rsid w:val="00F33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3389"/>
    <w:rPr>
      <w:rFonts w:cs="Times New Roman"/>
      <w:sz w:val="2"/>
      <w:lang w:eastAsia="en-US"/>
    </w:rPr>
  </w:style>
  <w:style w:type="paragraph" w:styleId="TableofFigures">
    <w:name w:val="table of figures"/>
    <w:basedOn w:val="Normal"/>
    <w:next w:val="Normal"/>
    <w:uiPriority w:val="99"/>
    <w:semiHidden/>
    <w:rsid w:val="00297CC7"/>
    <w:pPr>
      <w:tabs>
        <w:tab w:val="right" w:pos="9072"/>
      </w:tabs>
    </w:pPr>
  </w:style>
  <w:style w:type="paragraph" w:customStyle="1" w:styleId="HeadingTableofTables">
    <w:name w:val="Heading Table of Tables"/>
    <w:basedOn w:val="HeadingContents"/>
    <w:next w:val="BodyText"/>
    <w:uiPriority w:val="99"/>
    <w:rsid w:val="00F33D14"/>
    <w:pPr>
      <w:spacing w:before="240" w:after="60"/>
    </w:pPr>
    <w:rPr>
      <w:sz w:val="28"/>
    </w:rPr>
  </w:style>
  <w:style w:type="paragraph" w:customStyle="1" w:styleId="HeadingTableofFigures">
    <w:name w:val="Heading Table of Figures"/>
    <w:basedOn w:val="HeadingTableofTables"/>
    <w:next w:val="BodyText"/>
    <w:uiPriority w:val="99"/>
    <w:rsid w:val="00F33D14"/>
    <w:rPr>
      <w:rFonts w:ascii="Arial Bold" w:hAnsi="Arial Bold"/>
    </w:rPr>
  </w:style>
  <w:style w:type="character" w:styleId="CommentReference">
    <w:name w:val="annotation reference"/>
    <w:basedOn w:val="DefaultParagraphFont"/>
    <w:uiPriority w:val="99"/>
    <w:rsid w:val="00AA51E9"/>
    <w:rPr>
      <w:rFonts w:cs="Times New Roman"/>
      <w:sz w:val="16"/>
    </w:rPr>
  </w:style>
  <w:style w:type="paragraph" w:styleId="CommentText">
    <w:name w:val="annotation text"/>
    <w:basedOn w:val="Normal"/>
    <w:link w:val="CommentTextChar"/>
    <w:uiPriority w:val="99"/>
    <w:rsid w:val="00AA51E9"/>
    <w:rPr>
      <w:sz w:val="20"/>
      <w:szCs w:val="20"/>
    </w:rPr>
  </w:style>
  <w:style w:type="character" w:customStyle="1" w:styleId="CommentTextChar">
    <w:name w:val="Comment Text Char"/>
    <w:basedOn w:val="DefaultParagraphFont"/>
    <w:link w:val="CommentText"/>
    <w:uiPriority w:val="99"/>
    <w:locked/>
    <w:rsid w:val="00AA51E9"/>
    <w:rPr>
      <w:rFonts w:ascii="Arial" w:hAnsi="Arial" w:cs="Times New Roman"/>
      <w:lang w:eastAsia="en-US"/>
    </w:rPr>
  </w:style>
  <w:style w:type="paragraph" w:styleId="CommentSubject">
    <w:name w:val="annotation subject"/>
    <w:basedOn w:val="CommentText"/>
    <w:next w:val="CommentText"/>
    <w:link w:val="CommentSubjectChar"/>
    <w:uiPriority w:val="99"/>
    <w:rsid w:val="00AA51E9"/>
    <w:rPr>
      <w:b/>
      <w:bCs/>
    </w:rPr>
  </w:style>
  <w:style w:type="character" w:customStyle="1" w:styleId="CommentSubjectChar">
    <w:name w:val="Comment Subject Char"/>
    <w:basedOn w:val="CommentTextChar"/>
    <w:link w:val="CommentSubject"/>
    <w:uiPriority w:val="99"/>
    <w:locked/>
    <w:rsid w:val="00AA51E9"/>
    <w:rPr>
      <w:b/>
    </w:rPr>
  </w:style>
  <w:style w:type="numbering" w:styleId="ArticleSection">
    <w:name w:val="Outline List 3"/>
    <w:basedOn w:val="NoList"/>
    <w:uiPriority w:val="99"/>
    <w:semiHidden/>
    <w:unhideWhenUsed/>
    <w:locked/>
    <w:rsid w:val="00910F1C"/>
    <w:pPr>
      <w:numPr>
        <w:numId w:val="27"/>
      </w:numPr>
    </w:pPr>
  </w:style>
  <w:style w:type="numbering" w:styleId="1ai">
    <w:name w:val="Outline List 1"/>
    <w:basedOn w:val="NoList"/>
    <w:uiPriority w:val="99"/>
    <w:semiHidden/>
    <w:unhideWhenUsed/>
    <w:locked/>
    <w:rsid w:val="00910F1C"/>
    <w:pPr>
      <w:numPr>
        <w:numId w:val="26"/>
      </w:numPr>
    </w:pPr>
  </w:style>
  <w:style w:type="numbering" w:styleId="111111">
    <w:name w:val="Outline List 2"/>
    <w:basedOn w:val="NoList"/>
    <w:uiPriority w:val="99"/>
    <w:semiHidden/>
    <w:unhideWhenUsed/>
    <w:locked/>
    <w:rsid w:val="00910F1C"/>
    <w:pPr>
      <w:numPr>
        <w:numId w:val="2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461</Words>
  <Characters>2629</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Payment Methods</dc:title>
  <dc:subject/>
  <dc:creator>martinni</dc:creator>
  <cp:keywords/>
  <dc:description/>
  <cp:lastModifiedBy>lagutiol</cp:lastModifiedBy>
  <cp:revision>3</cp:revision>
  <cp:lastPrinted>2013-12-19T02:23:00Z</cp:lastPrinted>
  <dcterms:created xsi:type="dcterms:W3CDTF">2014-04-23T21:03:00Z</dcterms:created>
  <dcterms:modified xsi:type="dcterms:W3CDTF">2014-04-23T21:39:00Z</dcterms:modified>
</cp:coreProperties>
</file>