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43" w:rsidRDefault="006C1243" w:rsidP="004718CB">
      <w:pPr>
        <w:pStyle w:val="BodyText"/>
        <w:spacing w:after="0" w:line="240" w:lineRule="auto"/>
        <w:jc w:val="both"/>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0.8pt;margin-top:39.7pt;width:294.8pt;height:52.3pt;z-index:-251658240;mso-position-horizontal-relative:page;mso-position-vertical-relative:page" wrapcoords="-55 0 -55 21291 21600 21291 21600 0 -55 0">
            <v:imagedata r:id="rId7" o:title=""/>
            <w10:wrap type="tight" anchorx="page" anchory="page"/>
          </v:shape>
        </w:pict>
      </w:r>
    </w:p>
    <w:p w:rsidR="006C1243" w:rsidRDefault="006C1243" w:rsidP="004718CB">
      <w:pPr>
        <w:pStyle w:val="BodyText"/>
        <w:spacing w:after="0" w:line="240" w:lineRule="auto"/>
        <w:jc w:val="both"/>
        <w:rPr>
          <w:rFonts w:ascii="Calibri" w:hAnsi="Calibri"/>
          <w:b/>
          <w:sz w:val="24"/>
        </w:rPr>
      </w:pPr>
    </w:p>
    <w:p w:rsidR="006C1243" w:rsidRDefault="006C1243" w:rsidP="004718CB">
      <w:pPr>
        <w:pStyle w:val="BodyText"/>
        <w:spacing w:after="0" w:line="240" w:lineRule="auto"/>
        <w:jc w:val="both"/>
        <w:rPr>
          <w:rFonts w:ascii="Calibri" w:hAnsi="Calibri"/>
          <w:b/>
          <w:sz w:val="24"/>
        </w:rPr>
      </w:pPr>
    </w:p>
    <w:p w:rsidR="006C1243" w:rsidRDefault="006C1243" w:rsidP="004718CB">
      <w:pPr>
        <w:pStyle w:val="BodyText"/>
        <w:spacing w:after="0" w:line="240" w:lineRule="auto"/>
        <w:jc w:val="both"/>
        <w:rPr>
          <w:rFonts w:ascii="Calibri" w:hAnsi="Calibri"/>
          <w:b/>
          <w:sz w:val="24"/>
        </w:rPr>
      </w:pPr>
    </w:p>
    <w:p w:rsidR="006C1243" w:rsidRDefault="006C1243" w:rsidP="004718CB">
      <w:pPr>
        <w:pStyle w:val="BodyText"/>
        <w:spacing w:after="0" w:line="240" w:lineRule="auto"/>
        <w:jc w:val="both"/>
        <w:rPr>
          <w:rFonts w:ascii="Calibri" w:hAnsi="Calibri"/>
          <w:b/>
          <w:sz w:val="24"/>
        </w:rPr>
      </w:pPr>
    </w:p>
    <w:p w:rsidR="006C1243" w:rsidRPr="00F71C35" w:rsidRDefault="006C1243" w:rsidP="004718CB">
      <w:pPr>
        <w:pStyle w:val="BodyText"/>
        <w:spacing w:after="0" w:line="240" w:lineRule="auto"/>
        <w:jc w:val="both"/>
        <w:rPr>
          <w:rFonts w:ascii="Calibri" w:hAnsi="Calibri"/>
          <w:b/>
          <w:sz w:val="24"/>
        </w:rPr>
      </w:pPr>
      <w:r w:rsidRPr="00F71C35">
        <w:rPr>
          <w:rFonts w:ascii="Calibri" w:hAnsi="Calibri"/>
          <w:b/>
          <w:sz w:val="24"/>
        </w:rPr>
        <w:t>Financial Leasing</w:t>
      </w:r>
    </w:p>
    <w:p w:rsidR="006C1243" w:rsidRPr="00F71C35" w:rsidRDefault="006C1243" w:rsidP="004718CB">
      <w:pPr>
        <w:pStyle w:val="BodyText"/>
        <w:spacing w:after="0" w:line="240" w:lineRule="auto"/>
        <w:jc w:val="both"/>
        <w:rPr>
          <w:rFonts w:ascii="Calibri" w:hAnsi="Calibri"/>
          <w:sz w:val="24"/>
        </w:rPr>
      </w:pPr>
    </w:p>
    <w:p w:rsidR="006C1243" w:rsidRPr="00F71C35" w:rsidRDefault="006C1243" w:rsidP="004718CB">
      <w:pPr>
        <w:pStyle w:val="BodyText"/>
        <w:spacing w:after="0" w:line="240" w:lineRule="auto"/>
        <w:jc w:val="both"/>
        <w:rPr>
          <w:rFonts w:ascii="Calibri" w:hAnsi="Calibri"/>
          <w:sz w:val="24"/>
        </w:rPr>
      </w:pPr>
      <w:r w:rsidRPr="00F71C35">
        <w:rPr>
          <w:rFonts w:ascii="Calibri" w:hAnsi="Calibri"/>
          <w:sz w:val="24"/>
        </w:rPr>
        <w:t xml:space="preserve">The overall risk assessment rating for Financial Leasing is </w:t>
      </w:r>
      <w:r w:rsidRPr="00F71C35">
        <w:rPr>
          <w:rFonts w:ascii="Calibri" w:hAnsi="Calibri"/>
          <w:b/>
          <w:sz w:val="24"/>
        </w:rPr>
        <w:t>LOW</w:t>
      </w:r>
      <w:r w:rsidRPr="00F71C35">
        <w:rPr>
          <w:rFonts w:ascii="Calibri" w:hAnsi="Calibri"/>
          <w:sz w:val="24"/>
        </w:rPr>
        <w:t>.</w:t>
      </w:r>
    </w:p>
    <w:p w:rsidR="006C1243" w:rsidRPr="00F71C35" w:rsidRDefault="006C1243" w:rsidP="004718CB">
      <w:pPr>
        <w:pStyle w:val="BodyText"/>
        <w:spacing w:after="0" w:line="240" w:lineRule="auto"/>
        <w:jc w:val="both"/>
        <w:rPr>
          <w:rFonts w:ascii="Calibri" w:hAnsi="Calibri"/>
          <w:sz w:val="24"/>
        </w:rPr>
      </w:pPr>
    </w:p>
    <w:p w:rsidR="006C1243" w:rsidRPr="00AE05F9" w:rsidRDefault="006C1243" w:rsidP="00AE05F9">
      <w:pPr>
        <w:pStyle w:val="BodyText"/>
        <w:spacing w:line="240" w:lineRule="auto"/>
        <w:jc w:val="both"/>
        <w:rPr>
          <w:rFonts w:ascii="Calibri" w:hAnsi="Calibri"/>
          <w:sz w:val="24"/>
        </w:rPr>
      </w:pPr>
      <w:r w:rsidRPr="00AE05F9">
        <w:rPr>
          <w:rFonts w:ascii="Calibri" w:hAnsi="Calibri"/>
          <w:sz w:val="24"/>
        </w:rPr>
        <w:t xml:space="preserve">The features identified in the table </w:t>
      </w:r>
      <w:r>
        <w:rPr>
          <w:rFonts w:ascii="Calibri" w:hAnsi="Calibri"/>
          <w:sz w:val="24"/>
        </w:rPr>
        <w:t>below</w:t>
      </w:r>
      <w:r w:rsidRPr="00AE05F9">
        <w:rPr>
          <w:rFonts w:ascii="Calibri" w:hAnsi="Calibri"/>
          <w:sz w:val="24"/>
        </w:rPr>
        <w:t xml:space="preserve"> will help </w:t>
      </w:r>
      <w:r>
        <w:rPr>
          <w:rFonts w:ascii="Calibri" w:hAnsi="Calibri"/>
          <w:sz w:val="24"/>
        </w:rPr>
        <w:t>you</w:t>
      </w:r>
      <w:r w:rsidRPr="00AE05F9">
        <w:rPr>
          <w:rFonts w:ascii="Calibri" w:hAnsi="Calibri"/>
          <w:sz w:val="24"/>
        </w:rPr>
        <w:t xml:space="preserve"> </w:t>
      </w:r>
      <w:r>
        <w:rPr>
          <w:rFonts w:ascii="Calibri" w:hAnsi="Calibri"/>
          <w:sz w:val="24"/>
        </w:rPr>
        <w:t>assess how your business is at risk from money laundering.</w:t>
      </w:r>
      <w:r w:rsidRPr="00AE05F9">
        <w:rPr>
          <w:rFonts w:ascii="Calibri" w:hAnsi="Calibri"/>
          <w:sz w:val="24"/>
        </w:rPr>
        <w:t xml:space="preserve"> </w:t>
      </w:r>
    </w:p>
    <w:p w:rsidR="006C1243" w:rsidRPr="00AE05F9" w:rsidRDefault="006C1243" w:rsidP="00AE05F9">
      <w:pPr>
        <w:pStyle w:val="BodyText"/>
        <w:spacing w:line="240" w:lineRule="auto"/>
        <w:jc w:val="both"/>
        <w:rPr>
          <w:rFonts w:ascii="Calibri" w:hAnsi="Calibri"/>
          <w:sz w:val="24"/>
        </w:rPr>
      </w:pPr>
      <w:r w:rsidRPr="00AE05F9">
        <w:rPr>
          <w:rFonts w:ascii="Calibri" w:hAnsi="Calibri"/>
          <w:sz w:val="24"/>
        </w:rPr>
        <w:t>The</w:t>
      </w:r>
      <w:r>
        <w:rPr>
          <w:rFonts w:ascii="Calibri" w:hAnsi="Calibri"/>
          <w:sz w:val="24"/>
        </w:rPr>
        <w:t xml:space="preserve"> guide</w:t>
      </w:r>
      <w:r w:rsidRPr="00AE05F9">
        <w:rPr>
          <w:rFonts w:ascii="Calibri" w:hAnsi="Calibri"/>
          <w:sz w:val="24"/>
        </w:rPr>
        <w:t xml:space="preserve"> will help you create policies and procedures </w:t>
      </w:r>
      <w:r>
        <w:rPr>
          <w:rFonts w:ascii="Calibri" w:hAnsi="Calibri"/>
          <w:sz w:val="24"/>
        </w:rPr>
        <w:t>to identify and lessen the risk of money launderers using your business.</w:t>
      </w:r>
    </w:p>
    <w:p w:rsidR="006C1243" w:rsidRPr="00AE05F9" w:rsidRDefault="006C1243" w:rsidP="00AE05F9">
      <w:pPr>
        <w:pStyle w:val="BodyText"/>
        <w:spacing w:line="240" w:lineRule="auto"/>
        <w:jc w:val="both"/>
        <w:rPr>
          <w:rFonts w:ascii="Calibri" w:hAnsi="Calibri"/>
          <w:sz w:val="24"/>
        </w:rPr>
      </w:pPr>
      <w:r w:rsidRPr="00AE05F9">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6C1243" w:rsidRPr="00AE05F9" w:rsidRDefault="006C1243" w:rsidP="00AE05F9">
      <w:pPr>
        <w:pStyle w:val="BodyText"/>
        <w:spacing w:line="240" w:lineRule="auto"/>
        <w:jc w:val="both"/>
        <w:rPr>
          <w:rFonts w:ascii="Calibri" w:hAnsi="Calibri"/>
          <w:sz w:val="24"/>
        </w:rPr>
      </w:pPr>
      <w:r w:rsidRPr="00AE05F9">
        <w:rPr>
          <w:rFonts w:ascii="Calibri" w:hAnsi="Calibri"/>
          <w:sz w:val="24"/>
        </w:rPr>
        <w:t xml:space="preserve">Transactions or activities listed in the table may not necessarily signal money laundering if they are consistent with a customer’s legitimate business. </w:t>
      </w:r>
    </w:p>
    <w:p w:rsidR="006C1243" w:rsidRDefault="006C1243" w:rsidP="00AE05F9">
      <w:pPr>
        <w:pStyle w:val="BodyText"/>
        <w:spacing w:line="240" w:lineRule="auto"/>
        <w:jc w:val="both"/>
        <w:rPr>
          <w:rFonts w:ascii="Calibri" w:hAnsi="Calibri"/>
          <w:sz w:val="24"/>
        </w:rPr>
      </w:pPr>
      <w:r w:rsidRPr="00AE05F9">
        <w:rPr>
          <w:rFonts w:ascii="Calibri" w:hAnsi="Calibri"/>
          <w:sz w:val="24"/>
        </w:rPr>
        <w:t xml:space="preserve">Based on knowledge of your own business </w:t>
      </w:r>
      <w:r>
        <w:rPr>
          <w:rFonts w:ascii="Calibri" w:hAnsi="Calibri"/>
          <w:sz w:val="24"/>
        </w:rPr>
        <w:t xml:space="preserve">offering financial leasing </w:t>
      </w:r>
      <w:r w:rsidRPr="00AE05F9">
        <w:rPr>
          <w:rFonts w:ascii="Calibri" w:hAnsi="Calibri"/>
          <w:sz w:val="24"/>
        </w:rPr>
        <w:t>you should decide what risk particular customers or transactions pose and how you can lessen that risk.</w:t>
      </w:r>
    </w:p>
    <w:p w:rsidR="006C1243" w:rsidRPr="00AE05F9" w:rsidRDefault="006C1243" w:rsidP="00AE05F9">
      <w:pPr>
        <w:pStyle w:val="BodyText"/>
        <w:spacing w:line="240" w:lineRule="auto"/>
        <w:jc w:val="both"/>
        <w:rPr>
          <w:rFonts w:ascii="Calibri" w:hAnsi="Calibri"/>
          <w:sz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800"/>
        <w:gridCol w:w="2036"/>
        <w:gridCol w:w="3240"/>
        <w:gridCol w:w="3184"/>
      </w:tblGrid>
      <w:tr w:rsidR="006C1243" w:rsidRPr="00A97FD1" w:rsidTr="00884E58">
        <w:trPr>
          <w:tblHeader/>
        </w:trPr>
        <w:tc>
          <w:tcPr>
            <w:tcW w:w="3836" w:type="dxa"/>
            <w:gridSpan w:val="2"/>
            <w:tcBorders>
              <w:top w:val="single" w:sz="4" w:space="0" w:color="auto"/>
            </w:tcBorders>
            <w:shd w:val="clear" w:color="000000" w:fill="E6E6E6"/>
            <w:vAlign w:val="center"/>
          </w:tcPr>
          <w:p w:rsidR="006C1243" w:rsidRPr="00884E58" w:rsidRDefault="006C1243" w:rsidP="00884E58">
            <w:pPr>
              <w:pStyle w:val="BodyText"/>
              <w:spacing w:after="0" w:line="240" w:lineRule="auto"/>
              <w:jc w:val="center"/>
              <w:rPr>
                <w:rFonts w:ascii="Calibri" w:hAnsi="Calibri"/>
                <w:b/>
                <w:bCs/>
              </w:rPr>
            </w:pPr>
          </w:p>
        </w:tc>
        <w:tc>
          <w:tcPr>
            <w:tcW w:w="3240" w:type="dxa"/>
            <w:tcBorders>
              <w:top w:val="single" w:sz="4" w:space="0" w:color="auto"/>
            </w:tcBorders>
            <w:shd w:val="clear" w:color="000000" w:fill="E6E6E6"/>
            <w:vAlign w:val="center"/>
          </w:tcPr>
          <w:p w:rsidR="006C1243" w:rsidRPr="00884E58" w:rsidRDefault="006C1243" w:rsidP="00884E58">
            <w:pPr>
              <w:pStyle w:val="BodyText"/>
              <w:spacing w:after="0" w:line="240" w:lineRule="auto"/>
              <w:jc w:val="center"/>
              <w:rPr>
                <w:rFonts w:ascii="Calibri" w:hAnsi="Calibri"/>
                <w:b/>
                <w:bCs/>
              </w:rPr>
            </w:pPr>
            <w:r w:rsidRPr="00884E58">
              <w:rPr>
                <w:rFonts w:ascii="Calibri" w:hAnsi="Calibri"/>
                <w:b/>
                <w:bCs/>
                <w:szCs w:val="22"/>
              </w:rPr>
              <w:t>HIGHER RISK CHARACTERISTICS</w:t>
            </w:r>
          </w:p>
        </w:tc>
        <w:tc>
          <w:tcPr>
            <w:tcW w:w="3184" w:type="dxa"/>
            <w:tcBorders>
              <w:top w:val="single" w:sz="4" w:space="0" w:color="auto"/>
            </w:tcBorders>
            <w:shd w:val="clear" w:color="000000" w:fill="E6E6E6"/>
            <w:vAlign w:val="center"/>
          </w:tcPr>
          <w:p w:rsidR="006C1243" w:rsidRPr="00884E58" w:rsidRDefault="006C1243" w:rsidP="00884E58">
            <w:pPr>
              <w:pStyle w:val="BodyText"/>
              <w:spacing w:after="0" w:line="240" w:lineRule="auto"/>
              <w:jc w:val="center"/>
              <w:rPr>
                <w:rFonts w:ascii="Calibri" w:hAnsi="Calibri"/>
                <w:b/>
                <w:bCs/>
              </w:rPr>
            </w:pPr>
            <w:r w:rsidRPr="00884E58">
              <w:rPr>
                <w:rFonts w:ascii="Calibri" w:hAnsi="Calibri"/>
                <w:b/>
                <w:bCs/>
                <w:szCs w:val="22"/>
              </w:rPr>
              <w:t>LOWER RISK CHARACTERISTICS</w:t>
            </w:r>
          </w:p>
        </w:tc>
      </w:tr>
      <w:tr w:rsidR="006C1243" w:rsidRPr="00A97FD1" w:rsidTr="00884E58">
        <w:trPr>
          <w:cantSplit/>
          <w:trHeight w:val="405"/>
        </w:trPr>
        <w:tc>
          <w:tcPr>
            <w:tcW w:w="1800" w:type="dxa"/>
            <w:vMerge w:val="restart"/>
            <w:shd w:val="clear" w:color="auto" w:fill="E6E6E6"/>
            <w:vAlign w:val="center"/>
          </w:tcPr>
          <w:p w:rsidR="006C1243" w:rsidRPr="00884E58" w:rsidRDefault="006C1243" w:rsidP="004718CB">
            <w:pPr>
              <w:pStyle w:val="BodyText"/>
              <w:rPr>
                <w:rFonts w:ascii="Calibri" w:hAnsi="Calibri"/>
              </w:rPr>
            </w:pPr>
            <w:r w:rsidRPr="00884E58">
              <w:rPr>
                <w:rFonts w:ascii="Calibri" w:hAnsi="Calibri"/>
                <w:b/>
                <w:szCs w:val="22"/>
              </w:rPr>
              <w:t>The nature, size and complexity of the business</w:t>
            </w:r>
          </w:p>
        </w:tc>
        <w:tc>
          <w:tcPr>
            <w:tcW w:w="2036" w:type="dxa"/>
            <w:vAlign w:val="center"/>
          </w:tcPr>
          <w:p w:rsidR="006C1243" w:rsidRPr="00884E58" w:rsidRDefault="006C1243" w:rsidP="00884E58">
            <w:pPr>
              <w:pStyle w:val="BodyText"/>
              <w:spacing w:after="0" w:line="240" w:lineRule="auto"/>
              <w:rPr>
                <w:rFonts w:ascii="Calibri" w:hAnsi="Calibri"/>
              </w:rPr>
            </w:pPr>
            <w:r w:rsidRPr="00884E58">
              <w:rPr>
                <w:rFonts w:ascii="Calibri" w:hAnsi="Calibri"/>
                <w:szCs w:val="22"/>
              </w:rPr>
              <w:t>Geographical scope</w:t>
            </w: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Lease transactions taking place across national borders;</w:t>
            </w:r>
          </w:p>
        </w:tc>
        <w:tc>
          <w:tcPr>
            <w:tcW w:w="3184" w:type="dxa"/>
          </w:tcPr>
          <w:p w:rsidR="006C1243" w:rsidRPr="00884E58" w:rsidRDefault="006C1243" w:rsidP="00884E58">
            <w:pPr>
              <w:pStyle w:val="BodyText"/>
              <w:tabs>
                <w:tab w:val="left" w:pos="5"/>
              </w:tabs>
              <w:spacing w:after="0" w:line="240" w:lineRule="auto"/>
              <w:rPr>
                <w:rFonts w:ascii="Calibri" w:hAnsi="Calibri"/>
              </w:rPr>
            </w:pPr>
            <w:r w:rsidRPr="00884E58">
              <w:rPr>
                <w:rFonts w:ascii="Calibri" w:hAnsi="Calibri"/>
                <w:szCs w:val="22"/>
              </w:rPr>
              <w:t xml:space="preserve">Lease transactions taking place domestically; </w:t>
            </w:r>
          </w:p>
        </w:tc>
      </w:tr>
      <w:tr w:rsidR="006C1243" w:rsidRPr="00A97FD1" w:rsidTr="00884E58">
        <w:trPr>
          <w:cantSplit/>
          <w:trHeight w:val="296"/>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b/>
              </w:rPr>
            </w:pPr>
          </w:p>
        </w:tc>
        <w:tc>
          <w:tcPr>
            <w:tcW w:w="2036" w:type="dxa"/>
            <w:vMerge w:val="restart"/>
            <w:vAlign w:val="center"/>
          </w:tcPr>
          <w:p w:rsidR="006C1243" w:rsidRPr="00884E58" w:rsidRDefault="006C1243" w:rsidP="00884E58">
            <w:pPr>
              <w:pStyle w:val="BodyText"/>
              <w:spacing w:after="0" w:line="240" w:lineRule="auto"/>
              <w:rPr>
                <w:rFonts w:ascii="Calibri" w:hAnsi="Calibri"/>
              </w:rPr>
            </w:pPr>
            <w:r w:rsidRPr="00884E58">
              <w:rPr>
                <w:rFonts w:ascii="Calibri" w:hAnsi="Calibri"/>
                <w:szCs w:val="22"/>
              </w:rPr>
              <w:t>Applications</w:t>
            </w: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Applying for a financial leasing arrangement by cash deposits guarantee;</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150"/>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rPr>
            </w:pPr>
          </w:p>
        </w:tc>
        <w:tc>
          <w:tcPr>
            <w:tcW w:w="2036" w:type="dxa"/>
            <w:vMerge/>
            <w:vAlign w:val="center"/>
          </w:tcPr>
          <w:p w:rsidR="006C1243" w:rsidRPr="00884E58" w:rsidRDefault="006C1243" w:rsidP="00884E58">
            <w:pPr>
              <w:pStyle w:val="BodyText"/>
              <w:spacing w:after="0" w:line="240" w:lineRule="auto"/>
              <w:rPr>
                <w:rFonts w:ascii="Calibri" w:hAnsi="Calibri"/>
              </w:rPr>
            </w:pP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Applying for finance against assets owned by a third-party;</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150"/>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rPr>
            </w:pPr>
          </w:p>
        </w:tc>
        <w:tc>
          <w:tcPr>
            <w:tcW w:w="2036" w:type="dxa"/>
            <w:vMerge/>
            <w:vAlign w:val="center"/>
          </w:tcPr>
          <w:p w:rsidR="006C1243" w:rsidRPr="00884E58" w:rsidRDefault="006C1243" w:rsidP="00884E58">
            <w:pPr>
              <w:pStyle w:val="BodyText"/>
              <w:spacing w:after="0" w:line="240" w:lineRule="auto"/>
              <w:rPr>
                <w:rFonts w:ascii="Calibri" w:hAnsi="Calibri"/>
              </w:rPr>
            </w:pP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Paying early funds into another bank account, in exchange for the use of an asset;</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138"/>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b/>
              </w:rPr>
            </w:pPr>
          </w:p>
        </w:tc>
        <w:tc>
          <w:tcPr>
            <w:tcW w:w="2036" w:type="dxa"/>
            <w:vMerge w:val="restart"/>
            <w:vAlign w:val="center"/>
          </w:tcPr>
          <w:p w:rsidR="006C1243" w:rsidRPr="00884E58" w:rsidRDefault="006C1243" w:rsidP="00884E58">
            <w:pPr>
              <w:pStyle w:val="BodyText"/>
              <w:spacing w:after="0" w:line="240" w:lineRule="auto"/>
              <w:rPr>
                <w:rFonts w:ascii="Calibri" w:hAnsi="Calibri"/>
              </w:rPr>
            </w:pPr>
            <w:r w:rsidRPr="00884E58">
              <w:rPr>
                <w:rFonts w:ascii="Calibri" w:hAnsi="Calibri"/>
                <w:szCs w:val="22"/>
              </w:rPr>
              <w:t xml:space="preserve">Repayment </w:t>
            </w: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Irregular or unusual repayments - specifically speeding up an agreed repayment schedule, either by lump sum repayments, or an early end;</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138"/>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b/>
              </w:rPr>
            </w:pPr>
          </w:p>
        </w:tc>
        <w:tc>
          <w:tcPr>
            <w:tcW w:w="2036" w:type="dxa"/>
            <w:vMerge/>
            <w:vAlign w:val="center"/>
          </w:tcPr>
          <w:p w:rsidR="006C1243" w:rsidRPr="00884E58" w:rsidRDefault="006C1243" w:rsidP="00884E58">
            <w:pPr>
              <w:pStyle w:val="BodyText"/>
              <w:spacing w:after="0" w:line="240" w:lineRule="auto"/>
              <w:rPr>
                <w:rFonts w:ascii="Calibri" w:hAnsi="Calibri"/>
              </w:rPr>
            </w:pP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Unexpected repayment without a good reason and inconsistent with the usual income of the customer and their usual  activity;</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138"/>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b/>
              </w:rPr>
            </w:pPr>
          </w:p>
        </w:tc>
        <w:tc>
          <w:tcPr>
            <w:tcW w:w="2036" w:type="dxa"/>
            <w:vMerge/>
            <w:vAlign w:val="center"/>
          </w:tcPr>
          <w:p w:rsidR="006C1243" w:rsidRPr="00884E58" w:rsidRDefault="006C1243" w:rsidP="00884E58">
            <w:pPr>
              <w:pStyle w:val="BodyText"/>
              <w:spacing w:after="0" w:line="240" w:lineRule="auto"/>
              <w:rPr>
                <w:rFonts w:ascii="Calibri" w:hAnsi="Calibri"/>
              </w:rPr>
            </w:pP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Repaying the value of the financing with cash;</w:t>
            </w:r>
          </w:p>
        </w:tc>
        <w:tc>
          <w:tcPr>
            <w:tcW w:w="3184"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Repayments made by direct debit;</w:t>
            </w:r>
          </w:p>
        </w:tc>
      </w:tr>
      <w:tr w:rsidR="006C1243" w:rsidRPr="00A97FD1" w:rsidTr="00884E58">
        <w:trPr>
          <w:cantSplit/>
          <w:trHeight w:val="138"/>
        </w:trPr>
        <w:tc>
          <w:tcPr>
            <w:tcW w:w="1800" w:type="dxa"/>
            <w:vMerge/>
            <w:shd w:val="clear" w:color="auto" w:fill="E6E6E6"/>
            <w:vAlign w:val="center"/>
          </w:tcPr>
          <w:p w:rsidR="006C1243" w:rsidRPr="00884E58" w:rsidRDefault="006C1243" w:rsidP="00884E58">
            <w:pPr>
              <w:pStyle w:val="BodyText"/>
              <w:spacing w:after="0" w:line="240" w:lineRule="auto"/>
              <w:rPr>
                <w:rFonts w:ascii="Calibri" w:hAnsi="Calibri"/>
                <w:b/>
              </w:rPr>
            </w:pPr>
          </w:p>
        </w:tc>
        <w:tc>
          <w:tcPr>
            <w:tcW w:w="2036" w:type="dxa"/>
            <w:vMerge/>
            <w:vAlign w:val="center"/>
          </w:tcPr>
          <w:p w:rsidR="006C1243" w:rsidRPr="00884E58" w:rsidRDefault="006C1243" w:rsidP="00884E58">
            <w:pPr>
              <w:pStyle w:val="BodyText"/>
              <w:spacing w:after="0" w:line="240" w:lineRule="auto"/>
              <w:rPr>
                <w:rFonts w:ascii="Calibri" w:hAnsi="Calibri"/>
              </w:rPr>
            </w:pP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Payments (including cash deposits) accepted from third parties;</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405"/>
        </w:trPr>
        <w:tc>
          <w:tcPr>
            <w:tcW w:w="3836" w:type="dxa"/>
            <w:gridSpan w:val="2"/>
            <w:shd w:val="clear" w:color="auto" w:fill="E6E6E6"/>
            <w:vAlign w:val="center"/>
          </w:tcPr>
          <w:p w:rsidR="006C1243" w:rsidRPr="00884E58" w:rsidRDefault="006C1243" w:rsidP="00884E58">
            <w:pPr>
              <w:pStyle w:val="BodyText"/>
              <w:spacing w:after="0" w:line="240" w:lineRule="auto"/>
              <w:rPr>
                <w:rFonts w:ascii="Calibri" w:hAnsi="Calibri"/>
              </w:rPr>
            </w:pPr>
            <w:r w:rsidRPr="00884E58">
              <w:rPr>
                <w:rFonts w:ascii="Calibri" w:hAnsi="Calibri"/>
                <w:b/>
                <w:szCs w:val="22"/>
              </w:rPr>
              <w:t>Types of customers dealt with</w:t>
            </w: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Financial lease arrangements for offshore companies or companies which work  offshore;</w:t>
            </w:r>
          </w:p>
        </w:tc>
        <w:tc>
          <w:tcPr>
            <w:tcW w:w="3184"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Domestic individuals and corporations;</w:t>
            </w:r>
          </w:p>
        </w:tc>
      </w:tr>
      <w:tr w:rsidR="006C1243" w:rsidRPr="00A97FD1" w:rsidTr="00B366E1">
        <w:trPr>
          <w:cantSplit/>
          <w:trHeight w:val="620"/>
        </w:trPr>
        <w:tc>
          <w:tcPr>
            <w:tcW w:w="3836" w:type="dxa"/>
            <w:gridSpan w:val="2"/>
            <w:vMerge w:val="restart"/>
            <w:shd w:val="clear" w:color="auto" w:fill="E6E6E6"/>
            <w:vAlign w:val="center"/>
          </w:tcPr>
          <w:p w:rsidR="006C1243" w:rsidRPr="00884E58" w:rsidRDefault="006C1243" w:rsidP="00884E58">
            <w:pPr>
              <w:pStyle w:val="BodyText"/>
              <w:spacing w:after="0" w:line="240" w:lineRule="auto"/>
              <w:rPr>
                <w:rFonts w:ascii="Calibri" w:hAnsi="Calibri"/>
                <w:b/>
              </w:rPr>
            </w:pPr>
            <w:r w:rsidRPr="00884E58">
              <w:rPr>
                <w:rFonts w:ascii="Calibri" w:hAnsi="Calibri"/>
                <w:b/>
                <w:szCs w:val="22"/>
              </w:rPr>
              <w:t>Customer behaviour</w:t>
            </w: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The customer transfers the value of the gained financing abroad;</w:t>
            </w:r>
          </w:p>
        </w:tc>
        <w:tc>
          <w:tcPr>
            <w:tcW w:w="3184" w:type="dxa"/>
          </w:tcPr>
          <w:p w:rsidR="006C1243" w:rsidRPr="00884E58" w:rsidRDefault="006C1243" w:rsidP="00884E58">
            <w:pPr>
              <w:spacing w:line="240" w:lineRule="auto"/>
            </w:pPr>
          </w:p>
          <w:p w:rsidR="006C1243" w:rsidRPr="00884E58" w:rsidRDefault="006C1243" w:rsidP="00884E58">
            <w:pPr>
              <w:spacing w:line="240" w:lineRule="auto"/>
            </w:pPr>
          </w:p>
          <w:p w:rsidR="006C1243" w:rsidRPr="00884E58" w:rsidRDefault="006C1243" w:rsidP="00884E58">
            <w:pPr>
              <w:spacing w:line="240" w:lineRule="auto"/>
            </w:pPr>
          </w:p>
        </w:tc>
      </w:tr>
      <w:tr w:rsidR="006C1243" w:rsidRPr="00A97FD1" w:rsidTr="00884E58">
        <w:trPr>
          <w:cantSplit/>
          <w:trHeight w:val="180"/>
        </w:trPr>
        <w:tc>
          <w:tcPr>
            <w:tcW w:w="3836" w:type="dxa"/>
            <w:gridSpan w:val="2"/>
            <w:vMerge/>
            <w:shd w:val="clear" w:color="auto" w:fill="E6E6E6"/>
            <w:vAlign w:val="center"/>
          </w:tcPr>
          <w:p w:rsidR="006C1243" w:rsidRPr="00884E58" w:rsidRDefault="006C1243" w:rsidP="00884E58">
            <w:pPr>
              <w:pStyle w:val="BodyText"/>
              <w:spacing w:after="0" w:line="240" w:lineRule="auto"/>
              <w:rPr>
                <w:rFonts w:ascii="Calibri" w:hAnsi="Calibri"/>
              </w:rPr>
            </w:pPr>
          </w:p>
        </w:tc>
        <w:tc>
          <w:tcPr>
            <w:tcW w:w="3240" w:type="dxa"/>
          </w:tcPr>
          <w:p w:rsidR="006C1243" w:rsidRPr="00884E58" w:rsidRDefault="006C1243" w:rsidP="00884E58">
            <w:pPr>
              <w:pStyle w:val="BodyText"/>
              <w:spacing w:after="0" w:line="240" w:lineRule="auto"/>
              <w:rPr>
                <w:rFonts w:ascii="Calibri" w:hAnsi="Calibri"/>
              </w:rPr>
            </w:pPr>
            <w:r w:rsidRPr="00884E58">
              <w:rPr>
                <w:rFonts w:ascii="Calibri" w:hAnsi="Calibri"/>
                <w:szCs w:val="22"/>
              </w:rPr>
              <w:t>The customer reduces the amount wanted or stops retreats from obtaining the wanting finance when an appraisal of the customer is carried out</w:t>
            </w:r>
            <w:r>
              <w:rPr>
                <w:rFonts w:ascii="Calibri" w:hAnsi="Calibri"/>
                <w:szCs w:val="22"/>
              </w:rPr>
              <w:t>;</w:t>
            </w:r>
            <w:r w:rsidRPr="00884E58">
              <w:rPr>
                <w:rFonts w:ascii="Calibri" w:hAnsi="Calibri"/>
                <w:szCs w:val="22"/>
              </w:rPr>
              <w:t xml:space="preserve"> </w:t>
            </w:r>
          </w:p>
        </w:tc>
        <w:tc>
          <w:tcPr>
            <w:tcW w:w="3184" w:type="dxa"/>
          </w:tcPr>
          <w:p w:rsidR="006C1243" w:rsidRPr="00884E58" w:rsidRDefault="006C1243" w:rsidP="00884E58">
            <w:pPr>
              <w:pStyle w:val="BodyText"/>
              <w:spacing w:after="0" w:line="240" w:lineRule="auto"/>
              <w:rPr>
                <w:rFonts w:ascii="Calibri" w:hAnsi="Calibri"/>
              </w:rPr>
            </w:pPr>
          </w:p>
        </w:tc>
      </w:tr>
      <w:tr w:rsidR="006C1243" w:rsidRPr="00A97FD1" w:rsidTr="00884E58">
        <w:trPr>
          <w:cantSplit/>
          <w:trHeight w:val="1079"/>
        </w:trPr>
        <w:tc>
          <w:tcPr>
            <w:tcW w:w="3836" w:type="dxa"/>
            <w:gridSpan w:val="2"/>
            <w:tcBorders>
              <w:top w:val="nil"/>
              <w:bottom w:val="single" w:sz="4" w:space="0" w:color="auto"/>
            </w:tcBorders>
            <w:shd w:val="clear" w:color="auto" w:fill="E6E6E6"/>
            <w:vAlign w:val="center"/>
          </w:tcPr>
          <w:p w:rsidR="006C1243" w:rsidRPr="00884E58" w:rsidRDefault="006C1243" w:rsidP="00884E58">
            <w:pPr>
              <w:pStyle w:val="BodyText"/>
              <w:spacing w:after="0" w:line="240" w:lineRule="auto"/>
              <w:rPr>
                <w:rFonts w:ascii="Calibri" w:hAnsi="Calibri"/>
              </w:rPr>
            </w:pPr>
            <w:r w:rsidRPr="00884E58">
              <w:rPr>
                <w:rFonts w:ascii="Calibri" w:hAnsi="Calibri"/>
                <w:b/>
                <w:szCs w:val="22"/>
              </w:rPr>
              <w:t>Methods by which financial leasing services are delivered to customers</w:t>
            </w:r>
          </w:p>
        </w:tc>
        <w:tc>
          <w:tcPr>
            <w:tcW w:w="3240" w:type="dxa"/>
            <w:tcBorders>
              <w:bottom w:val="single" w:sz="4" w:space="0" w:color="auto"/>
            </w:tcBorders>
          </w:tcPr>
          <w:p w:rsidR="006C1243" w:rsidRPr="00884E58" w:rsidRDefault="006C1243" w:rsidP="00884E58">
            <w:pPr>
              <w:pStyle w:val="BodyText"/>
              <w:spacing w:after="0" w:line="240" w:lineRule="auto"/>
              <w:rPr>
                <w:rFonts w:ascii="Calibri" w:hAnsi="Calibri"/>
              </w:rPr>
            </w:pPr>
            <w:r w:rsidRPr="00884E58">
              <w:rPr>
                <w:rFonts w:ascii="Calibri" w:hAnsi="Calibri"/>
                <w:szCs w:val="22"/>
              </w:rPr>
              <w:t>Several independent service providers carrying out individual steps of the transaction;</w:t>
            </w:r>
          </w:p>
        </w:tc>
        <w:tc>
          <w:tcPr>
            <w:tcW w:w="3184" w:type="dxa"/>
            <w:tcBorders>
              <w:bottom w:val="single" w:sz="4" w:space="0" w:color="auto"/>
            </w:tcBorders>
          </w:tcPr>
          <w:p w:rsidR="006C1243" w:rsidRPr="00884E58" w:rsidRDefault="006C1243" w:rsidP="00884E58">
            <w:pPr>
              <w:pStyle w:val="BodyText"/>
              <w:spacing w:after="0" w:line="240" w:lineRule="auto"/>
              <w:rPr>
                <w:rFonts w:ascii="Calibri" w:hAnsi="Calibri"/>
              </w:rPr>
            </w:pPr>
            <w:r w:rsidRPr="00884E58">
              <w:rPr>
                <w:rFonts w:ascii="Calibri" w:hAnsi="Calibri"/>
                <w:szCs w:val="22"/>
              </w:rPr>
              <w:t>Whole transaction carried out by one service provider;</w:t>
            </w:r>
          </w:p>
        </w:tc>
      </w:tr>
    </w:tbl>
    <w:p w:rsidR="006C1243" w:rsidRPr="00A97FD1" w:rsidRDefault="006C1243" w:rsidP="00E60A5F">
      <w:pPr>
        <w:pStyle w:val="BodyText"/>
        <w:spacing w:after="0" w:line="240" w:lineRule="auto"/>
      </w:pPr>
    </w:p>
    <w:sectPr w:rsidR="006C1243" w:rsidRPr="00A97FD1" w:rsidSect="009B10C2">
      <w:footerReference w:type="even" r:id="rId8"/>
      <w:footerReference w:type="default" r:id="rId9"/>
      <w:footerReference w:type="first" r:id="rId10"/>
      <w:pgSz w:w="11907" w:h="16840" w:code="9"/>
      <w:pgMar w:top="737" w:right="1134" w:bottom="73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43" w:rsidRDefault="006C1243">
      <w:r>
        <w:separator/>
      </w:r>
    </w:p>
  </w:endnote>
  <w:endnote w:type="continuationSeparator" w:id="0">
    <w:p w:rsidR="006C1243" w:rsidRDefault="006C1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43" w:rsidRDefault="006C1243" w:rsidP="00EA4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243" w:rsidRDefault="006C1243"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43" w:rsidRDefault="006C1243" w:rsidP="00273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1243" w:rsidRPr="006F110B" w:rsidRDefault="006C1243" w:rsidP="00EA42EF">
    <w:pPr>
      <w:jc w:val="right"/>
      <w:rPr>
        <w:rFonts w:ascii="Calibri" w:hAnsi="Calibri"/>
        <w:i/>
        <w:sz w:val="18"/>
        <w:szCs w:val="18"/>
      </w:rPr>
    </w:pPr>
    <w:r w:rsidRPr="006F110B">
      <w:rPr>
        <w:rFonts w:ascii="Calibri" w:hAnsi="Calibri"/>
        <w:i/>
        <w:sz w:val="18"/>
        <w:szCs w:val="18"/>
      </w:rPr>
      <w:t>Department of Internal Affairs Te Tari Taiwhenua</w:t>
    </w:r>
  </w:p>
  <w:p w:rsidR="006C1243" w:rsidRPr="006F110B" w:rsidRDefault="006C1243" w:rsidP="00EA42EF">
    <w:pPr>
      <w:pStyle w:val="Footer"/>
      <w:jc w:val="right"/>
      <w:rPr>
        <w:rFonts w:ascii="Calibri" w:hAnsi="Calibri"/>
        <w:i/>
      </w:rPr>
    </w:pPr>
    <w:r w:rsidRPr="006F110B">
      <w:rPr>
        <w:rFonts w:ascii="Calibri" w:hAnsi="Calibri"/>
        <w:i/>
      </w:rPr>
      <w:t>April 2014</w:t>
    </w:r>
  </w:p>
  <w:p w:rsidR="006C1243" w:rsidRDefault="006C1243" w:rsidP="00DE1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43" w:rsidRPr="006F110B" w:rsidRDefault="006C1243" w:rsidP="00EA42EF">
    <w:pPr>
      <w:jc w:val="right"/>
      <w:rPr>
        <w:rFonts w:ascii="Calibri" w:hAnsi="Calibri"/>
        <w:i/>
        <w:sz w:val="18"/>
        <w:szCs w:val="18"/>
      </w:rPr>
    </w:pPr>
    <w:r w:rsidRPr="006F110B">
      <w:rPr>
        <w:rFonts w:ascii="Calibri" w:hAnsi="Calibri"/>
        <w:i/>
        <w:sz w:val="18"/>
        <w:szCs w:val="18"/>
      </w:rPr>
      <w:t>Department of Internal Affairs Te Tari Taiwhenua</w:t>
    </w:r>
  </w:p>
  <w:p w:rsidR="006C1243" w:rsidRPr="00EA42EF" w:rsidRDefault="006C1243" w:rsidP="00EA42EF">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43" w:rsidRDefault="006C1243">
      <w:r>
        <w:separator/>
      </w:r>
    </w:p>
  </w:footnote>
  <w:footnote w:type="continuationSeparator" w:id="0">
    <w:p w:rsidR="006C1243" w:rsidRDefault="006C1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pPr>
      <w:rPr>
        <w:rFonts w:cs="Gill Sans MT" w:hint="default"/>
      </w:rPr>
    </w:lvl>
    <w:lvl w:ilvl="5">
      <w:start w:val="1"/>
      <w:numFmt w:val="none"/>
      <w:lvlText w:val=""/>
      <w:lvlJc w:val="left"/>
      <w:pPr>
        <w:tabs>
          <w:tab w:val="num" w:pos="0"/>
        </w:tabs>
      </w:pPr>
      <w:rPr>
        <w:rFonts w:cs="Gill Sans MT" w:hint="default"/>
      </w:rPr>
    </w:lvl>
    <w:lvl w:ilvl="6">
      <w:start w:val="1"/>
      <w:numFmt w:val="none"/>
      <w:lvlText w:val=""/>
      <w:lvlJc w:val="left"/>
      <w:pPr>
        <w:tabs>
          <w:tab w:val="num" w:pos="0"/>
        </w:tabs>
      </w:pPr>
      <w:rPr>
        <w:rFonts w:cs="Gill Sans MT" w:hint="default"/>
      </w:rPr>
    </w:lvl>
    <w:lvl w:ilvl="7">
      <w:start w:val="1"/>
      <w:numFmt w:val="none"/>
      <w:lvlText w:val=""/>
      <w:lvlJc w:val="left"/>
      <w:pPr>
        <w:tabs>
          <w:tab w:val="num" w:pos="0"/>
        </w:tabs>
      </w:pPr>
      <w:rPr>
        <w:rFonts w:cs="Gill Sans MT" w:hint="default"/>
      </w:rPr>
    </w:lvl>
    <w:lvl w:ilvl="8">
      <w:start w:val="1"/>
      <w:numFmt w:val="none"/>
      <w:lvlText w:val=""/>
      <w:lvlJc w:val="left"/>
      <w:pPr>
        <w:tabs>
          <w:tab w:val="num" w:pos="0"/>
        </w:tabs>
      </w:pPr>
      <w:rPr>
        <w:rFonts w:cs="Gill Sans MT" w:hint="default"/>
      </w:rPr>
    </w:lvl>
  </w:abstractNum>
  <w:abstractNum w:abstractNumId="13">
    <w:nsid w:val="368F5832"/>
    <w:multiLevelType w:val="multilevel"/>
    <w:tmpl w:val="2FB6CB24"/>
    <w:lvl w:ilvl="0">
      <w:start w:val="1"/>
      <w:numFmt w:val="upperLetter"/>
      <w:pStyle w:val="HeadingAppendix"/>
      <w:suff w:val="space"/>
      <w:lvlText w:val="Appendix %1"/>
      <w:lvlJc w:val="left"/>
      <w:rPr>
        <w:rFonts w:cs="Times New Roman" w:hint="default"/>
        <w:color w:val="auto"/>
        <w:sz w:val="20"/>
        <w:szCs w:val="20"/>
      </w:rPr>
    </w:lvl>
    <w:lvl w:ilvl="1">
      <w:start w:val="1"/>
      <w:numFmt w:val="none"/>
      <w:lvlText w:val=""/>
      <w:lvlJc w:val="left"/>
      <w:pPr>
        <w:tabs>
          <w:tab w:val="num" w:pos="0"/>
        </w:tabs>
      </w:pPr>
      <w:rPr>
        <w:rFonts w:cs="Times New Roman" w:hint="default"/>
        <w:sz w:val="20"/>
        <w:szCs w:val="20"/>
      </w:rPr>
    </w:lvl>
    <w:lvl w:ilvl="2">
      <w:start w:val="1"/>
      <w:numFmt w:val="none"/>
      <w:lvlText w:val=""/>
      <w:lvlJc w:val="left"/>
      <w:pPr>
        <w:tabs>
          <w:tab w:val="num" w:pos="0"/>
        </w:tabs>
      </w:pPr>
      <w:rPr>
        <w:rFonts w:cs="Times New Roman" w:hint="default"/>
        <w:sz w:val="20"/>
        <w:szCs w:val="20"/>
      </w:rPr>
    </w:lvl>
    <w:lvl w:ilvl="3">
      <w:start w:val="1"/>
      <w:numFmt w:val="none"/>
      <w:lvlText w:val=""/>
      <w:lvlJc w:val="left"/>
      <w:pPr>
        <w:tabs>
          <w:tab w:val="num" w:pos="0"/>
        </w:tabs>
      </w:pPr>
      <w:rPr>
        <w:rFonts w:cs="Times New Roman" w:hint="default"/>
        <w:sz w:val="20"/>
        <w:szCs w:val="20"/>
      </w:rPr>
    </w:lvl>
    <w:lvl w:ilvl="4">
      <w:start w:val="1"/>
      <w:numFmt w:val="none"/>
      <w:lvlText w:val=""/>
      <w:lvlJc w:val="left"/>
      <w:pPr>
        <w:tabs>
          <w:tab w:val="num" w:pos="0"/>
        </w:tabs>
      </w:pPr>
      <w:rPr>
        <w:rFonts w:cs="Times New Roman" w:hint="default"/>
        <w:sz w:val="20"/>
        <w:szCs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408868A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10641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FFB173D"/>
    <w:multiLevelType w:val="hybridMultilevel"/>
    <w:tmpl w:val="FF86780C"/>
    <w:lvl w:ilvl="0" w:tplc="E326EC3E">
      <w:start w:val="1"/>
      <w:numFmt w:val="upperLetter"/>
      <w:pStyle w:val="ListAlpha"/>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pPr>
      <w:rPr>
        <w:rFonts w:cs="Times New Roman" w:hint="default"/>
      </w:rPr>
    </w:lvl>
    <w:lvl w:ilvl="4">
      <w:start w:val="1"/>
      <w:numFmt w:val="none"/>
      <w:lvlRestart w:val="0"/>
      <w:lvlText w:val=""/>
      <w:lvlJc w:val="left"/>
      <w:pPr>
        <w:tabs>
          <w:tab w:val="num" w:pos="283"/>
        </w:tabs>
        <w:ind w:left="283"/>
      </w:pPr>
      <w:rPr>
        <w:rFonts w:cs="Times New Roman" w:hint="default"/>
      </w:rPr>
    </w:lvl>
    <w:lvl w:ilvl="5">
      <w:start w:val="1"/>
      <w:numFmt w:val="none"/>
      <w:lvlRestart w:val="0"/>
      <w:lvlText w:val=""/>
      <w:lvlJc w:val="left"/>
      <w:pPr>
        <w:tabs>
          <w:tab w:val="num" w:pos="283"/>
        </w:tabs>
        <w:ind w:left="283"/>
      </w:pPr>
      <w:rPr>
        <w:rFonts w:cs="Times New Roman" w:hint="default"/>
      </w:rPr>
    </w:lvl>
    <w:lvl w:ilvl="6">
      <w:start w:val="1"/>
      <w:numFmt w:val="none"/>
      <w:lvlRestart w:val="0"/>
      <w:lvlText w:val=""/>
      <w:lvlJc w:val="left"/>
      <w:pPr>
        <w:tabs>
          <w:tab w:val="num" w:pos="283"/>
        </w:tabs>
        <w:ind w:left="283"/>
      </w:pPr>
      <w:rPr>
        <w:rFonts w:cs="Times New Roman" w:hint="default"/>
      </w:rPr>
    </w:lvl>
    <w:lvl w:ilvl="7">
      <w:start w:val="1"/>
      <w:numFmt w:val="none"/>
      <w:lvlRestart w:val="0"/>
      <w:lvlText w:val=""/>
      <w:lvlJc w:val="left"/>
      <w:pPr>
        <w:tabs>
          <w:tab w:val="num" w:pos="283"/>
        </w:tabs>
        <w:ind w:left="283"/>
      </w:pPr>
      <w:rPr>
        <w:rFonts w:cs="Times New Roman" w:hint="default"/>
      </w:rPr>
    </w:lvl>
    <w:lvl w:ilvl="8">
      <w:start w:val="1"/>
      <w:numFmt w:val="none"/>
      <w:lvlRestart w:val="0"/>
      <w:lvlText w:val=""/>
      <w:lvlJc w:val="left"/>
      <w:pPr>
        <w:tabs>
          <w:tab w:val="num" w:pos="283"/>
        </w:tabs>
        <w:ind w:left="283"/>
      </w:pPr>
      <w:rPr>
        <w:rFonts w:cs="Times New Roman" w:hint="default"/>
      </w:rPr>
    </w:lvl>
  </w:abstractNum>
  <w:abstractNum w:abstractNumId="2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pPr>
      <w:rPr>
        <w:rFonts w:cs="Times New Roman" w:hint="default"/>
      </w:rPr>
    </w:lvl>
    <w:lvl w:ilvl="4">
      <w:start w:val="1"/>
      <w:numFmt w:val="none"/>
      <w:lvlRestart w:val="0"/>
      <w:lvlText w:val=""/>
      <w:lvlJc w:val="left"/>
      <w:pPr>
        <w:tabs>
          <w:tab w:val="num" w:pos="851"/>
        </w:tabs>
        <w:ind w:left="851"/>
      </w:pPr>
      <w:rPr>
        <w:rFonts w:cs="Times New Roman" w:hint="default"/>
      </w:rPr>
    </w:lvl>
    <w:lvl w:ilvl="5">
      <w:start w:val="1"/>
      <w:numFmt w:val="none"/>
      <w:lvlRestart w:val="0"/>
      <w:lvlText w:val=""/>
      <w:lvlJc w:val="left"/>
      <w:pPr>
        <w:tabs>
          <w:tab w:val="num" w:pos="851"/>
        </w:tabs>
        <w:ind w:left="851"/>
      </w:pPr>
      <w:rPr>
        <w:rFonts w:cs="Times New Roman" w:hint="default"/>
      </w:rPr>
    </w:lvl>
    <w:lvl w:ilvl="6">
      <w:start w:val="1"/>
      <w:numFmt w:val="none"/>
      <w:lvlRestart w:val="0"/>
      <w:lvlText w:val=""/>
      <w:lvlJc w:val="left"/>
      <w:pPr>
        <w:tabs>
          <w:tab w:val="num" w:pos="851"/>
        </w:tabs>
        <w:ind w:left="851"/>
      </w:pPr>
      <w:rPr>
        <w:rFonts w:cs="Times New Roman" w:hint="default"/>
      </w:rPr>
    </w:lvl>
    <w:lvl w:ilvl="7">
      <w:start w:val="1"/>
      <w:numFmt w:val="none"/>
      <w:lvlRestart w:val="0"/>
      <w:lvlText w:val=""/>
      <w:lvlJc w:val="left"/>
      <w:pPr>
        <w:tabs>
          <w:tab w:val="num" w:pos="851"/>
        </w:tabs>
        <w:ind w:left="851"/>
      </w:pPr>
      <w:rPr>
        <w:rFonts w:cs="Times New Roman" w:hint="default"/>
      </w:rPr>
    </w:lvl>
    <w:lvl w:ilvl="8">
      <w:start w:val="1"/>
      <w:numFmt w:val="none"/>
      <w:lvlRestart w:val="0"/>
      <w:lvlText w:val=""/>
      <w:lvlJc w:val="left"/>
      <w:pPr>
        <w:tabs>
          <w:tab w:val="num" w:pos="851"/>
        </w:tabs>
        <w:ind w:left="851"/>
      </w:pPr>
      <w:rPr>
        <w:rFonts w:cs="Times New Roman" w:hint="default"/>
      </w:rPr>
    </w:lvl>
  </w:abstractNum>
  <w:abstractNum w:abstractNumId="22">
    <w:nsid w:val="6B2A7B0B"/>
    <w:multiLevelType w:val="hybridMultilevel"/>
    <w:tmpl w:val="5608E76C"/>
    <w:lvl w:ilvl="0" w:tplc="9FE6A1FC">
      <w:start w:val="1"/>
      <w:numFmt w:val="decimal"/>
      <w:pStyle w:val="ListNumeric"/>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24">
    <w:nsid w:val="70B3633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7"/>
  </w:num>
  <w:num w:numId="23">
    <w:abstractNumId w:val="22"/>
  </w:num>
  <w:num w:numId="24">
    <w:abstractNumId w:val="10"/>
  </w:num>
  <w:num w:numId="25">
    <w:abstractNumId w:val="23"/>
  </w:num>
  <w:num w:numId="26">
    <w:abstractNumId w:val="19"/>
  </w:num>
  <w:num w:numId="27">
    <w:abstractNumId w:val="18"/>
  </w:num>
  <w:num w:numId="28">
    <w:abstractNumId w:val="14"/>
  </w:num>
  <w:num w:numId="29">
    <w:abstractNumId w:val="13"/>
  </w:num>
  <w:num w:numId="30">
    <w:abstractNumId w:val="20"/>
  </w:num>
  <w:num w:numId="31">
    <w:abstractNumId w:val="21"/>
  </w:num>
  <w:num w:numId="32">
    <w:abstractNumId w:val="12"/>
  </w:num>
  <w:num w:numId="33">
    <w:abstractNumId w:val="16"/>
  </w:num>
  <w:num w:numId="34">
    <w:abstractNumId w:val="24"/>
  </w:num>
  <w:num w:numId="35">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trackRevisions/>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069DB"/>
    <w:rsid w:val="00020010"/>
    <w:rsid w:val="00021AE5"/>
    <w:rsid w:val="00034673"/>
    <w:rsid w:val="0004101B"/>
    <w:rsid w:val="00044EA1"/>
    <w:rsid w:val="00053C5B"/>
    <w:rsid w:val="00072D7A"/>
    <w:rsid w:val="00077013"/>
    <w:rsid w:val="000E677B"/>
    <w:rsid w:val="000F4936"/>
    <w:rsid w:val="000F61AF"/>
    <w:rsid w:val="0010171C"/>
    <w:rsid w:val="00102FAD"/>
    <w:rsid w:val="00121D21"/>
    <w:rsid w:val="00122F59"/>
    <w:rsid w:val="00126300"/>
    <w:rsid w:val="001400CD"/>
    <w:rsid w:val="00151FFC"/>
    <w:rsid w:val="001A003F"/>
    <w:rsid w:val="001C0031"/>
    <w:rsid w:val="001C0489"/>
    <w:rsid w:val="001C05C6"/>
    <w:rsid w:val="001D0111"/>
    <w:rsid w:val="001D57CF"/>
    <w:rsid w:val="001E468C"/>
    <w:rsid w:val="001E77F9"/>
    <w:rsid w:val="001F0D14"/>
    <w:rsid w:val="00206BA3"/>
    <w:rsid w:val="00215160"/>
    <w:rsid w:val="002224B4"/>
    <w:rsid w:val="00227F08"/>
    <w:rsid w:val="00232A5E"/>
    <w:rsid w:val="00237A3D"/>
    <w:rsid w:val="002502D1"/>
    <w:rsid w:val="00270EEC"/>
    <w:rsid w:val="00273464"/>
    <w:rsid w:val="002806A2"/>
    <w:rsid w:val="00282C53"/>
    <w:rsid w:val="00297CC7"/>
    <w:rsid w:val="002A2E3F"/>
    <w:rsid w:val="002A2EC1"/>
    <w:rsid w:val="002A4BD9"/>
    <w:rsid w:val="002A4FE7"/>
    <w:rsid w:val="002C18D3"/>
    <w:rsid w:val="0031143F"/>
    <w:rsid w:val="00330820"/>
    <w:rsid w:val="00370FC0"/>
    <w:rsid w:val="003A050E"/>
    <w:rsid w:val="003A5ED4"/>
    <w:rsid w:val="003B3A23"/>
    <w:rsid w:val="003B61CA"/>
    <w:rsid w:val="003F1C49"/>
    <w:rsid w:val="003F5886"/>
    <w:rsid w:val="00402792"/>
    <w:rsid w:val="0040700B"/>
    <w:rsid w:val="00407F54"/>
    <w:rsid w:val="00415CDB"/>
    <w:rsid w:val="0042551E"/>
    <w:rsid w:val="00425DE6"/>
    <w:rsid w:val="004552A0"/>
    <w:rsid w:val="00460A83"/>
    <w:rsid w:val="004718CB"/>
    <w:rsid w:val="00477619"/>
    <w:rsid w:val="00486E6E"/>
    <w:rsid w:val="004878D2"/>
    <w:rsid w:val="00492EE1"/>
    <w:rsid w:val="004940A2"/>
    <w:rsid w:val="004A35E7"/>
    <w:rsid w:val="004A398C"/>
    <w:rsid w:val="004D1706"/>
    <w:rsid w:val="004D243F"/>
    <w:rsid w:val="004D598F"/>
    <w:rsid w:val="004E46A3"/>
    <w:rsid w:val="005053F6"/>
    <w:rsid w:val="00513609"/>
    <w:rsid w:val="00517F47"/>
    <w:rsid w:val="0052216D"/>
    <w:rsid w:val="005225A2"/>
    <w:rsid w:val="00523A7A"/>
    <w:rsid w:val="00525B55"/>
    <w:rsid w:val="00526115"/>
    <w:rsid w:val="00530F6E"/>
    <w:rsid w:val="005366B6"/>
    <w:rsid w:val="00570C00"/>
    <w:rsid w:val="0058206B"/>
    <w:rsid w:val="0059662F"/>
    <w:rsid w:val="005A5CA6"/>
    <w:rsid w:val="005A799E"/>
    <w:rsid w:val="005D0752"/>
    <w:rsid w:val="005E4C02"/>
    <w:rsid w:val="005F397F"/>
    <w:rsid w:val="006006D0"/>
    <w:rsid w:val="00600CA4"/>
    <w:rsid w:val="00602416"/>
    <w:rsid w:val="006041F2"/>
    <w:rsid w:val="00607950"/>
    <w:rsid w:val="006223EC"/>
    <w:rsid w:val="00630711"/>
    <w:rsid w:val="006607F9"/>
    <w:rsid w:val="00662716"/>
    <w:rsid w:val="00677ADD"/>
    <w:rsid w:val="00677B13"/>
    <w:rsid w:val="00677F4E"/>
    <w:rsid w:val="00685ECF"/>
    <w:rsid w:val="00687CEA"/>
    <w:rsid w:val="006944DA"/>
    <w:rsid w:val="00695B75"/>
    <w:rsid w:val="006C1243"/>
    <w:rsid w:val="006D638F"/>
    <w:rsid w:val="006E037E"/>
    <w:rsid w:val="006F110B"/>
    <w:rsid w:val="007068C8"/>
    <w:rsid w:val="0071112F"/>
    <w:rsid w:val="00720DC6"/>
    <w:rsid w:val="00752B06"/>
    <w:rsid w:val="0075764B"/>
    <w:rsid w:val="00760C01"/>
    <w:rsid w:val="007618C3"/>
    <w:rsid w:val="00765C76"/>
    <w:rsid w:val="00767C04"/>
    <w:rsid w:val="00782C6A"/>
    <w:rsid w:val="007A5DCB"/>
    <w:rsid w:val="007A6226"/>
    <w:rsid w:val="007C2908"/>
    <w:rsid w:val="007C5093"/>
    <w:rsid w:val="007D1918"/>
    <w:rsid w:val="007D3307"/>
    <w:rsid w:val="007F7AA4"/>
    <w:rsid w:val="008160E0"/>
    <w:rsid w:val="00843D71"/>
    <w:rsid w:val="00870045"/>
    <w:rsid w:val="00883AA6"/>
    <w:rsid w:val="00884E58"/>
    <w:rsid w:val="008859BF"/>
    <w:rsid w:val="008A1919"/>
    <w:rsid w:val="008A61ED"/>
    <w:rsid w:val="008C3187"/>
    <w:rsid w:val="008D63B7"/>
    <w:rsid w:val="008E4F99"/>
    <w:rsid w:val="008E7FEE"/>
    <w:rsid w:val="008F67F5"/>
    <w:rsid w:val="008F6BCE"/>
    <w:rsid w:val="008F6D33"/>
    <w:rsid w:val="00900D4B"/>
    <w:rsid w:val="00903E32"/>
    <w:rsid w:val="009248B2"/>
    <w:rsid w:val="00927482"/>
    <w:rsid w:val="00937133"/>
    <w:rsid w:val="0095112B"/>
    <w:rsid w:val="00952C5C"/>
    <w:rsid w:val="009968B0"/>
    <w:rsid w:val="009B10C2"/>
    <w:rsid w:val="009B3E00"/>
    <w:rsid w:val="009D350C"/>
    <w:rsid w:val="009D6994"/>
    <w:rsid w:val="009E765C"/>
    <w:rsid w:val="00A04392"/>
    <w:rsid w:val="00A12F83"/>
    <w:rsid w:val="00A16003"/>
    <w:rsid w:val="00A216CE"/>
    <w:rsid w:val="00A24FBB"/>
    <w:rsid w:val="00A42ED2"/>
    <w:rsid w:val="00A50E00"/>
    <w:rsid w:val="00A53624"/>
    <w:rsid w:val="00A56F2E"/>
    <w:rsid w:val="00A62A61"/>
    <w:rsid w:val="00A66544"/>
    <w:rsid w:val="00A66C66"/>
    <w:rsid w:val="00A854B7"/>
    <w:rsid w:val="00A97FD1"/>
    <w:rsid w:val="00AB478B"/>
    <w:rsid w:val="00AB4AD9"/>
    <w:rsid w:val="00AC2D51"/>
    <w:rsid w:val="00AC7F3C"/>
    <w:rsid w:val="00AD6E77"/>
    <w:rsid w:val="00AE05F9"/>
    <w:rsid w:val="00AF5218"/>
    <w:rsid w:val="00B05A79"/>
    <w:rsid w:val="00B263AE"/>
    <w:rsid w:val="00B2758C"/>
    <w:rsid w:val="00B366E1"/>
    <w:rsid w:val="00B47091"/>
    <w:rsid w:val="00B5306B"/>
    <w:rsid w:val="00B65857"/>
    <w:rsid w:val="00B66698"/>
    <w:rsid w:val="00B76861"/>
    <w:rsid w:val="00B812F6"/>
    <w:rsid w:val="00B84350"/>
    <w:rsid w:val="00B855A6"/>
    <w:rsid w:val="00B91098"/>
    <w:rsid w:val="00B9150C"/>
    <w:rsid w:val="00B92735"/>
    <w:rsid w:val="00BA12AB"/>
    <w:rsid w:val="00BA291A"/>
    <w:rsid w:val="00BB2509"/>
    <w:rsid w:val="00BB43CC"/>
    <w:rsid w:val="00BB60C6"/>
    <w:rsid w:val="00BC4836"/>
    <w:rsid w:val="00BC7841"/>
    <w:rsid w:val="00BD137C"/>
    <w:rsid w:val="00BE6D4E"/>
    <w:rsid w:val="00C03596"/>
    <w:rsid w:val="00C0638F"/>
    <w:rsid w:val="00C238D9"/>
    <w:rsid w:val="00C24A9D"/>
    <w:rsid w:val="00C2677E"/>
    <w:rsid w:val="00C33258"/>
    <w:rsid w:val="00C60C02"/>
    <w:rsid w:val="00C75038"/>
    <w:rsid w:val="00C80D62"/>
    <w:rsid w:val="00C85338"/>
    <w:rsid w:val="00C96BFD"/>
    <w:rsid w:val="00CC3660"/>
    <w:rsid w:val="00CD502A"/>
    <w:rsid w:val="00D13987"/>
    <w:rsid w:val="00D242CD"/>
    <w:rsid w:val="00D303ED"/>
    <w:rsid w:val="00D341C3"/>
    <w:rsid w:val="00D42843"/>
    <w:rsid w:val="00D42D57"/>
    <w:rsid w:val="00D5152A"/>
    <w:rsid w:val="00D65145"/>
    <w:rsid w:val="00D65D80"/>
    <w:rsid w:val="00D74314"/>
    <w:rsid w:val="00D96EB8"/>
    <w:rsid w:val="00DA5101"/>
    <w:rsid w:val="00DA79EF"/>
    <w:rsid w:val="00DB0C0B"/>
    <w:rsid w:val="00DB3B74"/>
    <w:rsid w:val="00DD0901"/>
    <w:rsid w:val="00DD1F51"/>
    <w:rsid w:val="00DE16B6"/>
    <w:rsid w:val="00DE339C"/>
    <w:rsid w:val="00DE36CA"/>
    <w:rsid w:val="00E264C5"/>
    <w:rsid w:val="00E2771D"/>
    <w:rsid w:val="00E341B8"/>
    <w:rsid w:val="00E37E71"/>
    <w:rsid w:val="00E42847"/>
    <w:rsid w:val="00E51086"/>
    <w:rsid w:val="00E578EA"/>
    <w:rsid w:val="00E60A5F"/>
    <w:rsid w:val="00E6183C"/>
    <w:rsid w:val="00E62940"/>
    <w:rsid w:val="00E73AA8"/>
    <w:rsid w:val="00E80228"/>
    <w:rsid w:val="00EA2ED4"/>
    <w:rsid w:val="00EA3D05"/>
    <w:rsid w:val="00EA42EF"/>
    <w:rsid w:val="00EA491A"/>
    <w:rsid w:val="00ED4F31"/>
    <w:rsid w:val="00EF63C6"/>
    <w:rsid w:val="00F001BC"/>
    <w:rsid w:val="00F034FB"/>
    <w:rsid w:val="00F1075A"/>
    <w:rsid w:val="00F2036E"/>
    <w:rsid w:val="00F22E82"/>
    <w:rsid w:val="00F27DC2"/>
    <w:rsid w:val="00F33D14"/>
    <w:rsid w:val="00F473B6"/>
    <w:rsid w:val="00F53E06"/>
    <w:rsid w:val="00F54188"/>
    <w:rsid w:val="00F67162"/>
    <w:rsid w:val="00F71C35"/>
    <w:rsid w:val="00F77E22"/>
    <w:rsid w:val="00F81E71"/>
    <w:rsid w:val="00F9352D"/>
    <w:rsid w:val="00FA3D50"/>
    <w:rsid w:val="00FA67D2"/>
    <w:rsid w:val="00FB5A92"/>
    <w:rsid w:val="00FC0382"/>
    <w:rsid w:val="00FE00AF"/>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A5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32A5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232A5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32A5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32A5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32A5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32A5E"/>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32A5E"/>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232A5E"/>
    <w:rPr>
      <w:rFonts w:ascii="Arial" w:hAnsi="Arial" w:cs="Times New Roman"/>
      <w:sz w:val="24"/>
      <w:szCs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232A5E"/>
    <w:rPr>
      <w:rFonts w:ascii="Arial" w:hAnsi="Arial" w:cs="Times New Roman"/>
      <w:sz w:val="24"/>
      <w:szCs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232A5E"/>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232A5E"/>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232A5E"/>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232A5E"/>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32A5E"/>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2A5E"/>
    <w:rPr>
      <w:rFonts w:ascii="Arial" w:hAnsi="Arial" w:cs="Times New Roman"/>
      <w:sz w:val="16"/>
      <w:szCs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232A5E"/>
    <w:rPr>
      <w:rFonts w:ascii="Arial" w:hAnsi="Arial" w:cs="Times New Roman"/>
      <w:sz w:val="24"/>
      <w:szCs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232A5E"/>
    <w:rPr>
      <w:rFonts w:ascii="Arial" w:hAnsi="Arial" w:cs="Times New Roman"/>
      <w:sz w:val="24"/>
      <w:szCs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232A5E"/>
    <w:rPr>
      <w:rFonts w:ascii="Arial" w:hAnsi="Arial" w:cs="Times New Roman"/>
      <w:sz w:val="24"/>
      <w:szCs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232A5E"/>
    <w:rPr>
      <w:rFonts w:ascii="Arial" w:hAnsi="Arial" w:cs="Times New Roman"/>
      <w:sz w:val="24"/>
      <w:szCs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232A5E"/>
    <w:rPr>
      <w:rFonts w:ascii="Arial" w:hAnsi="Arial" w:cs="Times New Roman"/>
      <w:sz w:val="24"/>
      <w:szCs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232A5E"/>
    <w:rPr>
      <w:rFonts w:ascii="Arial" w:hAnsi="Arial" w:cs="Times New Roman"/>
      <w:i/>
      <w:iCs/>
      <w:sz w:val="24"/>
      <w:szCs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32A5E"/>
    <w:rPr>
      <w:rFonts w:ascii="Courier New" w:hAnsi="Courier New" w:cs="Courier New"/>
      <w:sz w:val="20"/>
      <w:szCs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232A5E"/>
    <w:rPr>
      <w:rFonts w:ascii="Cambria" w:hAnsi="Cambria" w:cs="Times New Roman"/>
      <w:sz w:val="24"/>
      <w:szCs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232A5E"/>
    <w:rPr>
      <w:rFonts w:ascii="Arial" w:hAnsi="Arial" w:cs="Times New Roman"/>
      <w:sz w:val="24"/>
      <w:szCs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32A5E"/>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232A5E"/>
    <w:rPr>
      <w:rFonts w:ascii="Arial" w:hAnsi="Arial" w:cs="Times New Roman"/>
      <w:sz w:val="24"/>
      <w:szCs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232A5E"/>
    <w:rPr>
      <w:rFonts w:ascii="Arial" w:hAnsi="Arial" w:cs="Times New Roman"/>
      <w:sz w:val="24"/>
      <w:szCs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232A5E"/>
    <w:rPr>
      <w:rFonts w:ascii="Cambria" w:hAnsi="Cambria" w:cs="Times New Roman"/>
      <w:sz w:val="24"/>
      <w:szCs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32A5E"/>
    <w:rPr>
      <w:rFonts w:ascii="Cambria" w:hAnsi="Cambria" w:cs="Times New Roman"/>
      <w:b/>
      <w:bCs/>
      <w:kern w:val="28"/>
      <w:sz w:val="32"/>
      <w:szCs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32"/>
      </w:numPr>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32"/>
      </w:numPr>
      <w:outlineLvl w:val="5"/>
    </w:pPr>
  </w:style>
  <w:style w:type="paragraph" w:customStyle="1" w:styleId="HeadingNumberLevel2">
    <w:name w:val="Heading Number Level 2"/>
    <w:basedOn w:val="Heading2"/>
    <w:next w:val="BodyTextIndentLevel1"/>
    <w:uiPriority w:val="99"/>
    <w:rsid w:val="00D5152A"/>
    <w:pPr>
      <w:numPr>
        <w:ilvl w:val="1"/>
        <w:numId w:val="32"/>
      </w:numPr>
      <w:outlineLvl w:val="6"/>
    </w:pPr>
  </w:style>
  <w:style w:type="paragraph" w:customStyle="1" w:styleId="HeadingNumberLevel3">
    <w:name w:val="Heading Number Level 3"/>
    <w:basedOn w:val="BodyText"/>
    <w:uiPriority w:val="99"/>
    <w:rsid w:val="00D5152A"/>
    <w:pPr>
      <w:numPr>
        <w:ilvl w:val="2"/>
        <w:numId w:val="32"/>
      </w:numPr>
    </w:pPr>
  </w:style>
  <w:style w:type="paragraph" w:customStyle="1" w:styleId="HeadingNumberLevel4">
    <w:name w:val="Heading Number Level 4"/>
    <w:basedOn w:val="BodyText"/>
    <w:uiPriority w:val="99"/>
    <w:rsid w:val="00D5152A"/>
    <w:pPr>
      <w:numPr>
        <w:ilvl w:val="3"/>
        <w:numId w:val="32"/>
      </w:numPr>
    </w:pPr>
  </w:style>
  <w:style w:type="paragraph" w:customStyle="1" w:styleId="NumbersLevel1">
    <w:name w:val="Numbers Level 1"/>
    <w:basedOn w:val="BodyText"/>
    <w:uiPriority w:val="99"/>
    <w:rsid w:val="00E73AA8"/>
    <w:pPr>
      <w:numPr>
        <w:numId w:val="21"/>
      </w:numPr>
    </w:pPr>
  </w:style>
  <w:style w:type="paragraph" w:customStyle="1" w:styleId="NumbersLevel2">
    <w:name w:val="Numbers Level 2"/>
    <w:basedOn w:val="BodyText"/>
    <w:uiPriority w:val="99"/>
    <w:rsid w:val="00E73AA8"/>
    <w:pPr>
      <w:numPr>
        <w:ilvl w:val="1"/>
        <w:numId w:val="21"/>
      </w:numPr>
    </w:pPr>
  </w:style>
  <w:style w:type="paragraph" w:customStyle="1" w:styleId="NumbersLevel3">
    <w:name w:val="Numbers Level 3"/>
    <w:basedOn w:val="BodyText"/>
    <w:uiPriority w:val="99"/>
    <w:rsid w:val="00E73AA8"/>
    <w:pPr>
      <w:numPr>
        <w:ilvl w:val="2"/>
        <w:numId w:val="21"/>
      </w:numPr>
    </w:pPr>
  </w:style>
  <w:style w:type="paragraph" w:customStyle="1" w:styleId="NumbersLevel4">
    <w:name w:val="Numbers Level 4"/>
    <w:basedOn w:val="BodyText"/>
    <w:uiPriority w:val="99"/>
    <w:rsid w:val="00E73AA8"/>
    <w:pPr>
      <w:numPr>
        <w:ilvl w:val="3"/>
        <w:numId w:val="21"/>
      </w:numPr>
    </w:pPr>
  </w:style>
  <w:style w:type="paragraph" w:customStyle="1" w:styleId="BulletLevel1">
    <w:name w:val="Bullet Level 1"/>
    <w:basedOn w:val="BodyText"/>
    <w:uiPriority w:val="99"/>
    <w:rsid w:val="0058206B"/>
    <w:pPr>
      <w:numPr>
        <w:numId w:val="30"/>
      </w:numPr>
    </w:pPr>
  </w:style>
  <w:style w:type="paragraph" w:customStyle="1" w:styleId="BulletLevel2">
    <w:name w:val="Bullet Level 2"/>
    <w:basedOn w:val="BodyText"/>
    <w:uiPriority w:val="99"/>
    <w:rsid w:val="0058206B"/>
    <w:pPr>
      <w:numPr>
        <w:ilvl w:val="1"/>
        <w:numId w:val="30"/>
      </w:numPr>
    </w:pPr>
  </w:style>
  <w:style w:type="paragraph" w:customStyle="1" w:styleId="BulletLevel3">
    <w:name w:val="Bullet Level 3"/>
    <w:basedOn w:val="BodyText"/>
    <w:uiPriority w:val="99"/>
    <w:rsid w:val="0058206B"/>
    <w:pPr>
      <w:numPr>
        <w:ilvl w:val="2"/>
        <w:numId w:val="30"/>
      </w:numPr>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2"/>
      </w:numPr>
    </w:pPr>
  </w:style>
  <w:style w:type="paragraph" w:customStyle="1" w:styleId="ListNumeric">
    <w:name w:val="List Numeric"/>
    <w:basedOn w:val="BodyText"/>
    <w:uiPriority w:val="99"/>
    <w:rsid w:val="00BD137C"/>
    <w:pPr>
      <w:numPr>
        <w:numId w:val="23"/>
      </w:numPr>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232A5E"/>
    <w:rPr>
      <w:rFonts w:ascii="Arial" w:hAnsi="Arial" w:cs="Times New Roman"/>
      <w:sz w:val="20"/>
      <w:szCs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31"/>
      </w:numPr>
    </w:pPr>
  </w:style>
  <w:style w:type="paragraph" w:customStyle="1" w:styleId="BulletTableLevel2">
    <w:name w:val="Bullet Table Level 2"/>
    <w:basedOn w:val="BodyTextTable"/>
    <w:uiPriority w:val="99"/>
    <w:rsid w:val="00EA2ED4"/>
    <w:pPr>
      <w:numPr>
        <w:ilvl w:val="1"/>
        <w:numId w:val="31"/>
      </w:numPr>
    </w:pPr>
  </w:style>
  <w:style w:type="paragraph" w:customStyle="1" w:styleId="BulletTableLevel3">
    <w:name w:val="Bullet Table Level 3"/>
    <w:basedOn w:val="BodyTextTable"/>
    <w:uiPriority w:val="99"/>
    <w:rsid w:val="00EA2ED4"/>
    <w:pPr>
      <w:numPr>
        <w:ilvl w:val="2"/>
        <w:numId w:val="31"/>
      </w:numPr>
    </w:pPr>
  </w:style>
  <w:style w:type="paragraph" w:customStyle="1" w:styleId="NumbersTableLevel1">
    <w:name w:val="Numbers Table Level 1"/>
    <w:basedOn w:val="BodyTextTable"/>
    <w:uiPriority w:val="99"/>
    <w:rsid w:val="00A50E00"/>
    <w:pPr>
      <w:numPr>
        <w:numId w:val="24"/>
      </w:numPr>
    </w:pPr>
  </w:style>
  <w:style w:type="paragraph" w:customStyle="1" w:styleId="NumbersTableLevel2">
    <w:name w:val="Numbers Table Level 2"/>
    <w:basedOn w:val="BodyTextTable"/>
    <w:uiPriority w:val="99"/>
    <w:rsid w:val="00A50E00"/>
    <w:pPr>
      <w:numPr>
        <w:ilvl w:val="1"/>
        <w:numId w:val="24"/>
      </w:numPr>
    </w:pPr>
  </w:style>
  <w:style w:type="paragraph" w:customStyle="1" w:styleId="NumbersTableLevel3">
    <w:name w:val="Numbers Table Level 3"/>
    <w:basedOn w:val="BodyTextTable"/>
    <w:uiPriority w:val="99"/>
    <w:rsid w:val="00A50E00"/>
    <w:pPr>
      <w:numPr>
        <w:ilvl w:val="2"/>
        <w:numId w:val="24"/>
      </w:numPr>
    </w:pPr>
  </w:style>
  <w:style w:type="paragraph" w:customStyle="1" w:styleId="BodyTextTableLevel1">
    <w:name w:val="Body Text Table Level 1"/>
    <w:basedOn w:val="BodyTextTable"/>
    <w:uiPriority w:val="99"/>
    <w:rsid w:val="00A50E00"/>
    <w:pPr>
      <w:numPr>
        <w:numId w:val="25"/>
      </w:numPr>
      <w:ind w:left="369"/>
    </w:pPr>
  </w:style>
  <w:style w:type="paragraph" w:customStyle="1" w:styleId="BodyTextTableLevel2">
    <w:name w:val="Body Text Table Level 2"/>
    <w:basedOn w:val="BodyTextTable"/>
    <w:uiPriority w:val="99"/>
    <w:rsid w:val="00A50E00"/>
    <w:pPr>
      <w:numPr>
        <w:ilvl w:val="1"/>
        <w:numId w:val="25"/>
      </w:numPr>
      <w:ind w:left="737"/>
    </w:pPr>
  </w:style>
  <w:style w:type="paragraph" w:customStyle="1" w:styleId="BodyTextTableLevel3">
    <w:name w:val="Body Text Table Level 3"/>
    <w:basedOn w:val="BodyTextTable"/>
    <w:uiPriority w:val="99"/>
    <w:rsid w:val="00A50E00"/>
    <w:pPr>
      <w:numPr>
        <w:ilvl w:val="3"/>
        <w:numId w:val="24"/>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29"/>
      </w:numPr>
      <w:tabs>
        <w:tab w:val="left" w:pos="2268"/>
      </w:tabs>
      <w:spacing w:befor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A5E"/>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numbering" w:styleId="ArticleSection">
    <w:name w:val="Outline List 3"/>
    <w:basedOn w:val="NoList"/>
    <w:uiPriority w:val="99"/>
    <w:semiHidden/>
    <w:unhideWhenUsed/>
    <w:locked/>
    <w:rsid w:val="003E79F1"/>
    <w:pPr>
      <w:numPr>
        <w:numId w:val="28"/>
      </w:numPr>
    </w:pPr>
  </w:style>
  <w:style w:type="numbering" w:styleId="1ai">
    <w:name w:val="Outline List 1"/>
    <w:basedOn w:val="NoList"/>
    <w:uiPriority w:val="99"/>
    <w:semiHidden/>
    <w:unhideWhenUsed/>
    <w:locked/>
    <w:rsid w:val="003E79F1"/>
    <w:pPr>
      <w:numPr>
        <w:numId w:val="27"/>
      </w:numPr>
    </w:pPr>
  </w:style>
  <w:style w:type="numbering" w:styleId="111111">
    <w:name w:val="Outline List 2"/>
    <w:basedOn w:val="NoList"/>
    <w:uiPriority w:val="99"/>
    <w:semiHidden/>
    <w:unhideWhenUsed/>
    <w:locked/>
    <w:rsid w:val="003E79F1"/>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358</Words>
  <Characters>2041</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4</cp:revision>
  <cp:lastPrinted>2013-12-17T20:38:00Z</cp:lastPrinted>
  <dcterms:created xsi:type="dcterms:W3CDTF">2014-04-23T21:02:00Z</dcterms:created>
  <dcterms:modified xsi:type="dcterms:W3CDTF">2014-04-23T21:44:00Z</dcterms:modified>
</cp:coreProperties>
</file>