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Default="003756A3" w:rsidP="00345112">
      <w:pPr>
        <w:pStyle w:val="BodyText"/>
        <w:spacing w:after="0" w:line="240" w:lineRule="auto"/>
        <w:jc w:val="both"/>
        <w:rPr>
          <w:rFonts w:ascii="Calibri" w:hAnsi="Calibri"/>
          <w:b/>
          <w:szCs w:val="22"/>
        </w:rPr>
      </w:pPr>
    </w:p>
    <w:p w:rsidR="003756A3" w:rsidRPr="00D77DAC" w:rsidRDefault="003756A3" w:rsidP="00345112">
      <w:pPr>
        <w:pStyle w:val="BodyText"/>
        <w:spacing w:after="0" w:line="240" w:lineRule="auto"/>
        <w:jc w:val="both"/>
        <w:rPr>
          <w:rFonts w:ascii="Calibri" w:hAnsi="Calibri"/>
          <w:b/>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0.8pt;margin-top:39.7pt;width:294.8pt;height:52.3pt;z-index:-251658240;mso-position-horizontal-relative:page;mso-position-vertical-relative:page" wrapcoords="-55 0 -55 21291 21600 21291 21600 0 -55 0">
            <v:imagedata r:id="rId7" o:title=""/>
            <w10:wrap type="tight" anchorx="page" anchory="page"/>
          </v:shape>
        </w:pict>
      </w:r>
      <w:r w:rsidRPr="00D77DAC">
        <w:rPr>
          <w:rFonts w:ascii="Calibri" w:hAnsi="Calibri"/>
          <w:b/>
          <w:szCs w:val="22"/>
        </w:rPr>
        <w:t>C</w:t>
      </w:r>
      <w:r>
        <w:rPr>
          <w:rFonts w:ascii="Calibri" w:hAnsi="Calibri"/>
          <w:b/>
          <w:szCs w:val="22"/>
        </w:rPr>
        <w:t>ASINO</w:t>
      </w:r>
    </w:p>
    <w:p w:rsidR="003756A3" w:rsidRPr="00345112" w:rsidRDefault="003756A3" w:rsidP="00345112">
      <w:pPr>
        <w:pStyle w:val="BodyText"/>
        <w:spacing w:after="0" w:line="240" w:lineRule="auto"/>
        <w:jc w:val="both"/>
        <w:rPr>
          <w:rFonts w:ascii="Calibri" w:hAnsi="Calibri"/>
          <w:sz w:val="16"/>
          <w:szCs w:val="16"/>
        </w:rPr>
      </w:pPr>
    </w:p>
    <w:p w:rsidR="003756A3" w:rsidRPr="00345112" w:rsidRDefault="003756A3" w:rsidP="00345112">
      <w:pPr>
        <w:pStyle w:val="BodyText"/>
        <w:spacing w:after="0" w:line="240" w:lineRule="auto"/>
        <w:jc w:val="both"/>
        <w:rPr>
          <w:rFonts w:ascii="Calibri" w:hAnsi="Calibri"/>
          <w:sz w:val="24"/>
        </w:rPr>
      </w:pPr>
      <w:r w:rsidRPr="00345112">
        <w:rPr>
          <w:rFonts w:ascii="Calibri" w:hAnsi="Calibri"/>
          <w:sz w:val="24"/>
        </w:rPr>
        <w:t xml:space="preserve">The overall risk assessment rating for casinos is </w:t>
      </w:r>
      <w:r w:rsidRPr="00345112">
        <w:rPr>
          <w:rFonts w:ascii="Calibri" w:hAnsi="Calibri"/>
          <w:b/>
          <w:sz w:val="24"/>
        </w:rPr>
        <w:t>HIGH</w:t>
      </w:r>
      <w:r w:rsidRPr="00345112">
        <w:rPr>
          <w:rFonts w:ascii="Calibri" w:hAnsi="Calibri"/>
          <w:sz w:val="24"/>
        </w:rPr>
        <w:t>.</w:t>
      </w:r>
    </w:p>
    <w:p w:rsidR="003756A3" w:rsidRPr="00345112" w:rsidRDefault="003756A3" w:rsidP="00345112">
      <w:pPr>
        <w:pStyle w:val="BodyText"/>
        <w:spacing w:after="0" w:line="240" w:lineRule="auto"/>
        <w:jc w:val="both"/>
        <w:rPr>
          <w:rFonts w:ascii="Calibri" w:hAnsi="Calibri"/>
          <w:sz w:val="24"/>
        </w:rPr>
      </w:pPr>
    </w:p>
    <w:p w:rsidR="003756A3" w:rsidRPr="0037644F" w:rsidRDefault="003756A3" w:rsidP="0037644F">
      <w:pPr>
        <w:pStyle w:val="BodyText"/>
        <w:spacing w:line="240" w:lineRule="auto"/>
        <w:jc w:val="both"/>
        <w:rPr>
          <w:rFonts w:ascii="Calibri" w:hAnsi="Calibri"/>
          <w:sz w:val="24"/>
        </w:rPr>
      </w:pPr>
      <w:r w:rsidRPr="0037644F">
        <w:rPr>
          <w:rFonts w:ascii="Calibri" w:hAnsi="Calibri"/>
          <w:sz w:val="24"/>
        </w:rPr>
        <w:t xml:space="preserve">The features identified in the table </w:t>
      </w:r>
      <w:r>
        <w:rPr>
          <w:rFonts w:ascii="Calibri" w:hAnsi="Calibri"/>
          <w:sz w:val="24"/>
        </w:rPr>
        <w:t>of</w:t>
      </w:r>
      <w:r w:rsidRPr="0037644F">
        <w:rPr>
          <w:rFonts w:ascii="Calibri" w:hAnsi="Calibri"/>
          <w:sz w:val="24"/>
        </w:rPr>
        <w:t xml:space="preserve"> this guide will help </w:t>
      </w:r>
      <w:r>
        <w:rPr>
          <w:rFonts w:ascii="Calibri" w:hAnsi="Calibri"/>
          <w:sz w:val="24"/>
        </w:rPr>
        <w:t>casinos</w:t>
      </w:r>
      <w:r w:rsidRPr="0037644F">
        <w:rPr>
          <w:rFonts w:ascii="Calibri" w:hAnsi="Calibri"/>
          <w:sz w:val="24"/>
        </w:rPr>
        <w:t xml:space="preserve"> conduct risk assessments. </w:t>
      </w:r>
    </w:p>
    <w:p w:rsidR="003756A3" w:rsidRPr="0037644F" w:rsidRDefault="003756A3" w:rsidP="0037644F">
      <w:pPr>
        <w:pStyle w:val="BodyText"/>
        <w:spacing w:line="240" w:lineRule="auto"/>
        <w:jc w:val="both"/>
        <w:rPr>
          <w:rFonts w:ascii="Calibri" w:hAnsi="Calibri"/>
          <w:sz w:val="24"/>
        </w:rPr>
      </w:pPr>
      <w:r w:rsidRPr="0037644F">
        <w:rPr>
          <w:rFonts w:ascii="Calibri" w:hAnsi="Calibri"/>
          <w:sz w:val="24"/>
        </w:rPr>
        <w:t>They will help you create policies and procedures which accurately reflect how much money laundering risk you think your business is subject to.</w:t>
      </w:r>
    </w:p>
    <w:p w:rsidR="003756A3" w:rsidRPr="0037644F" w:rsidRDefault="003756A3" w:rsidP="0037644F">
      <w:pPr>
        <w:pStyle w:val="BodyText"/>
        <w:spacing w:line="240" w:lineRule="auto"/>
        <w:jc w:val="both"/>
        <w:rPr>
          <w:rFonts w:ascii="Calibri" w:hAnsi="Calibri"/>
          <w:sz w:val="24"/>
        </w:rPr>
      </w:pPr>
      <w:r w:rsidRPr="0037644F">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3756A3" w:rsidRDefault="003756A3" w:rsidP="0037644F">
      <w:pPr>
        <w:pStyle w:val="BodyText"/>
        <w:spacing w:line="240" w:lineRule="auto"/>
        <w:jc w:val="both"/>
        <w:rPr>
          <w:rFonts w:ascii="Calibri" w:hAnsi="Calibri"/>
          <w:sz w:val="24"/>
        </w:rPr>
      </w:pPr>
      <w:r w:rsidRPr="0037644F">
        <w:rPr>
          <w:rFonts w:ascii="Calibri" w:hAnsi="Calibri"/>
          <w:sz w:val="24"/>
        </w:rPr>
        <w:t xml:space="preserve">Transactions or activities listed in the table may not necessarily signal money laundering if they are consistent with a customer’s legitimate business. </w:t>
      </w:r>
    </w:p>
    <w:p w:rsidR="003756A3" w:rsidRPr="0037644F" w:rsidRDefault="003756A3" w:rsidP="0037644F">
      <w:pPr>
        <w:pStyle w:val="BodyText"/>
        <w:spacing w:line="240" w:lineRule="auto"/>
        <w:jc w:val="both"/>
        <w:rPr>
          <w:rFonts w:ascii="Calibri" w:hAnsi="Calibri"/>
          <w:sz w:val="24"/>
        </w:rPr>
      </w:pPr>
      <w:r w:rsidRPr="0037644F">
        <w:rPr>
          <w:rFonts w:ascii="Calibri" w:hAnsi="Calibri"/>
          <w:sz w:val="24"/>
        </w:rPr>
        <w:t xml:space="preserve">Based on knowledge of your own business as a </w:t>
      </w:r>
      <w:r>
        <w:rPr>
          <w:rFonts w:ascii="Calibri" w:hAnsi="Calibri"/>
          <w:sz w:val="24"/>
        </w:rPr>
        <w:t xml:space="preserve">casino </w:t>
      </w:r>
      <w:r w:rsidRPr="0037644F">
        <w:rPr>
          <w:rFonts w:ascii="Calibri" w:hAnsi="Calibri"/>
          <w:sz w:val="24"/>
        </w:rPr>
        <w:t>you should decide what risk particular customers or transactions pose and how you can lessen that risk.</w:t>
      </w:r>
    </w:p>
    <w:p w:rsidR="003756A3" w:rsidRPr="0037644F" w:rsidRDefault="003756A3" w:rsidP="0037644F">
      <w:pPr>
        <w:pStyle w:val="BodyText"/>
        <w:spacing w:line="240" w:lineRule="auto"/>
        <w:jc w:val="both"/>
        <w:rPr>
          <w:rFonts w:ascii="Calibri" w:hAnsi="Calibri"/>
          <w:sz w:val="24"/>
        </w:rPr>
      </w:pPr>
    </w:p>
    <w:p w:rsidR="003756A3" w:rsidRPr="007708D8" w:rsidRDefault="003756A3" w:rsidP="00345112">
      <w:pPr>
        <w:pStyle w:val="BodyText"/>
        <w:spacing w:after="0" w:line="240" w:lineRule="auto"/>
        <w:jc w:val="both"/>
        <w:rPr>
          <w:rFonts w:ascii="Calibri" w:hAnsi="Calibri"/>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1980"/>
        <w:gridCol w:w="1800"/>
        <w:gridCol w:w="3780"/>
        <w:gridCol w:w="3060"/>
      </w:tblGrid>
      <w:tr w:rsidR="003756A3" w:rsidRPr="00122F59" w:rsidTr="001B351B">
        <w:trPr>
          <w:tblHeader/>
        </w:trPr>
        <w:tc>
          <w:tcPr>
            <w:tcW w:w="3780" w:type="dxa"/>
            <w:gridSpan w:val="2"/>
            <w:tcBorders>
              <w:top w:val="single" w:sz="4" w:space="0" w:color="auto"/>
            </w:tcBorders>
            <w:shd w:val="clear" w:color="000000" w:fill="E6E6E6"/>
            <w:vAlign w:val="center"/>
          </w:tcPr>
          <w:p w:rsidR="003756A3" w:rsidRPr="001B351B" w:rsidRDefault="003756A3" w:rsidP="001B351B">
            <w:pPr>
              <w:pStyle w:val="BodyText"/>
              <w:jc w:val="center"/>
              <w:rPr>
                <w:rFonts w:ascii="Calibri" w:hAnsi="Calibri"/>
                <w:b/>
                <w:bCs/>
              </w:rPr>
            </w:pPr>
          </w:p>
        </w:tc>
        <w:tc>
          <w:tcPr>
            <w:tcW w:w="3780" w:type="dxa"/>
            <w:tcBorders>
              <w:top w:val="single" w:sz="4" w:space="0" w:color="auto"/>
            </w:tcBorders>
            <w:shd w:val="clear" w:color="000000" w:fill="E6E6E6"/>
            <w:vAlign w:val="center"/>
          </w:tcPr>
          <w:p w:rsidR="003756A3" w:rsidRPr="001B351B" w:rsidRDefault="003756A3" w:rsidP="001B351B">
            <w:pPr>
              <w:pStyle w:val="BodyText"/>
              <w:jc w:val="center"/>
              <w:rPr>
                <w:rFonts w:ascii="Calibri" w:hAnsi="Calibri"/>
                <w:b/>
                <w:bCs/>
              </w:rPr>
            </w:pPr>
            <w:r w:rsidRPr="001B351B">
              <w:rPr>
                <w:rFonts w:ascii="Calibri" w:hAnsi="Calibri"/>
                <w:b/>
                <w:bCs/>
                <w:szCs w:val="22"/>
              </w:rPr>
              <w:t>HIGHER RISK CHARACTERISTICS</w:t>
            </w:r>
          </w:p>
        </w:tc>
        <w:tc>
          <w:tcPr>
            <w:tcW w:w="3060" w:type="dxa"/>
            <w:tcBorders>
              <w:top w:val="single" w:sz="4" w:space="0" w:color="auto"/>
            </w:tcBorders>
            <w:shd w:val="clear" w:color="000000" w:fill="E6E6E6"/>
            <w:vAlign w:val="center"/>
          </w:tcPr>
          <w:p w:rsidR="003756A3" w:rsidRPr="001B351B" w:rsidRDefault="003756A3" w:rsidP="001B351B">
            <w:pPr>
              <w:pStyle w:val="BodyText"/>
              <w:jc w:val="center"/>
              <w:rPr>
                <w:rFonts w:ascii="Calibri" w:hAnsi="Calibri"/>
                <w:b/>
                <w:bCs/>
              </w:rPr>
            </w:pPr>
            <w:r w:rsidRPr="001B351B">
              <w:rPr>
                <w:rFonts w:ascii="Calibri" w:hAnsi="Calibri"/>
                <w:b/>
                <w:bCs/>
                <w:szCs w:val="22"/>
              </w:rPr>
              <w:t>LOWER RISK CHARACTERISTICS</w:t>
            </w:r>
          </w:p>
        </w:tc>
      </w:tr>
      <w:tr w:rsidR="003756A3" w:rsidRPr="00122F59" w:rsidTr="001B351B">
        <w:trPr>
          <w:cantSplit/>
          <w:trHeight w:val="383"/>
        </w:trPr>
        <w:tc>
          <w:tcPr>
            <w:tcW w:w="1980" w:type="dxa"/>
            <w:vMerge w:val="restart"/>
            <w:shd w:val="clear" w:color="auto" w:fill="E6E6E6"/>
            <w:vAlign w:val="center"/>
          </w:tcPr>
          <w:p w:rsidR="003756A3" w:rsidRPr="001B351B" w:rsidRDefault="003756A3" w:rsidP="00DD1F51">
            <w:pPr>
              <w:pStyle w:val="BodyText"/>
              <w:rPr>
                <w:rFonts w:ascii="Calibri" w:hAnsi="Calibri"/>
              </w:rPr>
            </w:pPr>
            <w:r w:rsidRPr="001B351B">
              <w:rPr>
                <w:rFonts w:ascii="Calibri" w:hAnsi="Calibri"/>
                <w:b/>
                <w:szCs w:val="22"/>
              </w:rPr>
              <w:t>Casino Products and Services</w:t>
            </w:r>
          </w:p>
        </w:tc>
        <w:tc>
          <w:tcPr>
            <w:tcW w:w="1800" w:type="dxa"/>
          </w:tcPr>
          <w:p w:rsidR="003756A3" w:rsidRPr="001B351B" w:rsidRDefault="003756A3" w:rsidP="00CD2E49">
            <w:pPr>
              <w:pStyle w:val="BodyText"/>
              <w:rPr>
                <w:rFonts w:ascii="Calibri" w:hAnsi="Calibri"/>
              </w:rPr>
            </w:pPr>
            <w:r w:rsidRPr="001B351B">
              <w:rPr>
                <w:rFonts w:ascii="Calibri" w:hAnsi="Calibri"/>
                <w:szCs w:val="22"/>
              </w:rPr>
              <w:t>Gaming Facilities</w:t>
            </w:r>
          </w:p>
        </w:tc>
        <w:tc>
          <w:tcPr>
            <w:tcW w:w="3780" w:type="dxa"/>
          </w:tcPr>
          <w:p w:rsidR="003756A3" w:rsidRPr="001B351B" w:rsidRDefault="003756A3" w:rsidP="001B351B">
            <w:pPr>
              <w:pStyle w:val="BodyText"/>
              <w:spacing w:after="0" w:line="240" w:lineRule="auto"/>
              <w:rPr>
                <w:rFonts w:ascii="Calibri" w:hAnsi="Calibri"/>
                <w:sz w:val="21"/>
                <w:szCs w:val="21"/>
              </w:rPr>
            </w:pPr>
            <w:r w:rsidRPr="005926E8">
              <w:rPr>
                <w:rFonts w:ascii="Calibri" w:hAnsi="Calibri"/>
                <w:sz w:val="21"/>
                <w:szCs w:val="21"/>
              </w:rPr>
              <w:t>Customers receiving cash or cheques in return for redeeming chips, tickets, or tokens. For example a customer receiving a large amount of cash without gambling for large denomination bills;</w:t>
            </w:r>
          </w:p>
        </w:tc>
        <w:tc>
          <w:tcPr>
            <w:tcW w:w="3060" w:type="dxa"/>
          </w:tcPr>
          <w:p w:rsidR="003756A3" w:rsidRPr="001B351B" w:rsidRDefault="003756A3" w:rsidP="001B351B">
            <w:pPr>
              <w:pStyle w:val="BodyText"/>
              <w:spacing w:after="0" w:line="240" w:lineRule="auto"/>
              <w:rPr>
                <w:rFonts w:ascii="Calibri" w:hAnsi="Calibri"/>
                <w:sz w:val="20"/>
                <w:szCs w:val="20"/>
              </w:rPr>
            </w:pPr>
          </w:p>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489"/>
        </w:trPr>
        <w:tc>
          <w:tcPr>
            <w:tcW w:w="1980" w:type="dxa"/>
            <w:vMerge/>
            <w:shd w:val="clear" w:color="auto" w:fill="E6E6E6"/>
            <w:vAlign w:val="center"/>
          </w:tcPr>
          <w:p w:rsidR="003756A3" w:rsidRPr="001B351B" w:rsidRDefault="003756A3" w:rsidP="00DD1F51">
            <w:pPr>
              <w:pStyle w:val="BodyText"/>
              <w:rPr>
                <w:rFonts w:ascii="Calibri" w:hAnsi="Calibri"/>
                <w:b/>
              </w:rPr>
            </w:pPr>
          </w:p>
        </w:tc>
        <w:tc>
          <w:tcPr>
            <w:tcW w:w="1800" w:type="dxa"/>
            <w:vMerge w:val="restart"/>
          </w:tcPr>
          <w:p w:rsidR="003756A3" w:rsidRPr="001B351B" w:rsidRDefault="003756A3" w:rsidP="00CD2E49">
            <w:pPr>
              <w:pStyle w:val="BodyText"/>
              <w:rPr>
                <w:rFonts w:ascii="Calibri" w:hAnsi="Calibri"/>
              </w:rPr>
            </w:pPr>
            <w:r w:rsidRPr="001B351B">
              <w:rPr>
                <w:rFonts w:ascii="Calibri" w:hAnsi="Calibri"/>
                <w:szCs w:val="22"/>
              </w:rPr>
              <w:t>Account Facilities</w:t>
            </w: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Use of casino deposit accounts to deposit and withdraw without gambling or minimal play;</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200"/>
        </w:trPr>
        <w:tc>
          <w:tcPr>
            <w:tcW w:w="1980" w:type="dxa"/>
            <w:vMerge/>
            <w:shd w:val="clear" w:color="auto" w:fill="E6E6E6"/>
            <w:vAlign w:val="center"/>
          </w:tcPr>
          <w:p w:rsidR="003756A3" w:rsidRPr="001B351B" w:rsidRDefault="003756A3" w:rsidP="00DD1F51">
            <w:pPr>
              <w:pStyle w:val="BodyText"/>
              <w:rPr>
                <w:rFonts w:ascii="Calibri" w:hAnsi="Calibri"/>
                <w:b/>
              </w:rPr>
            </w:pPr>
          </w:p>
        </w:tc>
        <w:tc>
          <w:tcPr>
            <w:tcW w:w="1800" w:type="dxa"/>
            <w:vMerge/>
          </w:tcPr>
          <w:p w:rsidR="003756A3" w:rsidRPr="001B351B" w:rsidRDefault="003756A3" w:rsidP="00CD2E49">
            <w:pPr>
              <w:pStyle w:val="BodyText"/>
              <w:rPr>
                <w:rFonts w:ascii="Calibri" w:hAnsi="Calibri"/>
              </w:rPr>
            </w:pP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Use of offshore accounts;</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248"/>
        </w:trPr>
        <w:tc>
          <w:tcPr>
            <w:tcW w:w="1980" w:type="dxa"/>
            <w:vMerge/>
            <w:shd w:val="clear" w:color="auto" w:fill="E6E6E6"/>
            <w:vAlign w:val="center"/>
          </w:tcPr>
          <w:p w:rsidR="003756A3" w:rsidRPr="001B351B" w:rsidRDefault="003756A3" w:rsidP="00DD1F51">
            <w:pPr>
              <w:pStyle w:val="BodyText"/>
              <w:rPr>
                <w:rFonts w:ascii="Calibri" w:hAnsi="Calibri"/>
                <w:b/>
              </w:rPr>
            </w:pPr>
          </w:p>
        </w:tc>
        <w:tc>
          <w:tcPr>
            <w:tcW w:w="1800" w:type="dxa"/>
            <w:vMerge/>
          </w:tcPr>
          <w:p w:rsidR="003756A3" w:rsidRPr="001B351B" w:rsidRDefault="003756A3" w:rsidP="00CD2E49">
            <w:pPr>
              <w:pStyle w:val="BodyText"/>
              <w:rPr>
                <w:rFonts w:ascii="Calibri" w:hAnsi="Calibri"/>
              </w:rPr>
            </w:pP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 xml:space="preserve">Use of cheque cashing/ credit facilities; </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465"/>
        </w:trPr>
        <w:tc>
          <w:tcPr>
            <w:tcW w:w="3780" w:type="dxa"/>
            <w:gridSpan w:val="2"/>
            <w:vMerge w:val="restart"/>
            <w:shd w:val="clear" w:color="auto" w:fill="E6E6E6"/>
            <w:vAlign w:val="center"/>
          </w:tcPr>
          <w:p w:rsidR="003756A3" w:rsidRPr="001B351B" w:rsidRDefault="003756A3" w:rsidP="00CD2E49">
            <w:pPr>
              <w:pStyle w:val="BodyText"/>
              <w:rPr>
                <w:rFonts w:ascii="Calibri" w:hAnsi="Calibri"/>
              </w:rPr>
            </w:pPr>
            <w:r w:rsidRPr="001B351B">
              <w:rPr>
                <w:rFonts w:ascii="Calibri" w:hAnsi="Calibri"/>
                <w:b/>
                <w:szCs w:val="22"/>
              </w:rPr>
              <w:t xml:space="preserve">Types of Customer </w:t>
            </w: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Junket operators/ representatives providing premium players;</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84719E">
        <w:trPr>
          <w:cantSplit/>
          <w:trHeight w:val="270"/>
        </w:trPr>
        <w:tc>
          <w:tcPr>
            <w:tcW w:w="3780" w:type="dxa"/>
            <w:gridSpan w:val="2"/>
            <w:vMerge/>
            <w:shd w:val="clear" w:color="auto" w:fill="E6E6E6"/>
            <w:vAlign w:val="center"/>
          </w:tcPr>
          <w:p w:rsidR="003756A3" w:rsidRPr="001B351B" w:rsidRDefault="003756A3" w:rsidP="00CD2E49">
            <w:pPr>
              <w:pStyle w:val="BodyText"/>
              <w:rPr>
                <w:rFonts w:ascii="Calibri" w:hAnsi="Calibri"/>
              </w:rPr>
            </w:pP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Junket organisers who ‘pool’ funds of individual customers;</w:t>
            </w:r>
          </w:p>
        </w:tc>
        <w:tc>
          <w:tcPr>
            <w:tcW w:w="3060" w:type="dxa"/>
            <w:vMerge w:val="restart"/>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270"/>
        </w:trPr>
        <w:tc>
          <w:tcPr>
            <w:tcW w:w="3780" w:type="dxa"/>
            <w:gridSpan w:val="2"/>
            <w:vMerge/>
            <w:shd w:val="clear" w:color="auto" w:fill="E6E6E6"/>
            <w:vAlign w:val="center"/>
          </w:tcPr>
          <w:p w:rsidR="003756A3" w:rsidRPr="001B351B" w:rsidRDefault="003756A3" w:rsidP="00CD2E49">
            <w:pPr>
              <w:pStyle w:val="BodyText"/>
              <w:rPr>
                <w:rFonts w:ascii="Calibri" w:hAnsi="Calibri"/>
              </w:rPr>
            </w:pPr>
          </w:p>
        </w:tc>
        <w:tc>
          <w:tcPr>
            <w:tcW w:w="3780" w:type="dxa"/>
          </w:tcPr>
          <w:p w:rsidR="003756A3" w:rsidRPr="001B351B" w:rsidRDefault="003756A3" w:rsidP="001B351B">
            <w:pPr>
              <w:pStyle w:val="BodyText"/>
              <w:spacing w:after="0" w:line="240" w:lineRule="auto"/>
              <w:rPr>
                <w:rFonts w:ascii="Calibri" w:hAnsi="Calibri"/>
                <w:sz w:val="21"/>
                <w:szCs w:val="21"/>
              </w:rPr>
            </w:pPr>
            <w:r>
              <w:rPr>
                <w:rFonts w:ascii="Calibri" w:hAnsi="Calibri"/>
                <w:sz w:val="21"/>
                <w:szCs w:val="21"/>
              </w:rPr>
              <w:t>Casino patrons or players participating in junket or overseas commission based player (OCBP) arrangements;</w:t>
            </w:r>
          </w:p>
        </w:tc>
        <w:tc>
          <w:tcPr>
            <w:tcW w:w="3060" w:type="dxa"/>
            <w:vMerge/>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255"/>
        </w:trPr>
        <w:tc>
          <w:tcPr>
            <w:tcW w:w="3780" w:type="dxa"/>
            <w:gridSpan w:val="2"/>
            <w:vMerge/>
            <w:shd w:val="clear" w:color="auto" w:fill="E6E6E6"/>
            <w:vAlign w:val="center"/>
          </w:tcPr>
          <w:p w:rsidR="003756A3" w:rsidRPr="001B351B" w:rsidRDefault="003756A3" w:rsidP="00CD2E49">
            <w:pPr>
              <w:pStyle w:val="BodyText"/>
              <w:rPr>
                <w:rFonts w:ascii="Calibri" w:hAnsi="Calibri"/>
              </w:rPr>
            </w:pP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Customers that are Politically Exposed Persons (PEPs);</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255"/>
        </w:trPr>
        <w:tc>
          <w:tcPr>
            <w:tcW w:w="3780" w:type="dxa"/>
            <w:gridSpan w:val="2"/>
            <w:vMerge/>
            <w:shd w:val="clear" w:color="auto" w:fill="E6E6E6"/>
            <w:vAlign w:val="center"/>
          </w:tcPr>
          <w:p w:rsidR="003756A3" w:rsidRPr="001B351B" w:rsidRDefault="003756A3" w:rsidP="00CD2E49">
            <w:pPr>
              <w:pStyle w:val="BodyText"/>
              <w:rPr>
                <w:rFonts w:ascii="Calibri" w:hAnsi="Calibri"/>
              </w:rPr>
            </w:pP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Customers based in, or conducting business in or through a high risk country, or a country with known levels of corruption, organised crime, or drug production and, or distribution;</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1028"/>
        </w:trPr>
        <w:tc>
          <w:tcPr>
            <w:tcW w:w="3780" w:type="dxa"/>
            <w:gridSpan w:val="2"/>
            <w:vMerge w:val="restart"/>
            <w:shd w:val="clear" w:color="auto" w:fill="E6E6E6"/>
            <w:vAlign w:val="center"/>
          </w:tcPr>
          <w:p w:rsidR="003756A3" w:rsidRPr="001B351B" w:rsidRDefault="003756A3" w:rsidP="00CD2E49">
            <w:pPr>
              <w:pStyle w:val="BodyText"/>
              <w:rPr>
                <w:rFonts w:ascii="Calibri" w:hAnsi="Calibri"/>
                <w:b/>
              </w:rPr>
            </w:pPr>
            <w:r w:rsidRPr="001B351B">
              <w:rPr>
                <w:rFonts w:ascii="Calibri" w:hAnsi="Calibri"/>
                <w:b/>
                <w:szCs w:val="22"/>
              </w:rPr>
              <w:t>Customer Behaviour</w:t>
            </w: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 xml:space="preserve">Customers who become high spenders because of their cumulative spending over time (For example, a customer who </w:t>
            </w:r>
            <w:r>
              <w:rPr>
                <w:rFonts w:ascii="Calibri" w:hAnsi="Calibri"/>
                <w:sz w:val="21"/>
                <w:szCs w:val="21"/>
              </w:rPr>
              <w:t>consistently gambles a medium amount of money over a period of time</w:t>
            </w:r>
            <w:r w:rsidRPr="001B351B">
              <w:rPr>
                <w:rFonts w:ascii="Calibri" w:hAnsi="Calibri"/>
                <w:sz w:val="21"/>
                <w:szCs w:val="21"/>
              </w:rPr>
              <w:t>, or a casual customer who gambles a relatively large amount of money on a limited number of visits);</w:t>
            </w:r>
          </w:p>
        </w:tc>
        <w:tc>
          <w:tcPr>
            <w:tcW w:w="3060" w:type="dxa"/>
          </w:tcPr>
          <w:p w:rsidR="003756A3" w:rsidRPr="001B351B" w:rsidRDefault="003756A3" w:rsidP="001B351B">
            <w:pPr>
              <w:pStyle w:val="BodyText"/>
              <w:spacing w:after="0" w:line="240" w:lineRule="auto"/>
              <w:rPr>
                <w:rFonts w:ascii="Calibri" w:hAnsi="Calibri"/>
                <w:sz w:val="20"/>
                <w:szCs w:val="20"/>
              </w:rPr>
            </w:pPr>
          </w:p>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722"/>
        </w:trPr>
        <w:tc>
          <w:tcPr>
            <w:tcW w:w="3780" w:type="dxa"/>
            <w:gridSpan w:val="2"/>
            <w:vMerge/>
            <w:shd w:val="clear" w:color="auto" w:fill="E6E6E6"/>
            <w:vAlign w:val="center"/>
          </w:tcPr>
          <w:p w:rsidR="003756A3" w:rsidRPr="001B351B" w:rsidRDefault="003756A3" w:rsidP="00CD2E49">
            <w:pPr>
              <w:pStyle w:val="BodyText"/>
              <w:rPr>
                <w:rFonts w:ascii="Calibri" w:hAnsi="Calibri"/>
                <w:b/>
              </w:rPr>
            </w:pPr>
          </w:p>
        </w:tc>
        <w:tc>
          <w:tcPr>
            <w:tcW w:w="3780" w:type="dxa"/>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Customers carrying out several transactions below the amount needing identity checks within a short time;</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920"/>
        </w:trPr>
        <w:tc>
          <w:tcPr>
            <w:tcW w:w="3780" w:type="dxa"/>
            <w:gridSpan w:val="2"/>
            <w:vMerge/>
            <w:shd w:val="clear" w:color="auto" w:fill="E6E6E6"/>
            <w:vAlign w:val="center"/>
          </w:tcPr>
          <w:p w:rsidR="003756A3" w:rsidRPr="001B351B" w:rsidRDefault="003756A3" w:rsidP="00CD2E49">
            <w:pPr>
              <w:pStyle w:val="BodyText"/>
              <w:rPr>
                <w:rFonts w:ascii="Calibri" w:hAnsi="Calibri"/>
                <w:highlight w:val="yellow"/>
              </w:rPr>
            </w:pPr>
          </w:p>
        </w:tc>
        <w:tc>
          <w:tcPr>
            <w:tcW w:w="3780" w:type="dxa"/>
          </w:tcPr>
          <w:p w:rsidR="003756A3" w:rsidRPr="005926E8" w:rsidRDefault="003756A3" w:rsidP="001B351B">
            <w:pPr>
              <w:pStyle w:val="BodyText"/>
              <w:spacing w:after="0" w:line="240" w:lineRule="auto"/>
              <w:rPr>
                <w:rFonts w:ascii="Calibri" w:hAnsi="Calibri"/>
                <w:sz w:val="21"/>
                <w:szCs w:val="21"/>
              </w:rPr>
            </w:pPr>
            <w:r w:rsidRPr="005926E8">
              <w:rPr>
                <w:rFonts w:ascii="Calibri" w:hAnsi="Calibri"/>
                <w:sz w:val="21"/>
                <w:szCs w:val="21"/>
              </w:rPr>
              <w:t>Disproportionate spenders, for example, where spending patterns changes, that is  it dramatically increases or their rated play does not fit their playing profile;</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880"/>
        </w:trPr>
        <w:tc>
          <w:tcPr>
            <w:tcW w:w="3780" w:type="dxa"/>
            <w:gridSpan w:val="2"/>
            <w:vMerge/>
            <w:shd w:val="clear" w:color="auto" w:fill="E6E6E6"/>
            <w:vAlign w:val="center"/>
          </w:tcPr>
          <w:p w:rsidR="003756A3" w:rsidRPr="001B351B" w:rsidRDefault="003756A3" w:rsidP="00CD2E49">
            <w:pPr>
              <w:pStyle w:val="BodyText"/>
              <w:rPr>
                <w:rFonts w:ascii="Calibri" w:hAnsi="Calibri"/>
                <w:highlight w:val="yellow"/>
              </w:rPr>
            </w:pPr>
          </w:p>
        </w:tc>
        <w:tc>
          <w:tcPr>
            <w:tcW w:w="3780" w:type="dxa"/>
          </w:tcPr>
          <w:p w:rsidR="003756A3" w:rsidRPr="005926E8" w:rsidRDefault="003756A3" w:rsidP="001B351B">
            <w:pPr>
              <w:pStyle w:val="BodyText"/>
              <w:spacing w:after="0" w:line="240" w:lineRule="auto"/>
              <w:rPr>
                <w:rFonts w:ascii="Calibri" w:hAnsi="Calibri"/>
                <w:sz w:val="21"/>
                <w:szCs w:val="21"/>
              </w:rPr>
            </w:pPr>
            <w:r w:rsidRPr="005926E8">
              <w:rPr>
                <w:rFonts w:ascii="Calibri" w:hAnsi="Calibri"/>
                <w:sz w:val="21"/>
                <w:szCs w:val="21"/>
              </w:rPr>
              <w:t>Cash deposits by customers which are large compared to the casino’s average. Or, unusual because of the customer’s financial status;</w:t>
            </w:r>
          </w:p>
        </w:tc>
        <w:tc>
          <w:tcPr>
            <w:tcW w:w="3060" w:type="dxa"/>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1220"/>
        </w:trPr>
        <w:tc>
          <w:tcPr>
            <w:tcW w:w="3780" w:type="dxa"/>
            <w:gridSpan w:val="2"/>
            <w:vMerge/>
            <w:tcBorders>
              <w:bottom w:val="single" w:sz="4" w:space="0" w:color="auto"/>
            </w:tcBorders>
            <w:shd w:val="clear" w:color="auto" w:fill="E6E6E6"/>
            <w:vAlign w:val="center"/>
          </w:tcPr>
          <w:p w:rsidR="003756A3" w:rsidRPr="001B351B" w:rsidRDefault="003756A3" w:rsidP="00CD2E49">
            <w:pPr>
              <w:pStyle w:val="BodyText"/>
              <w:rPr>
                <w:rFonts w:ascii="Calibri" w:hAnsi="Calibri"/>
                <w:highlight w:val="yellow"/>
              </w:rPr>
            </w:pPr>
          </w:p>
        </w:tc>
        <w:tc>
          <w:tcPr>
            <w:tcW w:w="3780" w:type="dxa"/>
            <w:tcBorders>
              <w:bottom w:val="single" w:sz="4" w:space="0" w:color="auto"/>
            </w:tcBorders>
          </w:tcPr>
          <w:p w:rsidR="003756A3" w:rsidRPr="005926E8" w:rsidRDefault="003756A3" w:rsidP="001B351B">
            <w:pPr>
              <w:pStyle w:val="BodyText"/>
              <w:spacing w:after="0" w:line="240" w:lineRule="auto"/>
              <w:rPr>
                <w:rFonts w:ascii="Calibri" w:hAnsi="Calibri"/>
                <w:sz w:val="21"/>
                <w:szCs w:val="21"/>
              </w:rPr>
            </w:pPr>
            <w:r w:rsidRPr="005926E8">
              <w:rPr>
                <w:rFonts w:ascii="Calibri" w:hAnsi="Calibri"/>
                <w:sz w:val="21"/>
                <w:szCs w:val="21"/>
              </w:rPr>
              <w:t>Casual customers or unknown customers who buy large amounts of chips with cash at table games. Then engage in little or no play, and then redeem the chips for large denomination bills, casino cheques or money or wire transfers;</w:t>
            </w:r>
          </w:p>
        </w:tc>
        <w:tc>
          <w:tcPr>
            <w:tcW w:w="3060" w:type="dxa"/>
            <w:tcBorders>
              <w:bottom w:val="single" w:sz="4" w:space="0" w:color="auto"/>
            </w:tcBorders>
          </w:tcPr>
          <w:p w:rsidR="003756A3" w:rsidRPr="001B351B" w:rsidRDefault="003756A3" w:rsidP="001B351B">
            <w:pPr>
              <w:pStyle w:val="BodyText"/>
              <w:spacing w:after="0" w:line="240" w:lineRule="auto"/>
              <w:rPr>
                <w:rFonts w:ascii="Calibri" w:hAnsi="Calibri"/>
                <w:sz w:val="20"/>
                <w:szCs w:val="20"/>
              </w:rPr>
            </w:pPr>
          </w:p>
        </w:tc>
      </w:tr>
      <w:tr w:rsidR="003756A3" w:rsidRPr="00122F59" w:rsidTr="001B351B">
        <w:trPr>
          <w:cantSplit/>
          <w:trHeight w:val="260"/>
        </w:trPr>
        <w:tc>
          <w:tcPr>
            <w:tcW w:w="3780" w:type="dxa"/>
            <w:gridSpan w:val="2"/>
            <w:tcBorders>
              <w:top w:val="single" w:sz="4" w:space="0" w:color="auto"/>
              <w:bottom w:val="single" w:sz="4" w:space="0" w:color="auto"/>
            </w:tcBorders>
            <w:shd w:val="clear" w:color="auto" w:fill="E6E6E6"/>
            <w:vAlign w:val="center"/>
          </w:tcPr>
          <w:p w:rsidR="003756A3" w:rsidRPr="001B351B" w:rsidRDefault="003756A3" w:rsidP="00DD1F51">
            <w:pPr>
              <w:pStyle w:val="BodyText"/>
              <w:rPr>
                <w:rFonts w:ascii="Calibri" w:hAnsi="Calibri"/>
                <w:b/>
              </w:rPr>
            </w:pPr>
            <w:r w:rsidRPr="001B351B">
              <w:rPr>
                <w:rFonts w:ascii="Calibri" w:hAnsi="Calibri"/>
                <w:b/>
                <w:szCs w:val="22"/>
              </w:rPr>
              <w:t>Third-Party Relationships</w:t>
            </w:r>
          </w:p>
        </w:tc>
        <w:tc>
          <w:tcPr>
            <w:tcW w:w="3780" w:type="dxa"/>
            <w:tcBorders>
              <w:top w:val="single" w:sz="4" w:space="0" w:color="auto"/>
              <w:bottom w:val="single" w:sz="4" w:space="0" w:color="auto"/>
            </w:tcBorders>
          </w:tcPr>
          <w:p w:rsidR="003756A3" w:rsidRPr="001B351B" w:rsidRDefault="003756A3" w:rsidP="001B351B">
            <w:pPr>
              <w:pStyle w:val="BodyText"/>
              <w:spacing w:after="0" w:line="240" w:lineRule="auto"/>
              <w:rPr>
                <w:rFonts w:ascii="Calibri" w:hAnsi="Calibri"/>
                <w:sz w:val="21"/>
                <w:szCs w:val="21"/>
              </w:rPr>
            </w:pPr>
            <w:r w:rsidRPr="001B351B">
              <w:rPr>
                <w:rFonts w:ascii="Calibri" w:hAnsi="Calibri"/>
                <w:sz w:val="21"/>
                <w:szCs w:val="21"/>
              </w:rPr>
              <w:t>Use of third parties to buy chips, or to gamble on behalf of others with minimal play (which may include early or high cash outs), or cash out/ redemption of chips for larger denomination currency, etc.</w:t>
            </w:r>
          </w:p>
        </w:tc>
        <w:tc>
          <w:tcPr>
            <w:tcW w:w="3060" w:type="dxa"/>
            <w:tcBorders>
              <w:top w:val="single" w:sz="4" w:space="0" w:color="auto"/>
              <w:bottom w:val="single" w:sz="4" w:space="0" w:color="auto"/>
            </w:tcBorders>
          </w:tcPr>
          <w:p w:rsidR="003756A3" w:rsidRPr="001B351B" w:rsidRDefault="003756A3" w:rsidP="001B351B">
            <w:pPr>
              <w:pStyle w:val="BodyText"/>
              <w:spacing w:after="0" w:line="240" w:lineRule="auto"/>
              <w:rPr>
                <w:rFonts w:ascii="Calibri" w:hAnsi="Calibri"/>
                <w:sz w:val="20"/>
                <w:szCs w:val="20"/>
              </w:rPr>
            </w:pPr>
          </w:p>
        </w:tc>
      </w:tr>
    </w:tbl>
    <w:p w:rsidR="003756A3" w:rsidRPr="00122F59" w:rsidRDefault="003756A3" w:rsidP="00570C00">
      <w:pPr>
        <w:pStyle w:val="BodyText"/>
        <w:rPr>
          <w:rFonts w:ascii="Calibri" w:hAnsi="Calibri"/>
          <w:szCs w:val="22"/>
        </w:rPr>
      </w:pPr>
    </w:p>
    <w:sectPr w:rsidR="003756A3" w:rsidRPr="00122F59" w:rsidSect="00546180">
      <w:footerReference w:type="even" r:id="rId8"/>
      <w:footerReference w:type="default" r:id="rId9"/>
      <w:footerReference w:type="first" r:id="rId10"/>
      <w:pgSz w:w="11907" w:h="16840" w:code="9"/>
      <w:pgMar w:top="680" w:right="1134" w:bottom="680"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A3" w:rsidRDefault="003756A3">
      <w:r>
        <w:separator/>
      </w:r>
    </w:p>
  </w:endnote>
  <w:endnote w:type="continuationSeparator" w:id="0">
    <w:p w:rsidR="003756A3" w:rsidRDefault="00375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A3" w:rsidRDefault="003756A3" w:rsidP="00072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6A3" w:rsidRDefault="003756A3"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A3" w:rsidRDefault="003756A3" w:rsidP="00072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56A3" w:rsidRPr="006F110B" w:rsidRDefault="003756A3" w:rsidP="000721E3">
    <w:pPr>
      <w:jc w:val="right"/>
      <w:rPr>
        <w:rFonts w:ascii="Calibri" w:hAnsi="Calibri"/>
        <w:i/>
        <w:sz w:val="18"/>
        <w:szCs w:val="18"/>
      </w:rPr>
    </w:pPr>
    <w:r w:rsidRPr="006F110B">
      <w:rPr>
        <w:rFonts w:ascii="Calibri" w:hAnsi="Calibri"/>
        <w:i/>
        <w:sz w:val="18"/>
        <w:szCs w:val="18"/>
      </w:rPr>
      <w:t>Department of Internal Affairs Te Tari Taiwhenua</w:t>
    </w:r>
  </w:p>
  <w:p w:rsidR="003756A3" w:rsidRPr="006F110B" w:rsidRDefault="003756A3" w:rsidP="000721E3">
    <w:pPr>
      <w:pStyle w:val="Footer"/>
      <w:jc w:val="right"/>
      <w:rPr>
        <w:rFonts w:ascii="Calibri" w:hAnsi="Calibri"/>
        <w:i/>
      </w:rPr>
    </w:pPr>
    <w:r w:rsidRPr="006F110B">
      <w:rPr>
        <w:rFonts w:ascii="Calibri" w:hAnsi="Calibri"/>
        <w:i/>
      </w:rPr>
      <w:t>April 2014</w:t>
    </w:r>
  </w:p>
  <w:p w:rsidR="003756A3" w:rsidRDefault="003756A3" w:rsidP="00DE1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A3" w:rsidRPr="006F110B" w:rsidRDefault="003756A3" w:rsidP="000721E3">
    <w:pPr>
      <w:jc w:val="right"/>
      <w:rPr>
        <w:rFonts w:ascii="Calibri" w:hAnsi="Calibri"/>
        <w:i/>
        <w:sz w:val="18"/>
        <w:szCs w:val="18"/>
      </w:rPr>
    </w:pPr>
    <w:r w:rsidRPr="006F110B">
      <w:rPr>
        <w:rFonts w:ascii="Calibri" w:hAnsi="Calibri"/>
        <w:i/>
        <w:sz w:val="18"/>
        <w:szCs w:val="18"/>
      </w:rPr>
      <w:t>Department of Internal Affairs Te Tari Taiwhenua</w:t>
    </w:r>
  </w:p>
  <w:p w:rsidR="003756A3" w:rsidRPr="006F110B" w:rsidRDefault="003756A3" w:rsidP="000721E3">
    <w:pPr>
      <w:pStyle w:val="Footer"/>
      <w:jc w:val="right"/>
      <w:rPr>
        <w:rFonts w:ascii="Calibri" w:hAnsi="Calibri"/>
        <w:i/>
      </w:rPr>
    </w:pPr>
    <w:r w:rsidRPr="006F110B">
      <w:rPr>
        <w:rFonts w:ascii="Calibri" w:hAnsi="Calibri"/>
        <w:i/>
      </w:rPr>
      <w:t>April 2014</w:t>
    </w:r>
  </w:p>
  <w:p w:rsidR="003756A3" w:rsidRDefault="00375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A3" w:rsidRDefault="003756A3">
      <w:r>
        <w:separator/>
      </w:r>
    </w:p>
  </w:footnote>
  <w:footnote w:type="continuationSeparator" w:id="0">
    <w:p w:rsidR="003756A3" w:rsidRDefault="00375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11757881"/>
    <w:multiLevelType w:val="multilevel"/>
    <w:tmpl w:val="08090023"/>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8C861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6647C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BF0432"/>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4731730B"/>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883082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0D426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5028436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60E45EB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7"/>
  </w:num>
  <w:num w:numId="42">
    <w:abstractNumId w:val="11"/>
  </w:num>
  <w:num w:numId="43">
    <w:abstractNumId w:val="10"/>
  </w:num>
  <w:num w:numId="44">
    <w:abstractNumId w:val="24"/>
  </w:num>
  <w:num w:numId="45">
    <w:abstractNumId w:val="22"/>
  </w:num>
  <w:num w:numId="46">
    <w:abstractNumId w:val="21"/>
  </w:num>
  <w:num w:numId="47">
    <w:abstractNumId w:val="16"/>
  </w:num>
  <w:num w:numId="48">
    <w:abstractNumId w:val="19"/>
  </w:num>
  <w:num w:numId="49">
    <w:abstractNumId w:val="20"/>
  </w:num>
  <w:num w:numId="50">
    <w:abstractNumId w:val="14"/>
  </w:num>
  <w:num w:numId="51">
    <w:abstractNumId w:val="12"/>
  </w:num>
  <w:num w:numId="52">
    <w:abstractNumId w:val="17"/>
  </w:num>
  <w:num w:numId="53">
    <w:abstractNumId w:val="15"/>
  </w:num>
  <w:num w:numId="54">
    <w:abstractNumId w:val="23"/>
  </w:num>
  <w:num w:numId="55">
    <w:abstractNumId w:val="18"/>
  </w:num>
  <w:num w:numId="56">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058AC"/>
    <w:rsid w:val="000070BB"/>
    <w:rsid w:val="00007347"/>
    <w:rsid w:val="00020010"/>
    <w:rsid w:val="00034673"/>
    <w:rsid w:val="0004101B"/>
    <w:rsid w:val="00044EA1"/>
    <w:rsid w:val="000469F5"/>
    <w:rsid w:val="000721E3"/>
    <w:rsid w:val="00077013"/>
    <w:rsid w:val="00090A4F"/>
    <w:rsid w:val="000B154B"/>
    <w:rsid w:val="000E4C1F"/>
    <w:rsid w:val="000E677B"/>
    <w:rsid w:val="000F49FA"/>
    <w:rsid w:val="000F61AF"/>
    <w:rsid w:val="0010171C"/>
    <w:rsid w:val="00102FAD"/>
    <w:rsid w:val="00122F59"/>
    <w:rsid w:val="00131E7C"/>
    <w:rsid w:val="00143D52"/>
    <w:rsid w:val="00144BA8"/>
    <w:rsid w:val="001B351B"/>
    <w:rsid w:val="001C0031"/>
    <w:rsid w:val="001D0111"/>
    <w:rsid w:val="001D12CA"/>
    <w:rsid w:val="00206BA3"/>
    <w:rsid w:val="00215160"/>
    <w:rsid w:val="002224B4"/>
    <w:rsid w:val="00235E3B"/>
    <w:rsid w:val="00237A3D"/>
    <w:rsid w:val="002502D1"/>
    <w:rsid w:val="00270EEC"/>
    <w:rsid w:val="002806A2"/>
    <w:rsid w:val="00285DCB"/>
    <w:rsid w:val="00292AEC"/>
    <w:rsid w:val="00297CC7"/>
    <w:rsid w:val="002A4BD9"/>
    <w:rsid w:val="002A4FE7"/>
    <w:rsid w:val="002B28D2"/>
    <w:rsid w:val="00302379"/>
    <w:rsid w:val="00330820"/>
    <w:rsid w:val="00345112"/>
    <w:rsid w:val="00350013"/>
    <w:rsid w:val="00363673"/>
    <w:rsid w:val="00370FC0"/>
    <w:rsid w:val="003756A3"/>
    <w:rsid w:val="0037644F"/>
    <w:rsid w:val="00376ED2"/>
    <w:rsid w:val="003A68B3"/>
    <w:rsid w:val="003B3A23"/>
    <w:rsid w:val="003F5886"/>
    <w:rsid w:val="0040700B"/>
    <w:rsid w:val="00407F54"/>
    <w:rsid w:val="00412A4F"/>
    <w:rsid w:val="00415CDB"/>
    <w:rsid w:val="0042551E"/>
    <w:rsid w:val="00443770"/>
    <w:rsid w:val="00446DEC"/>
    <w:rsid w:val="004552A0"/>
    <w:rsid w:val="00460A83"/>
    <w:rsid w:val="00477619"/>
    <w:rsid w:val="00486E6E"/>
    <w:rsid w:val="004878D2"/>
    <w:rsid w:val="00496C53"/>
    <w:rsid w:val="004B0CB1"/>
    <w:rsid w:val="004D1706"/>
    <w:rsid w:val="004D243F"/>
    <w:rsid w:val="004D598F"/>
    <w:rsid w:val="004E46A3"/>
    <w:rsid w:val="004F51CF"/>
    <w:rsid w:val="005053F6"/>
    <w:rsid w:val="00513609"/>
    <w:rsid w:val="00517F47"/>
    <w:rsid w:val="0052216D"/>
    <w:rsid w:val="00526115"/>
    <w:rsid w:val="00530DCA"/>
    <w:rsid w:val="005366B6"/>
    <w:rsid w:val="00546180"/>
    <w:rsid w:val="00570C00"/>
    <w:rsid w:val="0058206B"/>
    <w:rsid w:val="005926E8"/>
    <w:rsid w:val="0059662F"/>
    <w:rsid w:val="005E4C02"/>
    <w:rsid w:val="005F5DF2"/>
    <w:rsid w:val="00600CA4"/>
    <w:rsid w:val="00602416"/>
    <w:rsid w:val="006041F2"/>
    <w:rsid w:val="00630711"/>
    <w:rsid w:val="00662716"/>
    <w:rsid w:val="00677B13"/>
    <w:rsid w:val="00677F4E"/>
    <w:rsid w:val="00685ECF"/>
    <w:rsid w:val="00687CEA"/>
    <w:rsid w:val="00695B75"/>
    <w:rsid w:val="006B4600"/>
    <w:rsid w:val="006D638F"/>
    <w:rsid w:val="006E7750"/>
    <w:rsid w:val="006F110B"/>
    <w:rsid w:val="006F5F62"/>
    <w:rsid w:val="007068C8"/>
    <w:rsid w:val="00752DC1"/>
    <w:rsid w:val="0075764B"/>
    <w:rsid w:val="00760C01"/>
    <w:rsid w:val="00767C04"/>
    <w:rsid w:val="007708D8"/>
    <w:rsid w:val="007927E3"/>
    <w:rsid w:val="007A5DCB"/>
    <w:rsid w:val="007A6226"/>
    <w:rsid w:val="007C2908"/>
    <w:rsid w:val="007D1918"/>
    <w:rsid w:val="007D2977"/>
    <w:rsid w:val="00801D28"/>
    <w:rsid w:val="00813198"/>
    <w:rsid w:val="00815ECA"/>
    <w:rsid w:val="00840039"/>
    <w:rsid w:val="00843D71"/>
    <w:rsid w:val="0084719E"/>
    <w:rsid w:val="008479F4"/>
    <w:rsid w:val="00851833"/>
    <w:rsid w:val="00863F62"/>
    <w:rsid w:val="00870045"/>
    <w:rsid w:val="0089072D"/>
    <w:rsid w:val="008A1919"/>
    <w:rsid w:val="008C3187"/>
    <w:rsid w:val="008D51A9"/>
    <w:rsid w:val="008D63B7"/>
    <w:rsid w:val="008E7FEE"/>
    <w:rsid w:val="008F67F5"/>
    <w:rsid w:val="008F6BCE"/>
    <w:rsid w:val="00900D4B"/>
    <w:rsid w:val="00903218"/>
    <w:rsid w:val="00927482"/>
    <w:rsid w:val="00930311"/>
    <w:rsid w:val="00941B9D"/>
    <w:rsid w:val="0095112B"/>
    <w:rsid w:val="00996657"/>
    <w:rsid w:val="009968B0"/>
    <w:rsid w:val="009B0A01"/>
    <w:rsid w:val="009D350C"/>
    <w:rsid w:val="009D710E"/>
    <w:rsid w:val="009F0C31"/>
    <w:rsid w:val="00A04392"/>
    <w:rsid w:val="00A12F83"/>
    <w:rsid w:val="00A16003"/>
    <w:rsid w:val="00A16E9E"/>
    <w:rsid w:val="00A24FBB"/>
    <w:rsid w:val="00A42ED2"/>
    <w:rsid w:val="00A50E00"/>
    <w:rsid w:val="00A53624"/>
    <w:rsid w:val="00A84BC3"/>
    <w:rsid w:val="00AB478B"/>
    <w:rsid w:val="00AB4AD9"/>
    <w:rsid w:val="00AC2D51"/>
    <w:rsid w:val="00AC5B94"/>
    <w:rsid w:val="00AD6E77"/>
    <w:rsid w:val="00AE2FEE"/>
    <w:rsid w:val="00AE58FA"/>
    <w:rsid w:val="00AF5218"/>
    <w:rsid w:val="00B21767"/>
    <w:rsid w:val="00B22A89"/>
    <w:rsid w:val="00B25675"/>
    <w:rsid w:val="00B263AE"/>
    <w:rsid w:val="00B47091"/>
    <w:rsid w:val="00B65857"/>
    <w:rsid w:val="00B66698"/>
    <w:rsid w:val="00B812F6"/>
    <w:rsid w:val="00B84350"/>
    <w:rsid w:val="00B855A6"/>
    <w:rsid w:val="00B91098"/>
    <w:rsid w:val="00B92735"/>
    <w:rsid w:val="00BA12AB"/>
    <w:rsid w:val="00BA291A"/>
    <w:rsid w:val="00BB5872"/>
    <w:rsid w:val="00BB60C6"/>
    <w:rsid w:val="00BD137C"/>
    <w:rsid w:val="00BE450D"/>
    <w:rsid w:val="00C03596"/>
    <w:rsid w:val="00C177E1"/>
    <w:rsid w:val="00C238D9"/>
    <w:rsid w:val="00C24A9D"/>
    <w:rsid w:val="00C2677E"/>
    <w:rsid w:val="00C53F54"/>
    <w:rsid w:val="00C601FF"/>
    <w:rsid w:val="00C60C02"/>
    <w:rsid w:val="00C80D62"/>
    <w:rsid w:val="00C96BFD"/>
    <w:rsid w:val="00CD2E49"/>
    <w:rsid w:val="00CD502A"/>
    <w:rsid w:val="00CE3A3F"/>
    <w:rsid w:val="00D120E8"/>
    <w:rsid w:val="00D242CD"/>
    <w:rsid w:val="00D341C3"/>
    <w:rsid w:val="00D42843"/>
    <w:rsid w:val="00D5152A"/>
    <w:rsid w:val="00D54695"/>
    <w:rsid w:val="00D65145"/>
    <w:rsid w:val="00D74314"/>
    <w:rsid w:val="00D77DAC"/>
    <w:rsid w:val="00D808E3"/>
    <w:rsid w:val="00DA5101"/>
    <w:rsid w:val="00DA689E"/>
    <w:rsid w:val="00DA79EF"/>
    <w:rsid w:val="00DB0C0B"/>
    <w:rsid w:val="00DB3B74"/>
    <w:rsid w:val="00DB7DE6"/>
    <w:rsid w:val="00DD0901"/>
    <w:rsid w:val="00DD1F51"/>
    <w:rsid w:val="00DE16B6"/>
    <w:rsid w:val="00DE339C"/>
    <w:rsid w:val="00DE36CA"/>
    <w:rsid w:val="00DF1B1E"/>
    <w:rsid w:val="00DF549F"/>
    <w:rsid w:val="00E12570"/>
    <w:rsid w:val="00E37E71"/>
    <w:rsid w:val="00E42847"/>
    <w:rsid w:val="00E53210"/>
    <w:rsid w:val="00E62940"/>
    <w:rsid w:val="00E73AA8"/>
    <w:rsid w:val="00E80228"/>
    <w:rsid w:val="00EA2ED4"/>
    <w:rsid w:val="00EA491A"/>
    <w:rsid w:val="00ED4F31"/>
    <w:rsid w:val="00EE4BBC"/>
    <w:rsid w:val="00EF3DE7"/>
    <w:rsid w:val="00EF53DF"/>
    <w:rsid w:val="00EF63C6"/>
    <w:rsid w:val="00F001BC"/>
    <w:rsid w:val="00F034FB"/>
    <w:rsid w:val="00F1075A"/>
    <w:rsid w:val="00F149F4"/>
    <w:rsid w:val="00F22E82"/>
    <w:rsid w:val="00F33D14"/>
    <w:rsid w:val="00F473B6"/>
    <w:rsid w:val="00F53E06"/>
    <w:rsid w:val="00F54188"/>
    <w:rsid w:val="00F57D85"/>
    <w:rsid w:val="00F6083F"/>
    <w:rsid w:val="00F80E74"/>
    <w:rsid w:val="00FA5059"/>
    <w:rsid w:val="00FA67D2"/>
    <w:rsid w:val="00FA6E6C"/>
    <w:rsid w:val="00FB5A92"/>
    <w:rsid w:val="00FE7A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DC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530DCA"/>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530DCA"/>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530DCA"/>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530DCA"/>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530DCA"/>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530DCA"/>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530DCA"/>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semiHidden/>
    <w:locked/>
    <w:rsid w:val="00530DCA"/>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530DCA"/>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530DCA"/>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530DCA"/>
    <w:rPr>
      <w:szCs w:val="24"/>
    </w:rPr>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530DCA"/>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530DCA"/>
    <w:rPr>
      <w:szCs w:val="24"/>
    </w:rPr>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0DCA"/>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0DCA"/>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530DCA"/>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530DCA"/>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530DCA"/>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530DCA"/>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530DCA"/>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530DCA"/>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30DCA"/>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530DCA"/>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530DCA"/>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30DCA"/>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530DCA"/>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530DCA"/>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530DCA"/>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530DCA"/>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42"/>
      </w:numPr>
    </w:pPr>
  </w:style>
  <w:style w:type="paragraph" w:customStyle="1" w:styleId="NumbersLevel2">
    <w:name w:val="Numbers Level 2"/>
    <w:basedOn w:val="BodyText"/>
    <w:uiPriority w:val="99"/>
    <w:rsid w:val="00E73AA8"/>
    <w:pPr>
      <w:numPr>
        <w:ilvl w:val="1"/>
        <w:numId w:val="42"/>
      </w:numPr>
    </w:pPr>
  </w:style>
  <w:style w:type="paragraph" w:customStyle="1" w:styleId="NumbersLevel3">
    <w:name w:val="Numbers Level 3"/>
    <w:basedOn w:val="BodyText"/>
    <w:uiPriority w:val="99"/>
    <w:rsid w:val="00E73AA8"/>
    <w:pPr>
      <w:numPr>
        <w:ilvl w:val="2"/>
        <w:numId w:val="42"/>
      </w:numPr>
    </w:pPr>
  </w:style>
  <w:style w:type="paragraph" w:customStyle="1" w:styleId="NumbersLevel4">
    <w:name w:val="Numbers Level 4"/>
    <w:basedOn w:val="BodyText"/>
    <w:uiPriority w:val="99"/>
    <w:rsid w:val="00E73AA8"/>
    <w:pPr>
      <w:numPr>
        <w:ilvl w:val="3"/>
        <w:numId w:val="4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530DCA"/>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43"/>
      </w:numPr>
    </w:pPr>
  </w:style>
  <w:style w:type="paragraph" w:customStyle="1" w:styleId="NumbersTableLevel2">
    <w:name w:val="Numbers Table Level 2"/>
    <w:basedOn w:val="BodyTextTable"/>
    <w:uiPriority w:val="99"/>
    <w:rsid w:val="00A50E00"/>
    <w:pPr>
      <w:numPr>
        <w:ilvl w:val="1"/>
        <w:numId w:val="43"/>
      </w:numPr>
    </w:pPr>
  </w:style>
  <w:style w:type="paragraph" w:customStyle="1" w:styleId="NumbersTableLevel3">
    <w:name w:val="Numbers Table Level 3"/>
    <w:basedOn w:val="BodyTextTable"/>
    <w:uiPriority w:val="99"/>
    <w:rsid w:val="00A50E00"/>
    <w:pPr>
      <w:numPr>
        <w:ilvl w:val="2"/>
        <w:numId w:val="43"/>
      </w:numPr>
    </w:pPr>
  </w:style>
  <w:style w:type="paragraph" w:customStyle="1" w:styleId="BodyTextTableLevel1">
    <w:name w:val="Body Text Table Level 1"/>
    <w:basedOn w:val="BodyTextTable"/>
    <w:uiPriority w:val="99"/>
    <w:rsid w:val="00A50E00"/>
    <w:pPr>
      <w:numPr>
        <w:numId w:val="44"/>
      </w:numPr>
      <w:ind w:left="369"/>
    </w:pPr>
  </w:style>
  <w:style w:type="paragraph" w:customStyle="1" w:styleId="BodyTextTableLevel2">
    <w:name w:val="Body Text Table Level 2"/>
    <w:basedOn w:val="BodyTextTable"/>
    <w:uiPriority w:val="99"/>
    <w:rsid w:val="00A50E00"/>
    <w:pPr>
      <w:numPr>
        <w:ilvl w:val="1"/>
        <w:numId w:val="44"/>
      </w:numPr>
      <w:ind w:left="737"/>
    </w:pPr>
  </w:style>
  <w:style w:type="paragraph" w:customStyle="1" w:styleId="BodyTextTableLevel3">
    <w:name w:val="Body Text Table Level 3"/>
    <w:basedOn w:val="BodyTextTable"/>
    <w:uiPriority w:val="99"/>
    <w:rsid w:val="00A50E00"/>
    <w:pPr>
      <w:numPr>
        <w:ilvl w:val="3"/>
        <w:numId w:val="4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DCA"/>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character" w:styleId="CommentReference">
    <w:name w:val="annotation reference"/>
    <w:basedOn w:val="DefaultParagraphFont"/>
    <w:uiPriority w:val="99"/>
    <w:rsid w:val="000F49FA"/>
    <w:rPr>
      <w:rFonts w:cs="Times New Roman"/>
      <w:sz w:val="16"/>
    </w:rPr>
  </w:style>
  <w:style w:type="paragraph" w:styleId="CommentText">
    <w:name w:val="annotation text"/>
    <w:basedOn w:val="Normal"/>
    <w:link w:val="CommentTextChar"/>
    <w:uiPriority w:val="99"/>
    <w:rsid w:val="000F49FA"/>
    <w:rPr>
      <w:sz w:val="20"/>
      <w:szCs w:val="20"/>
    </w:rPr>
  </w:style>
  <w:style w:type="character" w:customStyle="1" w:styleId="CommentTextChar">
    <w:name w:val="Comment Text Char"/>
    <w:basedOn w:val="DefaultParagraphFont"/>
    <w:link w:val="CommentText"/>
    <w:uiPriority w:val="99"/>
    <w:locked/>
    <w:rsid w:val="000F49FA"/>
    <w:rPr>
      <w:rFonts w:ascii="Arial" w:hAnsi="Arial" w:cs="Times New Roman"/>
      <w:lang w:eastAsia="en-US"/>
    </w:rPr>
  </w:style>
  <w:style w:type="paragraph" w:styleId="CommentSubject">
    <w:name w:val="annotation subject"/>
    <w:basedOn w:val="CommentText"/>
    <w:next w:val="CommentText"/>
    <w:link w:val="CommentSubjectChar"/>
    <w:uiPriority w:val="99"/>
    <w:rsid w:val="000F49FA"/>
    <w:rPr>
      <w:b/>
      <w:bCs/>
    </w:rPr>
  </w:style>
  <w:style w:type="character" w:customStyle="1" w:styleId="CommentSubjectChar">
    <w:name w:val="Comment Subject Char"/>
    <w:basedOn w:val="CommentTextChar"/>
    <w:link w:val="CommentSubject"/>
    <w:uiPriority w:val="99"/>
    <w:locked/>
    <w:rsid w:val="000F49FA"/>
    <w:rPr>
      <w:b/>
    </w:rPr>
  </w:style>
  <w:style w:type="numbering" w:styleId="ArticleSection">
    <w:name w:val="Outline List 3"/>
    <w:basedOn w:val="NoList"/>
    <w:uiPriority w:val="99"/>
    <w:semiHidden/>
    <w:unhideWhenUsed/>
    <w:locked/>
    <w:rsid w:val="00515D32"/>
    <w:pPr>
      <w:numPr>
        <w:numId w:val="47"/>
      </w:numPr>
    </w:pPr>
  </w:style>
  <w:style w:type="numbering" w:styleId="1ai">
    <w:name w:val="Outline List 1"/>
    <w:basedOn w:val="NoList"/>
    <w:uiPriority w:val="99"/>
    <w:semiHidden/>
    <w:unhideWhenUsed/>
    <w:locked/>
    <w:rsid w:val="00515D32"/>
    <w:pPr>
      <w:numPr>
        <w:numId w:val="46"/>
      </w:numPr>
    </w:pPr>
  </w:style>
  <w:style w:type="numbering" w:styleId="111111">
    <w:name w:val="Outline List 2"/>
    <w:basedOn w:val="NoList"/>
    <w:uiPriority w:val="99"/>
    <w:semiHidden/>
    <w:unhideWhenUsed/>
    <w:locked/>
    <w:rsid w:val="00515D32"/>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450</Words>
  <Characters>2569</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2013-12-19T04:19:00Z</cp:lastPrinted>
  <dcterms:created xsi:type="dcterms:W3CDTF">2014-05-15T21:24:00Z</dcterms:created>
  <dcterms:modified xsi:type="dcterms:W3CDTF">2014-05-15T22:05:00Z</dcterms:modified>
</cp:coreProperties>
</file>