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At Te Tari Taiwhenua, our purpose is to serve and connect people, communities, and government to build a safe, prosperous, and respected nation.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We know that the way people gamble in New Zealand is changing.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So, we’re taking the next step in our journey as a progressive, evidence-based regulator.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With our development of this Strategic Direction, our purpose is: Delivering community wellbeing through reducing gambling-related harms.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To achieve this, our Department-wide mātāpono or “principles” must be at the core of this work.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>He</w:t>
      </w:r>
      <w:r>
        <w:rPr>
          <w:iCs/>
          <w:color w:val="000000" w:themeColor="text1"/>
          <w:sz w:val="24"/>
          <w:szCs w:val="24"/>
        </w:rPr>
        <w:t xml:space="preserve"> Tāngata – People are important.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>Manaakitanga – Showing kindness and respect</w:t>
      </w:r>
      <w:r>
        <w:rPr>
          <w:iCs/>
          <w:color w:val="000000" w:themeColor="text1"/>
          <w:sz w:val="24"/>
          <w:szCs w:val="24"/>
        </w:rPr>
        <w:t>.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Kotahitanga – Strength in unity.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Whanaungatanga – Valuing relationships.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To achieve our purpose, we have five key focus areas.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We are </w:t>
      </w:r>
      <w:r w:rsidRPr="001915FE">
        <w:rPr>
          <w:b/>
          <w:bCs/>
          <w:iCs/>
          <w:color w:val="000000" w:themeColor="text1"/>
          <w:sz w:val="24"/>
          <w:szCs w:val="24"/>
        </w:rPr>
        <w:t>effective treaty partners</w:t>
      </w:r>
      <w:r w:rsidRPr="001915FE">
        <w:rPr>
          <w:iCs/>
          <w:color w:val="000000" w:themeColor="text1"/>
          <w:sz w:val="24"/>
          <w:szCs w:val="24"/>
        </w:rPr>
        <w:t xml:space="preserve"> – we work with Māori </w:t>
      </w:r>
      <w:r>
        <w:rPr>
          <w:iCs/>
          <w:color w:val="000000" w:themeColor="text1"/>
          <w:sz w:val="24"/>
          <w:szCs w:val="24"/>
        </w:rPr>
        <w:t>communities to meet their needs.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We’re an </w:t>
      </w:r>
      <w:r w:rsidRPr="001915FE">
        <w:rPr>
          <w:b/>
          <w:bCs/>
          <w:iCs/>
          <w:color w:val="000000" w:themeColor="text1"/>
          <w:sz w:val="24"/>
          <w:szCs w:val="24"/>
        </w:rPr>
        <w:t>Enabled work force</w:t>
      </w:r>
      <w:r w:rsidRPr="001915FE">
        <w:rPr>
          <w:iCs/>
          <w:color w:val="000000" w:themeColor="text1"/>
          <w:sz w:val="24"/>
          <w:szCs w:val="24"/>
        </w:rPr>
        <w:t xml:space="preserve"> – meaning our people are an engaged and professional team</w:t>
      </w:r>
      <w:r>
        <w:rPr>
          <w:iCs/>
          <w:color w:val="000000" w:themeColor="text1"/>
          <w:sz w:val="24"/>
          <w:szCs w:val="24"/>
        </w:rPr>
        <w:t>.</w:t>
      </w:r>
      <w:r w:rsidRPr="001915FE">
        <w:rPr>
          <w:iCs/>
          <w:color w:val="000000" w:themeColor="text1"/>
          <w:sz w:val="24"/>
          <w:szCs w:val="24"/>
        </w:rPr>
        <w:t xml:space="preserve"> </w:t>
      </w:r>
    </w:p>
    <w:p w:rsidR="001915FE" w:rsidRPr="001915FE" w:rsidRDefault="001915FE" w:rsidP="001915FE">
      <w:pPr>
        <w:rPr>
          <w:b/>
          <w:bCs/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b/>
          <w:bCs/>
          <w:iCs/>
          <w:color w:val="000000" w:themeColor="text1"/>
          <w:sz w:val="24"/>
          <w:szCs w:val="24"/>
        </w:rPr>
        <w:t>Regulatory excellence</w:t>
      </w:r>
      <w:r w:rsidRPr="001915FE">
        <w:rPr>
          <w:iCs/>
          <w:color w:val="000000" w:themeColor="text1"/>
          <w:sz w:val="24"/>
          <w:szCs w:val="24"/>
        </w:rPr>
        <w:t xml:space="preserve"> – establishing a robust, future-proof regulatory practice</w:t>
      </w:r>
      <w:r>
        <w:rPr>
          <w:iCs/>
          <w:color w:val="000000" w:themeColor="text1"/>
          <w:sz w:val="24"/>
          <w:szCs w:val="24"/>
        </w:rPr>
        <w:t>.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 xml:space="preserve">We’ll be </w:t>
      </w:r>
      <w:r w:rsidRPr="001915FE">
        <w:rPr>
          <w:b/>
          <w:bCs/>
          <w:iCs/>
          <w:color w:val="000000" w:themeColor="text1"/>
          <w:sz w:val="24"/>
          <w:szCs w:val="24"/>
        </w:rPr>
        <w:t>evidence-based and informed</w:t>
      </w:r>
      <w:r w:rsidRPr="001915FE">
        <w:rPr>
          <w:iCs/>
          <w:color w:val="000000" w:themeColor="text1"/>
          <w:sz w:val="24"/>
          <w:szCs w:val="24"/>
        </w:rPr>
        <w:t xml:space="preserve"> – we use data and insights to make smart decisions. </w:t>
      </w:r>
    </w:p>
    <w:p w:rsidR="001915FE" w:rsidRPr="001915FE" w:rsidRDefault="001915FE" w:rsidP="001915FE">
      <w:pPr>
        <w:rPr>
          <w:iCs/>
          <w:color w:val="000000" w:themeColor="text1"/>
          <w:sz w:val="24"/>
          <w:szCs w:val="24"/>
        </w:rPr>
      </w:pPr>
      <w:r w:rsidRPr="001915FE">
        <w:rPr>
          <w:b/>
          <w:bCs/>
          <w:iCs/>
          <w:color w:val="000000" w:themeColor="text1"/>
          <w:sz w:val="24"/>
          <w:szCs w:val="24"/>
        </w:rPr>
        <w:t>And System leadership</w:t>
      </w:r>
      <w:r w:rsidRPr="001915FE">
        <w:rPr>
          <w:iCs/>
          <w:color w:val="000000" w:themeColor="text1"/>
          <w:sz w:val="24"/>
          <w:szCs w:val="24"/>
        </w:rPr>
        <w:t xml:space="preserve"> - Working with partners and stakeholders to maximise our outcomes</w:t>
      </w:r>
      <w:r>
        <w:rPr>
          <w:iCs/>
          <w:color w:val="000000" w:themeColor="text1"/>
          <w:sz w:val="24"/>
          <w:szCs w:val="24"/>
        </w:rPr>
        <w:t>.</w:t>
      </w:r>
    </w:p>
    <w:p w:rsidR="001915FE" w:rsidRDefault="001915FE" w:rsidP="001915FE">
      <w:pPr>
        <w:spacing w:line="360" w:lineRule="auto"/>
        <w:rPr>
          <w:iCs/>
          <w:color w:val="000000" w:themeColor="text1"/>
          <w:sz w:val="24"/>
          <w:szCs w:val="24"/>
        </w:rPr>
      </w:pPr>
    </w:p>
    <w:p w:rsidR="001915FE" w:rsidRPr="001915FE" w:rsidRDefault="001915FE" w:rsidP="001915FE">
      <w:pPr>
        <w:spacing w:line="360" w:lineRule="auto"/>
        <w:rPr>
          <w:iCs/>
          <w:color w:val="000000" w:themeColor="text1"/>
          <w:sz w:val="24"/>
          <w:szCs w:val="24"/>
        </w:rPr>
      </w:pPr>
      <w:r w:rsidRPr="001915FE">
        <w:rPr>
          <w:iCs/>
          <w:color w:val="000000" w:themeColor="text1"/>
          <w:sz w:val="24"/>
          <w:szCs w:val="24"/>
        </w:rPr>
        <w:t>Te Tari Taiwhenua.</w:t>
      </w:r>
    </w:p>
    <w:p w:rsidR="001915FE" w:rsidRPr="001915FE" w:rsidRDefault="001915FE" w:rsidP="001915FE">
      <w:pPr>
        <w:spacing w:line="360" w:lineRule="auto"/>
        <w:rPr>
          <w:iCs/>
          <w:color w:val="000000" w:themeColor="text1"/>
          <w:sz w:val="24"/>
          <w:szCs w:val="24"/>
        </w:rPr>
      </w:pPr>
      <w:bookmarkStart w:id="0" w:name="_GoBack"/>
      <w:r w:rsidRPr="001915FE">
        <w:rPr>
          <w:iCs/>
          <w:color w:val="000000" w:themeColor="text1"/>
          <w:sz w:val="24"/>
          <w:szCs w:val="24"/>
        </w:rPr>
        <w:t>Delivering community wellbeing through reducing gambling-related harms</w:t>
      </w:r>
      <w:bookmarkEnd w:id="0"/>
      <w:r w:rsidRPr="001915FE">
        <w:rPr>
          <w:iCs/>
          <w:color w:val="000000" w:themeColor="text1"/>
          <w:sz w:val="24"/>
          <w:szCs w:val="24"/>
        </w:rPr>
        <w:t>.</w:t>
      </w:r>
    </w:p>
    <w:p w:rsidR="00124DAF" w:rsidRPr="001915FE" w:rsidRDefault="00124DAF">
      <w:pPr>
        <w:rPr>
          <w:color w:val="000000" w:themeColor="text1"/>
          <w:sz w:val="24"/>
          <w:szCs w:val="24"/>
        </w:rPr>
      </w:pPr>
    </w:p>
    <w:sectPr w:rsidR="00124DAF" w:rsidRPr="00191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E"/>
    <w:rsid w:val="00124DAF"/>
    <w:rsid w:val="001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763F"/>
  <w15:chartTrackingRefBased/>
  <w15:docId w15:val="{7BB13AF0-C495-4493-9229-3F8AB676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5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46D13FD8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Chaskar</dc:creator>
  <cp:keywords/>
  <dc:description/>
  <cp:lastModifiedBy>Ashwini Chaskar</cp:lastModifiedBy>
  <cp:revision>1</cp:revision>
  <dcterms:created xsi:type="dcterms:W3CDTF">2021-03-08T22:40:00Z</dcterms:created>
  <dcterms:modified xsi:type="dcterms:W3CDTF">2021-03-08T22:45:00Z</dcterms:modified>
</cp:coreProperties>
</file>