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0DB4" w14:textId="77777777" w:rsidR="0091672C" w:rsidRDefault="0091672C" w:rsidP="0091672C">
      <w:pPr>
        <w:tabs>
          <w:tab w:val="left" w:pos="780"/>
        </w:tabs>
        <w:rPr>
          <w:lang w:val="mi-NZ"/>
        </w:rPr>
      </w:pPr>
    </w:p>
    <w:p w14:paraId="2069B8D7" w14:textId="77777777" w:rsidR="0091672C" w:rsidRPr="0091672C" w:rsidRDefault="0091672C" w:rsidP="0091672C">
      <w:pPr>
        <w:rPr>
          <w:lang w:val="mi-NZ"/>
        </w:rPr>
      </w:pPr>
    </w:p>
    <w:p w14:paraId="6CF0BFA5" w14:textId="77777777" w:rsidR="0091672C" w:rsidRPr="0091672C" w:rsidRDefault="0091672C" w:rsidP="0091672C">
      <w:pPr>
        <w:rPr>
          <w:lang w:val="mi-NZ"/>
        </w:rPr>
      </w:pPr>
    </w:p>
    <w:p w14:paraId="54B19120" w14:textId="77777777" w:rsidR="0091672C" w:rsidRDefault="0091672C" w:rsidP="0091672C">
      <w:pPr>
        <w:rPr>
          <w:lang w:val="mi-NZ"/>
        </w:rPr>
      </w:pPr>
    </w:p>
    <w:p w14:paraId="7107CE8D" w14:textId="6904D954" w:rsidR="004F0923" w:rsidRPr="0091672C" w:rsidRDefault="004F0923" w:rsidP="004F0923">
      <w:pPr>
        <w:pStyle w:val="Title"/>
      </w:pPr>
      <w:r>
        <w:t>Scope for independent security evaluation for [Provider name] and [Service name]</w:t>
      </w:r>
    </w:p>
    <w:p w14:paraId="40ABA775" w14:textId="77777777" w:rsidR="000454A3" w:rsidRDefault="000454A3" w:rsidP="004F0923">
      <w:pPr>
        <w:pStyle w:val="Title"/>
        <w:rPr>
          <w:sz w:val="32"/>
          <w:szCs w:val="32"/>
        </w:rPr>
      </w:pPr>
    </w:p>
    <w:p w14:paraId="41D68D62" w14:textId="4AAEE04E" w:rsidR="004F0923" w:rsidRDefault="00DB7D4A" w:rsidP="004F0923">
      <w:pPr>
        <w:pStyle w:val="Title"/>
        <w:rPr>
          <w:sz w:val="32"/>
          <w:szCs w:val="32"/>
        </w:rPr>
      </w:pPr>
      <w:r>
        <w:rPr>
          <w:sz w:val="32"/>
          <w:szCs w:val="32"/>
        </w:rPr>
        <w:t>[</w:t>
      </w:r>
      <w:r w:rsidR="004F0923" w:rsidRPr="00076C43">
        <w:rPr>
          <w:sz w:val="32"/>
          <w:szCs w:val="32"/>
        </w:rPr>
        <w:t>Date</w:t>
      </w:r>
      <w:r>
        <w:rPr>
          <w:sz w:val="32"/>
          <w:szCs w:val="32"/>
        </w:rPr>
        <w:t>]</w:t>
      </w:r>
    </w:p>
    <w:p w14:paraId="2843BBA2" w14:textId="77777777" w:rsidR="00777659" w:rsidRDefault="00777659" w:rsidP="00777659">
      <w:pPr>
        <w:pStyle w:val="Title"/>
        <w:rPr>
          <w:sz w:val="32"/>
          <w:szCs w:val="32"/>
        </w:rPr>
      </w:pPr>
    </w:p>
    <w:p w14:paraId="2E181B9D" w14:textId="7B17D640" w:rsidR="00777659" w:rsidRPr="00076C43" w:rsidRDefault="00DB7D4A" w:rsidP="00777659">
      <w:pPr>
        <w:pStyle w:val="Title"/>
        <w:rPr>
          <w:sz w:val="32"/>
          <w:szCs w:val="32"/>
        </w:rPr>
      </w:pPr>
      <w:r>
        <w:rPr>
          <w:sz w:val="32"/>
          <w:szCs w:val="32"/>
        </w:rPr>
        <w:t>V</w:t>
      </w:r>
      <w:r w:rsidR="00777659">
        <w:rPr>
          <w:sz w:val="32"/>
          <w:szCs w:val="32"/>
        </w:rPr>
        <w:t xml:space="preserve">1.0 </w:t>
      </w:r>
      <w:r w:rsidR="0002159C">
        <w:rPr>
          <w:sz w:val="32"/>
          <w:szCs w:val="32"/>
        </w:rPr>
        <w:t>July</w:t>
      </w:r>
      <w:r w:rsidR="00DE60DE">
        <w:rPr>
          <w:sz w:val="32"/>
          <w:szCs w:val="32"/>
        </w:rPr>
        <w:t xml:space="preserve"> </w:t>
      </w:r>
      <w:r w:rsidR="00777659">
        <w:rPr>
          <w:sz w:val="32"/>
          <w:szCs w:val="32"/>
        </w:rPr>
        <w:t>202</w:t>
      </w:r>
      <w:r w:rsidR="00DE60DE">
        <w:rPr>
          <w:sz w:val="32"/>
          <w:szCs w:val="32"/>
        </w:rPr>
        <w:t>5</w:t>
      </w:r>
    </w:p>
    <w:p w14:paraId="50C4EF2B" w14:textId="77777777" w:rsidR="00777659" w:rsidRPr="00076C43" w:rsidRDefault="00777659" w:rsidP="004F0923">
      <w:pPr>
        <w:pStyle w:val="Title"/>
        <w:rPr>
          <w:sz w:val="32"/>
          <w:szCs w:val="32"/>
        </w:rPr>
      </w:pPr>
    </w:p>
    <w:p w14:paraId="37DD5A1B" w14:textId="77777777" w:rsidR="004F0923" w:rsidRDefault="004F0923" w:rsidP="0091672C">
      <w:pPr>
        <w:rPr>
          <w:lang w:val="mi-NZ"/>
        </w:rPr>
      </w:pPr>
    </w:p>
    <w:p w14:paraId="78C71D07" w14:textId="41E9F20C" w:rsidR="0091672C" w:rsidRPr="0091672C" w:rsidRDefault="0091672C" w:rsidP="0091672C">
      <w:pPr>
        <w:rPr>
          <w:lang w:val="mi-NZ"/>
        </w:rPr>
        <w:sectPr w:rsidR="0091672C" w:rsidRPr="0091672C" w:rsidSect="0010117B">
          <w:headerReference w:type="even" r:id="rId12"/>
          <w:headerReference w:type="default" r:id="rId13"/>
          <w:footerReference w:type="even" r:id="rId14"/>
          <w:footerReference w:type="default" r:id="rId15"/>
          <w:headerReference w:type="first" r:id="rId16"/>
          <w:footerReference w:type="first" r:id="rId17"/>
          <w:pgSz w:w="11907" w:h="16840" w:code="9"/>
          <w:pgMar w:top="1134" w:right="1418" w:bottom="992" w:left="1418" w:header="170" w:footer="397" w:gutter="0"/>
          <w:cols w:space="708"/>
          <w:titlePg/>
          <w:docGrid w:linePitch="360"/>
        </w:sectPr>
      </w:pPr>
    </w:p>
    <w:p w14:paraId="29858771" w14:textId="77777777" w:rsidR="000454A3" w:rsidRDefault="000454A3" w:rsidP="000454A3">
      <w:pPr>
        <w:pStyle w:val="Heading1"/>
      </w:pPr>
      <w:bookmarkStart w:id="0" w:name="_Toc180009631"/>
      <w:bookmarkStart w:id="1" w:name="_Toc181715425"/>
      <w:r>
        <w:lastRenderedPageBreak/>
        <w:t>About this guidance</w:t>
      </w:r>
      <w:bookmarkEnd w:id="0"/>
      <w:bookmarkEnd w:id="1"/>
    </w:p>
    <w:p w14:paraId="02A9C1FC" w14:textId="77777777" w:rsidR="000454A3" w:rsidRDefault="000454A3" w:rsidP="000454A3">
      <w:pPr>
        <w:rPr>
          <w:lang w:val="en-US"/>
        </w:rPr>
      </w:pPr>
      <w:bookmarkStart w:id="2" w:name="_Hlk176181047"/>
      <w:r>
        <w:rPr>
          <w:lang w:val="en-US"/>
        </w:rPr>
        <w:t>As regulator, the Digital Identity Services Trust Framework Authority (the Trust Framework Authority) assesses and accredits providers, and their services, against the Trust Framework rules and regulations.</w:t>
      </w:r>
    </w:p>
    <w:p w14:paraId="4583A269" w14:textId="77777777" w:rsidR="000454A3" w:rsidRDefault="000454A3" w:rsidP="000454A3">
      <w:pPr>
        <w:rPr>
          <w:lang w:val="en-US"/>
        </w:rPr>
      </w:pPr>
      <w:r>
        <w:rPr>
          <w:lang w:val="en-US"/>
        </w:rPr>
        <w:t xml:space="preserve">Independent security evaluators play a role in the evaluation of providers seeking accreditation under the Digital Identity Services Trust Framework (the Trust Framework). </w:t>
      </w:r>
    </w:p>
    <w:p w14:paraId="65FA6305" w14:textId="6B5164DC" w:rsidR="000454A3" w:rsidRDefault="000454A3" w:rsidP="000454A3">
      <w:pPr>
        <w:rPr>
          <w:rStyle w:val="Hyperlink"/>
          <w:lang w:val="en-US"/>
        </w:rPr>
      </w:pPr>
      <w:r>
        <w:rPr>
          <w:lang w:val="en-US"/>
        </w:rPr>
        <w:t xml:space="preserve">Independent security evaluators provide an evaluation on whether the provider </w:t>
      </w:r>
      <w:r w:rsidRPr="00E94F27">
        <w:rPr>
          <w:lang w:val="en-US"/>
        </w:rPr>
        <w:t>meets the requirements of the T</w:t>
      </w:r>
      <w:r>
        <w:rPr>
          <w:lang w:val="en-US"/>
        </w:rPr>
        <w:t xml:space="preserve">rust </w:t>
      </w:r>
      <w:r w:rsidRPr="00E94F27">
        <w:rPr>
          <w:lang w:val="en-US"/>
        </w:rPr>
        <w:t>F</w:t>
      </w:r>
      <w:r>
        <w:rPr>
          <w:lang w:val="en-US"/>
        </w:rPr>
        <w:t>ramework</w:t>
      </w:r>
      <w:r w:rsidRPr="00E94F27">
        <w:rPr>
          <w:lang w:val="en-US"/>
        </w:rPr>
        <w:t xml:space="preserve"> Authority as set out in the </w:t>
      </w:r>
      <w:hyperlink r:id="rId18" w:history="1">
        <w:r w:rsidRPr="008D166C">
          <w:rPr>
            <w:rStyle w:val="Hyperlink"/>
            <w:lang w:val="en-US"/>
          </w:rPr>
          <w:t>Digital Identity Services Trust Framework Rules 2024.</w:t>
        </w:r>
      </w:hyperlink>
    </w:p>
    <w:p w14:paraId="41897EED" w14:textId="77777777" w:rsidR="000454A3" w:rsidRDefault="000454A3" w:rsidP="000454A3">
      <w:pPr>
        <w:rPr>
          <w:lang w:val="en-US"/>
        </w:rPr>
      </w:pPr>
      <w:r>
        <w:rPr>
          <w:lang w:val="en-US"/>
        </w:rPr>
        <w:t>This template is for the provider and independent security evaluator to agree the scope for the evaluation.</w:t>
      </w:r>
    </w:p>
    <w:p w14:paraId="51B5B598" w14:textId="77777777" w:rsidR="000454A3" w:rsidRDefault="000454A3" w:rsidP="000454A3">
      <w:pPr>
        <w:rPr>
          <w:lang w:val="en-US"/>
        </w:rPr>
      </w:pPr>
      <w:r>
        <w:rPr>
          <w:lang w:val="en-US"/>
        </w:rPr>
        <w:t>The final assessment and accreditation decision will be made by the Trust Framework Authority.</w:t>
      </w:r>
    </w:p>
    <w:p w14:paraId="43046EF2" w14:textId="46E8DBC5" w:rsidR="000454A3" w:rsidRDefault="000454A3" w:rsidP="000454A3">
      <w:pPr>
        <w:rPr>
          <w:lang w:val="en-US"/>
        </w:rPr>
      </w:pPr>
      <w:r>
        <w:rPr>
          <w:lang w:val="en-US"/>
        </w:rPr>
        <w:t>If you have questions about the evaluation process or this guidance, or need assistance, please contact</w:t>
      </w:r>
      <w:r w:rsidR="00065CE4">
        <w:rPr>
          <w:lang w:val="en-US"/>
        </w:rPr>
        <w:t xml:space="preserve"> the Trust Framework Authority at</w:t>
      </w:r>
      <w:r>
        <w:rPr>
          <w:lang w:val="en-US"/>
        </w:rPr>
        <w:t xml:space="preserve"> </w:t>
      </w:r>
      <w:hyperlink r:id="rId19" w:history="1">
        <w:r w:rsidRPr="00114A15">
          <w:rPr>
            <w:rStyle w:val="Hyperlink"/>
            <w:lang w:val="en-US"/>
          </w:rPr>
          <w:t>TFA@dia.govt.nz</w:t>
        </w:r>
      </w:hyperlink>
      <w:r>
        <w:rPr>
          <w:lang w:val="en-US"/>
        </w:rPr>
        <w:t>.</w:t>
      </w:r>
    </w:p>
    <w:bookmarkEnd w:id="2"/>
    <w:p w14:paraId="0F319ED4" w14:textId="3F964565" w:rsidR="006871D3" w:rsidRDefault="000454A3" w:rsidP="001420E8">
      <w:pPr>
        <w:sectPr w:rsidR="006871D3" w:rsidSect="004518B7">
          <w:headerReference w:type="default" r:id="rId20"/>
          <w:footerReference w:type="default" r:id="rId21"/>
          <w:pgSz w:w="11907" w:h="16840" w:code="9"/>
          <w:pgMar w:top="1418" w:right="1418" w:bottom="992" w:left="1418" w:header="425" w:footer="641" w:gutter="0"/>
          <w:pgNumType w:start="1"/>
          <w:cols w:space="708"/>
          <w:docGrid w:linePitch="360"/>
        </w:sectPr>
      </w:pPr>
      <w:r>
        <w:br w:type="page"/>
      </w:r>
    </w:p>
    <w:p w14:paraId="0E7CD663" w14:textId="500D9D31" w:rsidR="000454A3" w:rsidRDefault="00A63B8A" w:rsidP="000454A3">
      <w:pPr>
        <w:pStyle w:val="Heading1"/>
      </w:pPr>
      <w:bookmarkStart w:id="3" w:name="_Toc181715427"/>
      <w:r>
        <w:lastRenderedPageBreak/>
        <w:t>Scope details</w:t>
      </w:r>
      <w:bookmarkEnd w:id="3"/>
    </w:p>
    <w:p w14:paraId="663954C7" w14:textId="77777777" w:rsidR="000454A3" w:rsidRDefault="000454A3" w:rsidP="000454A3">
      <w:r>
        <w:t>This document records the security evaluation for [Provider name] for [Service name].</w:t>
      </w:r>
    </w:p>
    <w:tbl>
      <w:tblPr>
        <w:tblStyle w:val="DIATable"/>
        <w:tblW w:w="0" w:type="auto"/>
        <w:tblInd w:w="-15" w:type="dxa"/>
        <w:tblLook w:val="04A0" w:firstRow="1" w:lastRow="0" w:firstColumn="1" w:lastColumn="0" w:noHBand="0" w:noVBand="1"/>
      </w:tblPr>
      <w:tblGrid>
        <w:gridCol w:w="2700"/>
        <w:gridCol w:w="5940"/>
      </w:tblGrid>
      <w:tr w:rsidR="00114819" w:rsidRPr="00283249" w14:paraId="2B4315C0" w14:textId="77777777" w:rsidTr="00C51D6A">
        <w:trPr>
          <w:cnfStyle w:val="100000000000" w:firstRow="1" w:lastRow="0" w:firstColumn="0" w:lastColumn="0" w:oddVBand="0" w:evenVBand="0" w:oddHBand="0" w:evenHBand="0" w:firstRowFirstColumn="0" w:firstRowLastColumn="0" w:lastRowFirstColumn="0" w:lastRowLastColumn="0"/>
          <w:tblHeader/>
        </w:trPr>
        <w:tc>
          <w:tcPr>
            <w:tcW w:w="8640" w:type="dxa"/>
            <w:gridSpan w:val="2"/>
          </w:tcPr>
          <w:p w14:paraId="77C7137A" w14:textId="77777777" w:rsidR="00114819" w:rsidRPr="00283249" w:rsidRDefault="00114819" w:rsidP="00C51D6A">
            <w:pPr>
              <w:keepLines w:val="0"/>
              <w:tabs>
                <w:tab w:val="left" w:pos="4253"/>
              </w:tabs>
              <w:spacing w:before="0" w:after="60"/>
              <w:contextualSpacing/>
              <w:rPr>
                <w:lang w:val="en-GB"/>
              </w:rPr>
            </w:pPr>
            <w:r w:rsidRPr="00283249">
              <w:rPr>
                <w:b w:val="0"/>
                <w:lang w:val="en-GB"/>
              </w:rPr>
              <w:t>Scope details</w:t>
            </w:r>
          </w:p>
        </w:tc>
      </w:tr>
      <w:tr w:rsidR="00114819" w:rsidRPr="00283249" w14:paraId="1ECA7D5C" w14:textId="77777777" w:rsidTr="00C51D6A">
        <w:tc>
          <w:tcPr>
            <w:tcW w:w="2700" w:type="dxa"/>
          </w:tcPr>
          <w:p w14:paraId="47A625EA" w14:textId="77777777" w:rsidR="00114819" w:rsidRPr="00283249" w:rsidRDefault="00114819" w:rsidP="00C51D6A">
            <w:pPr>
              <w:keepLines w:val="0"/>
              <w:tabs>
                <w:tab w:val="left" w:pos="4253"/>
              </w:tabs>
              <w:spacing w:before="0" w:after="60"/>
              <w:contextualSpacing/>
              <w:rPr>
                <w:lang w:val="en-GB"/>
              </w:rPr>
            </w:pPr>
            <w:r w:rsidRPr="00283249">
              <w:rPr>
                <w:lang w:val="en-GB"/>
              </w:rPr>
              <w:t>Provider</w:t>
            </w:r>
          </w:p>
        </w:tc>
        <w:tc>
          <w:tcPr>
            <w:tcW w:w="5940" w:type="dxa"/>
          </w:tcPr>
          <w:p w14:paraId="4C096091" w14:textId="77777777" w:rsidR="00114819" w:rsidRPr="00283249" w:rsidRDefault="00114819" w:rsidP="00C51D6A">
            <w:pPr>
              <w:keepLines w:val="0"/>
              <w:tabs>
                <w:tab w:val="left" w:pos="4253"/>
              </w:tabs>
              <w:spacing w:before="0" w:after="60"/>
              <w:contextualSpacing/>
              <w:rPr>
                <w:lang w:val="en-GB"/>
              </w:rPr>
            </w:pPr>
          </w:p>
        </w:tc>
      </w:tr>
      <w:tr w:rsidR="00114819" w:rsidRPr="00283249" w14:paraId="59219A1A" w14:textId="77777777" w:rsidTr="00C51D6A">
        <w:tc>
          <w:tcPr>
            <w:tcW w:w="2700" w:type="dxa"/>
          </w:tcPr>
          <w:p w14:paraId="5937EE5D" w14:textId="77777777" w:rsidR="00114819" w:rsidRPr="00283249" w:rsidRDefault="00114819" w:rsidP="00C51D6A">
            <w:pPr>
              <w:keepLines w:val="0"/>
              <w:tabs>
                <w:tab w:val="left" w:pos="4253"/>
              </w:tabs>
              <w:spacing w:before="0" w:after="60"/>
              <w:contextualSpacing/>
              <w:rPr>
                <w:lang w:val="en-GB"/>
              </w:rPr>
            </w:pPr>
            <w:r w:rsidRPr="00283249">
              <w:rPr>
                <w:lang w:val="en-GB"/>
              </w:rPr>
              <w:t>Date submitted</w:t>
            </w:r>
          </w:p>
        </w:tc>
        <w:tc>
          <w:tcPr>
            <w:tcW w:w="5940" w:type="dxa"/>
          </w:tcPr>
          <w:p w14:paraId="51C04B9D" w14:textId="77777777" w:rsidR="00114819" w:rsidRPr="00283249" w:rsidRDefault="00114819" w:rsidP="00C51D6A">
            <w:pPr>
              <w:keepLines w:val="0"/>
              <w:tabs>
                <w:tab w:val="left" w:pos="4253"/>
              </w:tabs>
              <w:spacing w:before="0" w:after="60"/>
              <w:contextualSpacing/>
              <w:rPr>
                <w:lang w:val="en-GB"/>
              </w:rPr>
            </w:pPr>
          </w:p>
        </w:tc>
      </w:tr>
      <w:tr w:rsidR="00114819" w:rsidRPr="00283249" w14:paraId="20683B5D" w14:textId="77777777" w:rsidTr="00C51D6A">
        <w:tc>
          <w:tcPr>
            <w:tcW w:w="2700" w:type="dxa"/>
          </w:tcPr>
          <w:p w14:paraId="7921D000" w14:textId="77777777" w:rsidR="00114819" w:rsidRPr="00283249" w:rsidRDefault="00114819" w:rsidP="00C51D6A">
            <w:pPr>
              <w:keepLines w:val="0"/>
              <w:tabs>
                <w:tab w:val="left" w:pos="4253"/>
              </w:tabs>
              <w:spacing w:before="0" w:after="60"/>
              <w:contextualSpacing/>
              <w:rPr>
                <w:lang w:val="en-GB"/>
              </w:rPr>
            </w:pPr>
            <w:r w:rsidRPr="00283249">
              <w:rPr>
                <w:lang w:val="en-GB"/>
              </w:rPr>
              <w:t>Service name</w:t>
            </w:r>
          </w:p>
        </w:tc>
        <w:tc>
          <w:tcPr>
            <w:tcW w:w="5940" w:type="dxa"/>
          </w:tcPr>
          <w:p w14:paraId="21359A2C" w14:textId="77777777" w:rsidR="00114819" w:rsidRPr="00283249" w:rsidRDefault="00114819" w:rsidP="00C51D6A">
            <w:pPr>
              <w:keepLines w:val="0"/>
              <w:tabs>
                <w:tab w:val="left" w:pos="4253"/>
              </w:tabs>
              <w:spacing w:before="0" w:after="60"/>
              <w:contextualSpacing/>
              <w:rPr>
                <w:lang w:val="en-GB"/>
              </w:rPr>
            </w:pPr>
          </w:p>
        </w:tc>
      </w:tr>
      <w:tr w:rsidR="00114819" w:rsidRPr="00283249" w14:paraId="3C23D93A" w14:textId="77777777" w:rsidTr="00C51D6A">
        <w:tc>
          <w:tcPr>
            <w:tcW w:w="2700" w:type="dxa"/>
          </w:tcPr>
          <w:p w14:paraId="59BA2D29" w14:textId="77777777" w:rsidR="00114819" w:rsidRPr="00283249" w:rsidRDefault="00114819" w:rsidP="00C51D6A">
            <w:pPr>
              <w:keepLines w:val="0"/>
              <w:tabs>
                <w:tab w:val="left" w:pos="4253"/>
              </w:tabs>
              <w:spacing w:before="0" w:after="60"/>
              <w:contextualSpacing/>
              <w:rPr>
                <w:lang w:val="en-GB"/>
              </w:rPr>
            </w:pPr>
            <w:r w:rsidRPr="00283249">
              <w:rPr>
                <w:lang w:val="en-GB"/>
              </w:rPr>
              <w:t>Digital identity services applied for</w:t>
            </w:r>
          </w:p>
        </w:tc>
        <w:tc>
          <w:tcPr>
            <w:tcW w:w="5940" w:type="dxa"/>
          </w:tcPr>
          <w:p w14:paraId="56635795" w14:textId="77777777" w:rsidR="00114819" w:rsidRPr="00283249" w:rsidRDefault="00114819" w:rsidP="00C51D6A">
            <w:pPr>
              <w:keepLines w:val="0"/>
              <w:tabs>
                <w:tab w:val="left" w:pos="4253"/>
              </w:tabs>
              <w:spacing w:before="0" w:after="60"/>
              <w:contextualSpacing/>
              <w:rPr>
                <w:lang w:val="en-GB"/>
              </w:rPr>
            </w:pPr>
          </w:p>
        </w:tc>
      </w:tr>
      <w:tr w:rsidR="00114819" w:rsidRPr="00283249" w14:paraId="07F9E473" w14:textId="77777777" w:rsidTr="00C51D6A">
        <w:tc>
          <w:tcPr>
            <w:tcW w:w="2700" w:type="dxa"/>
          </w:tcPr>
          <w:p w14:paraId="465167B4" w14:textId="77777777" w:rsidR="00114819" w:rsidRPr="00283249" w:rsidRDefault="00114819" w:rsidP="00C51D6A">
            <w:pPr>
              <w:keepLines w:val="0"/>
              <w:tabs>
                <w:tab w:val="left" w:pos="4253"/>
              </w:tabs>
              <w:spacing w:before="0" w:after="60"/>
              <w:contextualSpacing/>
              <w:rPr>
                <w:lang w:val="en-GB"/>
              </w:rPr>
            </w:pPr>
            <w:r w:rsidRPr="00283249">
              <w:rPr>
                <w:lang w:val="en-GB"/>
              </w:rPr>
              <w:t>Evaluator</w:t>
            </w:r>
          </w:p>
        </w:tc>
        <w:tc>
          <w:tcPr>
            <w:tcW w:w="5940" w:type="dxa"/>
          </w:tcPr>
          <w:p w14:paraId="3C0431DE" w14:textId="77777777" w:rsidR="00114819" w:rsidRPr="00283249" w:rsidRDefault="00114819" w:rsidP="00C51D6A">
            <w:pPr>
              <w:keepLines w:val="0"/>
              <w:tabs>
                <w:tab w:val="left" w:pos="4253"/>
              </w:tabs>
              <w:spacing w:before="0" w:after="60"/>
              <w:contextualSpacing/>
              <w:rPr>
                <w:lang w:val="en-GB"/>
              </w:rPr>
            </w:pPr>
          </w:p>
        </w:tc>
      </w:tr>
      <w:tr w:rsidR="00114819" w:rsidRPr="00283249" w14:paraId="7C0A09FA" w14:textId="77777777" w:rsidTr="00C51D6A">
        <w:tc>
          <w:tcPr>
            <w:tcW w:w="2700" w:type="dxa"/>
          </w:tcPr>
          <w:p w14:paraId="18BDB83E" w14:textId="77777777" w:rsidR="00114819" w:rsidRPr="00283249" w:rsidRDefault="00114819" w:rsidP="00C51D6A">
            <w:pPr>
              <w:keepLines w:val="0"/>
              <w:tabs>
                <w:tab w:val="left" w:pos="4253"/>
              </w:tabs>
              <w:spacing w:before="0" w:after="60"/>
              <w:contextualSpacing/>
              <w:rPr>
                <w:lang w:val="en-GB"/>
              </w:rPr>
            </w:pPr>
            <w:r w:rsidRPr="00283249">
              <w:rPr>
                <w:lang w:val="en-GB"/>
              </w:rPr>
              <w:t>Evaluator Organisation</w:t>
            </w:r>
          </w:p>
        </w:tc>
        <w:tc>
          <w:tcPr>
            <w:tcW w:w="5940" w:type="dxa"/>
          </w:tcPr>
          <w:p w14:paraId="4151D94C" w14:textId="77777777" w:rsidR="00114819" w:rsidRPr="00283249" w:rsidRDefault="00114819" w:rsidP="00C51D6A">
            <w:pPr>
              <w:keepLines w:val="0"/>
              <w:tabs>
                <w:tab w:val="left" w:pos="4253"/>
              </w:tabs>
              <w:spacing w:before="0" w:after="60"/>
              <w:contextualSpacing/>
              <w:rPr>
                <w:lang w:val="en-GB"/>
              </w:rPr>
            </w:pPr>
          </w:p>
        </w:tc>
      </w:tr>
      <w:tr w:rsidR="00114819" w:rsidRPr="00283249" w14:paraId="44E5E8CE" w14:textId="77777777" w:rsidTr="00C51D6A">
        <w:tc>
          <w:tcPr>
            <w:tcW w:w="2700" w:type="dxa"/>
          </w:tcPr>
          <w:p w14:paraId="282DC611" w14:textId="77777777" w:rsidR="00114819" w:rsidRPr="00283249" w:rsidRDefault="00114819" w:rsidP="00C51D6A">
            <w:pPr>
              <w:keepLines w:val="0"/>
              <w:tabs>
                <w:tab w:val="left" w:pos="4253"/>
              </w:tabs>
              <w:spacing w:before="0" w:after="60"/>
              <w:contextualSpacing/>
              <w:rPr>
                <w:lang w:val="en-GB"/>
              </w:rPr>
            </w:pPr>
            <w:r w:rsidRPr="00283249">
              <w:rPr>
                <w:lang w:val="en-GB"/>
              </w:rPr>
              <w:t>Reviewer (if relevant)</w:t>
            </w:r>
          </w:p>
        </w:tc>
        <w:tc>
          <w:tcPr>
            <w:tcW w:w="5940" w:type="dxa"/>
          </w:tcPr>
          <w:p w14:paraId="7F143298" w14:textId="77777777" w:rsidR="00114819" w:rsidRPr="00283249" w:rsidRDefault="00114819" w:rsidP="00C51D6A">
            <w:pPr>
              <w:keepLines w:val="0"/>
              <w:tabs>
                <w:tab w:val="left" w:pos="4253"/>
              </w:tabs>
              <w:spacing w:before="0" w:after="60"/>
              <w:contextualSpacing/>
              <w:rPr>
                <w:lang w:val="en-GB"/>
              </w:rPr>
            </w:pPr>
          </w:p>
        </w:tc>
      </w:tr>
      <w:tr w:rsidR="00114819" w:rsidRPr="00283249" w14:paraId="64034B64" w14:textId="77777777" w:rsidTr="00C51D6A">
        <w:tc>
          <w:tcPr>
            <w:tcW w:w="2700" w:type="dxa"/>
          </w:tcPr>
          <w:p w14:paraId="4320FCC7" w14:textId="77777777" w:rsidR="00114819" w:rsidRPr="00283249" w:rsidRDefault="00114819" w:rsidP="00C51D6A">
            <w:pPr>
              <w:keepLines w:val="0"/>
              <w:tabs>
                <w:tab w:val="left" w:pos="4253"/>
              </w:tabs>
              <w:spacing w:before="0" w:after="60"/>
              <w:contextualSpacing/>
              <w:rPr>
                <w:lang w:val="en-GB"/>
              </w:rPr>
            </w:pPr>
            <w:r w:rsidRPr="00283249">
              <w:rPr>
                <w:lang w:val="en-GB"/>
              </w:rPr>
              <w:t>Date evaluation completed</w:t>
            </w:r>
          </w:p>
        </w:tc>
        <w:tc>
          <w:tcPr>
            <w:tcW w:w="5940" w:type="dxa"/>
          </w:tcPr>
          <w:p w14:paraId="638E453E" w14:textId="77777777" w:rsidR="00114819" w:rsidRPr="00283249" w:rsidRDefault="00114819" w:rsidP="00C51D6A">
            <w:pPr>
              <w:keepLines w:val="0"/>
              <w:tabs>
                <w:tab w:val="left" w:pos="4253"/>
              </w:tabs>
              <w:spacing w:before="0" w:after="60"/>
              <w:contextualSpacing/>
              <w:rPr>
                <w:lang w:val="en-GB"/>
              </w:rPr>
            </w:pPr>
          </w:p>
        </w:tc>
      </w:tr>
      <w:tr w:rsidR="00114819" w:rsidRPr="00283249" w14:paraId="6D390A1A" w14:textId="77777777" w:rsidTr="00C51D6A">
        <w:tc>
          <w:tcPr>
            <w:tcW w:w="2700" w:type="dxa"/>
          </w:tcPr>
          <w:p w14:paraId="6D701C6F" w14:textId="77777777" w:rsidR="00114819" w:rsidRPr="00283249" w:rsidRDefault="00114819" w:rsidP="00C51D6A">
            <w:pPr>
              <w:keepLines w:val="0"/>
              <w:tabs>
                <w:tab w:val="left" w:pos="4253"/>
              </w:tabs>
              <w:spacing w:before="0" w:after="60"/>
              <w:contextualSpacing/>
              <w:rPr>
                <w:lang w:val="en-GB"/>
              </w:rPr>
            </w:pPr>
            <w:r w:rsidRPr="00283249">
              <w:rPr>
                <w:lang w:val="en-GB"/>
              </w:rPr>
              <w:t>Template version</w:t>
            </w:r>
          </w:p>
        </w:tc>
        <w:tc>
          <w:tcPr>
            <w:tcW w:w="5940" w:type="dxa"/>
          </w:tcPr>
          <w:p w14:paraId="00FFB7C1" w14:textId="77777777" w:rsidR="00114819" w:rsidRPr="00283249" w:rsidRDefault="00114819" w:rsidP="00C51D6A">
            <w:pPr>
              <w:keepLines w:val="0"/>
              <w:tabs>
                <w:tab w:val="left" w:pos="4253"/>
              </w:tabs>
              <w:spacing w:before="0" w:after="60"/>
              <w:contextualSpacing/>
              <w:rPr>
                <w:lang w:val="en-GB"/>
              </w:rPr>
            </w:pPr>
            <w:r w:rsidRPr="00283249">
              <w:rPr>
                <w:lang w:val="en-GB"/>
              </w:rPr>
              <w:t>V1.0</w:t>
            </w:r>
          </w:p>
        </w:tc>
      </w:tr>
    </w:tbl>
    <w:p w14:paraId="3376D7DB" w14:textId="77777777" w:rsidR="00114819" w:rsidRDefault="00114819" w:rsidP="000454A3"/>
    <w:p w14:paraId="3938CD7B" w14:textId="0A5E2FA1" w:rsidR="003148FC" w:rsidRDefault="000454A3" w:rsidP="001420E8">
      <w:pPr>
        <w:pStyle w:val="Heading1"/>
      </w:pPr>
      <w:bookmarkStart w:id="4" w:name="_Toc181715428"/>
      <w:r>
        <w:lastRenderedPageBreak/>
        <w:t>About this template</w:t>
      </w:r>
      <w:bookmarkEnd w:id="4"/>
    </w:p>
    <w:p w14:paraId="359D490E" w14:textId="11146F17" w:rsidR="000454A3" w:rsidRPr="000454A3" w:rsidRDefault="000454A3" w:rsidP="000454A3">
      <w:bookmarkStart w:id="5" w:name="_Hlk177726336"/>
      <w:r w:rsidRPr="000454A3">
        <w:t>The purpose of this Security independent evaluation scoping template is to provide a tool to be completed by the provider and agreed with the independent evaluator to define and agree the scope of the security evaluation. It was developed to support the evaluation of providers who intend to undertake accreditation under the Trust Framework as a provider of digital identity services.</w:t>
      </w:r>
    </w:p>
    <w:p w14:paraId="6E086E55" w14:textId="5C8343B1" w:rsidR="000454A3" w:rsidRPr="000454A3" w:rsidRDefault="000454A3" w:rsidP="000454A3">
      <w:r w:rsidRPr="000454A3">
        <w:t xml:space="preserve">The content of this scope will be signed by both the provider and independent evaluator. This document is one of </w:t>
      </w:r>
      <w:r w:rsidR="00095E9A">
        <w:t>two</w:t>
      </w:r>
      <w:r w:rsidRPr="000454A3">
        <w:t xml:space="preserve"> documents to support the security evaluation. The document is shown in context in the diagram below. </w:t>
      </w:r>
    </w:p>
    <w:p w14:paraId="72A2BD19" w14:textId="53D87D9A" w:rsidR="000454A3" w:rsidRPr="00095E9A" w:rsidRDefault="00095E9A" w:rsidP="000454A3">
      <w:r w:rsidRPr="00095E9A">
        <w:rPr>
          <w:noProof/>
        </w:rPr>
        <w:drawing>
          <wp:inline distT="0" distB="0" distL="0" distR="0" wp14:anchorId="4F3DCBFB" wp14:editId="06D8DC14">
            <wp:extent cx="5760085" cy="4164965"/>
            <wp:effectExtent l="0" t="0" r="0" b="0"/>
            <wp:docPr id="1008424097" name="Picture 1" descr="Title: Documents supporting the security evaluation &#10;1. Security independent evaluation scope template: Template to be completed by the provider and agreed with the independent security evaluator defining and agreeing the scope of the security evaluation.&#10;&#10;2. Security independent evaluation template: Template to be completed by the independent security evaluator to record the findings from their evaluation. Used by the provider to prepare for their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24097" name="Picture 1" descr="Title: Documents supporting the security evaluation &#10;1. Security independent evaluation scope template: Template to be completed by the provider and agreed with the independent security evaluator defining and agreeing the scope of the security evaluation.&#10;&#10;2. Security independent evaluation template: Template to be completed by the independent security evaluator to record the findings from their evaluation. Used by the provider to prepare for their evalu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4164965"/>
                    </a:xfrm>
                    <a:prstGeom prst="rect">
                      <a:avLst/>
                    </a:prstGeom>
                    <a:noFill/>
                    <a:ln>
                      <a:noFill/>
                    </a:ln>
                  </pic:spPr>
                </pic:pic>
              </a:graphicData>
            </a:graphic>
          </wp:inline>
        </w:drawing>
      </w:r>
      <w:r w:rsidR="000454A3" w:rsidRPr="000454A3">
        <w:t xml:space="preserve">The scope will be input to the </w:t>
      </w:r>
      <w:r w:rsidR="000454A3" w:rsidRPr="000454A3">
        <w:rPr>
          <w:b/>
          <w:bCs/>
        </w:rPr>
        <w:t>Security independent evaluation</w:t>
      </w:r>
      <w:r>
        <w:rPr>
          <w:b/>
          <w:bCs/>
        </w:rPr>
        <w:t xml:space="preserve"> </w:t>
      </w:r>
      <w:r>
        <w:t xml:space="preserve">and </w:t>
      </w:r>
      <w:r w:rsidRPr="00095E9A">
        <w:t xml:space="preserve">must be done </w:t>
      </w:r>
      <w:r>
        <w:t>prior to the start of the evaluation</w:t>
      </w:r>
      <w:r w:rsidR="000454A3" w:rsidRPr="00095E9A">
        <w:t>.</w:t>
      </w:r>
      <w:r>
        <w:t xml:space="preserve"> Any changes to the scope identified during the evaluation should subsequently be updated into th</w:t>
      </w:r>
      <w:r w:rsidR="00114819">
        <w:t xml:space="preserve">is </w:t>
      </w:r>
      <w:r>
        <w:t>scope document.</w:t>
      </w:r>
    </w:p>
    <w:p w14:paraId="683D6104" w14:textId="77777777" w:rsidR="000454A3" w:rsidRPr="000454A3" w:rsidRDefault="000454A3" w:rsidP="000454A3">
      <w:pPr>
        <w:pStyle w:val="Heading2"/>
      </w:pPr>
      <w:bookmarkStart w:id="6" w:name="_Toc181715429"/>
      <w:bookmarkEnd w:id="5"/>
      <w:r w:rsidRPr="000454A3">
        <w:t>Purpose</w:t>
      </w:r>
      <w:bookmarkEnd w:id="6"/>
    </w:p>
    <w:p w14:paraId="15BFB6E4" w14:textId="77777777" w:rsidR="000454A3" w:rsidRPr="000454A3" w:rsidRDefault="000454A3" w:rsidP="000454A3">
      <w:r w:rsidRPr="000454A3">
        <w:t>The purpose of this document is to define and agree the scope of the security evaluation between the provider and the independent evaluator. This is to support the evaluation of providers who intend to undertake accreditation under the Trust Framework as a provider of digital identity services.</w:t>
      </w:r>
    </w:p>
    <w:p w14:paraId="76D7F389" w14:textId="77777777" w:rsidR="000454A3" w:rsidRPr="000454A3" w:rsidRDefault="000454A3" w:rsidP="000454A3">
      <w:pPr>
        <w:pStyle w:val="Heading2"/>
      </w:pPr>
      <w:bookmarkStart w:id="7" w:name="_Toc181715430"/>
      <w:r w:rsidRPr="000454A3">
        <w:lastRenderedPageBreak/>
        <w:t>Service overview</w:t>
      </w:r>
      <w:bookmarkEnd w:id="7"/>
    </w:p>
    <w:p w14:paraId="55A6BD23" w14:textId="77777777" w:rsidR="000454A3" w:rsidRPr="000454A3" w:rsidRDefault="000454A3" w:rsidP="000454A3">
      <w:pPr>
        <w:rPr>
          <w:color w:val="0070C0"/>
        </w:rPr>
      </w:pPr>
      <w:r w:rsidRPr="000454A3">
        <w:rPr>
          <w:color w:val="0070C0"/>
        </w:rPr>
        <w:t xml:space="preserve">Provide an overview of the service in scope including a high-level diagram of the service and the key components considered in scope. </w:t>
      </w:r>
    </w:p>
    <w:p w14:paraId="78B2D6FB" w14:textId="77777777" w:rsidR="000454A3" w:rsidRPr="000454A3" w:rsidRDefault="000454A3" w:rsidP="000454A3">
      <w:pPr>
        <w:pStyle w:val="Heading2"/>
      </w:pPr>
      <w:bookmarkStart w:id="8" w:name="_Toc181715431"/>
      <w:r w:rsidRPr="000454A3">
        <w:t>Scope</w:t>
      </w:r>
      <w:bookmarkEnd w:id="8"/>
    </w:p>
    <w:p w14:paraId="7FEE5144" w14:textId="003B5505" w:rsidR="000454A3" w:rsidRPr="000454A3" w:rsidRDefault="000454A3" w:rsidP="000454A3">
      <w:pPr>
        <w:rPr>
          <w:color w:val="0070C0"/>
        </w:rPr>
      </w:pPr>
      <w:r w:rsidRPr="000454A3">
        <w:t xml:space="preserve">The following digital identity services are in scope for this evaluation: </w:t>
      </w:r>
      <w:r w:rsidRPr="000454A3">
        <w:rPr>
          <w:color w:val="0070C0"/>
        </w:rPr>
        <w:t>Remove any services not in scope</w:t>
      </w:r>
    </w:p>
    <w:p w14:paraId="74B0A818" w14:textId="77777777" w:rsidR="000454A3" w:rsidRPr="000454A3" w:rsidRDefault="000454A3" w:rsidP="000454A3">
      <w:pPr>
        <w:numPr>
          <w:ilvl w:val="0"/>
          <w:numId w:val="45"/>
        </w:numPr>
      </w:pPr>
      <w:r w:rsidRPr="000454A3">
        <w:t>Information service</w:t>
      </w:r>
    </w:p>
    <w:p w14:paraId="382D8D71" w14:textId="77777777" w:rsidR="000454A3" w:rsidRPr="000454A3" w:rsidRDefault="000454A3" w:rsidP="000454A3">
      <w:pPr>
        <w:numPr>
          <w:ilvl w:val="0"/>
          <w:numId w:val="45"/>
        </w:numPr>
      </w:pPr>
      <w:r w:rsidRPr="000454A3">
        <w:t>Binding service</w:t>
      </w:r>
    </w:p>
    <w:p w14:paraId="4697F11B" w14:textId="77777777" w:rsidR="000454A3" w:rsidRPr="000454A3" w:rsidRDefault="000454A3" w:rsidP="000454A3">
      <w:pPr>
        <w:numPr>
          <w:ilvl w:val="0"/>
          <w:numId w:val="45"/>
        </w:numPr>
      </w:pPr>
      <w:r w:rsidRPr="000454A3">
        <w:t>Credential service</w:t>
      </w:r>
    </w:p>
    <w:p w14:paraId="4E097678" w14:textId="77777777" w:rsidR="000454A3" w:rsidRPr="000454A3" w:rsidRDefault="000454A3" w:rsidP="000454A3">
      <w:pPr>
        <w:numPr>
          <w:ilvl w:val="0"/>
          <w:numId w:val="45"/>
        </w:numPr>
      </w:pPr>
      <w:r w:rsidRPr="000454A3">
        <w:t>Authentication service</w:t>
      </w:r>
    </w:p>
    <w:p w14:paraId="5C12B561" w14:textId="77777777" w:rsidR="000454A3" w:rsidRPr="000454A3" w:rsidRDefault="000454A3" w:rsidP="000454A3">
      <w:pPr>
        <w:numPr>
          <w:ilvl w:val="0"/>
          <w:numId w:val="45"/>
        </w:numPr>
      </w:pPr>
      <w:r w:rsidRPr="000454A3">
        <w:t>Facilitation service</w:t>
      </w:r>
    </w:p>
    <w:p w14:paraId="54C537A2" w14:textId="77777777" w:rsidR="000454A3" w:rsidRPr="000454A3" w:rsidRDefault="000454A3" w:rsidP="000454A3">
      <w:r w:rsidRPr="000454A3">
        <w:t>The following technical components are in scope of the evaluation:</w:t>
      </w:r>
    </w:p>
    <w:p w14:paraId="2CF4232F" w14:textId="77777777" w:rsidR="000454A3" w:rsidRPr="000454A3" w:rsidRDefault="000454A3" w:rsidP="000454A3">
      <w:pPr>
        <w:numPr>
          <w:ilvl w:val="0"/>
          <w:numId w:val="46"/>
        </w:numPr>
      </w:pPr>
      <w:r w:rsidRPr="000454A3">
        <w:t>[list]</w:t>
      </w:r>
    </w:p>
    <w:p w14:paraId="2CF69A0B" w14:textId="77777777" w:rsidR="000454A3" w:rsidRPr="000454A3" w:rsidRDefault="000454A3" w:rsidP="000454A3">
      <w:r w:rsidRPr="000454A3">
        <w:t>The following supporting services are in scope:</w:t>
      </w:r>
    </w:p>
    <w:p w14:paraId="0B8054EB" w14:textId="77777777" w:rsidR="000454A3" w:rsidRPr="000454A3" w:rsidRDefault="000454A3" w:rsidP="000454A3">
      <w:pPr>
        <w:numPr>
          <w:ilvl w:val="0"/>
          <w:numId w:val="47"/>
        </w:numPr>
      </w:pPr>
      <w:r w:rsidRPr="000454A3">
        <w:t>[list]</w:t>
      </w:r>
    </w:p>
    <w:p w14:paraId="55466255" w14:textId="77777777" w:rsidR="000454A3" w:rsidRPr="000454A3" w:rsidRDefault="000454A3" w:rsidP="000454A3">
      <w:r w:rsidRPr="000454A3">
        <w:t>The service is hosted in the following location(s):</w:t>
      </w:r>
    </w:p>
    <w:p w14:paraId="0837421B" w14:textId="77777777" w:rsidR="000454A3" w:rsidRPr="000454A3" w:rsidRDefault="000454A3" w:rsidP="000454A3">
      <w:pPr>
        <w:numPr>
          <w:ilvl w:val="0"/>
          <w:numId w:val="48"/>
        </w:numPr>
      </w:pPr>
      <w:r w:rsidRPr="000454A3">
        <w:t>[list]</w:t>
      </w:r>
    </w:p>
    <w:p w14:paraId="4AEFB683" w14:textId="77777777" w:rsidR="000454A3" w:rsidRPr="000454A3" w:rsidRDefault="000454A3" w:rsidP="000454A3">
      <w:r w:rsidRPr="000454A3">
        <w:t>The following portals are in scope:</w:t>
      </w:r>
    </w:p>
    <w:p w14:paraId="69399BF9" w14:textId="77777777" w:rsidR="000454A3" w:rsidRPr="000454A3" w:rsidRDefault="000454A3" w:rsidP="000454A3">
      <w:pPr>
        <w:numPr>
          <w:ilvl w:val="0"/>
          <w:numId w:val="48"/>
        </w:numPr>
      </w:pPr>
      <w:r w:rsidRPr="000454A3">
        <w:t>[list]</w:t>
      </w:r>
    </w:p>
    <w:p w14:paraId="62219E3C" w14:textId="77777777" w:rsidR="000454A3" w:rsidRPr="000454A3" w:rsidRDefault="000454A3" w:rsidP="000454A3">
      <w:pPr>
        <w:pStyle w:val="Heading2"/>
      </w:pPr>
      <w:bookmarkStart w:id="9" w:name="_Toc181715432"/>
      <w:r w:rsidRPr="000454A3">
        <w:t>Out of scope</w:t>
      </w:r>
      <w:bookmarkEnd w:id="9"/>
    </w:p>
    <w:p w14:paraId="3EC04A86" w14:textId="77777777" w:rsidR="000454A3" w:rsidRPr="00283249" w:rsidRDefault="000454A3" w:rsidP="000454A3">
      <w:pPr>
        <w:rPr>
          <w:lang w:val="en-GB"/>
        </w:rPr>
      </w:pPr>
      <w:r w:rsidRPr="000454A3">
        <w:t xml:space="preserve">The following are out of scope of the evaluation. Where a component is out of scope, a </w:t>
      </w:r>
      <w:r w:rsidRPr="00283249">
        <w:rPr>
          <w:lang w:val="en-GB"/>
        </w:rPr>
        <w:t>justification has been provided.</w:t>
      </w:r>
    </w:p>
    <w:tbl>
      <w:tblPr>
        <w:tblStyle w:val="TableGrid"/>
        <w:tblW w:w="5000" w:type="pct"/>
        <w:tblLook w:val="04A0" w:firstRow="1" w:lastRow="0" w:firstColumn="1" w:lastColumn="0" w:noHBand="0" w:noVBand="1"/>
      </w:tblPr>
      <w:tblGrid>
        <w:gridCol w:w="2262"/>
        <w:gridCol w:w="6799"/>
      </w:tblGrid>
      <w:tr w:rsidR="000454A3" w:rsidRPr="000454A3" w14:paraId="30857D98" w14:textId="77777777" w:rsidTr="000454A3">
        <w:trPr>
          <w:cantSplit/>
          <w:tblHeader/>
        </w:trPr>
        <w:tc>
          <w:tcPr>
            <w:tcW w:w="1248" w:type="pct"/>
            <w:tcBorders>
              <w:top w:val="single" w:sz="4" w:space="0" w:color="auto"/>
              <w:left w:val="single" w:sz="4" w:space="0" w:color="auto"/>
              <w:bottom w:val="single" w:sz="4" w:space="0" w:color="auto"/>
              <w:right w:val="single" w:sz="4" w:space="0" w:color="auto"/>
            </w:tcBorders>
            <w:shd w:val="clear" w:color="auto" w:fill="1F546B"/>
            <w:hideMark/>
          </w:tcPr>
          <w:p w14:paraId="45C98171" w14:textId="77777777" w:rsidR="000454A3" w:rsidRPr="000454A3" w:rsidRDefault="000454A3" w:rsidP="000454A3">
            <w:pPr>
              <w:rPr>
                <w:b/>
                <w:color w:val="FFFFFF" w:themeColor="background1"/>
              </w:rPr>
            </w:pPr>
            <w:r w:rsidRPr="000454A3">
              <w:rPr>
                <w:b/>
                <w:color w:val="FFFFFF" w:themeColor="background1"/>
              </w:rPr>
              <w:lastRenderedPageBreak/>
              <w:t>Component</w:t>
            </w:r>
          </w:p>
        </w:tc>
        <w:tc>
          <w:tcPr>
            <w:tcW w:w="3752" w:type="pct"/>
            <w:tcBorders>
              <w:top w:val="single" w:sz="4" w:space="0" w:color="auto"/>
              <w:left w:val="single" w:sz="4" w:space="0" w:color="auto"/>
              <w:bottom w:val="single" w:sz="4" w:space="0" w:color="auto"/>
              <w:right w:val="single" w:sz="4" w:space="0" w:color="auto"/>
            </w:tcBorders>
            <w:shd w:val="clear" w:color="auto" w:fill="1F546B"/>
            <w:hideMark/>
          </w:tcPr>
          <w:p w14:paraId="5E77AF1B" w14:textId="77777777" w:rsidR="000454A3" w:rsidRPr="000454A3" w:rsidRDefault="000454A3" w:rsidP="000454A3">
            <w:pPr>
              <w:rPr>
                <w:b/>
                <w:color w:val="FFFFFF" w:themeColor="background1"/>
              </w:rPr>
            </w:pPr>
            <w:r w:rsidRPr="000454A3">
              <w:rPr>
                <w:b/>
                <w:color w:val="FFFFFF" w:themeColor="background1"/>
              </w:rPr>
              <w:t>Justification</w:t>
            </w:r>
          </w:p>
        </w:tc>
      </w:tr>
      <w:tr w:rsidR="000454A3" w:rsidRPr="000454A3" w14:paraId="2188F43A" w14:textId="77777777" w:rsidTr="000454A3">
        <w:trPr>
          <w:cantSplit/>
        </w:trPr>
        <w:tc>
          <w:tcPr>
            <w:tcW w:w="1248" w:type="pct"/>
            <w:tcBorders>
              <w:top w:val="single" w:sz="4" w:space="0" w:color="auto"/>
              <w:left w:val="single" w:sz="4" w:space="0" w:color="auto"/>
              <w:bottom w:val="single" w:sz="4" w:space="0" w:color="auto"/>
              <w:right w:val="single" w:sz="4" w:space="0" w:color="auto"/>
            </w:tcBorders>
          </w:tcPr>
          <w:p w14:paraId="0C300172" w14:textId="77777777" w:rsidR="000454A3" w:rsidRPr="00283249" w:rsidRDefault="000454A3" w:rsidP="00283249">
            <w:pPr>
              <w:keepLines w:val="0"/>
              <w:tabs>
                <w:tab w:val="left" w:pos="4253"/>
              </w:tabs>
              <w:spacing w:before="0" w:after="60" w:line="240" w:lineRule="auto"/>
              <w:contextualSpacing/>
              <w:rPr>
                <w:lang w:val="en-GB"/>
              </w:rPr>
            </w:pPr>
          </w:p>
        </w:tc>
        <w:tc>
          <w:tcPr>
            <w:tcW w:w="3752" w:type="pct"/>
            <w:tcBorders>
              <w:top w:val="single" w:sz="4" w:space="0" w:color="auto"/>
              <w:left w:val="single" w:sz="4" w:space="0" w:color="auto"/>
              <w:bottom w:val="single" w:sz="4" w:space="0" w:color="auto"/>
              <w:right w:val="single" w:sz="4" w:space="0" w:color="auto"/>
            </w:tcBorders>
          </w:tcPr>
          <w:p w14:paraId="28B421FF" w14:textId="77777777" w:rsidR="000454A3" w:rsidRPr="00283249" w:rsidRDefault="000454A3" w:rsidP="00283249">
            <w:pPr>
              <w:keepLines w:val="0"/>
              <w:tabs>
                <w:tab w:val="left" w:pos="4253"/>
              </w:tabs>
              <w:spacing w:before="0" w:after="60" w:line="240" w:lineRule="auto"/>
              <w:contextualSpacing/>
              <w:rPr>
                <w:lang w:val="en-GB"/>
              </w:rPr>
            </w:pPr>
          </w:p>
        </w:tc>
      </w:tr>
      <w:tr w:rsidR="000454A3" w:rsidRPr="000454A3" w14:paraId="0C7A3AA7" w14:textId="77777777" w:rsidTr="000454A3">
        <w:trPr>
          <w:cantSplit/>
        </w:trPr>
        <w:tc>
          <w:tcPr>
            <w:tcW w:w="1248" w:type="pct"/>
            <w:tcBorders>
              <w:top w:val="single" w:sz="4" w:space="0" w:color="auto"/>
              <w:left w:val="single" w:sz="4" w:space="0" w:color="auto"/>
              <w:bottom w:val="single" w:sz="4" w:space="0" w:color="auto"/>
              <w:right w:val="single" w:sz="4" w:space="0" w:color="auto"/>
            </w:tcBorders>
          </w:tcPr>
          <w:p w14:paraId="1E0E1E94" w14:textId="77777777" w:rsidR="000454A3" w:rsidRPr="00283249" w:rsidRDefault="000454A3" w:rsidP="00283249">
            <w:pPr>
              <w:keepLines w:val="0"/>
              <w:tabs>
                <w:tab w:val="left" w:pos="4253"/>
              </w:tabs>
              <w:spacing w:before="0" w:after="60" w:line="240" w:lineRule="auto"/>
              <w:contextualSpacing/>
              <w:rPr>
                <w:lang w:val="en-GB"/>
              </w:rPr>
            </w:pPr>
          </w:p>
        </w:tc>
        <w:tc>
          <w:tcPr>
            <w:tcW w:w="3752" w:type="pct"/>
            <w:tcBorders>
              <w:top w:val="single" w:sz="4" w:space="0" w:color="auto"/>
              <w:left w:val="single" w:sz="4" w:space="0" w:color="auto"/>
              <w:bottom w:val="single" w:sz="4" w:space="0" w:color="auto"/>
              <w:right w:val="single" w:sz="4" w:space="0" w:color="auto"/>
            </w:tcBorders>
          </w:tcPr>
          <w:p w14:paraId="1EB7CE83" w14:textId="44E6D16F" w:rsidR="00A63B8A" w:rsidRPr="00283249" w:rsidRDefault="00A63B8A" w:rsidP="00283249">
            <w:pPr>
              <w:keepLines w:val="0"/>
              <w:tabs>
                <w:tab w:val="left" w:pos="1410"/>
                <w:tab w:val="left" w:pos="4253"/>
              </w:tabs>
              <w:spacing w:before="0" w:after="60"/>
              <w:contextualSpacing/>
              <w:rPr>
                <w:lang w:val="en-GB"/>
              </w:rPr>
            </w:pPr>
          </w:p>
        </w:tc>
      </w:tr>
      <w:tr w:rsidR="000454A3" w:rsidRPr="000454A3" w14:paraId="7F39851B" w14:textId="77777777" w:rsidTr="000454A3">
        <w:trPr>
          <w:cantSplit/>
        </w:trPr>
        <w:tc>
          <w:tcPr>
            <w:tcW w:w="1248" w:type="pct"/>
            <w:tcBorders>
              <w:top w:val="single" w:sz="4" w:space="0" w:color="auto"/>
              <w:left w:val="single" w:sz="4" w:space="0" w:color="auto"/>
              <w:bottom w:val="single" w:sz="4" w:space="0" w:color="auto"/>
              <w:right w:val="single" w:sz="4" w:space="0" w:color="auto"/>
            </w:tcBorders>
          </w:tcPr>
          <w:p w14:paraId="4828E1F3" w14:textId="77777777" w:rsidR="000454A3" w:rsidRPr="00283249" w:rsidRDefault="000454A3" w:rsidP="00283249">
            <w:pPr>
              <w:keepLines w:val="0"/>
              <w:tabs>
                <w:tab w:val="left" w:pos="4253"/>
              </w:tabs>
              <w:spacing w:before="0" w:after="60" w:line="240" w:lineRule="auto"/>
              <w:contextualSpacing/>
              <w:rPr>
                <w:lang w:val="en-GB"/>
              </w:rPr>
            </w:pPr>
          </w:p>
        </w:tc>
        <w:tc>
          <w:tcPr>
            <w:tcW w:w="3752" w:type="pct"/>
            <w:tcBorders>
              <w:top w:val="single" w:sz="4" w:space="0" w:color="auto"/>
              <w:left w:val="single" w:sz="4" w:space="0" w:color="auto"/>
              <w:bottom w:val="single" w:sz="4" w:space="0" w:color="auto"/>
              <w:right w:val="single" w:sz="4" w:space="0" w:color="auto"/>
            </w:tcBorders>
          </w:tcPr>
          <w:p w14:paraId="6370F37A" w14:textId="77777777" w:rsidR="00A63B8A" w:rsidRPr="00283249" w:rsidRDefault="00A63B8A" w:rsidP="00283249">
            <w:pPr>
              <w:keepLines w:val="0"/>
              <w:tabs>
                <w:tab w:val="left" w:pos="4253"/>
              </w:tabs>
              <w:spacing w:before="0" w:after="60"/>
              <w:contextualSpacing/>
              <w:rPr>
                <w:lang w:val="en-GB"/>
              </w:rPr>
            </w:pPr>
          </w:p>
        </w:tc>
      </w:tr>
    </w:tbl>
    <w:p w14:paraId="028E22EB" w14:textId="6012FEEA" w:rsidR="00BB5FDC" w:rsidRPr="00BB5FDC" w:rsidRDefault="00BB5FDC" w:rsidP="00A63B8A">
      <w:pPr>
        <w:pStyle w:val="Heading2"/>
      </w:pPr>
      <w:bookmarkStart w:id="10" w:name="_Toc181715433"/>
      <w:r w:rsidRPr="00BB5FDC">
        <w:t>Previously conducted independent evaluations</w:t>
      </w:r>
      <w:bookmarkEnd w:id="10"/>
    </w:p>
    <w:p w14:paraId="21DE3FD4" w14:textId="553FB037" w:rsidR="00BB5FDC" w:rsidRPr="00BB5FDC" w:rsidRDefault="00BB5FDC" w:rsidP="00BB5FDC">
      <w:r w:rsidRPr="00BB5FDC">
        <w:t xml:space="preserve">The following list highlights any previously conducted independent evaluations that have been conducted on the service that may be relied upon during this evaluation, when that was conducted, and the scope of that evaluation. This may include, for example, ISO27001 audit or penetration testing. </w:t>
      </w:r>
    </w:p>
    <w:p w14:paraId="6643732B" w14:textId="5990C9A5" w:rsidR="00BB5FDC" w:rsidRPr="00BB5FDC" w:rsidRDefault="00BB5FDC" w:rsidP="00BB5FDC">
      <w:r w:rsidRPr="00BB5FDC">
        <w:t>The following should be noted regarding the use of previously</w:t>
      </w:r>
      <w:r>
        <w:t xml:space="preserve"> </w:t>
      </w:r>
      <w:r w:rsidRPr="00BB5FDC">
        <w:t>conducted independent evaluations:</w:t>
      </w:r>
    </w:p>
    <w:p w14:paraId="44A63095" w14:textId="77777777" w:rsidR="00BB5FDC" w:rsidRPr="00BB5FDC" w:rsidRDefault="00BB5FDC" w:rsidP="00BB5FDC">
      <w:pPr>
        <w:numPr>
          <w:ilvl w:val="0"/>
          <w:numId w:val="49"/>
        </w:numPr>
      </w:pPr>
      <w:r w:rsidRPr="00BB5FDC">
        <w:t>The evaluation must have taken place in the last 12 months.</w:t>
      </w:r>
    </w:p>
    <w:p w14:paraId="36A2968D" w14:textId="77777777" w:rsidR="00BB5FDC" w:rsidRPr="00BB5FDC" w:rsidRDefault="00BB5FDC" w:rsidP="00BB5FDC">
      <w:pPr>
        <w:numPr>
          <w:ilvl w:val="0"/>
          <w:numId w:val="49"/>
        </w:numPr>
      </w:pPr>
      <w:r w:rsidRPr="00BB5FDC">
        <w:t>The scope of the previous evaluation must be made available to the evaluator.</w:t>
      </w:r>
    </w:p>
    <w:p w14:paraId="16767192" w14:textId="57F67229" w:rsidR="00BB5FDC" w:rsidRPr="00BB5FDC" w:rsidRDefault="00BB5FDC" w:rsidP="00BB5FDC">
      <w:pPr>
        <w:numPr>
          <w:ilvl w:val="0"/>
          <w:numId w:val="49"/>
        </w:numPr>
      </w:pPr>
      <w:r w:rsidRPr="00BB5FDC">
        <w:t>The scope of the previous evaluation must be consistent with the scope of this evaluation</w:t>
      </w:r>
      <w:r w:rsidR="00DE60DE">
        <w:t>.</w:t>
      </w:r>
    </w:p>
    <w:p w14:paraId="58EFB96A" w14:textId="77777777" w:rsidR="00BB5FDC" w:rsidRPr="00BB5FDC" w:rsidRDefault="00BB5FDC" w:rsidP="00BB5FDC">
      <w:pPr>
        <w:numPr>
          <w:ilvl w:val="0"/>
          <w:numId w:val="49"/>
        </w:numPr>
      </w:pPr>
      <w:r w:rsidRPr="00BB5FDC">
        <w:t>The independent evaluator makes the decision on whether the previous evaluation can contribute towards this evaluation.</w:t>
      </w:r>
    </w:p>
    <w:p w14:paraId="7FA90D5E" w14:textId="77777777" w:rsidR="00BB5FDC" w:rsidRPr="00BB5FDC" w:rsidRDefault="00BB5FDC" w:rsidP="00BB5FDC">
      <w:pPr>
        <w:numPr>
          <w:ilvl w:val="0"/>
          <w:numId w:val="49"/>
        </w:numPr>
      </w:pPr>
      <w:r w:rsidRPr="00BB5FDC">
        <w:t>The evaluator may still wish to ask questions relating to a previous evaluation e.g. for an audit of compliance with ISO27001, the evaluator may want to see the policies evaluated.</w:t>
      </w:r>
    </w:p>
    <w:p w14:paraId="1372C4A4" w14:textId="77777777" w:rsidR="00BB5FDC" w:rsidRPr="00BB5FDC" w:rsidRDefault="00BB5FDC" w:rsidP="00BB5FDC">
      <w:pPr>
        <w:numPr>
          <w:ilvl w:val="0"/>
          <w:numId w:val="49"/>
        </w:numPr>
      </w:pPr>
      <w:r w:rsidRPr="00BB5FDC">
        <w:t>If the applicant identifies other evaluations they want to be included later, this requires an update to the scope (and may require additional cost).</w:t>
      </w:r>
    </w:p>
    <w:tbl>
      <w:tblPr>
        <w:tblStyle w:val="TableGrid"/>
        <w:tblW w:w="5000" w:type="pct"/>
        <w:tblLook w:val="04A0" w:firstRow="1" w:lastRow="0" w:firstColumn="1" w:lastColumn="0" w:noHBand="0" w:noVBand="1"/>
      </w:tblPr>
      <w:tblGrid>
        <w:gridCol w:w="3595"/>
        <w:gridCol w:w="2070"/>
        <w:gridCol w:w="3396"/>
      </w:tblGrid>
      <w:tr w:rsidR="00BB5FDC" w:rsidRPr="00BB5FDC" w14:paraId="0429E437" w14:textId="77777777" w:rsidTr="00BB5FDC">
        <w:trPr>
          <w:cantSplit/>
          <w:tblHeader/>
        </w:trPr>
        <w:tc>
          <w:tcPr>
            <w:tcW w:w="1984" w:type="pct"/>
            <w:tcBorders>
              <w:top w:val="single" w:sz="4" w:space="0" w:color="auto"/>
              <w:left w:val="single" w:sz="4" w:space="0" w:color="auto"/>
              <w:bottom w:val="single" w:sz="4" w:space="0" w:color="auto"/>
              <w:right w:val="single" w:sz="4" w:space="0" w:color="auto"/>
            </w:tcBorders>
            <w:shd w:val="clear" w:color="auto" w:fill="1F546B"/>
            <w:hideMark/>
          </w:tcPr>
          <w:p w14:paraId="6388672B" w14:textId="77777777" w:rsidR="00BB5FDC" w:rsidRPr="00BB5FDC" w:rsidRDefault="00BB5FDC" w:rsidP="00BB5FDC">
            <w:pPr>
              <w:rPr>
                <w:b/>
                <w:color w:val="FFFFFF" w:themeColor="background1"/>
              </w:rPr>
            </w:pPr>
            <w:r w:rsidRPr="00BB5FDC">
              <w:rPr>
                <w:b/>
                <w:color w:val="FFFFFF" w:themeColor="background1"/>
              </w:rPr>
              <w:t>Previously conducted evaluation</w:t>
            </w:r>
          </w:p>
        </w:tc>
        <w:tc>
          <w:tcPr>
            <w:tcW w:w="1142" w:type="pct"/>
            <w:tcBorders>
              <w:top w:val="single" w:sz="4" w:space="0" w:color="auto"/>
              <w:left w:val="single" w:sz="4" w:space="0" w:color="auto"/>
              <w:bottom w:val="single" w:sz="4" w:space="0" w:color="auto"/>
              <w:right w:val="single" w:sz="4" w:space="0" w:color="auto"/>
            </w:tcBorders>
            <w:shd w:val="clear" w:color="auto" w:fill="1F546B"/>
            <w:hideMark/>
          </w:tcPr>
          <w:p w14:paraId="02EAB75D" w14:textId="77777777" w:rsidR="00BB5FDC" w:rsidRPr="00BB5FDC" w:rsidRDefault="00BB5FDC" w:rsidP="00BB5FDC">
            <w:pPr>
              <w:rPr>
                <w:b/>
                <w:color w:val="FFFFFF" w:themeColor="background1"/>
              </w:rPr>
            </w:pPr>
            <w:r w:rsidRPr="00BB5FDC">
              <w:rPr>
                <w:b/>
                <w:color w:val="FFFFFF" w:themeColor="background1"/>
              </w:rPr>
              <w:t>When conducted</w:t>
            </w:r>
          </w:p>
        </w:tc>
        <w:tc>
          <w:tcPr>
            <w:tcW w:w="1874" w:type="pct"/>
            <w:tcBorders>
              <w:top w:val="single" w:sz="4" w:space="0" w:color="auto"/>
              <w:left w:val="single" w:sz="4" w:space="0" w:color="auto"/>
              <w:bottom w:val="single" w:sz="4" w:space="0" w:color="auto"/>
              <w:right w:val="single" w:sz="4" w:space="0" w:color="auto"/>
            </w:tcBorders>
            <w:shd w:val="clear" w:color="auto" w:fill="1F546B"/>
            <w:hideMark/>
          </w:tcPr>
          <w:p w14:paraId="01891CFE" w14:textId="77777777" w:rsidR="00BB5FDC" w:rsidRPr="00BB5FDC" w:rsidRDefault="00BB5FDC" w:rsidP="00BB5FDC">
            <w:pPr>
              <w:rPr>
                <w:b/>
                <w:color w:val="FFFFFF" w:themeColor="background1"/>
              </w:rPr>
            </w:pPr>
            <w:r w:rsidRPr="00BB5FDC">
              <w:rPr>
                <w:b/>
                <w:color w:val="FFFFFF" w:themeColor="background1"/>
              </w:rPr>
              <w:t>Scope</w:t>
            </w:r>
          </w:p>
        </w:tc>
      </w:tr>
      <w:tr w:rsidR="00BB5FDC" w:rsidRPr="00BB5FDC" w14:paraId="3541C53B" w14:textId="77777777" w:rsidTr="00BB5FDC">
        <w:trPr>
          <w:cantSplit/>
          <w:trHeight w:val="525"/>
        </w:trPr>
        <w:tc>
          <w:tcPr>
            <w:tcW w:w="1984" w:type="pct"/>
            <w:tcBorders>
              <w:top w:val="single" w:sz="4" w:space="0" w:color="auto"/>
              <w:left w:val="single" w:sz="4" w:space="0" w:color="auto"/>
              <w:bottom w:val="single" w:sz="4" w:space="0" w:color="auto"/>
              <w:right w:val="single" w:sz="4" w:space="0" w:color="auto"/>
            </w:tcBorders>
          </w:tcPr>
          <w:p w14:paraId="5624D556" w14:textId="196A878F" w:rsidR="00BB5FDC" w:rsidRPr="00283249" w:rsidRDefault="00BB5FDC" w:rsidP="00283249">
            <w:pPr>
              <w:keepLines w:val="0"/>
              <w:tabs>
                <w:tab w:val="left" w:pos="4253"/>
              </w:tabs>
              <w:spacing w:before="0" w:after="60" w:line="240" w:lineRule="auto"/>
              <w:contextualSpacing/>
              <w:rPr>
                <w:lang w:val="en-GB"/>
              </w:rPr>
            </w:pPr>
          </w:p>
        </w:tc>
        <w:tc>
          <w:tcPr>
            <w:tcW w:w="1142" w:type="pct"/>
            <w:tcBorders>
              <w:top w:val="single" w:sz="4" w:space="0" w:color="auto"/>
              <w:left w:val="single" w:sz="4" w:space="0" w:color="auto"/>
              <w:bottom w:val="single" w:sz="4" w:space="0" w:color="auto"/>
              <w:right w:val="single" w:sz="4" w:space="0" w:color="auto"/>
            </w:tcBorders>
          </w:tcPr>
          <w:p w14:paraId="5E191645" w14:textId="77777777" w:rsidR="00BB5FDC" w:rsidRPr="00283249" w:rsidRDefault="00BB5FDC" w:rsidP="00283249">
            <w:pPr>
              <w:keepLines w:val="0"/>
              <w:tabs>
                <w:tab w:val="left" w:pos="4253"/>
              </w:tabs>
              <w:spacing w:before="0" w:after="60" w:line="240" w:lineRule="auto"/>
              <w:contextualSpacing/>
              <w:rPr>
                <w:lang w:val="en-GB"/>
              </w:rPr>
            </w:pPr>
          </w:p>
        </w:tc>
        <w:tc>
          <w:tcPr>
            <w:tcW w:w="1874" w:type="pct"/>
            <w:tcBorders>
              <w:top w:val="single" w:sz="4" w:space="0" w:color="auto"/>
              <w:left w:val="single" w:sz="4" w:space="0" w:color="auto"/>
              <w:bottom w:val="single" w:sz="4" w:space="0" w:color="auto"/>
              <w:right w:val="single" w:sz="4" w:space="0" w:color="auto"/>
            </w:tcBorders>
          </w:tcPr>
          <w:p w14:paraId="037832CE" w14:textId="77777777" w:rsidR="00BB5FDC" w:rsidRPr="00283249" w:rsidRDefault="00BB5FDC" w:rsidP="00283249">
            <w:pPr>
              <w:keepLines w:val="0"/>
              <w:tabs>
                <w:tab w:val="left" w:pos="4253"/>
              </w:tabs>
              <w:spacing w:before="0" w:after="60" w:line="240" w:lineRule="auto"/>
              <w:contextualSpacing/>
              <w:rPr>
                <w:lang w:val="en-GB"/>
              </w:rPr>
            </w:pPr>
          </w:p>
        </w:tc>
      </w:tr>
      <w:tr w:rsidR="00BB5FDC" w:rsidRPr="00BB5FDC" w14:paraId="548758EC" w14:textId="77777777" w:rsidTr="00BB5FDC">
        <w:trPr>
          <w:cantSplit/>
          <w:trHeight w:val="741"/>
        </w:trPr>
        <w:tc>
          <w:tcPr>
            <w:tcW w:w="1984" w:type="pct"/>
            <w:tcBorders>
              <w:top w:val="single" w:sz="4" w:space="0" w:color="auto"/>
              <w:left w:val="single" w:sz="4" w:space="0" w:color="auto"/>
              <w:bottom w:val="single" w:sz="4" w:space="0" w:color="auto"/>
              <w:right w:val="single" w:sz="4" w:space="0" w:color="auto"/>
            </w:tcBorders>
          </w:tcPr>
          <w:p w14:paraId="37382B58" w14:textId="77777777" w:rsidR="00BB5FDC" w:rsidRPr="00283249" w:rsidRDefault="00BB5FDC" w:rsidP="00283249">
            <w:pPr>
              <w:keepLines w:val="0"/>
              <w:tabs>
                <w:tab w:val="left" w:pos="4253"/>
              </w:tabs>
              <w:spacing w:before="0" w:after="60" w:line="240" w:lineRule="auto"/>
              <w:contextualSpacing/>
              <w:rPr>
                <w:lang w:val="en-GB"/>
              </w:rPr>
            </w:pPr>
          </w:p>
        </w:tc>
        <w:tc>
          <w:tcPr>
            <w:tcW w:w="1142" w:type="pct"/>
            <w:tcBorders>
              <w:top w:val="single" w:sz="4" w:space="0" w:color="auto"/>
              <w:left w:val="single" w:sz="4" w:space="0" w:color="auto"/>
              <w:bottom w:val="single" w:sz="4" w:space="0" w:color="auto"/>
              <w:right w:val="single" w:sz="4" w:space="0" w:color="auto"/>
            </w:tcBorders>
          </w:tcPr>
          <w:p w14:paraId="00E3B0AE" w14:textId="77777777" w:rsidR="00BB5FDC" w:rsidRPr="00283249" w:rsidRDefault="00BB5FDC" w:rsidP="00283249">
            <w:pPr>
              <w:keepLines w:val="0"/>
              <w:tabs>
                <w:tab w:val="left" w:pos="4253"/>
              </w:tabs>
              <w:spacing w:before="0" w:after="60" w:line="240" w:lineRule="auto"/>
              <w:contextualSpacing/>
              <w:rPr>
                <w:lang w:val="en-GB"/>
              </w:rPr>
            </w:pPr>
          </w:p>
        </w:tc>
        <w:tc>
          <w:tcPr>
            <w:tcW w:w="1874" w:type="pct"/>
            <w:tcBorders>
              <w:top w:val="single" w:sz="4" w:space="0" w:color="auto"/>
              <w:left w:val="single" w:sz="4" w:space="0" w:color="auto"/>
              <w:bottom w:val="single" w:sz="4" w:space="0" w:color="auto"/>
              <w:right w:val="single" w:sz="4" w:space="0" w:color="auto"/>
            </w:tcBorders>
          </w:tcPr>
          <w:p w14:paraId="39FDB14B" w14:textId="77777777" w:rsidR="00BB5FDC" w:rsidRPr="00283249" w:rsidRDefault="00BB5FDC" w:rsidP="00283249">
            <w:pPr>
              <w:keepLines w:val="0"/>
              <w:tabs>
                <w:tab w:val="left" w:pos="4253"/>
              </w:tabs>
              <w:spacing w:before="0" w:after="60" w:line="240" w:lineRule="auto"/>
              <w:contextualSpacing/>
              <w:rPr>
                <w:lang w:val="en-GB"/>
              </w:rPr>
            </w:pPr>
          </w:p>
        </w:tc>
      </w:tr>
    </w:tbl>
    <w:p w14:paraId="097C6FB9" w14:textId="77777777" w:rsidR="00A840D6" w:rsidRPr="000F4ADF" w:rsidRDefault="00A840D6" w:rsidP="00A840D6">
      <w:pPr>
        <w:keepLines w:val="0"/>
      </w:pPr>
    </w:p>
    <w:sectPr w:rsidR="00A840D6" w:rsidRPr="000F4ADF" w:rsidSect="004518B7">
      <w:footerReference w:type="default" r:id="rId23"/>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5320" w14:textId="77777777" w:rsidR="002734E3" w:rsidRDefault="002734E3">
      <w:r>
        <w:separator/>
      </w:r>
    </w:p>
  </w:endnote>
  <w:endnote w:type="continuationSeparator" w:id="0">
    <w:p w14:paraId="3F3A7F6D" w14:textId="77777777" w:rsidR="002734E3" w:rsidRDefault="002734E3">
      <w:r>
        <w:continuationSeparator/>
      </w:r>
    </w:p>
  </w:endnote>
  <w:endnote w:type="continuationNotice" w:id="1">
    <w:p w14:paraId="60E39307" w14:textId="77777777" w:rsidR="002734E3" w:rsidRDefault="002734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1426" w14:textId="77777777" w:rsidR="00E50CC1" w:rsidRDefault="00E50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69E9" w14:textId="77777777" w:rsidR="005D3404" w:rsidRPr="00F60476" w:rsidRDefault="000D7EDD" w:rsidP="00F60476">
    <w:pPr>
      <w:pStyle w:val="Footer"/>
    </w:pPr>
    <w:r>
      <w:rPr>
        <w:noProof/>
        <w:lang w:eastAsia="en-NZ"/>
      </w:rPr>
      <w:drawing>
        <wp:anchor distT="0" distB="0" distL="114300" distR="114300" simplePos="0" relativeHeight="251658240" behindDoc="0" locked="0" layoutInCell="1" allowOverlap="1" wp14:anchorId="3133929C" wp14:editId="228C4A5C">
          <wp:simplePos x="0" y="0"/>
          <wp:positionH relativeFrom="column">
            <wp:posOffset>3485515</wp:posOffset>
          </wp:positionH>
          <wp:positionV relativeFrom="page">
            <wp:posOffset>9999980</wp:posOffset>
          </wp:positionV>
          <wp:extent cx="2276475" cy="233045"/>
          <wp:effectExtent l="0" t="0" r="9525" b="0"/>
          <wp:wrapSquare wrapText="bothSides"/>
          <wp:docPr id="678772561" name="Picture 678772561"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276475" cy="233045"/>
                  </a:xfrm>
                  <a:prstGeom prst="rect">
                    <a:avLst/>
                  </a:prstGeom>
                </pic:spPr>
              </pic:pic>
            </a:graphicData>
          </a:graphic>
          <wp14:sizeRelH relativeFrom="margin">
            <wp14:pctWidth>0</wp14:pctWidth>
          </wp14:sizeRelH>
          <wp14:sizeRelV relativeFrom="margin">
            <wp14:pctHeight>0</wp14:pctHeight>
          </wp14:sizeRelV>
        </wp:anchor>
      </w:drawing>
    </w:r>
    <w:r w:rsidR="001A2D9E">
      <w:rPr>
        <w:noProof/>
        <w:lang w:eastAsia="en-NZ"/>
      </w:rPr>
      <w:drawing>
        <wp:inline distT="0" distB="0" distL="0" distR="0" wp14:anchorId="7B0D5D2C" wp14:editId="4ABC5233">
          <wp:extent cx="2335530" cy="633095"/>
          <wp:effectExtent l="0" t="0" r="0" b="0"/>
          <wp:docPr id="211349590" name="Picture 211349590"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5530" cy="63309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121E" w14:textId="05F4530F" w:rsidR="008F5F9C" w:rsidRDefault="008F5F9C" w:rsidP="00E57F71">
    <w:pPr>
      <w:pStyle w:val="Footer"/>
      <w:tabs>
        <w:tab w:val="right" w:pos="9071"/>
      </w:tabs>
      <w:ind w:right="-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C25A" w14:textId="6AF336CF" w:rsidR="004518B7" w:rsidRPr="00391C7C" w:rsidRDefault="0010117B" w:rsidP="004518B7">
    <w:pPr>
      <w:pStyle w:val="Footer"/>
      <w:tabs>
        <w:tab w:val="center" w:pos="4678"/>
        <w:tab w:val="right" w:pos="9071"/>
      </w:tabs>
      <w:ind w:right="-1"/>
    </w:pPr>
    <w:r>
      <w:rPr>
        <w:noProof/>
      </w:rPr>
      <w:drawing>
        <wp:anchor distT="0" distB="0" distL="114300" distR="114300" simplePos="0" relativeHeight="251658244" behindDoc="1" locked="0" layoutInCell="1" allowOverlap="1" wp14:anchorId="04900749" wp14:editId="15C6954D">
          <wp:simplePos x="0" y="0"/>
          <wp:positionH relativeFrom="column">
            <wp:posOffset>-913130</wp:posOffset>
          </wp:positionH>
          <wp:positionV relativeFrom="paragraph">
            <wp:posOffset>387350</wp:posOffset>
          </wp:positionV>
          <wp:extent cx="7628400" cy="230400"/>
          <wp:effectExtent l="0" t="0" r="0" b="0"/>
          <wp:wrapNone/>
          <wp:docPr id="1198253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53752" name="Picture 1198253752"/>
                  <pic:cNvPicPr/>
                </pic:nvPicPr>
                <pic:blipFill>
                  <a:blip r:embed="rId1">
                    <a:extLst>
                      <a:ext uri="{28A0092B-C50C-407E-A947-70E740481C1C}">
                        <a14:useLocalDpi xmlns:a14="http://schemas.microsoft.com/office/drawing/2010/main" val="0"/>
                      </a:ext>
                    </a:extLst>
                  </a:blip>
                  <a:stretch>
                    <a:fillRect/>
                  </a:stretch>
                </pic:blipFill>
                <pic:spPr>
                  <a:xfrm>
                    <a:off x="0" y="0"/>
                    <a:ext cx="7628400" cy="230400"/>
                  </a:xfrm>
                  <a:prstGeom prst="rect">
                    <a:avLst/>
                  </a:prstGeom>
                </pic:spPr>
              </pic:pic>
            </a:graphicData>
          </a:graphic>
          <wp14:sizeRelH relativeFrom="page">
            <wp14:pctWidth>0</wp14:pctWidth>
          </wp14:sizeRelH>
          <wp14:sizeRelV relativeFrom="page">
            <wp14:pctHeight>0</wp14:pctHeight>
          </wp14:sizeRelV>
        </wp:anchor>
      </w:drawing>
    </w:r>
    <w:r w:rsidR="004518B7">
      <w:tab/>
    </w:r>
    <w:r w:rsidR="00466B53" w:rsidRPr="00466B53">
      <w:rPr>
        <w:rStyle w:val="Footersecurityclassification"/>
        <w:i/>
        <w:iCs/>
      </w:rPr>
      <w:t>UNCLASSIFIED</w:t>
    </w:r>
    <w:r w:rsidR="004518B7">
      <w:tab/>
    </w:r>
    <w:r w:rsidR="006E38A3">
      <w:rPr>
        <w:i w:val="0"/>
        <w:iCs/>
        <w:color w:val="00465D" w:themeColor="text2"/>
      </w:rPr>
      <w:fldChar w:fldCharType="begin"/>
    </w:r>
    <w:r w:rsidR="006E38A3">
      <w:rPr>
        <w:i w:val="0"/>
        <w:iCs/>
        <w:color w:val="00465D" w:themeColor="text2"/>
      </w:rPr>
      <w:instrText xml:space="preserve"> PAGE  \* Arabic  \* MERGEFORMAT </w:instrText>
    </w:r>
    <w:r w:rsidR="006E38A3">
      <w:rPr>
        <w:i w:val="0"/>
        <w:iCs/>
        <w:color w:val="00465D" w:themeColor="text2"/>
      </w:rPr>
      <w:fldChar w:fldCharType="separate"/>
    </w:r>
    <w:r w:rsidR="006E38A3">
      <w:rPr>
        <w:i w:val="0"/>
        <w:iCs/>
        <w:noProof/>
        <w:color w:val="00465D" w:themeColor="text2"/>
      </w:rPr>
      <w:t>1</w:t>
    </w:r>
    <w:r w:rsidR="006E38A3">
      <w:rPr>
        <w:i w:val="0"/>
        <w:iCs/>
        <w:color w:val="00465D" w:themeColor="text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B9CA" w14:textId="0A2D63D4" w:rsidR="004518B7" w:rsidRPr="00391C7C" w:rsidRDefault="004518B7" w:rsidP="004518B7">
    <w:pPr>
      <w:pStyle w:val="Footer"/>
      <w:tabs>
        <w:tab w:val="center" w:pos="4678"/>
        <w:tab w:val="right" w:pos="9071"/>
      </w:tabs>
      <w:ind w:right="-1"/>
    </w:pPr>
    <w:r>
      <w:tab/>
    </w:r>
    <w:r w:rsidR="00A63B8A">
      <w:rPr>
        <w:rStyle w:val="Footersecurityclassification"/>
      </w:rPr>
      <w:t>UNCLASSIFIED</w:t>
    </w:r>
    <w:r>
      <w:tab/>
    </w:r>
    <w:r w:rsidRPr="0010117B">
      <w:rPr>
        <w:i w:val="0"/>
        <w:iCs/>
        <w:color w:val="00465D" w:themeColor="text2"/>
      </w:rPr>
      <w:t xml:space="preserve">Page </w:t>
    </w:r>
    <w:r w:rsidRPr="0010117B">
      <w:rPr>
        <w:i w:val="0"/>
        <w:iCs/>
        <w:color w:val="00465D" w:themeColor="text2"/>
      </w:rPr>
      <w:fldChar w:fldCharType="begin"/>
    </w:r>
    <w:r w:rsidRPr="0010117B">
      <w:rPr>
        <w:i w:val="0"/>
        <w:iCs/>
        <w:color w:val="00465D" w:themeColor="text2"/>
      </w:rPr>
      <w:instrText xml:space="preserve"> PAGE  \* Arabic  \* MERGEFORMAT </w:instrText>
    </w:r>
    <w:r w:rsidRPr="0010117B">
      <w:rPr>
        <w:i w:val="0"/>
        <w:iCs/>
        <w:color w:val="00465D" w:themeColor="text2"/>
      </w:rPr>
      <w:fldChar w:fldCharType="separate"/>
    </w:r>
    <w:r w:rsidR="001A2D9E" w:rsidRPr="0010117B">
      <w:rPr>
        <w:i w:val="0"/>
        <w:iCs/>
        <w:noProof/>
        <w:color w:val="00465D" w:themeColor="text2"/>
      </w:rPr>
      <w:t>5</w:t>
    </w:r>
    <w:r w:rsidRPr="0010117B">
      <w:rPr>
        <w:i w:val="0"/>
        <w:iCs/>
        <w:color w:val="00465D"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3337" w14:textId="77777777" w:rsidR="002734E3" w:rsidRDefault="002734E3" w:rsidP="006E29CC">
      <w:pPr>
        <w:pStyle w:val="Spacer"/>
      </w:pPr>
      <w:r>
        <w:separator/>
      </w:r>
    </w:p>
    <w:p w14:paraId="0C8E935C" w14:textId="77777777" w:rsidR="002734E3" w:rsidRDefault="002734E3" w:rsidP="006E29CC">
      <w:pPr>
        <w:pStyle w:val="Spacer"/>
      </w:pPr>
    </w:p>
  </w:footnote>
  <w:footnote w:type="continuationSeparator" w:id="0">
    <w:p w14:paraId="2DA9007D" w14:textId="77777777" w:rsidR="002734E3" w:rsidRDefault="002734E3">
      <w:r>
        <w:continuationSeparator/>
      </w:r>
    </w:p>
  </w:footnote>
  <w:footnote w:type="continuationNotice" w:id="1">
    <w:p w14:paraId="3FC9BEB0" w14:textId="77777777" w:rsidR="002734E3" w:rsidRDefault="002734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2093" w14:textId="77777777" w:rsidR="00E50CC1" w:rsidRDefault="00E50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D199" w14:textId="7F86654A" w:rsidR="005D3404" w:rsidRPr="00831004" w:rsidRDefault="00831004" w:rsidP="00831004">
    <w:pPr>
      <w:pStyle w:val="Header"/>
      <w:jc w:val="center"/>
    </w:pPr>
    <w:r>
      <w:fldChar w:fldCharType="begin"/>
    </w:r>
    <w:r>
      <w:instrText xml:space="preserve"> </w:instrText>
    </w:r>
    <w:r w:rsidRPr="006B0386">
      <w:instrText xml:space="preserve">MacroButton NoMacro </w:instrText>
    </w:r>
    <w:r w:rsidRPr="006B0386">
      <w:rPr>
        <w:highlight w:val="yellow"/>
      </w:rPr>
      <w:instrText>&lt;insert security classification&gt;</w:instrText>
    </w:r>
    <w:r>
      <w:fldChar w:fldCharType="end"/>
    </w:r>
    <w:r>
      <w:rPr>
        <w:noProof/>
      </w:rPr>
      <w:drawing>
        <wp:anchor distT="0" distB="0" distL="114300" distR="114300" simplePos="0" relativeHeight="251658241" behindDoc="0" locked="0" layoutInCell="1" allowOverlap="1" wp14:anchorId="155476DF" wp14:editId="6460FE95">
          <wp:simplePos x="0" y="0"/>
          <wp:positionH relativeFrom="column">
            <wp:posOffset>0</wp:posOffset>
          </wp:positionH>
          <wp:positionV relativeFrom="paragraph">
            <wp:posOffset>223520</wp:posOffset>
          </wp:positionV>
          <wp:extent cx="7592400" cy="1047600"/>
          <wp:effectExtent l="0" t="0" r="0" b="635"/>
          <wp:wrapTopAndBottom/>
          <wp:docPr id="4017260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0488"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92400" cy="104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6E91" w14:textId="2840CACD" w:rsidR="00831004" w:rsidRPr="00D72AFE" w:rsidRDefault="0010117B" w:rsidP="0010117B">
    <w:pPr>
      <w:pStyle w:val="Header"/>
      <w:jc w:val="center"/>
      <w:rPr>
        <w:lang w:val="en-US"/>
      </w:rPr>
    </w:pPr>
    <w:r>
      <w:rPr>
        <w:noProof/>
      </w:rPr>
      <w:drawing>
        <wp:anchor distT="0" distB="0" distL="114300" distR="114300" simplePos="0" relativeHeight="251658242" behindDoc="1" locked="0" layoutInCell="1" allowOverlap="1" wp14:anchorId="1791C5C9" wp14:editId="7CD693B4">
          <wp:simplePos x="0" y="0"/>
          <wp:positionH relativeFrom="column">
            <wp:posOffset>-900430</wp:posOffset>
          </wp:positionH>
          <wp:positionV relativeFrom="paragraph">
            <wp:posOffset>-76925</wp:posOffset>
          </wp:positionV>
          <wp:extent cx="7556500" cy="10685220"/>
          <wp:effectExtent l="0" t="0" r="6350" b="1905"/>
          <wp:wrapNone/>
          <wp:docPr id="2117094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9426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5220"/>
                  </a:xfrm>
                  <a:prstGeom prst="rect">
                    <a:avLst/>
                  </a:prstGeom>
                </pic:spPr>
              </pic:pic>
            </a:graphicData>
          </a:graphic>
          <wp14:sizeRelH relativeFrom="page">
            <wp14:pctWidth>0</wp14:pctWidth>
          </wp14:sizeRelH>
          <wp14:sizeRelV relativeFrom="page">
            <wp14:pctHeight>0</wp14:pctHeight>
          </wp14:sizeRelV>
        </wp:anchor>
      </w:drawing>
    </w:r>
    <w:r w:rsidR="00D72AFE">
      <w:rPr>
        <w:rStyle w:val="Footersecurityclassification"/>
      </w:rPr>
      <w:t>UNCLASSIFIED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4224" w14:textId="081EAA2E" w:rsidR="007202D5" w:rsidRPr="00271C76" w:rsidRDefault="0010117B" w:rsidP="0046577B">
    <w:pPr>
      <w:pStyle w:val="Header"/>
      <w:rPr>
        <w:color w:val="00465D" w:themeColor="text2"/>
      </w:rPr>
    </w:pPr>
    <w:r>
      <w:rPr>
        <w:noProof/>
        <w:color w:val="00465D" w:themeColor="text2"/>
      </w:rPr>
      <w:drawing>
        <wp:anchor distT="0" distB="0" distL="114300" distR="114300" simplePos="0" relativeHeight="251658243" behindDoc="1" locked="0" layoutInCell="1" allowOverlap="1" wp14:anchorId="29B7B921" wp14:editId="4CF7C66C">
          <wp:simplePos x="0" y="0"/>
          <wp:positionH relativeFrom="column">
            <wp:posOffset>-900430</wp:posOffset>
          </wp:positionH>
          <wp:positionV relativeFrom="paragraph">
            <wp:posOffset>-257175</wp:posOffset>
          </wp:positionV>
          <wp:extent cx="15158118" cy="127000"/>
          <wp:effectExtent l="0" t="0" r="5715" b="0"/>
          <wp:wrapNone/>
          <wp:docPr id="1205984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84867" name="Picture 1205984867"/>
                  <pic:cNvPicPr/>
                </pic:nvPicPr>
                <pic:blipFill>
                  <a:blip r:embed="rId1">
                    <a:extLst>
                      <a:ext uri="{28A0092B-C50C-407E-A947-70E740481C1C}">
                        <a14:useLocalDpi xmlns:a14="http://schemas.microsoft.com/office/drawing/2010/main" val="0"/>
                      </a:ext>
                    </a:extLst>
                  </a:blip>
                  <a:stretch>
                    <a:fillRect/>
                  </a:stretch>
                </pic:blipFill>
                <pic:spPr>
                  <a:xfrm>
                    <a:off x="0" y="0"/>
                    <a:ext cx="15530943" cy="130124"/>
                  </a:xfrm>
                  <a:prstGeom prst="rect">
                    <a:avLst/>
                  </a:prstGeom>
                </pic:spPr>
              </pic:pic>
            </a:graphicData>
          </a:graphic>
          <wp14:sizeRelH relativeFrom="page">
            <wp14:pctWidth>0</wp14:pctWidth>
          </wp14:sizeRelH>
          <wp14:sizeRelV relativeFrom="page">
            <wp14:pctHeight>0</wp14:pctHeight>
          </wp14:sizeRelV>
        </wp:anchor>
      </w:drawing>
    </w:r>
    <w:r w:rsidR="000454A3">
      <w:rPr>
        <w:color w:val="00465D" w:themeColor="text2"/>
      </w:rPr>
      <w:t>Scope for independent security evaluation for [Provider name] and [Service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18AA75A1"/>
    <w:multiLevelType w:val="hybridMultilevel"/>
    <w:tmpl w:val="1BBC7F3A"/>
    <w:lvl w:ilvl="0" w:tplc="B7E8BAE2">
      <w:start w:val="98"/>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00465D"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2C9044AE"/>
    <w:multiLevelType w:val="hybridMultilevel"/>
    <w:tmpl w:val="F97CA9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8080BFC"/>
    <w:multiLevelType w:val="hybridMultilevel"/>
    <w:tmpl w:val="E6C6EF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551C25"/>
    <w:multiLevelType w:val="hybridMultilevel"/>
    <w:tmpl w:val="ED6A8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72274A2"/>
    <w:multiLevelType w:val="hybridMultilevel"/>
    <w:tmpl w:val="5016AAA2"/>
    <w:lvl w:ilvl="0" w:tplc="40F8CF7C">
      <w:start w:val="98"/>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67184128"/>
    <w:multiLevelType w:val="hybridMultilevel"/>
    <w:tmpl w:val="BD60B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2" w15:restartNumberingAfterBreak="0">
    <w:nsid w:val="77862F2B"/>
    <w:multiLevelType w:val="hybridMultilevel"/>
    <w:tmpl w:val="418E3E34"/>
    <w:lvl w:ilvl="0" w:tplc="2362BA8C">
      <w:start w:val="98"/>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7AC63DCA"/>
    <w:multiLevelType w:val="hybridMultilevel"/>
    <w:tmpl w:val="801656F8"/>
    <w:lvl w:ilvl="0" w:tplc="7A0204D4">
      <w:start w:val="98"/>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74198767">
    <w:abstractNumId w:val="24"/>
  </w:num>
  <w:num w:numId="2" w16cid:durableId="1207062667">
    <w:abstractNumId w:val="23"/>
  </w:num>
  <w:num w:numId="3" w16cid:durableId="1273786398">
    <w:abstractNumId w:val="18"/>
  </w:num>
  <w:num w:numId="4" w16cid:durableId="424810519">
    <w:abstractNumId w:val="30"/>
  </w:num>
  <w:num w:numId="5" w16cid:durableId="1215119304">
    <w:abstractNumId w:val="25"/>
  </w:num>
  <w:num w:numId="6" w16cid:durableId="930433786">
    <w:abstractNumId w:val="28"/>
  </w:num>
  <w:num w:numId="7" w16cid:durableId="212272483">
    <w:abstractNumId w:val="16"/>
  </w:num>
  <w:num w:numId="8" w16cid:durableId="1878809268">
    <w:abstractNumId w:val="14"/>
  </w:num>
  <w:num w:numId="9" w16cid:durableId="570846688">
    <w:abstractNumId w:val="9"/>
  </w:num>
  <w:num w:numId="10" w16cid:durableId="616714255">
    <w:abstractNumId w:val="7"/>
  </w:num>
  <w:num w:numId="11" w16cid:durableId="2125465023">
    <w:abstractNumId w:val="6"/>
  </w:num>
  <w:num w:numId="12" w16cid:durableId="1419712998">
    <w:abstractNumId w:val="5"/>
  </w:num>
  <w:num w:numId="13" w16cid:durableId="1441995204">
    <w:abstractNumId w:val="4"/>
  </w:num>
  <w:num w:numId="14" w16cid:durableId="347996217">
    <w:abstractNumId w:val="8"/>
  </w:num>
  <w:num w:numId="15" w16cid:durableId="788088760">
    <w:abstractNumId w:val="3"/>
  </w:num>
  <w:num w:numId="16" w16cid:durableId="1799757988">
    <w:abstractNumId w:val="2"/>
  </w:num>
  <w:num w:numId="17" w16cid:durableId="796459069">
    <w:abstractNumId w:val="1"/>
  </w:num>
  <w:num w:numId="18" w16cid:durableId="1765690166">
    <w:abstractNumId w:val="0"/>
  </w:num>
  <w:num w:numId="19" w16cid:durableId="1652521840">
    <w:abstractNumId w:val="11"/>
  </w:num>
  <w:num w:numId="20" w16cid:durableId="1152674450">
    <w:abstractNumId w:val="31"/>
  </w:num>
  <w:num w:numId="21" w16cid:durableId="1438332772">
    <w:abstractNumId w:val="29"/>
  </w:num>
  <w:num w:numId="22" w16cid:durableId="1565139214">
    <w:abstractNumId w:val="26"/>
  </w:num>
  <w:num w:numId="23" w16cid:durableId="903684014">
    <w:abstractNumId w:val="20"/>
  </w:num>
  <w:num w:numId="24" w16cid:durableId="2126150450">
    <w:abstractNumId w:val="17"/>
  </w:num>
  <w:num w:numId="25" w16cid:durableId="1742749743">
    <w:abstractNumId w:val="12"/>
  </w:num>
  <w:num w:numId="26" w16cid:durableId="1870682198">
    <w:abstractNumId w:val="10"/>
  </w:num>
  <w:num w:numId="27" w16cid:durableId="454106318">
    <w:abstractNumId w:val="31"/>
  </w:num>
  <w:num w:numId="28" w16cid:durableId="1148519299">
    <w:abstractNumId w:val="31"/>
  </w:num>
  <w:num w:numId="29" w16cid:durableId="174006530">
    <w:abstractNumId w:val="29"/>
  </w:num>
  <w:num w:numId="30" w16cid:durableId="330647107">
    <w:abstractNumId w:val="29"/>
  </w:num>
  <w:num w:numId="31" w16cid:durableId="55014242">
    <w:abstractNumId w:val="20"/>
  </w:num>
  <w:num w:numId="32" w16cid:durableId="699278986">
    <w:abstractNumId w:val="26"/>
  </w:num>
  <w:num w:numId="33" w16cid:durableId="223806520">
    <w:abstractNumId w:val="20"/>
  </w:num>
  <w:num w:numId="34" w16cid:durableId="718406939">
    <w:abstractNumId w:val="20"/>
  </w:num>
  <w:num w:numId="35" w16cid:durableId="836458975">
    <w:abstractNumId w:val="17"/>
  </w:num>
  <w:num w:numId="36" w16cid:durableId="1261915267">
    <w:abstractNumId w:val="17"/>
  </w:num>
  <w:num w:numId="37" w16cid:durableId="1008092691">
    <w:abstractNumId w:val="17"/>
  </w:num>
  <w:num w:numId="38" w16cid:durableId="1516261315">
    <w:abstractNumId w:val="12"/>
  </w:num>
  <w:num w:numId="39" w16cid:durableId="1562787006">
    <w:abstractNumId w:val="10"/>
  </w:num>
  <w:num w:numId="40" w16cid:durableId="96994471">
    <w:abstractNumId w:val="10"/>
  </w:num>
  <w:num w:numId="41" w16cid:durableId="1458059834">
    <w:abstractNumId w:val="10"/>
  </w:num>
  <w:num w:numId="42" w16cid:durableId="76485692">
    <w:abstractNumId w:val="27"/>
  </w:num>
  <w:num w:numId="43" w16cid:durableId="1044519534">
    <w:abstractNumId w:val="15"/>
  </w:num>
  <w:num w:numId="44" w16cid:durableId="192354564">
    <w:abstractNumId w:val="21"/>
  </w:num>
  <w:num w:numId="45" w16cid:durableId="1524706279">
    <w:abstractNumId w:val="33"/>
  </w:num>
  <w:num w:numId="46" w16cid:durableId="1572888724">
    <w:abstractNumId w:val="22"/>
  </w:num>
  <w:num w:numId="47" w16cid:durableId="288753146">
    <w:abstractNumId w:val="32"/>
  </w:num>
  <w:num w:numId="48" w16cid:durableId="1508057074">
    <w:abstractNumId w:val="13"/>
  </w:num>
  <w:num w:numId="49" w16cid:durableId="148434581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09"/>
    <w:rsid w:val="00003360"/>
    <w:rsid w:val="00020010"/>
    <w:rsid w:val="0002159C"/>
    <w:rsid w:val="00034673"/>
    <w:rsid w:val="000409E2"/>
    <w:rsid w:val="00044EA1"/>
    <w:rsid w:val="000454A3"/>
    <w:rsid w:val="00047B37"/>
    <w:rsid w:val="00063BB2"/>
    <w:rsid w:val="00065CE4"/>
    <w:rsid w:val="00076035"/>
    <w:rsid w:val="00077013"/>
    <w:rsid w:val="00090017"/>
    <w:rsid w:val="00091C3A"/>
    <w:rsid w:val="00092587"/>
    <w:rsid w:val="000953BD"/>
    <w:rsid w:val="00095E9A"/>
    <w:rsid w:val="000B76A4"/>
    <w:rsid w:val="000B7722"/>
    <w:rsid w:val="000C03B0"/>
    <w:rsid w:val="000C4865"/>
    <w:rsid w:val="000D7EDD"/>
    <w:rsid w:val="000E09DC"/>
    <w:rsid w:val="000E677B"/>
    <w:rsid w:val="000F3BA1"/>
    <w:rsid w:val="000F4ADF"/>
    <w:rsid w:val="000F61AF"/>
    <w:rsid w:val="00100AAB"/>
    <w:rsid w:val="0010117B"/>
    <w:rsid w:val="0010171C"/>
    <w:rsid w:val="00102FAD"/>
    <w:rsid w:val="00114819"/>
    <w:rsid w:val="00121870"/>
    <w:rsid w:val="00133875"/>
    <w:rsid w:val="0013424E"/>
    <w:rsid w:val="001420E8"/>
    <w:rsid w:val="00143173"/>
    <w:rsid w:val="0015404E"/>
    <w:rsid w:val="001600EE"/>
    <w:rsid w:val="0016433D"/>
    <w:rsid w:val="00186232"/>
    <w:rsid w:val="001A2D9E"/>
    <w:rsid w:val="001A5F55"/>
    <w:rsid w:val="001B646D"/>
    <w:rsid w:val="001C0031"/>
    <w:rsid w:val="001D0111"/>
    <w:rsid w:val="00205FE8"/>
    <w:rsid w:val="00206BA3"/>
    <w:rsid w:val="00215160"/>
    <w:rsid w:val="002224B4"/>
    <w:rsid w:val="00226D5E"/>
    <w:rsid w:val="00237A3D"/>
    <w:rsid w:val="00240E83"/>
    <w:rsid w:val="002502D1"/>
    <w:rsid w:val="00270EEC"/>
    <w:rsid w:val="00271C76"/>
    <w:rsid w:val="002734E3"/>
    <w:rsid w:val="002806A2"/>
    <w:rsid w:val="00283249"/>
    <w:rsid w:val="00297CC7"/>
    <w:rsid w:val="002A194F"/>
    <w:rsid w:val="002A4BD9"/>
    <w:rsid w:val="002A4FE7"/>
    <w:rsid w:val="002B1CEB"/>
    <w:rsid w:val="003004C1"/>
    <w:rsid w:val="0030084C"/>
    <w:rsid w:val="003129BA"/>
    <w:rsid w:val="003148FC"/>
    <w:rsid w:val="00330820"/>
    <w:rsid w:val="00342DBF"/>
    <w:rsid w:val="00343274"/>
    <w:rsid w:val="00370FC0"/>
    <w:rsid w:val="00373206"/>
    <w:rsid w:val="00377E2C"/>
    <w:rsid w:val="00391C7C"/>
    <w:rsid w:val="003A10DA"/>
    <w:rsid w:val="003A12C8"/>
    <w:rsid w:val="003A6FFE"/>
    <w:rsid w:val="003B3A23"/>
    <w:rsid w:val="003C63D0"/>
    <w:rsid w:val="003D353C"/>
    <w:rsid w:val="003E5BF6"/>
    <w:rsid w:val="003F5886"/>
    <w:rsid w:val="003F6556"/>
    <w:rsid w:val="0040020C"/>
    <w:rsid w:val="0040700B"/>
    <w:rsid w:val="00407F54"/>
    <w:rsid w:val="00411341"/>
    <w:rsid w:val="00413966"/>
    <w:rsid w:val="00415CDB"/>
    <w:rsid w:val="00424863"/>
    <w:rsid w:val="0042551E"/>
    <w:rsid w:val="00426491"/>
    <w:rsid w:val="00433AD8"/>
    <w:rsid w:val="0043750E"/>
    <w:rsid w:val="004518B7"/>
    <w:rsid w:val="004550CF"/>
    <w:rsid w:val="004552A0"/>
    <w:rsid w:val="00460A83"/>
    <w:rsid w:val="0046577B"/>
    <w:rsid w:val="00466B53"/>
    <w:rsid w:val="004734F8"/>
    <w:rsid w:val="00477619"/>
    <w:rsid w:val="00486E6E"/>
    <w:rsid w:val="004A5823"/>
    <w:rsid w:val="004B0AAF"/>
    <w:rsid w:val="004B3924"/>
    <w:rsid w:val="004C4DDD"/>
    <w:rsid w:val="004D06BB"/>
    <w:rsid w:val="004D1706"/>
    <w:rsid w:val="004D243F"/>
    <w:rsid w:val="004D7473"/>
    <w:rsid w:val="004F0923"/>
    <w:rsid w:val="0051048E"/>
    <w:rsid w:val="0051119C"/>
    <w:rsid w:val="00512ACB"/>
    <w:rsid w:val="0052216D"/>
    <w:rsid w:val="00526115"/>
    <w:rsid w:val="00533FAF"/>
    <w:rsid w:val="005366B6"/>
    <w:rsid w:val="00555832"/>
    <w:rsid w:val="00561A97"/>
    <w:rsid w:val="00563DAC"/>
    <w:rsid w:val="005675E0"/>
    <w:rsid w:val="00570C00"/>
    <w:rsid w:val="0058206B"/>
    <w:rsid w:val="00585690"/>
    <w:rsid w:val="00593B07"/>
    <w:rsid w:val="00595B33"/>
    <w:rsid w:val="0059662F"/>
    <w:rsid w:val="005D3066"/>
    <w:rsid w:val="005D3404"/>
    <w:rsid w:val="005E1818"/>
    <w:rsid w:val="005E4B13"/>
    <w:rsid w:val="005E4C02"/>
    <w:rsid w:val="005F01DF"/>
    <w:rsid w:val="005F76CC"/>
    <w:rsid w:val="005F7FF8"/>
    <w:rsid w:val="00600CA4"/>
    <w:rsid w:val="00602416"/>
    <w:rsid w:val="006041F2"/>
    <w:rsid w:val="006108AE"/>
    <w:rsid w:val="006225CA"/>
    <w:rsid w:val="00655E6C"/>
    <w:rsid w:val="006600A2"/>
    <w:rsid w:val="00662716"/>
    <w:rsid w:val="00667187"/>
    <w:rsid w:val="00677B13"/>
    <w:rsid w:val="00677F4E"/>
    <w:rsid w:val="00681A08"/>
    <w:rsid w:val="00685ECF"/>
    <w:rsid w:val="006871D3"/>
    <w:rsid w:val="006875B8"/>
    <w:rsid w:val="00687CA4"/>
    <w:rsid w:val="00687CEA"/>
    <w:rsid w:val="00695B75"/>
    <w:rsid w:val="006A1A95"/>
    <w:rsid w:val="006A1C50"/>
    <w:rsid w:val="006A38B7"/>
    <w:rsid w:val="006A4937"/>
    <w:rsid w:val="006B0386"/>
    <w:rsid w:val="006B1CB2"/>
    <w:rsid w:val="006B1DD1"/>
    <w:rsid w:val="006B3396"/>
    <w:rsid w:val="006D638F"/>
    <w:rsid w:val="006E29CC"/>
    <w:rsid w:val="006E38A3"/>
    <w:rsid w:val="006E7BF7"/>
    <w:rsid w:val="007068C8"/>
    <w:rsid w:val="007134D6"/>
    <w:rsid w:val="00715B8F"/>
    <w:rsid w:val="00717E19"/>
    <w:rsid w:val="007202D5"/>
    <w:rsid w:val="0073106E"/>
    <w:rsid w:val="00756BB7"/>
    <w:rsid w:val="0075764B"/>
    <w:rsid w:val="00760C01"/>
    <w:rsid w:val="00761293"/>
    <w:rsid w:val="00761439"/>
    <w:rsid w:val="00767C04"/>
    <w:rsid w:val="007736A2"/>
    <w:rsid w:val="00773F2E"/>
    <w:rsid w:val="00777659"/>
    <w:rsid w:val="007A6226"/>
    <w:rsid w:val="007B3C61"/>
    <w:rsid w:val="007B7B62"/>
    <w:rsid w:val="007C42FA"/>
    <w:rsid w:val="007D1918"/>
    <w:rsid w:val="007D3469"/>
    <w:rsid w:val="007D3BAF"/>
    <w:rsid w:val="007E0F00"/>
    <w:rsid w:val="007E7B48"/>
    <w:rsid w:val="00802AA4"/>
    <w:rsid w:val="0082264B"/>
    <w:rsid w:val="008260F8"/>
    <w:rsid w:val="0082765B"/>
    <w:rsid w:val="00827D09"/>
    <w:rsid w:val="00831004"/>
    <w:rsid w:val="00835BD7"/>
    <w:rsid w:val="00843D71"/>
    <w:rsid w:val="0084745A"/>
    <w:rsid w:val="00860B2B"/>
    <w:rsid w:val="00870045"/>
    <w:rsid w:val="00876E5F"/>
    <w:rsid w:val="008844BF"/>
    <w:rsid w:val="00890CE4"/>
    <w:rsid w:val="008C3187"/>
    <w:rsid w:val="008C5E4F"/>
    <w:rsid w:val="008D29AD"/>
    <w:rsid w:val="008D63B7"/>
    <w:rsid w:val="008D6A03"/>
    <w:rsid w:val="008E7FEE"/>
    <w:rsid w:val="008F5F9C"/>
    <w:rsid w:val="008F67F5"/>
    <w:rsid w:val="008F6BCE"/>
    <w:rsid w:val="00900814"/>
    <w:rsid w:val="00900D4B"/>
    <w:rsid w:val="00907486"/>
    <w:rsid w:val="0091672C"/>
    <w:rsid w:val="009170B9"/>
    <w:rsid w:val="00927482"/>
    <w:rsid w:val="0095112B"/>
    <w:rsid w:val="009669CF"/>
    <w:rsid w:val="00973A6D"/>
    <w:rsid w:val="009865AA"/>
    <w:rsid w:val="00987080"/>
    <w:rsid w:val="0098765A"/>
    <w:rsid w:val="00992A2E"/>
    <w:rsid w:val="009968B0"/>
    <w:rsid w:val="009A3F06"/>
    <w:rsid w:val="009A6CB2"/>
    <w:rsid w:val="009B0982"/>
    <w:rsid w:val="009B4C99"/>
    <w:rsid w:val="009D28CF"/>
    <w:rsid w:val="009E4272"/>
    <w:rsid w:val="009E5D36"/>
    <w:rsid w:val="009E7CA0"/>
    <w:rsid w:val="00A04392"/>
    <w:rsid w:val="00A16003"/>
    <w:rsid w:val="00A167D7"/>
    <w:rsid w:val="00A24FBB"/>
    <w:rsid w:val="00A313C6"/>
    <w:rsid w:val="00A36309"/>
    <w:rsid w:val="00A42ED2"/>
    <w:rsid w:val="00A44B33"/>
    <w:rsid w:val="00A50E00"/>
    <w:rsid w:val="00A52529"/>
    <w:rsid w:val="00A53624"/>
    <w:rsid w:val="00A5766B"/>
    <w:rsid w:val="00A62B3B"/>
    <w:rsid w:val="00A63B8A"/>
    <w:rsid w:val="00A840D6"/>
    <w:rsid w:val="00A863E3"/>
    <w:rsid w:val="00A94547"/>
    <w:rsid w:val="00AA4DDE"/>
    <w:rsid w:val="00AB3A92"/>
    <w:rsid w:val="00AB478B"/>
    <w:rsid w:val="00AB4AD9"/>
    <w:rsid w:val="00AB7AA7"/>
    <w:rsid w:val="00AD6E77"/>
    <w:rsid w:val="00AD7A25"/>
    <w:rsid w:val="00AF3A5A"/>
    <w:rsid w:val="00AF5218"/>
    <w:rsid w:val="00B0480E"/>
    <w:rsid w:val="00B1026A"/>
    <w:rsid w:val="00B21166"/>
    <w:rsid w:val="00B263AE"/>
    <w:rsid w:val="00B456E6"/>
    <w:rsid w:val="00B45865"/>
    <w:rsid w:val="00B47091"/>
    <w:rsid w:val="00B62134"/>
    <w:rsid w:val="00B62C3E"/>
    <w:rsid w:val="00B645DE"/>
    <w:rsid w:val="00B65857"/>
    <w:rsid w:val="00B66698"/>
    <w:rsid w:val="00B745DC"/>
    <w:rsid w:val="00B74AB4"/>
    <w:rsid w:val="00B84350"/>
    <w:rsid w:val="00B855A6"/>
    <w:rsid w:val="00B91098"/>
    <w:rsid w:val="00B91904"/>
    <w:rsid w:val="00B92735"/>
    <w:rsid w:val="00B969ED"/>
    <w:rsid w:val="00BB0D90"/>
    <w:rsid w:val="00BB5FDC"/>
    <w:rsid w:val="00BB60C6"/>
    <w:rsid w:val="00BB7984"/>
    <w:rsid w:val="00BC1182"/>
    <w:rsid w:val="00BC63D4"/>
    <w:rsid w:val="00BC6A06"/>
    <w:rsid w:val="00BD137C"/>
    <w:rsid w:val="00BE2FA3"/>
    <w:rsid w:val="00BE5B5B"/>
    <w:rsid w:val="00BF4701"/>
    <w:rsid w:val="00C03596"/>
    <w:rsid w:val="00C15A13"/>
    <w:rsid w:val="00C21C45"/>
    <w:rsid w:val="00C238D9"/>
    <w:rsid w:val="00C24A9D"/>
    <w:rsid w:val="00C2677E"/>
    <w:rsid w:val="00C31542"/>
    <w:rsid w:val="00C6078D"/>
    <w:rsid w:val="00C657CF"/>
    <w:rsid w:val="00C80D62"/>
    <w:rsid w:val="00C8538B"/>
    <w:rsid w:val="00C96BFD"/>
    <w:rsid w:val="00CA4D01"/>
    <w:rsid w:val="00CA5358"/>
    <w:rsid w:val="00CD502A"/>
    <w:rsid w:val="00CF12CF"/>
    <w:rsid w:val="00D025EE"/>
    <w:rsid w:val="00D060D2"/>
    <w:rsid w:val="00D14394"/>
    <w:rsid w:val="00D242CD"/>
    <w:rsid w:val="00D341C3"/>
    <w:rsid w:val="00D42843"/>
    <w:rsid w:val="00D45DDE"/>
    <w:rsid w:val="00D5152A"/>
    <w:rsid w:val="00D52371"/>
    <w:rsid w:val="00D65145"/>
    <w:rsid w:val="00D72AFE"/>
    <w:rsid w:val="00D74314"/>
    <w:rsid w:val="00D74884"/>
    <w:rsid w:val="00D82EB0"/>
    <w:rsid w:val="00D92505"/>
    <w:rsid w:val="00DA267C"/>
    <w:rsid w:val="00DA5101"/>
    <w:rsid w:val="00DA79EF"/>
    <w:rsid w:val="00DB0C0B"/>
    <w:rsid w:val="00DB3B74"/>
    <w:rsid w:val="00DB7D4A"/>
    <w:rsid w:val="00DC1B92"/>
    <w:rsid w:val="00DC5870"/>
    <w:rsid w:val="00DC6D59"/>
    <w:rsid w:val="00DD0384"/>
    <w:rsid w:val="00DD0901"/>
    <w:rsid w:val="00DD3BD0"/>
    <w:rsid w:val="00DD3DD8"/>
    <w:rsid w:val="00DE16B6"/>
    <w:rsid w:val="00DE36CA"/>
    <w:rsid w:val="00DE4E1D"/>
    <w:rsid w:val="00DE60DE"/>
    <w:rsid w:val="00DE7E63"/>
    <w:rsid w:val="00DF2911"/>
    <w:rsid w:val="00E01E02"/>
    <w:rsid w:val="00E26D66"/>
    <w:rsid w:val="00E367C5"/>
    <w:rsid w:val="00E37E71"/>
    <w:rsid w:val="00E42847"/>
    <w:rsid w:val="00E45EFB"/>
    <w:rsid w:val="00E45F25"/>
    <w:rsid w:val="00E46064"/>
    <w:rsid w:val="00E46A0C"/>
    <w:rsid w:val="00E50CC1"/>
    <w:rsid w:val="00E57F71"/>
    <w:rsid w:val="00E604A1"/>
    <w:rsid w:val="00E73AA8"/>
    <w:rsid w:val="00E80228"/>
    <w:rsid w:val="00E84D4A"/>
    <w:rsid w:val="00EA2ED4"/>
    <w:rsid w:val="00EA491A"/>
    <w:rsid w:val="00EB1583"/>
    <w:rsid w:val="00EC23FB"/>
    <w:rsid w:val="00ED7681"/>
    <w:rsid w:val="00EE41C2"/>
    <w:rsid w:val="00EF5034"/>
    <w:rsid w:val="00EF63C6"/>
    <w:rsid w:val="00F034FB"/>
    <w:rsid w:val="00F036E0"/>
    <w:rsid w:val="00F05606"/>
    <w:rsid w:val="00F105F5"/>
    <w:rsid w:val="00F1075A"/>
    <w:rsid w:val="00F22956"/>
    <w:rsid w:val="00F22E82"/>
    <w:rsid w:val="00F3277D"/>
    <w:rsid w:val="00F337BF"/>
    <w:rsid w:val="00F33D14"/>
    <w:rsid w:val="00F35E02"/>
    <w:rsid w:val="00F473B6"/>
    <w:rsid w:val="00F52E57"/>
    <w:rsid w:val="00F53E06"/>
    <w:rsid w:val="00F54188"/>
    <w:rsid w:val="00F54CC0"/>
    <w:rsid w:val="00F60476"/>
    <w:rsid w:val="00F652C7"/>
    <w:rsid w:val="00F727A5"/>
    <w:rsid w:val="00F847A9"/>
    <w:rsid w:val="00FA5CC1"/>
    <w:rsid w:val="00FA5FE9"/>
    <w:rsid w:val="00FA67D2"/>
    <w:rsid w:val="00FB302F"/>
    <w:rsid w:val="00FB5A92"/>
    <w:rsid w:val="00FC1C69"/>
    <w:rsid w:val="00FC3739"/>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D714C"/>
  <w15:docId w15:val="{A52AD750-56FD-4085-B40A-B0DA4372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lsdException w:name="endnote reference" w:semiHidden="1" w:unhideWhenUsed="1"/>
    <w:lsdException w:name="endnote text" w:semiHidden="1" w:uiPriority="99" w:unhideWhenUsed="1"/>
    <w:lsdException w:name="table of authorities" w:semiHidden="1" w:uiPriority="99"/>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72C"/>
    <w:pPr>
      <w:keepLines/>
      <w:spacing w:before="360" w:after="200"/>
    </w:pPr>
    <w:rPr>
      <w:rFonts w:eastAsiaTheme="minorHAnsi"/>
      <w:lang w:eastAsia="en-US"/>
    </w:rPr>
  </w:style>
  <w:style w:type="paragraph" w:styleId="Heading1">
    <w:name w:val="heading 1"/>
    <w:basedOn w:val="Normal"/>
    <w:next w:val="Normal"/>
    <w:link w:val="Heading1Char"/>
    <w:qFormat/>
    <w:rsid w:val="0091672C"/>
    <w:pPr>
      <w:keepNext/>
      <w:pageBreakBefore/>
      <w:pBdr>
        <w:bottom w:val="single" w:sz="6" w:space="1" w:color="497728" w:themeColor="accent1"/>
      </w:pBdr>
      <w:spacing w:after="120"/>
      <w:contextualSpacing/>
      <w:outlineLvl w:val="0"/>
    </w:pPr>
    <w:rPr>
      <w:rFonts w:cs="Arial"/>
      <w:bCs/>
      <w:color w:val="00465D" w:themeColor="text2"/>
      <w:kern w:val="32"/>
      <w:sz w:val="52"/>
      <w:szCs w:val="32"/>
    </w:rPr>
  </w:style>
  <w:style w:type="paragraph" w:styleId="Heading2">
    <w:name w:val="heading 2"/>
    <w:aliases w:val="Chapter Title,Reset numbering,W6_Hdg2,H2,h2,2,sub-sect,dd heading 2,dh2,Intro Text Bold,Header 2,l2,Level 2 Head,proj2,proj21,proj22,proj23,proj24,proj25,proj26,proj27,proj28,proj29,proj210,proj211,proj212,proj221,proj231,proj241,heading 2"/>
    <w:basedOn w:val="Normal"/>
    <w:next w:val="Normal"/>
    <w:link w:val="Heading2Char"/>
    <w:qFormat/>
    <w:rsid w:val="003F6556"/>
    <w:pPr>
      <w:keepNext/>
      <w:spacing w:before="480" w:after="240"/>
      <w:contextualSpacing/>
      <w:outlineLvl w:val="1"/>
    </w:pPr>
    <w:rPr>
      <w:rFonts w:cs="Arial"/>
      <w:b/>
      <w:bCs/>
      <w:iCs/>
      <w:color w:val="1F546B"/>
      <w:sz w:val="40"/>
      <w:szCs w:val="28"/>
    </w:rPr>
  </w:style>
  <w:style w:type="paragraph" w:styleId="Heading3">
    <w:name w:val="heading 3"/>
    <w:basedOn w:val="Normal"/>
    <w:next w:val="Normal"/>
    <w:link w:val="Heading3Char"/>
    <w:qFormat/>
    <w:rsid w:val="003F6556"/>
    <w:pPr>
      <w:keepNext/>
      <w:spacing w:after="120"/>
      <w:contextualSpacing/>
      <w:outlineLvl w:val="2"/>
    </w:pPr>
    <w:rPr>
      <w:rFonts w:cs="Arial"/>
      <w:bCs/>
      <w:color w:val="1F546B"/>
      <w:sz w:val="32"/>
      <w:szCs w:val="26"/>
    </w:rPr>
  </w:style>
  <w:style w:type="paragraph" w:styleId="Heading4">
    <w:name w:val="heading 4"/>
    <w:basedOn w:val="Normal"/>
    <w:next w:val="Normal"/>
    <w:link w:val="Heading4Char"/>
    <w:qFormat/>
    <w:rsid w:val="003F6556"/>
    <w:pPr>
      <w:keepNext/>
      <w:spacing w:after="120"/>
      <w:contextualSpacing/>
      <w:outlineLvl w:val="3"/>
    </w:pPr>
    <w:rPr>
      <w:b/>
      <w:bCs/>
      <w:color w:val="00465D" w:themeColor="text2"/>
      <w:szCs w:val="28"/>
    </w:rPr>
  </w:style>
  <w:style w:type="paragraph" w:styleId="Heading5">
    <w:name w:val="heading 5"/>
    <w:basedOn w:val="Normal"/>
    <w:next w:val="BodyText"/>
    <w:link w:val="Heading5Char"/>
    <w:uiPriority w:val="1"/>
    <w:semiHidden/>
    <w:qFormat/>
    <w:rsid w:val="007D3469"/>
    <w:pPr>
      <w:keepNext/>
      <w:outlineLvl w:val="4"/>
    </w:pPr>
    <w:rPr>
      <w:b/>
      <w:bCs/>
      <w:iCs/>
      <w:szCs w:val="26"/>
    </w:rPr>
  </w:style>
  <w:style w:type="paragraph" w:styleId="Heading6">
    <w:name w:val="heading 6"/>
    <w:basedOn w:val="Normal"/>
    <w:next w:val="Normal"/>
    <w:link w:val="Heading6Char"/>
    <w:uiPriority w:val="1"/>
    <w:semiHidden/>
    <w:qFormat/>
    <w:rsid w:val="007D3469"/>
    <w:pPr>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91672C"/>
    <w:rPr>
      <w:rFonts w:eastAsiaTheme="minorHAnsi" w:cs="Arial"/>
      <w:bCs/>
      <w:color w:val="00465D"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F6556"/>
    <w:pPr>
      <w:contextualSpacing/>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pPr>
    <w:rPr>
      <w:b/>
      <w:color w:val="1F546B"/>
      <w:sz w:val="28"/>
    </w:rPr>
  </w:style>
  <w:style w:type="paragraph" w:customStyle="1" w:styleId="Headingnumbered4">
    <w:name w:val="Heading numbered 4"/>
    <w:basedOn w:val="Normal"/>
    <w:next w:val="Normal"/>
    <w:uiPriority w:val="1"/>
    <w:semiHidden/>
    <w:rsid w:val="00E367C5"/>
    <w:pPr>
      <w:numPr>
        <w:ilvl w:val="3"/>
        <w:numId w:val="8"/>
      </w:numPr>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aliases w:val="Chapter Title Char,Reset numbering Char,W6_Hdg2 Char,H2 Char,h2 Char,2 Char,sub-sect Char,dd heading 2 Char,dh2 Char,Intro Text Bold Char,Header 2 Char,l2 Char,Level 2 Head Char,proj2 Char,proj21 Char,proj22 Char,proj23 Char,proj24 Char"/>
    <w:basedOn w:val="DefaultParagraphFont"/>
    <w:link w:val="Heading2"/>
    <w:rsid w:val="003F6556"/>
    <w:rPr>
      <w:rFonts w:eastAsiaTheme="minorHAnsi" w:cs="Arial"/>
      <w:b/>
      <w:bCs/>
      <w:iCs/>
      <w:color w:val="1F546B"/>
      <w:sz w:val="40"/>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3F6556"/>
    <w:rPr>
      <w:rFonts w:eastAsiaTheme="minorHAnsi"/>
      <w:b/>
      <w:bCs/>
      <w:color w:val="00465D"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pPr>
    <w:rPr>
      <w:b/>
      <w:color w:val="1F546B"/>
      <w:sz w:val="36"/>
    </w:rPr>
  </w:style>
  <w:style w:type="character" w:customStyle="1" w:styleId="Heading3Char">
    <w:name w:val="Heading 3 Char"/>
    <w:link w:val="Heading3"/>
    <w:rsid w:val="003F6556"/>
    <w:rPr>
      <w:rFonts w:eastAsiaTheme="minorHAnsi" w:cs="Arial"/>
      <w:bCs/>
      <w:color w:val="1F546B"/>
      <w:sz w:val="32"/>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00465D" w:themeColor="text2"/>
        <w:left w:val="single" w:sz="12" w:space="0" w:color="00465D" w:themeColor="text2"/>
        <w:bottom w:val="single" w:sz="12" w:space="0" w:color="00465D" w:themeColor="text2"/>
        <w:right w:val="single" w:sz="12" w:space="0" w:color="00465D" w:themeColor="text2"/>
        <w:insideH w:val="single" w:sz="6" w:space="0" w:color="00465D" w:themeColor="text2"/>
        <w:insideV w:val="single" w:sz="6" w:space="0" w:color="00465D"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00465D" w:themeColor="text2"/>
          <w:left w:val="single" w:sz="12" w:space="0" w:color="00465D" w:themeColor="text2"/>
          <w:bottom w:val="nil"/>
          <w:right w:val="single" w:sz="12" w:space="0" w:color="00465D" w:themeColor="text2"/>
          <w:insideH w:val="single" w:sz="6" w:space="0" w:color="FFFFFF" w:themeColor="background1"/>
          <w:insideV w:val="single" w:sz="6" w:space="0" w:color="FFFFFF" w:themeColor="background1"/>
          <w:tl2br w:val="nil"/>
          <w:tr2bl w:val="nil"/>
        </w:tcBorders>
        <w:shd w:val="clear" w:color="auto" w:fill="00465D"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aliases w:val="List 1,Other List,List Paragraph numbered,List Paragraph1,List Bullet indent,IR Bullet,PEP Bullets,Bullet Number,lp1,List Paragraph.List 1.0,List Paragraph.List 1.01,List Paragraph.List 1.011,List Paragraph.List 1.02,Bullets,Bullet 1,3"/>
    <w:basedOn w:val="List123"/>
    <w:link w:val="ListParagraphChar"/>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3FAE2A"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3FAE2A"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497728" w:themeColor="accent1"/>
      </w:pBdr>
      <w:spacing w:before="200" w:after="280"/>
      <w:ind w:left="936" w:right="936"/>
    </w:pPr>
    <w:rPr>
      <w:b/>
      <w:bCs/>
      <w:i/>
      <w:iCs/>
      <w:color w:val="00465D"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00465D"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00465D"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37"/>
      </w:numPr>
      <w:spacing w:after="120"/>
    </w:pPr>
  </w:style>
  <w:style w:type="paragraph" w:customStyle="1" w:styleId="Numberedpara2level2a">
    <w:name w:val="Numbered para (2) level 2 (a)"/>
    <w:basedOn w:val="Normal"/>
    <w:semiHidden/>
    <w:qFormat/>
    <w:rsid w:val="007D3469"/>
    <w:pPr>
      <w:numPr>
        <w:ilvl w:val="1"/>
        <w:numId w:val="37"/>
      </w:numPr>
      <w:spacing w:after="120"/>
    </w:pPr>
  </w:style>
  <w:style w:type="paragraph" w:customStyle="1" w:styleId="Numberedpara2level3i">
    <w:name w:val="Numbered para (2) level 3 (i)"/>
    <w:basedOn w:val="Normal"/>
    <w:semiHidden/>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00465D"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spacing w:after="120"/>
    </w:pPr>
  </w:style>
  <w:style w:type="paragraph" w:customStyle="1" w:styleId="Numberedpara3level3111">
    <w:name w:val="Numbered para (3) level 3 (1.1.1)"/>
    <w:basedOn w:val="Normal"/>
    <w:semiHidden/>
    <w:qFormat/>
    <w:rsid w:val="007D3469"/>
    <w:pPr>
      <w:numPr>
        <w:ilvl w:val="2"/>
        <w:numId w:val="41"/>
      </w:numPr>
      <w:spacing w:after="120"/>
    </w:pPr>
  </w:style>
  <w:style w:type="character" w:customStyle="1" w:styleId="TitleChar">
    <w:name w:val="Title Char"/>
    <w:basedOn w:val="DefaultParagraphFont"/>
    <w:link w:val="Title"/>
    <w:rsid w:val="003F6556"/>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00465D"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00465D" w:themeColor="text2"/>
      <w:u w:val="single"/>
    </w:rPr>
  </w:style>
  <w:style w:type="character" w:customStyle="1" w:styleId="ListParagraphChar">
    <w:name w:val="List Paragraph Char"/>
    <w:aliases w:val="List 1 Char,Other List Char,List Paragraph numbered Char,List Paragraph1 Char,List Bullet indent Char,IR Bullet Char,PEP Bullets Char,Bullet Number Char,lp1 Char,List Paragraph.List 1.0 Char,List Paragraph.List 1.01 Char,Bullets Char"/>
    <w:basedOn w:val="DefaultParagraphFont"/>
    <w:link w:val="ListParagraph"/>
    <w:uiPriority w:val="34"/>
    <w:qFormat/>
    <w:rsid w:val="000454A3"/>
    <w:rPr>
      <w:rFonts w:eastAsiaTheme="minorHAnsi"/>
      <w:lang w:eastAsia="en-US"/>
    </w:rPr>
  </w:style>
  <w:style w:type="paragraph" w:styleId="CommentText">
    <w:name w:val="annotation text"/>
    <w:basedOn w:val="Normal"/>
    <w:link w:val="CommentTextChar"/>
    <w:uiPriority w:val="99"/>
    <w:semiHidden/>
    <w:unhideWhenUsed/>
    <w:rsid w:val="000454A3"/>
    <w:pPr>
      <w:spacing w:before="120" w:after="240"/>
    </w:pPr>
    <w:rPr>
      <w:sz w:val="20"/>
      <w:szCs w:val="20"/>
    </w:rPr>
  </w:style>
  <w:style w:type="character" w:customStyle="1" w:styleId="CommentTextChar">
    <w:name w:val="Comment Text Char"/>
    <w:basedOn w:val="DefaultParagraphFont"/>
    <w:link w:val="CommentText"/>
    <w:uiPriority w:val="99"/>
    <w:semiHidden/>
    <w:rsid w:val="000454A3"/>
    <w:rPr>
      <w:rFonts w:eastAsiaTheme="minorHAnsi"/>
      <w:sz w:val="20"/>
      <w:szCs w:val="20"/>
      <w:lang w:eastAsia="en-US"/>
    </w:rPr>
  </w:style>
  <w:style w:type="paragraph" w:styleId="Revision">
    <w:name w:val="Revision"/>
    <w:hidden/>
    <w:uiPriority w:val="99"/>
    <w:semiHidden/>
    <w:rsid w:val="00DE60DE"/>
    <w:pPr>
      <w:spacing w:before="0" w:after="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5704">
      <w:bodyDiv w:val="1"/>
      <w:marLeft w:val="0"/>
      <w:marRight w:val="0"/>
      <w:marTop w:val="0"/>
      <w:marBottom w:val="0"/>
      <w:divBdr>
        <w:top w:val="none" w:sz="0" w:space="0" w:color="auto"/>
        <w:left w:val="none" w:sz="0" w:space="0" w:color="auto"/>
        <w:bottom w:val="none" w:sz="0" w:space="0" w:color="auto"/>
        <w:right w:val="none" w:sz="0" w:space="0" w:color="auto"/>
      </w:divBdr>
    </w:div>
    <w:div w:id="131405421">
      <w:bodyDiv w:val="1"/>
      <w:marLeft w:val="0"/>
      <w:marRight w:val="0"/>
      <w:marTop w:val="0"/>
      <w:marBottom w:val="0"/>
      <w:divBdr>
        <w:top w:val="none" w:sz="0" w:space="0" w:color="auto"/>
        <w:left w:val="none" w:sz="0" w:space="0" w:color="auto"/>
        <w:bottom w:val="none" w:sz="0" w:space="0" w:color="auto"/>
        <w:right w:val="none" w:sz="0" w:space="0" w:color="auto"/>
      </w:divBdr>
    </w:div>
    <w:div w:id="228537656">
      <w:bodyDiv w:val="1"/>
      <w:marLeft w:val="0"/>
      <w:marRight w:val="0"/>
      <w:marTop w:val="0"/>
      <w:marBottom w:val="0"/>
      <w:divBdr>
        <w:top w:val="none" w:sz="0" w:space="0" w:color="auto"/>
        <w:left w:val="none" w:sz="0" w:space="0" w:color="auto"/>
        <w:bottom w:val="none" w:sz="0" w:space="0" w:color="auto"/>
        <w:right w:val="none" w:sz="0" w:space="0" w:color="auto"/>
      </w:divBdr>
    </w:div>
    <w:div w:id="361521069">
      <w:bodyDiv w:val="1"/>
      <w:marLeft w:val="0"/>
      <w:marRight w:val="0"/>
      <w:marTop w:val="0"/>
      <w:marBottom w:val="0"/>
      <w:divBdr>
        <w:top w:val="none" w:sz="0" w:space="0" w:color="auto"/>
        <w:left w:val="none" w:sz="0" w:space="0" w:color="auto"/>
        <w:bottom w:val="none" w:sz="0" w:space="0" w:color="auto"/>
        <w:right w:val="none" w:sz="0" w:space="0" w:color="auto"/>
      </w:divBdr>
    </w:div>
    <w:div w:id="385880877">
      <w:bodyDiv w:val="1"/>
      <w:marLeft w:val="0"/>
      <w:marRight w:val="0"/>
      <w:marTop w:val="0"/>
      <w:marBottom w:val="0"/>
      <w:divBdr>
        <w:top w:val="none" w:sz="0" w:space="0" w:color="auto"/>
        <w:left w:val="none" w:sz="0" w:space="0" w:color="auto"/>
        <w:bottom w:val="none" w:sz="0" w:space="0" w:color="auto"/>
        <w:right w:val="none" w:sz="0" w:space="0" w:color="auto"/>
      </w:divBdr>
    </w:div>
    <w:div w:id="537664156">
      <w:bodyDiv w:val="1"/>
      <w:marLeft w:val="0"/>
      <w:marRight w:val="0"/>
      <w:marTop w:val="0"/>
      <w:marBottom w:val="0"/>
      <w:divBdr>
        <w:top w:val="none" w:sz="0" w:space="0" w:color="auto"/>
        <w:left w:val="none" w:sz="0" w:space="0" w:color="auto"/>
        <w:bottom w:val="none" w:sz="0" w:space="0" w:color="auto"/>
        <w:right w:val="none" w:sz="0" w:space="0" w:color="auto"/>
      </w:divBdr>
    </w:div>
    <w:div w:id="714112842">
      <w:bodyDiv w:val="1"/>
      <w:marLeft w:val="0"/>
      <w:marRight w:val="0"/>
      <w:marTop w:val="0"/>
      <w:marBottom w:val="0"/>
      <w:divBdr>
        <w:top w:val="none" w:sz="0" w:space="0" w:color="auto"/>
        <w:left w:val="none" w:sz="0" w:space="0" w:color="auto"/>
        <w:bottom w:val="none" w:sz="0" w:space="0" w:color="auto"/>
        <w:right w:val="none" w:sz="0" w:space="0" w:color="auto"/>
      </w:divBdr>
    </w:div>
    <w:div w:id="1297099986">
      <w:bodyDiv w:val="1"/>
      <w:marLeft w:val="0"/>
      <w:marRight w:val="0"/>
      <w:marTop w:val="0"/>
      <w:marBottom w:val="0"/>
      <w:divBdr>
        <w:top w:val="none" w:sz="0" w:space="0" w:color="auto"/>
        <w:left w:val="none" w:sz="0" w:space="0" w:color="auto"/>
        <w:bottom w:val="none" w:sz="0" w:space="0" w:color="auto"/>
        <w:right w:val="none" w:sz="0" w:space="0" w:color="auto"/>
      </w:divBdr>
    </w:div>
    <w:div w:id="1623078397">
      <w:bodyDiv w:val="1"/>
      <w:marLeft w:val="0"/>
      <w:marRight w:val="0"/>
      <w:marTop w:val="0"/>
      <w:marBottom w:val="0"/>
      <w:divBdr>
        <w:top w:val="none" w:sz="0" w:space="0" w:color="auto"/>
        <w:left w:val="none" w:sz="0" w:space="0" w:color="auto"/>
        <w:bottom w:val="none" w:sz="0" w:space="0" w:color="auto"/>
        <w:right w:val="none" w:sz="0" w:space="0" w:color="auto"/>
      </w:divBdr>
    </w:div>
    <w:div w:id="1880968154">
      <w:bodyDiv w:val="1"/>
      <w:marLeft w:val="0"/>
      <w:marRight w:val="0"/>
      <w:marTop w:val="0"/>
      <w:marBottom w:val="0"/>
      <w:divBdr>
        <w:top w:val="none" w:sz="0" w:space="0" w:color="auto"/>
        <w:left w:val="none" w:sz="0" w:space="0" w:color="auto"/>
        <w:bottom w:val="none" w:sz="0" w:space="0" w:color="auto"/>
        <w:right w:val="none" w:sz="0" w:space="0" w:color="auto"/>
      </w:divBdr>
    </w:div>
    <w:div w:id="2039357903">
      <w:bodyDiv w:val="1"/>
      <w:marLeft w:val="0"/>
      <w:marRight w:val="0"/>
      <w:marTop w:val="0"/>
      <w:marBottom w:val="0"/>
      <w:divBdr>
        <w:top w:val="none" w:sz="0" w:space="0" w:color="auto"/>
        <w:left w:val="none" w:sz="0" w:space="0" w:color="auto"/>
        <w:bottom w:val="none" w:sz="0" w:space="0" w:color="auto"/>
        <w:right w:val="none" w:sz="0" w:space="0" w:color="auto"/>
      </w:divBdr>
    </w:div>
    <w:div w:id="2100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dia.govt.nz/diawebsite.nsf/Files/Trust-Framework/$file/DISTF-Rules-2024.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mailto:TFA@dia.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em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IA 2">
      <a:dk1>
        <a:srgbClr val="000000"/>
      </a:dk1>
      <a:lt1>
        <a:srgbClr val="FFFFFF"/>
      </a:lt1>
      <a:dk2>
        <a:srgbClr val="00465D"/>
      </a:dk2>
      <a:lt2>
        <a:srgbClr val="E7E6E6"/>
      </a:lt2>
      <a:accent1>
        <a:srgbClr val="497728"/>
      </a:accent1>
      <a:accent2>
        <a:srgbClr val="3FAE2A"/>
      </a:accent2>
      <a:accent3>
        <a:srgbClr val="9BB3C3"/>
      </a:accent3>
      <a:accent4>
        <a:srgbClr val="0C79BE"/>
      </a:accent4>
      <a:accent5>
        <a:srgbClr val="752F8A"/>
      </a:accent5>
      <a:accent6>
        <a:srgbClr val="F7B33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FB37A94EA3880B4999FE0923EA08DBE30100437DF53D9DF00A42B48A143FC99D9035" ma:contentTypeVersion="23" ma:contentTypeDescription="Administration Document" ma:contentTypeScope="" ma:versionID="8a6e9097d043675dd16b8047b2c27c42">
  <xsd:schema xmlns:xsd="http://www.w3.org/2001/XMLSchema" xmlns:xs="http://www.w3.org/2001/XMLSchema" xmlns:p="http://schemas.microsoft.com/office/2006/metadata/properties" xmlns:ns2="89d0c6c8-e2e3-4e07-91a0-0308145fc47f" xmlns:ns3="5750afb1-007a-481a-96df-a71c539b9a3e" xmlns:ns4="577c9b0f-fd23-467a-a460-6b28c5e4f5c4" targetNamespace="http://schemas.microsoft.com/office/2006/metadata/properties" ma:root="true" ma:fieldsID="288f61ccc2c92172f7ea0e11744f97d1" ns2:_="" ns3:_="" ns4:_="">
    <xsd:import namespace="89d0c6c8-e2e3-4e07-91a0-0308145fc47f"/>
    <xsd:import namespace="5750afb1-007a-481a-96df-a71c539b9a3e"/>
    <xsd:import namespace="577c9b0f-fd23-467a-a460-6b28c5e4f5c4"/>
    <xsd:element name="properties">
      <xsd:complexType>
        <xsd:sequence>
          <xsd:element name="documentManagement">
            <xsd:complexType>
              <xsd:all>
                <xsd:element ref="ns3:TaxCatchAll" minOccurs="0"/>
                <xsd:element ref="ns2:DIANotes" minOccurs="0"/>
                <xsd:element ref="ns2:C3TopicNote" minOccurs="0"/>
                <xsd:element ref="ns3:TaxKeywordTaxHTField" minOccurs="0"/>
                <xsd:element ref="ns3:TaxCatchAllLabel" minOccurs="0"/>
                <xsd:element ref="ns2:g68b12a516a5416e8b5717422568e33f" minOccurs="0"/>
                <xsd:element ref="ns2:p5855ca8b5eb40cfa776aa672005eb7e" minOccurs="0"/>
                <xsd:element ref="ns2:_dlc_DocId" minOccurs="0"/>
                <xsd:element ref="ns2:_dlc_DocIdUrl" minOccurs="0"/>
                <xsd:element ref="ns2:_dlc_DocIdPersistId"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C3TopicNote" ma:index="14" nillable="true" ma:taxonomy="true" ma:internalName="C3TopicNote" ma:taxonomyFieldName="C3Topic" ma:displayName="Topic" ma:indexed="true" ma:readOnly="false" ma:fieldId="{6a3fe89f-a6dd-4490-a9c1-3ef38d67b8c7}" ma:sspId="220cfdc9-10b9-451b-a41a-57414fe47a11" ma:termSetId="f9ab4871-0828-42d9-bf71-d5efedf31cf8" ma:anchorId="f0d8e699-efdc-4d20-a371-1fab4c574617" ma:open="true" ma:isKeyword="false">
      <xsd:complexType>
        <xsd:sequence>
          <xsd:element ref="pc:Terms" minOccurs="0" maxOccurs="1"/>
        </xsd:sequence>
      </xsd:complexType>
    </xsd:element>
    <xsd:element name="g68b12a516a5416e8b5717422568e33f" ma:index="17" nillable="true" ma:taxonomy="true" ma:internalName="g68b12a516a5416e8b5717422568e33f" ma:taxonomyFieldName="DIAAdministrationDocumentType" ma:displayName="Administration Document Type" ma:readOnly="false" ma:fieldId="{068b12a5-16a5-416e-8b57-17422568e33f}"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p5855ca8b5eb40cfa776aa672005eb7e" ma:index="18" ma:taxonomy="true" ma:internalName="p5855ca8b5eb40cfa776aa672005eb7e" ma:taxonomyFieldName="DIASecurityClassification" ma:displayName="Security Classification" ma:readOnly="false" ma:default="2;#UNCLASSIFIED|2c10f15e-4fe4-4bec-ae91-1116436da94b" ma:fieldId="{95855ca8-b5eb-40cf-a776-aa672005eb7e}"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46df876-4594-429d-bfcc-0de4f680fc80}" ma:internalName="TaxCatchAll"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hidden="true" ma:list="{746df876-4594-429d-bfcc-0de4f680fc80}"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c9b0f-fd23-467a-a460-6b28c5e4f5c4"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C3TopicNote xmlns="89d0c6c8-e2e3-4e07-91a0-0308145fc47f">
      <Terms xmlns="http://schemas.microsoft.com/office/infopath/2007/PartnerControls">
        <TermInfo xmlns="http://schemas.microsoft.com/office/infopath/2007/PartnerControls">
          <TermName xmlns="http://schemas.microsoft.com/office/infopath/2007/PartnerControls">External facing</TermName>
          <TermId xmlns="http://schemas.microsoft.com/office/infopath/2007/PartnerControls">77a4f4d8-36e8-4380-b45a-04bddb49eb4e</TermId>
        </TermInfo>
      </Terms>
    </C3TopicNote>
    <TaxKeywordTaxHTField xmlns="5750afb1-007a-481a-96df-a71c539b9a3e">
      <Terms xmlns="http://schemas.microsoft.com/office/infopath/2007/PartnerControls"/>
    </TaxKeywordTaxHTField>
    <p5855ca8b5eb40cfa776aa672005eb7e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p5855ca8b5eb40cfa776aa672005eb7e>
    <TaxCatchAll xmlns="5750afb1-007a-481a-96df-a71c539b9a3e">
      <Value>17</Value>
      <Value>3</Value>
      <Value>2</Value>
    </TaxCatchAll>
    <g68b12a516a5416e8b5717422568e33f xmlns="89d0c6c8-e2e3-4e07-91a0-0308145fc47f">
      <Terms xmlns="http://schemas.microsoft.com/office/infopath/2007/PartnerControls"/>
    </g68b12a516a5416e8b5717422568e33f>
    <DIANotes xmlns="89d0c6c8-e2e3-4e07-91a0-0308145fc47f" xsi:nil="true"/>
    <_dlc_DocId xmlns="89d0c6c8-e2e3-4e07-91a0-0308145fc47f">RVVNZMSHEFWY-604484687-234</_dlc_DocId>
    <_dlc_DocIdUrl xmlns="89d0c6c8-e2e3-4e07-91a0-0308145fc47f">
      <Url>https://azurediagovt.sharepoint.com/sites/ECMS-RGL-TFA/_layouts/15/DocIdRedir.aspx?ID=RVVNZMSHEFWY-604484687-234</Url>
      <Description>RVVNZMSHEFWY-604484687-234</Description>
    </_dlc_DocIdUrl>
    <lcf76f155ced4ddcb4097134ff3c332f xmlns="577c9b0f-fd23-467a-a460-6b28c5e4f5c4">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03932E-3864-4D65-8581-9E2A2F65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577c9b0f-fd23-467a-a460-6b28c5e4f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A5777-16A1-41E5-885F-8F6193E7BA03}">
  <ds:schemaRefs>
    <ds:schemaRef ds:uri="http://schemas.openxmlformats.org/officeDocument/2006/bibliography"/>
  </ds:schemaRefs>
</ds:datastoreItem>
</file>

<file path=customXml/itemProps3.xml><?xml version="1.0" encoding="utf-8"?>
<ds:datastoreItem xmlns:ds="http://schemas.openxmlformats.org/officeDocument/2006/customXml" ds:itemID="{ADBDDE47-4573-4008-B807-61F244B08A17}">
  <ds:schemaRefs>
    <ds:schemaRef ds:uri="http://schemas.microsoft.com/sharepoint/v3/contenttype/forms"/>
  </ds:schemaRefs>
</ds:datastoreItem>
</file>

<file path=customXml/itemProps4.xml><?xml version="1.0" encoding="utf-8"?>
<ds:datastoreItem xmlns:ds="http://schemas.openxmlformats.org/officeDocument/2006/customXml" ds:itemID="{CC071CBB-DE70-4B02-A07E-42D7AC78BFF0}">
  <ds:schemaRefs>
    <ds:schemaRef ds:uri="http://schemas.microsoft.com/office/2006/metadata/properties"/>
    <ds:schemaRef ds:uri="http://schemas.microsoft.com/office/infopath/2007/PartnerControls"/>
    <ds:schemaRef ds:uri="89d0c6c8-e2e3-4e07-91a0-0308145fc47f"/>
    <ds:schemaRef ds:uri="5750afb1-007a-481a-96df-a71c539b9a3e"/>
    <ds:schemaRef ds:uri="577c9b0f-fd23-467a-a460-6b28c5e4f5c4"/>
  </ds:schemaRefs>
</ds:datastoreItem>
</file>

<file path=customXml/itemProps5.xml><?xml version="1.0" encoding="utf-8"?>
<ds:datastoreItem xmlns:ds="http://schemas.openxmlformats.org/officeDocument/2006/customXml" ds:itemID="{0F225F16-8DE7-42AC-A4AC-6257B072BB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TFA scope for independent security evaluation template V1.0 February 2025</dc:title>
  <dc:creator>Victoria McEwan</dc:creator>
  <cp:keywords/>
  <dc:description>Released 1 February 2011</dc:description>
  <cp:lastModifiedBy>Tim Bollinger</cp:lastModifiedBy>
  <cp:revision>4</cp:revision>
  <cp:lastPrinted>2014-07-03T05:31:00Z</cp:lastPrinted>
  <dcterms:created xsi:type="dcterms:W3CDTF">2025-07-18T01:17:00Z</dcterms:created>
  <dcterms:modified xsi:type="dcterms:W3CDTF">2025-07-20T23:23:00Z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0x010100FB37A94EA3880B4999FE0923EA08DBE30100437DF53D9DF00A42B48A143FC99D9035</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n228ab161b224bb0869adf20a78166ed">
    <vt:lpwstr>Correspondence|dcd6b05f-dc80-4336-b228-09aebf3d212c</vt:lpwstr>
  </property>
  <property fmtid="{D5CDD505-2E9C-101B-9397-08002B2CF9AE}" pid="6" name="_dlc_DocIdItemGuid">
    <vt:lpwstr>5f89d37f-376f-4584-87a9-05b1177b6098</vt:lpwstr>
  </property>
  <property fmtid="{D5CDD505-2E9C-101B-9397-08002B2CF9AE}" pid="7" name="TaxKeyword">
    <vt:lpwstr/>
  </property>
  <property fmtid="{D5CDD505-2E9C-101B-9397-08002B2CF9AE}" pid="8" name="DIAAdministrationDocumentType">
    <vt:lpwstr/>
  </property>
  <property fmtid="{D5CDD505-2E9C-101B-9397-08002B2CF9AE}" pid="9" name="C3Topic">
    <vt:lpwstr>17;#External facing|77a4f4d8-36e8-4380-b45a-04bddb49eb4e</vt:lpwstr>
  </property>
  <property fmtid="{D5CDD505-2E9C-101B-9397-08002B2CF9AE}" pid="10" name="DIAPolicyorProcedureType">
    <vt:lpwstr/>
  </property>
  <property fmtid="{D5CDD505-2E9C-101B-9397-08002B2CF9AE}" pid="11" name="l504324679ca4f359f0071672918f91b">
    <vt:lpwstr/>
  </property>
  <property fmtid="{D5CDD505-2E9C-101B-9397-08002B2CF9AE}" pid="12" name="EmReceivedByName">
    <vt:lpwstr/>
  </property>
  <property fmtid="{D5CDD505-2E9C-101B-9397-08002B2CF9AE}" pid="13" name="DIAParentID">
    <vt:lpwstr/>
  </property>
  <property fmtid="{D5CDD505-2E9C-101B-9397-08002B2CF9AE}" pid="14" name="DocumentSetDescription">
    <vt:lpwstr/>
  </property>
  <property fmtid="{D5CDD505-2E9C-101B-9397-08002B2CF9AE}" pid="15" name="DIAClassificationLevel3">
    <vt:lpwstr/>
  </property>
  <property fmtid="{D5CDD505-2E9C-101B-9397-08002B2CF9AE}" pid="16" name="DIAFolderNamedAccess">
    <vt:lpwstr/>
  </property>
  <property fmtid="{D5CDD505-2E9C-101B-9397-08002B2CF9AE}" pid="17" name="DIAOffsiteTyp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DIALegacyNotes">
    <vt:lpwstr/>
  </property>
  <property fmtid="{D5CDD505-2E9C-101B-9397-08002B2CF9AE}" pid="23" name="DIAGroupPermissions">
    <vt:lpwstr/>
  </property>
  <property fmtid="{D5CDD505-2E9C-101B-9397-08002B2CF9AE}" pid="24" name="DIALegacyVersionNumberDIA">
    <vt:lpwstr/>
  </property>
  <property fmtid="{D5CDD505-2E9C-101B-9397-08002B2CF9AE}" pid="25" name="DIAClassificationLevel4">
    <vt:lpwstr/>
  </property>
  <property fmtid="{D5CDD505-2E9C-101B-9397-08002B2CF9AE}" pid="26" name="EmCC">
    <vt:lpwstr/>
  </property>
  <property fmtid="{D5CDD505-2E9C-101B-9397-08002B2CF9AE}" pid="27" name="EmBCCSMTPAddress">
    <vt:lpwstr/>
  </property>
  <property fmtid="{D5CDD505-2E9C-101B-9397-08002B2CF9AE}" pid="28" name="DIASourceDataSource">
    <vt:lpwstr/>
  </property>
  <property fmtid="{D5CDD505-2E9C-101B-9397-08002B2CF9AE}" pid="29" name="DIALegacyModifiedByDIA">
    <vt:lpwstr/>
  </property>
  <property fmtid="{D5CDD505-2E9C-101B-9397-08002B2CF9AE}" pid="30" name="EmFromName">
    <vt:lpwstr/>
  </property>
  <property fmtid="{D5CDD505-2E9C-101B-9397-08002B2CF9AE}" pid="31" name="EmType">
    <vt:lpwstr/>
  </property>
  <property fmtid="{D5CDD505-2E9C-101B-9397-08002B2CF9AE}" pid="32" name="DIAFolderComments">
    <vt:lpwstr/>
  </property>
  <property fmtid="{D5CDD505-2E9C-101B-9397-08002B2CF9AE}" pid="33" name="DIADocumentIdentifier">
    <vt:lpwstr/>
  </property>
  <property fmtid="{D5CDD505-2E9C-101B-9397-08002B2CF9AE}" pid="34" name="DIALegacySecurityClassification">
    <vt:lpwstr/>
  </property>
  <property fmtid="{D5CDD505-2E9C-101B-9397-08002B2CF9AE}" pid="35" name="EmTo">
    <vt:lpwstr/>
  </property>
  <property fmtid="{D5CDD505-2E9C-101B-9397-08002B2CF9AE}" pid="36" name="EmToSMTPAddress">
    <vt:lpwstr/>
  </property>
  <property fmtid="{D5CDD505-2E9C-101B-9397-08002B2CF9AE}" pid="37" name="_ExtendedDescription">
    <vt:lpwstr/>
  </property>
  <property fmtid="{D5CDD505-2E9C-101B-9397-08002B2CF9AE}" pid="38" name="DIALegacyDocumentIDDIA">
    <vt:lpwstr/>
  </property>
  <property fmtid="{D5CDD505-2E9C-101B-9397-08002B2CF9AE}" pid="39" name="DIAFolderMedium">
    <vt:lpwstr/>
  </property>
  <property fmtid="{D5CDD505-2E9C-101B-9397-08002B2CF9AE}" pid="40" name="DIAFolderStatus">
    <vt:lpwstr/>
  </property>
  <property fmtid="{D5CDD505-2E9C-101B-9397-08002B2CF9AE}" pid="41" name="DIADocumentDetails">
    <vt:lpwstr/>
  </property>
  <property fmtid="{D5CDD505-2E9C-101B-9397-08002B2CF9AE}" pid="42" name="URL">
    <vt:lpwstr/>
  </property>
  <property fmtid="{D5CDD505-2E9C-101B-9397-08002B2CF9AE}" pid="43" name="DIAClassificationLevel5">
    <vt:lpwstr/>
  </property>
  <property fmtid="{D5CDD505-2E9C-101B-9397-08002B2CF9AE}" pid="44" name="DIANamedAccess">
    <vt:lpwstr/>
  </property>
  <property fmtid="{D5CDD505-2E9C-101B-9397-08002B2CF9AE}" pid="45" name="DIADocumentPublicationState">
    <vt:lpwstr/>
  </property>
  <property fmtid="{D5CDD505-2E9C-101B-9397-08002B2CF9AE}" pid="46" name="EmCon">
    <vt:lpwstr/>
  </property>
  <property fmtid="{D5CDD505-2E9C-101B-9397-08002B2CF9AE}" pid="47" name="DIAFolderBoxInformation">
    <vt:lpwstr/>
  </property>
  <property fmtid="{D5CDD505-2E9C-101B-9397-08002B2CF9AE}" pid="48" name="DIALoanStatus">
    <vt:lpwstr/>
  </property>
  <property fmtid="{D5CDD505-2E9C-101B-9397-08002B2CF9AE}" pid="49" name="EmCompanies">
    <vt:lpwstr/>
  </property>
  <property fmtid="{D5CDD505-2E9C-101B-9397-08002B2CF9AE}" pid="50" name="EmFromSMTPAddress">
    <vt:lpwstr/>
  </property>
  <property fmtid="{D5CDD505-2E9C-101B-9397-08002B2CF9AE}" pid="51" name="DIADocumentTypeDIA">
    <vt:lpwstr/>
  </property>
  <property fmtid="{D5CDD505-2E9C-101B-9397-08002B2CF9AE}" pid="52" name="DIALegacyCreatedByDIA">
    <vt:lpwstr/>
  </property>
  <property fmtid="{D5CDD505-2E9C-101B-9397-08002B2CF9AE}" pid="53" name="EmAttachCount">
    <vt:lpwstr/>
  </property>
  <property fmtid="{D5CDD505-2E9C-101B-9397-08002B2CF9AE}" pid="54" name="DIALegacyCommentsDIA">
    <vt:lpwstr/>
  </property>
  <property fmtid="{D5CDD505-2E9C-101B-9397-08002B2CF9AE}" pid="55" name="DIAClassificationLevel6">
    <vt:lpwstr/>
  </property>
  <property fmtid="{D5CDD505-2E9C-101B-9397-08002B2CF9AE}" pid="56" name="DIAFolderGroupPermissions">
    <vt:lpwstr/>
  </property>
  <property fmtid="{D5CDD505-2E9C-101B-9397-08002B2CF9AE}" pid="57" name="DIABusinessActivity">
    <vt:lpwstr/>
  </property>
  <property fmtid="{D5CDD505-2E9C-101B-9397-08002B2CF9AE}" pid="58" name="EmReceivedOnBehalfOfName">
    <vt:lpwstr/>
  </property>
  <property fmtid="{D5CDD505-2E9C-101B-9397-08002B2CF9AE}" pid="59" name="DIADocumentAuthor">
    <vt:lpwstr/>
  </property>
  <property fmtid="{D5CDD505-2E9C-101B-9397-08002B2CF9AE}" pid="60" name="DIARelatedItems">
    <vt:lpwstr/>
  </property>
  <property fmtid="{D5CDD505-2E9C-101B-9397-08002B2CF9AE}" pid="61" name="DIAClassificationLevel1">
    <vt:lpwstr/>
  </property>
  <property fmtid="{D5CDD505-2E9C-101B-9397-08002B2CF9AE}" pid="62" name="EmReplyRecipients">
    <vt:lpwstr/>
  </property>
  <property fmtid="{D5CDD505-2E9C-101B-9397-08002B2CF9AE}" pid="63" name="EmRetentionPolicyName">
    <vt:lpwstr/>
  </property>
  <property fmtid="{D5CDD505-2E9C-101B-9397-08002B2CF9AE}" pid="64" name="EmReplyRecipientNames">
    <vt:lpwstr/>
  </property>
  <property fmtid="{D5CDD505-2E9C-101B-9397-08002B2CF9AE}" pid="65" name="EmFrom">
    <vt:lpwstr/>
  </property>
  <property fmtid="{D5CDD505-2E9C-101B-9397-08002B2CF9AE}" pid="66" name="DIAFolderName">
    <vt:lpwstr/>
  </property>
  <property fmtid="{D5CDD505-2E9C-101B-9397-08002B2CF9AE}" pid="67" name="EmAttachmentNames">
    <vt:lpwstr/>
  </property>
  <property fmtid="{D5CDD505-2E9C-101B-9397-08002B2CF9AE}" pid="68" name="DIASourceLocation">
    <vt:lpwstr/>
  </property>
  <property fmtid="{D5CDD505-2E9C-101B-9397-08002B2CF9AE}" pid="69" name="EmSentOnBehalfOfName">
    <vt:lpwstr/>
  </property>
  <property fmtid="{D5CDD505-2E9C-101B-9397-08002B2CF9AE}" pid="70" name="DIALegacyFolderID">
    <vt:lpwstr/>
  </property>
  <property fmtid="{D5CDD505-2E9C-101B-9397-08002B2CF9AE}" pid="71" name="DIADocumentMedium">
    <vt:lpwstr/>
  </property>
  <property fmtid="{D5CDD505-2E9C-101B-9397-08002B2CF9AE}" pid="72" name="EmCCSMTPAddress">
    <vt:lpwstr/>
  </property>
  <property fmtid="{D5CDD505-2E9C-101B-9397-08002B2CF9AE}" pid="73" name="EmConversationID">
    <vt:lpwstr/>
  </property>
  <property fmtid="{D5CDD505-2E9C-101B-9397-08002B2CF9AE}" pid="74" name="DIAFolderBoxID">
    <vt:lpwstr/>
  </property>
  <property fmtid="{D5CDD505-2E9C-101B-9397-08002B2CF9AE}" pid="75" name="EmBCC">
    <vt:lpwstr/>
  </property>
  <property fmtid="{D5CDD505-2E9C-101B-9397-08002B2CF9AE}" pid="76" name="EmID">
    <vt:lpwstr/>
  </property>
  <property fmtid="{D5CDD505-2E9C-101B-9397-08002B2CF9AE}" pid="77" name="DIAClassificationLevel2">
    <vt:lpwstr/>
  </property>
  <property fmtid="{D5CDD505-2E9C-101B-9397-08002B2CF9AE}" pid="78" name="DIADocumentRegisteredBy">
    <vt:lpwstr/>
  </property>
  <property fmtid="{D5CDD505-2E9C-101B-9397-08002B2CF9AE}" pid="79" name="DIAFolderDetails">
    <vt:lpwstr/>
  </property>
  <property fmtid="{D5CDD505-2E9C-101B-9397-08002B2CF9AE}" pid="80" name="DIADocumentEmailFields">
    <vt:lpwstr/>
  </property>
  <property fmtid="{D5CDD505-2E9C-101B-9397-08002B2CF9AE}" pid="81" name="DIAAuditHistory">
    <vt:lpwstr/>
  </property>
  <property fmtid="{D5CDD505-2E9C-101B-9397-08002B2CF9AE}" pid="82" name="EmSubject">
    <vt:lpwstr/>
  </property>
  <property fmtid="{D5CDD505-2E9C-101B-9397-08002B2CF9AE}" pid="83" name="MediaServiceImageTags">
    <vt:lpwstr/>
  </property>
</Properties>
</file>