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egoe UI" w:hAnsi="Segoe UI" w:cs="Segoe UI"/>
          <w:b/>
          <w:bCs/>
          <w:color w:val="03B2C4"/>
          <w:sz w:val="36"/>
          <w:szCs w:val="36"/>
        </w:rPr>
        <w:id w:val="1124276035"/>
        <w:docPartObj>
          <w:docPartGallery w:val="Cover Pages"/>
          <w:docPartUnique/>
        </w:docPartObj>
      </w:sdtPr>
      <w:sdtEndPr>
        <w:rPr>
          <w:b w:val="0"/>
          <w:bCs w:val="0"/>
        </w:rPr>
      </w:sdtEndPr>
      <w:sdtContent>
        <w:p w14:paraId="6DBF3F39" w14:textId="77777777" w:rsidR="009061A2" w:rsidRDefault="009061A2">
          <w:pPr>
            <w:spacing w:after="160" w:line="259" w:lineRule="auto"/>
          </w:pPr>
        </w:p>
        <w:tbl>
          <w:tblPr>
            <w:tblStyle w:val="TableDefault"/>
            <w:tblW w:w="6859" w:type="dxa"/>
            <w:tblBorders>
              <w:top w:val="none" w:sz="0" w:space="0" w:color="auto"/>
              <w:bottom w:val="none" w:sz="0" w:space="0" w:color="auto"/>
              <w:insideH w:val="none" w:sz="0" w:space="0" w:color="auto"/>
            </w:tblBorders>
            <w:tblCellMar>
              <w:top w:w="113" w:type="dxa"/>
              <w:bottom w:w="113" w:type="dxa"/>
            </w:tblCellMar>
            <w:tblLook w:val="0600" w:firstRow="0" w:lastRow="0" w:firstColumn="0" w:lastColumn="0" w:noHBand="1" w:noVBand="1"/>
          </w:tblPr>
          <w:tblGrid>
            <w:gridCol w:w="1474"/>
            <w:gridCol w:w="850"/>
            <w:gridCol w:w="4535"/>
          </w:tblGrid>
          <w:tr w:rsidR="009061A2" w14:paraId="79D85B27" w14:textId="77777777" w:rsidTr="00873A54">
            <w:tc>
              <w:tcPr>
                <w:tcW w:w="1474" w:type="dxa"/>
              </w:tcPr>
              <w:p w14:paraId="5CE970E8" w14:textId="77777777" w:rsidR="009061A2" w:rsidRPr="00276B51" w:rsidRDefault="009061A2" w:rsidP="00873A54">
                <w:pPr>
                  <w:rPr>
                    <w:b/>
                    <w:bCs/>
                    <w:color w:val="03B2C4"/>
                    <w:sz w:val="72"/>
                    <w:szCs w:val="96"/>
                  </w:rPr>
                </w:pPr>
                <w:r w:rsidRPr="00107AA8">
                  <w:rPr>
                    <w:rStyle w:val="Sectionsub-headingChar"/>
                  </w:rPr>
                  <w:t>At a glance</w:t>
                </w:r>
              </w:p>
            </w:tc>
            <w:tc>
              <w:tcPr>
                <w:tcW w:w="850" w:type="dxa"/>
                <w:shd w:val="clear" w:color="auto" w:fill="F2F2F2" w:themeFill="background1" w:themeFillShade="F2"/>
              </w:tcPr>
              <w:p w14:paraId="029D5039" w14:textId="77777777" w:rsidR="009061A2" w:rsidRPr="00276B51" w:rsidRDefault="009061A2" w:rsidP="00873A54">
                <w:pPr>
                  <w:rPr>
                    <w:rFonts w:ascii="Calibri" w:hAnsi="Calibri" w:cs="Calibri"/>
                    <w:sz w:val="21"/>
                    <w:szCs w:val="21"/>
                  </w:rPr>
                </w:pPr>
                <w:r w:rsidRPr="00276B51">
                  <w:rPr>
                    <w:b/>
                    <w:bCs/>
                    <w:color w:val="03B2C4"/>
                    <w:sz w:val="72"/>
                    <w:szCs w:val="96"/>
                  </w:rPr>
                  <w:t>1</w:t>
                </w:r>
              </w:p>
            </w:tc>
            <w:tc>
              <w:tcPr>
                <w:tcW w:w="4535" w:type="dxa"/>
                <w:shd w:val="clear" w:color="auto" w:fill="F2F2F2" w:themeFill="background1" w:themeFillShade="F2"/>
                <w:vAlign w:val="center"/>
              </w:tcPr>
              <w:p w14:paraId="681B494F" w14:textId="5FD6559B" w:rsidR="009061A2" w:rsidRDefault="009061A2" w:rsidP="00873A54">
                <w:pPr>
                  <w:spacing w:after="0"/>
                </w:pPr>
                <w:r w:rsidRPr="00CF4BBF">
                  <w:t xml:space="preserve">This document provides additional context around the information requested in the </w:t>
                </w:r>
                <w:proofErr w:type="spellStart"/>
                <w:r>
                  <w:t>RfI</w:t>
                </w:r>
                <w:proofErr w:type="spellEnd"/>
                <w:r>
                  <w:t xml:space="preserve"> Response Template A.</w:t>
                </w:r>
              </w:p>
            </w:tc>
          </w:tr>
        </w:tbl>
        <w:p w14:paraId="7351229F" w14:textId="52ADB9D7" w:rsidR="00107AA8" w:rsidRDefault="00107AA8">
          <w:pPr>
            <w:spacing w:after="160" w:line="259" w:lineRule="auto"/>
            <w:sectPr w:rsidR="00107AA8" w:rsidSect="00657283">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871" w:right="936" w:bottom="1077" w:left="3402" w:header="567" w:footer="493" w:gutter="0"/>
              <w:cols w:space="708"/>
              <w:titlePg/>
              <w:docGrid w:linePitch="360"/>
            </w:sectPr>
          </w:pPr>
        </w:p>
        <w:p w14:paraId="7F3EBDE6" w14:textId="77777777" w:rsidR="000E503C" w:rsidRDefault="004B529F" w:rsidP="0018706D">
          <w:pPr>
            <w:pStyle w:val="Title1"/>
            <w:ind w:left="0"/>
            <w:rPr>
              <w:b w:val="0"/>
              <w:bCs w:val="0"/>
            </w:rPr>
          </w:pPr>
        </w:p>
      </w:sdtContent>
    </w:sdt>
    <w:bookmarkStart w:id="2" w:name="_Toc480458956" w:displacedByCustomXml="prev"/>
    <w:p w14:paraId="42842323" w14:textId="694E531D" w:rsidR="004C0544" w:rsidRPr="000E503C" w:rsidRDefault="00011C01" w:rsidP="0018706D">
      <w:pPr>
        <w:pStyle w:val="Title1"/>
        <w:ind w:left="0"/>
        <w:rPr>
          <w:b w:val="0"/>
          <w:bCs w:val="0"/>
        </w:rPr>
      </w:pPr>
      <w:r w:rsidRPr="0018706D">
        <w:rPr>
          <w:rFonts w:ascii="Calibri" w:hAnsi="Calibri" w:cs="Calibri"/>
          <w:lang w:val="en-GB"/>
        </w:rPr>
        <w:t>CONFIDENCE GRADES</w:t>
      </w:r>
    </w:p>
    <w:p w14:paraId="3455AB4A" w14:textId="77777777" w:rsidR="00AF5A52" w:rsidRPr="0018706D" w:rsidRDefault="00AF5A52" w:rsidP="0018706D">
      <w:pPr>
        <w:pStyle w:val="Bodynumbercopy"/>
      </w:pPr>
      <w:r w:rsidRPr="0018706D">
        <w:t xml:space="preserve">This </w:t>
      </w:r>
      <w:proofErr w:type="spellStart"/>
      <w:r w:rsidRPr="0018706D">
        <w:t>RfI</w:t>
      </w:r>
      <w:proofErr w:type="spellEnd"/>
      <w:r w:rsidRPr="0018706D">
        <w:t xml:space="preserve"> includes a confidence grading system which requires each Local Authority to apply a level of confidence to each request. </w:t>
      </w:r>
    </w:p>
    <w:p w14:paraId="6C111CF9" w14:textId="561A1FBE" w:rsidR="00AF5A52" w:rsidRPr="00472158" w:rsidRDefault="00AF5A52" w:rsidP="0018706D">
      <w:pPr>
        <w:pStyle w:val="Bodynumbercopy"/>
        <w:rPr>
          <w:lang w:eastAsia="en-NZ"/>
        </w:rPr>
      </w:pPr>
      <w:r w:rsidRPr="00472158">
        <w:rPr>
          <w:lang w:eastAsia="en-NZ"/>
        </w:rPr>
        <w:t xml:space="preserve">The confidence grade system has been developed to provide a reasoned basis for </w:t>
      </w:r>
      <w:r w:rsidR="00472158" w:rsidRPr="00472158">
        <w:rPr>
          <w:lang w:eastAsia="en-NZ"/>
        </w:rPr>
        <w:t>Local Authorities</w:t>
      </w:r>
      <w:r w:rsidRPr="00472158">
        <w:rPr>
          <w:lang w:eastAsia="en-NZ"/>
        </w:rPr>
        <w:t xml:space="preserve"> to qualify information in respect to reliability and accuracy. It is essential that proper care and a high level of application is given to the assignment of confidence grades to data requiring such annexation. </w:t>
      </w:r>
    </w:p>
    <w:p w14:paraId="67915F5C" w14:textId="77777777" w:rsidR="00AF5A52" w:rsidRPr="00472158" w:rsidRDefault="00AF5A52" w:rsidP="0018706D">
      <w:pPr>
        <w:pStyle w:val="Bodynumbercopy"/>
        <w:rPr>
          <w:lang w:eastAsia="en-NZ"/>
        </w:rPr>
      </w:pPr>
      <w:r w:rsidRPr="00472158">
        <w:rPr>
          <w:lang w:eastAsia="en-NZ"/>
        </w:rPr>
        <w:t>There are two elements to the confidence grades:</w:t>
      </w:r>
    </w:p>
    <w:p w14:paraId="4F0443A2" w14:textId="77777777" w:rsidR="00AF5A52" w:rsidRPr="00472158" w:rsidRDefault="00AF5A52" w:rsidP="00871522">
      <w:pPr>
        <w:pStyle w:val="Bodynumbercopy"/>
        <w:numPr>
          <w:ilvl w:val="0"/>
          <w:numId w:val="28"/>
        </w:numPr>
      </w:pPr>
      <w:r w:rsidRPr="00472158">
        <w:t>Reliability bands (A to D); and</w:t>
      </w:r>
    </w:p>
    <w:p w14:paraId="71A37750" w14:textId="77777777" w:rsidR="00AF5A52" w:rsidRPr="00472158" w:rsidRDefault="00AF5A52" w:rsidP="00871522">
      <w:pPr>
        <w:pStyle w:val="Bodynumbercopy"/>
        <w:numPr>
          <w:ilvl w:val="0"/>
          <w:numId w:val="28"/>
        </w:numPr>
      </w:pPr>
      <w:r w:rsidRPr="00472158">
        <w:t>Accuracy bands (1 to 6).</w:t>
      </w:r>
    </w:p>
    <w:p w14:paraId="2725339F" w14:textId="77777777" w:rsidR="00AF5A52" w:rsidRPr="00472158" w:rsidRDefault="00AF5A52" w:rsidP="0018706D">
      <w:pPr>
        <w:pStyle w:val="Bodynumbercopy"/>
      </w:pPr>
      <w:r w:rsidRPr="00472158">
        <w:rPr>
          <w:lang w:eastAsia="en-NZ"/>
        </w:rPr>
        <w:t>The reliability bands are assigned according to the source of the information.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1"/>
        <w:gridCol w:w="6447"/>
      </w:tblGrid>
      <w:tr w:rsidR="00AF5A52" w:rsidRPr="0042216E" w14:paraId="5FB3723F" w14:textId="77777777" w:rsidTr="0018706D">
        <w:trPr>
          <w:trHeight w:val="183"/>
          <w:tblHeader/>
        </w:trPr>
        <w:tc>
          <w:tcPr>
            <w:tcW w:w="735" w:type="pct"/>
            <w:tcBorders>
              <w:top w:val="single" w:sz="4" w:space="0" w:color="307D99"/>
              <w:left w:val="single" w:sz="4" w:space="0" w:color="307D99"/>
              <w:bottom w:val="single" w:sz="4" w:space="0" w:color="307D99"/>
              <w:right w:val="single" w:sz="4" w:space="0" w:color="307D99"/>
            </w:tcBorders>
            <w:shd w:val="clear" w:color="auto" w:fill="12B2C2"/>
          </w:tcPr>
          <w:p w14:paraId="593A2278" w14:textId="77777777" w:rsidR="00AF5A52" w:rsidRPr="0018706D" w:rsidRDefault="00AF5A52" w:rsidP="00AD1AF6">
            <w:pPr>
              <w:rPr>
                <w:rFonts w:ascii="Calibri" w:hAnsi="Calibri" w:cs="Calibri"/>
                <w:b/>
                <w:bCs/>
                <w:color w:val="FFFFFF" w:themeColor="background1"/>
                <w:sz w:val="21"/>
                <w:szCs w:val="21"/>
              </w:rPr>
            </w:pPr>
            <w:r w:rsidRPr="0018706D">
              <w:rPr>
                <w:rFonts w:ascii="Calibri" w:hAnsi="Calibri" w:cs="Calibri"/>
                <w:b/>
                <w:bCs/>
                <w:color w:val="FFFFFF" w:themeColor="background1"/>
                <w:sz w:val="21"/>
                <w:szCs w:val="21"/>
              </w:rPr>
              <w:t>Reliability Band</w:t>
            </w:r>
          </w:p>
        </w:tc>
        <w:tc>
          <w:tcPr>
            <w:tcW w:w="4265" w:type="pct"/>
            <w:tcBorders>
              <w:top w:val="single" w:sz="4" w:space="0" w:color="307D99"/>
              <w:left w:val="single" w:sz="4" w:space="0" w:color="307D99"/>
              <w:bottom w:val="single" w:sz="4" w:space="0" w:color="307D99"/>
              <w:right w:val="single" w:sz="4" w:space="0" w:color="307D99"/>
            </w:tcBorders>
            <w:shd w:val="clear" w:color="auto" w:fill="12B2C2"/>
          </w:tcPr>
          <w:p w14:paraId="264928EA" w14:textId="77777777" w:rsidR="00AF5A52" w:rsidRPr="0018706D" w:rsidRDefault="00AF5A52" w:rsidP="00AD1AF6">
            <w:pPr>
              <w:rPr>
                <w:rFonts w:ascii="Calibri" w:hAnsi="Calibri" w:cs="Calibri"/>
                <w:b/>
                <w:bCs/>
                <w:color w:val="FFFFFF" w:themeColor="background1"/>
                <w:sz w:val="21"/>
                <w:szCs w:val="21"/>
              </w:rPr>
            </w:pPr>
            <w:r w:rsidRPr="0018706D">
              <w:rPr>
                <w:rFonts w:ascii="Calibri" w:hAnsi="Calibri" w:cs="Calibri"/>
                <w:b/>
                <w:bCs/>
                <w:color w:val="FFFFFF" w:themeColor="background1"/>
                <w:sz w:val="21"/>
                <w:szCs w:val="21"/>
              </w:rPr>
              <w:t>Description</w:t>
            </w:r>
          </w:p>
        </w:tc>
      </w:tr>
      <w:tr w:rsidR="00AF5A52" w:rsidRPr="0042216E" w14:paraId="20E08039" w14:textId="77777777" w:rsidTr="0018706D">
        <w:trPr>
          <w:trHeight w:val="183"/>
        </w:trPr>
        <w:tc>
          <w:tcPr>
            <w:tcW w:w="735" w:type="pct"/>
            <w:tcBorders>
              <w:top w:val="single" w:sz="4" w:space="0" w:color="307D99"/>
              <w:left w:val="single" w:sz="4" w:space="0" w:color="307D99"/>
              <w:bottom w:val="single" w:sz="4" w:space="0" w:color="307D99"/>
              <w:right w:val="single" w:sz="4" w:space="0" w:color="307D99"/>
            </w:tcBorders>
            <w:shd w:val="clear" w:color="auto" w:fill="auto"/>
          </w:tcPr>
          <w:p w14:paraId="0232C18B" w14:textId="77777777" w:rsidR="00AF5A52" w:rsidRPr="0018706D" w:rsidRDefault="00AF5A52" w:rsidP="00AD1AF6">
            <w:pPr>
              <w:rPr>
                <w:rFonts w:ascii="Calibri" w:hAnsi="Calibri" w:cs="Calibri"/>
                <w:sz w:val="21"/>
                <w:szCs w:val="21"/>
              </w:rPr>
            </w:pPr>
            <w:r w:rsidRPr="0018706D">
              <w:rPr>
                <w:rFonts w:ascii="Calibri" w:hAnsi="Calibri" w:cs="Calibri"/>
                <w:sz w:val="21"/>
                <w:szCs w:val="21"/>
              </w:rPr>
              <w:t>A</w:t>
            </w:r>
          </w:p>
        </w:tc>
        <w:tc>
          <w:tcPr>
            <w:tcW w:w="4265" w:type="pct"/>
            <w:tcBorders>
              <w:top w:val="single" w:sz="4" w:space="0" w:color="307D99"/>
              <w:left w:val="single" w:sz="4" w:space="0" w:color="307D99"/>
              <w:bottom w:val="single" w:sz="4" w:space="0" w:color="307D99"/>
              <w:right w:val="single" w:sz="4" w:space="0" w:color="307D99"/>
            </w:tcBorders>
            <w:shd w:val="clear" w:color="auto" w:fill="auto"/>
          </w:tcPr>
          <w:p w14:paraId="70379F20" w14:textId="77777777" w:rsidR="00AF5A52" w:rsidRPr="0018706D" w:rsidRDefault="00AF5A52" w:rsidP="00AD1AF6">
            <w:pPr>
              <w:rPr>
                <w:rFonts w:ascii="Calibri" w:hAnsi="Calibri" w:cs="Calibri"/>
                <w:sz w:val="21"/>
                <w:szCs w:val="21"/>
              </w:rPr>
            </w:pPr>
            <w:r w:rsidRPr="0018706D">
              <w:rPr>
                <w:rFonts w:ascii="Calibri" w:hAnsi="Calibri" w:cs="Calibri"/>
                <w:color w:val="000000"/>
                <w:sz w:val="21"/>
                <w:szCs w:val="21"/>
              </w:rPr>
              <w:t xml:space="preserve">Sound textual records, procedures, investigations or analysis properly documented and </w:t>
            </w:r>
            <w:proofErr w:type="spellStart"/>
            <w:r w:rsidRPr="0018706D">
              <w:rPr>
                <w:rFonts w:ascii="Calibri" w:hAnsi="Calibri" w:cs="Calibri"/>
                <w:color w:val="000000"/>
                <w:sz w:val="21"/>
                <w:szCs w:val="21"/>
              </w:rPr>
              <w:t>recognised</w:t>
            </w:r>
            <w:proofErr w:type="spellEnd"/>
            <w:r w:rsidRPr="0018706D">
              <w:rPr>
                <w:rFonts w:ascii="Calibri" w:hAnsi="Calibri" w:cs="Calibri"/>
                <w:color w:val="000000"/>
                <w:sz w:val="21"/>
                <w:szCs w:val="21"/>
              </w:rPr>
              <w:t xml:space="preserve"> as the best method of assessment.</w:t>
            </w:r>
          </w:p>
        </w:tc>
      </w:tr>
      <w:tr w:rsidR="00AF5A52" w:rsidRPr="0042216E" w14:paraId="3C77F487" w14:textId="77777777" w:rsidTr="0018706D">
        <w:trPr>
          <w:trHeight w:val="183"/>
        </w:trPr>
        <w:tc>
          <w:tcPr>
            <w:tcW w:w="735" w:type="pct"/>
            <w:tcBorders>
              <w:top w:val="single" w:sz="4" w:space="0" w:color="307D99"/>
              <w:left w:val="single" w:sz="4" w:space="0" w:color="307D99"/>
              <w:bottom w:val="single" w:sz="4" w:space="0" w:color="307D99"/>
              <w:right w:val="single" w:sz="4" w:space="0" w:color="307D99"/>
            </w:tcBorders>
            <w:shd w:val="clear" w:color="auto" w:fill="auto"/>
          </w:tcPr>
          <w:p w14:paraId="5FA3BCFB" w14:textId="77777777" w:rsidR="00AF5A52" w:rsidRPr="0018706D" w:rsidRDefault="00AF5A52" w:rsidP="00AD1AF6">
            <w:pPr>
              <w:rPr>
                <w:rFonts w:ascii="Calibri" w:hAnsi="Calibri" w:cs="Calibri"/>
                <w:sz w:val="21"/>
                <w:szCs w:val="21"/>
              </w:rPr>
            </w:pPr>
            <w:r w:rsidRPr="0018706D">
              <w:rPr>
                <w:rFonts w:ascii="Calibri" w:hAnsi="Calibri" w:cs="Calibri"/>
                <w:sz w:val="21"/>
                <w:szCs w:val="21"/>
              </w:rPr>
              <w:t>B</w:t>
            </w:r>
          </w:p>
        </w:tc>
        <w:tc>
          <w:tcPr>
            <w:tcW w:w="4265" w:type="pct"/>
            <w:tcBorders>
              <w:top w:val="single" w:sz="4" w:space="0" w:color="307D99"/>
              <w:left w:val="single" w:sz="4" w:space="0" w:color="307D99"/>
              <w:bottom w:val="single" w:sz="4" w:space="0" w:color="307D99"/>
              <w:right w:val="single" w:sz="4" w:space="0" w:color="307D99"/>
            </w:tcBorders>
            <w:shd w:val="clear" w:color="auto" w:fill="auto"/>
          </w:tcPr>
          <w:p w14:paraId="2795E4D1" w14:textId="77777777" w:rsidR="00AF5A52" w:rsidRPr="0018706D" w:rsidRDefault="00AF5A52" w:rsidP="00AD1AF6">
            <w:pPr>
              <w:rPr>
                <w:rFonts w:ascii="Calibri" w:hAnsi="Calibri" w:cs="Calibri"/>
                <w:sz w:val="21"/>
                <w:szCs w:val="21"/>
              </w:rPr>
            </w:pPr>
            <w:r w:rsidRPr="0018706D">
              <w:rPr>
                <w:rFonts w:ascii="Calibri" w:hAnsi="Calibri" w:cs="Calibri"/>
                <w:color w:val="000000"/>
                <w:sz w:val="21"/>
                <w:szCs w:val="21"/>
              </w:rPr>
              <w:t>As A but with minor shortcomings. Examples include old assessment, some missing documentation, some reliance on unconfirmed reports, some use of extrapolation.</w:t>
            </w:r>
          </w:p>
        </w:tc>
      </w:tr>
      <w:tr w:rsidR="00AF5A52" w:rsidRPr="0042216E" w14:paraId="542B5C03" w14:textId="77777777" w:rsidTr="0018706D">
        <w:trPr>
          <w:trHeight w:val="183"/>
        </w:trPr>
        <w:tc>
          <w:tcPr>
            <w:tcW w:w="735" w:type="pct"/>
            <w:tcBorders>
              <w:top w:val="single" w:sz="4" w:space="0" w:color="307D99"/>
              <w:left w:val="single" w:sz="4" w:space="0" w:color="307D99"/>
              <w:bottom w:val="single" w:sz="4" w:space="0" w:color="307D99"/>
              <w:right w:val="single" w:sz="4" w:space="0" w:color="307D99"/>
            </w:tcBorders>
            <w:shd w:val="clear" w:color="auto" w:fill="auto"/>
          </w:tcPr>
          <w:p w14:paraId="60ECA746" w14:textId="77777777" w:rsidR="00AF5A52" w:rsidRPr="0018706D" w:rsidRDefault="00AF5A52" w:rsidP="00AD1AF6">
            <w:pPr>
              <w:rPr>
                <w:rFonts w:ascii="Calibri" w:hAnsi="Calibri" w:cs="Calibri"/>
                <w:sz w:val="21"/>
                <w:szCs w:val="21"/>
              </w:rPr>
            </w:pPr>
            <w:r w:rsidRPr="0018706D">
              <w:rPr>
                <w:rFonts w:ascii="Calibri" w:hAnsi="Calibri" w:cs="Calibri"/>
                <w:sz w:val="21"/>
                <w:szCs w:val="21"/>
              </w:rPr>
              <w:t>C</w:t>
            </w:r>
          </w:p>
        </w:tc>
        <w:tc>
          <w:tcPr>
            <w:tcW w:w="4265" w:type="pct"/>
            <w:tcBorders>
              <w:top w:val="single" w:sz="4" w:space="0" w:color="307D99"/>
              <w:left w:val="single" w:sz="4" w:space="0" w:color="307D99"/>
              <w:bottom w:val="single" w:sz="4" w:space="0" w:color="307D99"/>
              <w:right w:val="single" w:sz="4" w:space="0" w:color="307D99"/>
            </w:tcBorders>
            <w:shd w:val="clear" w:color="auto" w:fill="auto"/>
          </w:tcPr>
          <w:p w14:paraId="71DA062A" w14:textId="77777777" w:rsidR="00AF5A52" w:rsidRPr="0018706D" w:rsidRDefault="00AF5A52" w:rsidP="00AD1AF6">
            <w:pPr>
              <w:rPr>
                <w:rFonts w:ascii="Calibri" w:hAnsi="Calibri" w:cs="Calibri"/>
                <w:sz w:val="21"/>
                <w:szCs w:val="21"/>
              </w:rPr>
            </w:pPr>
            <w:r w:rsidRPr="0018706D">
              <w:rPr>
                <w:rFonts w:ascii="Calibri" w:hAnsi="Calibri" w:cs="Calibri"/>
                <w:color w:val="000000"/>
                <w:sz w:val="21"/>
                <w:szCs w:val="21"/>
              </w:rPr>
              <w:t>Extrapolation from limited sample for which Grade A or B data is available.</w:t>
            </w:r>
          </w:p>
        </w:tc>
      </w:tr>
      <w:tr w:rsidR="00AF5A52" w:rsidRPr="0042216E" w14:paraId="62927EFF" w14:textId="77777777" w:rsidTr="0018706D">
        <w:trPr>
          <w:trHeight w:val="183"/>
        </w:trPr>
        <w:tc>
          <w:tcPr>
            <w:tcW w:w="735" w:type="pct"/>
            <w:tcBorders>
              <w:top w:val="single" w:sz="4" w:space="0" w:color="307D99"/>
              <w:left w:val="single" w:sz="4" w:space="0" w:color="307D99"/>
              <w:bottom w:val="single" w:sz="4" w:space="0" w:color="307D99"/>
              <w:right w:val="single" w:sz="4" w:space="0" w:color="307D99"/>
            </w:tcBorders>
            <w:shd w:val="clear" w:color="auto" w:fill="auto"/>
          </w:tcPr>
          <w:p w14:paraId="1E75C884" w14:textId="77777777" w:rsidR="00AF5A52" w:rsidRPr="0018706D" w:rsidRDefault="00AF5A52" w:rsidP="00AD1AF6">
            <w:pPr>
              <w:rPr>
                <w:rFonts w:ascii="Calibri" w:hAnsi="Calibri" w:cs="Calibri"/>
                <w:sz w:val="21"/>
                <w:szCs w:val="21"/>
              </w:rPr>
            </w:pPr>
            <w:r w:rsidRPr="0018706D">
              <w:rPr>
                <w:rFonts w:ascii="Calibri" w:hAnsi="Calibri" w:cs="Calibri"/>
                <w:sz w:val="21"/>
                <w:szCs w:val="21"/>
              </w:rPr>
              <w:t>D</w:t>
            </w:r>
          </w:p>
        </w:tc>
        <w:tc>
          <w:tcPr>
            <w:tcW w:w="4265" w:type="pct"/>
            <w:tcBorders>
              <w:top w:val="single" w:sz="4" w:space="0" w:color="307D99"/>
              <w:left w:val="single" w:sz="4" w:space="0" w:color="307D99"/>
              <w:bottom w:val="single" w:sz="4" w:space="0" w:color="307D99"/>
              <w:right w:val="single" w:sz="4" w:space="0" w:color="307D99"/>
            </w:tcBorders>
            <w:shd w:val="clear" w:color="auto" w:fill="auto"/>
          </w:tcPr>
          <w:p w14:paraId="279A393C" w14:textId="77777777" w:rsidR="00AF5A52" w:rsidRPr="0018706D" w:rsidRDefault="00AF5A52" w:rsidP="00AD1AF6">
            <w:pPr>
              <w:rPr>
                <w:rFonts w:ascii="Calibri" w:hAnsi="Calibri" w:cs="Calibri"/>
                <w:sz w:val="21"/>
                <w:szCs w:val="21"/>
              </w:rPr>
            </w:pPr>
            <w:r w:rsidRPr="0018706D">
              <w:rPr>
                <w:rFonts w:ascii="Calibri" w:hAnsi="Calibri" w:cs="Calibri"/>
                <w:color w:val="000000"/>
                <w:sz w:val="21"/>
                <w:szCs w:val="21"/>
              </w:rPr>
              <w:t>Unconfirmed verbal reports, cursory inspections or analysis.</w:t>
            </w:r>
          </w:p>
        </w:tc>
      </w:tr>
    </w:tbl>
    <w:p w14:paraId="234707C1" w14:textId="77777777" w:rsidR="00AF5A52" w:rsidRPr="0018706D" w:rsidRDefault="00AF5A52" w:rsidP="00AF5A52">
      <w:pPr>
        <w:rPr>
          <w:rFonts w:ascii="Calibri" w:hAnsi="Calibri" w:cs="Calibri"/>
        </w:rPr>
      </w:pPr>
    </w:p>
    <w:p w14:paraId="77014DE1" w14:textId="77777777" w:rsidR="00AF5A52" w:rsidRPr="0018706D" w:rsidRDefault="00AF5A52" w:rsidP="0018706D">
      <w:pPr>
        <w:pStyle w:val="Bodynumbercopy"/>
        <w:rPr>
          <w:lang w:val="en-GB"/>
        </w:rPr>
      </w:pPr>
      <w:r w:rsidRPr="0018706D">
        <w:rPr>
          <w:lang w:val="en-GB"/>
        </w:rPr>
        <w:t xml:space="preserve">Accuracy bands provide the margin of error around the central estimate. </w:t>
      </w:r>
    </w:p>
    <w:tbl>
      <w:tblPr>
        <w:tblW w:w="0" w:type="auto"/>
        <w:tblInd w:w="8" w:type="dxa"/>
        <w:tblBorders>
          <w:top w:val="single" w:sz="4" w:space="0" w:color="307D99"/>
          <w:left w:val="single" w:sz="4" w:space="0" w:color="307D99"/>
          <w:bottom w:val="single" w:sz="4" w:space="0" w:color="307D99"/>
          <w:right w:val="single" w:sz="4" w:space="0" w:color="307D99"/>
          <w:insideH w:val="single" w:sz="4" w:space="0" w:color="307D99"/>
          <w:insideV w:val="single" w:sz="4" w:space="0" w:color="307D99"/>
        </w:tblBorders>
        <w:tblCellMar>
          <w:left w:w="0" w:type="dxa"/>
          <w:right w:w="0" w:type="dxa"/>
        </w:tblCellMar>
        <w:tblLook w:val="0000" w:firstRow="0" w:lastRow="0" w:firstColumn="0" w:lastColumn="0" w:noHBand="0" w:noVBand="0"/>
      </w:tblPr>
      <w:tblGrid>
        <w:gridCol w:w="1143"/>
        <w:gridCol w:w="3958"/>
        <w:gridCol w:w="2449"/>
      </w:tblGrid>
      <w:tr w:rsidR="00AF5A52" w:rsidRPr="0018706D" w14:paraId="26FD7DAA" w14:textId="77777777" w:rsidTr="0018706D">
        <w:trPr>
          <w:cantSplit/>
          <w:trHeight w:val="768"/>
        </w:trPr>
        <w:tc>
          <w:tcPr>
            <w:tcW w:w="0" w:type="auto"/>
            <w:shd w:val="clear" w:color="auto" w:fill="12B2C2"/>
            <w:vAlign w:val="center"/>
          </w:tcPr>
          <w:p w14:paraId="0815979E" w14:textId="77777777" w:rsidR="00AF5A52" w:rsidRPr="0018706D" w:rsidRDefault="00AF5A52" w:rsidP="00AD1AF6">
            <w:pPr>
              <w:jc w:val="center"/>
              <w:rPr>
                <w:rFonts w:ascii="Calibri" w:hAnsi="Calibri" w:cs="Calibri"/>
                <w:b/>
                <w:bCs/>
                <w:color w:val="FFFFFF" w:themeColor="background1"/>
                <w:sz w:val="21"/>
                <w:szCs w:val="21"/>
                <w:lang w:val="en-GB"/>
              </w:rPr>
            </w:pPr>
            <w:r w:rsidRPr="0018706D">
              <w:rPr>
                <w:rFonts w:ascii="Calibri" w:hAnsi="Calibri" w:cs="Calibri"/>
                <w:b/>
                <w:bCs/>
                <w:color w:val="FFFFFF" w:themeColor="background1"/>
                <w:sz w:val="21"/>
                <w:szCs w:val="21"/>
                <w:lang w:val="en-GB"/>
              </w:rPr>
              <w:t>Accuracy Band</w:t>
            </w:r>
          </w:p>
        </w:tc>
        <w:tc>
          <w:tcPr>
            <w:tcW w:w="0" w:type="auto"/>
            <w:shd w:val="clear" w:color="auto" w:fill="12B2C2"/>
            <w:vAlign w:val="center"/>
          </w:tcPr>
          <w:p w14:paraId="3F664B03" w14:textId="77777777" w:rsidR="00AF5A52" w:rsidRPr="0018706D" w:rsidRDefault="00AF5A52" w:rsidP="00AD1AF6">
            <w:pPr>
              <w:jc w:val="center"/>
              <w:rPr>
                <w:rFonts w:ascii="Calibri" w:hAnsi="Calibri" w:cs="Calibri"/>
                <w:b/>
                <w:bCs/>
                <w:color w:val="FFFFFF" w:themeColor="background1"/>
                <w:sz w:val="21"/>
                <w:szCs w:val="21"/>
                <w:lang w:val="en-GB"/>
              </w:rPr>
            </w:pPr>
            <w:r w:rsidRPr="0018706D">
              <w:rPr>
                <w:rFonts w:ascii="Calibri" w:hAnsi="Calibri" w:cs="Calibri"/>
                <w:b/>
                <w:bCs/>
                <w:color w:val="FFFFFF" w:themeColor="background1"/>
                <w:sz w:val="21"/>
                <w:szCs w:val="21"/>
                <w:lang w:val="en-GB"/>
              </w:rPr>
              <w:t>Accuracy to or within +/-</w:t>
            </w:r>
          </w:p>
        </w:tc>
        <w:tc>
          <w:tcPr>
            <w:tcW w:w="0" w:type="auto"/>
            <w:shd w:val="clear" w:color="auto" w:fill="12B2C2"/>
            <w:vAlign w:val="center"/>
          </w:tcPr>
          <w:p w14:paraId="525877EC" w14:textId="48F03E95" w:rsidR="00AF5A52" w:rsidRPr="00011C01" w:rsidRDefault="00F27D08" w:rsidP="00011C01">
            <w:pPr>
              <w:jc w:val="center"/>
            </w:pPr>
            <w:r w:rsidRPr="0018706D">
              <w:rPr>
                <w:rFonts w:ascii="Calibri" w:hAnsi="Calibri" w:cs="Calibri"/>
                <w:b/>
                <w:bCs/>
                <w:color w:val="FFFFFF" w:themeColor="background1"/>
                <w:sz w:val="21"/>
                <w:szCs w:val="21"/>
                <w:lang w:val="en-GB"/>
              </w:rPr>
              <w:t>but outside +/-</w:t>
            </w:r>
          </w:p>
        </w:tc>
      </w:tr>
      <w:tr w:rsidR="00AF5A52" w:rsidRPr="0018706D" w14:paraId="27348053" w14:textId="77777777" w:rsidTr="0018706D">
        <w:trPr>
          <w:cantSplit/>
          <w:trHeight w:val="515"/>
        </w:trPr>
        <w:tc>
          <w:tcPr>
            <w:tcW w:w="0" w:type="auto"/>
            <w:vAlign w:val="center"/>
          </w:tcPr>
          <w:p w14:paraId="65CAAFEF" w14:textId="77777777" w:rsidR="00AF5A52" w:rsidRPr="0018706D" w:rsidRDefault="00AF5A52" w:rsidP="00AD1AF6">
            <w:pPr>
              <w:jc w:val="center"/>
              <w:rPr>
                <w:rFonts w:ascii="Calibri" w:hAnsi="Calibri" w:cs="Calibri"/>
                <w:color w:val="000000"/>
                <w:sz w:val="21"/>
                <w:szCs w:val="21"/>
                <w:lang w:val="en-GB"/>
              </w:rPr>
            </w:pPr>
            <w:r w:rsidRPr="0018706D">
              <w:rPr>
                <w:rFonts w:ascii="Calibri" w:hAnsi="Calibri" w:cs="Calibri"/>
                <w:color w:val="000000"/>
                <w:sz w:val="21"/>
                <w:szCs w:val="21"/>
                <w:lang w:val="en-GB"/>
              </w:rPr>
              <w:t>1</w:t>
            </w:r>
          </w:p>
        </w:tc>
        <w:tc>
          <w:tcPr>
            <w:tcW w:w="0" w:type="auto"/>
            <w:vAlign w:val="center"/>
          </w:tcPr>
          <w:p w14:paraId="2BCC411D" w14:textId="77777777" w:rsidR="00AF5A52" w:rsidRPr="0018706D" w:rsidRDefault="00AF5A52" w:rsidP="00AD1AF6">
            <w:pPr>
              <w:jc w:val="center"/>
              <w:rPr>
                <w:rFonts w:ascii="Calibri" w:hAnsi="Calibri" w:cs="Calibri"/>
                <w:color w:val="000000"/>
                <w:sz w:val="21"/>
                <w:szCs w:val="21"/>
                <w:lang w:val="en-GB"/>
              </w:rPr>
            </w:pPr>
            <w:r w:rsidRPr="0018706D">
              <w:rPr>
                <w:rFonts w:ascii="Calibri" w:hAnsi="Calibri" w:cs="Calibri"/>
                <w:color w:val="000000"/>
                <w:sz w:val="21"/>
                <w:szCs w:val="21"/>
                <w:lang w:val="en-GB"/>
              </w:rPr>
              <w:t>1%</w:t>
            </w:r>
          </w:p>
        </w:tc>
        <w:tc>
          <w:tcPr>
            <w:tcW w:w="0" w:type="auto"/>
            <w:vAlign w:val="center"/>
          </w:tcPr>
          <w:p w14:paraId="55EAAE7B" w14:textId="77777777" w:rsidR="00AF5A52" w:rsidRPr="0018706D" w:rsidRDefault="00AF5A52" w:rsidP="00AD1AF6">
            <w:pPr>
              <w:jc w:val="center"/>
              <w:rPr>
                <w:rFonts w:ascii="Calibri" w:hAnsi="Calibri" w:cs="Calibri"/>
                <w:color w:val="000000"/>
                <w:sz w:val="21"/>
                <w:szCs w:val="21"/>
                <w:lang w:val="en-GB"/>
              </w:rPr>
            </w:pPr>
            <w:r w:rsidRPr="0018706D">
              <w:rPr>
                <w:rFonts w:ascii="Calibri" w:hAnsi="Calibri" w:cs="Calibri"/>
                <w:color w:val="000000"/>
                <w:sz w:val="21"/>
                <w:szCs w:val="21"/>
                <w:lang w:val="en-GB"/>
              </w:rPr>
              <w:t>-</w:t>
            </w:r>
          </w:p>
        </w:tc>
      </w:tr>
      <w:tr w:rsidR="00AF5A52" w:rsidRPr="0018706D" w14:paraId="03EBB4F5" w14:textId="77777777" w:rsidTr="0018706D">
        <w:trPr>
          <w:cantSplit/>
          <w:trHeight w:val="503"/>
        </w:trPr>
        <w:tc>
          <w:tcPr>
            <w:tcW w:w="0" w:type="auto"/>
            <w:vAlign w:val="center"/>
          </w:tcPr>
          <w:p w14:paraId="242BA940" w14:textId="77777777" w:rsidR="00AF5A52" w:rsidRPr="0018706D" w:rsidRDefault="00AF5A52" w:rsidP="00AD1AF6">
            <w:pPr>
              <w:jc w:val="center"/>
              <w:rPr>
                <w:rFonts w:ascii="Calibri" w:hAnsi="Calibri" w:cs="Calibri"/>
                <w:color w:val="000000"/>
                <w:sz w:val="21"/>
                <w:szCs w:val="21"/>
                <w:lang w:val="en-GB"/>
              </w:rPr>
            </w:pPr>
            <w:r w:rsidRPr="0018706D">
              <w:rPr>
                <w:rFonts w:ascii="Calibri" w:hAnsi="Calibri" w:cs="Calibri"/>
                <w:color w:val="000000"/>
                <w:sz w:val="21"/>
                <w:szCs w:val="21"/>
                <w:lang w:val="en-GB"/>
              </w:rPr>
              <w:t>2</w:t>
            </w:r>
          </w:p>
        </w:tc>
        <w:tc>
          <w:tcPr>
            <w:tcW w:w="0" w:type="auto"/>
            <w:vAlign w:val="center"/>
          </w:tcPr>
          <w:p w14:paraId="3A08BF76" w14:textId="77777777" w:rsidR="00AF5A52" w:rsidRPr="0018706D" w:rsidRDefault="00AF5A52" w:rsidP="00AD1AF6">
            <w:pPr>
              <w:jc w:val="center"/>
              <w:rPr>
                <w:rFonts w:ascii="Calibri" w:hAnsi="Calibri" w:cs="Calibri"/>
                <w:color w:val="000000"/>
                <w:sz w:val="21"/>
                <w:szCs w:val="21"/>
                <w:lang w:val="en-GB"/>
              </w:rPr>
            </w:pPr>
            <w:r w:rsidRPr="0018706D">
              <w:rPr>
                <w:rFonts w:ascii="Calibri" w:hAnsi="Calibri" w:cs="Calibri"/>
                <w:color w:val="000000"/>
                <w:sz w:val="21"/>
                <w:szCs w:val="21"/>
                <w:lang w:val="en-GB"/>
              </w:rPr>
              <w:t>5%</w:t>
            </w:r>
          </w:p>
        </w:tc>
        <w:tc>
          <w:tcPr>
            <w:tcW w:w="0" w:type="auto"/>
            <w:vAlign w:val="center"/>
          </w:tcPr>
          <w:p w14:paraId="7CA5E915" w14:textId="77777777" w:rsidR="00AF5A52" w:rsidRPr="0018706D" w:rsidRDefault="00AF5A52" w:rsidP="00AD1AF6">
            <w:pPr>
              <w:jc w:val="center"/>
              <w:rPr>
                <w:rFonts w:ascii="Calibri" w:hAnsi="Calibri" w:cs="Calibri"/>
                <w:color w:val="000000"/>
                <w:sz w:val="21"/>
                <w:szCs w:val="21"/>
                <w:lang w:val="en-GB"/>
              </w:rPr>
            </w:pPr>
            <w:r w:rsidRPr="0018706D">
              <w:rPr>
                <w:rFonts w:ascii="Calibri" w:hAnsi="Calibri" w:cs="Calibri"/>
                <w:color w:val="000000"/>
                <w:sz w:val="21"/>
                <w:szCs w:val="21"/>
                <w:lang w:val="en-GB"/>
              </w:rPr>
              <w:t>1%</w:t>
            </w:r>
          </w:p>
        </w:tc>
      </w:tr>
      <w:tr w:rsidR="00AF5A52" w:rsidRPr="0018706D" w14:paraId="6367420C" w14:textId="77777777" w:rsidTr="0018706D">
        <w:trPr>
          <w:cantSplit/>
          <w:trHeight w:val="515"/>
        </w:trPr>
        <w:tc>
          <w:tcPr>
            <w:tcW w:w="0" w:type="auto"/>
            <w:vAlign w:val="center"/>
          </w:tcPr>
          <w:p w14:paraId="0489C4E5" w14:textId="77777777" w:rsidR="00AF5A52" w:rsidRPr="0018706D" w:rsidRDefault="00AF5A52" w:rsidP="00AD1AF6">
            <w:pPr>
              <w:jc w:val="center"/>
              <w:rPr>
                <w:rFonts w:ascii="Calibri" w:hAnsi="Calibri" w:cs="Calibri"/>
                <w:color w:val="000000"/>
                <w:sz w:val="21"/>
                <w:szCs w:val="21"/>
                <w:lang w:val="en-GB"/>
              </w:rPr>
            </w:pPr>
            <w:r w:rsidRPr="0018706D">
              <w:rPr>
                <w:rFonts w:ascii="Calibri" w:hAnsi="Calibri" w:cs="Calibri"/>
                <w:color w:val="000000"/>
                <w:sz w:val="21"/>
                <w:szCs w:val="21"/>
                <w:lang w:val="en-GB"/>
              </w:rPr>
              <w:t>3</w:t>
            </w:r>
          </w:p>
        </w:tc>
        <w:tc>
          <w:tcPr>
            <w:tcW w:w="0" w:type="auto"/>
            <w:vAlign w:val="center"/>
          </w:tcPr>
          <w:p w14:paraId="345326E9" w14:textId="77777777" w:rsidR="00AF5A52" w:rsidRPr="0018706D" w:rsidRDefault="00AF5A52" w:rsidP="00AD1AF6">
            <w:pPr>
              <w:jc w:val="center"/>
              <w:rPr>
                <w:rFonts w:ascii="Calibri" w:hAnsi="Calibri" w:cs="Calibri"/>
                <w:color w:val="000000"/>
                <w:sz w:val="21"/>
                <w:szCs w:val="21"/>
                <w:lang w:val="en-GB"/>
              </w:rPr>
            </w:pPr>
            <w:r w:rsidRPr="0018706D">
              <w:rPr>
                <w:rFonts w:ascii="Calibri" w:hAnsi="Calibri" w:cs="Calibri"/>
                <w:color w:val="000000"/>
                <w:sz w:val="21"/>
                <w:szCs w:val="21"/>
                <w:lang w:val="en-GB"/>
              </w:rPr>
              <w:t>10%</w:t>
            </w:r>
          </w:p>
        </w:tc>
        <w:tc>
          <w:tcPr>
            <w:tcW w:w="0" w:type="auto"/>
            <w:vAlign w:val="center"/>
          </w:tcPr>
          <w:p w14:paraId="75088871" w14:textId="77777777" w:rsidR="00AF5A52" w:rsidRPr="0018706D" w:rsidRDefault="00AF5A52" w:rsidP="00AD1AF6">
            <w:pPr>
              <w:jc w:val="center"/>
              <w:rPr>
                <w:rFonts w:ascii="Calibri" w:hAnsi="Calibri" w:cs="Calibri"/>
                <w:color w:val="000000"/>
                <w:sz w:val="21"/>
                <w:szCs w:val="21"/>
                <w:lang w:val="en-GB"/>
              </w:rPr>
            </w:pPr>
            <w:r w:rsidRPr="0018706D">
              <w:rPr>
                <w:rFonts w:ascii="Calibri" w:hAnsi="Calibri" w:cs="Calibri"/>
                <w:color w:val="000000"/>
                <w:sz w:val="21"/>
                <w:szCs w:val="21"/>
                <w:lang w:val="en-GB"/>
              </w:rPr>
              <w:t>5%</w:t>
            </w:r>
          </w:p>
        </w:tc>
      </w:tr>
      <w:tr w:rsidR="00AF5A52" w:rsidRPr="0018706D" w14:paraId="289F9C57" w14:textId="77777777" w:rsidTr="0018706D">
        <w:trPr>
          <w:cantSplit/>
          <w:trHeight w:val="503"/>
        </w:trPr>
        <w:tc>
          <w:tcPr>
            <w:tcW w:w="0" w:type="auto"/>
            <w:vAlign w:val="center"/>
          </w:tcPr>
          <w:p w14:paraId="0B5DAEE3" w14:textId="77777777" w:rsidR="00AF5A52" w:rsidRPr="0018706D" w:rsidRDefault="00AF5A52" w:rsidP="00AD1AF6">
            <w:pPr>
              <w:jc w:val="center"/>
              <w:rPr>
                <w:rFonts w:ascii="Calibri" w:hAnsi="Calibri" w:cs="Calibri"/>
                <w:color w:val="000000"/>
                <w:sz w:val="21"/>
                <w:szCs w:val="21"/>
                <w:lang w:val="en-GB"/>
              </w:rPr>
            </w:pPr>
            <w:r w:rsidRPr="0018706D">
              <w:rPr>
                <w:rFonts w:ascii="Calibri" w:hAnsi="Calibri" w:cs="Calibri"/>
                <w:color w:val="000000"/>
                <w:sz w:val="21"/>
                <w:szCs w:val="21"/>
                <w:lang w:val="en-GB"/>
              </w:rPr>
              <w:t>4</w:t>
            </w:r>
          </w:p>
        </w:tc>
        <w:tc>
          <w:tcPr>
            <w:tcW w:w="0" w:type="auto"/>
            <w:vAlign w:val="center"/>
          </w:tcPr>
          <w:p w14:paraId="240AFCDA" w14:textId="77777777" w:rsidR="00AF5A52" w:rsidRPr="0018706D" w:rsidRDefault="00AF5A52" w:rsidP="00AD1AF6">
            <w:pPr>
              <w:jc w:val="center"/>
              <w:rPr>
                <w:rFonts w:ascii="Calibri" w:hAnsi="Calibri" w:cs="Calibri"/>
                <w:color w:val="000000"/>
                <w:sz w:val="21"/>
                <w:szCs w:val="21"/>
                <w:lang w:val="en-GB"/>
              </w:rPr>
            </w:pPr>
            <w:r w:rsidRPr="0018706D">
              <w:rPr>
                <w:rFonts w:ascii="Calibri" w:hAnsi="Calibri" w:cs="Calibri"/>
                <w:color w:val="000000"/>
                <w:sz w:val="21"/>
                <w:szCs w:val="21"/>
                <w:lang w:val="en-GB"/>
              </w:rPr>
              <w:t>25%</w:t>
            </w:r>
          </w:p>
        </w:tc>
        <w:tc>
          <w:tcPr>
            <w:tcW w:w="0" w:type="auto"/>
            <w:vAlign w:val="center"/>
          </w:tcPr>
          <w:p w14:paraId="54930E7C" w14:textId="77777777" w:rsidR="00AF5A52" w:rsidRPr="0018706D" w:rsidRDefault="00AF5A52" w:rsidP="00AD1AF6">
            <w:pPr>
              <w:jc w:val="center"/>
              <w:rPr>
                <w:rFonts w:ascii="Calibri" w:hAnsi="Calibri" w:cs="Calibri"/>
                <w:color w:val="000000"/>
                <w:sz w:val="21"/>
                <w:szCs w:val="21"/>
                <w:lang w:val="en-GB"/>
              </w:rPr>
            </w:pPr>
            <w:r w:rsidRPr="0018706D">
              <w:rPr>
                <w:rFonts w:ascii="Calibri" w:hAnsi="Calibri" w:cs="Calibri"/>
                <w:color w:val="000000"/>
                <w:sz w:val="21"/>
                <w:szCs w:val="21"/>
                <w:lang w:val="en-GB"/>
              </w:rPr>
              <w:t>10%</w:t>
            </w:r>
          </w:p>
        </w:tc>
      </w:tr>
      <w:tr w:rsidR="00AF5A52" w:rsidRPr="0018706D" w14:paraId="698E7384" w14:textId="77777777" w:rsidTr="0018706D">
        <w:trPr>
          <w:cantSplit/>
          <w:trHeight w:val="503"/>
        </w:trPr>
        <w:tc>
          <w:tcPr>
            <w:tcW w:w="0" w:type="auto"/>
            <w:vAlign w:val="center"/>
          </w:tcPr>
          <w:p w14:paraId="3E2D2231" w14:textId="77777777" w:rsidR="00AF5A52" w:rsidRDefault="00AF5A52" w:rsidP="00AD1AF6">
            <w:pPr>
              <w:jc w:val="center"/>
              <w:rPr>
                <w:rFonts w:ascii="Calibri" w:hAnsi="Calibri" w:cs="Calibri"/>
                <w:color w:val="000000"/>
                <w:sz w:val="21"/>
                <w:szCs w:val="21"/>
                <w:lang w:val="en-GB"/>
              </w:rPr>
            </w:pPr>
            <w:r w:rsidRPr="0018706D">
              <w:rPr>
                <w:rFonts w:ascii="Calibri" w:hAnsi="Calibri" w:cs="Calibri"/>
                <w:color w:val="000000"/>
                <w:sz w:val="21"/>
                <w:szCs w:val="21"/>
                <w:lang w:val="en-GB"/>
              </w:rPr>
              <w:t>5</w:t>
            </w:r>
          </w:p>
          <w:p w14:paraId="72DA9DC8" w14:textId="77777777" w:rsidR="00B67FBB" w:rsidRPr="00B67FBB" w:rsidRDefault="00B67FBB" w:rsidP="00B67FBB">
            <w:pPr>
              <w:rPr>
                <w:rFonts w:ascii="Calibri" w:hAnsi="Calibri" w:cs="Calibri"/>
                <w:sz w:val="21"/>
                <w:szCs w:val="21"/>
                <w:lang w:val="en-GB"/>
              </w:rPr>
            </w:pPr>
          </w:p>
          <w:p w14:paraId="0EF4C005" w14:textId="77777777" w:rsidR="00B67FBB" w:rsidRPr="00B67FBB" w:rsidRDefault="00B67FBB" w:rsidP="00B67FBB">
            <w:pPr>
              <w:rPr>
                <w:rFonts w:ascii="Calibri" w:hAnsi="Calibri" w:cs="Calibri"/>
                <w:sz w:val="21"/>
                <w:szCs w:val="21"/>
                <w:lang w:val="en-GB"/>
              </w:rPr>
            </w:pPr>
          </w:p>
          <w:p w14:paraId="0E3D81A9" w14:textId="47E3F32C" w:rsidR="00B67FBB" w:rsidRPr="00B67FBB" w:rsidRDefault="00B67FBB" w:rsidP="00B67FBB">
            <w:pPr>
              <w:rPr>
                <w:rFonts w:ascii="Calibri" w:hAnsi="Calibri" w:cs="Calibri"/>
                <w:sz w:val="21"/>
                <w:szCs w:val="21"/>
                <w:lang w:val="en-GB"/>
              </w:rPr>
            </w:pPr>
          </w:p>
        </w:tc>
        <w:tc>
          <w:tcPr>
            <w:tcW w:w="0" w:type="auto"/>
            <w:vAlign w:val="center"/>
          </w:tcPr>
          <w:p w14:paraId="68A3F1E1" w14:textId="77777777" w:rsidR="00AF5A52" w:rsidRPr="0018706D" w:rsidRDefault="00AF5A52" w:rsidP="00AD1AF6">
            <w:pPr>
              <w:jc w:val="center"/>
              <w:rPr>
                <w:rFonts w:ascii="Calibri" w:hAnsi="Calibri" w:cs="Calibri"/>
                <w:color w:val="000000"/>
                <w:sz w:val="21"/>
                <w:szCs w:val="21"/>
                <w:lang w:val="en-GB"/>
              </w:rPr>
            </w:pPr>
            <w:r w:rsidRPr="0018706D">
              <w:rPr>
                <w:rFonts w:ascii="Calibri" w:hAnsi="Calibri" w:cs="Calibri"/>
                <w:color w:val="000000"/>
                <w:sz w:val="21"/>
                <w:szCs w:val="21"/>
                <w:lang w:val="en-GB"/>
              </w:rPr>
              <w:t>50%</w:t>
            </w:r>
          </w:p>
        </w:tc>
        <w:tc>
          <w:tcPr>
            <w:tcW w:w="0" w:type="auto"/>
            <w:vAlign w:val="center"/>
          </w:tcPr>
          <w:p w14:paraId="74833B7F" w14:textId="77777777" w:rsidR="00AF5A52" w:rsidRPr="0018706D" w:rsidRDefault="00AF5A52" w:rsidP="00AD1AF6">
            <w:pPr>
              <w:jc w:val="center"/>
              <w:rPr>
                <w:rFonts w:ascii="Calibri" w:hAnsi="Calibri" w:cs="Calibri"/>
                <w:color w:val="000000"/>
                <w:sz w:val="21"/>
                <w:szCs w:val="21"/>
                <w:lang w:val="en-GB"/>
              </w:rPr>
            </w:pPr>
            <w:r w:rsidRPr="0018706D">
              <w:rPr>
                <w:rFonts w:ascii="Calibri" w:hAnsi="Calibri" w:cs="Calibri"/>
                <w:color w:val="000000"/>
                <w:sz w:val="21"/>
                <w:szCs w:val="21"/>
                <w:lang w:val="en-GB"/>
              </w:rPr>
              <w:t>25%</w:t>
            </w:r>
          </w:p>
        </w:tc>
      </w:tr>
      <w:tr w:rsidR="00AF5A52" w:rsidRPr="0018706D" w14:paraId="0BFCD5E9" w14:textId="77777777" w:rsidTr="0018706D">
        <w:trPr>
          <w:cantSplit/>
          <w:trHeight w:val="503"/>
        </w:trPr>
        <w:tc>
          <w:tcPr>
            <w:tcW w:w="0" w:type="auto"/>
            <w:vAlign w:val="center"/>
          </w:tcPr>
          <w:p w14:paraId="775BDD38" w14:textId="77777777" w:rsidR="00AF5A52" w:rsidRDefault="00AF5A52" w:rsidP="00AD1AF6">
            <w:pPr>
              <w:jc w:val="center"/>
              <w:rPr>
                <w:rFonts w:ascii="Calibri" w:hAnsi="Calibri" w:cs="Calibri"/>
                <w:color w:val="000000"/>
                <w:sz w:val="21"/>
                <w:szCs w:val="21"/>
                <w:lang w:val="en-GB"/>
              </w:rPr>
            </w:pPr>
            <w:r w:rsidRPr="0018706D">
              <w:rPr>
                <w:rFonts w:ascii="Calibri" w:hAnsi="Calibri" w:cs="Calibri"/>
                <w:color w:val="000000"/>
                <w:sz w:val="21"/>
                <w:szCs w:val="21"/>
                <w:lang w:val="en-GB"/>
              </w:rPr>
              <w:lastRenderedPageBreak/>
              <w:t>6</w:t>
            </w:r>
          </w:p>
          <w:p w14:paraId="0C13F982" w14:textId="77777777" w:rsidR="00B67FBB" w:rsidRPr="00B67FBB" w:rsidRDefault="00B67FBB" w:rsidP="00B67FBB">
            <w:pPr>
              <w:rPr>
                <w:rFonts w:ascii="Calibri" w:hAnsi="Calibri" w:cs="Calibri"/>
                <w:sz w:val="21"/>
                <w:szCs w:val="21"/>
                <w:lang w:val="en-GB"/>
              </w:rPr>
            </w:pPr>
          </w:p>
          <w:p w14:paraId="18F27CE0" w14:textId="1A42B484" w:rsidR="00B67FBB" w:rsidRPr="00B67FBB" w:rsidRDefault="00B67FBB" w:rsidP="00B67FBB">
            <w:pPr>
              <w:rPr>
                <w:rFonts w:ascii="Calibri" w:hAnsi="Calibri" w:cs="Calibri"/>
                <w:sz w:val="21"/>
                <w:szCs w:val="21"/>
                <w:lang w:val="en-GB"/>
              </w:rPr>
            </w:pPr>
          </w:p>
        </w:tc>
        <w:tc>
          <w:tcPr>
            <w:tcW w:w="0" w:type="auto"/>
            <w:vAlign w:val="center"/>
          </w:tcPr>
          <w:p w14:paraId="29AD62C3" w14:textId="77777777" w:rsidR="00AF5A52" w:rsidRPr="0018706D" w:rsidRDefault="00AF5A52" w:rsidP="00AD1AF6">
            <w:pPr>
              <w:jc w:val="center"/>
              <w:rPr>
                <w:rFonts w:ascii="Calibri" w:hAnsi="Calibri" w:cs="Calibri"/>
                <w:color w:val="000000"/>
                <w:sz w:val="21"/>
                <w:szCs w:val="21"/>
                <w:lang w:val="en-GB"/>
              </w:rPr>
            </w:pPr>
            <w:r w:rsidRPr="0018706D">
              <w:rPr>
                <w:rFonts w:ascii="Calibri" w:hAnsi="Calibri" w:cs="Calibri"/>
                <w:color w:val="000000"/>
                <w:sz w:val="21"/>
                <w:szCs w:val="21"/>
                <w:lang w:val="en-GB"/>
              </w:rPr>
              <w:t>100%</w:t>
            </w:r>
          </w:p>
        </w:tc>
        <w:tc>
          <w:tcPr>
            <w:tcW w:w="0" w:type="auto"/>
            <w:vAlign w:val="center"/>
          </w:tcPr>
          <w:p w14:paraId="7BB28DF4" w14:textId="77777777" w:rsidR="00AF5A52" w:rsidRPr="0018706D" w:rsidRDefault="00AF5A52" w:rsidP="00AD1AF6">
            <w:pPr>
              <w:jc w:val="center"/>
              <w:rPr>
                <w:rFonts w:ascii="Calibri" w:hAnsi="Calibri" w:cs="Calibri"/>
                <w:color w:val="000000"/>
                <w:sz w:val="21"/>
                <w:szCs w:val="21"/>
                <w:lang w:val="en-GB"/>
              </w:rPr>
            </w:pPr>
            <w:r w:rsidRPr="0018706D">
              <w:rPr>
                <w:rFonts w:ascii="Calibri" w:hAnsi="Calibri" w:cs="Calibri"/>
                <w:color w:val="000000"/>
                <w:sz w:val="21"/>
                <w:szCs w:val="21"/>
                <w:lang w:val="en-GB"/>
              </w:rPr>
              <w:t>50%</w:t>
            </w:r>
          </w:p>
        </w:tc>
      </w:tr>
      <w:tr w:rsidR="00AF5A52" w:rsidRPr="0018706D" w14:paraId="1FD45D9E" w14:textId="77777777" w:rsidTr="0018706D">
        <w:trPr>
          <w:cantSplit/>
          <w:trHeight w:val="781"/>
        </w:trPr>
        <w:tc>
          <w:tcPr>
            <w:tcW w:w="0" w:type="auto"/>
            <w:vAlign w:val="center"/>
          </w:tcPr>
          <w:p w14:paraId="7DA70051" w14:textId="77777777" w:rsidR="00AF5A52" w:rsidRPr="0018706D" w:rsidRDefault="00AF5A52" w:rsidP="00AD1AF6">
            <w:pPr>
              <w:jc w:val="center"/>
              <w:rPr>
                <w:rFonts w:ascii="Calibri" w:hAnsi="Calibri" w:cs="Calibri"/>
                <w:color w:val="000000"/>
                <w:sz w:val="21"/>
                <w:szCs w:val="21"/>
                <w:lang w:val="en-GB"/>
              </w:rPr>
            </w:pPr>
            <w:r w:rsidRPr="0018706D">
              <w:rPr>
                <w:rFonts w:ascii="Calibri" w:hAnsi="Calibri" w:cs="Calibri"/>
                <w:color w:val="000000"/>
                <w:sz w:val="21"/>
                <w:szCs w:val="21"/>
                <w:lang w:val="en-GB"/>
              </w:rPr>
              <w:t>X</w:t>
            </w:r>
          </w:p>
        </w:tc>
        <w:tc>
          <w:tcPr>
            <w:tcW w:w="0" w:type="auto"/>
            <w:gridSpan w:val="2"/>
            <w:vAlign w:val="center"/>
          </w:tcPr>
          <w:p w14:paraId="0AC417DE" w14:textId="77777777" w:rsidR="00AF5A52" w:rsidRPr="0018706D" w:rsidRDefault="00AF5A52" w:rsidP="00AD1AF6">
            <w:pPr>
              <w:jc w:val="center"/>
              <w:rPr>
                <w:rFonts w:ascii="Calibri" w:hAnsi="Calibri" w:cs="Calibri"/>
                <w:color w:val="000000"/>
                <w:sz w:val="21"/>
                <w:szCs w:val="21"/>
                <w:lang w:val="en-GB"/>
              </w:rPr>
            </w:pPr>
            <w:r w:rsidRPr="0018706D">
              <w:rPr>
                <w:rFonts w:ascii="Calibri" w:hAnsi="Calibri" w:cs="Calibri"/>
                <w:color w:val="000000"/>
                <w:sz w:val="21"/>
                <w:szCs w:val="21"/>
                <w:lang w:val="en-GB"/>
              </w:rPr>
              <w:t>Accuracy outside +/- 100 %, zero or small numbers or otherwise incompatible, see example below.</w:t>
            </w:r>
          </w:p>
        </w:tc>
      </w:tr>
    </w:tbl>
    <w:p w14:paraId="21B823A4" w14:textId="77777777" w:rsidR="0018706D" w:rsidRDefault="0018706D" w:rsidP="00AF5A52">
      <w:pPr>
        <w:rPr>
          <w:rFonts w:ascii="Calibri" w:eastAsia="Calibri" w:hAnsi="Calibri" w:cs="Calibri"/>
          <w:lang w:val="en-GB"/>
        </w:rPr>
      </w:pPr>
    </w:p>
    <w:p w14:paraId="45242A83" w14:textId="0BB29608" w:rsidR="0018706D" w:rsidRDefault="0018706D" w:rsidP="00871522">
      <w:pPr>
        <w:pStyle w:val="Bodynumbercopy"/>
        <w:spacing w:line="240" w:lineRule="auto"/>
        <w:ind w:left="780"/>
        <w:rPr>
          <w:rFonts w:eastAsia="Calibri"/>
          <w:lang w:val="en-GB"/>
        </w:rPr>
      </w:pPr>
      <w:r>
        <w:rPr>
          <w:rFonts w:eastAsia="Calibri"/>
          <w:lang w:val="en-GB"/>
        </w:rPr>
        <w:t xml:space="preserve">The </w:t>
      </w:r>
      <w:r w:rsidRPr="0042216E">
        <w:rPr>
          <w:rFonts w:eastAsia="Calibri"/>
          <w:lang w:val="en-GB"/>
        </w:rPr>
        <w:t>X grade is generally only likely to be appropriate where a zero has been entered.</w:t>
      </w:r>
    </w:p>
    <w:p w14:paraId="7A8CC271" w14:textId="46A8647F" w:rsidR="0018706D" w:rsidRPr="00B442D7" w:rsidRDefault="0018706D" w:rsidP="00871522">
      <w:pPr>
        <w:pStyle w:val="Bodynumbercopy"/>
        <w:spacing w:line="240" w:lineRule="auto"/>
        <w:ind w:left="780"/>
        <w:rPr>
          <w:rFonts w:eastAsia="Calibri"/>
          <w:lang w:val="en-GB"/>
        </w:rPr>
      </w:pPr>
      <w:r w:rsidRPr="00B442D7">
        <w:rPr>
          <w:rFonts w:eastAsia="Calibri"/>
          <w:lang w:val="en-GB"/>
        </w:rPr>
        <w:t>The overall confidence grade is a combination of the reliability and accuracy band. For example:</w:t>
      </w:r>
    </w:p>
    <w:p w14:paraId="050C61C4" w14:textId="77777777" w:rsidR="0018706D" w:rsidRPr="00B442D7" w:rsidRDefault="0018706D" w:rsidP="00871522">
      <w:pPr>
        <w:pStyle w:val="Bodynumbercopy"/>
        <w:numPr>
          <w:ilvl w:val="0"/>
          <w:numId w:val="29"/>
        </w:numPr>
        <w:spacing w:line="240" w:lineRule="auto"/>
      </w:pPr>
      <w:r w:rsidRPr="00B442D7">
        <w:t>A2: Data based on sound records etc. (A, highly reliable) and estimated to be within +/- 5% (accuracy band 2);</w:t>
      </w:r>
    </w:p>
    <w:p w14:paraId="470F414B" w14:textId="77777777" w:rsidR="0018706D" w:rsidRPr="00B442D7" w:rsidRDefault="0018706D" w:rsidP="00871522">
      <w:pPr>
        <w:pStyle w:val="Bodynumbercopy"/>
        <w:numPr>
          <w:ilvl w:val="0"/>
          <w:numId w:val="29"/>
        </w:numPr>
        <w:spacing w:line="240" w:lineRule="auto"/>
      </w:pPr>
      <w:r w:rsidRPr="00B442D7">
        <w:t>C4: Data based on extrapolation from a limited sample (C, unreliable) and estimated to be within +/- 25% (accuracy band 4);</w:t>
      </w:r>
    </w:p>
    <w:p w14:paraId="2F48B0B7" w14:textId="77777777" w:rsidR="0018706D" w:rsidRPr="00B442D7" w:rsidRDefault="0018706D" w:rsidP="00871522">
      <w:pPr>
        <w:pStyle w:val="Bodynumbercopy"/>
        <w:numPr>
          <w:ilvl w:val="0"/>
          <w:numId w:val="29"/>
        </w:numPr>
        <w:spacing w:line="240" w:lineRule="auto"/>
      </w:pPr>
      <w:r w:rsidRPr="00B442D7">
        <w:t>AX: Data based on sound records etc. (A, highly reliable) but value too small to calculate any meaningful accuracy percentage.</w:t>
      </w:r>
    </w:p>
    <w:p w14:paraId="12B0277D" w14:textId="77777777" w:rsidR="0018706D" w:rsidRPr="00B442D7" w:rsidRDefault="0018706D" w:rsidP="0018706D">
      <w:pPr>
        <w:jc w:val="both"/>
        <w:rPr>
          <w:rFonts w:ascii="Calibri" w:eastAsia="Calibri" w:hAnsi="Calibri" w:cs="Calibri"/>
          <w:lang w:val="en-GB"/>
        </w:rPr>
      </w:pPr>
    </w:p>
    <w:p w14:paraId="0AE79312" w14:textId="77777777" w:rsidR="0018706D" w:rsidRPr="00B442D7" w:rsidRDefault="0018706D" w:rsidP="00871522">
      <w:pPr>
        <w:pStyle w:val="Bodynumbercopy"/>
        <w:spacing w:line="240" w:lineRule="auto"/>
        <w:ind w:left="780"/>
        <w:rPr>
          <w:rFonts w:eastAsia="Calibri"/>
          <w:lang w:val="en-GB"/>
        </w:rPr>
      </w:pPr>
      <w:r w:rsidRPr="00B442D7">
        <w:rPr>
          <w:rFonts w:eastAsia="Calibri"/>
          <w:lang w:val="en-GB"/>
        </w:rPr>
        <w:t xml:space="preserve">The table below provides a list of compatible confidence grades. </w:t>
      </w:r>
    </w:p>
    <w:tbl>
      <w:tblPr>
        <w:tblW w:w="5000" w:type="pct"/>
        <w:tblLayout w:type="fixed"/>
        <w:tblCellMar>
          <w:left w:w="0" w:type="dxa"/>
          <w:right w:w="0" w:type="dxa"/>
        </w:tblCellMar>
        <w:tblLook w:val="0000" w:firstRow="0" w:lastRow="0" w:firstColumn="0" w:lastColumn="0" w:noHBand="0" w:noVBand="0"/>
      </w:tblPr>
      <w:tblGrid>
        <w:gridCol w:w="4065"/>
        <w:gridCol w:w="853"/>
        <w:gridCol w:w="853"/>
        <w:gridCol w:w="890"/>
        <w:gridCol w:w="891"/>
      </w:tblGrid>
      <w:tr w:rsidR="0018706D" w:rsidRPr="00B442D7" w14:paraId="4AE512BB" w14:textId="77777777" w:rsidTr="0018706D">
        <w:trPr>
          <w:cantSplit/>
          <w:trHeight w:val="302"/>
        </w:trPr>
        <w:tc>
          <w:tcPr>
            <w:tcW w:w="5000" w:type="pct"/>
            <w:gridSpan w:val="5"/>
            <w:tcBorders>
              <w:top w:val="single" w:sz="6" w:space="0" w:color="000000"/>
              <w:left w:val="single" w:sz="6" w:space="0" w:color="000000"/>
              <w:bottom w:val="single" w:sz="6" w:space="0" w:color="FFFFFF"/>
              <w:right w:val="single" w:sz="6" w:space="0" w:color="000000"/>
            </w:tcBorders>
            <w:shd w:val="clear" w:color="auto" w:fill="12B2C2"/>
            <w:vAlign w:val="center"/>
          </w:tcPr>
          <w:p w14:paraId="7101D6E7" w14:textId="77777777" w:rsidR="0018706D" w:rsidRPr="00E74F3B" w:rsidRDefault="0018706D" w:rsidP="0018706D">
            <w:pPr>
              <w:spacing w:line="201" w:lineRule="atLeast"/>
              <w:jc w:val="center"/>
              <w:rPr>
                <w:rFonts w:ascii="Calibri" w:hAnsi="Calibri" w:cs="Calibri"/>
                <w:color w:val="000000"/>
                <w:sz w:val="21"/>
                <w:szCs w:val="21"/>
              </w:rPr>
            </w:pPr>
          </w:p>
          <w:p w14:paraId="6E9E530D" w14:textId="77777777" w:rsidR="0018706D" w:rsidRPr="00E74F3B" w:rsidRDefault="0018706D" w:rsidP="0018706D">
            <w:pPr>
              <w:jc w:val="center"/>
              <w:rPr>
                <w:rFonts w:ascii="Calibri" w:hAnsi="Calibri" w:cs="Calibri"/>
                <w:b/>
                <w:color w:val="000000"/>
                <w:sz w:val="21"/>
                <w:szCs w:val="21"/>
              </w:rPr>
            </w:pPr>
            <w:r w:rsidRPr="00E74F3B">
              <w:rPr>
                <w:rFonts w:ascii="Calibri" w:hAnsi="Calibri" w:cs="Calibri"/>
                <w:b/>
                <w:color w:val="FFFFFF" w:themeColor="background2"/>
                <w:sz w:val="21"/>
                <w:szCs w:val="21"/>
              </w:rPr>
              <w:t>Compatible Confidence Grades</w:t>
            </w:r>
          </w:p>
        </w:tc>
      </w:tr>
      <w:tr w:rsidR="0018706D" w:rsidRPr="00B442D7" w14:paraId="1EDCC1C5" w14:textId="77777777" w:rsidTr="0018706D">
        <w:trPr>
          <w:cantSplit/>
        </w:trPr>
        <w:tc>
          <w:tcPr>
            <w:tcW w:w="2691" w:type="pct"/>
            <w:tcBorders>
              <w:top w:val="single" w:sz="6" w:space="0" w:color="000000"/>
              <w:left w:val="single" w:sz="6" w:space="0" w:color="000000"/>
              <w:right w:val="single" w:sz="6" w:space="0" w:color="FFFFFF"/>
            </w:tcBorders>
          </w:tcPr>
          <w:p w14:paraId="510C7742" w14:textId="77777777" w:rsidR="0018706D" w:rsidRPr="00E74F3B" w:rsidRDefault="0018706D" w:rsidP="0018706D">
            <w:pPr>
              <w:spacing w:line="201" w:lineRule="atLeast"/>
              <w:rPr>
                <w:rFonts w:ascii="Calibri" w:hAnsi="Calibri" w:cs="Calibri"/>
                <w:b/>
                <w:color w:val="000000"/>
                <w:sz w:val="21"/>
                <w:szCs w:val="21"/>
              </w:rPr>
            </w:pPr>
          </w:p>
          <w:p w14:paraId="66480B52" w14:textId="77777777" w:rsidR="0018706D" w:rsidRPr="00E74F3B" w:rsidRDefault="0018706D" w:rsidP="0018706D">
            <w:pPr>
              <w:jc w:val="center"/>
              <w:rPr>
                <w:rFonts w:ascii="Calibri" w:hAnsi="Calibri" w:cs="Calibri"/>
                <w:b/>
                <w:bCs/>
                <w:color w:val="000000"/>
                <w:sz w:val="21"/>
                <w:szCs w:val="21"/>
              </w:rPr>
            </w:pPr>
            <w:r w:rsidRPr="00E74F3B">
              <w:rPr>
                <w:rFonts w:ascii="Calibri" w:hAnsi="Calibri" w:cs="Calibri"/>
                <w:b/>
                <w:bCs/>
                <w:color w:val="000000"/>
                <w:sz w:val="21"/>
                <w:szCs w:val="21"/>
              </w:rPr>
              <w:t>Accuracy Band</w:t>
            </w:r>
          </w:p>
        </w:tc>
        <w:tc>
          <w:tcPr>
            <w:tcW w:w="2309" w:type="pct"/>
            <w:gridSpan w:val="4"/>
            <w:tcBorders>
              <w:top w:val="single" w:sz="6" w:space="0" w:color="000000"/>
              <w:left w:val="single" w:sz="6" w:space="0" w:color="000000"/>
              <w:bottom w:val="single" w:sz="6" w:space="0" w:color="FFFFFF"/>
              <w:right w:val="single" w:sz="6" w:space="0" w:color="000000"/>
            </w:tcBorders>
          </w:tcPr>
          <w:p w14:paraId="74E73BA7" w14:textId="77777777" w:rsidR="0018706D" w:rsidRPr="00E74F3B" w:rsidRDefault="0018706D" w:rsidP="0018706D">
            <w:pPr>
              <w:spacing w:line="201" w:lineRule="atLeast"/>
              <w:jc w:val="center"/>
              <w:rPr>
                <w:rFonts w:ascii="Calibri" w:hAnsi="Calibri" w:cs="Calibri"/>
                <w:color w:val="000000"/>
                <w:sz w:val="21"/>
                <w:szCs w:val="21"/>
              </w:rPr>
            </w:pPr>
          </w:p>
          <w:p w14:paraId="65E860F7" w14:textId="77777777" w:rsidR="0018706D" w:rsidRPr="00E74F3B" w:rsidRDefault="0018706D" w:rsidP="0018706D">
            <w:pPr>
              <w:jc w:val="center"/>
              <w:rPr>
                <w:rFonts w:ascii="Calibri" w:hAnsi="Calibri" w:cs="Calibri"/>
                <w:b/>
                <w:bCs/>
                <w:color w:val="000000"/>
                <w:sz w:val="21"/>
                <w:szCs w:val="21"/>
              </w:rPr>
            </w:pPr>
            <w:r w:rsidRPr="00E74F3B">
              <w:rPr>
                <w:rFonts w:ascii="Calibri" w:hAnsi="Calibri" w:cs="Calibri"/>
                <w:b/>
                <w:bCs/>
                <w:color w:val="000000"/>
                <w:sz w:val="21"/>
                <w:szCs w:val="21"/>
              </w:rPr>
              <w:t>Reliability Band</w:t>
            </w:r>
          </w:p>
        </w:tc>
      </w:tr>
      <w:tr w:rsidR="0018706D" w:rsidRPr="00B442D7" w14:paraId="0D0A1A11" w14:textId="77777777" w:rsidTr="0018706D">
        <w:trPr>
          <w:cantSplit/>
          <w:trHeight w:val="294"/>
        </w:trPr>
        <w:tc>
          <w:tcPr>
            <w:tcW w:w="2691" w:type="pct"/>
            <w:tcBorders>
              <w:left w:val="single" w:sz="6" w:space="0" w:color="000000"/>
              <w:bottom w:val="single" w:sz="6" w:space="0" w:color="FFFFFF"/>
              <w:right w:val="single" w:sz="6" w:space="0" w:color="FFFFFF"/>
            </w:tcBorders>
          </w:tcPr>
          <w:p w14:paraId="16025479" w14:textId="77777777" w:rsidR="0018706D" w:rsidRPr="00E74F3B" w:rsidRDefault="0018706D" w:rsidP="0018706D">
            <w:pP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726F5862" w14:textId="77777777" w:rsidR="0018706D" w:rsidRPr="00E74F3B" w:rsidRDefault="0018706D" w:rsidP="0018706D">
            <w:pPr>
              <w:spacing w:line="163" w:lineRule="atLeast"/>
              <w:rPr>
                <w:rFonts w:ascii="Calibri" w:hAnsi="Calibri" w:cs="Calibri"/>
                <w:color w:val="000000"/>
                <w:sz w:val="21"/>
                <w:szCs w:val="21"/>
              </w:rPr>
            </w:pPr>
          </w:p>
          <w:p w14:paraId="349E8ACF"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A</w:t>
            </w:r>
          </w:p>
        </w:tc>
        <w:tc>
          <w:tcPr>
            <w:tcW w:w="565" w:type="pct"/>
            <w:tcBorders>
              <w:top w:val="single" w:sz="6" w:space="0" w:color="000000"/>
              <w:left w:val="single" w:sz="6" w:space="0" w:color="000000"/>
              <w:bottom w:val="single" w:sz="6" w:space="0" w:color="FFFFFF"/>
              <w:right w:val="single" w:sz="6" w:space="0" w:color="FFFFFF"/>
            </w:tcBorders>
          </w:tcPr>
          <w:p w14:paraId="413FED8F" w14:textId="77777777" w:rsidR="0018706D" w:rsidRPr="00E74F3B" w:rsidRDefault="0018706D" w:rsidP="0018706D">
            <w:pPr>
              <w:spacing w:line="163" w:lineRule="atLeast"/>
              <w:jc w:val="center"/>
              <w:rPr>
                <w:rFonts w:ascii="Calibri" w:hAnsi="Calibri" w:cs="Calibri"/>
                <w:color w:val="000000"/>
                <w:sz w:val="21"/>
                <w:szCs w:val="21"/>
              </w:rPr>
            </w:pPr>
          </w:p>
          <w:p w14:paraId="4C894FEE"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B</w:t>
            </w:r>
          </w:p>
        </w:tc>
        <w:tc>
          <w:tcPr>
            <w:tcW w:w="589" w:type="pct"/>
            <w:tcBorders>
              <w:top w:val="single" w:sz="6" w:space="0" w:color="000000"/>
              <w:left w:val="single" w:sz="6" w:space="0" w:color="000000"/>
              <w:bottom w:val="single" w:sz="6" w:space="0" w:color="FFFFFF"/>
              <w:right w:val="single" w:sz="6" w:space="0" w:color="FFFFFF"/>
            </w:tcBorders>
          </w:tcPr>
          <w:p w14:paraId="4ACC3427" w14:textId="77777777" w:rsidR="0018706D" w:rsidRPr="00E74F3B" w:rsidRDefault="0018706D" w:rsidP="0018706D">
            <w:pPr>
              <w:spacing w:line="163" w:lineRule="atLeast"/>
              <w:jc w:val="center"/>
              <w:rPr>
                <w:rFonts w:ascii="Calibri" w:hAnsi="Calibri" w:cs="Calibri"/>
                <w:color w:val="000000"/>
                <w:sz w:val="21"/>
                <w:szCs w:val="21"/>
              </w:rPr>
            </w:pPr>
          </w:p>
          <w:p w14:paraId="16F99C14"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C</w:t>
            </w:r>
          </w:p>
        </w:tc>
        <w:tc>
          <w:tcPr>
            <w:tcW w:w="590" w:type="pct"/>
            <w:tcBorders>
              <w:top w:val="single" w:sz="6" w:space="0" w:color="000000"/>
              <w:left w:val="single" w:sz="6" w:space="0" w:color="000000"/>
              <w:bottom w:val="single" w:sz="6" w:space="0" w:color="FFFFFF"/>
              <w:right w:val="single" w:sz="6" w:space="0" w:color="000000"/>
            </w:tcBorders>
          </w:tcPr>
          <w:p w14:paraId="00E571ED" w14:textId="77777777" w:rsidR="0018706D" w:rsidRPr="00E74F3B" w:rsidRDefault="0018706D" w:rsidP="0018706D">
            <w:pPr>
              <w:spacing w:line="163" w:lineRule="atLeast"/>
              <w:jc w:val="center"/>
              <w:rPr>
                <w:rFonts w:ascii="Calibri" w:hAnsi="Calibri" w:cs="Calibri"/>
                <w:color w:val="000000"/>
                <w:sz w:val="21"/>
                <w:szCs w:val="21"/>
              </w:rPr>
            </w:pPr>
          </w:p>
          <w:p w14:paraId="7D504F96"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D</w:t>
            </w:r>
          </w:p>
        </w:tc>
      </w:tr>
      <w:tr w:rsidR="0018706D" w:rsidRPr="00B442D7" w14:paraId="2C4C356C" w14:textId="77777777" w:rsidTr="0018706D">
        <w:trPr>
          <w:cantSplit/>
        </w:trPr>
        <w:tc>
          <w:tcPr>
            <w:tcW w:w="2691" w:type="pct"/>
            <w:tcBorders>
              <w:top w:val="single" w:sz="6" w:space="0" w:color="000000"/>
              <w:left w:val="single" w:sz="6" w:space="0" w:color="000000"/>
              <w:bottom w:val="single" w:sz="6" w:space="0" w:color="FFFFFF"/>
              <w:right w:val="single" w:sz="6" w:space="0" w:color="FFFFFF"/>
            </w:tcBorders>
          </w:tcPr>
          <w:p w14:paraId="5796C4D5" w14:textId="77777777" w:rsidR="0018706D" w:rsidRPr="00E74F3B" w:rsidRDefault="0018706D" w:rsidP="0018706D">
            <w:pPr>
              <w:spacing w:line="201" w:lineRule="atLeast"/>
              <w:rPr>
                <w:rFonts w:ascii="Calibri" w:hAnsi="Calibri" w:cs="Calibri"/>
                <w:color w:val="000000"/>
                <w:sz w:val="21"/>
                <w:szCs w:val="21"/>
              </w:rPr>
            </w:pPr>
          </w:p>
          <w:p w14:paraId="4E0A043B"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1</w:t>
            </w:r>
          </w:p>
        </w:tc>
        <w:tc>
          <w:tcPr>
            <w:tcW w:w="565" w:type="pct"/>
            <w:tcBorders>
              <w:top w:val="single" w:sz="6" w:space="0" w:color="000000"/>
              <w:left w:val="single" w:sz="6" w:space="0" w:color="000000"/>
              <w:bottom w:val="single" w:sz="6" w:space="0" w:color="FFFFFF"/>
              <w:right w:val="single" w:sz="6" w:space="0" w:color="FFFFFF"/>
            </w:tcBorders>
          </w:tcPr>
          <w:p w14:paraId="71513801" w14:textId="77777777" w:rsidR="0018706D" w:rsidRPr="00E74F3B" w:rsidRDefault="0018706D" w:rsidP="0018706D">
            <w:pPr>
              <w:spacing w:line="201" w:lineRule="atLeast"/>
              <w:jc w:val="center"/>
              <w:rPr>
                <w:rFonts w:ascii="Calibri" w:hAnsi="Calibri" w:cs="Calibri"/>
                <w:color w:val="000000"/>
                <w:sz w:val="21"/>
                <w:szCs w:val="21"/>
              </w:rPr>
            </w:pPr>
          </w:p>
          <w:p w14:paraId="53DE5FC5"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A1</w:t>
            </w:r>
          </w:p>
        </w:tc>
        <w:tc>
          <w:tcPr>
            <w:tcW w:w="565" w:type="pct"/>
            <w:tcBorders>
              <w:top w:val="single" w:sz="6" w:space="0" w:color="000000"/>
              <w:left w:val="single" w:sz="6" w:space="0" w:color="000000"/>
              <w:bottom w:val="single" w:sz="6" w:space="0" w:color="FFFFFF"/>
              <w:right w:val="single" w:sz="6" w:space="0" w:color="FFFFFF"/>
            </w:tcBorders>
          </w:tcPr>
          <w:p w14:paraId="150CE781" w14:textId="77777777" w:rsidR="0018706D" w:rsidRPr="00E74F3B" w:rsidRDefault="0018706D" w:rsidP="0018706D">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2B19F8A9" w14:textId="77777777" w:rsidR="0018706D" w:rsidRPr="00E74F3B" w:rsidRDefault="0018706D" w:rsidP="0018706D">
            <w:pPr>
              <w:jc w:val="center"/>
              <w:rPr>
                <w:rFonts w:ascii="Calibri" w:hAnsi="Calibri" w:cs="Calibri"/>
                <w:color w:val="000000"/>
                <w:sz w:val="21"/>
                <w:szCs w:val="21"/>
              </w:rPr>
            </w:pPr>
          </w:p>
        </w:tc>
        <w:tc>
          <w:tcPr>
            <w:tcW w:w="590" w:type="pct"/>
            <w:tcBorders>
              <w:top w:val="single" w:sz="6" w:space="0" w:color="000000"/>
              <w:left w:val="single" w:sz="6" w:space="0" w:color="000000"/>
              <w:bottom w:val="single" w:sz="6" w:space="0" w:color="FFFFFF"/>
              <w:right w:val="single" w:sz="6" w:space="0" w:color="000000"/>
            </w:tcBorders>
          </w:tcPr>
          <w:p w14:paraId="1E653919" w14:textId="77777777" w:rsidR="0018706D" w:rsidRPr="00E74F3B" w:rsidRDefault="0018706D" w:rsidP="0018706D">
            <w:pPr>
              <w:jc w:val="center"/>
              <w:rPr>
                <w:rFonts w:ascii="Calibri" w:hAnsi="Calibri" w:cs="Calibri"/>
                <w:color w:val="000000"/>
                <w:sz w:val="21"/>
                <w:szCs w:val="21"/>
              </w:rPr>
            </w:pPr>
          </w:p>
        </w:tc>
      </w:tr>
      <w:tr w:rsidR="0018706D" w:rsidRPr="00B442D7" w14:paraId="7552030A" w14:textId="77777777" w:rsidTr="0018706D">
        <w:trPr>
          <w:cantSplit/>
        </w:trPr>
        <w:tc>
          <w:tcPr>
            <w:tcW w:w="2691" w:type="pct"/>
            <w:tcBorders>
              <w:top w:val="single" w:sz="6" w:space="0" w:color="000000"/>
              <w:left w:val="single" w:sz="6" w:space="0" w:color="000000"/>
              <w:bottom w:val="single" w:sz="6" w:space="0" w:color="FFFFFF"/>
              <w:right w:val="single" w:sz="6" w:space="0" w:color="FFFFFF"/>
            </w:tcBorders>
          </w:tcPr>
          <w:p w14:paraId="02AA32B3" w14:textId="77777777" w:rsidR="0018706D" w:rsidRPr="00E74F3B" w:rsidRDefault="0018706D" w:rsidP="0018706D">
            <w:pPr>
              <w:spacing w:line="163" w:lineRule="atLeast"/>
              <w:rPr>
                <w:rFonts w:ascii="Calibri" w:hAnsi="Calibri" w:cs="Calibri"/>
                <w:color w:val="000000"/>
                <w:sz w:val="21"/>
                <w:szCs w:val="21"/>
              </w:rPr>
            </w:pPr>
          </w:p>
          <w:p w14:paraId="5667B4EC"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2</w:t>
            </w:r>
          </w:p>
        </w:tc>
        <w:tc>
          <w:tcPr>
            <w:tcW w:w="565" w:type="pct"/>
            <w:tcBorders>
              <w:top w:val="single" w:sz="6" w:space="0" w:color="000000"/>
              <w:left w:val="single" w:sz="6" w:space="0" w:color="000000"/>
              <w:bottom w:val="single" w:sz="6" w:space="0" w:color="FFFFFF"/>
              <w:right w:val="single" w:sz="6" w:space="0" w:color="FFFFFF"/>
            </w:tcBorders>
          </w:tcPr>
          <w:p w14:paraId="6394AEE8" w14:textId="77777777" w:rsidR="0018706D" w:rsidRPr="00E74F3B" w:rsidRDefault="0018706D" w:rsidP="0018706D">
            <w:pPr>
              <w:spacing w:line="163" w:lineRule="atLeast"/>
              <w:jc w:val="center"/>
              <w:rPr>
                <w:rFonts w:ascii="Calibri" w:hAnsi="Calibri" w:cs="Calibri"/>
                <w:color w:val="000000"/>
                <w:sz w:val="21"/>
                <w:szCs w:val="21"/>
              </w:rPr>
            </w:pPr>
          </w:p>
          <w:p w14:paraId="5A06DDB6"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A2</w:t>
            </w:r>
          </w:p>
        </w:tc>
        <w:tc>
          <w:tcPr>
            <w:tcW w:w="565" w:type="pct"/>
            <w:tcBorders>
              <w:top w:val="single" w:sz="6" w:space="0" w:color="000000"/>
              <w:left w:val="single" w:sz="6" w:space="0" w:color="000000"/>
              <w:bottom w:val="single" w:sz="6" w:space="0" w:color="FFFFFF"/>
              <w:right w:val="single" w:sz="6" w:space="0" w:color="FFFFFF"/>
            </w:tcBorders>
          </w:tcPr>
          <w:p w14:paraId="54746A61" w14:textId="77777777" w:rsidR="0018706D" w:rsidRPr="00E74F3B" w:rsidRDefault="0018706D" w:rsidP="0018706D">
            <w:pPr>
              <w:spacing w:line="163" w:lineRule="atLeast"/>
              <w:jc w:val="center"/>
              <w:rPr>
                <w:rFonts w:ascii="Calibri" w:hAnsi="Calibri" w:cs="Calibri"/>
                <w:color w:val="000000"/>
                <w:sz w:val="21"/>
                <w:szCs w:val="21"/>
              </w:rPr>
            </w:pPr>
          </w:p>
          <w:p w14:paraId="1121EE39"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B2</w:t>
            </w:r>
          </w:p>
        </w:tc>
        <w:tc>
          <w:tcPr>
            <w:tcW w:w="589" w:type="pct"/>
            <w:tcBorders>
              <w:top w:val="single" w:sz="6" w:space="0" w:color="000000"/>
              <w:left w:val="single" w:sz="6" w:space="0" w:color="000000"/>
              <w:bottom w:val="single" w:sz="6" w:space="0" w:color="FFFFFF"/>
              <w:right w:val="single" w:sz="6" w:space="0" w:color="FFFFFF"/>
            </w:tcBorders>
          </w:tcPr>
          <w:p w14:paraId="5DBCB229" w14:textId="77777777" w:rsidR="0018706D" w:rsidRPr="00E74F3B" w:rsidRDefault="0018706D" w:rsidP="0018706D">
            <w:pPr>
              <w:spacing w:line="163" w:lineRule="atLeast"/>
              <w:jc w:val="center"/>
              <w:rPr>
                <w:rFonts w:ascii="Calibri" w:hAnsi="Calibri" w:cs="Calibri"/>
                <w:color w:val="000000"/>
                <w:sz w:val="21"/>
                <w:szCs w:val="21"/>
              </w:rPr>
            </w:pPr>
          </w:p>
          <w:p w14:paraId="2B0BA43D"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C2</w:t>
            </w:r>
          </w:p>
        </w:tc>
        <w:tc>
          <w:tcPr>
            <w:tcW w:w="590" w:type="pct"/>
            <w:tcBorders>
              <w:top w:val="single" w:sz="6" w:space="0" w:color="000000"/>
              <w:left w:val="single" w:sz="6" w:space="0" w:color="000000"/>
              <w:bottom w:val="single" w:sz="6" w:space="0" w:color="FFFFFF"/>
              <w:right w:val="single" w:sz="6" w:space="0" w:color="000000"/>
            </w:tcBorders>
          </w:tcPr>
          <w:p w14:paraId="78A88DBA" w14:textId="77777777" w:rsidR="0018706D" w:rsidRPr="00E74F3B" w:rsidRDefault="0018706D" w:rsidP="0018706D">
            <w:pPr>
              <w:jc w:val="center"/>
              <w:rPr>
                <w:rFonts w:ascii="Calibri" w:hAnsi="Calibri" w:cs="Calibri"/>
                <w:color w:val="000000"/>
                <w:sz w:val="21"/>
                <w:szCs w:val="21"/>
              </w:rPr>
            </w:pPr>
          </w:p>
        </w:tc>
      </w:tr>
      <w:tr w:rsidR="0018706D" w:rsidRPr="00B442D7" w14:paraId="312BC741" w14:textId="77777777" w:rsidTr="0018706D">
        <w:trPr>
          <w:cantSplit/>
        </w:trPr>
        <w:tc>
          <w:tcPr>
            <w:tcW w:w="2691" w:type="pct"/>
            <w:tcBorders>
              <w:top w:val="single" w:sz="6" w:space="0" w:color="000000"/>
              <w:left w:val="single" w:sz="6" w:space="0" w:color="000000"/>
              <w:bottom w:val="single" w:sz="6" w:space="0" w:color="FFFFFF"/>
              <w:right w:val="single" w:sz="6" w:space="0" w:color="FFFFFF"/>
            </w:tcBorders>
          </w:tcPr>
          <w:p w14:paraId="664B9B2E" w14:textId="77777777" w:rsidR="0018706D" w:rsidRPr="00E74F3B" w:rsidRDefault="0018706D" w:rsidP="0018706D">
            <w:pPr>
              <w:spacing w:line="163" w:lineRule="atLeast"/>
              <w:rPr>
                <w:rFonts w:ascii="Calibri" w:hAnsi="Calibri" w:cs="Calibri"/>
                <w:color w:val="000000"/>
                <w:sz w:val="21"/>
                <w:szCs w:val="21"/>
              </w:rPr>
            </w:pPr>
          </w:p>
          <w:p w14:paraId="7D8D19FC"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3</w:t>
            </w:r>
          </w:p>
        </w:tc>
        <w:tc>
          <w:tcPr>
            <w:tcW w:w="565" w:type="pct"/>
            <w:tcBorders>
              <w:top w:val="single" w:sz="6" w:space="0" w:color="000000"/>
              <w:left w:val="single" w:sz="6" w:space="0" w:color="000000"/>
              <w:bottom w:val="single" w:sz="6" w:space="0" w:color="FFFFFF"/>
              <w:right w:val="single" w:sz="6" w:space="0" w:color="FFFFFF"/>
            </w:tcBorders>
          </w:tcPr>
          <w:p w14:paraId="292AD66E" w14:textId="77777777" w:rsidR="0018706D" w:rsidRPr="00E74F3B" w:rsidRDefault="0018706D" w:rsidP="0018706D">
            <w:pPr>
              <w:spacing w:line="163" w:lineRule="atLeast"/>
              <w:jc w:val="center"/>
              <w:rPr>
                <w:rFonts w:ascii="Calibri" w:hAnsi="Calibri" w:cs="Calibri"/>
                <w:color w:val="000000"/>
                <w:sz w:val="21"/>
                <w:szCs w:val="21"/>
              </w:rPr>
            </w:pPr>
          </w:p>
          <w:p w14:paraId="6B70F36E"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A3</w:t>
            </w:r>
          </w:p>
        </w:tc>
        <w:tc>
          <w:tcPr>
            <w:tcW w:w="565" w:type="pct"/>
            <w:tcBorders>
              <w:top w:val="single" w:sz="6" w:space="0" w:color="000000"/>
              <w:left w:val="single" w:sz="6" w:space="0" w:color="000000"/>
              <w:bottom w:val="single" w:sz="6" w:space="0" w:color="FFFFFF"/>
              <w:right w:val="single" w:sz="6" w:space="0" w:color="FFFFFF"/>
            </w:tcBorders>
          </w:tcPr>
          <w:p w14:paraId="6737A903" w14:textId="77777777" w:rsidR="0018706D" w:rsidRPr="00E74F3B" w:rsidRDefault="0018706D" w:rsidP="0018706D">
            <w:pPr>
              <w:spacing w:line="163" w:lineRule="atLeast"/>
              <w:jc w:val="center"/>
              <w:rPr>
                <w:rFonts w:ascii="Calibri" w:hAnsi="Calibri" w:cs="Calibri"/>
                <w:color w:val="000000"/>
                <w:sz w:val="21"/>
                <w:szCs w:val="21"/>
              </w:rPr>
            </w:pPr>
          </w:p>
          <w:p w14:paraId="5D5BC136"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B3</w:t>
            </w:r>
          </w:p>
        </w:tc>
        <w:tc>
          <w:tcPr>
            <w:tcW w:w="589" w:type="pct"/>
            <w:tcBorders>
              <w:top w:val="single" w:sz="6" w:space="0" w:color="000000"/>
              <w:left w:val="single" w:sz="6" w:space="0" w:color="000000"/>
              <w:bottom w:val="single" w:sz="6" w:space="0" w:color="FFFFFF"/>
              <w:right w:val="single" w:sz="6" w:space="0" w:color="FFFFFF"/>
            </w:tcBorders>
          </w:tcPr>
          <w:p w14:paraId="24102EC1" w14:textId="77777777" w:rsidR="0018706D" w:rsidRPr="00E74F3B" w:rsidRDefault="0018706D" w:rsidP="0018706D">
            <w:pPr>
              <w:spacing w:line="163" w:lineRule="atLeast"/>
              <w:jc w:val="center"/>
              <w:rPr>
                <w:rFonts w:ascii="Calibri" w:hAnsi="Calibri" w:cs="Calibri"/>
                <w:color w:val="000000"/>
                <w:sz w:val="21"/>
                <w:szCs w:val="21"/>
              </w:rPr>
            </w:pPr>
          </w:p>
          <w:p w14:paraId="1BDE5870"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C3</w:t>
            </w:r>
          </w:p>
        </w:tc>
        <w:tc>
          <w:tcPr>
            <w:tcW w:w="590" w:type="pct"/>
            <w:tcBorders>
              <w:top w:val="single" w:sz="6" w:space="0" w:color="000000"/>
              <w:left w:val="single" w:sz="6" w:space="0" w:color="000000"/>
              <w:bottom w:val="single" w:sz="6" w:space="0" w:color="FFFFFF"/>
              <w:right w:val="single" w:sz="6" w:space="0" w:color="000000"/>
            </w:tcBorders>
          </w:tcPr>
          <w:p w14:paraId="3BF38E9D" w14:textId="77777777" w:rsidR="0018706D" w:rsidRPr="00E74F3B" w:rsidRDefault="0018706D" w:rsidP="0018706D">
            <w:pPr>
              <w:spacing w:line="163" w:lineRule="atLeast"/>
              <w:jc w:val="center"/>
              <w:rPr>
                <w:rFonts w:ascii="Calibri" w:hAnsi="Calibri" w:cs="Calibri"/>
                <w:color w:val="000000"/>
                <w:sz w:val="21"/>
                <w:szCs w:val="21"/>
              </w:rPr>
            </w:pPr>
          </w:p>
          <w:p w14:paraId="09B2F348"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D3</w:t>
            </w:r>
          </w:p>
        </w:tc>
      </w:tr>
      <w:tr w:rsidR="0018706D" w:rsidRPr="00B442D7" w14:paraId="150B02DF" w14:textId="77777777" w:rsidTr="0018706D">
        <w:trPr>
          <w:cantSplit/>
        </w:trPr>
        <w:tc>
          <w:tcPr>
            <w:tcW w:w="2691" w:type="pct"/>
            <w:tcBorders>
              <w:top w:val="single" w:sz="6" w:space="0" w:color="000000"/>
              <w:left w:val="single" w:sz="6" w:space="0" w:color="000000"/>
              <w:bottom w:val="single" w:sz="6" w:space="0" w:color="FFFFFF"/>
              <w:right w:val="single" w:sz="6" w:space="0" w:color="FFFFFF"/>
            </w:tcBorders>
          </w:tcPr>
          <w:p w14:paraId="7787E7FE" w14:textId="77777777" w:rsidR="0018706D" w:rsidRPr="00E74F3B" w:rsidRDefault="0018706D" w:rsidP="0018706D">
            <w:pPr>
              <w:spacing w:line="163" w:lineRule="atLeast"/>
              <w:rPr>
                <w:rFonts w:ascii="Calibri" w:hAnsi="Calibri" w:cs="Calibri"/>
                <w:color w:val="000000"/>
                <w:sz w:val="21"/>
                <w:szCs w:val="21"/>
              </w:rPr>
            </w:pPr>
          </w:p>
          <w:p w14:paraId="33DC043E"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4</w:t>
            </w:r>
          </w:p>
        </w:tc>
        <w:tc>
          <w:tcPr>
            <w:tcW w:w="565" w:type="pct"/>
            <w:tcBorders>
              <w:top w:val="single" w:sz="6" w:space="0" w:color="000000"/>
              <w:left w:val="single" w:sz="6" w:space="0" w:color="000000"/>
              <w:bottom w:val="single" w:sz="6" w:space="0" w:color="FFFFFF"/>
              <w:right w:val="single" w:sz="6" w:space="0" w:color="FFFFFF"/>
            </w:tcBorders>
          </w:tcPr>
          <w:p w14:paraId="1A9B99DD" w14:textId="77777777" w:rsidR="0018706D" w:rsidRPr="00E74F3B" w:rsidRDefault="0018706D" w:rsidP="0018706D">
            <w:pPr>
              <w:spacing w:line="163" w:lineRule="atLeast"/>
              <w:jc w:val="center"/>
              <w:rPr>
                <w:rFonts w:ascii="Calibri" w:hAnsi="Calibri" w:cs="Calibri"/>
                <w:color w:val="000000"/>
                <w:sz w:val="21"/>
                <w:szCs w:val="21"/>
              </w:rPr>
            </w:pPr>
          </w:p>
          <w:p w14:paraId="5E6A76DE"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A4</w:t>
            </w:r>
          </w:p>
        </w:tc>
        <w:tc>
          <w:tcPr>
            <w:tcW w:w="565" w:type="pct"/>
            <w:tcBorders>
              <w:top w:val="single" w:sz="6" w:space="0" w:color="000000"/>
              <w:left w:val="single" w:sz="6" w:space="0" w:color="000000"/>
              <w:bottom w:val="single" w:sz="6" w:space="0" w:color="FFFFFF"/>
              <w:right w:val="single" w:sz="6" w:space="0" w:color="FFFFFF"/>
            </w:tcBorders>
          </w:tcPr>
          <w:p w14:paraId="355F1CB5" w14:textId="77777777" w:rsidR="0018706D" w:rsidRPr="00E74F3B" w:rsidRDefault="0018706D" w:rsidP="0018706D">
            <w:pPr>
              <w:spacing w:line="163" w:lineRule="atLeast"/>
              <w:jc w:val="center"/>
              <w:rPr>
                <w:rFonts w:ascii="Calibri" w:hAnsi="Calibri" w:cs="Calibri"/>
                <w:color w:val="000000"/>
                <w:sz w:val="21"/>
                <w:szCs w:val="21"/>
              </w:rPr>
            </w:pPr>
          </w:p>
          <w:p w14:paraId="1CDD2179"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B4</w:t>
            </w:r>
          </w:p>
        </w:tc>
        <w:tc>
          <w:tcPr>
            <w:tcW w:w="589" w:type="pct"/>
            <w:tcBorders>
              <w:top w:val="single" w:sz="6" w:space="0" w:color="000000"/>
              <w:left w:val="single" w:sz="6" w:space="0" w:color="000000"/>
              <w:bottom w:val="single" w:sz="6" w:space="0" w:color="FFFFFF"/>
              <w:right w:val="single" w:sz="6" w:space="0" w:color="FFFFFF"/>
            </w:tcBorders>
          </w:tcPr>
          <w:p w14:paraId="6A59F100" w14:textId="77777777" w:rsidR="0018706D" w:rsidRPr="00E74F3B" w:rsidRDefault="0018706D" w:rsidP="0018706D">
            <w:pPr>
              <w:spacing w:line="163" w:lineRule="atLeast"/>
              <w:jc w:val="center"/>
              <w:rPr>
                <w:rFonts w:ascii="Calibri" w:hAnsi="Calibri" w:cs="Calibri"/>
                <w:color w:val="000000"/>
                <w:sz w:val="21"/>
                <w:szCs w:val="21"/>
              </w:rPr>
            </w:pPr>
          </w:p>
          <w:p w14:paraId="177F893C"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C4</w:t>
            </w:r>
          </w:p>
        </w:tc>
        <w:tc>
          <w:tcPr>
            <w:tcW w:w="590" w:type="pct"/>
            <w:tcBorders>
              <w:top w:val="single" w:sz="6" w:space="0" w:color="000000"/>
              <w:left w:val="single" w:sz="6" w:space="0" w:color="000000"/>
              <w:bottom w:val="single" w:sz="6" w:space="0" w:color="FFFFFF"/>
              <w:right w:val="single" w:sz="6" w:space="0" w:color="000000"/>
            </w:tcBorders>
          </w:tcPr>
          <w:p w14:paraId="12C07C6B" w14:textId="77777777" w:rsidR="0018706D" w:rsidRPr="00E74F3B" w:rsidRDefault="0018706D" w:rsidP="0018706D">
            <w:pPr>
              <w:spacing w:line="163" w:lineRule="atLeast"/>
              <w:jc w:val="center"/>
              <w:rPr>
                <w:rFonts w:ascii="Calibri" w:hAnsi="Calibri" w:cs="Calibri"/>
                <w:color w:val="000000"/>
                <w:sz w:val="21"/>
                <w:szCs w:val="21"/>
              </w:rPr>
            </w:pPr>
          </w:p>
          <w:p w14:paraId="7D71E27E"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D4</w:t>
            </w:r>
          </w:p>
        </w:tc>
      </w:tr>
      <w:tr w:rsidR="0018706D" w:rsidRPr="00B442D7" w14:paraId="37167244" w14:textId="77777777" w:rsidTr="0018706D">
        <w:trPr>
          <w:cantSplit/>
        </w:trPr>
        <w:tc>
          <w:tcPr>
            <w:tcW w:w="2691" w:type="pct"/>
            <w:tcBorders>
              <w:top w:val="single" w:sz="6" w:space="0" w:color="000000"/>
              <w:left w:val="single" w:sz="6" w:space="0" w:color="000000"/>
              <w:bottom w:val="single" w:sz="6" w:space="0" w:color="FFFFFF"/>
              <w:right w:val="single" w:sz="6" w:space="0" w:color="FFFFFF"/>
            </w:tcBorders>
          </w:tcPr>
          <w:p w14:paraId="6279EBAB" w14:textId="77777777" w:rsidR="0018706D" w:rsidRPr="00E74F3B" w:rsidRDefault="0018706D" w:rsidP="0018706D">
            <w:pPr>
              <w:spacing w:line="163" w:lineRule="atLeast"/>
              <w:rPr>
                <w:rFonts w:ascii="Calibri" w:hAnsi="Calibri" w:cs="Calibri"/>
                <w:color w:val="000000"/>
                <w:sz w:val="21"/>
                <w:szCs w:val="21"/>
              </w:rPr>
            </w:pPr>
          </w:p>
          <w:p w14:paraId="7A52E3F9"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5</w:t>
            </w:r>
          </w:p>
        </w:tc>
        <w:tc>
          <w:tcPr>
            <w:tcW w:w="565" w:type="pct"/>
            <w:tcBorders>
              <w:top w:val="single" w:sz="6" w:space="0" w:color="000000"/>
              <w:left w:val="single" w:sz="6" w:space="0" w:color="000000"/>
              <w:bottom w:val="single" w:sz="6" w:space="0" w:color="FFFFFF"/>
              <w:right w:val="single" w:sz="6" w:space="0" w:color="FFFFFF"/>
            </w:tcBorders>
          </w:tcPr>
          <w:p w14:paraId="5900B407" w14:textId="77777777" w:rsidR="0018706D" w:rsidRPr="00E74F3B" w:rsidRDefault="0018706D" w:rsidP="0018706D">
            <w:pPr>
              <w:jc w:val="cente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0B075207" w14:textId="77777777" w:rsidR="0018706D" w:rsidRPr="00E74F3B" w:rsidRDefault="0018706D" w:rsidP="0018706D">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32E29615" w14:textId="77777777" w:rsidR="0018706D" w:rsidRPr="00E74F3B" w:rsidRDefault="0018706D" w:rsidP="0018706D">
            <w:pPr>
              <w:spacing w:line="163" w:lineRule="atLeast"/>
              <w:jc w:val="center"/>
              <w:rPr>
                <w:rFonts w:ascii="Calibri" w:hAnsi="Calibri" w:cs="Calibri"/>
                <w:color w:val="000000"/>
                <w:sz w:val="21"/>
                <w:szCs w:val="21"/>
              </w:rPr>
            </w:pPr>
          </w:p>
          <w:p w14:paraId="39A47EAB"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C5</w:t>
            </w:r>
          </w:p>
        </w:tc>
        <w:tc>
          <w:tcPr>
            <w:tcW w:w="590" w:type="pct"/>
            <w:tcBorders>
              <w:top w:val="single" w:sz="6" w:space="0" w:color="000000"/>
              <w:left w:val="single" w:sz="6" w:space="0" w:color="000000"/>
              <w:bottom w:val="single" w:sz="6" w:space="0" w:color="FFFFFF"/>
              <w:right w:val="single" w:sz="6" w:space="0" w:color="000000"/>
            </w:tcBorders>
          </w:tcPr>
          <w:p w14:paraId="769C3432" w14:textId="77777777" w:rsidR="0018706D" w:rsidRPr="00E74F3B" w:rsidRDefault="0018706D" w:rsidP="0018706D">
            <w:pPr>
              <w:spacing w:line="163" w:lineRule="atLeast"/>
              <w:jc w:val="center"/>
              <w:rPr>
                <w:rFonts w:ascii="Calibri" w:hAnsi="Calibri" w:cs="Calibri"/>
                <w:color w:val="000000"/>
                <w:sz w:val="21"/>
                <w:szCs w:val="21"/>
              </w:rPr>
            </w:pPr>
          </w:p>
          <w:p w14:paraId="618B4657"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D5</w:t>
            </w:r>
          </w:p>
        </w:tc>
      </w:tr>
      <w:tr w:rsidR="0018706D" w:rsidRPr="00B442D7" w14:paraId="07D0B42E" w14:textId="77777777" w:rsidTr="0018706D">
        <w:trPr>
          <w:cantSplit/>
        </w:trPr>
        <w:tc>
          <w:tcPr>
            <w:tcW w:w="2691" w:type="pct"/>
            <w:tcBorders>
              <w:top w:val="single" w:sz="6" w:space="0" w:color="000000"/>
              <w:left w:val="single" w:sz="6" w:space="0" w:color="000000"/>
              <w:bottom w:val="single" w:sz="6" w:space="0" w:color="FFFFFF"/>
              <w:right w:val="single" w:sz="6" w:space="0" w:color="FFFFFF"/>
            </w:tcBorders>
          </w:tcPr>
          <w:p w14:paraId="732A5B70" w14:textId="77777777" w:rsidR="0018706D" w:rsidRPr="00E74F3B" w:rsidRDefault="0018706D" w:rsidP="0018706D">
            <w:pPr>
              <w:spacing w:line="163" w:lineRule="atLeast"/>
              <w:rPr>
                <w:rFonts w:ascii="Calibri" w:hAnsi="Calibri" w:cs="Calibri"/>
                <w:color w:val="000000"/>
                <w:sz w:val="21"/>
                <w:szCs w:val="21"/>
              </w:rPr>
            </w:pPr>
          </w:p>
          <w:p w14:paraId="3B02D57E"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6</w:t>
            </w:r>
          </w:p>
        </w:tc>
        <w:tc>
          <w:tcPr>
            <w:tcW w:w="565" w:type="pct"/>
            <w:tcBorders>
              <w:top w:val="single" w:sz="6" w:space="0" w:color="000000"/>
              <w:left w:val="single" w:sz="6" w:space="0" w:color="000000"/>
              <w:bottom w:val="single" w:sz="6" w:space="0" w:color="FFFFFF"/>
              <w:right w:val="single" w:sz="6" w:space="0" w:color="FFFFFF"/>
            </w:tcBorders>
          </w:tcPr>
          <w:p w14:paraId="76C51BB6" w14:textId="77777777" w:rsidR="0018706D" w:rsidRPr="00E74F3B" w:rsidRDefault="0018706D" w:rsidP="0018706D">
            <w:pPr>
              <w:jc w:val="cente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02C50643" w14:textId="77777777" w:rsidR="0018706D" w:rsidRPr="00E74F3B" w:rsidRDefault="0018706D" w:rsidP="0018706D">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5B8DF69B" w14:textId="77777777" w:rsidR="0018706D" w:rsidRPr="00E74F3B" w:rsidRDefault="0018706D" w:rsidP="0018706D">
            <w:pPr>
              <w:jc w:val="center"/>
              <w:rPr>
                <w:rFonts w:ascii="Calibri" w:hAnsi="Calibri" w:cs="Calibri"/>
                <w:color w:val="000000"/>
                <w:sz w:val="21"/>
                <w:szCs w:val="21"/>
              </w:rPr>
            </w:pPr>
          </w:p>
        </w:tc>
        <w:tc>
          <w:tcPr>
            <w:tcW w:w="590" w:type="pct"/>
            <w:tcBorders>
              <w:top w:val="single" w:sz="6" w:space="0" w:color="000000"/>
              <w:left w:val="single" w:sz="6" w:space="0" w:color="000000"/>
              <w:bottom w:val="single" w:sz="6" w:space="0" w:color="FFFFFF"/>
              <w:right w:val="single" w:sz="6" w:space="0" w:color="000000"/>
            </w:tcBorders>
          </w:tcPr>
          <w:p w14:paraId="703A6FF9" w14:textId="77777777" w:rsidR="0018706D" w:rsidRPr="00E74F3B" w:rsidRDefault="0018706D" w:rsidP="0018706D">
            <w:pPr>
              <w:spacing w:line="163" w:lineRule="atLeast"/>
              <w:jc w:val="center"/>
              <w:rPr>
                <w:rFonts w:ascii="Calibri" w:hAnsi="Calibri" w:cs="Calibri"/>
                <w:color w:val="000000"/>
                <w:sz w:val="21"/>
                <w:szCs w:val="21"/>
              </w:rPr>
            </w:pPr>
          </w:p>
          <w:p w14:paraId="0CE6A83C"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D6</w:t>
            </w:r>
          </w:p>
        </w:tc>
      </w:tr>
      <w:tr w:rsidR="0018706D" w:rsidRPr="00B442D7" w14:paraId="36FFB8B1" w14:textId="77777777" w:rsidTr="0018706D">
        <w:trPr>
          <w:cantSplit/>
        </w:trPr>
        <w:tc>
          <w:tcPr>
            <w:tcW w:w="2691" w:type="pct"/>
            <w:tcBorders>
              <w:top w:val="single" w:sz="6" w:space="0" w:color="000000"/>
              <w:left w:val="single" w:sz="6" w:space="0" w:color="000000"/>
              <w:bottom w:val="single" w:sz="6" w:space="0" w:color="000000"/>
              <w:right w:val="single" w:sz="6" w:space="0" w:color="FFFFFF"/>
            </w:tcBorders>
          </w:tcPr>
          <w:p w14:paraId="6C9D0CE5" w14:textId="77777777" w:rsidR="0018706D" w:rsidRPr="00E74F3B" w:rsidRDefault="0018706D" w:rsidP="0018706D">
            <w:pPr>
              <w:spacing w:line="163" w:lineRule="atLeast"/>
              <w:rPr>
                <w:rFonts w:ascii="Calibri" w:hAnsi="Calibri" w:cs="Calibri"/>
                <w:color w:val="000000"/>
                <w:sz w:val="21"/>
                <w:szCs w:val="21"/>
              </w:rPr>
            </w:pPr>
          </w:p>
          <w:p w14:paraId="60049245"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X</w:t>
            </w:r>
          </w:p>
        </w:tc>
        <w:tc>
          <w:tcPr>
            <w:tcW w:w="565" w:type="pct"/>
            <w:tcBorders>
              <w:top w:val="single" w:sz="6" w:space="0" w:color="000000"/>
              <w:left w:val="single" w:sz="6" w:space="0" w:color="000000"/>
              <w:bottom w:val="single" w:sz="6" w:space="0" w:color="000000"/>
              <w:right w:val="single" w:sz="6" w:space="0" w:color="FFFFFF"/>
            </w:tcBorders>
          </w:tcPr>
          <w:p w14:paraId="2A6C3C41" w14:textId="77777777" w:rsidR="0018706D" w:rsidRPr="00E74F3B" w:rsidRDefault="0018706D" w:rsidP="0018706D">
            <w:pPr>
              <w:spacing w:line="163" w:lineRule="atLeast"/>
              <w:jc w:val="center"/>
              <w:rPr>
                <w:rFonts w:ascii="Calibri" w:hAnsi="Calibri" w:cs="Calibri"/>
                <w:color w:val="000000"/>
                <w:sz w:val="21"/>
                <w:szCs w:val="21"/>
              </w:rPr>
            </w:pPr>
          </w:p>
          <w:p w14:paraId="155065A1"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AX</w:t>
            </w:r>
          </w:p>
        </w:tc>
        <w:tc>
          <w:tcPr>
            <w:tcW w:w="565" w:type="pct"/>
            <w:tcBorders>
              <w:top w:val="single" w:sz="6" w:space="0" w:color="000000"/>
              <w:left w:val="single" w:sz="6" w:space="0" w:color="000000"/>
              <w:bottom w:val="single" w:sz="6" w:space="0" w:color="000000"/>
              <w:right w:val="single" w:sz="6" w:space="0" w:color="FFFFFF"/>
            </w:tcBorders>
          </w:tcPr>
          <w:p w14:paraId="48578710" w14:textId="77777777" w:rsidR="0018706D" w:rsidRPr="00E74F3B" w:rsidRDefault="0018706D" w:rsidP="0018706D">
            <w:pPr>
              <w:spacing w:line="163" w:lineRule="atLeast"/>
              <w:jc w:val="center"/>
              <w:rPr>
                <w:rFonts w:ascii="Calibri" w:hAnsi="Calibri" w:cs="Calibri"/>
                <w:color w:val="000000"/>
                <w:sz w:val="21"/>
                <w:szCs w:val="21"/>
              </w:rPr>
            </w:pPr>
          </w:p>
          <w:p w14:paraId="60E545C8"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BX</w:t>
            </w:r>
          </w:p>
        </w:tc>
        <w:tc>
          <w:tcPr>
            <w:tcW w:w="589" w:type="pct"/>
            <w:tcBorders>
              <w:top w:val="single" w:sz="6" w:space="0" w:color="000000"/>
              <w:left w:val="single" w:sz="6" w:space="0" w:color="000000"/>
              <w:bottom w:val="single" w:sz="6" w:space="0" w:color="000000"/>
              <w:right w:val="single" w:sz="6" w:space="0" w:color="FFFFFF"/>
            </w:tcBorders>
          </w:tcPr>
          <w:p w14:paraId="56B2E2BF" w14:textId="77777777" w:rsidR="0018706D" w:rsidRPr="00E74F3B" w:rsidRDefault="0018706D" w:rsidP="0018706D">
            <w:pPr>
              <w:spacing w:line="163" w:lineRule="atLeast"/>
              <w:jc w:val="center"/>
              <w:rPr>
                <w:rFonts w:ascii="Calibri" w:hAnsi="Calibri" w:cs="Calibri"/>
                <w:color w:val="000000"/>
                <w:sz w:val="21"/>
                <w:szCs w:val="21"/>
              </w:rPr>
            </w:pPr>
          </w:p>
          <w:p w14:paraId="27B1921B"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CX</w:t>
            </w:r>
          </w:p>
        </w:tc>
        <w:tc>
          <w:tcPr>
            <w:tcW w:w="590" w:type="pct"/>
            <w:tcBorders>
              <w:top w:val="single" w:sz="6" w:space="0" w:color="000000"/>
              <w:left w:val="single" w:sz="6" w:space="0" w:color="000000"/>
              <w:bottom w:val="single" w:sz="6" w:space="0" w:color="000000"/>
              <w:right w:val="single" w:sz="6" w:space="0" w:color="000000"/>
            </w:tcBorders>
          </w:tcPr>
          <w:p w14:paraId="623ECBAE" w14:textId="77777777" w:rsidR="0018706D" w:rsidRPr="00E74F3B" w:rsidRDefault="0018706D" w:rsidP="0018706D">
            <w:pPr>
              <w:spacing w:line="163" w:lineRule="atLeast"/>
              <w:jc w:val="center"/>
              <w:rPr>
                <w:rFonts w:ascii="Calibri" w:hAnsi="Calibri" w:cs="Calibri"/>
                <w:color w:val="000000"/>
                <w:sz w:val="21"/>
                <w:szCs w:val="21"/>
              </w:rPr>
            </w:pPr>
          </w:p>
          <w:p w14:paraId="1E18C30E" w14:textId="77777777" w:rsidR="0018706D" w:rsidRPr="00E74F3B" w:rsidRDefault="0018706D" w:rsidP="0018706D">
            <w:pPr>
              <w:jc w:val="center"/>
              <w:rPr>
                <w:rFonts w:ascii="Calibri" w:hAnsi="Calibri" w:cs="Calibri"/>
                <w:color w:val="000000"/>
                <w:sz w:val="21"/>
                <w:szCs w:val="21"/>
              </w:rPr>
            </w:pPr>
            <w:r w:rsidRPr="00E74F3B">
              <w:rPr>
                <w:rFonts w:ascii="Calibri" w:hAnsi="Calibri" w:cs="Calibri"/>
                <w:color w:val="000000"/>
                <w:sz w:val="21"/>
                <w:szCs w:val="21"/>
              </w:rPr>
              <w:t>DX</w:t>
            </w:r>
          </w:p>
        </w:tc>
      </w:tr>
    </w:tbl>
    <w:p w14:paraId="0B5D3885" w14:textId="77777777" w:rsidR="0018706D" w:rsidRPr="00B442D7" w:rsidRDefault="0018706D" w:rsidP="0018706D">
      <w:pPr>
        <w:jc w:val="both"/>
        <w:rPr>
          <w:rFonts w:ascii="Calibri" w:eastAsia="Calibri" w:hAnsi="Calibri" w:cs="Calibri"/>
          <w:lang w:val="en-GB"/>
        </w:rPr>
      </w:pPr>
    </w:p>
    <w:p w14:paraId="124DEE1B" w14:textId="77777777" w:rsidR="0018706D" w:rsidRPr="003E3FE8" w:rsidRDefault="0018706D" w:rsidP="00871522">
      <w:pPr>
        <w:pStyle w:val="Bodynumbercopy"/>
        <w:spacing w:line="240" w:lineRule="auto"/>
        <w:ind w:left="780"/>
        <w:rPr>
          <w:rFonts w:eastAsia="Calibri"/>
          <w:lang w:val="en-GB"/>
        </w:rPr>
      </w:pPr>
      <w:r w:rsidRPr="00B442D7">
        <w:rPr>
          <w:rFonts w:eastAsia="Calibri"/>
          <w:lang w:val="en-GB"/>
        </w:rPr>
        <w:t>As shown in the table above, certain reliability and accuracy band combinations are considered to be incompatible – for example, D1 or D2.</w:t>
      </w:r>
    </w:p>
    <w:p w14:paraId="52B44698" w14:textId="77777777" w:rsidR="0018706D" w:rsidRPr="00B442D7" w:rsidRDefault="0018706D" w:rsidP="00871522">
      <w:pPr>
        <w:pStyle w:val="Bodynumbercopy"/>
        <w:spacing w:line="240" w:lineRule="auto"/>
        <w:ind w:left="780"/>
        <w:rPr>
          <w:rFonts w:eastAsia="Calibri"/>
          <w:lang w:val="en-GB"/>
        </w:rPr>
      </w:pPr>
      <w:r w:rsidRPr="00B442D7">
        <w:rPr>
          <w:rFonts w:eastAsia="Calibri"/>
          <w:lang w:val="en-GB"/>
        </w:rPr>
        <w:t>When selecting a confidence grade from the drop-down boxes provided in the template, it would be appreciated if each Local Authority could add explanatory comments for responses with lower confidence levels in the Comments field.</w:t>
      </w:r>
    </w:p>
    <w:p w14:paraId="4E936D97" w14:textId="6E8C3286" w:rsidR="004C0544" w:rsidRDefault="00011C01" w:rsidP="0018706D">
      <w:pPr>
        <w:pStyle w:val="Title1"/>
        <w:ind w:left="0"/>
        <w:rPr>
          <w:lang w:val="en-GB"/>
        </w:rPr>
      </w:pPr>
      <w:r>
        <w:rPr>
          <w:lang w:val="en-GB"/>
        </w:rPr>
        <w:t>GLOSSARY</w:t>
      </w:r>
    </w:p>
    <w:tbl>
      <w:tblPr>
        <w:tblStyle w:val="GridTable1Light1"/>
        <w:tblW w:w="0" w:type="auto"/>
        <w:tblLook w:val="04A0" w:firstRow="1" w:lastRow="0" w:firstColumn="1" w:lastColumn="0" w:noHBand="0" w:noVBand="1"/>
      </w:tblPr>
      <w:tblGrid>
        <w:gridCol w:w="1180"/>
        <w:gridCol w:w="5790"/>
      </w:tblGrid>
      <w:tr w:rsidR="00011C01" w:rsidRPr="00E75086" w14:paraId="075D3A6A" w14:textId="77777777" w:rsidTr="009F0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FDCFBB" w14:textId="77777777" w:rsidR="00011C01" w:rsidRPr="00B73672" w:rsidRDefault="00011C01" w:rsidP="009F0A88">
            <w:pPr>
              <w:rPr>
                <w:rFonts w:ascii="Calibri" w:eastAsia="Calibri" w:hAnsi="Calibri" w:cs="Calibri"/>
                <w:bCs w:val="0"/>
              </w:rPr>
            </w:pPr>
            <w:r w:rsidRPr="00B73672">
              <w:rPr>
                <w:rFonts w:ascii="Calibri" w:eastAsia="Calibri" w:hAnsi="Calibri" w:cs="Calibri"/>
                <w:bCs w:val="0"/>
              </w:rPr>
              <w:t>Term</w:t>
            </w:r>
          </w:p>
        </w:tc>
        <w:tc>
          <w:tcPr>
            <w:tcW w:w="5790" w:type="dxa"/>
          </w:tcPr>
          <w:p w14:paraId="6E171A6A" w14:textId="77777777" w:rsidR="00011C01" w:rsidRPr="00B73672" w:rsidRDefault="00011C01" w:rsidP="009F0A88">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val="0"/>
              </w:rPr>
            </w:pPr>
            <w:r w:rsidRPr="00B73672">
              <w:rPr>
                <w:rFonts w:ascii="Calibri" w:eastAsia="Calibri" w:hAnsi="Calibri" w:cs="Calibri"/>
                <w:bCs w:val="0"/>
              </w:rPr>
              <w:t>Description</w:t>
            </w:r>
          </w:p>
        </w:tc>
      </w:tr>
      <w:tr w:rsidR="00011C01" w:rsidRPr="00E75086" w14:paraId="398E1BFC" w14:textId="77777777" w:rsidTr="009F0A88">
        <w:tc>
          <w:tcPr>
            <w:cnfStyle w:val="001000000000" w:firstRow="0" w:lastRow="0" w:firstColumn="1" w:lastColumn="0" w:oddVBand="0" w:evenVBand="0" w:oddHBand="0" w:evenHBand="0" w:firstRowFirstColumn="0" w:firstRowLastColumn="0" w:lastRowFirstColumn="0" w:lastRowLastColumn="0"/>
            <w:tcW w:w="0" w:type="auto"/>
          </w:tcPr>
          <w:p w14:paraId="1E96A92F" w14:textId="77777777" w:rsidR="00011C01" w:rsidRPr="00E75086" w:rsidRDefault="00011C01" w:rsidP="009F0A88">
            <w:pPr>
              <w:rPr>
                <w:rFonts w:ascii="Calibri" w:eastAsia="Calibri" w:hAnsi="Calibri" w:cs="Calibri"/>
              </w:rPr>
            </w:pPr>
            <w:r>
              <w:rPr>
                <w:rFonts w:ascii="Calibri" w:eastAsia="Calibri" w:hAnsi="Calibri" w:cs="Calibri"/>
                <w:b w:val="0"/>
              </w:rPr>
              <w:t>Nr</w:t>
            </w:r>
          </w:p>
        </w:tc>
        <w:tc>
          <w:tcPr>
            <w:tcW w:w="5790" w:type="dxa"/>
          </w:tcPr>
          <w:p w14:paraId="14E53E27" w14:textId="77777777" w:rsidR="00011C01" w:rsidRPr="00E75086" w:rsidRDefault="00011C01" w:rsidP="009F0A8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Number</w:t>
            </w:r>
          </w:p>
        </w:tc>
      </w:tr>
      <w:tr w:rsidR="00011C01" w:rsidRPr="00E75086" w14:paraId="01DEB7CF" w14:textId="77777777" w:rsidTr="009F0A88">
        <w:tc>
          <w:tcPr>
            <w:cnfStyle w:val="001000000000" w:firstRow="0" w:lastRow="0" w:firstColumn="1" w:lastColumn="0" w:oddVBand="0" w:evenVBand="0" w:oddHBand="0" w:evenHBand="0" w:firstRowFirstColumn="0" w:firstRowLastColumn="0" w:lastRowFirstColumn="0" w:lastRowLastColumn="0"/>
            <w:tcW w:w="0" w:type="auto"/>
          </w:tcPr>
          <w:p w14:paraId="1BD466C5" w14:textId="77777777" w:rsidR="00011C01" w:rsidRPr="00E75086" w:rsidRDefault="00011C01" w:rsidP="009F0A88">
            <w:pPr>
              <w:rPr>
                <w:rFonts w:ascii="Calibri" w:eastAsia="Calibri" w:hAnsi="Calibri" w:cs="Calibri"/>
              </w:rPr>
            </w:pPr>
            <w:r>
              <w:rPr>
                <w:rFonts w:ascii="Calibri" w:eastAsia="Calibri" w:hAnsi="Calibri" w:cs="Calibri"/>
                <w:b w:val="0"/>
              </w:rPr>
              <w:t>000</w:t>
            </w:r>
          </w:p>
        </w:tc>
        <w:tc>
          <w:tcPr>
            <w:tcW w:w="5790" w:type="dxa"/>
          </w:tcPr>
          <w:p w14:paraId="3E774D56" w14:textId="77777777" w:rsidR="00011C01" w:rsidRPr="00E75086" w:rsidRDefault="00011C01" w:rsidP="009F0A8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Thousands</w:t>
            </w:r>
          </w:p>
        </w:tc>
      </w:tr>
      <w:tr w:rsidR="00011C01" w:rsidRPr="00E75086" w14:paraId="38F17DAD" w14:textId="77777777" w:rsidTr="009F0A88">
        <w:tc>
          <w:tcPr>
            <w:cnfStyle w:val="001000000000" w:firstRow="0" w:lastRow="0" w:firstColumn="1" w:lastColumn="0" w:oddVBand="0" w:evenVBand="0" w:oddHBand="0" w:evenHBand="0" w:firstRowFirstColumn="0" w:firstRowLastColumn="0" w:lastRowFirstColumn="0" w:lastRowLastColumn="0"/>
            <w:tcW w:w="0" w:type="auto"/>
          </w:tcPr>
          <w:p w14:paraId="583E3253" w14:textId="77777777" w:rsidR="00011C01" w:rsidRPr="00E75086" w:rsidRDefault="00011C01" w:rsidP="009F0A88">
            <w:pPr>
              <w:rPr>
                <w:rFonts w:ascii="Calibri" w:eastAsia="Calibri" w:hAnsi="Calibri" w:cs="Calibri"/>
              </w:rPr>
            </w:pPr>
            <w:r>
              <w:rPr>
                <w:rFonts w:ascii="Calibri" w:eastAsia="Calibri" w:hAnsi="Calibri" w:cs="Calibri"/>
                <w:b w:val="0"/>
              </w:rPr>
              <w:t>000 m3/d</w:t>
            </w:r>
          </w:p>
        </w:tc>
        <w:tc>
          <w:tcPr>
            <w:tcW w:w="5790" w:type="dxa"/>
          </w:tcPr>
          <w:p w14:paraId="651D87D9" w14:textId="77777777" w:rsidR="00011C01" w:rsidRPr="00E75086" w:rsidRDefault="00011C01" w:rsidP="009F0A8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Thousand cubic metres per day</w:t>
            </w:r>
          </w:p>
        </w:tc>
      </w:tr>
      <w:tr w:rsidR="00011C01" w:rsidRPr="00E75086" w14:paraId="26CE521A" w14:textId="77777777" w:rsidTr="009F0A88">
        <w:tc>
          <w:tcPr>
            <w:cnfStyle w:val="001000000000" w:firstRow="0" w:lastRow="0" w:firstColumn="1" w:lastColumn="0" w:oddVBand="0" w:evenVBand="0" w:oddHBand="0" w:evenHBand="0" w:firstRowFirstColumn="0" w:firstRowLastColumn="0" w:lastRowFirstColumn="0" w:lastRowLastColumn="0"/>
            <w:tcW w:w="0" w:type="auto"/>
          </w:tcPr>
          <w:p w14:paraId="236F3AA1" w14:textId="77777777" w:rsidR="00011C01" w:rsidRPr="00E75086" w:rsidRDefault="00011C01" w:rsidP="009F0A88">
            <w:pPr>
              <w:rPr>
                <w:rFonts w:ascii="Calibri" w:eastAsia="Calibri" w:hAnsi="Calibri" w:cs="Calibri"/>
              </w:rPr>
            </w:pPr>
            <w:r>
              <w:rPr>
                <w:rFonts w:ascii="Calibri" w:eastAsia="Calibri" w:hAnsi="Calibri" w:cs="Calibri"/>
                <w:b w:val="0"/>
              </w:rPr>
              <w:t>l/pr/d</w:t>
            </w:r>
          </w:p>
        </w:tc>
        <w:tc>
          <w:tcPr>
            <w:tcW w:w="5790" w:type="dxa"/>
          </w:tcPr>
          <w:p w14:paraId="7D28F1B9" w14:textId="77777777" w:rsidR="00011C01" w:rsidRPr="00E75086" w:rsidRDefault="00011C01" w:rsidP="009F0A8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Litres per property per day</w:t>
            </w:r>
          </w:p>
        </w:tc>
      </w:tr>
      <w:tr w:rsidR="00011C01" w:rsidRPr="00E75086" w14:paraId="2488ED2D" w14:textId="77777777" w:rsidTr="009F0A88">
        <w:tc>
          <w:tcPr>
            <w:cnfStyle w:val="001000000000" w:firstRow="0" w:lastRow="0" w:firstColumn="1" w:lastColumn="0" w:oddVBand="0" w:evenVBand="0" w:oddHBand="0" w:evenHBand="0" w:firstRowFirstColumn="0" w:firstRowLastColumn="0" w:lastRowFirstColumn="0" w:lastRowLastColumn="0"/>
            <w:tcW w:w="0" w:type="auto"/>
          </w:tcPr>
          <w:p w14:paraId="543067B7" w14:textId="77777777" w:rsidR="00011C01" w:rsidRPr="00E75086" w:rsidRDefault="00011C01" w:rsidP="009F0A88">
            <w:pPr>
              <w:rPr>
                <w:rFonts w:ascii="Calibri" w:eastAsia="Calibri" w:hAnsi="Calibri" w:cs="Calibri"/>
              </w:rPr>
            </w:pPr>
            <w:r>
              <w:rPr>
                <w:rFonts w:ascii="Calibri" w:eastAsia="Calibri" w:hAnsi="Calibri" w:cs="Calibri"/>
                <w:b w:val="0"/>
              </w:rPr>
              <w:t>l/h/d</w:t>
            </w:r>
          </w:p>
        </w:tc>
        <w:tc>
          <w:tcPr>
            <w:tcW w:w="5790" w:type="dxa"/>
          </w:tcPr>
          <w:p w14:paraId="6007C121" w14:textId="77777777" w:rsidR="00011C01" w:rsidRPr="00E75086" w:rsidRDefault="00011C01" w:rsidP="009F0A8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Litres per head per day</w:t>
            </w:r>
          </w:p>
        </w:tc>
      </w:tr>
      <w:tr w:rsidR="00011C01" w:rsidRPr="00E75086" w14:paraId="18C59381" w14:textId="77777777" w:rsidTr="009F0A88">
        <w:tc>
          <w:tcPr>
            <w:cnfStyle w:val="001000000000" w:firstRow="0" w:lastRow="0" w:firstColumn="1" w:lastColumn="0" w:oddVBand="0" w:evenVBand="0" w:oddHBand="0" w:evenHBand="0" w:firstRowFirstColumn="0" w:firstRowLastColumn="0" w:lastRowFirstColumn="0" w:lastRowLastColumn="0"/>
            <w:tcW w:w="0" w:type="auto"/>
          </w:tcPr>
          <w:p w14:paraId="33FF9730" w14:textId="77777777" w:rsidR="00011C01" w:rsidRPr="00E75086" w:rsidRDefault="00011C01" w:rsidP="009F0A88">
            <w:pPr>
              <w:rPr>
                <w:rFonts w:ascii="Calibri" w:eastAsia="Calibri" w:hAnsi="Calibri" w:cs="Calibri"/>
              </w:rPr>
            </w:pPr>
            <w:r>
              <w:rPr>
                <w:rFonts w:ascii="Calibri" w:eastAsia="Calibri" w:hAnsi="Calibri" w:cs="Calibri"/>
                <w:b w:val="0"/>
              </w:rPr>
              <w:t>m2</w:t>
            </w:r>
          </w:p>
        </w:tc>
        <w:tc>
          <w:tcPr>
            <w:tcW w:w="5790" w:type="dxa"/>
          </w:tcPr>
          <w:p w14:paraId="6F57DCFC" w14:textId="77777777" w:rsidR="00011C01" w:rsidRPr="00E75086" w:rsidRDefault="00011C01" w:rsidP="009F0A8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Metres squared</w:t>
            </w:r>
          </w:p>
        </w:tc>
      </w:tr>
      <w:tr w:rsidR="00011C01" w:rsidRPr="00E75086" w14:paraId="1FC261D7" w14:textId="77777777" w:rsidTr="009F0A88">
        <w:tc>
          <w:tcPr>
            <w:cnfStyle w:val="001000000000" w:firstRow="0" w:lastRow="0" w:firstColumn="1" w:lastColumn="0" w:oddVBand="0" w:evenVBand="0" w:oddHBand="0" w:evenHBand="0" w:firstRowFirstColumn="0" w:firstRowLastColumn="0" w:lastRowFirstColumn="0" w:lastRowLastColumn="0"/>
            <w:tcW w:w="0" w:type="auto"/>
          </w:tcPr>
          <w:p w14:paraId="6EB87B53" w14:textId="77777777" w:rsidR="00011C01" w:rsidRPr="00E75086" w:rsidRDefault="00011C01" w:rsidP="009F0A88">
            <w:pPr>
              <w:rPr>
                <w:rFonts w:ascii="Calibri" w:eastAsia="Calibri" w:hAnsi="Calibri" w:cs="Calibri"/>
              </w:rPr>
            </w:pPr>
            <w:r>
              <w:rPr>
                <w:rFonts w:ascii="Calibri" w:eastAsia="Calibri" w:hAnsi="Calibri" w:cs="Calibri"/>
                <w:b w:val="0"/>
              </w:rPr>
              <w:t>mm</w:t>
            </w:r>
          </w:p>
        </w:tc>
        <w:tc>
          <w:tcPr>
            <w:tcW w:w="5790" w:type="dxa"/>
          </w:tcPr>
          <w:p w14:paraId="36601996" w14:textId="77777777" w:rsidR="00011C01" w:rsidRPr="00E75086" w:rsidRDefault="00011C01" w:rsidP="009F0A8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Millimetres</w:t>
            </w:r>
          </w:p>
        </w:tc>
      </w:tr>
      <w:tr w:rsidR="00011C01" w:rsidRPr="00E75086" w14:paraId="5A835E0F" w14:textId="77777777" w:rsidTr="009F0A88">
        <w:tc>
          <w:tcPr>
            <w:cnfStyle w:val="001000000000" w:firstRow="0" w:lastRow="0" w:firstColumn="1" w:lastColumn="0" w:oddVBand="0" w:evenVBand="0" w:oddHBand="0" w:evenHBand="0" w:firstRowFirstColumn="0" w:firstRowLastColumn="0" w:lastRowFirstColumn="0" w:lastRowLastColumn="0"/>
            <w:tcW w:w="0" w:type="auto"/>
          </w:tcPr>
          <w:p w14:paraId="7F30407B" w14:textId="77777777" w:rsidR="00011C01" w:rsidRPr="00E75086" w:rsidRDefault="00011C01" w:rsidP="009F0A88">
            <w:pPr>
              <w:rPr>
                <w:rFonts w:ascii="Calibri" w:eastAsia="Calibri" w:hAnsi="Calibri" w:cs="Calibri"/>
              </w:rPr>
            </w:pPr>
            <w:r>
              <w:rPr>
                <w:rFonts w:ascii="Calibri" w:eastAsia="Calibri" w:hAnsi="Calibri" w:cs="Calibri"/>
                <w:b w:val="0"/>
              </w:rPr>
              <w:t>mg/l</w:t>
            </w:r>
          </w:p>
        </w:tc>
        <w:tc>
          <w:tcPr>
            <w:tcW w:w="5790" w:type="dxa"/>
          </w:tcPr>
          <w:p w14:paraId="7926A48B" w14:textId="77777777" w:rsidR="00011C01" w:rsidRPr="00E75086" w:rsidRDefault="00011C01" w:rsidP="009F0A8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Milligrams per litre</w:t>
            </w:r>
          </w:p>
        </w:tc>
      </w:tr>
      <w:tr w:rsidR="00011C01" w:rsidRPr="00E75086" w14:paraId="0E050C33" w14:textId="77777777" w:rsidTr="009F0A88">
        <w:tc>
          <w:tcPr>
            <w:cnfStyle w:val="001000000000" w:firstRow="0" w:lastRow="0" w:firstColumn="1" w:lastColumn="0" w:oddVBand="0" w:evenVBand="0" w:oddHBand="0" w:evenHBand="0" w:firstRowFirstColumn="0" w:firstRowLastColumn="0" w:lastRowFirstColumn="0" w:lastRowLastColumn="0"/>
            <w:tcW w:w="0" w:type="auto"/>
          </w:tcPr>
          <w:p w14:paraId="7CBC3F23" w14:textId="77777777" w:rsidR="00011C01" w:rsidRPr="00E75086" w:rsidRDefault="00011C01" w:rsidP="009F0A88">
            <w:pPr>
              <w:rPr>
                <w:rFonts w:ascii="Calibri" w:eastAsia="Calibri" w:hAnsi="Calibri" w:cs="Calibri"/>
              </w:rPr>
            </w:pPr>
            <w:proofErr w:type="spellStart"/>
            <w:r>
              <w:rPr>
                <w:rFonts w:ascii="Calibri" w:eastAsia="Calibri" w:hAnsi="Calibri" w:cs="Calibri"/>
                <w:b w:val="0"/>
              </w:rPr>
              <w:t>ttds</w:t>
            </w:r>
            <w:proofErr w:type="spellEnd"/>
          </w:p>
        </w:tc>
        <w:tc>
          <w:tcPr>
            <w:tcW w:w="5790" w:type="dxa"/>
          </w:tcPr>
          <w:p w14:paraId="5CCF0BD0" w14:textId="77777777" w:rsidR="00011C01" w:rsidRPr="00E75086" w:rsidRDefault="00011C01" w:rsidP="009F0A8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Thousand tonnes of dry solids</w:t>
            </w:r>
          </w:p>
        </w:tc>
      </w:tr>
      <w:tr w:rsidR="00011C01" w:rsidRPr="00E75086" w14:paraId="539C5EC6" w14:textId="77777777" w:rsidTr="009F0A88">
        <w:tc>
          <w:tcPr>
            <w:cnfStyle w:val="001000000000" w:firstRow="0" w:lastRow="0" w:firstColumn="1" w:lastColumn="0" w:oddVBand="0" w:evenVBand="0" w:oddHBand="0" w:evenHBand="0" w:firstRowFirstColumn="0" w:firstRowLastColumn="0" w:lastRowFirstColumn="0" w:lastRowLastColumn="0"/>
            <w:tcW w:w="0" w:type="auto"/>
          </w:tcPr>
          <w:p w14:paraId="72B1A7A3" w14:textId="77777777" w:rsidR="00011C01" w:rsidRDefault="00011C01" w:rsidP="009F0A88">
            <w:pPr>
              <w:rPr>
                <w:rFonts w:ascii="Calibri" w:eastAsia="Calibri" w:hAnsi="Calibri" w:cs="Calibri"/>
                <w:b w:val="0"/>
              </w:rPr>
            </w:pPr>
            <w:proofErr w:type="spellStart"/>
            <w:r>
              <w:rPr>
                <w:rFonts w:ascii="Calibri" w:eastAsia="Calibri" w:hAnsi="Calibri" w:cs="Calibri"/>
                <w:b w:val="0"/>
              </w:rPr>
              <w:t>Tradewaste</w:t>
            </w:r>
            <w:proofErr w:type="spellEnd"/>
          </w:p>
        </w:tc>
        <w:tc>
          <w:tcPr>
            <w:tcW w:w="5790" w:type="dxa"/>
          </w:tcPr>
          <w:p w14:paraId="24791160" w14:textId="77777777" w:rsidR="00011C01" w:rsidRDefault="00011C01" w:rsidP="009F0A8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Industrial and commercial waste</w:t>
            </w:r>
          </w:p>
        </w:tc>
      </w:tr>
      <w:tr w:rsidR="00011C01" w:rsidRPr="00E75086" w14:paraId="7F218691" w14:textId="77777777" w:rsidTr="009F0A88">
        <w:tc>
          <w:tcPr>
            <w:cnfStyle w:val="001000000000" w:firstRow="0" w:lastRow="0" w:firstColumn="1" w:lastColumn="0" w:oddVBand="0" w:evenVBand="0" w:oddHBand="0" w:evenHBand="0" w:firstRowFirstColumn="0" w:firstRowLastColumn="0" w:lastRowFirstColumn="0" w:lastRowLastColumn="0"/>
            <w:tcW w:w="0" w:type="auto"/>
          </w:tcPr>
          <w:p w14:paraId="30ECB609" w14:textId="77777777" w:rsidR="00011C01" w:rsidRPr="00B73672" w:rsidRDefault="00011C01" w:rsidP="009F0A88">
            <w:pPr>
              <w:rPr>
                <w:rFonts w:ascii="Calibri" w:eastAsia="Calibri" w:hAnsi="Calibri" w:cs="Calibri"/>
                <w:b w:val="0"/>
                <w:bCs w:val="0"/>
              </w:rPr>
            </w:pPr>
            <w:r w:rsidRPr="00B73672">
              <w:rPr>
                <w:rFonts w:ascii="Calibri" w:eastAsia="Calibri" w:hAnsi="Calibri" w:cs="Calibri"/>
                <w:b w:val="0"/>
                <w:bCs w:val="0"/>
              </w:rPr>
              <w:t>BOD</w:t>
            </w:r>
          </w:p>
        </w:tc>
        <w:tc>
          <w:tcPr>
            <w:tcW w:w="5790" w:type="dxa"/>
          </w:tcPr>
          <w:p w14:paraId="04104486" w14:textId="77777777" w:rsidR="00011C01" w:rsidRDefault="00011C01" w:rsidP="009F0A8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Biochemical Oxygen Demand</w:t>
            </w:r>
          </w:p>
        </w:tc>
      </w:tr>
      <w:tr w:rsidR="00011C01" w:rsidRPr="00E75086" w14:paraId="7A3E546F" w14:textId="77777777" w:rsidTr="009F0A88">
        <w:tc>
          <w:tcPr>
            <w:cnfStyle w:val="001000000000" w:firstRow="0" w:lastRow="0" w:firstColumn="1" w:lastColumn="0" w:oddVBand="0" w:evenVBand="0" w:oddHBand="0" w:evenHBand="0" w:firstRowFirstColumn="0" w:firstRowLastColumn="0" w:lastRowFirstColumn="0" w:lastRowLastColumn="0"/>
            <w:tcW w:w="0" w:type="auto"/>
          </w:tcPr>
          <w:p w14:paraId="44346A3A" w14:textId="77777777" w:rsidR="00011C01" w:rsidRPr="00B73672" w:rsidRDefault="00011C01" w:rsidP="009F0A88">
            <w:pPr>
              <w:rPr>
                <w:rFonts w:ascii="Calibri" w:eastAsia="Calibri" w:hAnsi="Calibri" w:cs="Calibri"/>
                <w:b w:val="0"/>
                <w:bCs w:val="0"/>
              </w:rPr>
            </w:pPr>
            <w:r w:rsidRPr="00B73672">
              <w:rPr>
                <w:rFonts w:ascii="Calibri" w:eastAsia="Calibri" w:hAnsi="Calibri" w:cs="Calibri"/>
                <w:b w:val="0"/>
                <w:bCs w:val="0"/>
              </w:rPr>
              <w:t>COD</w:t>
            </w:r>
          </w:p>
        </w:tc>
        <w:tc>
          <w:tcPr>
            <w:tcW w:w="5790" w:type="dxa"/>
          </w:tcPr>
          <w:p w14:paraId="29DC0F29" w14:textId="77777777" w:rsidR="00011C01" w:rsidRDefault="00011C01" w:rsidP="009F0A8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Chemical Oxygen Demand</w:t>
            </w:r>
          </w:p>
        </w:tc>
      </w:tr>
      <w:tr w:rsidR="00011C01" w:rsidRPr="00E75086" w14:paraId="06A8B4DD" w14:textId="77777777" w:rsidTr="009F0A88">
        <w:tc>
          <w:tcPr>
            <w:cnfStyle w:val="001000000000" w:firstRow="0" w:lastRow="0" w:firstColumn="1" w:lastColumn="0" w:oddVBand="0" w:evenVBand="0" w:oddHBand="0" w:evenHBand="0" w:firstRowFirstColumn="0" w:firstRowLastColumn="0" w:lastRowFirstColumn="0" w:lastRowLastColumn="0"/>
            <w:tcW w:w="0" w:type="auto"/>
          </w:tcPr>
          <w:p w14:paraId="443A1D89" w14:textId="77777777" w:rsidR="00011C01" w:rsidRPr="00B73672" w:rsidRDefault="00011C01" w:rsidP="009F0A88">
            <w:pPr>
              <w:rPr>
                <w:rFonts w:ascii="Calibri" w:eastAsia="Calibri" w:hAnsi="Calibri" w:cs="Calibri"/>
                <w:b w:val="0"/>
                <w:bCs w:val="0"/>
              </w:rPr>
            </w:pPr>
            <w:r>
              <w:rPr>
                <w:rFonts w:ascii="Calibri" w:eastAsia="Calibri" w:hAnsi="Calibri" w:cs="Calibri"/>
                <w:b w:val="0"/>
                <w:bCs w:val="0"/>
              </w:rPr>
              <w:t>Distribution</w:t>
            </w:r>
          </w:p>
        </w:tc>
        <w:tc>
          <w:tcPr>
            <w:tcW w:w="5790" w:type="dxa"/>
          </w:tcPr>
          <w:p w14:paraId="048BEA50" w14:textId="77777777" w:rsidR="00011C01" w:rsidRDefault="00011C01" w:rsidP="009F0A8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Network</w:t>
            </w:r>
          </w:p>
        </w:tc>
      </w:tr>
    </w:tbl>
    <w:p w14:paraId="0575E9EB" w14:textId="3414E1C3" w:rsidR="00AF5A52" w:rsidRDefault="00AF5A52">
      <w:pPr>
        <w:spacing w:after="160" w:line="259" w:lineRule="auto"/>
        <w:rPr>
          <w:rFonts w:ascii="Segoe UI" w:hAnsi="Segoe UI" w:cs="Segoe UI"/>
          <w:b/>
          <w:bCs/>
          <w:color w:val="03B2C4"/>
          <w:sz w:val="36"/>
          <w:szCs w:val="36"/>
          <w:lang w:val="en-GB"/>
        </w:rPr>
      </w:pPr>
      <w:r>
        <w:rPr>
          <w:lang w:val="en-GB"/>
        </w:rPr>
        <w:br w:type="page"/>
      </w:r>
    </w:p>
    <w:p w14:paraId="44628C95" w14:textId="77777777" w:rsidR="008E147C" w:rsidRPr="00E95786" w:rsidRDefault="008E147C" w:rsidP="008E396F">
      <w:pPr>
        <w:pStyle w:val="Title1"/>
        <w:rPr>
          <w:lang w:val="en-GB"/>
        </w:rPr>
      </w:pPr>
      <w:r w:rsidRPr="00E95786">
        <w:rPr>
          <w:lang w:val="en-GB"/>
        </w:rPr>
        <w:lastRenderedPageBreak/>
        <w:t>TABLE A1: PROPERTIES &amp; POPULATION – WATER</w:t>
      </w:r>
    </w:p>
    <w:p w14:paraId="13B80969" w14:textId="77777777" w:rsidR="008E147C" w:rsidRPr="00E95786" w:rsidRDefault="008E147C" w:rsidP="00AF045E">
      <w:pPr>
        <w:pStyle w:val="Sectionsub-heading"/>
        <w:rPr>
          <w:lang w:val="en-GB"/>
        </w:rPr>
      </w:pPr>
      <w:r w:rsidRPr="00E95786">
        <w:rPr>
          <w:lang w:val="en-GB"/>
        </w:rPr>
        <w:t>Properties</w:t>
      </w:r>
    </w:p>
    <w:p w14:paraId="164DB1B3" w14:textId="0DFF1D8E" w:rsidR="008E147C" w:rsidRPr="00445D6B" w:rsidRDefault="008E147C" w:rsidP="000B5EDE">
      <w:pPr>
        <w:pStyle w:val="Bodynumbercopy"/>
        <w:numPr>
          <w:ilvl w:val="0"/>
          <w:numId w:val="33"/>
        </w:numPr>
        <w:rPr>
          <w:lang w:val="en-GB"/>
        </w:rPr>
      </w:pPr>
      <w:r w:rsidRPr="00CE4D11">
        <w:rPr>
          <w:lang w:val="en-GB"/>
        </w:rPr>
        <w:t xml:space="preserve">Includes a breakdown of all metered and unmetered </w:t>
      </w:r>
      <w:r w:rsidR="00341874" w:rsidRPr="00435B9F">
        <w:rPr>
          <w:lang w:val="en-GB"/>
        </w:rPr>
        <w:t xml:space="preserve">household </w:t>
      </w:r>
      <w:r w:rsidRPr="00F26F35">
        <w:rPr>
          <w:lang w:val="en-GB"/>
        </w:rPr>
        <w:t>and non-</w:t>
      </w:r>
      <w:r w:rsidR="00341874" w:rsidRPr="00384E28">
        <w:rPr>
          <w:lang w:val="en-GB"/>
        </w:rPr>
        <w:t xml:space="preserve">household </w:t>
      </w:r>
      <w:r w:rsidRPr="00594C71">
        <w:rPr>
          <w:lang w:val="en-GB"/>
        </w:rPr>
        <w:t xml:space="preserve">properties to whom the </w:t>
      </w:r>
      <w:r w:rsidR="002E6A73" w:rsidRPr="00814B1E">
        <w:rPr>
          <w:lang w:val="en-GB"/>
        </w:rPr>
        <w:t>Local</w:t>
      </w:r>
      <w:r w:rsidR="00B47509" w:rsidRPr="00814B1E">
        <w:rPr>
          <w:lang w:val="en-GB"/>
        </w:rPr>
        <w:t xml:space="preserve"> Authority </w:t>
      </w:r>
      <w:r w:rsidRPr="00445D6B">
        <w:rPr>
          <w:lang w:val="en-GB"/>
        </w:rPr>
        <w:t>supplies water.</w:t>
      </w:r>
    </w:p>
    <w:p w14:paraId="0F1D7A40" w14:textId="1022ACF2" w:rsidR="00262CC7" w:rsidRPr="00435B9F" w:rsidRDefault="00CE4D11" w:rsidP="00435B9F">
      <w:pPr>
        <w:pStyle w:val="Bodynumbercopy"/>
        <w:rPr>
          <w:lang w:val="en-GB"/>
        </w:rPr>
      </w:pPr>
      <w:r w:rsidRPr="00CE4D11">
        <w:rPr>
          <w:lang w:val="en-GB"/>
        </w:rPr>
        <w:t xml:space="preserve">As clarified at the DIA clinic held on 3 November, Local </w:t>
      </w:r>
      <w:r w:rsidR="00A91673">
        <w:rPr>
          <w:lang w:val="en-GB"/>
        </w:rPr>
        <w:t>A</w:t>
      </w:r>
      <w:r w:rsidRPr="00CE4D11">
        <w:rPr>
          <w:lang w:val="en-GB"/>
        </w:rPr>
        <w:t>uthorities should include household and non-household properties that receive a stock water supply</w:t>
      </w:r>
      <w:r w:rsidR="007B5639">
        <w:rPr>
          <w:lang w:val="en-GB"/>
        </w:rPr>
        <w:t xml:space="preserve"> </w:t>
      </w:r>
      <w:bookmarkStart w:id="3" w:name="_Hlk55564408"/>
      <w:r w:rsidR="007B5639">
        <w:rPr>
          <w:lang w:val="en-GB"/>
        </w:rPr>
        <w:t>when reporting billed and/or connected properties and populations in the relevant lines of the table</w:t>
      </w:r>
      <w:r w:rsidRPr="00CE4D11">
        <w:rPr>
          <w:lang w:val="en-GB"/>
        </w:rPr>
        <w:t xml:space="preserve">. </w:t>
      </w:r>
      <w:r w:rsidR="007B5639">
        <w:rPr>
          <w:lang w:val="en-GB"/>
        </w:rPr>
        <w:t xml:space="preserve">In addition, </w:t>
      </w:r>
      <w:bookmarkEnd w:id="3"/>
      <w:r w:rsidR="007B5639">
        <w:rPr>
          <w:lang w:val="en-GB"/>
        </w:rPr>
        <w:t>p</w:t>
      </w:r>
      <w:r w:rsidR="007B5639" w:rsidRPr="00CE4D11">
        <w:rPr>
          <w:lang w:val="en-GB"/>
        </w:rPr>
        <w:t>lease</w:t>
      </w:r>
      <w:r w:rsidRPr="00CE4D11">
        <w:rPr>
          <w:lang w:val="en-GB"/>
        </w:rPr>
        <w:t xml:space="preserve"> provide an estimate of the number of properties</w:t>
      </w:r>
      <w:r w:rsidR="00B9729F">
        <w:rPr>
          <w:lang w:val="en-GB"/>
        </w:rPr>
        <w:t xml:space="preserve"> or population</w:t>
      </w:r>
      <w:r w:rsidRPr="00CE4D11">
        <w:rPr>
          <w:lang w:val="en-GB"/>
        </w:rPr>
        <w:t xml:space="preserve"> in receipt of a stock water </w:t>
      </w:r>
      <w:r w:rsidR="00A91673">
        <w:rPr>
          <w:lang w:val="en-GB"/>
        </w:rPr>
        <w:t>supply</w:t>
      </w:r>
      <w:r w:rsidRPr="00CE4D11">
        <w:rPr>
          <w:lang w:val="en-GB"/>
        </w:rPr>
        <w:t xml:space="preserve"> in the commentary cells</w:t>
      </w:r>
      <w:r w:rsidR="007B5639">
        <w:rPr>
          <w:lang w:val="en-GB"/>
        </w:rPr>
        <w:t xml:space="preserve"> of the relevant line</w:t>
      </w:r>
      <w:r w:rsidRPr="00CE4D11">
        <w:rPr>
          <w:lang w:val="en-GB"/>
        </w:rPr>
        <w:t xml:space="preserve">.  </w:t>
      </w:r>
    </w:p>
    <w:p w14:paraId="3DA6EE7A" w14:textId="77777777" w:rsidR="008E147C" w:rsidRPr="00E95786" w:rsidRDefault="008E147C" w:rsidP="006B54B7">
      <w:pPr>
        <w:pStyle w:val="Sectionsub-heading"/>
        <w:rPr>
          <w:lang w:val="en-GB"/>
        </w:rPr>
      </w:pPr>
      <w:r w:rsidRPr="00E95786">
        <w:rPr>
          <w:lang w:val="en-GB"/>
        </w:rPr>
        <w:t>Population</w:t>
      </w:r>
    </w:p>
    <w:p w14:paraId="48179EFA" w14:textId="0F8E1996" w:rsidR="008E147C" w:rsidRPr="009A191E" w:rsidRDefault="008E147C" w:rsidP="006B54B7">
      <w:pPr>
        <w:pStyle w:val="Bodynumbercopy"/>
        <w:rPr>
          <w:lang w:val="en-GB"/>
        </w:rPr>
      </w:pPr>
      <w:r w:rsidRPr="009A191E">
        <w:rPr>
          <w:lang w:val="en-GB"/>
        </w:rPr>
        <w:t xml:space="preserve">This records the population within each of the measured and unmeasured </w:t>
      </w:r>
      <w:r w:rsidR="00894EB1">
        <w:rPr>
          <w:lang w:val="en-GB"/>
        </w:rPr>
        <w:t>household</w:t>
      </w:r>
      <w:r w:rsidR="00894EB1" w:rsidRPr="009A191E">
        <w:rPr>
          <w:lang w:val="en-GB"/>
        </w:rPr>
        <w:t xml:space="preserve"> </w:t>
      </w:r>
      <w:r w:rsidRPr="009A191E">
        <w:rPr>
          <w:lang w:val="en-GB"/>
        </w:rPr>
        <w:t>categories.</w:t>
      </w:r>
    </w:p>
    <w:p w14:paraId="2F6EBEDB" w14:textId="20863395" w:rsidR="008E147C" w:rsidRPr="00E95786" w:rsidRDefault="008E147C" w:rsidP="006B54B7">
      <w:pPr>
        <w:pStyle w:val="Sectionsub-heading"/>
        <w:rPr>
          <w:lang w:val="en-GB"/>
        </w:rPr>
      </w:pPr>
      <w:r w:rsidRPr="00E95786">
        <w:rPr>
          <w:lang w:val="en-GB"/>
        </w:rPr>
        <w:t>Specific Terms</w:t>
      </w:r>
    </w:p>
    <w:p w14:paraId="7F4E19DB" w14:textId="77777777" w:rsidR="004F2C38" w:rsidRDefault="008E147C" w:rsidP="004F2C38">
      <w:pPr>
        <w:pStyle w:val="Bodynumbercopy"/>
        <w:rPr>
          <w:lang w:val="en-GB"/>
        </w:rPr>
      </w:pPr>
      <w:r w:rsidRPr="009A191E">
        <w:rPr>
          <w:lang w:val="en-GB"/>
        </w:rPr>
        <w:t>To ensure consistency of information</w:t>
      </w:r>
      <w:r w:rsidR="00527659">
        <w:rPr>
          <w:lang w:val="en-GB"/>
        </w:rPr>
        <w:t>,</w:t>
      </w:r>
      <w:r w:rsidR="00C85D91">
        <w:rPr>
          <w:lang w:val="en-GB"/>
        </w:rPr>
        <w:t xml:space="preserve"> </w:t>
      </w:r>
      <w:r w:rsidRPr="009A191E">
        <w:rPr>
          <w:lang w:val="en-GB"/>
        </w:rPr>
        <w:t>regularly used terms are defined below:</w:t>
      </w:r>
    </w:p>
    <w:p w14:paraId="4362C2EF" w14:textId="7470E815" w:rsidR="004F2C38" w:rsidRDefault="006C4DFC" w:rsidP="004F2C38">
      <w:pPr>
        <w:pStyle w:val="Bodynumbercopy"/>
        <w:rPr>
          <w:lang w:val="en-GB"/>
        </w:rPr>
      </w:pPr>
      <w:r>
        <w:rPr>
          <w:b/>
          <w:bCs/>
          <w:i/>
          <w:lang w:val="en-GB"/>
        </w:rPr>
        <w:t>Household</w:t>
      </w:r>
      <w:r w:rsidRPr="004F2C38">
        <w:rPr>
          <w:b/>
          <w:bCs/>
          <w:i/>
          <w:lang w:val="en-GB"/>
        </w:rPr>
        <w:t xml:space="preserve"> </w:t>
      </w:r>
      <w:r w:rsidR="008E147C" w:rsidRPr="004F2C38">
        <w:rPr>
          <w:b/>
          <w:bCs/>
          <w:i/>
          <w:lang w:val="en-GB"/>
        </w:rPr>
        <w:t>Properties:</w:t>
      </w:r>
      <w:r w:rsidR="008E147C" w:rsidRPr="004F2C38">
        <w:rPr>
          <w:lang w:val="en-GB"/>
        </w:rPr>
        <w:t xml:space="preserve"> These are properties used as single </w:t>
      </w:r>
      <w:r>
        <w:rPr>
          <w:lang w:val="en-GB"/>
        </w:rPr>
        <w:t>household</w:t>
      </w:r>
      <w:r w:rsidRPr="004F2C38">
        <w:rPr>
          <w:lang w:val="en-GB"/>
        </w:rPr>
        <w:t xml:space="preserve"> </w:t>
      </w:r>
      <w:r w:rsidR="008E147C" w:rsidRPr="004F2C38">
        <w:rPr>
          <w:lang w:val="en-GB"/>
        </w:rPr>
        <w:t>dwellings (normally occupied), receiving water for domestic purposes.</w:t>
      </w:r>
      <w:r w:rsidR="00873A54" w:rsidRPr="004F2C38">
        <w:rPr>
          <w:lang w:val="en-GB"/>
        </w:rPr>
        <w:t xml:space="preserve"> Multi-unit dwellings such as a block of apartments should be counted based on the number of separate dwellings (i.e. a block of 10 apartments which have a single connection should be counted as 10 </w:t>
      </w:r>
      <w:r w:rsidR="004F2C38" w:rsidRPr="004F2C38">
        <w:rPr>
          <w:lang w:val="en-GB"/>
        </w:rPr>
        <w:t>properties</w:t>
      </w:r>
      <w:r w:rsidR="004F2C38">
        <w:rPr>
          <w:lang w:val="en-GB"/>
        </w:rPr>
        <w:t>).</w:t>
      </w:r>
    </w:p>
    <w:p w14:paraId="5B6F824E" w14:textId="41341092" w:rsidR="008E147C" w:rsidRPr="004F2C38" w:rsidRDefault="008E147C" w:rsidP="004F2C38">
      <w:pPr>
        <w:pStyle w:val="Bodynumbercopy"/>
        <w:rPr>
          <w:lang w:val="en-GB"/>
        </w:rPr>
      </w:pPr>
      <w:r w:rsidRPr="004F2C38">
        <w:rPr>
          <w:b/>
          <w:bCs/>
          <w:i/>
          <w:lang w:val="en-GB"/>
        </w:rPr>
        <w:t>Non-</w:t>
      </w:r>
      <w:r w:rsidR="006C4DFC">
        <w:rPr>
          <w:b/>
          <w:bCs/>
          <w:i/>
          <w:lang w:val="en-GB"/>
        </w:rPr>
        <w:t>household</w:t>
      </w:r>
      <w:r w:rsidR="006C4DFC" w:rsidRPr="004F2C38">
        <w:rPr>
          <w:b/>
          <w:bCs/>
          <w:i/>
          <w:lang w:val="en-GB"/>
        </w:rPr>
        <w:t xml:space="preserve"> </w:t>
      </w:r>
      <w:r w:rsidRPr="004F2C38">
        <w:rPr>
          <w:b/>
          <w:bCs/>
          <w:i/>
          <w:lang w:val="en-GB"/>
        </w:rPr>
        <w:t>Properties</w:t>
      </w:r>
      <w:r w:rsidRPr="004F2C38">
        <w:rPr>
          <w:i/>
          <w:lang w:val="en-GB"/>
        </w:rPr>
        <w:t>:</w:t>
      </w:r>
      <w:r w:rsidRPr="004F2C38">
        <w:rPr>
          <w:lang w:val="en-GB"/>
        </w:rPr>
        <w:t xml:space="preserve"> These </w:t>
      </w:r>
      <w:r w:rsidR="00416D92">
        <w:rPr>
          <w:lang w:val="en-GB"/>
        </w:rPr>
        <w:t xml:space="preserve">include commercial, industrial and </w:t>
      </w:r>
      <w:r w:rsidR="003A6927">
        <w:rPr>
          <w:lang w:val="en-GB"/>
        </w:rPr>
        <w:t xml:space="preserve">non-profit entities such as charities. </w:t>
      </w:r>
    </w:p>
    <w:p w14:paraId="5FE6C7C5" w14:textId="77777777" w:rsidR="008E147C" w:rsidRPr="009A191E" w:rsidRDefault="008E147C" w:rsidP="006B54B7">
      <w:pPr>
        <w:pStyle w:val="Bodynumbercopy"/>
        <w:rPr>
          <w:lang w:val="en-GB"/>
        </w:rPr>
      </w:pPr>
      <w:r w:rsidRPr="009A191E">
        <w:rPr>
          <w:lang w:val="en-GB"/>
        </w:rPr>
        <w:t>These definitions apply to both unmeasured and measured supplies.</w:t>
      </w:r>
    </w:p>
    <w:p w14:paraId="60FC21ED" w14:textId="056C98AB" w:rsidR="00F07BE7" w:rsidRPr="009A191E" w:rsidRDefault="008E147C" w:rsidP="00F07BE7">
      <w:pPr>
        <w:pStyle w:val="Bodynumbercopy"/>
        <w:rPr>
          <w:lang w:val="en-GB"/>
        </w:rPr>
      </w:pPr>
      <w:r w:rsidRPr="00C85D91">
        <w:rPr>
          <w:b/>
          <w:bCs/>
          <w:i/>
          <w:lang w:val="en-GB"/>
        </w:rPr>
        <w:t>Properties:</w:t>
      </w:r>
      <w:r w:rsidRPr="009A191E">
        <w:rPr>
          <w:lang w:val="en-GB"/>
        </w:rPr>
        <w:t xml:space="preserve"> Building premises or structure or other permanently connected supply separately identified for billing purposes.</w:t>
      </w:r>
      <w:r w:rsidR="005228DF">
        <w:rPr>
          <w:lang w:val="en-GB"/>
        </w:rPr>
        <w:t xml:space="preserve"> </w:t>
      </w:r>
      <w:r w:rsidR="00F07BE7">
        <w:rPr>
          <w:lang w:val="en-GB"/>
        </w:rPr>
        <w:t>All properties served should be accounted for. If there is not an obvious line reference for the property served, please explain where these have been included in the reporting templates and why in the accompanying commentary.</w:t>
      </w:r>
      <w:r w:rsidR="00967AEA" w:rsidRPr="00967AEA">
        <w:rPr>
          <w:rStyle w:val="CommentReference"/>
          <w:rFonts w:ascii="Arial" w:hAnsi="Arial" w:cstheme="minorBidi"/>
        </w:rPr>
        <w:t xml:space="preserve"> </w:t>
      </w:r>
    </w:p>
    <w:p w14:paraId="6EC88F20" w14:textId="51D25EE9" w:rsidR="008E147C" w:rsidRPr="009A191E" w:rsidRDefault="008E147C" w:rsidP="006B54B7">
      <w:pPr>
        <w:pStyle w:val="Bodynumbercopy"/>
        <w:rPr>
          <w:lang w:val="en-GB"/>
        </w:rPr>
      </w:pPr>
      <w:r w:rsidRPr="00C85D91">
        <w:rPr>
          <w:b/>
          <w:bCs/>
          <w:i/>
          <w:lang w:val="en-GB"/>
        </w:rPr>
        <w:t>A</w:t>
      </w:r>
      <w:r w:rsidR="00A36773">
        <w:rPr>
          <w:b/>
          <w:bCs/>
          <w:i/>
          <w:lang w:val="en-GB"/>
        </w:rPr>
        <w:t xml:space="preserve"> vacant/</w:t>
      </w:r>
      <w:r w:rsidRPr="00C85D91">
        <w:rPr>
          <w:b/>
          <w:bCs/>
          <w:i/>
          <w:lang w:val="en-GB"/>
        </w:rPr>
        <w:t>void property</w:t>
      </w:r>
      <w:r w:rsidRPr="009A191E">
        <w:rPr>
          <w:lang w:val="en-GB"/>
        </w:rPr>
        <w:t xml:space="preserve"> is a property </w:t>
      </w:r>
      <w:r w:rsidR="00B36429">
        <w:rPr>
          <w:lang w:val="en-GB"/>
        </w:rPr>
        <w:t>where</w:t>
      </w:r>
      <w:r w:rsidRPr="009A191E">
        <w:rPr>
          <w:lang w:val="en-GB"/>
        </w:rPr>
        <w:t xml:space="preserve"> there are no occupants.</w:t>
      </w:r>
      <w:r w:rsidR="00967AEA" w:rsidRPr="00967AEA">
        <w:rPr>
          <w:rStyle w:val="CommentReference"/>
          <w:rFonts w:ascii="Arial" w:hAnsi="Arial" w:cstheme="minorBidi"/>
        </w:rPr>
        <w:t xml:space="preserve"> </w:t>
      </w:r>
    </w:p>
    <w:p w14:paraId="3EA0A93C" w14:textId="043E9770" w:rsidR="00410294" w:rsidRPr="00410294" w:rsidRDefault="008E147C" w:rsidP="006D63D1">
      <w:pPr>
        <w:pStyle w:val="Bodynumbercopy"/>
        <w:rPr>
          <w:lang w:val="en-GB"/>
        </w:rPr>
      </w:pPr>
      <w:r w:rsidRPr="00410294">
        <w:rPr>
          <w:b/>
          <w:bCs/>
          <w:i/>
          <w:lang w:val="en-GB"/>
        </w:rPr>
        <w:t>Population</w:t>
      </w:r>
      <w:r w:rsidRPr="0012152B">
        <w:rPr>
          <w:lang w:val="en-GB"/>
        </w:rPr>
        <w:t xml:space="preserve"> should include the population served by bulk supplies received and exclude bulk supplie</w:t>
      </w:r>
      <w:r w:rsidRPr="00F84825">
        <w:rPr>
          <w:lang w:val="en-GB"/>
        </w:rPr>
        <w:t xml:space="preserve">s exported. </w:t>
      </w:r>
      <w:r w:rsidR="00410294" w:rsidRPr="00F84825">
        <w:rPr>
          <w:lang w:val="en-GB"/>
        </w:rPr>
        <w:t>The population should be obtained from</w:t>
      </w:r>
      <w:r w:rsidR="00930F1C">
        <w:rPr>
          <w:lang w:val="en-GB"/>
        </w:rPr>
        <w:t xml:space="preserve"> Local Authority systems or estimates </w:t>
      </w:r>
      <w:r w:rsidR="005445CE">
        <w:rPr>
          <w:lang w:val="en-GB"/>
        </w:rPr>
        <w:t xml:space="preserve">based on </w:t>
      </w:r>
      <w:r w:rsidR="00FA2D97">
        <w:rPr>
          <w:lang w:val="en-GB"/>
        </w:rPr>
        <w:t xml:space="preserve">the </w:t>
      </w:r>
      <w:r w:rsidR="00410294" w:rsidRPr="00F84825">
        <w:rPr>
          <w:lang w:val="en-GB"/>
        </w:rPr>
        <w:t>most r</w:t>
      </w:r>
      <w:r w:rsidR="00410294" w:rsidRPr="005D4BCA">
        <w:rPr>
          <w:lang w:val="en-GB"/>
        </w:rPr>
        <w:t xml:space="preserve">ecent national statistics </w:t>
      </w:r>
      <w:r w:rsidR="00410294" w:rsidRPr="00B120DF">
        <w:rPr>
          <w:lang w:val="en-GB"/>
        </w:rPr>
        <w:t>adj</w:t>
      </w:r>
      <w:r w:rsidR="00410294" w:rsidRPr="005228DF">
        <w:rPr>
          <w:lang w:val="en-GB"/>
        </w:rPr>
        <w:t xml:space="preserve">usted by the </w:t>
      </w:r>
      <w:r w:rsidR="00410294" w:rsidRPr="009C3A70">
        <w:rPr>
          <w:lang w:val="en-GB"/>
        </w:rPr>
        <w:t xml:space="preserve">connection rate in the </w:t>
      </w:r>
      <w:r w:rsidR="002E6A73">
        <w:rPr>
          <w:lang w:val="en-GB"/>
        </w:rPr>
        <w:t>Local</w:t>
      </w:r>
      <w:r w:rsidR="00410294" w:rsidRPr="009C3A70">
        <w:rPr>
          <w:lang w:val="en-GB"/>
        </w:rPr>
        <w:t xml:space="preserve"> </w:t>
      </w:r>
      <w:r w:rsidR="00FA2D97">
        <w:rPr>
          <w:lang w:val="en-GB"/>
        </w:rPr>
        <w:t>A</w:t>
      </w:r>
      <w:r w:rsidR="00410294" w:rsidRPr="00410294">
        <w:rPr>
          <w:lang w:val="en-GB"/>
        </w:rPr>
        <w:t xml:space="preserve">uthority area. Where other methods </w:t>
      </w:r>
      <w:r w:rsidR="00410294" w:rsidRPr="00410294">
        <w:rPr>
          <w:lang w:val="en-GB"/>
        </w:rPr>
        <w:lastRenderedPageBreak/>
        <w:t>have been adopted, these should be explained in the commentary.</w:t>
      </w:r>
      <w:r w:rsidR="00967AEA" w:rsidRPr="009F0A88">
        <w:rPr>
          <w:lang w:val="en-GB"/>
        </w:rPr>
        <w:t xml:space="preserve"> </w:t>
      </w:r>
      <w:r w:rsidR="00AD03D9" w:rsidRPr="009F0A88">
        <w:rPr>
          <w:lang w:val="en-GB"/>
        </w:rPr>
        <w:t xml:space="preserve">For example, if this has been derived from </w:t>
      </w:r>
      <w:r w:rsidR="000B66F4">
        <w:rPr>
          <w:lang w:val="en-GB"/>
        </w:rPr>
        <w:t xml:space="preserve">multiplying the </w:t>
      </w:r>
      <w:r w:rsidR="009A1365">
        <w:rPr>
          <w:lang w:val="en-GB"/>
        </w:rPr>
        <w:t>properties</w:t>
      </w:r>
      <w:r w:rsidR="00AD03D9" w:rsidRPr="009F0A88">
        <w:rPr>
          <w:lang w:val="en-GB"/>
        </w:rPr>
        <w:t xml:space="preserve"> served by an average occupancy rate, please provide the underlying assumptions.</w:t>
      </w:r>
      <w:r w:rsidR="00AD03D9">
        <w:rPr>
          <w:rStyle w:val="CommentReference"/>
          <w:rFonts w:ascii="Arial" w:hAnsi="Arial" w:cstheme="minorBidi"/>
        </w:rPr>
        <w:t xml:space="preserve"> </w:t>
      </w:r>
    </w:p>
    <w:p w14:paraId="502D1B14" w14:textId="77777777" w:rsidR="008E147C" w:rsidRPr="00665FD2" w:rsidRDefault="008E147C" w:rsidP="006B54B7">
      <w:pPr>
        <w:pStyle w:val="Bodynumbercopy"/>
        <w:rPr>
          <w:lang w:val="en-GB"/>
        </w:rPr>
      </w:pPr>
      <w:r w:rsidRPr="00665FD2">
        <w:rPr>
          <w:b/>
          <w:bCs/>
          <w:i/>
          <w:lang w:val="en-GB"/>
        </w:rPr>
        <w:t>Meter Sizes – Actual</w:t>
      </w:r>
      <w:r w:rsidRPr="00665FD2">
        <w:rPr>
          <w:lang w:val="en-GB"/>
        </w:rPr>
        <w:t xml:space="preserve"> is those water meters actually in place, which may or may not generate revenue though a fixed charge for networks and/or customer services.</w:t>
      </w:r>
    </w:p>
    <w:p w14:paraId="6D74B105" w14:textId="21235D65" w:rsidR="008E147C" w:rsidRPr="009A191E" w:rsidRDefault="008E147C" w:rsidP="006B54B7">
      <w:pPr>
        <w:pStyle w:val="Bodynumbercopy"/>
        <w:rPr>
          <w:lang w:val="en-GB"/>
        </w:rPr>
      </w:pPr>
      <w:r w:rsidRPr="00665FD2">
        <w:rPr>
          <w:b/>
          <w:bCs/>
          <w:i/>
          <w:lang w:val="en-GB"/>
        </w:rPr>
        <w:t>Meter Sizes – “Tariff</w:t>
      </w:r>
      <w:r w:rsidRPr="009A191E">
        <w:rPr>
          <w:i/>
          <w:lang w:val="en-GB"/>
        </w:rPr>
        <w:t>”</w:t>
      </w:r>
      <w:r w:rsidR="00DE0810">
        <w:rPr>
          <w:lang w:val="en-GB"/>
        </w:rPr>
        <w:t xml:space="preserve"> </w:t>
      </w:r>
      <w:r w:rsidRPr="009A191E">
        <w:rPr>
          <w:lang w:val="en-GB"/>
        </w:rPr>
        <w:t>are those water meters that generate revenue though a fixed charge for networks and/or customer services. For any property, the actual meter size and the “Tariff” meter size may or may not be the same.</w:t>
      </w:r>
    </w:p>
    <w:p w14:paraId="30B7F618" w14:textId="46D7641C" w:rsidR="008E147C" w:rsidRPr="00E95786" w:rsidRDefault="008E147C" w:rsidP="006B54B7">
      <w:pPr>
        <w:pStyle w:val="Sectionsub-heading"/>
        <w:rPr>
          <w:lang w:val="en-GB"/>
        </w:rPr>
      </w:pPr>
      <w:r w:rsidRPr="00E95786">
        <w:rPr>
          <w:lang w:val="en-GB"/>
        </w:rPr>
        <w:t xml:space="preserve">Guidance to the </w:t>
      </w:r>
      <w:r w:rsidR="002E6A73">
        <w:rPr>
          <w:lang w:val="en-GB"/>
        </w:rPr>
        <w:t>Local</w:t>
      </w:r>
      <w:r w:rsidR="005D4BCA">
        <w:rPr>
          <w:lang w:val="en-GB"/>
        </w:rPr>
        <w:t xml:space="preserve"> Authority</w:t>
      </w:r>
    </w:p>
    <w:p w14:paraId="1C68B224" w14:textId="31D8D6A9" w:rsidR="008E147C" w:rsidRDefault="008E147C" w:rsidP="006B54B7">
      <w:pPr>
        <w:pStyle w:val="Bodynumbercopy"/>
        <w:rPr>
          <w:lang w:val="en-GB"/>
        </w:rPr>
      </w:pPr>
      <w:r w:rsidRPr="009A191E">
        <w:rPr>
          <w:lang w:val="en-GB"/>
        </w:rPr>
        <w:t xml:space="preserve">The </w:t>
      </w:r>
      <w:r w:rsidR="002E6A73">
        <w:rPr>
          <w:lang w:val="en-GB"/>
        </w:rPr>
        <w:t>Local</w:t>
      </w:r>
      <w:r w:rsidR="005D4BCA">
        <w:rPr>
          <w:lang w:val="en-GB"/>
        </w:rPr>
        <w:t xml:space="preserve"> Authority</w:t>
      </w:r>
      <w:r w:rsidR="00E56183">
        <w:rPr>
          <w:lang w:val="en-GB"/>
        </w:rPr>
        <w:t xml:space="preserve"> </w:t>
      </w:r>
      <w:r w:rsidRPr="009A191E">
        <w:rPr>
          <w:lang w:val="en-GB"/>
        </w:rPr>
        <w:t xml:space="preserve">should comment on the basis used to evaluate its </w:t>
      </w:r>
      <w:r w:rsidR="00873A54" w:rsidRPr="009A191E">
        <w:rPr>
          <w:lang w:val="en-GB"/>
        </w:rPr>
        <w:t xml:space="preserve">customer numbers, meter numbers, </w:t>
      </w:r>
      <w:r w:rsidRPr="009A191E">
        <w:rPr>
          <w:lang w:val="en-GB"/>
        </w:rPr>
        <w:t>population</w:t>
      </w:r>
      <w:r w:rsidR="00873A54" w:rsidRPr="00873A54">
        <w:rPr>
          <w:lang w:val="en-GB"/>
        </w:rPr>
        <w:t xml:space="preserve"> </w:t>
      </w:r>
      <w:r w:rsidR="00873A54" w:rsidRPr="009A191E">
        <w:rPr>
          <w:lang w:val="en-GB"/>
        </w:rPr>
        <w:t xml:space="preserve">and the methodology used by the </w:t>
      </w:r>
      <w:r w:rsidR="002E6A73">
        <w:rPr>
          <w:lang w:val="en-GB"/>
        </w:rPr>
        <w:t>Local</w:t>
      </w:r>
      <w:r w:rsidR="00B47509" w:rsidRPr="00B47509">
        <w:rPr>
          <w:lang w:val="en-GB"/>
        </w:rPr>
        <w:t xml:space="preserve"> Authority</w:t>
      </w:r>
      <w:r w:rsidR="007800FF">
        <w:rPr>
          <w:lang w:val="en-GB"/>
        </w:rPr>
        <w:t xml:space="preserve"> </w:t>
      </w:r>
      <w:r w:rsidR="00873A54" w:rsidRPr="009A191E">
        <w:rPr>
          <w:lang w:val="en-GB"/>
        </w:rPr>
        <w:t>to derive their estimates</w:t>
      </w:r>
      <w:r w:rsidRPr="009A191E">
        <w:rPr>
          <w:lang w:val="en-GB"/>
        </w:rPr>
        <w:t>.</w:t>
      </w:r>
      <w:r w:rsidR="00315FCF">
        <w:rPr>
          <w:lang w:val="en-GB"/>
        </w:rPr>
        <w:t xml:space="preserve"> It should also ensure that no input cell is left blank.</w:t>
      </w:r>
    </w:p>
    <w:p w14:paraId="4D57C000" w14:textId="7336F04E" w:rsidR="006654E2" w:rsidRPr="009A191E" w:rsidRDefault="006654E2" w:rsidP="006654E2">
      <w:pPr>
        <w:pStyle w:val="Bodynumbercopy"/>
        <w:rPr>
          <w:lang w:val="en-GB"/>
        </w:rPr>
      </w:pPr>
      <w:r>
        <w:rPr>
          <w:lang w:val="en-GB"/>
        </w:rPr>
        <w:t xml:space="preserve">For the avoidance of doubt, Table A1 refers to the </w:t>
      </w:r>
      <w:r w:rsidR="00FD02F0">
        <w:rPr>
          <w:lang w:val="en-GB"/>
        </w:rPr>
        <w:t>whole</w:t>
      </w:r>
      <w:r>
        <w:rPr>
          <w:lang w:val="en-GB"/>
        </w:rPr>
        <w:t xml:space="preserve"> Local Authority area. In the </w:t>
      </w:r>
      <w:r w:rsidR="00707924">
        <w:rPr>
          <w:lang w:val="en-GB"/>
        </w:rPr>
        <w:t>event that</w:t>
      </w:r>
      <w:r>
        <w:rPr>
          <w:lang w:val="en-GB"/>
        </w:rPr>
        <w:t xml:space="preserve"> </w:t>
      </w:r>
      <w:r w:rsidR="0091276B">
        <w:rPr>
          <w:lang w:val="en-GB"/>
        </w:rPr>
        <w:t>a Local Authority has</w:t>
      </w:r>
      <w:r>
        <w:rPr>
          <w:lang w:val="en-GB"/>
        </w:rPr>
        <w:t xml:space="preserve"> several discrete </w:t>
      </w:r>
      <w:r w:rsidR="00A91673">
        <w:rPr>
          <w:lang w:val="en-GB"/>
        </w:rPr>
        <w:t>schemes</w:t>
      </w:r>
      <w:r>
        <w:rPr>
          <w:lang w:val="en-GB"/>
        </w:rPr>
        <w:t>, the total across the Local Authority area should be reported.</w:t>
      </w:r>
    </w:p>
    <w:p w14:paraId="4FD85B44" w14:textId="05BB7517" w:rsidR="008E147C" w:rsidRPr="00556113" w:rsidRDefault="008E147C" w:rsidP="00626B2B">
      <w:pPr>
        <w:pStyle w:val="Sectionsub-heading"/>
      </w:pPr>
      <w:r w:rsidRPr="00556113">
        <w:t xml:space="preserve">BLOCK 1: UNMEASURED </w:t>
      </w:r>
      <w:r w:rsidR="00894EB1">
        <w:t>HOUSEHOLD</w:t>
      </w:r>
      <w:r w:rsidR="00BB5AAE">
        <w:t xml:space="preserve"> </w:t>
      </w:r>
      <w:r w:rsidRPr="00556113">
        <w:t>– PROPERTIES</w:t>
      </w:r>
    </w:p>
    <w:tbl>
      <w:tblPr>
        <w:tblStyle w:val="TableGrid3"/>
        <w:tblW w:w="0" w:type="auto"/>
        <w:tblLook w:val="04A0" w:firstRow="1" w:lastRow="0" w:firstColumn="1" w:lastColumn="0" w:noHBand="0" w:noVBand="1"/>
      </w:tblPr>
      <w:tblGrid>
        <w:gridCol w:w="968"/>
        <w:gridCol w:w="1023"/>
        <w:gridCol w:w="4653"/>
        <w:gridCol w:w="914"/>
      </w:tblGrid>
      <w:tr w:rsidR="008E147C" w:rsidRPr="009A191E" w14:paraId="1E0489A4" w14:textId="77777777" w:rsidTr="0018706D">
        <w:tc>
          <w:tcPr>
            <w:tcW w:w="968" w:type="dxa"/>
          </w:tcPr>
          <w:p w14:paraId="3A3227B4" w14:textId="77777777" w:rsidR="008E147C" w:rsidRPr="00C1350E" w:rsidRDefault="008E147C" w:rsidP="00626B2B">
            <w:pPr>
              <w:pStyle w:val="Bodyromannumerals"/>
              <w:rPr>
                <w:b/>
                <w:bCs/>
                <w:lang w:val="en-US"/>
              </w:rPr>
            </w:pPr>
            <w:r w:rsidRPr="00C1350E">
              <w:rPr>
                <w:b/>
                <w:bCs/>
                <w:lang w:val="en-US"/>
              </w:rPr>
              <w:t>A1.1</w:t>
            </w:r>
          </w:p>
        </w:tc>
        <w:tc>
          <w:tcPr>
            <w:tcW w:w="5676" w:type="dxa"/>
            <w:gridSpan w:val="2"/>
          </w:tcPr>
          <w:p w14:paraId="312A02BA" w14:textId="77777777" w:rsidR="008E147C" w:rsidRPr="00C1350E" w:rsidRDefault="008E147C" w:rsidP="00626B2B">
            <w:pPr>
              <w:pStyle w:val="Bodyromannumerals"/>
              <w:rPr>
                <w:b/>
                <w:bCs/>
                <w:lang w:val="en-US"/>
              </w:rPr>
            </w:pPr>
            <w:r w:rsidRPr="00C1350E">
              <w:rPr>
                <w:b/>
                <w:bCs/>
                <w:lang w:val="en-US"/>
              </w:rPr>
              <w:t>Total number of billed properties</w:t>
            </w:r>
          </w:p>
        </w:tc>
        <w:tc>
          <w:tcPr>
            <w:tcW w:w="914" w:type="dxa"/>
          </w:tcPr>
          <w:p w14:paraId="33B76759" w14:textId="77777777" w:rsidR="008E147C" w:rsidRPr="00C1350E" w:rsidRDefault="008E147C" w:rsidP="00626B2B">
            <w:pPr>
              <w:pStyle w:val="Bodyromannumerals"/>
              <w:rPr>
                <w:b/>
                <w:bCs/>
                <w:lang w:val="en-US"/>
              </w:rPr>
            </w:pPr>
            <w:r w:rsidRPr="00C1350E">
              <w:rPr>
                <w:b/>
                <w:bCs/>
                <w:lang w:val="en-US"/>
              </w:rPr>
              <w:t>Nr.</w:t>
            </w:r>
          </w:p>
        </w:tc>
      </w:tr>
      <w:tr w:rsidR="008E147C" w:rsidRPr="00E95786" w14:paraId="77015402" w14:textId="77777777" w:rsidTr="0018706D">
        <w:tc>
          <w:tcPr>
            <w:tcW w:w="1991" w:type="dxa"/>
            <w:gridSpan w:val="2"/>
            <w:tcBorders>
              <w:left w:val="single" w:sz="4" w:space="0" w:color="FFFFFF"/>
              <w:bottom w:val="single" w:sz="4" w:space="0" w:color="FFFFFF"/>
              <w:right w:val="single" w:sz="4" w:space="0" w:color="FFFFFF"/>
            </w:tcBorders>
          </w:tcPr>
          <w:p w14:paraId="2F2116EB" w14:textId="77777777" w:rsidR="008E147C" w:rsidRPr="009A191E" w:rsidRDefault="008E147C" w:rsidP="00626B2B">
            <w:pPr>
              <w:pStyle w:val="Bodyromannumerals"/>
              <w:rPr>
                <w:i/>
                <w:lang w:val="en-US"/>
              </w:rPr>
            </w:pPr>
            <w:r w:rsidRPr="009A191E">
              <w:rPr>
                <w:i/>
                <w:lang w:val="en-US"/>
              </w:rPr>
              <w:t>Definition:</w:t>
            </w:r>
          </w:p>
        </w:tc>
        <w:tc>
          <w:tcPr>
            <w:tcW w:w="5567" w:type="dxa"/>
            <w:gridSpan w:val="2"/>
            <w:tcBorders>
              <w:left w:val="single" w:sz="4" w:space="0" w:color="FFFFFF"/>
              <w:bottom w:val="single" w:sz="4" w:space="0" w:color="FFFFFF"/>
              <w:right w:val="single" w:sz="4" w:space="0" w:color="FFFFFF"/>
            </w:tcBorders>
          </w:tcPr>
          <w:p w14:paraId="0F87E67E" w14:textId="08FBD5FE" w:rsidR="008E147C" w:rsidRPr="004F2C38" w:rsidRDefault="008E147C" w:rsidP="004F2C38">
            <w:pPr>
              <w:pStyle w:val="Bodyromannumerals"/>
            </w:pPr>
            <w:r w:rsidRPr="009A191E">
              <w:rPr>
                <w:lang w:val="en-US"/>
              </w:rPr>
              <w:t xml:space="preserve">Number of billed unmeasured </w:t>
            </w:r>
            <w:r w:rsidR="000706E2">
              <w:rPr>
                <w:lang w:val="en-US"/>
              </w:rPr>
              <w:t>household</w:t>
            </w:r>
            <w:r w:rsidR="000706E2" w:rsidRPr="009A191E">
              <w:rPr>
                <w:lang w:val="en-US"/>
              </w:rPr>
              <w:t xml:space="preserve"> </w:t>
            </w:r>
            <w:r w:rsidRPr="009A191E">
              <w:rPr>
                <w:lang w:val="en-US"/>
              </w:rPr>
              <w:t xml:space="preserve">properties, as at </w:t>
            </w:r>
            <w:r w:rsidR="00D97768">
              <w:rPr>
                <w:lang w:val="en-US"/>
              </w:rPr>
              <w:t xml:space="preserve">30 June </w:t>
            </w:r>
            <w:r w:rsidRPr="009A191E">
              <w:rPr>
                <w:lang w:val="en-US"/>
              </w:rPr>
              <w:t xml:space="preserve">of the reporting year. </w:t>
            </w:r>
          </w:p>
          <w:p w14:paraId="674C09F4" w14:textId="77777777" w:rsidR="00ED4BE1" w:rsidRDefault="00ED4BE1" w:rsidP="00ED4BE1">
            <w:pPr>
              <w:pStyle w:val="Bodyromannumerals"/>
              <w:rPr>
                <w:lang w:val="en-US"/>
              </w:rPr>
            </w:pPr>
            <w:r>
              <w:rPr>
                <w:lang w:val="en-US"/>
              </w:rPr>
              <w:t>For example, includes customers:</w:t>
            </w:r>
          </w:p>
          <w:p w14:paraId="6B26B1F3" w14:textId="77777777" w:rsidR="00ED4BE1" w:rsidRDefault="00ED4BE1" w:rsidP="00871522">
            <w:pPr>
              <w:pStyle w:val="Bodyromannumerals"/>
              <w:numPr>
                <w:ilvl w:val="0"/>
                <w:numId w:val="20"/>
              </w:numPr>
              <w:rPr>
                <w:lang w:val="en-US"/>
              </w:rPr>
            </w:pPr>
            <w:r>
              <w:rPr>
                <w:lang w:val="en-US"/>
              </w:rPr>
              <w:t>paying charges through their general rates;</w:t>
            </w:r>
          </w:p>
          <w:p w14:paraId="4685AF16" w14:textId="77777777" w:rsidR="00ED4BE1" w:rsidRDefault="00ED4BE1" w:rsidP="00871522">
            <w:pPr>
              <w:pStyle w:val="Bodyromannumerals"/>
              <w:numPr>
                <w:ilvl w:val="0"/>
                <w:numId w:val="20"/>
              </w:numPr>
              <w:rPr>
                <w:lang w:val="en-US"/>
              </w:rPr>
            </w:pPr>
            <w:r>
              <w:rPr>
                <w:lang w:val="en-US"/>
              </w:rPr>
              <w:t xml:space="preserve">paying charges based on their </w:t>
            </w:r>
            <w:proofErr w:type="spellStart"/>
            <w:r>
              <w:rPr>
                <w:lang w:val="en-US"/>
              </w:rPr>
              <w:t>rateable</w:t>
            </w:r>
            <w:proofErr w:type="spellEnd"/>
            <w:r>
              <w:rPr>
                <w:lang w:val="en-US"/>
              </w:rPr>
              <w:t xml:space="preserve"> value;</w:t>
            </w:r>
          </w:p>
          <w:p w14:paraId="2ACB40C0" w14:textId="77777777" w:rsidR="00ED4BE1" w:rsidRDefault="00ED4BE1" w:rsidP="00871522">
            <w:pPr>
              <w:pStyle w:val="Bodyromannumerals"/>
              <w:numPr>
                <w:ilvl w:val="0"/>
                <w:numId w:val="20"/>
              </w:numPr>
              <w:rPr>
                <w:lang w:val="en-US"/>
              </w:rPr>
            </w:pPr>
            <w:r>
              <w:rPr>
                <w:lang w:val="en-US"/>
              </w:rPr>
              <w:t xml:space="preserve">that are charged based on an assessment of their water use (e.g. based on the number of toilets). </w:t>
            </w:r>
          </w:p>
          <w:p w14:paraId="23791402" w14:textId="44EEB14C" w:rsidR="00D666D8" w:rsidRPr="00E53BDF" w:rsidRDefault="00D666D8" w:rsidP="00377E7D">
            <w:pPr>
              <w:pStyle w:val="Bodyromannumerals"/>
              <w:rPr>
                <w:lang w:val="en-US"/>
              </w:rPr>
            </w:pPr>
            <w:r>
              <w:rPr>
                <w:lang w:val="en-US"/>
              </w:rPr>
              <w:t xml:space="preserve">Any </w:t>
            </w:r>
            <w:r w:rsidR="009B1AE3">
              <w:rPr>
                <w:lang w:val="en-US"/>
              </w:rPr>
              <w:t xml:space="preserve">unmeasured household </w:t>
            </w:r>
            <w:r w:rsidR="00983773">
              <w:rPr>
                <w:lang w:val="en-US"/>
              </w:rPr>
              <w:t xml:space="preserve">customer that </w:t>
            </w:r>
            <w:r w:rsidR="009B1AE3">
              <w:rPr>
                <w:lang w:val="en-US"/>
              </w:rPr>
              <w:t xml:space="preserve">is connected and </w:t>
            </w:r>
            <w:r w:rsidR="00983773">
              <w:rPr>
                <w:lang w:val="en-US"/>
              </w:rPr>
              <w:t>pays</w:t>
            </w:r>
            <w:r>
              <w:rPr>
                <w:lang w:val="en-US"/>
              </w:rPr>
              <w:t xml:space="preserve"> a charge should be included in </w:t>
            </w:r>
            <w:r w:rsidR="001D3FAA">
              <w:rPr>
                <w:lang w:val="en-US"/>
              </w:rPr>
              <w:t>this line</w:t>
            </w:r>
            <w:r>
              <w:rPr>
                <w:lang w:val="en-US"/>
              </w:rPr>
              <w:t>.</w:t>
            </w:r>
          </w:p>
        </w:tc>
      </w:tr>
      <w:tr w:rsidR="008E147C" w:rsidRPr="00E95786" w14:paraId="05412B46" w14:textId="77777777" w:rsidTr="0018706D">
        <w:tc>
          <w:tcPr>
            <w:tcW w:w="1991" w:type="dxa"/>
            <w:gridSpan w:val="2"/>
            <w:tcBorders>
              <w:top w:val="single" w:sz="4" w:space="0" w:color="FFFFFF"/>
              <w:left w:val="single" w:sz="4" w:space="0" w:color="FFFFFF"/>
              <w:bottom w:val="single" w:sz="4" w:space="0" w:color="FFFFFF"/>
              <w:right w:val="single" w:sz="4" w:space="0" w:color="FFFFFF"/>
            </w:tcBorders>
          </w:tcPr>
          <w:p w14:paraId="0900D547" w14:textId="77777777" w:rsidR="008E147C" w:rsidRPr="009A191E" w:rsidRDefault="008E147C" w:rsidP="00626B2B">
            <w:pPr>
              <w:pStyle w:val="Bodyromannumerals"/>
              <w:rPr>
                <w:i/>
                <w:lang w:val="en-US"/>
              </w:rPr>
            </w:pPr>
            <w:r w:rsidRPr="009A191E">
              <w:rPr>
                <w:i/>
                <w:lang w:val="en-US"/>
              </w:rPr>
              <w:t>Processing Rules:</w:t>
            </w:r>
          </w:p>
        </w:tc>
        <w:tc>
          <w:tcPr>
            <w:tcW w:w="5567" w:type="dxa"/>
            <w:gridSpan w:val="2"/>
            <w:tcBorders>
              <w:top w:val="single" w:sz="4" w:space="0" w:color="FFFFFF"/>
              <w:left w:val="single" w:sz="4" w:space="0" w:color="FFFFFF"/>
              <w:bottom w:val="single" w:sz="4" w:space="0" w:color="FFFFFF"/>
              <w:right w:val="single" w:sz="4" w:space="0" w:color="FFFFFF"/>
            </w:tcBorders>
          </w:tcPr>
          <w:p w14:paraId="0002C4B6" w14:textId="77777777" w:rsidR="008E147C" w:rsidRPr="009A191E" w:rsidRDefault="008E147C" w:rsidP="00626B2B">
            <w:pPr>
              <w:pStyle w:val="Bodyromannumerals"/>
              <w:rPr>
                <w:lang w:val="en-US"/>
              </w:rPr>
            </w:pPr>
            <w:r w:rsidRPr="009A191E">
              <w:rPr>
                <w:lang w:val="en-US"/>
              </w:rPr>
              <w:t>Input field</w:t>
            </w:r>
          </w:p>
        </w:tc>
      </w:tr>
      <w:tr w:rsidR="008E147C" w:rsidRPr="00E95786" w14:paraId="1CF05D6F" w14:textId="77777777" w:rsidTr="0018706D">
        <w:tc>
          <w:tcPr>
            <w:tcW w:w="968" w:type="dxa"/>
          </w:tcPr>
          <w:p w14:paraId="3025D5E7" w14:textId="77777777" w:rsidR="008E147C" w:rsidRPr="00C1350E" w:rsidRDefault="008E147C" w:rsidP="00626B2B">
            <w:pPr>
              <w:pStyle w:val="Bodyromannumerals"/>
              <w:rPr>
                <w:b/>
                <w:bCs/>
                <w:lang w:val="en-US"/>
              </w:rPr>
            </w:pPr>
            <w:r w:rsidRPr="00C1350E">
              <w:rPr>
                <w:b/>
                <w:bCs/>
                <w:lang w:val="en-US"/>
              </w:rPr>
              <w:t>A1.2</w:t>
            </w:r>
          </w:p>
        </w:tc>
        <w:tc>
          <w:tcPr>
            <w:tcW w:w="5676" w:type="dxa"/>
            <w:gridSpan w:val="2"/>
          </w:tcPr>
          <w:p w14:paraId="368BCC71" w14:textId="1C5D5DD1" w:rsidR="008E147C" w:rsidRPr="00C1350E" w:rsidRDefault="008E147C" w:rsidP="00626B2B">
            <w:pPr>
              <w:pStyle w:val="Bodyromannumerals"/>
              <w:rPr>
                <w:b/>
                <w:bCs/>
                <w:lang w:val="en-US"/>
              </w:rPr>
            </w:pPr>
            <w:r w:rsidRPr="00C1350E">
              <w:rPr>
                <w:b/>
                <w:bCs/>
                <w:lang w:val="en-US"/>
              </w:rPr>
              <w:t xml:space="preserve">Number of </w:t>
            </w:r>
            <w:r w:rsidR="001965B3">
              <w:rPr>
                <w:b/>
                <w:bCs/>
                <w:lang w:val="en-US"/>
              </w:rPr>
              <w:t xml:space="preserve">unmeasured connected </w:t>
            </w:r>
            <w:r w:rsidR="000706E2">
              <w:rPr>
                <w:b/>
                <w:bCs/>
                <w:lang w:val="en-US"/>
              </w:rPr>
              <w:t xml:space="preserve">household </w:t>
            </w:r>
            <w:r w:rsidR="001965B3">
              <w:rPr>
                <w:b/>
                <w:bCs/>
                <w:lang w:val="en-US"/>
              </w:rPr>
              <w:t>properties</w:t>
            </w:r>
            <w:r w:rsidR="000D6B16">
              <w:rPr>
                <w:b/>
                <w:bCs/>
                <w:lang w:val="en-US"/>
              </w:rPr>
              <w:t xml:space="preserve"> that are not charged</w:t>
            </w:r>
          </w:p>
        </w:tc>
        <w:tc>
          <w:tcPr>
            <w:tcW w:w="914" w:type="dxa"/>
          </w:tcPr>
          <w:p w14:paraId="2C2EDD66" w14:textId="77777777" w:rsidR="008E147C" w:rsidRPr="00C1350E" w:rsidRDefault="008E147C" w:rsidP="00626B2B">
            <w:pPr>
              <w:pStyle w:val="Bodyromannumerals"/>
              <w:rPr>
                <w:b/>
                <w:bCs/>
                <w:lang w:val="en-US"/>
              </w:rPr>
            </w:pPr>
            <w:r w:rsidRPr="00C1350E">
              <w:rPr>
                <w:b/>
                <w:bCs/>
                <w:lang w:val="en-US"/>
              </w:rPr>
              <w:t>Nr.</w:t>
            </w:r>
          </w:p>
        </w:tc>
      </w:tr>
      <w:tr w:rsidR="008E147C" w:rsidRPr="00E95786" w14:paraId="6860C7F0" w14:textId="77777777" w:rsidTr="0089588F">
        <w:tc>
          <w:tcPr>
            <w:tcW w:w="1991" w:type="dxa"/>
            <w:gridSpan w:val="2"/>
            <w:tcBorders>
              <w:left w:val="single" w:sz="4" w:space="0" w:color="FFFFFF"/>
              <w:bottom w:val="single" w:sz="4" w:space="0" w:color="FFFFFF"/>
              <w:right w:val="single" w:sz="4" w:space="0" w:color="FFFFFF"/>
            </w:tcBorders>
          </w:tcPr>
          <w:p w14:paraId="4C3D3AD3" w14:textId="77777777" w:rsidR="008E147C" w:rsidRPr="009A191E" w:rsidRDefault="008E147C" w:rsidP="00626B2B">
            <w:pPr>
              <w:pStyle w:val="Bodyromannumerals"/>
              <w:rPr>
                <w:i/>
                <w:lang w:val="en-US"/>
              </w:rPr>
            </w:pPr>
            <w:r w:rsidRPr="009A191E">
              <w:rPr>
                <w:i/>
                <w:lang w:val="en-US"/>
              </w:rPr>
              <w:t>Definition:</w:t>
            </w:r>
          </w:p>
        </w:tc>
        <w:tc>
          <w:tcPr>
            <w:tcW w:w="5567" w:type="dxa"/>
            <w:gridSpan w:val="2"/>
            <w:tcBorders>
              <w:left w:val="single" w:sz="4" w:space="0" w:color="FFFFFF"/>
              <w:bottom w:val="single" w:sz="4" w:space="0" w:color="FFFFFF"/>
              <w:right w:val="single" w:sz="4" w:space="0" w:color="FFFFFF"/>
            </w:tcBorders>
          </w:tcPr>
          <w:p w14:paraId="64067FC6" w14:textId="0324666B" w:rsidR="008E147C" w:rsidRPr="009A191E" w:rsidRDefault="008E147C" w:rsidP="00626B2B">
            <w:pPr>
              <w:pStyle w:val="Bodyromannumerals"/>
              <w:rPr>
                <w:lang w:val="en-US"/>
              </w:rPr>
            </w:pPr>
            <w:r w:rsidRPr="009A191E">
              <w:rPr>
                <w:lang w:val="en-US"/>
              </w:rPr>
              <w:t xml:space="preserve">Number of unmeasured </w:t>
            </w:r>
            <w:r w:rsidR="000706E2">
              <w:rPr>
                <w:lang w:val="en-US"/>
              </w:rPr>
              <w:t>household</w:t>
            </w:r>
            <w:r w:rsidR="000706E2" w:rsidRPr="009A191E">
              <w:rPr>
                <w:lang w:val="en-US"/>
              </w:rPr>
              <w:t xml:space="preserve"> </w:t>
            </w:r>
            <w:r w:rsidRPr="009A191E">
              <w:rPr>
                <w:lang w:val="en-US"/>
              </w:rPr>
              <w:t xml:space="preserve">properties as at </w:t>
            </w:r>
            <w:r w:rsidR="00D97768">
              <w:rPr>
                <w:lang w:val="en-US"/>
              </w:rPr>
              <w:t>30 June</w:t>
            </w:r>
            <w:r w:rsidRPr="009A191E">
              <w:rPr>
                <w:lang w:val="en-US"/>
              </w:rPr>
              <w:t xml:space="preserve"> of the reporting year which are connected to the distribution system but </w:t>
            </w:r>
            <w:r w:rsidR="00B84319">
              <w:rPr>
                <w:lang w:val="en-US"/>
              </w:rPr>
              <w:t>are not charged</w:t>
            </w:r>
            <w:r w:rsidR="00D666D8">
              <w:rPr>
                <w:lang w:val="en-US"/>
              </w:rPr>
              <w:t xml:space="preserve"> for the service</w:t>
            </w:r>
            <w:r w:rsidR="00F329F2">
              <w:rPr>
                <w:lang w:val="en-US"/>
              </w:rPr>
              <w:t xml:space="preserve">. This </w:t>
            </w:r>
            <w:r w:rsidR="0083545D">
              <w:rPr>
                <w:lang w:val="en-US"/>
              </w:rPr>
              <w:t>could</w:t>
            </w:r>
            <w:r w:rsidR="00F329F2">
              <w:rPr>
                <w:lang w:val="en-US"/>
              </w:rPr>
              <w:t xml:space="preserve"> be because </w:t>
            </w:r>
            <w:r w:rsidRPr="009A191E">
              <w:rPr>
                <w:lang w:val="en-US"/>
              </w:rPr>
              <w:t>they are exempt from charges</w:t>
            </w:r>
            <w:r w:rsidR="00F329F2">
              <w:rPr>
                <w:lang w:val="en-US"/>
              </w:rPr>
              <w:t xml:space="preserve"> or are vacant/void properties</w:t>
            </w:r>
            <w:r w:rsidRPr="009A191E">
              <w:rPr>
                <w:lang w:val="en-US"/>
              </w:rPr>
              <w:t>.</w:t>
            </w:r>
            <w:r w:rsidR="00B36429">
              <w:rPr>
                <w:lang w:val="en-US"/>
              </w:rPr>
              <w:t xml:space="preserve"> Any vacant/void </w:t>
            </w:r>
            <w:r w:rsidR="001D3FAA">
              <w:rPr>
                <w:lang w:val="en-US"/>
              </w:rPr>
              <w:t xml:space="preserve">unmeasured household </w:t>
            </w:r>
            <w:r w:rsidR="00B36429">
              <w:rPr>
                <w:lang w:val="en-US"/>
              </w:rPr>
              <w:t xml:space="preserve">properties that </w:t>
            </w:r>
            <w:r w:rsidR="00D666D8">
              <w:rPr>
                <w:lang w:val="en-US"/>
              </w:rPr>
              <w:t>pay</w:t>
            </w:r>
            <w:r w:rsidR="00B36429">
              <w:rPr>
                <w:lang w:val="en-US"/>
              </w:rPr>
              <w:t xml:space="preserve"> a charge should be included in A1.1.</w:t>
            </w:r>
          </w:p>
        </w:tc>
      </w:tr>
      <w:tr w:rsidR="008E147C" w:rsidRPr="00E95786" w14:paraId="164BC3CD" w14:textId="77777777" w:rsidTr="0089588F">
        <w:tc>
          <w:tcPr>
            <w:tcW w:w="1991" w:type="dxa"/>
            <w:gridSpan w:val="2"/>
            <w:tcBorders>
              <w:top w:val="single" w:sz="4" w:space="0" w:color="FFFFFF"/>
              <w:left w:val="single" w:sz="4" w:space="0" w:color="FFFFFF"/>
              <w:bottom w:val="nil"/>
              <w:right w:val="single" w:sz="4" w:space="0" w:color="FFFFFF"/>
            </w:tcBorders>
          </w:tcPr>
          <w:p w14:paraId="63E32970" w14:textId="77777777" w:rsidR="008E147C" w:rsidRPr="009A191E" w:rsidRDefault="008E147C" w:rsidP="00626B2B">
            <w:pPr>
              <w:pStyle w:val="Bodyromannumerals"/>
              <w:rPr>
                <w:i/>
                <w:lang w:val="en-US"/>
              </w:rPr>
            </w:pPr>
            <w:r w:rsidRPr="009A191E">
              <w:rPr>
                <w:i/>
                <w:lang w:val="en-US"/>
              </w:rPr>
              <w:lastRenderedPageBreak/>
              <w:t>Processing Rules:</w:t>
            </w:r>
          </w:p>
        </w:tc>
        <w:tc>
          <w:tcPr>
            <w:tcW w:w="5567" w:type="dxa"/>
            <w:gridSpan w:val="2"/>
            <w:tcBorders>
              <w:top w:val="single" w:sz="4" w:space="0" w:color="FFFFFF"/>
              <w:left w:val="single" w:sz="4" w:space="0" w:color="FFFFFF"/>
              <w:bottom w:val="nil"/>
              <w:right w:val="single" w:sz="4" w:space="0" w:color="FFFFFF"/>
            </w:tcBorders>
          </w:tcPr>
          <w:p w14:paraId="1CB99311" w14:textId="77777777" w:rsidR="008E147C" w:rsidRPr="009A191E" w:rsidRDefault="008E147C" w:rsidP="00626B2B">
            <w:pPr>
              <w:pStyle w:val="Bodyromannumerals"/>
              <w:rPr>
                <w:lang w:val="en-US"/>
              </w:rPr>
            </w:pPr>
            <w:r w:rsidRPr="009A191E">
              <w:rPr>
                <w:lang w:val="en-US"/>
              </w:rPr>
              <w:t>Input field</w:t>
            </w:r>
          </w:p>
        </w:tc>
      </w:tr>
    </w:tbl>
    <w:p w14:paraId="52E37A80" w14:textId="77777777" w:rsidR="008E147C" w:rsidRPr="009A191E" w:rsidRDefault="008E147C" w:rsidP="008E147C">
      <w:pPr>
        <w:spacing w:after="160" w:line="259" w:lineRule="auto"/>
        <w:rPr>
          <w:rFonts w:eastAsia="Calibri"/>
          <w:color w:val="000000" w:themeColor="text1"/>
          <w:lang w:val="en-GB"/>
        </w:rPr>
      </w:pPr>
    </w:p>
    <w:p w14:paraId="7BDF5EC2" w14:textId="1930D2B2" w:rsidR="008E147C" w:rsidRPr="00556113" w:rsidRDefault="008E147C" w:rsidP="002B5158">
      <w:pPr>
        <w:pStyle w:val="Sectionsub-heading"/>
        <w:rPr>
          <w:lang w:val="en-GB"/>
        </w:rPr>
      </w:pPr>
      <w:r w:rsidRPr="00556113">
        <w:rPr>
          <w:lang w:val="en-GB"/>
        </w:rPr>
        <w:t xml:space="preserve">BLOCK 2: MEASURED </w:t>
      </w:r>
      <w:r w:rsidR="00E34B6C">
        <w:rPr>
          <w:lang w:val="en-GB"/>
        </w:rPr>
        <w:t>HOUSEHOLD</w:t>
      </w:r>
      <w:r w:rsidR="00E34B6C" w:rsidRPr="00556113">
        <w:rPr>
          <w:lang w:val="en-GB"/>
        </w:rPr>
        <w:t xml:space="preserve"> </w:t>
      </w:r>
      <w:r w:rsidRPr="00556113">
        <w:rPr>
          <w:lang w:val="en-GB"/>
        </w:rPr>
        <w:t>– PROPERTIES</w:t>
      </w:r>
    </w:p>
    <w:tbl>
      <w:tblPr>
        <w:tblStyle w:val="TableGrid3"/>
        <w:tblW w:w="7558" w:type="dxa"/>
        <w:tblLook w:val="04A0" w:firstRow="1" w:lastRow="0" w:firstColumn="1" w:lastColumn="0" w:noHBand="0" w:noVBand="1"/>
      </w:tblPr>
      <w:tblGrid>
        <w:gridCol w:w="1050"/>
        <w:gridCol w:w="946"/>
        <w:gridCol w:w="4649"/>
        <w:gridCol w:w="913"/>
      </w:tblGrid>
      <w:tr w:rsidR="008E147C" w:rsidRPr="009A191E" w14:paraId="32BE1D64" w14:textId="77777777" w:rsidTr="2C985F9B">
        <w:tc>
          <w:tcPr>
            <w:tcW w:w="1050" w:type="dxa"/>
          </w:tcPr>
          <w:p w14:paraId="434325A6" w14:textId="7F0304EC" w:rsidR="008E147C" w:rsidRPr="002B5158" w:rsidRDefault="008E147C" w:rsidP="002B5158">
            <w:pPr>
              <w:pStyle w:val="Bodyromannumerals"/>
              <w:rPr>
                <w:b/>
                <w:bCs/>
                <w:lang w:val="en-US"/>
              </w:rPr>
            </w:pPr>
            <w:r w:rsidRPr="002B5158">
              <w:rPr>
                <w:b/>
                <w:bCs/>
                <w:lang w:val="en-US"/>
              </w:rPr>
              <w:t>A1.</w:t>
            </w:r>
            <w:r w:rsidR="00DE4283">
              <w:rPr>
                <w:b/>
                <w:bCs/>
                <w:lang w:val="en-US"/>
              </w:rPr>
              <w:t>4</w:t>
            </w:r>
          </w:p>
        </w:tc>
        <w:tc>
          <w:tcPr>
            <w:tcW w:w="5595" w:type="dxa"/>
            <w:gridSpan w:val="2"/>
          </w:tcPr>
          <w:p w14:paraId="02081DD0" w14:textId="77777777" w:rsidR="008E147C" w:rsidRPr="002B5158" w:rsidRDefault="008E147C" w:rsidP="002B5158">
            <w:pPr>
              <w:pStyle w:val="Bodyromannumerals"/>
              <w:rPr>
                <w:b/>
                <w:bCs/>
                <w:lang w:val="en-US"/>
              </w:rPr>
            </w:pPr>
            <w:r w:rsidRPr="002B5158">
              <w:rPr>
                <w:b/>
                <w:bCs/>
                <w:lang w:val="en-US"/>
              </w:rPr>
              <w:t>Total number of billed properties</w:t>
            </w:r>
          </w:p>
        </w:tc>
        <w:tc>
          <w:tcPr>
            <w:tcW w:w="913" w:type="dxa"/>
          </w:tcPr>
          <w:p w14:paraId="0C6C5323" w14:textId="77777777" w:rsidR="008E147C" w:rsidRPr="002B5158" w:rsidRDefault="008E147C" w:rsidP="002B5158">
            <w:pPr>
              <w:pStyle w:val="Bodyromannumerals"/>
              <w:rPr>
                <w:b/>
                <w:bCs/>
                <w:lang w:val="en-US"/>
              </w:rPr>
            </w:pPr>
            <w:r w:rsidRPr="002B5158">
              <w:rPr>
                <w:b/>
                <w:bCs/>
                <w:lang w:val="en-US"/>
              </w:rPr>
              <w:t>Nr.</w:t>
            </w:r>
          </w:p>
        </w:tc>
      </w:tr>
      <w:tr w:rsidR="008E147C" w:rsidRPr="009A191E" w14:paraId="504F1821" w14:textId="77777777" w:rsidTr="2C985F9B">
        <w:tc>
          <w:tcPr>
            <w:tcW w:w="1996" w:type="dxa"/>
            <w:gridSpan w:val="2"/>
            <w:tcBorders>
              <w:left w:val="single" w:sz="4" w:space="0" w:color="FFFFFF" w:themeColor="background2"/>
              <w:bottom w:val="single" w:sz="4" w:space="0" w:color="FFFFFF" w:themeColor="background2"/>
              <w:right w:val="single" w:sz="4" w:space="0" w:color="FFFFFF" w:themeColor="background2"/>
            </w:tcBorders>
          </w:tcPr>
          <w:p w14:paraId="427A4E39" w14:textId="77777777" w:rsidR="008E147C" w:rsidRPr="009A191E" w:rsidRDefault="008E147C" w:rsidP="002B5158">
            <w:pPr>
              <w:pStyle w:val="Bodyromannumerals"/>
              <w:rPr>
                <w:i/>
                <w:lang w:val="en-US"/>
              </w:rPr>
            </w:pPr>
            <w:r w:rsidRPr="009A191E">
              <w:rPr>
                <w:i/>
                <w:lang w:val="en-US"/>
              </w:rPr>
              <w:t>Definition:</w:t>
            </w:r>
          </w:p>
        </w:tc>
        <w:tc>
          <w:tcPr>
            <w:tcW w:w="5562" w:type="dxa"/>
            <w:gridSpan w:val="2"/>
            <w:tcBorders>
              <w:left w:val="single" w:sz="4" w:space="0" w:color="FFFFFF" w:themeColor="background2"/>
              <w:bottom w:val="single" w:sz="4" w:space="0" w:color="FFFFFF" w:themeColor="background2"/>
              <w:right w:val="single" w:sz="4" w:space="0" w:color="FFFFFF" w:themeColor="background2"/>
            </w:tcBorders>
          </w:tcPr>
          <w:p w14:paraId="09EFAA64" w14:textId="51B6D7DE" w:rsidR="005E639C" w:rsidRDefault="008E147C" w:rsidP="00EA4EA1">
            <w:pPr>
              <w:pStyle w:val="Bodyromannumerals"/>
              <w:rPr>
                <w:lang w:val="en-US"/>
              </w:rPr>
            </w:pPr>
            <w:r w:rsidRPr="009A191E">
              <w:rPr>
                <w:lang w:val="en-US"/>
              </w:rPr>
              <w:t xml:space="preserve">Number of billed metered </w:t>
            </w:r>
            <w:r w:rsidR="00E34B6C">
              <w:rPr>
                <w:lang w:val="en-US"/>
              </w:rPr>
              <w:t>household</w:t>
            </w:r>
            <w:r w:rsidR="00E34B6C" w:rsidRPr="009A191E">
              <w:rPr>
                <w:lang w:val="en-US"/>
              </w:rPr>
              <w:t xml:space="preserve"> </w:t>
            </w:r>
            <w:r w:rsidRPr="009A191E">
              <w:rPr>
                <w:lang w:val="en-US"/>
              </w:rPr>
              <w:t xml:space="preserve">properties as at </w:t>
            </w:r>
            <w:r w:rsidR="00D97768">
              <w:rPr>
                <w:lang w:val="en-US"/>
              </w:rPr>
              <w:t>30 June</w:t>
            </w:r>
            <w:r w:rsidRPr="009A191E">
              <w:rPr>
                <w:lang w:val="en-US"/>
              </w:rPr>
              <w:t xml:space="preserve"> of the reporting year. </w:t>
            </w:r>
            <w:r w:rsidR="005E639C">
              <w:rPr>
                <w:lang w:val="en-US"/>
              </w:rPr>
              <w:t xml:space="preserve">Include only customers that are charged based on their </w:t>
            </w:r>
            <w:r w:rsidR="00ED4BE1">
              <w:rPr>
                <w:lang w:val="en-US"/>
              </w:rPr>
              <w:t>measured</w:t>
            </w:r>
            <w:r w:rsidR="005E639C">
              <w:rPr>
                <w:lang w:val="en-US"/>
              </w:rPr>
              <w:t xml:space="preserve"> usage.</w:t>
            </w:r>
          </w:p>
          <w:p w14:paraId="6917C78B" w14:textId="43B3C2C3" w:rsidR="00EA4EA1" w:rsidRPr="009A191E" w:rsidRDefault="00983773" w:rsidP="00DF0F80">
            <w:pPr>
              <w:pStyle w:val="Bodyromannumerals"/>
              <w:rPr>
                <w:lang w:val="en-US"/>
              </w:rPr>
            </w:pPr>
            <w:r>
              <w:rPr>
                <w:lang w:val="en-US"/>
              </w:rPr>
              <w:t xml:space="preserve">Any </w:t>
            </w:r>
            <w:r w:rsidR="00E31DA3">
              <w:rPr>
                <w:lang w:val="en-US"/>
              </w:rPr>
              <w:t xml:space="preserve">measured </w:t>
            </w:r>
            <w:r w:rsidR="00273E44">
              <w:rPr>
                <w:lang w:val="en-US"/>
              </w:rPr>
              <w:t xml:space="preserve">household </w:t>
            </w:r>
            <w:r>
              <w:rPr>
                <w:lang w:val="en-US"/>
              </w:rPr>
              <w:t xml:space="preserve">customer that </w:t>
            </w:r>
            <w:r w:rsidR="009B1AE3">
              <w:rPr>
                <w:lang w:val="en-US"/>
              </w:rPr>
              <w:t xml:space="preserve">is connected </w:t>
            </w:r>
            <w:r w:rsidR="00273E44">
              <w:rPr>
                <w:lang w:val="en-US"/>
              </w:rPr>
              <w:t xml:space="preserve">and </w:t>
            </w:r>
            <w:r>
              <w:rPr>
                <w:lang w:val="en-US"/>
              </w:rPr>
              <w:t xml:space="preserve">pays a charge should be included in </w:t>
            </w:r>
            <w:r w:rsidR="00DF0F80">
              <w:rPr>
                <w:lang w:val="en-US"/>
              </w:rPr>
              <w:t>this line</w:t>
            </w:r>
            <w:r>
              <w:rPr>
                <w:lang w:val="en-US"/>
              </w:rPr>
              <w:t>.</w:t>
            </w:r>
          </w:p>
        </w:tc>
      </w:tr>
      <w:tr w:rsidR="008E147C" w:rsidRPr="009A191E" w14:paraId="6FEA0D9D" w14:textId="77777777" w:rsidTr="2C985F9B">
        <w:tc>
          <w:tcPr>
            <w:tcW w:w="199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55D94C4" w14:textId="77777777" w:rsidR="008E147C" w:rsidRPr="009A191E" w:rsidRDefault="008E147C" w:rsidP="002B5158">
            <w:pPr>
              <w:pStyle w:val="Bodyromannumerals"/>
              <w:rPr>
                <w:i/>
                <w:lang w:val="en-US"/>
              </w:rPr>
            </w:pPr>
            <w:r w:rsidRPr="009A191E">
              <w:rPr>
                <w:i/>
                <w:lang w:val="en-US"/>
              </w:rPr>
              <w:t>Processing Rules:</w:t>
            </w:r>
          </w:p>
        </w:tc>
        <w:tc>
          <w:tcPr>
            <w:tcW w:w="556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220D075" w14:textId="1AF8E8CD" w:rsidR="008E147C" w:rsidRPr="009A191E" w:rsidRDefault="00782163" w:rsidP="002B5158">
            <w:pPr>
              <w:pStyle w:val="Bodyromannumerals"/>
              <w:rPr>
                <w:lang w:val="en-US"/>
              </w:rPr>
            </w:pPr>
            <w:r>
              <w:rPr>
                <w:lang w:val="en-US"/>
              </w:rPr>
              <w:t>Input field</w:t>
            </w:r>
          </w:p>
        </w:tc>
      </w:tr>
      <w:tr w:rsidR="008E147C" w:rsidRPr="009A191E" w14:paraId="67AB336A" w14:textId="77777777" w:rsidTr="2C985F9B">
        <w:tc>
          <w:tcPr>
            <w:tcW w:w="1050" w:type="dxa"/>
          </w:tcPr>
          <w:p w14:paraId="2A4B6684" w14:textId="77777777" w:rsidR="008E147C" w:rsidRPr="002B5158" w:rsidRDefault="008E147C" w:rsidP="002B5158">
            <w:pPr>
              <w:pStyle w:val="Bodyromannumerals"/>
              <w:rPr>
                <w:b/>
                <w:bCs/>
                <w:lang w:val="en-US"/>
              </w:rPr>
            </w:pPr>
            <w:r w:rsidRPr="002B5158">
              <w:rPr>
                <w:b/>
                <w:bCs/>
                <w:lang w:val="en-US"/>
              </w:rPr>
              <w:t>A1.12</w:t>
            </w:r>
          </w:p>
        </w:tc>
        <w:tc>
          <w:tcPr>
            <w:tcW w:w="5595" w:type="dxa"/>
            <w:gridSpan w:val="2"/>
          </w:tcPr>
          <w:p w14:paraId="29A8B1BE" w14:textId="6787E6AB" w:rsidR="008E147C" w:rsidRPr="002B5158" w:rsidRDefault="008E147C" w:rsidP="002B5158">
            <w:pPr>
              <w:pStyle w:val="Bodyromannumerals"/>
              <w:rPr>
                <w:b/>
                <w:bCs/>
                <w:lang w:val="en-US"/>
              </w:rPr>
            </w:pPr>
            <w:r w:rsidRPr="002B5158">
              <w:rPr>
                <w:b/>
                <w:bCs/>
                <w:lang w:val="en-US"/>
              </w:rPr>
              <w:t xml:space="preserve">Number of </w:t>
            </w:r>
            <w:r w:rsidR="00C766AB">
              <w:rPr>
                <w:b/>
                <w:bCs/>
                <w:lang w:val="en-US"/>
              </w:rPr>
              <w:t xml:space="preserve">measured connected </w:t>
            </w:r>
            <w:r w:rsidR="00B7140A">
              <w:rPr>
                <w:b/>
                <w:bCs/>
                <w:lang w:val="en-US"/>
              </w:rPr>
              <w:t xml:space="preserve">household </w:t>
            </w:r>
            <w:r w:rsidR="00C766AB">
              <w:rPr>
                <w:b/>
                <w:bCs/>
                <w:lang w:val="en-US"/>
              </w:rPr>
              <w:t>properties that are not charged</w:t>
            </w:r>
          </w:p>
        </w:tc>
        <w:tc>
          <w:tcPr>
            <w:tcW w:w="913" w:type="dxa"/>
          </w:tcPr>
          <w:p w14:paraId="47B78D0E" w14:textId="77777777" w:rsidR="008E147C" w:rsidRPr="002B5158" w:rsidRDefault="008E147C" w:rsidP="002B5158">
            <w:pPr>
              <w:pStyle w:val="Bodyromannumerals"/>
              <w:rPr>
                <w:b/>
                <w:bCs/>
                <w:lang w:val="en-US"/>
              </w:rPr>
            </w:pPr>
            <w:r w:rsidRPr="002B5158">
              <w:rPr>
                <w:b/>
                <w:bCs/>
                <w:lang w:val="en-US"/>
              </w:rPr>
              <w:t>Nr.</w:t>
            </w:r>
          </w:p>
        </w:tc>
      </w:tr>
      <w:tr w:rsidR="008E147C" w:rsidRPr="009A191E" w14:paraId="30FC9382" w14:textId="77777777" w:rsidTr="2C985F9B">
        <w:tc>
          <w:tcPr>
            <w:tcW w:w="1996" w:type="dxa"/>
            <w:gridSpan w:val="2"/>
            <w:tcBorders>
              <w:left w:val="single" w:sz="4" w:space="0" w:color="FFFFFF" w:themeColor="background2"/>
              <w:bottom w:val="single" w:sz="4" w:space="0" w:color="FFFFFF" w:themeColor="background2"/>
              <w:right w:val="single" w:sz="4" w:space="0" w:color="FFFFFF" w:themeColor="background2"/>
            </w:tcBorders>
          </w:tcPr>
          <w:p w14:paraId="2DE067D7" w14:textId="77777777" w:rsidR="008E147C" w:rsidRPr="009A191E" w:rsidRDefault="008E147C" w:rsidP="002B5158">
            <w:pPr>
              <w:pStyle w:val="Bodyromannumerals"/>
              <w:rPr>
                <w:i/>
                <w:lang w:val="en-US"/>
              </w:rPr>
            </w:pPr>
            <w:r w:rsidRPr="009A191E">
              <w:rPr>
                <w:i/>
                <w:lang w:val="en-US"/>
              </w:rPr>
              <w:t>Definition:</w:t>
            </w:r>
          </w:p>
        </w:tc>
        <w:tc>
          <w:tcPr>
            <w:tcW w:w="5562" w:type="dxa"/>
            <w:gridSpan w:val="2"/>
            <w:tcBorders>
              <w:left w:val="single" w:sz="4" w:space="0" w:color="FFFFFF" w:themeColor="background2"/>
              <w:bottom w:val="single" w:sz="4" w:space="0" w:color="FFFFFF" w:themeColor="background2"/>
              <w:right w:val="single" w:sz="4" w:space="0" w:color="FFFFFF" w:themeColor="background2"/>
            </w:tcBorders>
          </w:tcPr>
          <w:p w14:paraId="14FC6006" w14:textId="30E6412D" w:rsidR="008E147C" w:rsidRPr="009A191E" w:rsidRDefault="008E147C" w:rsidP="002B5158">
            <w:pPr>
              <w:pStyle w:val="Bodyromannumerals"/>
              <w:rPr>
                <w:lang w:val="en-US"/>
              </w:rPr>
            </w:pPr>
            <w:r w:rsidRPr="009A191E">
              <w:rPr>
                <w:lang w:val="en-US"/>
              </w:rPr>
              <w:t xml:space="preserve">Number of metered </w:t>
            </w:r>
            <w:r w:rsidR="00B04EEB">
              <w:rPr>
                <w:lang w:val="en-US"/>
              </w:rPr>
              <w:t>household</w:t>
            </w:r>
            <w:r w:rsidR="00B04EEB" w:rsidRPr="009A191E">
              <w:rPr>
                <w:lang w:val="en-US"/>
              </w:rPr>
              <w:t xml:space="preserve"> </w:t>
            </w:r>
            <w:r w:rsidRPr="009A191E">
              <w:rPr>
                <w:lang w:val="en-US"/>
              </w:rPr>
              <w:t xml:space="preserve">properties as at </w:t>
            </w:r>
            <w:r w:rsidR="00D97768">
              <w:rPr>
                <w:lang w:val="en-US"/>
              </w:rPr>
              <w:t>30 June</w:t>
            </w:r>
            <w:r w:rsidRPr="009A191E">
              <w:rPr>
                <w:lang w:val="en-US"/>
              </w:rPr>
              <w:t xml:space="preserve"> of the reporting year which are connected to the distribution system </w:t>
            </w:r>
            <w:r w:rsidR="000509E3" w:rsidRPr="009A191E">
              <w:rPr>
                <w:lang w:val="en-US"/>
              </w:rPr>
              <w:t xml:space="preserve">but </w:t>
            </w:r>
            <w:r w:rsidR="000509E3">
              <w:rPr>
                <w:lang w:val="en-US"/>
              </w:rPr>
              <w:t>are not charged for the service</w:t>
            </w:r>
            <w:r w:rsidR="004E4855">
              <w:rPr>
                <w:lang w:val="en-US"/>
              </w:rPr>
              <w:t xml:space="preserve">. This </w:t>
            </w:r>
            <w:r w:rsidR="00633531">
              <w:rPr>
                <w:lang w:val="en-US"/>
              </w:rPr>
              <w:t>could</w:t>
            </w:r>
            <w:r w:rsidR="004E4855">
              <w:rPr>
                <w:lang w:val="en-US"/>
              </w:rPr>
              <w:t xml:space="preserve"> be because they are exempt from charges or </w:t>
            </w:r>
            <w:r w:rsidRPr="009A191E">
              <w:rPr>
                <w:lang w:val="en-US"/>
              </w:rPr>
              <w:t xml:space="preserve">are </w:t>
            </w:r>
            <w:r w:rsidR="00A36773">
              <w:rPr>
                <w:lang w:val="en-US"/>
              </w:rPr>
              <w:t>vacant</w:t>
            </w:r>
            <w:r w:rsidR="0034455D">
              <w:rPr>
                <w:lang w:val="en-US"/>
              </w:rPr>
              <w:t>/void properties</w:t>
            </w:r>
            <w:r w:rsidRPr="009A191E">
              <w:rPr>
                <w:lang w:val="en-US"/>
              </w:rPr>
              <w:t>.</w:t>
            </w:r>
            <w:r w:rsidR="0096353F">
              <w:rPr>
                <w:lang w:val="en-US"/>
              </w:rPr>
              <w:t xml:space="preserve"> Any vacant/void </w:t>
            </w:r>
            <w:r w:rsidR="003727EE">
              <w:rPr>
                <w:lang w:val="en-US"/>
              </w:rPr>
              <w:t xml:space="preserve">measured household </w:t>
            </w:r>
            <w:r w:rsidR="0096353F">
              <w:rPr>
                <w:lang w:val="en-US"/>
              </w:rPr>
              <w:t xml:space="preserve">properties that </w:t>
            </w:r>
            <w:r w:rsidR="00983773">
              <w:rPr>
                <w:lang w:val="en-US"/>
              </w:rPr>
              <w:t xml:space="preserve">pay </w:t>
            </w:r>
            <w:r w:rsidR="0096353F">
              <w:rPr>
                <w:lang w:val="en-US"/>
              </w:rPr>
              <w:t>a charge should be included in A1.4.</w:t>
            </w:r>
          </w:p>
        </w:tc>
      </w:tr>
      <w:tr w:rsidR="008E147C" w:rsidRPr="009A191E" w14:paraId="2176F1D7" w14:textId="77777777" w:rsidTr="2C985F9B">
        <w:tc>
          <w:tcPr>
            <w:tcW w:w="199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4B3A715" w14:textId="77777777" w:rsidR="008E147C" w:rsidRPr="009A191E" w:rsidRDefault="008E147C" w:rsidP="002B5158">
            <w:pPr>
              <w:pStyle w:val="Bodyromannumerals"/>
              <w:rPr>
                <w:i/>
                <w:lang w:val="en-US"/>
              </w:rPr>
            </w:pPr>
            <w:r w:rsidRPr="009A191E">
              <w:rPr>
                <w:i/>
                <w:lang w:val="en-US"/>
              </w:rPr>
              <w:t>Processing Rules:</w:t>
            </w:r>
          </w:p>
        </w:tc>
        <w:tc>
          <w:tcPr>
            <w:tcW w:w="556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B1DCE0F" w14:textId="77777777" w:rsidR="008E147C" w:rsidRPr="009A191E" w:rsidRDefault="008E147C" w:rsidP="002B5158">
            <w:pPr>
              <w:pStyle w:val="Bodyromannumerals"/>
              <w:rPr>
                <w:lang w:val="en-US"/>
              </w:rPr>
            </w:pPr>
            <w:r w:rsidRPr="009A191E">
              <w:rPr>
                <w:lang w:val="en-US"/>
              </w:rPr>
              <w:t>Input field</w:t>
            </w:r>
          </w:p>
        </w:tc>
      </w:tr>
    </w:tbl>
    <w:p w14:paraId="6B287728" w14:textId="77777777" w:rsidR="008E147C" w:rsidRPr="009A191E" w:rsidRDefault="008E147C" w:rsidP="008E147C">
      <w:pPr>
        <w:spacing w:after="160" w:line="259" w:lineRule="auto"/>
        <w:rPr>
          <w:rFonts w:eastAsia="Calibri"/>
          <w:color w:val="000000" w:themeColor="text1"/>
          <w:lang w:val="en-GB"/>
        </w:rPr>
      </w:pPr>
    </w:p>
    <w:p w14:paraId="0A702043" w14:textId="6B51E41C" w:rsidR="008E147C" w:rsidRPr="009A191E" w:rsidRDefault="008E147C" w:rsidP="002B5158">
      <w:pPr>
        <w:pStyle w:val="Sectionsub-heading"/>
        <w:rPr>
          <w:lang w:val="en-GB"/>
        </w:rPr>
      </w:pPr>
      <w:r w:rsidRPr="009A191E">
        <w:rPr>
          <w:lang w:val="en-GB"/>
        </w:rPr>
        <w:t>BLOCK 3: MEASURED NON-</w:t>
      </w:r>
      <w:r w:rsidR="00283ECD">
        <w:rPr>
          <w:lang w:val="en-GB"/>
        </w:rPr>
        <w:t>HOUSEHOLD</w:t>
      </w:r>
      <w:r w:rsidR="00283ECD" w:rsidRPr="009A191E">
        <w:rPr>
          <w:lang w:val="en-GB"/>
        </w:rPr>
        <w:t xml:space="preserve"> </w:t>
      </w:r>
      <w:r w:rsidRPr="009A191E">
        <w:rPr>
          <w:lang w:val="en-GB"/>
        </w:rPr>
        <w:t>– PROPERTIES</w:t>
      </w:r>
    </w:p>
    <w:tbl>
      <w:tblPr>
        <w:tblStyle w:val="TableGrid3"/>
        <w:tblW w:w="7558" w:type="dxa"/>
        <w:tblLook w:val="04A0" w:firstRow="1" w:lastRow="0" w:firstColumn="1" w:lastColumn="0" w:noHBand="0" w:noVBand="1"/>
      </w:tblPr>
      <w:tblGrid>
        <w:gridCol w:w="1035"/>
        <w:gridCol w:w="961"/>
        <w:gridCol w:w="4649"/>
        <w:gridCol w:w="913"/>
      </w:tblGrid>
      <w:tr w:rsidR="008E147C" w:rsidRPr="009A191E" w14:paraId="2948DDF4" w14:textId="77777777" w:rsidTr="2C985F9B">
        <w:tc>
          <w:tcPr>
            <w:tcW w:w="1035" w:type="dxa"/>
          </w:tcPr>
          <w:p w14:paraId="335308DC" w14:textId="77777777" w:rsidR="008E147C" w:rsidRPr="002B5158" w:rsidRDefault="008E147C" w:rsidP="002B5158">
            <w:pPr>
              <w:pStyle w:val="Bodyromannumerals"/>
              <w:rPr>
                <w:b/>
                <w:bCs/>
                <w:lang w:val="en-US"/>
              </w:rPr>
            </w:pPr>
            <w:r w:rsidRPr="002B5158">
              <w:rPr>
                <w:b/>
                <w:bCs/>
                <w:lang w:val="en-US"/>
              </w:rPr>
              <w:t>A1.14</w:t>
            </w:r>
          </w:p>
        </w:tc>
        <w:tc>
          <w:tcPr>
            <w:tcW w:w="5610" w:type="dxa"/>
            <w:gridSpan w:val="2"/>
          </w:tcPr>
          <w:p w14:paraId="1387C202" w14:textId="3FA8E76E" w:rsidR="008E147C" w:rsidRPr="002B5158" w:rsidRDefault="00F65AA5" w:rsidP="002B5158">
            <w:pPr>
              <w:pStyle w:val="Bodyromannumerals"/>
              <w:rPr>
                <w:b/>
                <w:bCs/>
                <w:lang w:val="en-US"/>
              </w:rPr>
            </w:pPr>
            <w:r w:rsidRPr="00F65AA5">
              <w:rPr>
                <w:b/>
                <w:bCs/>
                <w:lang w:val="en-US"/>
              </w:rPr>
              <w:t>Number of measured connected non-</w:t>
            </w:r>
            <w:r w:rsidR="00283ECD">
              <w:rPr>
                <w:b/>
                <w:bCs/>
                <w:lang w:val="en-US"/>
              </w:rPr>
              <w:t>household</w:t>
            </w:r>
            <w:r w:rsidR="00283ECD" w:rsidRPr="00F65AA5">
              <w:rPr>
                <w:b/>
                <w:bCs/>
                <w:lang w:val="en-US"/>
              </w:rPr>
              <w:t xml:space="preserve"> </w:t>
            </w:r>
            <w:r w:rsidRPr="00F65AA5">
              <w:rPr>
                <w:b/>
                <w:bCs/>
                <w:lang w:val="en-US"/>
              </w:rPr>
              <w:t>properties that are not charged</w:t>
            </w:r>
          </w:p>
        </w:tc>
        <w:tc>
          <w:tcPr>
            <w:tcW w:w="913" w:type="dxa"/>
          </w:tcPr>
          <w:p w14:paraId="5A2A7149" w14:textId="77777777" w:rsidR="008E147C" w:rsidRPr="002B5158" w:rsidRDefault="008E147C" w:rsidP="002B5158">
            <w:pPr>
              <w:pStyle w:val="Bodyromannumerals"/>
              <w:rPr>
                <w:b/>
                <w:bCs/>
                <w:lang w:val="en-US"/>
              </w:rPr>
            </w:pPr>
            <w:r w:rsidRPr="002B5158">
              <w:rPr>
                <w:b/>
                <w:bCs/>
                <w:lang w:val="en-US"/>
              </w:rPr>
              <w:t>Nr.</w:t>
            </w:r>
          </w:p>
        </w:tc>
      </w:tr>
      <w:tr w:rsidR="008E147C" w:rsidRPr="009A191E" w14:paraId="7FE8E250" w14:textId="77777777" w:rsidTr="0098269A">
        <w:trPr>
          <w:trHeight w:val="1281"/>
        </w:trPr>
        <w:tc>
          <w:tcPr>
            <w:tcW w:w="1996" w:type="dxa"/>
            <w:gridSpan w:val="2"/>
            <w:tcBorders>
              <w:left w:val="single" w:sz="4" w:space="0" w:color="FFFFFF" w:themeColor="background2"/>
              <w:bottom w:val="single" w:sz="4" w:space="0" w:color="FFFFFF" w:themeColor="background2"/>
              <w:right w:val="single" w:sz="4" w:space="0" w:color="FFFFFF" w:themeColor="background2"/>
            </w:tcBorders>
          </w:tcPr>
          <w:p w14:paraId="6B77AAB6" w14:textId="77777777" w:rsidR="008E147C" w:rsidRPr="009A191E" w:rsidRDefault="008E147C" w:rsidP="002B5158">
            <w:pPr>
              <w:pStyle w:val="Bodyromannumerals"/>
              <w:rPr>
                <w:i/>
                <w:lang w:val="en-US"/>
              </w:rPr>
            </w:pPr>
            <w:r w:rsidRPr="009A191E">
              <w:rPr>
                <w:i/>
                <w:lang w:val="en-US"/>
              </w:rPr>
              <w:t>Definition:</w:t>
            </w:r>
          </w:p>
        </w:tc>
        <w:tc>
          <w:tcPr>
            <w:tcW w:w="5562" w:type="dxa"/>
            <w:gridSpan w:val="2"/>
            <w:tcBorders>
              <w:left w:val="single" w:sz="4" w:space="0" w:color="FFFFFF" w:themeColor="background2"/>
              <w:bottom w:val="single" w:sz="4" w:space="0" w:color="FFFFFF" w:themeColor="background2"/>
              <w:right w:val="single" w:sz="4" w:space="0" w:color="FFFFFF" w:themeColor="background2"/>
            </w:tcBorders>
          </w:tcPr>
          <w:p w14:paraId="68DCF67C" w14:textId="58C50B48" w:rsidR="007930B4" w:rsidRPr="009A191E" w:rsidRDefault="008E147C" w:rsidP="002B5158">
            <w:pPr>
              <w:pStyle w:val="Bodyromannumerals"/>
              <w:rPr>
                <w:lang w:val="en-US"/>
              </w:rPr>
            </w:pPr>
            <w:r w:rsidRPr="009A191E">
              <w:rPr>
                <w:lang w:val="en-US"/>
              </w:rPr>
              <w:t>Number of billed metered non-</w:t>
            </w:r>
            <w:r w:rsidR="00EA7EEA">
              <w:rPr>
                <w:lang w:val="en-US"/>
              </w:rPr>
              <w:t>household</w:t>
            </w:r>
            <w:r w:rsidR="00EA7EEA" w:rsidRPr="009A191E">
              <w:rPr>
                <w:lang w:val="en-US"/>
              </w:rPr>
              <w:t xml:space="preserve"> </w:t>
            </w:r>
            <w:r w:rsidRPr="009A191E">
              <w:rPr>
                <w:lang w:val="en-US"/>
              </w:rPr>
              <w:t xml:space="preserve">properties as at </w:t>
            </w:r>
            <w:r w:rsidR="00D97768">
              <w:rPr>
                <w:lang w:val="en-US"/>
              </w:rPr>
              <w:t>30 June</w:t>
            </w:r>
            <w:r w:rsidRPr="009A191E">
              <w:rPr>
                <w:lang w:val="en-US"/>
              </w:rPr>
              <w:t xml:space="preserve"> of the reporting year, where no charge has been made.</w:t>
            </w:r>
            <w:r w:rsidR="00706871">
              <w:rPr>
                <w:lang w:val="en-US"/>
              </w:rPr>
              <w:t xml:space="preserve"> This could be because they are exempt from charges or </w:t>
            </w:r>
            <w:r w:rsidR="00706871" w:rsidRPr="009A191E">
              <w:rPr>
                <w:lang w:val="en-US"/>
              </w:rPr>
              <w:t xml:space="preserve">are </w:t>
            </w:r>
            <w:r w:rsidR="00706871">
              <w:rPr>
                <w:lang w:val="en-US"/>
              </w:rPr>
              <w:t>vacant/void properties</w:t>
            </w:r>
            <w:r w:rsidR="00706871" w:rsidRPr="009A191E">
              <w:rPr>
                <w:lang w:val="en-US"/>
              </w:rPr>
              <w:t>.</w:t>
            </w:r>
            <w:r w:rsidR="00F44B92">
              <w:rPr>
                <w:lang w:val="en-US"/>
              </w:rPr>
              <w:t xml:space="preserve"> Any vacant/void</w:t>
            </w:r>
            <w:r w:rsidR="00DF0F80">
              <w:rPr>
                <w:lang w:val="en-US"/>
              </w:rPr>
              <w:t xml:space="preserve"> measured non-household</w:t>
            </w:r>
            <w:r w:rsidR="00F44B92">
              <w:rPr>
                <w:lang w:val="en-US"/>
              </w:rPr>
              <w:t xml:space="preserve"> properties that </w:t>
            </w:r>
            <w:r w:rsidR="008305AE">
              <w:rPr>
                <w:lang w:val="en-US"/>
              </w:rPr>
              <w:t>pay</w:t>
            </w:r>
            <w:r w:rsidR="00F44B92">
              <w:rPr>
                <w:lang w:val="en-US"/>
              </w:rPr>
              <w:t xml:space="preserve"> a charge should be included in A1.15.</w:t>
            </w:r>
          </w:p>
        </w:tc>
      </w:tr>
      <w:tr w:rsidR="008E147C" w:rsidRPr="009A191E" w14:paraId="68252E06" w14:textId="77777777" w:rsidTr="2C985F9B">
        <w:tc>
          <w:tcPr>
            <w:tcW w:w="199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43F0D27" w14:textId="77777777" w:rsidR="008E147C" w:rsidRPr="009A191E" w:rsidRDefault="008E147C" w:rsidP="002B5158">
            <w:pPr>
              <w:pStyle w:val="Bodyromannumerals"/>
              <w:rPr>
                <w:i/>
                <w:lang w:val="en-US"/>
              </w:rPr>
            </w:pPr>
            <w:r w:rsidRPr="009A191E">
              <w:rPr>
                <w:i/>
                <w:lang w:val="en-US"/>
              </w:rPr>
              <w:t>Processing Rules:</w:t>
            </w:r>
          </w:p>
        </w:tc>
        <w:tc>
          <w:tcPr>
            <w:tcW w:w="556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1E84ED6" w14:textId="77777777" w:rsidR="008E147C" w:rsidRPr="009A191E" w:rsidRDefault="008E147C" w:rsidP="002B5158">
            <w:pPr>
              <w:pStyle w:val="Bodyromannumerals"/>
              <w:rPr>
                <w:lang w:val="en-US"/>
              </w:rPr>
            </w:pPr>
            <w:r w:rsidRPr="009A191E">
              <w:rPr>
                <w:lang w:val="en-US"/>
              </w:rPr>
              <w:t>Input field</w:t>
            </w:r>
          </w:p>
        </w:tc>
      </w:tr>
      <w:tr w:rsidR="008E147C" w:rsidRPr="009A191E" w14:paraId="57463909" w14:textId="77777777" w:rsidTr="2C985F9B">
        <w:tc>
          <w:tcPr>
            <w:tcW w:w="1035" w:type="dxa"/>
          </w:tcPr>
          <w:p w14:paraId="7563848D" w14:textId="77777777" w:rsidR="008E147C" w:rsidRPr="002B5158" w:rsidRDefault="008E147C" w:rsidP="002B5158">
            <w:pPr>
              <w:pStyle w:val="Bodyromannumerals"/>
              <w:rPr>
                <w:b/>
                <w:bCs/>
                <w:lang w:val="en-US"/>
              </w:rPr>
            </w:pPr>
            <w:r w:rsidRPr="002B5158">
              <w:rPr>
                <w:b/>
                <w:bCs/>
                <w:lang w:val="en-US"/>
              </w:rPr>
              <w:t>A1.15</w:t>
            </w:r>
          </w:p>
        </w:tc>
        <w:tc>
          <w:tcPr>
            <w:tcW w:w="5610" w:type="dxa"/>
            <w:gridSpan w:val="2"/>
          </w:tcPr>
          <w:p w14:paraId="05E11667" w14:textId="4623EB50" w:rsidR="008E147C" w:rsidRPr="002B5158" w:rsidRDefault="008E147C" w:rsidP="002B5158">
            <w:pPr>
              <w:pStyle w:val="Bodyromannumerals"/>
              <w:rPr>
                <w:b/>
                <w:bCs/>
                <w:lang w:val="en-US"/>
              </w:rPr>
            </w:pPr>
            <w:r w:rsidRPr="002B5158">
              <w:rPr>
                <w:b/>
                <w:bCs/>
                <w:lang w:val="en-US"/>
              </w:rPr>
              <w:t xml:space="preserve">Total number of billed </w:t>
            </w:r>
            <w:r w:rsidR="00A3482B">
              <w:rPr>
                <w:b/>
                <w:bCs/>
                <w:lang w:val="en-US"/>
              </w:rPr>
              <w:t>properties</w:t>
            </w:r>
          </w:p>
        </w:tc>
        <w:tc>
          <w:tcPr>
            <w:tcW w:w="913" w:type="dxa"/>
          </w:tcPr>
          <w:p w14:paraId="27252697" w14:textId="77777777" w:rsidR="008E147C" w:rsidRPr="002B5158" w:rsidRDefault="008E147C" w:rsidP="002B5158">
            <w:pPr>
              <w:pStyle w:val="Bodyromannumerals"/>
              <w:rPr>
                <w:b/>
                <w:bCs/>
                <w:lang w:val="en-US"/>
              </w:rPr>
            </w:pPr>
            <w:r w:rsidRPr="002B5158">
              <w:rPr>
                <w:b/>
                <w:bCs/>
                <w:lang w:val="en-US"/>
              </w:rPr>
              <w:t>Nr.</w:t>
            </w:r>
          </w:p>
        </w:tc>
      </w:tr>
      <w:tr w:rsidR="008E147C" w:rsidRPr="009A191E" w14:paraId="04C03CB4" w14:textId="77777777" w:rsidTr="2C985F9B">
        <w:tc>
          <w:tcPr>
            <w:tcW w:w="1996" w:type="dxa"/>
            <w:gridSpan w:val="2"/>
            <w:tcBorders>
              <w:left w:val="single" w:sz="4" w:space="0" w:color="FFFFFF" w:themeColor="background2"/>
              <w:bottom w:val="single" w:sz="4" w:space="0" w:color="FFFFFF" w:themeColor="background2"/>
              <w:right w:val="single" w:sz="4" w:space="0" w:color="FFFFFF" w:themeColor="background2"/>
            </w:tcBorders>
          </w:tcPr>
          <w:p w14:paraId="3C06E15E" w14:textId="77777777" w:rsidR="008E147C" w:rsidRPr="009A191E" w:rsidRDefault="008E147C" w:rsidP="002B5158">
            <w:pPr>
              <w:pStyle w:val="Bodyromannumerals"/>
              <w:rPr>
                <w:i/>
                <w:lang w:val="en-US"/>
              </w:rPr>
            </w:pPr>
            <w:r w:rsidRPr="009A191E">
              <w:rPr>
                <w:i/>
                <w:lang w:val="en-US"/>
              </w:rPr>
              <w:t>Definition:</w:t>
            </w:r>
          </w:p>
        </w:tc>
        <w:tc>
          <w:tcPr>
            <w:tcW w:w="5562" w:type="dxa"/>
            <w:gridSpan w:val="2"/>
            <w:tcBorders>
              <w:left w:val="single" w:sz="4" w:space="0" w:color="FFFFFF" w:themeColor="background2"/>
              <w:bottom w:val="single" w:sz="4" w:space="0" w:color="FFFFFF" w:themeColor="background2"/>
              <w:right w:val="single" w:sz="4" w:space="0" w:color="FFFFFF" w:themeColor="background2"/>
            </w:tcBorders>
          </w:tcPr>
          <w:p w14:paraId="227AE015" w14:textId="4BC1094F" w:rsidR="008E147C" w:rsidRDefault="008E147C" w:rsidP="00C766AB">
            <w:pPr>
              <w:pStyle w:val="Bodyromannumerals"/>
              <w:rPr>
                <w:lang w:val="en-US"/>
              </w:rPr>
            </w:pPr>
            <w:r w:rsidRPr="009A191E">
              <w:rPr>
                <w:lang w:val="en-US"/>
              </w:rPr>
              <w:t>Number of metered non-</w:t>
            </w:r>
            <w:r w:rsidR="00F76785">
              <w:rPr>
                <w:lang w:val="en-US"/>
              </w:rPr>
              <w:t>household</w:t>
            </w:r>
            <w:r w:rsidR="00F76785" w:rsidRPr="009A191E">
              <w:rPr>
                <w:lang w:val="en-US"/>
              </w:rPr>
              <w:t xml:space="preserve"> </w:t>
            </w:r>
            <w:r w:rsidRPr="009A191E">
              <w:rPr>
                <w:lang w:val="en-US"/>
              </w:rPr>
              <w:t xml:space="preserve">properties as at </w:t>
            </w:r>
            <w:r w:rsidR="00D97768">
              <w:rPr>
                <w:lang w:val="en-US"/>
              </w:rPr>
              <w:t>30 June</w:t>
            </w:r>
            <w:r w:rsidRPr="009A191E">
              <w:rPr>
                <w:lang w:val="en-US"/>
              </w:rPr>
              <w:t xml:space="preserve"> of the reporting year. </w:t>
            </w:r>
          </w:p>
          <w:p w14:paraId="0C833D9D" w14:textId="77777777" w:rsidR="005E639C" w:rsidRDefault="005E639C" w:rsidP="00A3482B">
            <w:pPr>
              <w:pStyle w:val="Bodyromannumerals"/>
              <w:rPr>
                <w:lang w:val="en-US"/>
              </w:rPr>
            </w:pPr>
            <w:r>
              <w:rPr>
                <w:lang w:val="en-US"/>
              </w:rPr>
              <w:t xml:space="preserve">Include only customers that are charged based on their </w:t>
            </w:r>
            <w:r w:rsidR="00ED4BE1">
              <w:rPr>
                <w:lang w:val="en-US"/>
              </w:rPr>
              <w:t>measured</w:t>
            </w:r>
            <w:r>
              <w:rPr>
                <w:lang w:val="en-US"/>
              </w:rPr>
              <w:t xml:space="preserve"> usage. </w:t>
            </w:r>
          </w:p>
          <w:p w14:paraId="6F00977B" w14:textId="67C9CD86" w:rsidR="00663205" w:rsidRPr="009A191E" w:rsidRDefault="00663205" w:rsidP="00A3482B">
            <w:pPr>
              <w:pStyle w:val="Bodyromannumerals"/>
              <w:rPr>
                <w:lang w:val="en-US"/>
              </w:rPr>
            </w:pPr>
            <w:r>
              <w:rPr>
                <w:lang w:val="en-US"/>
              </w:rPr>
              <w:t xml:space="preserve">Any measured non-household customer that is connected and pays a charge should be included in </w:t>
            </w:r>
            <w:r w:rsidR="00DF0F80">
              <w:rPr>
                <w:lang w:val="en-US"/>
              </w:rPr>
              <w:t>this line</w:t>
            </w:r>
            <w:r>
              <w:rPr>
                <w:lang w:val="en-US"/>
              </w:rPr>
              <w:t>.</w:t>
            </w:r>
          </w:p>
        </w:tc>
      </w:tr>
      <w:tr w:rsidR="008E147C" w:rsidRPr="009A191E" w14:paraId="5B904B3C" w14:textId="77777777" w:rsidTr="2C985F9B">
        <w:tc>
          <w:tcPr>
            <w:tcW w:w="199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DE571F9" w14:textId="77777777" w:rsidR="008E147C" w:rsidRPr="009A191E" w:rsidRDefault="008E147C" w:rsidP="002B5158">
            <w:pPr>
              <w:pStyle w:val="Bodyromannumerals"/>
              <w:rPr>
                <w:i/>
                <w:lang w:val="en-US"/>
              </w:rPr>
            </w:pPr>
            <w:r w:rsidRPr="009A191E">
              <w:rPr>
                <w:i/>
                <w:lang w:val="en-US"/>
              </w:rPr>
              <w:t>Processing Rules:</w:t>
            </w:r>
          </w:p>
        </w:tc>
        <w:tc>
          <w:tcPr>
            <w:tcW w:w="556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6523A38" w14:textId="77777777" w:rsidR="008E147C" w:rsidRPr="009A191E" w:rsidRDefault="008E147C" w:rsidP="002B5158">
            <w:pPr>
              <w:pStyle w:val="Bodyromannumerals"/>
              <w:rPr>
                <w:lang w:val="en-US"/>
              </w:rPr>
            </w:pPr>
            <w:r w:rsidRPr="009A191E">
              <w:rPr>
                <w:lang w:val="en-US"/>
              </w:rPr>
              <w:t>Input field</w:t>
            </w:r>
          </w:p>
        </w:tc>
      </w:tr>
    </w:tbl>
    <w:p w14:paraId="1AA42CAD" w14:textId="6D04CB83" w:rsidR="008E147C" w:rsidRPr="0018706D" w:rsidRDefault="008E147C" w:rsidP="0018706D">
      <w:pPr>
        <w:pStyle w:val="Sectionsub-heading"/>
        <w:rPr>
          <w:rFonts w:eastAsia="Calibri"/>
          <w:color w:val="000000" w:themeColor="text1"/>
          <w:lang w:val="en-GB"/>
        </w:rPr>
      </w:pPr>
      <w:r w:rsidRPr="009A191E">
        <w:rPr>
          <w:lang w:val="en-GB"/>
        </w:rPr>
        <w:lastRenderedPageBreak/>
        <w:t>BLOCK 4: MEASURED NON-</w:t>
      </w:r>
      <w:r w:rsidR="00A01A72">
        <w:rPr>
          <w:lang w:val="en-GB"/>
        </w:rPr>
        <w:t>HOUSEHOLD</w:t>
      </w:r>
      <w:r w:rsidR="00A01A72" w:rsidRPr="009A191E">
        <w:rPr>
          <w:lang w:val="en-GB"/>
        </w:rPr>
        <w:t xml:space="preserve"> </w:t>
      </w:r>
      <w:r w:rsidRPr="009A191E">
        <w:rPr>
          <w:lang w:val="en-GB"/>
        </w:rPr>
        <w:t>– METER SIZES</w:t>
      </w:r>
    </w:p>
    <w:tbl>
      <w:tblPr>
        <w:tblStyle w:val="TableGrid3"/>
        <w:tblW w:w="7558" w:type="dxa"/>
        <w:tblLook w:val="04A0" w:firstRow="1" w:lastRow="0" w:firstColumn="1" w:lastColumn="0" w:noHBand="0" w:noVBand="1"/>
      </w:tblPr>
      <w:tblGrid>
        <w:gridCol w:w="1035"/>
        <w:gridCol w:w="958"/>
        <w:gridCol w:w="4547"/>
        <w:gridCol w:w="104"/>
        <w:gridCol w:w="914"/>
      </w:tblGrid>
      <w:tr w:rsidR="008E147C" w:rsidRPr="009A191E" w14:paraId="25CB44E9" w14:textId="77777777" w:rsidTr="2C985F9B">
        <w:tc>
          <w:tcPr>
            <w:tcW w:w="1035" w:type="dxa"/>
          </w:tcPr>
          <w:p w14:paraId="2752A983" w14:textId="77777777" w:rsidR="008E147C" w:rsidRPr="002B5158" w:rsidRDefault="008E147C" w:rsidP="002B5158">
            <w:pPr>
              <w:pStyle w:val="Bodyromannumerals"/>
              <w:rPr>
                <w:b/>
                <w:bCs/>
                <w:lang w:val="en-US"/>
              </w:rPr>
            </w:pPr>
            <w:r w:rsidRPr="002B5158">
              <w:rPr>
                <w:b/>
                <w:bCs/>
                <w:lang w:val="en-US"/>
              </w:rPr>
              <w:t>A1.17</w:t>
            </w:r>
          </w:p>
        </w:tc>
        <w:tc>
          <w:tcPr>
            <w:tcW w:w="5609" w:type="dxa"/>
            <w:gridSpan w:val="3"/>
          </w:tcPr>
          <w:p w14:paraId="293DD711" w14:textId="6C005015" w:rsidR="008E147C" w:rsidRPr="002B5158" w:rsidRDefault="0027009D" w:rsidP="002B5158">
            <w:pPr>
              <w:pStyle w:val="Bodyromannumerals"/>
              <w:rPr>
                <w:b/>
                <w:bCs/>
                <w:lang w:val="en-US"/>
              </w:rPr>
            </w:pPr>
            <w:r>
              <w:rPr>
                <w:b/>
                <w:bCs/>
                <w:lang w:val="en-US"/>
              </w:rPr>
              <w:t>Standard meter</w:t>
            </w:r>
          </w:p>
        </w:tc>
        <w:tc>
          <w:tcPr>
            <w:tcW w:w="914" w:type="dxa"/>
          </w:tcPr>
          <w:p w14:paraId="44705DCC" w14:textId="77777777" w:rsidR="008E147C" w:rsidRPr="002B5158" w:rsidRDefault="008E147C" w:rsidP="002B5158">
            <w:pPr>
              <w:pStyle w:val="Bodyromannumerals"/>
              <w:rPr>
                <w:b/>
                <w:bCs/>
                <w:lang w:val="en-US"/>
              </w:rPr>
            </w:pPr>
            <w:r w:rsidRPr="002B5158">
              <w:rPr>
                <w:b/>
                <w:bCs/>
                <w:lang w:val="en-US"/>
              </w:rPr>
              <w:t>Nr.</w:t>
            </w:r>
          </w:p>
        </w:tc>
      </w:tr>
      <w:tr w:rsidR="008E147C" w:rsidRPr="009A191E" w14:paraId="1B4AD78A" w14:textId="77777777" w:rsidTr="2C985F9B">
        <w:tc>
          <w:tcPr>
            <w:tcW w:w="1993" w:type="dxa"/>
            <w:gridSpan w:val="2"/>
            <w:tcBorders>
              <w:left w:val="single" w:sz="4" w:space="0" w:color="FFFFFF" w:themeColor="background2"/>
              <w:bottom w:val="single" w:sz="4" w:space="0" w:color="FFFFFF" w:themeColor="background2"/>
              <w:right w:val="single" w:sz="4" w:space="0" w:color="FFFFFF" w:themeColor="background2"/>
            </w:tcBorders>
          </w:tcPr>
          <w:p w14:paraId="021F6468" w14:textId="77777777" w:rsidR="008E147C" w:rsidRPr="009A191E" w:rsidRDefault="008E147C" w:rsidP="002B5158">
            <w:pPr>
              <w:pStyle w:val="Bodyromannumerals"/>
              <w:rPr>
                <w:i/>
                <w:lang w:val="en-US"/>
              </w:rPr>
            </w:pPr>
            <w:r w:rsidRPr="009A191E">
              <w:rPr>
                <w:i/>
                <w:lang w:val="en-US"/>
              </w:rPr>
              <w:t>Definition:</w:t>
            </w:r>
          </w:p>
        </w:tc>
        <w:tc>
          <w:tcPr>
            <w:tcW w:w="5565" w:type="dxa"/>
            <w:gridSpan w:val="3"/>
            <w:tcBorders>
              <w:left w:val="single" w:sz="4" w:space="0" w:color="FFFFFF" w:themeColor="background2"/>
              <w:bottom w:val="single" w:sz="4" w:space="0" w:color="FFFFFF" w:themeColor="background2"/>
              <w:right w:val="single" w:sz="4" w:space="0" w:color="FFFFFF" w:themeColor="background2"/>
            </w:tcBorders>
          </w:tcPr>
          <w:p w14:paraId="095BA162" w14:textId="478F01AE" w:rsidR="008E147C" w:rsidRPr="009A191E" w:rsidRDefault="008E147C" w:rsidP="002B5158">
            <w:pPr>
              <w:pStyle w:val="Bodyromannumerals"/>
              <w:rPr>
                <w:lang w:val="en-US"/>
              </w:rPr>
            </w:pPr>
            <w:r w:rsidRPr="009A191E">
              <w:rPr>
                <w:lang w:val="en-US"/>
              </w:rPr>
              <w:t>Number of billed metered non-</w:t>
            </w:r>
            <w:r w:rsidR="00A01A72">
              <w:rPr>
                <w:lang w:val="en-US"/>
              </w:rPr>
              <w:t>household</w:t>
            </w:r>
            <w:r w:rsidR="00A01A72" w:rsidRPr="009A191E">
              <w:rPr>
                <w:lang w:val="en-US"/>
              </w:rPr>
              <w:t xml:space="preserve"> </w:t>
            </w:r>
            <w:r w:rsidRPr="009A191E">
              <w:rPr>
                <w:lang w:val="en-US"/>
              </w:rPr>
              <w:t xml:space="preserve">properties with </w:t>
            </w:r>
            <w:r w:rsidR="00CD68ED">
              <w:rPr>
                <w:lang w:val="en-US"/>
              </w:rPr>
              <w:t xml:space="preserve">a standard </w:t>
            </w:r>
            <w:r w:rsidRPr="009A191E">
              <w:rPr>
                <w:lang w:val="en-US"/>
              </w:rPr>
              <w:t>meter</w:t>
            </w:r>
            <w:r w:rsidR="00630C48">
              <w:rPr>
                <w:lang w:val="en-US"/>
              </w:rPr>
              <w:t xml:space="preserve"> (less than 20mm)</w:t>
            </w:r>
            <w:r w:rsidRPr="009A191E">
              <w:rPr>
                <w:lang w:val="en-US"/>
              </w:rPr>
              <w:t xml:space="preserve">, as at </w:t>
            </w:r>
            <w:r w:rsidR="00D97768">
              <w:rPr>
                <w:lang w:val="en-US"/>
              </w:rPr>
              <w:t>30 June</w:t>
            </w:r>
            <w:r w:rsidRPr="009A191E">
              <w:rPr>
                <w:lang w:val="en-US"/>
              </w:rPr>
              <w:t xml:space="preserve"> of the reporting year.</w:t>
            </w:r>
          </w:p>
        </w:tc>
      </w:tr>
      <w:tr w:rsidR="008E147C" w:rsidRPr="009A191E" w14:paraId="36DC100F" w14:textId="77777777" w:rsidTr="2C985F9B">
        <w:tc>
          <w:tcPr>
            <w:tcW w:w="199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13B96AD" w14:textId="77777777" w:rsidR="008E147C" w:rsidRPr="009A191E" w:rsidRDefault="008E147C" w:rsidP="002B5158">
            <w:pPr>
              <w:pStyle w:val="Bodyromannumerals"/>
              <w:rPr>
                <w:i/>
                <w:lang w:val="en-US"/>
              </w:rPr>
            </w:pPr>
            <w:r w:rsidRPr="009A191E">
              <w:rPr>
                <w:i/>
                <w:lang w:val="en-US"/>
              </w:rPr>
              <w:t>Processing Rules:</w:t>
            </w:r>
          </w:p>
        </w:tc>
        <w:tc>
          <w:tcPr>
            <w:tcW w:w="5565"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610355E" w14:textId="77777777" w:rsidR="008E147C" w:rsidRPr="009A191E" w:rsidRDefault="008E147C" w:rsidP="002B5158">
            <w:pPr>
              <w:pStyle w:val="Bodyromannumerals"/>
              <w:rPr>
                <w:lang w:val="en-US"/>
              </w:rPr>
            </w:pPr>
            <w:r w:rsidRPr="009A191E">
              <w:rPr>
                <w:lang w:val="en-US"/>
              </w:rPr>
              <w:t>Input field</w:t>
            </w:r>
          </w:p>
        </w:tc>
      </w:tr>
      <w:tr w:rsidR="008E147C" w:rsidRPr="009A191E" w14:paraId="2DEF8E86" w14:textId="77777777" w:rsidTr="2C985F9B">
        <w:tc>
          <w:tcPr>
            <w:tcW w:w="1035" w:type="dxa"/>
          </w:tcPr>
          <w:p w14:paraId="3360D46C" w14:textId="77777777" w:rsidR="008E147C" w:rsidRPr="00171069" w:rsidRDefault="008E147C" w:rsidP="002B5158">
            <w:pPr>
              <w:pStyle w:val="Bodyromannumerals"/>
              <w:rPr>
                <w:b/>
                <w:bCs/>
                <w:lang w:val="en-US"/>
              </w:rPr>
            </w:pPr>
            <w:r w:rsidRPr="00171069">
              <w:rPr>
                <w:b/>
                <w:bCs/>
                <w:lang w:val="en-US"/>
              </w:rPr>
              <w:t>A1.18</w:t>
            </w:r>
          </w:p>
        </w:tc>
        <w:tc>
          <w:tcPr>
            <w:tcW w:w="5609" w:type="dxa"/>
            <w:gridSpan w:val="3"/>
          </w:tcPr>
          <w:p w14:paraId="24C2019D" w14:textId="3886726E" w:rsidR="008E147C" w:rsidRPr="00171069" w:rsidRDefault="0027009D" w:rsidP="002B5158">
            <w:pPr>
              <w:pStyle w:val="Bodyromannumerals"/>
              <w:rPr>
                <w:b/>
                <w:bCs/>
                <w:lang w:val="en-US"/>
              </w:rPr>
            </w:pPr>
            <w:r>
              <w:rPr>
                <w:b/>
                <w:bCs/>
                <w:lang w:val="en-US"/>
              </w:rPr>
              <w:t>20-50mm</w:t>
            </w:r>
          </w:p>
        </w:tc>
        <w:tc>
          <w:tcPr>
            <w:tcW w:w="914" w:type="dxa"/>
          </w:tcPr>
          <w:p w14:paraId="41C4975C" w14:textId="77777777" w:rsidR="008E147C" w:rsidRPr="00171069" w:rsidRDefault="008E147C" w:rsidP="00171069">
            <w:pPr>
              <w:pStyle w:val="Bodyromannumerals"/>
              <w:rPr>
                <w:b/>
                <w:bCs/>
                <w:lang w:val="en-US"/>
              </w:rPr>
            </w:pPr>
            <w:r w:rsidRPr="00171069">
              <w:rPr>
                <w:b/>
                <w:bCs/>
                <w:lang w:val="en-US"/>
              </w:rPr>
              <w:t>Nr.</w:t>
            </w:r>
          </w:p>
        </w:tc>
      </w:tr>
      <w:tr w:rsidR="008E147C" w:rsidRPr="009A191E" w14:paraId="576806E8" w14:textId="77777777" w:rsidTr="2C985F9B">
        <w:tc>
          <w:tcPr>
            <w:tcW w:w="1993" w:type="dxa"/>
            <w:gridSpan w:val="2"/>
            <w:tcBorders>
              <w:left w:val="single" w:sz="4" w:space="0" w:color="FFFFFF" w:themeColor="background2"/>
              <w:bottom w:val="single" w:sz="4" w:space="0" w:color="FFFFFF" w:themeColor="background2"/>
              <w:right w:val="single" w:sz="4" w:space="0" w:color="FFFFFF" w:themeColor="background2"/>
            </w:tcBorders>
          </w:tcPr>
          <w:p w14:paraId="5A3B65F2" w14:textId="77777777" w:rsidR="008E147C" w:rsidRPr="009A191E" w:rsidRDefault="008E147C" w:rsidP="002B5158">
            <w:pPr>
              <w:pStyle w:val="Bodyromannumerals"/>
              <w:rPr>
                <w:i/>
                <w:lang w:val="en-US"/>
              </w:rPr>
            </w:pPr>
            <w:r w:rsidRPr="009A191E">
              <w:rPr>
                <w:i/>
                <w:lang w:val="en-US"/>
              </w:rPr>
              <w:t>Definition:</w:t>
            </w:r>
          </w:p>
        </w:tc>
        <w:tc>
          <w:tcPr>
            <w:tcW w:w="5565" w:type="dxa"/>
            <w:gridSpan w:val="3"/>
            <w:tcBorders>
              <w:left w:val="single" w:sz="4" w:space="0" w:color="FFFFFF" w:themeColor="background2"/>
              <w:bottom w:val="single" w:sz="4" w:space="0" w:color="FFFFFF" w:themeColor="background2"/>
              <w:right w:val="single" w:sz="4" w:space="0" w:color="FFFFFF" w:themeColor="background2"/>
            </w:tcBorders>
          </w:tcPr>
          <w:p w14:paraId="33C2E8C1" w14:textId="544042DB" w:rsidR="008E147C" w:rsidRPr="009A191E" w:rsidRDefault="008E147C" w:rsidP="00171069">
            <w:pPr>
              <w:pStyle w:val="Bodyromannumerals"/>
              <w:rPr>
                <w:lang w:val="en-US"/>
              </w:rPr>
            </w:pPr>
            <w:r w:rsidRPr="009A191E">
              <w:rPr>
                <w:lang w:val="en-US"/>
              </w:rPr>
              <w:t>Number of billed metered non-</w:t>
            </w:r>
            <w:r w:rsidR="00A01A72">
              <w:rPr>
                <w:lang w:val="en-US"/>
              </w:rPr>
              <w:t>household</w:t>
            </w:r>
            <w:r w:rsidR="00A01A72" w:rsidRPr="009A191E">
              <w:rPr>
                <w:lang w:val="en-US"/>
              </w:rPr>
              <w:t xml:space="preserve"> </w:t>
            </w:r>
            <w:r w:rsidRPr="009A191E">
              <w:rPr>
                <w:lang w:val="en-US"/>
              </w:rPr>
              <w:t xml:space="preserve">properties with </w:t>
            </w:r>
            <w:r w:rsidR="005A4AD1" w:rsidRPr="009A191E">
              <w:rPr>
                <w:lang w:val="en-US"/>
              </w:rPr>
              <w:t>a meter</w:t>
            </w:r>
            <w:r w:rsidRPr="009A191E">
              <w:rPr>
                <w:lang w:val="en-US"/>
              </w:rPr>
              <w:t xml:space="preserve"> </w:t>
            </w:r>
            <w:r w:rsidR="00630C48">
              <w:rPr>
                <w:lang w:val="en-US"/>
              </w:rPr>
              <w:t>between 20-50mm</w:t>
            </w:r>
            <w:r w:rsidRPr="009A191E">
              <w:rPr>
                <w:lang w:val="en-US"/>
              </w:rPr>
              <w:t xml:space="preserve"> installed, as at </w:t>
            </w:r>
            <w:r w:rsidR="00D97768">
              <w:rPr>
                <w:lang w:val="en-US"/>
              </w:rPr>
              <w:t>30 June</w:t>
            </w:r>
            <w:r w:rsidRPr="009A191E">
              <w:rPr>
                <w:lang w:val="en-US"/>
              </w:rPr>
              <w:t xml:space="preserve"> of the reporting year.</w:t>
            </w:r>
          </w:p>
        </w:tc>
      </w:tr>
      <w:tr w:rsidR="008E147C" w:rsidRPr="009A191E" w14:paraId="1032AE4F" w14:textId="77777777" w:rsidTr="2C985F9B">
        <w:tc>
          <w:tcPr>
            <w:tcW w:w="199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CDDE778" w14:textId="77777777" w:rsidR="008E147C" w:rsidRPr="009A191E" w:rsidRDefault="008E147C" w:rsidP="002B5158">
            <w:pPr>
              <w:pStyle w:val="Bodyromannumerals"/>
              <w:rPr>
                <w:i/>
                <w:lang w:val="en-US"/>
              </w:rPr>
            </w:pPr>
            <w:r w:rsidRPr="009A191E">
              <w:rPr>
                <w:i/>
                <w:lang w:val="en-US"/>
              </w:rPr>
              <w:t>Processing Rules:</w:t>
            </w:r>
          </w:p>
        </w:tc>
        <w:tc>
          <w:tcPr>
            <w:tcW w:w="5565"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805C3BA" w14:textId="77777777" w:rsidR="008E147C" w:rsidRPr="009A191E" w:rsidRDefault="008E147C" w:rsidP="00171069">
            <w:pPr>
              <w:pStyle w:val="Bodyromannumerals"/>
              <w:rPr>
                <w:lang w:val="en-US"/>
              </w:rPr>
            </w:pPr>
            <w:r w:rsidRPr="009A191E">
              <w:rPr>
                <w:lang w:val="en-US"/>
              </w:rPr>
              <w:t>Input field</w:t>
            </w:r>
          </w:p>
        </w:tc>
      </w:tr>
      <w:tr w:rsidR="008E147C" w:rsidRPr="009A191E" w14:paraId="269EC00F" w14:textId="77777777" w:rsidTr="2C985F9B">
        <w:tc>
          <w:tcPr>
            <w:tcW w:w="1035" w:type="dxa"/>
          </w:tcPr>
          <w:p w14:paraId="0355CA5F" w14:textId="77777777" w:rsidR="008E147C" w:rsidRPr="00171069" w:rsidRDefault="008E147C" w:rsidP="002B5158">
            <w:pPr>
              <w:pStyle w:val="Bodyromannumerals"/>
              <w:rPr>
                <w:b/>
                <w:bCs/>
                <w:lang w:val="en-US"/>
              </w:rPr>
            </w:pPr>
            <w:r w:rsidRPr="00171069">
              <w:rPr>
                <w:b/>
                <w:bCs/>
                <w:lang w:val="en-US"/>
              </w:rPr>
              <w:t>A1.19</w:t>
            </w:r>
          </w:p>
        </w:tc>
        <w:tc>
          <w:tcPr>
            <w:tcW w:w="5609" w:type="dxa"/>
            <w:gridSpan w:val="3"/>
          </w:tcPr>
          <w:p w14:paraId="0D413E6F" w14:textId="656E0E31" w:rsidR="008E147C" w:rsidRPr="00171069" w:rsidRDefault="001B7EF4" w:rsidP="002B5158">
            <w:pPr>
              <w:pStyle w:val="Bodyromannumerals"/>
              <w:rPr>
                <w:b/>
                <w:bCs/>
                <w:lang w:val="en-US"/>
              </w:rPr>
            </w:pPr>
            <w:r>
              <w:rPr>
                <w:b/>
                <w:bCs/>
                <w:lang w:val="en-US"/>
              </w:rPr>
              <w:t>&gt;50mm</w:t>
            </w:r>
          </w:p>
        </w:tc>
        <w:tc>
          <w:tcPr>
            <w:tcW w:w="914" w:type="dxa"/>
          </w:tcPr>
          <w:p w14:paraId="1B04EA57" w14:textId="77777777" w:rsidR="008E147C" w:rsidRPr="00171069" w:rsidRDefault="008E147C" w:rsidP="00171069">
            <w:pPr>
              <w:pStyle w:val="Bodyromannumerals"/>
              <w:rPr>
                <w:b/>
                <w:bCs/>
                <w:lang w:val="en-US"/>
              </w:rPr>
            </w:pPr>
            <w:r w:rsidRPr="00171069">
              <w:rPr>
                <w:b/>
                <w:bCs/>
                <w:lang w:val="en-US"/>
              </w:rPr>
              <w:t>Nr.</w:t>
            </w:r>
          </w:p>
        </w:tc>
      </w:tr>
      <w:tr w:rsidR="008E147C" w:rsidRPr="009A191E" w14:paraId="41BE71A6" w14:textId="77777777" w:rsidTr="2C985F9B">
        <w:tc>
          <w:tcPr>
            <w:tcW w:w="1993" w:type="dxa"/>
            <w:gridSpan w:val="2"/>
            <w:tcBorders>
              <w:left w:val="single" w:sz="4" w:space="0" w:color="FFFFFF" w:themeColor="background2"/>
              <w:bottom w:val="single" w:sz="4" w:space="0" w:color="FFFFFF" w:themeColor="background2"/>
              <w:right w:val="single" w:sz="4" w:space="0" w:color="FFFFFF" w:themeColor="background2"/>
            </w:tcBorders>
          </w:tcPr>
          <w:p w14:paraId="333AB89F" w14:textId="77777777" w:rsidR="008E147C" w:rsidRPr="009A191E" w:rsidRDefault="008E147C" w:rsidP="002B5158">
            <w:pPr>
              <w:pStyle w:val="Bodyromannumerals"/>
              <w:rPr>
                <w:i/>
                <w:lang w:val="en-US"/>
              </w:rPr>
            </w:pPr>
            <w:r w:rsidRPr="009A191E">
              <w:rPr>
                <w:i/>
                <w:lang w:val="en-US"/>
              </w:rPr>
              <w:t>Definition:</w:t>
            </w:r>
          </w:p>
        </w:tc>
        <w:tc>
          <w:tcPr>
            <w:tcW w:w="5565" w:type="dxa"/>
            <w:gridSpan w:val="3"/>
            <w:tcBorders>
              <w:left w:val="single" w:sz="4" w:space="0" w:color="FFFFFF" w:themeColor="background2"/>
              <w:bottom w:val="single" w:sz="4" w:space="0" w:color="FFFFFF" w:themeColor="background2"/>
              <w:right w:val="single" w:sz="4" w:space="0" w:color="FFFFFF" w:themeColor="background2"/>
            </w:tcBorders>
          </w:tcPr>
          <w:p w14:paraId="6EC975F0" w14:textId="4051B2CF" w:rsidR="008E147C" w:rsidRPr="009A191E" w:rsidRDefault="008E147C" w:rsidP="00171069">
            <w:pPr>
              <w:pStyle w:val="Bodyromannumerals"/>
              <w:rPr>
                <w:lang w:val="en-US"/>
              </w:rPr>
            </w:pPr>
            <w:r w:rsidRPr="009A191E">
              <w:rPr>
                <w:lang w:val="en-US"/>
              </w:rPr>
              <w:t>Number of billed metered non-</w:t>
            </w:r>
            <w:r w:rsidR="00A01A72">
              <w:rPr>
                <w:lang w:val="en-US"/>
              </w:rPr>
              <w:t>household</w:t>
            </w:r>
            <w:r w:rsidR="00A01A72" w:rsidRPr="009A191E">
              <w:rPr>
                <w:lang w:val="en-US"/>
              </w:rPr>
              <w:t xml:space="preserve"> </w:t>
            </w:r>
            <w:r w:rsidRPr="009A191E">
              <w:rPr>
                <w:lang w:val="en-US"/>
              </w:rPr>
              <w:t xml:space="preserve">properties with a </w:t>
            </w:r>
            <w:r w:rsidR="00630C48">
              <w:rPr>
                <w:lang w:val="en-US"/>
              </w:rPr>
              <w:t>50</w:t>
            </w:r>
            <w:r w:rsidR="00630C48" w:rsidRPr="009A191E">
              <w:rPr>
                <w:lang w:val="en-US"/>
              </w:rPr>
              <w:t xml:space="preserve">mm </w:t>
            </w:r>
            <w:r w:rsidR="00630C48">
              <w:rPr>
                <w:lang w:val="en-US"/>
              </w:rPr>
              <w:t xml:space="preserve">or larger </w:t>
            </w:r>
            <w:r w:rsidRPr="009A191E">
              <w:rPr>
                <w:lang w:val="en-US"/>
              </w:rPr>
              <w:t xml:space="preserve">meter installed, as at </w:t>
            </w:r>
            <w:r w:rsidR="00D97768">
              <w:rPr>
                <w:lang w:val="en-US"/>
              </w:rPr>
              <w:t>30 June</w:t>
            </w:r>
            <w:r w:rsidRPr="009A191E">
              <w:rPr>
                <w:lang w:val="en-US"/>
              </w:rPr>
              <w:t xml:space="preserve"> of the reporting year.</w:t>
            </w:r>
          </w:p>
        </w:tc>
      </w:tr>
      <w:tr w:rsidR="008E147C" w:rsidRPr="009A191E" w14:paraId="1CD1ED33" w14:textId="77777777" w:rsidTr="003C687C">
        <w:tc>
          <w:tcPr>
            <w:tcW w:w="1993" w:type="dxa"/>
            <w:gridSpan w:val="2"/>
            <w:tcBorders>
              <w:top w:val="single" w:sz="4" w:space="0" w:color="FFFFFF" w:themeColor="background2"/>
              <w:left w:val="single" w:sz="4" w:space="0" w:color="FFFFFF" w:themeColor="background2"/>
              <w:bottom w:val="single" w:sz="4" w:space="0" w:color="auto"/>
              <w:right w:val="single" w:sz="4" w:space="0" w:color="FFFFFF" w:themeColor="background2"/>
            </w:tcBorders>
          </w:tcPr>
          <w:p w14:paraId="421AB1B7" w14:textId="77777777" w:rsidR="008E147C" w:rsidRPr="009A191E" w:rsidRDefault="008E147C" w:rsidP="002B5158">
            <w:pPr>
              <w:pStyle w:val="Bodyromannumerals"/>
              <w:rPr>
                <w:i/>
                <w:lang w:val="en-US"/>
              </w:rPr>
            </w:pPr>
            <w:r w:rsidRPr="009A191E">
              <w:rPr>
                <w:i/>
                <w:lang w:val="en-US"/>
              </w:rPr>
              <w:t>Processing Rules:</w:t>
            </w:r>
          </w:p>
        </w:tc>
        <w:tc>
          <w:tcPr>
            <w:tcW w:w="5565" w:type="dxa"/>
            <w:gridSpan w:val="3"/>
            <w:tcBorders>
              <w:top w:val="single" w:sz="4" w:space="0" w:color="FFFFFF" w:themeColor="background2"/>
              <w:left w:val="single" w:sz="4" w:space="0" w:color="FFFFFF" w:themeColor="background2"/>
              <w:bottom w:val="single" w:sz="4" w:space="0" w:color="auto"/>
              <w:right w:val="single" w:sz="4" w:space="0" w:color="FFFFFF" w:themeColor="background2"/>
            </w:tcBorders>
          </w:tcPr>
          <w:p w14:paraId="15208D1A" w14:textId="77777777" w:rsidR="008E147C" w:rsidRPr="009A191E" w:rsidRDefault="008E147C" w:rsidP="00171069">
            <w:pPr>
              <w:pStyle w:val="Bodyromannumerals"/>
              <w:rPr>
                <w:lang w:val="en-US"/>
              </w:rPr>
            </w:pPr>
            <w:r w:rsidRPr="009A191E">
              <w:rPr>
                <w:lang w:val="en-US"/>
              </w:rPr>
              <w:t>Input field</w:t>
            </w:r>
          </w:p>
        </w:tc>
      </w:tr>
      <w:tr w:rsidR="00E74F27" w:rsidRPr="009A191E" w14:paraId="0209BEC0" w14:textId="77777777" w:rsidTr="003C687C">
        <w:tc>
          <w:tcPr>
            <w:tcW w:w="1993" w:type="dxa"/>
            <w:gridSpan w:val="2"/>
            <w:tcBorders>
              <w:top w:val="single" w:sz="4" w:space="0" w:color="auto"/>
              <w:left w:val="single" w:sz="4" w:space="0" w:color="auto"/>
              <w:bottom w:val="single" w:sz="4" w:space="0" w:color="auto"/>
              <w:right w:val="single" w:sz="4" w:space="0" w:color="auto"/>
            </w:tcBorders>
          </w:tcPr>
          <w:p w14:paraId="5943F67F" w14:textId="7B0B6CDE" w:rsidR="00E74F27" w:rsidRPr="003C687C" w:rsidRDefault="00E74F27" w:rsidP="002B5158">
            <w:pPr>
              <w:pStyle w:val="Bodyromannumerals"/>
              <w:rPr>
                <w:b/>
                <w:bCs/>
                <w:iCs/>
                <w:lang w:val="en-US"/>
              </w:rPr>
            </w:pPr>
            <w:r w:rsidRPr="003C687C">
              <w:rPr>
                <w:b/>
                <w:bCs/>
                <w:iCs/>
                <w:lang w:val="en-US"/>
              </w:rPr>
              <w:t>A1.32</w:t>
            </w:r>
          </w:p>
        </w:tc>
        <w:tc>
          <w:tcPr>
            <w:tcW w:w="4547" w:type="dxa"/>
            <w:tcBorders>
              <w:top w:val="single" w:sz="4" w:space="0" w:color="auto"/>
              <w:left w:val="single" w:sz="4" w:space="0" w:color="auto"/>
              <w:bottom w:val="single" w:sz="4" w:space="0" w:color="auto"/>
              <w:right w:val="single" w:sz="4" w:space="0" w:color="auto"/>
            </w:tcBorders>
          </w:tcPr>
          <w:p w14:paraId="6F78BB8D" w14:textId="2EF10191" w:rsidR="00E74F27" w:rsidRPr="003C687C" w:rsidRDefault="00E74F27" w:rsidP="00171069">
            <w:pPr>
              <w:pStyle w:val="Bodyromannumerals"/>
              <w:rPr>
                <w:b/>
                <w:bCs/>
                <w:lang w:val="en-US"/>
              </w:rPr>
            </w:pPr>
            <w:r w:rsidRPr="003C687C">
              <w:rPr>
                <w:b/>
                <w:bCs/>
                <w:lang w:val="en-US"/>
              </w:rPr>
              <w:t>Total</w:t>
            </w:r>
          </w:p>
        </w:tc>
        <w:tc>
          <w:tcPr>
            <w:tcW w:w="1018" w:type="dxa"/>
            <w:gridSpan w:val="2"/>
            <w:tcBorders>
              <w:top w:val="single" w:sz="4" w:space="0" w:color="auto"/>
              <w:left w:val="single" w:sz="4" w:space="0" w:color="auto"/>
              <w:bottom w:val="single" w:sz="4" w:space="0" w:color="auto"/>
              <w:right w:val="single" w:sz="4" w:space="0" w:color="auto"/>
            </w:tcBorders>
          </w:tcPr>
          <w:p w14:paraId="1F5459E7" w14:textId="422BA278" w:rsidR="00E74F27" w:rsidRPr="003C687C" w:rsidRDefault="004957C8" w:rsidP="00171069">
            <w:pPr>
              <w:pStyle w:val="Bodyromannumerals"/>
              <w:rPr>
                <w:b/>
                <w:bCs/>
                <w:lang w:val="en-US"/>
              </w:rPr>
            </w:pPr>
            <w:r>
              <w:rPr>
                <w:b/>
                <w:bCs/>
                <w:lang w:val="en-US"/>
              </w:rPr>
              <w:t>Nr.</w:t>
            </w:r>
          </w:p>
        </w:tc>
      </w:tr>
      <w:tr w:rsidR="00E74F27" w:rsidRPr="009A191E" w14:paraId="3C67199C" w14:textId="77777777" w:rsidTr="003C687C">
        <w:tc>
          <w:tcPr>
            <w:tcW w:w="1993" w:type="dxa"/>
            <w:gridSpan w:val="2"/>
            <w:tcBorders>
              <w:top w:val="single" w:sz="4" w:space="0" w:color="auto"/>
              <w:left w:val="single" w:sz="4" w:space="0" w:color="FFFFFF" w:themeColor="background2"/>
              <w:bottom w:val="nil"/>
              <w:right w:val="single" w:sz="4" w:space="0" w:color="FFFFFF" w:themeColor="background2"/>
            </w:tcBorders>
          </w:tcPr>
          <w:p w14:paraId="7B7D4C79" w14:textId="35128F5C" w:rsidR="00E74F27" w:rsidRPr="009A191E" w:rsidRDefault="00E74F27" w:rsidP="00E74F27">
            <w:pPr>
              <w:pStyle w:val="Bodyromannumerals"/>
              <w:rPr>
                <w:i/>
                <w:lang w:val="en-US"/>
              </w:rPr>
            </w:pPr>
            <w:r w:rsidRPr="009A191E">
              <w:rPr>
                <w:i/>
                <w:lang w:val="en-US"/>
              </w:rPr>
              <w:t>Definition:</w:t>
            </w:r>
          </w:p>
        </w:tc>
        <w:tc>
          <w:tcPr>
            <w:tcW w:w="5565" w:type="dxa"/>
            <w:gridSpan w:val="3"/>
            <w:tcBorders>
              <w:top w:val="single" w:sz="4" w:space="0" w:color="auto"/>
              <w:left w:val="single" w:sz="4" w:space="0" w:color="FFFFFF" w:themeColor="background2"/>
              <w:bottom w:val="nil"/>
              <w:right w:val="single" w:sz="4" w:space="0" w:color="FFFFFF" w:themeColor="background2"/>
            </w:tcBorders>
          </w:tcPr>
          <w:p w14:paraId="10EBAD61" w14:textId="19459494" w:rsidR="00E74F27" w:rsidRPr="009A191E" w:rsidRDefault="004F3963" w:rsidP="00E74F27">
            <w:pPr>
              <w:pStyle w:val="Bodyromannumerals"/>
              <w:rPr>
                <w:lang w:val="en-US"/>
              </w:rPr>
            </w:pPr>
            <w:r>
              <w:rPr>
                <w:lang w:val="en-US"/>
              </w:rPr>
              <w:t>Total n</w:t>
            </w:r>
            <w:r w:rsidRPr="009A191E">
              <w:rPr>
                <w:lang w:val="en-US"/>
              </w:rPr>
              <w:t>umber of billed metered non-</w:t>
            </w:r>
            <w:r w:rsidR="00A01A72">
              <w:rPr>
                <w:lang w:val="en-US"/>
              </w:rPr>
              <w:t>household</w:t>
            </w:r>
            <w:r w:rsidR="00A01A72" w:rsidRPr="009A191E">
              <w:rPr>
                <w:lang w:val="en-US"/>
              </w:rPr>
              <w:t xml:space="preserve"> </w:t>
            </w:r>
            <w:r w:rsidRPr="009A191E">
              <w:rPr>
                <w:lang w:val="en-US"/>
              </w:rPr>
              <w:t>properties</w:t>
            </w:r>
            <w:r>
              <w:rPr>
                <w:lang w:val="en-US"/>
              </w:rPr>
              <w:t xml:space="preserve"> as at </w:t>
            </w:r>
            <w:r w:rsidR="00D97768">
              <w:rPr>
                <w:lang w:val="en-US"/>
              </w:rPr>
              <w:t>30 June</w:t>
            </w:r>
            <w:r>
              <w:rPr>
                <w:lang w:val="en-US"/>
              </w:rPr>
              <w:t xml:space="preserve"> of the reporting year.</w:t>
            </w:r>
          </w:p>
        </w:tc>
      </w:tr>
      <w:tr w:rsidR="00E74F27" w:rsidRPr="009A191E" w14:paraId="6A5A855C" w14:textId="77777777" w:rsidTr="003C687C">
        <w:tc>
          <w:tcPr>
            <w:tcW w:w="1993" w:type="dxa"/>
            <w:gridSpan w:val="2"/>
            <w:tcBorders>
              <w:top w:val="nil"/>
              <w:left w:val="nil"/>
              <w:bottom w:val="nil"/>
              <w:right w:val="nil"/>
            </w:tcBorders>
          </w:tcPr>
          <w:p w14:paraId="20D1162E" w14:textId="241281F5" w:rsidR="00E74F27" w:rsidRPr="009A191E" w:rsidRDefault="00E74F27" w:rsidP="00E74F27">
            <w:pPr>
              <w:pStyle w:val="Bodyromannumerals"/>
              <w:rPr>
                <w:i/>
                <w:lang w:val="en-US"/>
              </w:rPr>
            </w:pPr>
            <w:r w:rsidRPr="009A191E">
              <w:rPr>
                <w:i/>
                <w:lang w:val="en-US"/>
              </w:rPr>
              <w:t>Processing Rules:</w:t>
            </w:r>
          </w:p>
        </w:tc>
        <w:tc>
          <w:tcPr>
            <w:tcW w:w="5565" w:type="dxa"/>
            <w:gridSpan w:val="3"/>
            <w:tcBorders>
              <w:top w:val="nil"/>
              <w:left w:val="nil"/>
              <w:bottom w:val="nil"/>
              <w:right w:val="nil"/>
            </w:tcBorders>
          </w:tcPr>
          <w:p w14:paraId="104CB8CF" w14:textId="6B40B964" w:rsidR="00E74F27" w:rsidRPr="009A191E" w:rsidRDefault="00E74F27" w:rsidP="00E74F27">
            <w:pPr>
              <w:pStyle w:val="Bodyromannumerals"/>
              <w:rPr>
                <w:lang w:val="en-US"/>
              </w:rPr>
            </w:pPr>
            <w:r>
              <w:rPr>
                <w:lang w:val="en-US"/>
              </w:rPr>
              <w:t xml:space="preserve">Calculated </w:t>
            </w:r>
            <w:r w:rsidR="005A25B2">
              <w:rPr>
                <w:lang w:val="en-US"/>
              </w:rPr>
              <w:t>fi</w:t>
            </w:r>
            <w:r>
              <w:rPr>
                <w:lang w:val="en-US"/>
              </w:rPr>
              <w:t xml:space="preserve">eld: </w:t>
            </w:r>
            <w:r w:rsidR="00344BFE">
              <w:rPr>
                <w:lang w:val="en-US"/>
              </w:rPr>
              <w:t>A1.17 + A1.18 + A1.19</w:t>
            </w:r>
            <w:r>
              <w:rPr>
                <w:lang w:val="en-US"/>
              </w:rPr>
              <w:t xml:space="preserve"> </w:t>
            </w:r>
          </w:p>
        </w:tc>
      </w:tr>
    </w:tbl>
    <w:p w14:paraId="5602A137" w14:textId="77777777" w:rsidR="008E147C" w:rsidRPr="009A191E" w:rsidRDefault="008E147C" w:rsidP="008E147C">
      <w:pPr>
        <w:spacing w:after="160" w:line="259" w:lineRule="auto"/>
        <w:rPr>
          <w:rFonts w:eastAsia="Calibri"/>
          <w:color w:val="000000" w:themeColor="text1"/>
          <w:lang w:val="en-GB"/>
        </w:rPr>
      </w:pPr>
    </w:p>
    <w:p w14:paraId="3DD03B93" w14:textId="1D51835A" w:rsidR="005677DF" w:rsidRPr="0098269A" w:rsidRDefault="008E147C" w:rsidP="0098269A">
      <w:pPr>
        <w:pStyle w:val="Sectionsub-heading"/>
        <w:rPr>
          <w:lang w:val="en-GB"/>
        </w:rPr>
      </w:pPr>
      <w:r w:rsidRPr="009A191E">
        <w:rPr>
          <w:lang w:val="en-GB"/>
        </w:rPr>
        <w:t>BLOCK 5: UNMEASURED NON-</w:t>
      </w:r>
      <w:r w:rsidR="00BB5A05">
        <w:rPr>
          <w:lang w:val="en-GB"/>
        </w:rPr>
        <w:t>HOUSEHOLD</w:t>
      </w:r>
      <w:r w:rsidR="00BB5A05" w:rsidRPr="009A191E">
        <w:rPr>
          <w:lang w:val="en-GB"/>
        </w:rPr>
        <w:t xml:space="preserve"> </w:t>
      </w:r>
      <w:r w:rsidR="0038158C">
        <w:rPr>
          <w:lang w:val="en-GB"/>
        </w:rPr>
        <w:t>–</w:t>
      </w:r>
      <w:r w:rsidRPr="009A191E">
        <w:rPr>
          <w:lang w:val="en-GB"/>
        </w:rPr>
        <w:t xml:space="preserve"> PROPERTIES</w:t>
      </w:r>
    </w:p>
    <w:tbl>
      <w:tblPr>
        <w:tblStyle w:val="TableGrid3"/>
        <w:tblW w:w="7558" w:type="dxa"/>
        <w:tblLook w:val="04A0" w:firstRow="1" w:lastRow="0" w:firstColumn="1" w:lastColumn="0" w:noHBand="0" w:noVBand="1"/>
      </w:tblPr>
      <w:tblGrid>
        <w:gridCol w:w="1050"/>
        <w:gridCol w:w="943"/>
        <w:gridCol w:w="4651"/>
        <w:gridCol w:w="914"/>
      </w:tblGrid>
      <w:tr w:rsidR="008E147C" w:rsidRPr="009A191E" w14:paraId="73D245CE" w14:textId="77777777" w:rsidTr="2C985F9B">
        <w:tc>
          <w:tcPr>
            <w:tcW w:w="1050" w:type="dxa"/>
          </w:tcPr>
          <w:p w14:paraId="13CB0C92" w14:textId="77777777" w:rsidR="008E147C" w:rsidRPr="005E2D7E" w:rsidRDefault="008E147C" w:rsidP="005E2D7E">
            <w:pPr>
              <w:pStyle w:val="Bodyromannumerals"/>
              <w:rPr>
                <w:b/>
                <w:bCs/>
                <w:lang w:val="en-US"/>
              </w:rPr>
            </w:pPr>
            <w:r w:rsidRPr="005E2D7E">
              <w:rPr>
                <w:b/>
                <w:bCs/>
                <w:lang w:val="en-US"/>
              </w:rPr>
              <w:t>A1.36</w:t>
            </w:r>
          </w:p>
        </w:tc>
        <w:tc>
          <w:tcPr>
            <w:tcW w:w="5594" w:type="dxa"/>
            <w:gridSpan w:val="2"/>
          </w:tcPr>
          <w:p w14:paraId="6FAE0B09" w14:textId="77777777" w:rsidR="008E147C" w:rsidRPr="005E2D7E" w:rsidRDefault="008E147C" w:rsidP="005E2D7E">
            <w:pPr>
              <w:pStyle w:val="Bodyromannumerals"/>
              <w:rPr>
                <w:b/>
                <w:bCs/>
                <w:lang w:val="en-US"/>
              </w:rPr>
            </w:pPr>
            <w:r w:rsidRPr="005E2D7E">
              <w:rPr>
                <w:b/>
                <w:bCs/>
                <w:lang w:val="en-US"/>
              </w:rPr>
              <w:t>Total number of billed properties</w:t>
            </w:r>
          </w:p>
        </w:tc>
        <w:tc>
          <w:tcPr>
            <w:tcW w:w="914" w:type="dxa"/>
          </w:tcPr>
          <w:p w14:paraId="02EA5BD9" w14:textId="77777777" w:rsidR="008E147C" w:rsidRPr="005E2D7E" w:rsidRDefault="008E147C" w:rsidP="005E2D7E">
            <w:pPr>
              <w:pStyle w:val="Bodyromannumerals"/>
              <w:rPr>
                <w:b/>
                <w:bCs/>
                <w:lang w:val="en-US"/>
              </w:rPr>
            </w:pPr>
            <w:r w:rsidRPr="005E2D7E">
              <w:rPr>
                <w:b/>
                <w:bCs/>
                <w:lang w:val="en-US"/>
              </w:rPr>
              <w:t>Nr.</w:t>
            </w:r>
          </w:p>
        </w:tc>
      </w:tr>
      <w:tr w:rsidR="008E147C" w:rsidRPr="009A191E" w14:paraId="1C9A6C42" w14:textId="77777777" w:rsidTr="2C985F9B">
        <w:tc>
          <w:tcPr>
            <w:tcW w:w="1993" w:type="dxa"/>
            <w:gridSpan w:val="2"/>
            <w:tcBorders>
              <w:left w:val="single" w:sz="4" w:space="0" w:color="FFFFFF" w:themeColor="background2"/>
              <w:bottom w:val="single" w:sz="4" w:space="0" w:color="FFFFFF" w:themeColor="background2"/>
              <w:right w:val="single" w:sz="4" w:space="0" w:color="FFFFFF" w:themeColor="background2"/>
            </w:tcBorders>
          </w:tcPr>
          <w:p w14:paraId="64CCF5F5" w14:textId="77777777" w:rsidR="008E147C" w:rsidRPr="009A191E" w:rsidRDefault="008E147C" w:rsidP="005E2D7E">
            <w:pPr>
              <w:pStyle w:val="Bodyromannumerals"/>
              <w:rPr>
                <w:i/>
                <w:lang w:val="en-US"/>
              </w:rPr>
            </w:pPr>
            <w:r w:rsidRPr="009A191E">
              <w:rPr>
                <w:i/>
                <w:lang w:val="en-US"/>
              </w:rPr>
              <w:t>Definition:</w:t>
            </w:r>
          </w:p>
        </w:tc>
        <w:tc>
          <w:tcPr>
            <w:tcW w:w="5565" w:type="dxa"/>
            <w:gridSpan w:val="2"/>
            <w:tcBorders>
              <w:left w:val="single" w:sz="4" w:space="0" w:color="FFFFFF" w:themeColor="background2"/>
              <w:bottom w:val="single" w:sz="4" w:space="0" w:color="FFFFFF" w:themeColor="background2"/>
              <w:right w:val="single" w:sz="4" w:space="0" w:color="FFFFFF" w:themeColor="background2"/>
            </w:tcBorders>
          </w:tcPr>
          <w:p w14:paraId="45628F3B" w14:textId="1D61C264" w:rsidR="008E147C" w:rsidRDefault="008E147C" w:rsidP="005E2D7E">
            <w:pPr>
              <w:pStyle w:val="Bodyromannumerals"/>
              <w:rPr>
                <w:lang w:val="en-US"/>
              </w:rPr>
            </w:pPr>
            <w:r w:rsidRPr="009A191E">
              <w:rPr>
                <w:lang w:val="en-US"/>
              </w:rPr>
              <w:t>Number of billed unmeasured non-</w:t>
            </w:r>
            <w:r w:rsidR="00BB5A05">
              <w:rPr>
                <w:lang w:val="en-US"/>
              </w:rPr>
              <w:t>household</w:t>
            </w:r>
            <w:r w:rsidRPr="009A191E">
              <w:rPr>
                <w:lang w:val="en-US"/>
              </w:rPr>
              <w:t xml:space="preserve"> properties as at </w:t>
            </w:r>
            <w:r w:rsidR="00D97768">
              <w:rPr>
                <w:lang w:val="en-US"/>
              </w:rPr>
              <w:t>30 June</w:t>
            </w:r>
            <w:r w:rsidRPr="009A191E">
              <w:rPr>
                <w:lang w:val="en-US"/>
              </w:rPr>
              <w:t xml:space="preserve"> of the reporting year.</w:t>
            </w:r>
          </w:p>
          <w:p w14:paraId="0311CE93" w14:textId="3FF9C655" w:rsidR="005E639C" w:rsidRDefault="003C6EA5" w:rsidP="005E2D7E">
            <w:pPr>
              <w:pStyle w:val="Bodyromannumerals"/>
              <w:rPr>
                <w:lang w:val="en-US"/>
              </w:rPr>
            </w:pPr>
            <w:r>
              <w:rPr>
                <w:lang w:val="en-US"/>
              </w:rPr>
              <w:t>For example, i</w:t>
            </w:r>
            <w:r w:rsidR="00AA5D5C">
              <w:rPr>
                <w:lang w:val="en-US"/>
              </w:rPr>
              <w:t>nclude</w:t>
            </w:r>
            <w:r w:rsidR="005E639C">
              <w:rPr>
                <w:lang w:val="en-US"/>
              </w:rPr>
              <w:t>s</w:t>
            </w:r>
            <w:r w:rsidR="00AA5D5C">
              <w:rPr>
                <w:lang w:val="en-US"/>
              </w:rPr>
              <w:t xml:space="preserve"> customers</w:t>
            </w:r>
            <w:r w:rsidR="005E639C">
              <w:rPr>
                <w:lang w:val="en-US"/>
              </w:rPr>
              <w:t>:</w:t>
            </w:r>
          </w:p>
          <w:p w14:paraId="5D4B06FD" w14:textId="7E3EA375" w:rsidR="005E639C" w:rsidRDefault="005E639C" w:rsidP="00871522">
            <w:pPr>
              <w:pStyle w:val="Bodyromannumerals"/>
              <w:numPr>
                <w:ilvl w:val="0"/>
                <w:numId w:val="20"/>
              </w:numPr>
              <w:rPr>
                <w:lang w:val="en-US"/>
              </w:rPr>
            </w:pPr>
            <w:r>
              <w:rPr>
                <w:lang w:val="en-US"/>
              </w:rPr>
              <w:t>paying charges through their general rates</w:t>
            </w:r>
            <w:r w:rsidR="003C6EA5">
              <w:rPr>
                <w:lang w:val="en-US"/>
              </w:rPr>
              <w:t>;</w:t>
            </w:r>
          </w:p>
          <w:p w14:paraId="48325C69" w14:textId="05B1F7B3" w:rsidR="005E639C" w:rsidRDefault="003C6EA5" w:rsidP="00871522">
            <w:pPr>
              <w:pStyle w:val="Bodyromannumerals"/>
              <w:numPr>
                <w:ilvl w:val="0"/>
                <w:numId w:val="20"/>
              </w:numPr>
              <w:rPr>
                <w:lang w:val="en-US"/>
              </w:rPr>
            </w:pPr>
            <w:r>
              <w:rPr>
                <w:lang w:val="en-US"/>
              </w:rPr>
              <w:t xml:space="preserve">paying charges based on their </w:t>
            </w:r>
            <w:proofErr w:type="spellStart"/>
            <w:r>
              <w:rPr>
                <w:lang w:val="en-US"/>
              </w:rPr>
              <w:t>rateable</w:t>
            </w:r>
            <w:proofErr w:type="spellEnd"/>
            <w:r>
              <w:rPr>
                <w:lang w:val="en-US"/>
              </w:rPr>
              <w:t xml:space="preserve"> value;</w:t>
            </w:r>
          </w:p>
          <w:p w14:paraId="67459184" w14:textId="77777777" w:rsidR="00AA5D5C" w:rsidRDefault="003C6EA5" w:rsidP="00871522">
            <w:pPr>
              <w:pStyle w:val="Bodyromannumerals"/>
              <w:numPr>
                <w:ilvl w:val="0"/>
                <w:numId w:val="20"/>
              </w:numPr>
              <w:rPr>
                <w:lang w:val="en-US"/>
              </w:rPr>
            </w:pPr>
            <w:r>
              <w:rPr>
                <w:lang w:val="en-US"/>
              </w:rPr>
              <w:t xml:space="preserve">that are </w:t>
            </w:r>
            <w:r w:rsidR="00AA5D5C">
              <w:rPr>
                <w:lang w:val="en-US"/>
              </w:rPr>
              <w:t xml:space="preserve">charged based </w:t>
            </w:r>
            <w:r w:rsidR="005E639C">
              <w:rPr>
                <w:lang w:val="en-US"/>
              </w:rPr>
              <w:t xml:space="preserve">on an assessment of their water use (e.g. based on the number of toilets). </w:t>
            </w:r>
          </w:p>
          <w:p w14:paraId="2604AE2B" w14:textId="2FC3CEF5" w:rsidR="00F40C83" w:rsidRPr="00A10CA2" w:rsidRDefault="00F40C83" w:rsidP="00377E7D">
            <w:pPr>
              <w:pStyle w:val="Bodyromannumerals"/>
              <w:rPr>
                <w:lang w:val="en-US"/>
              </w:rPr>
            </w:pPr>
            <w:r>
              <w:rPr>
                <w:lang w:val="en-US"/>
              </w:rPr>
              <w:t>Any unmeasured non-household customer that is connected and pays a charge should be included in this line.</w:t>
            </w:r>
          </w:p>
        </w:tc>
      </w:tr>
      <w:tr w:rsidR="008E147C" w:rsidRPr="009A191E" w14:paraId="313B49AC" w14:textId="77777777" w:rsidTr="2C985F9B">
        <w:tc>
          <w:tcPr>
            <w:tcW w:w="199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B37E223" w14:textId="77777777" w:rsidR="008E147C" w:rsidRPr="009A191E" w:rsidRDefault="008E147C" w:rsidP="005E2D7E">
            <w:pPr>
              <w:pStyle w:val="Bodyromannumerals"/>
              <w:rPr>
                <w:i/>
                <w:lang w:val="en-US"/>
              </w:rPr>
            </w:pPr>
            <w:r w:rsidRPr="009A191E">
              <w:rPr>
                <w:i/>
                <w:lang w:val="en-US"/>
              </w:rPr>
              <w:t>Processing Rules:</w:t>
            </w:r>
          </w:p>
        </w:tc>
        <w:tc>
          <w:tcPr>
            <w:tcW w:w="556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9EB4177" w14:textId="77777777" w:rsidR="008E147C" w:rsidRPr="009A191E" w:rsidRDefault="008E147C" w:rsidP="005E2D7E">
            <w:pPr>
              <w:pStyle w:val="Bodyromannumerals"/>
              <w:rPr>
                <w:lang w:val="en-US"/>
              </w:rPr>
            </w:pPr>
            <w:r w:rsidRPr="009A191E">
              <w:rPr>
                <w:lang w:val="en-US"/>
              </w:rPr>
              <w:t>Input field</w:t>
            </w:r>
          </w:p>
        </w:tc>
      </w:tr>
    </w:tbl>
    <w:p w14:paraId="2F7022EA" w14:textId="77777777" w:rsidR="00BD7EB3" w:rsidRDefault="00BD7EB3">
      <w:r>
        <w:br w:type="page"/>
      </w:r>
    </w:p>
    <w:tbl>
      <w:tblPr>
        <w:tblStyle w:val="TableGrid3"/>
        <w:tblW w:w="7558" w:type="dxa"/>
        <w:tblLook w:val="04A0" w:firstRow="1" w:lastRow="0" w:firstColumn="1" w:lastColumn="0" w:noHBand="0" w:noVBand="1"/>
      </w:tblPr>
      <w:tblGrid>
        <w:gridCol w:w="1050"/>
        <w:gridCol w:w="943"/>
        <w:gridCol w:w="4651"/>
        <w:gridCol w:w="914"/>
      </w:tblGrid>
      <w:tr w:rsidR="008E147C" w:rsidRPr="009A191E" w14:paraId="147DBB97" w14:textId="77777777" w:rsidTr="2C985F9B">
        <w:tc>
          <w:tcPr>
            <w:tcW w:w="1050" w:type="dxa"/>
          </w:tcPr>
          <w:p w14:paraId="4A862459" w14:textId="706A0C8B" w:rsidR="008E147C" w:rsidRPr="005E2D7E" w:rsidRDefault="008E147C" w:rsidP="005E2D7E">
            <w:pPr>
              <w:pStyle w:val="Bodyromannumerals"/>
              <w:rPr>
                <w:b/>
                <w:bCs/>
                <w:lang w:val="en-US"/>
              </w:rPr>
            </w:pPr>
            <w:r w:rsidRPr="005E2D7E">
              <w:rPr>
                <w:b/>
                <w:bCs/>
                <w:lang w:val="en-US"/>
              </w:rPr>
              <w:lastRenderedPageBreak/>
              <w:t>A1.37</w:t>
            </w:r>
          </w:p>
        </w:tc>
        <w:tc>
          <w:tcPr>
            <w:tcW w:w="5594" w:type="dxa"/>
            <w:gridSpan w:val="2"/>
          </w:tcPr>
          <w:p w14:paraId="172D5482" w14:textId="2657AEB5" w:rsidR="008E147C" w:rsidRPr="005E2D7E" w:rsidRDefault="008E147C" w:rsidP="005E2D7E">
            <w:pPr>
              <w:pStyle w:val="Bodyromannumerals"/>
              <w:rPr>
                <w:b/>
                <w:bCs/>
                <w:lang w:val="en-US"/>
              </w:rPr>
            </w:pPr>
            <w:r w:rsidRPr="005E2D7E">
              <w:rPr>
                <w:b/>
                <w:bCs/>
                <w:lang w:val="en-US"/>
              </w:rPr>
              <w:t xml:space="preserve">Number of </w:t>
            </w:r>
            <w:r w:rsidR="002627F1">
              <w:rPr>
                <w:b/>
                <w:bCs/>
                <w:lang w:val="en-US"/>
              </w:rPr>
              <w:t>unmeasured connected non-</w:t>
            </w:r>
            <w:r w:rsidR="00BB5A05">
              <w:rPr>
                <w:b/>
                <w:bCs/>
                <w:lang w:val="en-US"/>
              </w:rPr>
              <w:t>household</w:t>
            </w:r>
            <w:r w:rsidR="002627F1">
              <w:rPr>
                <w:b/>
                <w:bCs/>
                <w:lang w:val="en-US"/>
              </w:rPr>
              <w:t xml:space="preserve"> properties that are not charge</w:t>
            </w:r>
            <w:r w:rsidR="009B5ED6">
              <w:rPr>
                <w:b/>
                <w:bCs/>
                <w:lang w:val="en-US"/>
              </w:rPr>
              <w:t>d</w:t>
            </w:r>
          </w:p>
        </w:tc>
        <w:tc>
          <w:tcPr>
            <w:tcW w:w="914" w:type="dxa"/>
          </w:tcPr>
          <w:p w14:paraId="410FC177" w14:textId="77777777" w:rsidR="008E147C" w:rsidRPr="005E2D7E" w:rsidRDefault="008E147C" w:rsidP="005E2D7E">
            <w:pPr>
              <w:pStyle w:val="Bodyromannumerals"/>
              <w:rPr>
                <w:b/>
                <w:bCs/>
                <w:lang w:val="en-US"/>
              </w:rPr>
            </w:pPr>
            <w:r w:rsidRPr="005E2D7E">
              <w:rPr>
                <w:b/>
                <w:bCs/>
                <w:lang w:val="en-US"/>
              </w:rPr>
              <w:t>Nr.</w:t>
            </w:r>
          </w:p>
        </w:tc>
      </w:tr>
      <w:tr w:rsidR="008E147C" w:rsidRPr="009A191E" w14:paraId="39515B58" w14:textId="77777777" w:rsidTr="2C985F9B">
        <w:tc>
          <w:tcPr>
            <w:tcW w:w="1993" w:type="dxa"/>
            <w:gridSpan w:val="2"/>
            <w:tcBorders>
              <w:left w:val="single" w:sz="4" w:space="0" w:color="FFFFFF" w:themeColor="background2"/>
              <w:bottom w:val="single" w:sz="4" w:space="0" w:color="FFFFFF" w:themeColor="background2"/>
              <w:right w:val="single" w:sz="4" w:space="0" w:color="FFFFFF" w:themeColor="background2"/>
            </w:tcBorders>
          </w:tcPr>
          <w:p w14:paraId="36923CAA" w14:textId="77777777" w:rsidR="008E147C" w:rsidRPr="009A191E" w:rsidRDefault="008E147C" w:rsidP="005E2D7E">
            <w:pPr>
              <w:pStyle w:val="Bodyromannumerals"/>
              <w:rPr>
                <w:i/>
                <w:lang w:val="en-US"/>
              </w:rPr>
            </w:pPr>
            <w:r w:rsidRPr="009A191E">
              <w:rPr>
                <w:i/>
                <w:lang w:val="en-US"/>
              </w:rPr>
              <w:t>Definition:</w:t>
            </w:r>
          </w:p>
        </w:tc>
        <w:tc>
          <w:tcPr>
            <w:tcW w:w="5565" w:type="dxa"/>
            <w:gridSpan w:val="2"/>
            <w:tcBorders>
              <w:left w:val="single" w:sz="4" w:space="0" w:color="FFFFFF" w:themeColor="background2"/>
              <w:bottom w:val="single" w:sz="4" w:space="0" w:color="FFFFFF" w:themeColor="background2"/>
              <w:right w:val="single" w:sz="4" w:space="0" w:color="FFFFFF" w:themeColor="background2"/>
            </w:tcBorders>
          </w:tcPr>
          <w:p w14:paraId="232E1110" w14:textId="4F3DC4B0" w:rsidR="008E147C" w:rsidRPr="009A191E" w:rsidRDefault="008E147C" w:rsidP="005E2D7E">
            <w:pPr>
              <w:pStyle w:val="Bodyromannumerals"/>
              <w:rPr>
                <w:lang w:val="en-US"/>
              </w:rPr>
            </w:pPr>
            <w:r w:rsidRPr="009A191E">
              <w:rPr>
                <w:lang w:val="en-US"/>
              </w:rPr>
              <w:t>Number of unmeasured non-</w:t>
            </w:r>
            <w:r w:rsidR="00BB5A05">
              <w:rPr>
                <w:lang w:val="en-US"/>
              </w:rPr>
              <w:t>household</w:t>
            </w:r>
            <w:r w:rsidRPr="009A191E">
              <w:rPr>
                <w:lang w:val="en-US"/>
              </w:rPr>
              <w:t xml:space="preserve"> properties as at </w:t>
            </w:r>
            <w:r w:rsidR="00D97768">
              <w:rPr>
                <w:lang w:val="en-US"/>
              </w:rPr>
              <w:t>30 June</w:t>
            </w:r>
            <w:r w:rsidRPr="009A191E">
              <w:rPr>
                <w:lang w:val="en-US"/>
              </w:rPr>
              <w:t xml:space="preserve"> of the reporting year connected to the distribution system but </w:t>
            </w:r>
            <w:r w:rsidR="005930BD">
              <w:rPr>
                <w:lang w:val="en-US"/>
              </w:rPr>
              <w:t>are not charged for the service</w:t>
            </w:r>
            <w:r w:rsidR="009B5ED6">
              <w:rPr>
                <w:lang w:val="en-US"/>
              </w:rPr>
              <w:t>. This could be because they are</w:t>
            </w:r>
            <w:r w:rsidR="00A54B39">
              <w:rPr>
                <w:lang w:val="en-US"/>
              </w:rPr>
              <w:t xml:space="preserve"> </w:t>
            </w:r>
            <w:r w:rsidR="00F07E5E">
              <w:rPr>
                <w:lang w:val="en-US"/>
              </w:rPr>
              <w:t xml:space="preserve">exempt from charges or are </w:t>
            </w:r>
            <w:r w:rsidR="00A36773">
              <w:rPr>
                <w:lang w:val="en-US"/>
              </w:rPr>
              <w:t>vacant</w:t>
            </w:r>
            <w:r w:rsidR="00F07E5E">
              <w:rPr>
                <w:lang w:val="en-US"/>
              </w:rPr>
              <w:t>/void properties</w:t>
            </w:r>
            <w:r w:rsidRPr="009A191E">
              <w:rPr>
                <w:lang w:val="en-US"/>
              </w:rPr>
              <w:t>.</w:t>
            </w:r>
            <w:r w:rsidR="00FD6EE3">
              <w:rPr>
                <w:lang w:val="en-US"/>
              </w:rPr>
              <w:t xml:space="preserve"> Any vacant</w:t>
            </w:r>
            <w:r w:rsidR="00F1534D">
              <w:rPr>
                <w:lang w:val="en-US"/>
              </w:rPr>
              <w:t>/void</w:t>
            </w:r>
            <w:r w:rsidR="00FD6EE3">
              <w:rPr>
                <w:lang w:val="en-US"/>
              </w:rPr>
              <w:t xml:space="preserve"> </w:t>
            </w:r>
            <w:r w:rsidR="005930BD">
              <w:rPr>
                <w:lang w:val="en-US"/>
              </w:rPr>
              <w:t xml:space="preserve">unmeasured non-household </w:t>
            </w:r>
            <w:r w:rsidR="00FD6EE3">
              <w:rPr>
                <w:lang w:val="en-US"/>
              </w:rPr>
              <w:t xml:space="preserve">properties that </w:t>
            </w:r>
            <w:r w:rsidR="005930BD">
              <w:rPr>
                <w:lang w:val="en-US"/>
              </w:rPr>
              <w:t xml:space="preserve">pay </w:t>
            </w:r>
            <w:r w:rsidR="00FD6EE3">
              <w:rPr>
                <w:lang w:val="en-US"/>
              </w:rPr>
              <w:t>a charge should be included in A1.</w:t>
            </w:r>
            <w:r w:rsidR="00A54B39">
              <w:rPr>
                <w:lang w:val="en-US"/>
              </w:rPr>
              <w:t>36</w:t>
            </w:r>
            <w:r w:rsidR="00FD6EE3">
              <w:rPr>
                <w:lang w:val="en-US"/>
              </w:rPr>
              <w:t>.</w:t>
            </w:r>
          </w:p>
        </w:tc>
      </w:tr>
      <w:tr w:rsidR="008E147C" w:rsidRPr="009A191E" w14:paraId="796F7405" w14:textId="77777777" w:rsidTr="2C985F9B">
        <w:tc>
          <w:tcPr>
            <w:tcW w:w="199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12A1238" w14:textId="77777777" w:rsidR="008E147C" w:rsidRPr="009A191E" w:rsidRDefault="008E147C" w:rsidP="005E2D7E">
            <w:pPr>
              <w:pStyle w:val="Bodyromannumerals"/>
              <w:rPr>
                <w:i/>
                <w:lang w:val="en-US"/>
              </w:rPr>
            </w:pPr>
            <w:r w:rsidRPr="009A191E">
              <w:rPr>
                <w:i/>
                <w:lang w:val="en-US"/>
              </w:rPr>
              <w:t>Processing Rules:</w:t>
            </w:r>
          </w:p>
        </w:tc>
        <w:tc>
          <w:tcPr>
            <w:tcW w:w="556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6099A40" w14:textId="77777777" w:rsidR="008E147C" w:rsidRPr="009A191E" w:rsidRDefault="008E147C" w:rsidP="005E2D7E">
            <w:pPr>
              <w:pStyle w:val="Bodyromannumerals"/>
              <w:rPr>
                <w:lang w:val="en-US"/>
              </w:rPr>
            </w:pPr>
            <w:r w:rsidRPr="009A191E">
              <w:rPr>
                <w:lang w:val="en-US"/>
              </w:rPr>
              <w:t>Input field</w:t>
            </w:r>
          </w:p>
        </w:tc>
      </w:tr>
    </w:tbl>
    <w:p w14:paraId="277B9C83" w14:textId="77777777" w:rsidR="008E147C" w:rsidRPr="009A191E" w:rsidRDefault="008E147C" w:rsidP="005E2D7E">
      <w:pPr>
        <w:pStyle w:val="Sectionsub-heading"/>
        <w:rPr>
          <w:lang w:val="en-GB"/>
        </w:rPr>
      </w:pPr>
      <w:r w:rsidRPr="009A191E">
        <w:rPr>
          <w:lang w:val="en-GB"/>
        </w:rPr>
        <w:t>BLOCK 6: SUMMARY – PROPERTIES</w:t>
      </w:r>
    </w:p>
    <w:tbl>
      <w:tblPr>
        <w:tblStyle w:val="TableGrid3"/>
        <w:tblW w:w="7558" w:type="dxa"/>
        <w:tblLayout w:type="fixed"/>
        <w:tblLook w:val="04A0" w:firstRow="1" w:lastRow="0" w:firstColumn="1" w:lastColumn="0" w:noHBand="0" w:noVBand="1"/>
      </w:tblPr>
      <w:tblGrid>
        <w:gridCol w:w="1005"/>
        <w:gridCol w:w="975"/>
        <w:gridCol w:w="63"/>
        <w:gridCol w:w="3718"/>
        <w:gridCol w:w="1797"/>
      </w:tblGrid>
      <w:tr w:rsidR="008E147C" w:rsidRPr="009A191E" w14:paraId="4B39DC9A" w14:textId="77777777" w:rsidTr="2C985F9B">
        <w:tc>
          <w:tcPr>
            <w:tcW w:w="1005" w:type="dxa"/>
          </w:tcPr>
          <w:p w14:paraId="4C301A04" w14:textId="77777777" w:rsidR="008E147C" w:rsidRPr="00B34EFB" w:rsidRDefault="008E147C" w:rsidP="00B34EFB">
            <w:pPr>
              <w:pStyle w:val="Bodyromannumerals"/>
              <w:rPr>
                <w:b/>
                <w:bCs/>
                <w:lang w:val="en-US"/>
              </w:rPr>
            </w:pPr>
            <w:r w:rsidRPr="00B34EFB">
              <w:rPr>
                <w:b/>
                <w:bCs/>
                <w:lang w:val="en-US"/>
              </w:rPr>
              <w:t>A1.38</w:t>
            </w:r>
          </w:p>
        </w:tc>
        <w:tc>
          <w:tcPr>
            <w:tcW w:w="4756" w:type="dxa"/>
            <w:gridSpan w:val="3"/>
          </w:tcPr>
          <w:p w14:paraId="6C62EFC8" w14:textId="77777777" w:rsidR="008E147C" w:rsidRPr="00B34EFB" w:rsidRDefault="008E147C" w:rsidP="00B34EFB">
            <w:pPr>
              <w:pStyle w:val="Bodyromannumerals"/>
              <w:rPr>
                <w:b/>
                <w:bCs/>
                <w:lang w:val="en-US"/>
              </w:rPr>
            </w:pPr>
            <w:r w:rsidRPr="00B34EFB">
              <w:rPr>
                <w:b/>
                <w:bCs/>
                <w:lang w:val="en-US"/>
              </w:rPr>
              <w:t>Total connected billed properties</w:t>
            </w:r>
          </w:p>
        </w:tc>
        <w:tc>
          <w:tcPr>
            <w:tcW w:w="1797" w:type="dxa"/>
          </w:tcPr>
          <w:p w14:paraId="2A95ADD0" w14:textId="77777777" w:rsidR="008E147C" w:rsidRPr="00B34EFB" w:rsidRDefault="008E147C" w:rsidP="00B34EFB">
            <w:pPr>
              <w:pStyle w:val="Bodyromannumerals"/>
              <w:rPr>
                <w:b/>
                <w:bCs/>
                <w:lang w:val="en-US"/>
              </w:rPr>
            </w:pPr>
            <w:r w:rsidRPr="00B34EFB">
              <w:rPr>
                <w:b/>
                <w:bCs/>
                <w:lang w:val="en-US"/>
              </w:rPr>
              <w:t>Nr.</w:t>
            </w:r>
          </w:p>
        </w:tc>
      </w:tr>
      <w:tr w:rsidR="008E147C" w:rsidRPr="009A191E" w14:paraId="57CC86BF" w14:textId="77777777" w:rsidTr="2C985F9B">
        <w:tc>
          <w:tcPr>
            <w:tcW w:w="1980" w:type="dxa"/>
            <w:gridSpan w:val="2"/>
            <w:tcBorders>
              <w:left w:val="single" w:sz="4" w:space="0" w:color="FFFFFF" w:themeColor="background2"/>
              <w:bottom w:val="single" w:sz="4" w:space="0" w:color="FFFFFF" w:themeColor="background2"/>
              <w:right w:val="single" w:sz="4" w:space="0" w:color="FFFFFF" w:themeColor="background2"/>
            </w:tcBorders>
          </w:tcPr>
          <w:p w14:paraId="05D0EA33" w14:textId="77777777" w:rsidR="008E147C" w:rsidRPr="009A191E" w:rsidRDefault="008E147C" w:rsidP="00B34EFB">
            <w:pPr>
              <w:pStyle w:val="Bodyromannumerals"/>
              <w:rPr>
                <w:i/>
                <w:lang w:val="en-US"/>
              </w:rPr>
            </w:pPr>
            <w:r w:rsidRPr="009A191E">
              <w:rPr>
                <w:i/>
                <w:lang w:val="en-US"/>
              </w:rPr>
              <w:t>Definition:</w:t>
            </w:r>
          </w:p>
        </w:tc>
        <w:tc>
          <w:tcPr>
            <w:tcW w:w="5578" w:type="dxa"/>
            <w:gridSpan w:val="3"/>
            <w:tcBorders>
              <w:left w:val="single" w:sz="4" w:space="0" w:color="FFFFFF" w:themeColor="background2"/>
              <w:bottom w:val="single" w:sz="4" w:space="0" w:color="FFFFFF" w:themeColor="background2"/>
              <w:right w:val="single" w:sz="4" w:space="0" w:color="FFFFFF" w:themeColor="background2"/>
            </w:tcBorders>
          </w:tcPr>
          <w:p w14:paraId="3AB5495F" w14:textId="0FAF6ADC" w:rsidR="008E147C" w:rsidRPr="009A191E" w:rsidRDefault="008E147C" w:rsidP="00B34EFB">
            <w:pPr>
              <w:pStyle w:val="Bodyromannumerals"/>
              <w:rPr>
                <w:lang w:val="en-US"/>
              </w:rPr>
            </w:pPr>
            <w:r w:rsidRPr="009A191E">
              <w:rPr>
                <w:lang w:val="en-US"/>
              </w:rPr>
              <w:t xml:space="preserve">Number of </w:t>
            </w:r>
            <w:r w:rsidR="00BB5A05">
              <w:rPr>
                <w:lang w:val="en-US"/>
              </w:rPr>
              <w:t>household</w:t>
            </w:r>
            <w:r w:rsidRPr="009A191E">
              <w:rPr>
                <w:lang w:val="en-US"/>
              </w:rPr>
              <w:t xml:space="preserve"> and non-</w:t>
            </w:r>
            <w:r w:rsidR="00BB5A05">
              <w:rPr>
                <w:lang w:val="en-US"/>
              </w:rPr>
              <w:t>household</w:t>
            </w:r>
            <w:r w:rsidRPr="009A191E">
              <w:rPr>
                <w:lang w:val="en-US"/>
              </w:rPr>
              <w:t xml:space="preserve"> properties billed for water within the supply area as at </w:t>
            </w:r>
            <w:r w:rsidR="00D97768">
              <w:rPr>
                <w:lang w:val="en-US"/>
              </w:rPr>
              <w:t>30 June</w:t>
            </w:r>
            <w:r w:rsidRPr="009A191E">
              <w:rPr>
                <w:lang w:val="en-US"/>
              </w:rPr>
              <w:t xml:space="preserve"> of the reporting year.</w:t>
            </w:r>
          </w:p>
        </w:tc>
      </w:tr>
      <w:tr w:rsidR="008E147C" w:rsidRPr="009A191E" w14:paraId="1EBE6C99" w14:textId="77777777" w:rsidTr="2C985F9B">
        <w:tc>
          <w:tcPr>
            <w:tcW w:w="198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C5A20EE" w14:textId="77777777" w:rsidR="008E147C" w:rsidRPr="009A191E" w:rsidRDefault="008E147C" w:rsidP="00B34EFB">
            <w:pPr>
              <w:pStyle w:val="Bodyromannumerals"/>
              <w:rPr>
                <w:i/>
                <w:lang w:val="en-US"/>
              </w:rPr>
            </w:pPr>
            <w:r w:rsidRPr="009A191E">
              <w:rPr>
                <w:i/>
                <w:lang w:val="en-US"/>
              </w:rPr>
              <w:t>Processing Rules:</w:t>
            </w:r>
          </w:p>
        </w:tc>
        <w:tc>
          <w:tcPr>
            <w:tcW w:w="5578"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8AE389C" w14:textId="77777777" w:rsidR="008E147C" w:rsidRPr="009A191E" w:rsidRDefault="008E147C" w:rsidP="00B34EFB">
            <w:pPr>
              <w:pStyle w:val="Bodyromannumerals"/>
              <w:rPr>
                <w:lang w:val="en-US"/>
              </w:rPr>
            </w:pPr>
            <w:r w:rsidRPr="009A191E">
              <w:rPr>
                <w:lang w:val="en-US"/>
              </w:rPr>
              <w:t>Calculated field: A1.1+A1.4+A1.15+A1.36</w:t>
            </w:r>
          </w:p>
        </w:tc>
      </w:tr>
      <w:tr w:rsidR="008E147C" w:rsidRPr="009A191E" w14:paraId="26D2EFF0" w14:textId="77777777" w:rsidTr="2C985F9B">
        <w:tc>
          <w:tcPr>
            <w:tcW w:w="1005" w:type="dxa"/>
          </w:tcPr>
          <w:p w14:paraId="0A58FEB4" w14:textId="788A3AF5" w:rsidR="008E147C" w:rsidRPr="00B34EFB" w:rsidRDefault="008E147C" w:rsidP="00B34EFB">
            <w:pPr>
              <w:pStyle w:val="Bodyromannumerals"/>
              <w:rPr>
                <w:b/>
                <w:bCs/>
                <w:lang w:val="en-US"/>
              </w:rPr>
            </w:pPr>
            <w:r w:rsidRPr="00B34EFB">
              <w:rPr>
                <w:b/>
                <w:bCs/>
                <w:lang w:val="en-US"/>
              </w:rPr>
              <w:t>A1.39</w:t>
            </w:r>
          </w:p>
        </w:tc>
        <w:tc>
          <w:tcPr>
            <w:tcW w:w="4756" w:type="dxa"/>
            <w:gridSpan w:val="3"/>
          </w:tcPr>
          <w:p w14:paraId="1330000F" w14:textId="77777777" w:rsidR="008E147C" w:rsidRPr="00B34EFB" w:rsidRDefault="008E147C" w:rsidP="00B34EFB">
            <w:pPr>
              <w:pStyle w:val="Bodyromannumerals"/>
              <w:rPr>
                <w:b/>
                <w:bCs/>
                <w:lang w:val="en-US"/>
              </w:rPr>
            </w:pPr>
            <w:r w:rsidRPr="00B34EFB">
              <w:rPr>
                <w:b/>
                <w:bCs/>
                <w:lang w:val="en-US"/>
              </w:rPr>
              <w:t>Total connected properties</w:t>
            </w:r>
          </w:p>
        </w:tc>
        <w:tc>
          <w:tcPr>
            <w:tcW w:w="1797" w:type="dxa"/>
          </w:tcPr>
          <w:p w14:paraId="337EE98F" w14:textId="77777777" w:rsidR="008E147C" w:rsidRPr="00B34EFB" w:rsidRDefault="008E147C" w:rsidP="00B34EFB">
            <w:pPr>
              <w:pStyle w:val="Bodyromannumerals"/>
              <w:rPr>
                <w:b/>
                <w:bCs/>
                <w:lang w:val="en-US"/>
              </w:rPr>
            </w:pPr>
            <w:r w:rsidRPr="00B34EFB">
              <w:rPr>
                <w:b/>
                <w:bCs/>
                <w:lang w:val="en-US"/>
              </w:rPr>
              <w:t>Nr.</w:t>
            </w:r>
          </w:p>
        </w:tc>
      </w:tr>
      <w:tr w:rsidR="008E147C" w:rsidRPr="009A191E" w14:paraId="0E4CD411" w14:textId="77777777" w:rsidTr="2C985F9B">
        <w:tc>
          <w:tcPr>
            <w:tcW w:w="1980" w:type="dxa"/>
            <w:gridSpan w:val="2"/>
            <w:tcBorders>
              <w:left w:val="single" w:sz="4" w:space="0" w:color="FFFFFF" w:themeColor="background2"/>
              <w:bottom w:val="single" w:sz="4" w:space="0" w:color="FFFFFF" w:themeColor="background2"/>
              <w:right w:val="single" w:sz="4" w:space="0" w:color="FFFFFF" w:themeColor="background2"/>
            </w:tcBorders>
          </w:tcPr>
          <w:p w14:paraId="054B8DA0" w14:textId="77777777" w:rsidR="008E147C" w:rsidRPr="009A191E" w:rsidRDefault="008E147C" w:rsidP="00B34EFB">
            <w:pPr>
              <w:pStyle w:val="Bodyromannumerals"/>
              <w:rPr>
                <w:i/>
                <w:lang w:val="en-US"/>
              </w:rPr>
            </w:pPr>
            <w:r w:rsidRPr="009A191E">
              <w:rPr>
                <w:i/>
                <w:lang w:val="en-US"/>
              </w:rPr>
              <w:t>Definition:</w:t>
            </w:r>
          </w:p>
        </w:tc>
        <w:tc>
          <w:tcPr>
            <w:tcW w:w="5578" w:type="dxa"/>
            <w:gridSpan w:val="3"/>
            <w:tcBorders>
              <w:left w:val="single" w:sz="4" w:space="0" w:color="FFFFFF" w:themeColor="background2"/>
              <w:bottom w:val="single" w:sz="4" w:space="0" w:color="FFFFFF" w:themeColor="background2"/>
              <w:right w:val="single" w:sz="4" w:space="0" w:color="FFFFFF" w:themeColor="background2"/>
            </w:tcBorders>
          </w:tcPr>
          <w:p w14:paraId="3E84F8E2" w14:textId="285C8763" w:rsidR="008E147C" w:rsidRPr="009A191E" w:rsidRDefault="008E147C" w:rsidP="00B34EFB">
            <w:pPr>
              <w:pStyle w:val="Bodyromannumerals"/>
              <w:rPr>
                <w:lang w:val="en-US"/>
              </w:rPr>
            </w:pPr>
            <w:r w:rsidRPr="009A191E">
              <w:rPr>
                <w:lang w:val="en-US"/>
              </w:rPr>
              <w:t xml:space="preserve">Number of </w:t>
            </w:r>
            <w:r w:rsidR="00BB5A05">
              <w:rPr>
                <w:lang w:val="en-US"/>
              </w:rPr>
              <w:t>household</w:t>
            </w:r>
            <w:r w:rsidRPr="009A191E">
              <w:rPr>
                <w:lang w:val="en-US"/>
              </w:rPr>
              <w:t xml:space="preserve"> and non-</w:t>
            </w:r>
            <w:r w:rsidR="00BB5A05">
              <w:rPr>
                <w:lang w:val="en-US"/>
              </w:rPr>
              <w:t>household</w:t>
            </w:r>
            <w:r w:rsidRPr="009A191E">
              <w:rPr>
                <w:lang w:val="en-US"/>
              </w:rPr>
              <w:t xml:space="preserve"> properties within the supply area as at </w:t>
            </w:r>
            <w:r w:rsidR="00D97768">
              <w:rPr>
                <w:lang w:val="en-US"/>
              </w:rPr>
              <w:t>30 June</w:t>
            </w:r>
            <w:r w:rsidRPr="009A191E">
              <w:rPr>
                <w:lang w:val="en-US"/>
              </w:rPr>
              <w:t xml:space="preserve"> of the reporting year.</w:t>
            </w:r>
            <w:r w:rsidR="00AF42EB">
              <w:rPr>
                <w:lang w:val="en-US"/>
              </w:rPr>
              <w:t xml:space="preserve"> This includes properties connected that do not </w:t>
            </w:r>
            <w:r w:rsidR="002459CF">
              <w:rPr>
                <w:lang w:val="en-US"/>
              </w:rPr>
              <w:t xml:space="preserve">pay </w:t>
            </w:r>
            <w:r w:rsidR="00AF42EB">
              <w:rPr>
                <w:lang w:val="en-US"/>
              </w:rPr>
              <w:t>a charge.</w:t>
            </w:r>
          </w:p>
        </w:tc>
      </w:tr>
      <w:tr w:rsidR="008E147C" w:rsidRPr="009A191E" w14:paraId="0529CE77" w14:textId="77777777" w:rsidTr="2C985F9B">
        <w:tc>
          <w:tcPr>
            <w:tcW w:w="198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4703B1C" w14:textId="77777777" w:rsidR="008E147C" w:rsidRPr="009A191E" w:rsidRDefault="008E147C" w:rsidP="00B34EFB">
            <w:pPr>
              <w:pStyle w:val="Bodyromannumerals"/>
              <w:rPr>
                <w:i/>
                <w:lang w:val="en-US"/>
              </w:rPr>
            </w:pPr>
            <w:r w:rsidRPr="009A191E">
              <w:rPr>
                <w:i/>
                <w:lang w:val="en-US"/>
              </w:rPr>
              <w:t>Processing Rules:</w:t>
            </w:r>
          </w:p>
        </w:tc>
        <w:tc>
          <w:tcPr>
            <w:tcW w:w="5578"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0561D7F" w14:textId="5FACF581" w:rsidR="001A0FFD" w:rsidRDefault="008E147C" w:rsidP="00B34EFB">
            <w:pPr>
              <w:pStyle w:val="Bodyromannumerals"/>
              <w:rPr>
                <w:lang w:val="en-US"/>
              </w:rPr>
            </w:pPr>
            <w:r w:rsidRPr="009A191E">
              <w:rPr>
                <w:lang w:val="en-US"/>
              </w:rPr>
              <w:t>Calculated field: A1.1+A1.2+A1.4+</w:t>
            </w:r>
            <w:r w:rsidR="0024791E">
              <w:rPr>
                <w:lang w:val="en-US"/>
              </w:rPr>
              <w:t>A</w:t>
            </w:r>
            <w:r w:rsidRPr="009A191E">
              <w:rPr>
                <w:lang w:val="en-US"/>
              </w:rPr>
              <w:t>1.12+</w:t>
            </w:r>
            <w:r w:rsidR="00243208">
              <w:rPr>
                <w:lang w:val="en-US"/>
              </w:rPr>
              <w:t>A1.14+</w:t>
            </w:r>
            <w:r w:rsidRPr="009A191E">
              <w:rPr>
                <w:lang w:val="en-US"/>
              </w:rPr>
              <w:t>A1.15+A1.36+A1.37</w:t>
            </w:r>
          </w:p>
          <w:p w14:paraId="50987E15" w14:textId="68ED3D50" w:rsidR="001A0FFD" w:rsidRPr="009A191E" w:rsidRDefault="001A0FFD" w:rsidP="00B34EFB">
            <w:pPr>
              <w:pStyle w:val="Bodyromannumerals"/>
              <w:rPr>
                <w:lang w:val="en-US"/>
              </w:rPr>
            </w:pPr>
          </w:p>
        </w:tc>
      </w:tr>
      <w:tr w:rsidR="00CD027E" w:rsidRPr="00B34EFB" w14:paraId="72686C5B" w14:textId="77777777" w:rsidTr="2C985F9B">
        <w:tc>
          <w:tcPr>
            <w:tcW w:w="1005" w:type="dxa"/>
          </w:tcPr>
          <w:p w14:paraId="64069B67" w14:textId="77777777" w:rsidR="00CD027E" w:rsidRPr="00B34EFB" w:rsidRDefault="00CD027E" w:rsidP="00926C76">
            <w:pPr>
              <w:pStyle w:val="Bodyromannumerals"/>
              <w:rPr>
                <w:b/>
                <w:bCs/>
                <w:lang w:val="en-US"/>
              </w:rPr>
            </w:pPr>
            <w:r w:rsidRPr="00B34EFB">
              <w:rPr>
                <w:b/>
                <w:bCs/>
                <w:lang w:val="en-US"/>
              </w:rPr>
              <w:t>A1.</w:t>
            </w:r>
            <w:r>
              <w:rPr>
                <w:b/>
                <w:bCs/>
                <w:lang w:val="en-US"/>
              </w:rPr>
              <w:t>40</w:t>
            </w:r>
          </w:p>
        </w:tc>
        <w:tc>
          <w:tcPr>
            <w:tcW w:w="4756" w:type="dxa"/>
            <w:gridSpan w:val="3"/>
          </w:tcPr>
          <w:p w14:paraId="6C84B2A1" w14:textId="77777777" w:rsidR="00CD027E" w:rsidRPr="00B34EFB" w:rsidRDefault="00CD027E" w:rsidP="00926C76">
            <w:pPr>
              <w:pStyle w:val="Bodyromannumerals"/>
              <w:rPr>
                <w:b/>
                <w:bCs/>
                <w:lang w:val="en-US"/>
              </w:rPr>
            </w:pPr>
            <w:r>
              <w:rPr>
                <w:b/>
                <w:bCs/>
                <w:lang w:val="en-US"/>
              </w:rPr>
              <w:t>Properties charged but not connected</w:t>
            </w:r>
          </w:p>
        </w:tc>
        <w:tc>
          <w:tcPr>
            <w:tcW w:w="1797" w:type="dxa"/>
          </w:tcPr>
          <w:p w14:paraId="39C5C020" w14:textId="77777777" w:rsidR="00CD027E" w:rsidRPr="00B34EFB" w:rsidRDefault="00CD027E" w:rsidP="00926C76">
            <w:pPr>
              <w:pStyle w:val="Bodyromannumerals"/>
              <w:rPr>
                <w:b/>
                <w:bCs/>
                <w:lang w:val="en-US"/>
              </w:rPr>
            </w:pPr>
            <w:r w:rsidRPr="00B34EFB">
              <w:rPr>
                <w:b/>
                <w:bCs/>
                <w:lang w:val="en-US"/>
              </w:rPr>
              <w:t>Nr.</w:t>
            </w:r>
          </w:p>
        </w:tc>
      </w:tr>
      <w:tr w:rsidR="00CD027E" w:rsidRPr="009A191E" w14:paraId="0603C153" w14:textId="77777777" w:rsidTr="2C985F9B">
        <w:tc>
          <w:tcPr>
            <w:tcW w:w="2043" w:type="dxa"/>
            <w:gridSpan w:val="3"/>
            <w:tcBorders>
              <w:left w:val="single" w:sz="4" w:space="0" w:color="FFFFFF" w:themeColor="background2"/>
              <w:bottom w:val="single" w:sz="4" w:space="0" w:color="FFFFFF" w:themeColor="background2"/>
              <w:right w:val="single" w:sz="4" w:space="0" w:color="FFFFFF" w:themeColor="background2"/>
            </w:tcBorders>
          </w:tcPr>
          <w:p w14:paraId="2B11CC02" w14:textId="77777777" w:rsidR="00CD027E" w:rsidRPr="009A191E" w:rsidRDefault="00CD027E" w:rsidP="00926C76">
            <w:pPr>
              <w:pStyle w:val="Bodyromannumerals"/>
              <w:rPr>
                <w:i/>
                <w:lang w:val="en-US"/>
              </w:rPr>
            </w:pPr>
            <w:r w:rsidRPr="009A191E">
              <w:rPr>
                <w:i/>
                <w:lang w:val="en-US"/>
              </w:rPr>
              <w:t>Definition:</w:t>
            </w:r>
          </w:p>
        </w:tc>
        <w:tc>
          <w:tcPr>
            <w:tcW w:w="5515" w:type="dxa"/>
            <w:gridSpan w:val="2"/>
            <w:tcBorders>
              <w:left w:val="single" w:sz="4" w:space="0" w:color="FFFFFF" w:themeColor="background2"/>
              <w:bottom w:val="single" w:sz="4" w:space="0" w:color="FFFFFF" w:themeColor="background2"/>
              <w:right w:val="single" w:sz="4" w:space="0" w:color="FFFFFF" w:themeColor="background2"/>
            </w:tcBorders>
          </w:tcPr>
          <w:p w14:paraId="64CC2065" w14:textId="45972FC6" w:rsidR="00CD027E" w:rsidRPr="009A191E" w:rsidRDefault="00CD027E" w:rsidP="00926C76">
            <w:pPr>
              <w:pStyle w:val="Bodyromannumerals"/>
              <w:rPr>
                <w:lang w:val="en-US"/>
              </w:rPr>
            </w:pPr>
            <w:r w:rsidRPr="009A191E">
              <w:rPr>
                <w:lang w:val="en-US"/>
              </w:rPr>
              <w:t xml:space="preserve">Number of </w:t>
            </w:r>
            <w:r w:rsidR="00BB5A05">
              <w:rPr>
                <w:lang w:val="en-US"/>
              </w:rPr>
              <w:t>household</w:t>
            </w:r>
            <w:r w:rsidRPr="009A191E">
              <w:rPr>
                <w:lang w:val="en-US"/>
              </w:rPr>
              <w:t xml:space="preserve"> and non-</w:t>
            </w:r>
            <w:r w:rsidR="00BB5A05">
              <w:rPr>
                <w:lang w:val="en-US"/>
              </w:rPr>
              <w:t>household</w:t>
            </w:r>
            <w:r w:rsidRPr="009A191E">
              <w:rPr>
                <w:lang w:val="en-US"/>
              </w:rPr>
              <w:t xml:space="preserve"> properties billed for water </w:t>
            </w:r>
            <w:r>
              <w:rPr>
                <w:lang w:val="en-US"/>
              </w:rPr>
              <w:t xml:space="preserve">but not connected to the water network </w:t>
            </w:r>
            <w:r w:rsidRPr="009A191E">
              <w:rPr>
                <w:lang w:val="en-US"/>
              </w:rPr>
              <w:t xml:space="preserve">within the supply area </w:t>
            </w:r>
            <w:r w:rsidR="00DE662F">
              <w:rPr>
                <w:lang w:val="en-US"/>
              </w:rPr>
              <w:t xml:space="preserve">as </w:t>
            </w:r>
            <w:r w:rsidRPr="009A191E">
              <w:rPr>
                <w:lang w:val="en-US"/>
              </w:rPr>
              <w:t xml:space="preserve">at </w:t>
            </w:r>
            <w:r w:rsidR="00D97768">
              <w:rPr>
                <w:lang w:val="en-US"/>
              </w:rPr>
              <w:t>30 June</w:t>
            </w:r>
            <w:r w:rsidRPr="009A191E">
              <w:rPr>
                <w:lang w:val="en-US"/>
              </w:rPr>
              <w:t xml:space="preserve"> of the reporting year.</w:t>
            </w:r>
            <w:r w:rsidR="00FD6EE3">
              <w:rPr>
                <w:lang w:val="en-US"/>
              </w:rPr>
              <w:t xml:space="preserve"> This row includes those properties that are paying a charge for availability (i.e. properties that are not connected to the water network but </w:t>
            </w:r>
            <w:r w:rsidR="003E2CFB">
              <w:rPr>
                <w:lang w:val="en-US"/>
              </w:rPr>
              <w:t>have the option of connecting</w:t>
            </w:r>
            <w:r w:rsidR="00FD6EE3">
              <w:rPr>
                <w:lang w:val="en-US"/>
              </w:rPr>
              <w:t>).</w:t>
            </w:r>
          </w:p>
        </w:tc>
      </w:tr>
      <w:tr w:rsidR="00CD027E" w:rsidRPr="009A191E" w14:paraId="7DFF5DD0" w14:textId="77777777" w:rsidTr="2C985F9B">
        <w:tc>
          <w:tcPr>
            <w:tcW w:w="2043"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91C3F94" w14:textId="77777777" w:rsidR="00CD027E" w:rsidRPr="009A191E" w:rsidRDefault="00CD027E" w:rsidP="00926C76">
            <w:pPr>
              <w:pStyle w:val="Bodyromannumerals"/>
              <w:rPr>
                <w:i/>
                <w:lang w:val="en-US"/>
              </w:rPr>
            </w:pPr>
            <w:r w:rsidRPr="009A191E">
              <w:rPr>
                <w:i/>
                <w:lang w:val="en-US"/>
              </w:rPr>
              <w:t>Processing Rules:</w:t>
            </w:r>
          </w:p>
        </w:tc>
        <w:tc>
          <w:tcPr>
            <w:tcW w:w="551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BBFF3F9" w14:textId="77777777" w:rsidR="00CD027E" w:rsidRPr="009A191E" w:rsidRDefault="00CD027E" w:rsidP="00926C76">
            <w:pPr>
              <w:pStyle w:val="Bodyromannumerals"/>
              <w:rPr>
                <w:lang w:val="en-US"/>
              </w:rPr>
            </w:pPr>
            <w:r>
              <w:rPr>
                <w:lang w:val="en-US"/>
              </w:rPr>
              <w:t>Input field</w:t>
            </w:r>
          </w:p>
        </w:tc>
      </w:tr>
      <w:tr w:rsidR="00CD027E" w:rsidRPr="00B34EFB" w14:paraId="55277996" w14:textId="77777777" w:rsidTr="2C985F9B">
        <w:tc>
          <w:tcPr>
            <w:tcW w:w="1005" w:type="dxa"/>
          </w:tcPr>
          <w:p w14:paraId="48BEE3E8" w14:textId="77777777" w:rsidR="00CD027E" w:rsidRPr="00B34EFB" w:rsidRDefault="00CD027E" w:rsidP="00926C76">
            <w:pPr>
              <w:pStyle w:val="Bodyromannumerals"/>
              <w:rPr>
                <w:b/>
                <w:bCs/>
                <w:lang w:val="en-US"/>
              </w:rPr>
            </w:pPr>
            <w:r w:rsidRPr="00B34EFB">
              <w:rPr>
                <w:b/>
                <w:bCs/>
                <w:lang w:val="en-US"/>
              </w:rPr>
              <w:t>A1.</w:t>
            </w:r>
            <w:r>
              <w:rPr>
                <w:b/>
                <w:bCs/>
                <w:lang w:val="en-US"/>
              </w:rPr>
              <w:t>41</w:t>
            </w:r>
          </w:p>
        </w:tc>
        <w:tc>
          <w:tcPr>
            <w:tcW w:w="4756" w:type="dxa"/>
            <w:gridSpan w:val="3"/>
          </w:tcPr>
          <w:p w14:paraId="5E3A121F" w14:textId="77777777" w:rsidR="00CD027E" w:rsidRPr="00B34EFB" w:rsidRDefault="00CD027E" w:rsidP="00926C76">
            <w:pPr>
              <w:pStyle w:val="Bodyromannumerals"/>
              <w:rPr>
                <w:b/>
                <w:bCs/>
                <w:lang w:val="en-US"/>
              </w:rPr>
            </w:pPr>
            <w:r w:rsidRPr="00B34EFB">
              <w:rPr>
                <w:b/>
                <w:bCs/>
                <w:lang w:val="en-US"/>
              </w:rPr>
              <w:t xml:space="preserve">Total </w:t>
            </w:r>
            <w:r>
              <w:rPr>
                <w:b/>
                <w:bCs/>
                <w:lang w:val="en-US"/>
              </w:rPr>
              <w:t>properties charged</w:t>
            </w:r>
          </w:p>
        </w:tc>
        <w:tc>
          <w:tcPr>
            <w:tcW w:w="1797" w:type="dxa"/>
          </w:tcPr>
          <w:p w14:paraId="74D61D1B" w14:textId="77777777" w:rsidR="00CD027E" w:rsidRPr="00B34EFB" w:rsidRDefault="00CD027E" w:rsidP="00926C76">
            <w:pPr>
              <w:pStyle w:val="Bodyromannumerals"/>
              <w:rPr>
                <w:b/>
                <w:bCs/>
                <w:lang w:val="en-US"/>
              </w:rPr>
            </w:pPr>
            <w:r w:rsidRPr="00B34EFB">
              <w:rPr>
                <w:b/>
                <w:bCs/>
                <w:lang w:val="en-US"/>
              </w:rPr>
              <w:t>Nr.</w:t>
            </w:r>
          </w:p>
        </w:tc>
      </w:tr>
      <w:tr w:rsidR="00CD027E" w:rsidRPr="009A191E" w14:paraId="19023C57" w14:textId="77777777" w:rsidTr="2C985F9B">
        <w:tc>
          <w:tcPr>
            <w:tcW w:w="2043" w:type="dxa"/>
            <w:gridSpan w:val="3"/>
            <w:tcBorders>
              <w:left w:val="single" w:sz="4" w:space="0" w:color="FFFFFF" w:themeColor="background2"/>
              <w:bottom w:val="single" w:sz="4" w:space="0" w:color="FFFFFF" w:themeColor="background2"/>
              <w:right w:val="single" w:sz="4" w:space="0" w:color="FFFFFF" w:themeColor="background2"/>
            </w:tcBorders>
          </w:tcPr>
          <w:p w14:paraId="6670552B" w14:textId="77777777" w:rsidR="00CD027E" w:rsidRPr="009A191E" w:rsidRDefault="00CD027E" w:rsidP="00926C76">
            <w:pPr>
              <w:pStyle w:val="Bodyromannumerals"/>
              <w:rPr>
                <w:i/>
                <w:lang w:val="en-US"/>
              </w:rPr>
            </w:pPr>
            <w:r w:rsidRPr="009A191E">
              <w:rPr>
                <w:i/>
                <w:lang w:val="en-US"/>
              </w:rPr>
              <w:t>Definition:</w:t>
            </w:r>
          </w:p>
        </w:tc>
        <w:tc>
          <w:tcPr>
            <w:tcW w:w="5515" w:type="dxa"/>
            <w:gridSpan w:val="2"/>
            <w:tcBorders>
              <w:left w:val="single" w:sz="4" w:space="0" w:color="FFFFFF" w:themeColor="background2"/>
              <w:bottom w:val="single" w:sz="4" w:space="0" w:color="FFFFFF" w:themeColor="background2"/>
              <w:right w:val="single" w:sz="4" w:space="0" w:color="FFFFFF" w:themeColor="background2"/>
            </w:tcBorders>
          </w:tcPr>
          <w:p w14:paraId="7E803F1D" w14:textId="541088E2" w:rsidR="00CD027E" w:rsidRPr="009A191E" w:rsidRDefault="00CD027E" w:rsidP="00926C76">
            <w:pPr>
              <w:pStyle w:val="Bodyromannumerals"/>
              <w:rPr>
                <w:lang w:val="en-US"/>
              </w:rPr>
            </w:pPr>
            <w:r>
              <w:rPr>
                <w:lang w:val="en-US"/>
              </w:rPr>
              <w:t>Total n</w:t>
            </w:r>
            <w:r w:rsidRPr="009A191E">
              <w:rPr>
                <w:lang w:val="en-US"/>
              </w:rPr>
              <w:t xml:space="preserve">umber of </w:t>
            </w:r>
            <w:r w:rsidR="00BB5A05">
              <w:rPr>
                <w:lang w:val="en-US"/>
              </w:rPr>
              <w:t>household</w:t>
            </w:r>
            <w:r w:rsidRPr="009A191E">
              <w:rPr>
                <w:lang w:val="en-US"/>
              </w:rPr>
              <w:t xml:space="preserve"> and non-</w:t>
            </w:r>
            <w:r w:rsidR="00BB5A05">
              <w:rPr>
                <w:lang w:val="en-US"/>
              </w:rPr>
              <w:t>household</w:t>
            </w:r>
            <w:r w:rsidRPr="009A191E">
              <w:rPr>
                <w:lang w:val="en-US"/>
              </w:rPr>
              <w:t xml:space="preserve"> properties</w:t>
            </w:r>
            <w:r>
              <w:rPr>
                <w:lang w:val="en-US"/>
              </w:rPr>
              <w:t xml:space="preserve"> billed for water</w:t>
            </w:r>
            <w:r w:rsidRPr="009A191E">
              <w:rPr>
                <w:lang w:val="en-US"/>
              </w:rPr>
              <w:t xml:space="preserve"> within the supply area </w:t>
            </w:r>
            <w:r w:rsidR="00EF3B1E">
              <w:rPr>
                <w:lang w:val="en-US"/>
              </w:rPr>
              <w:t xml:space="preserve">as </w:t>
            </w:r>
            <w:r w:rsidRPr="009A191E">
              <w:rPr>
                <w:lang w:val="en-US"/>
              </w:rPr>
              <w:t xml:space="preserve">at </w:t>
            </w:r>
            <w:r w:rsidR="00D97768">
              <w:rPr>
                <w:lang w:val="en-US"/>
              </w:rPr>
              <w:t>30 June</w:t>
            </w:r>
            <w:r w:rsidRPr="009A191E">
              <w:rPr>
                <w:lang w:val="en-US"/>
              </w:rPr>
              <w:t xml:space="preserve"> of the reporting year.</w:t>
            </w:r>
          </w:p>
        </w:tc>
      </w:tr>
      <w:tr w:rsidR="00CD027E" w:rsidRPr="009A191E" w14:paraId="3353F9CE" w14:textId="77777777" w:rsidTr="2C985F9B">
        <w:tc>
          <w:tcPr>
            <w:tcW w:w="2043"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5D19260" w14:textId="77777777" w:rsidR="00CD027E" w:rsidRPr="009A191E" w:rsidRDefault="00CD027E" w:rsidP="00926C76">
            <w:pPr>
              <w:pStyle w:val="Bodyromannumerals"/>
              <w:rPr>
                <w:i/>
                <w:lang w:val="en-US"/>
              </w:rPr>
            </w:pPr>
            <w:r w:rsidRPr="009A191E">
              <w:rPr>
                <w:i/>
                <w:lang w:val="en-US"/>
              </w:rPr>
              <w:t>Processing Rules:</w:t>
            </w:r>
          </w:p>
        </w:tc>
        <w:tc>
          <w:tcPr>
            <w:tcW w:w="551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CB0B032" w14:textId="77777777" w:rsidR="00CD027E" w:rsidRDefault="00CD027E" w:rsidP="00926C76">
            <w:pPr>
              <w:pStyle w:val="Bodyromannumerals"/>
              <w:rPr>
                <w:lang w:val="en-US"/>
              </w:rPr>
            </w:pPr>
            <w:r w:rsidRPr="009A191E">
              <w:rPr>
                <w:lang w:val="en-US"/>
              </w:rPr>
              <w:t>Calculated field: A1.</w:t>
            </w:r>
            <w:r>
              <w:rPr>
                <w:lang w:val="en-US"/>
              </w:rPr>
              <w:t>38</w:t>
            </w:r>
            <w:r w:rsidRPr="009A191E">
              <w:rPr>
                <w:lang w:val="en-US"/>
              </w:rPr>
              <w:t>+A1.</w:t>
            </w:r>
            <w:r>
              <w:rPr>
                <w:lang w:val="en-US"/>
              </w:rPr>
              <w:t>40</w:t>
            </w:r>
          </w:p>
          <w:p w14:paraId="53E92C43" w14:textId="73513023" w:rsidR="00CD027E" w:rsidRPr="009A191E" w:rsidRDefault="00CD027E" w:rsidP="00926C76">
            <w:pPr>
              <w:pStyle w:val="Bodyromannumerals"/>
              <w:rPr>
                <w:lang w:val="en-US"/>
              </w:rPr>
            </w:pPr>
          </w:p>
        </w:tc>
      </w:tr>
    </w:tbl>
    <w:p w14:paraId="7AD2B467" w14:textId="77777777" w:rsidR="00BD7EB3" w:rsidRDefault="00BD7EB3">
      <w:r>
        <w:br w:type="page"/>
      </w:r>
    </w:p>
    <w:tbl>
      <w:tblPr>
        <w:tblStyle w:val="TableGrid3"/>
        <w:tblW w:w="7558" w:type="dxa"/>
        <w:tblLayout w:type="fixed"/>
        <w:tblLook w:val="04A0" w:firstRow="1" w:lastRow="0" w:firstColumn="1" w:lastColumn="0" w:noHBand="0" w:noVBand="1"/>
      </w:tblPr>
      <w:tblGrid>
        <w:gridCol w:w="1005"/>
        <w:gridCol w:w="975"/>
        <w:gridCol w:w="3781"/>
        <w:gridCol w:w="1797"/>
      </w:tblGrid>
      <w:tr w:rsidR="008E147C" w:rsidRPr="009A191E" w14:paraId="6C46C1F2" w14:textId="77777777" w:rsidTr="2C985F9B">
        <w:tc>
          <w:tcPr>
            <w:tcW w:w="1005" w:type="dxa"/>
          </w:tcPr>
          <w:p w14:paraId="2FE24EBF" w14:textId="7BF82C91" w:rsidR="008E147C" w:rsidRPr="00B34EFB" w:rsidRDefault="008E147C" w:rsidP="00B34EFB">
            <w:pPr>
              <w:pStyle w:val="Bodyromannumerals"/>
              <w:rPr>
                <w:b/>
                <w:bCs/>
                <w:lang w:val="en-US"/>
              </w:rPr>
            </w:pPr>
            <w:r w:rsidRPr="00B34EFB">
              <w:rPr>
                <w:b/>
                <w:bCs/>
                <w:lang w:val="en-US"/>
              </w:rPr>
              <w:lastRenderedPageBreak/>
              <w:t>A1.4</w:t>
            </w:r>
            <w:r w:rsidR="00CD027E">
              <w:rPr>
                <w:b/>
                <w:bCs/>
                <w:lang w:val="en-US"/>
              </w:rPr>
              <w:t>2</w:t>
            </w:r>
          </w:p>
        </w:tc>
        <w:tc>
          <w:tcPr>
            <w:tcW w:w="4756" w:type="dxa"/>
            <w:gridSpan w:val="2"/>
          </w:tcPr>
          <w:p w14:paraId="17F3D2FA" w14:textId="77777777" w:rsidR="008E147C" w:rsidRPr="00B34EFB" w:rsidRDefault="008E147C" w:rsidP="00B34EFB">
            <w:pPr>
              <w:pStyle w:val="Bodyromannumerals"/>
              <w:rPr>
                <w:b/>
                <w:bCs/>
                <w:lang w:val="en-US"/>
              </w:rPr>
            </w:pPr>
            <w:r w:rsidRPr="00B34EFB">
              <w:rPr>
                <w:b/>
                <w:bCs/>
                <w:lang w:val="en-US"/>
              </w:rPr>
              <w:t>Number of properties connected during the report year</w:t>
            </w:r>
          </w:p>
        </w:tc>
        <w:tc>
          <w:tcPr>
            <w:tcW w:w="1797" w:type="dxa"/>
          </w:tcPr>
          <w:p w14:paraId="7FF16F46" w14:textId="77777777" w:rsidR="008E147C" w:rsidRPr="00B34EFB" w:rsidRDefault="008E147C" w:rsidP="00B34EFB">
            <w:pPr>
              <w:pStyle w:val="Bodyromannumerals"/>
              <w:rPr>
                <w:b/>
                <w:bCs/>
                <w:lang w:val="en-US"/>
              </w:rPr>
            </w:pPr>
            <w:r w:rsidRPr="00B34EFB">
              <w:rPr>
                <w:b/>
                <w:bCs/>
                <w:lang w:val="en-US"/>
              </w:rPr>
              <w:t>Nr.</w:t>
            </w:r>
          </w:p>
        </w:tc>
      </w:tr>
      <w:tr w:rsidR="008E147C" w:rsidRPr="009A191E" w14:paraId="3BEFC0DC" w14:textId="77777777" w:rsidTr="2C985F9B">
        <w:tc>
          <w:tcPr>
            <w:tcW w:w="1980" w:type="dxa"/>
            <w:gridSpan w:val="2"/>
            <w:tcBorders>
              <w:left w:val="single" w:sz="4" w:space="0" w:color="FFFFFF" w:themeColor="background2"/>
              <w:bottom w:val="single" w:sz="4" w:space="0" w:color="FFFFFF" w:themeColor="background2"/>
              <w:right w:val="single" w:sz="4" w:space="0" w:color="FFFFFF" w:themeColor="background2"/>
            </w:tcBorders>
          </w:tcPr>
          <w:p w14:paraId="718B41F2" w14:textId="77777777" w:rsidR="008E147C" w:rsidRPr="009A191E" w:rsidRDefault="008E147C" w:rsidP="00B34EFB">
            <w:pPr>
              <w:pStyle w:val="Bodyromannumerals"/>
              <w:rPr>
                <w:i/>
                <w:lang w:val="en-US"/>
              </w:rPr>
            </w:pPr>
            <w:r w:rsidRPr="009A191E">
              <w:rPr>
                <w:i/>
                <w:lang w:val="en-US"/>
              </w:rPr>
              <w:t>Definition:</w:t>
            </w:r>
          </w:p>
        </w:tc>
        <w:tc>
          <w:tcPr>
            <w:tcW w:w="5578" w:type="dxa"/>
            <w:gridSpan w:val="2"/>
            <w:tcBorders>
              <w:left w:val="single" w:sz="4" w:space="0" w:color="FFFFFF" w:themeColor="background2"/>
              <w:bottom w:val="single" w:sz="4" w:space="0" w:color="FFFFFF" w:themeColor="background2"/>
              <w:right w:val="single" w:sz="4" w:space="0" w:color="FFFFFF" w:themeColor="background2"/>
            </w:tcBorders>
          </w:tcPr>
          <w:p w14:paraId="066DC373" w14:textId="1960361F" w:rsidR="008E147C" w:rsidRPr="009A191E" w:rsidRDefault="008E147C" w:rsidP="00B34EFB">
            <w:pPr>
              <w:pStyle w:val="Bodyromannumerals"/>
              <w:rPr>
                <w:lang w:val="en-US"/>
              </w:rPr>
            </w:pPr>
            <w:r w:rsidRPr="009A191E">
              <w:rPr>
                <w:lang w:val="en-US"/>
              </w:rPr>
              <w:t xml:space="preserve">The number of new </w:t>
            </w:r>
            <w:r w:rsidR="00BB5A05">
              <w:rPr>
                <w:lang w:val="en-US"/>
              </w:rPr>
              <w:t>household</w:t>
            </w:r>
            <w:r w:rsidRPr="009A191E">
              <w:rPr>
                <w:lang w:val="en-US"/>
              </w:rPr>
              <w:t xml:space="preserve"> and non-</w:t>
            </w:r>
            <w:r w:rsidR="00BB5A05">
              <w:rPr>
                <w:lang w:val="en-US"/>
              </w:rPr>
              <w:t>household</w:t>
            </w:r>
            <w:r w:rsidRPr="009A191E">
              <w:rPr>
                <w:lang w:val="en-US"/>
              </w:rPr>
              <w:t xml:space="preserve"> properties added during the report year.</w:t>
            </w:r>
          </w:p>
        </w:tc>
      </w:tr>
      <w:tr w:rsidR="008E147C" w:rsidRPr="009A191E" w14:paraId="5ADB5458" w14:textId="77777777" w:rsidTr="2C985F9B">
        <w:tc>
          <w:tcPr>
            <w:tcW w:w="198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7C68698" w14:textId="77777777" w:rsidR="008E147C" w:rsidRPr="009A191E" w:rsidRDefault="008E147C" w:rsidP="00B34EFB">
            <w:pPr>
              <w:pStyle w:val="Bodyromannumerals"/>
              <w:rPr>
                <w:i/>
                <w:lang w:val="en-US"/>
              </w:rPr>
            </w:pPr>
            <w:r w:rsidRPr="009A191E">
              <w:rPr>
                <w:i/>
                <w:lang w:val="en-US"/>
              </w:rPr>
              <w:t>Processing Rules:</w:t>
            </w:r>
          </w:p>
        </w:tc>
        <w:tc>
          <w:tcPr>
            <w:tcW w:w="557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6266AC9" w14:textId="77777777" w:rsidR="008E147C" w:rsidRPr="009A191E" w:rsidRDefault="008E147C" w:rsidP="00B34EFB">
            <w:pPr>
              <w:pStyle w:val="Bodyromannumerals"/>
              <w:rPr>
                <w:lang w:val="en-US"/>
              </w:rPr>
            </w:pPr>
            <w:r w:rsidRPr="009A191E">
              <w:rPr>
                <w:lang w:val="en-US"/>
              </w:rPr>
              <w:t>Input field</w:t>
            </w:r>
          </w:p>
        </w:tc>
      </w:tr>
    </w:tbl>
    <w:p w14:paraId="429FD3CF" w14:textId="759CF506" w:rsidR="008E147C" w:rsidRPr="009A191E" w:rsidRDefault="008E147C" w:rsidP="00D85C52">
      <w:pPr>
        <w:pStyle w:val="Sectionsub-heading"/>
        <w:rPr>
          <w:lang w:val="en-GB"/>
        </w:rPr>
      </w:pPr>
      <w:r w:rsidRPr="009A191E">
        <w:rPr>
          <w:lang w:val="en-GB"/>
        </w:rPr>
        <w:t>BLOCK 7: SUMMARY – POPULATION</w:t>
      </w:r>
    </w:p>
    <w:tbl>
      <w:tblPr>
        <w:tblStyle w:val="TableGrid3"/>
        <w:tblW w:w="7558" w:type="dxa"/>
        <w:tblLook w:val="04A0" w:firstRow="1" w:lastRow="0" w:firstColumn="1" w:lastColumn="0" w:noHBand="0" w:noVBand="1"/>
      </w:tblPr>
      <w:tblGrid>
        <w:gridCol w:w="1080"/>
        <w:gridCol w:w="915"/>
        <w:gridCol w:w="4441"/>
        <w:gridCol w:w="1122"/>
      </w:tblGrid>
      <w:tr w:rsidR="00455203" w:rsidRPr="009A191E" w14:paraId="63B6F856" w14:textId="77777777" w:rsidTr="2C985F9B">
        <w:tc>
          <w:tcPr>
            <w:tcW w:w="1080" w:type="dxa"/>
          </w:tcPr>
          <w:p w14:paraId="088D79AE" w14:textId="18B21823" w:rsidR="008E147C" w:rsidRPr="00D85C52" w:rsidRDefault="008E147C" w:rsidP="00D85C52">
            <w:pPr>
              <w:pStyle w:val="Bodyromannumerals"/>
              <w:rPr>
                <w:b/>
                <w:bCs/>
                <w:lang w:val="en-US"/>
              </w:rPr>
            </w:pPr>
            <w:r w:rsidRPr="00D85C52">
              <w:rPr>
                <w:b/>
                <w:bCs/>
                <w:lang w:val="en-US"/>
              </w:rPr>
              <w:t>A1.4</w:t>
            </w:r>
            <w:r w:rsidR="00B540F6">
              <w:rPr>
                <w:b/>
                <w:bCs/>
                <w:lang w:val="en-US"/>
              </w:rPr>
              <w:t>3</w:t>
            </w:r>
          </w:p>
        </w:tc>
        <w:tc>
          <w:tcPr>
            <w:tcW w:w="5356" w:type="dxa"/>
            <w:gridSpan w:val="2"/>
          </w:tcPr>
          <w:p w14:paraId="3681B4A5" w14:textId="77777777" w:rsidR="008E147C" w:rsidRPr="00D85C52" w:rsidRDefault="008E147C" w:rsidP="00D85C52">
            <w:pPr>
              <w:pStyle w:val="Bodyromannumerals"/>
              <w:rPr>
                <w:b/>
                <w:bCs/>
                <w:lang w:val="en-US"/>
              </w:rPr>
            </w:pPr>
            <w:r w:rsidRPr="00D85C52">
              <w:rPr>
                <w:b/>
                <w:bCs/>
                <w:lang w:val="en-US"/>
              </w:rPr>
              <w:t>Winter</w:t>
            </w:r>
          </w:p>
        </w:tc>
        <w:tc>
          <w:tcPr>
            <w:tcW w:w="1122" w:type="dxa"/>
          </w:tcPr>
          <w:p w14:paraId="28FBECC5" w14:textId="77777777" w:rsidR="008E147C" w:rsidRPr="00D85C52" w:rsidRDefault="008E147C" w:rsidP="00D85C52">
            <w:pPr>
              <w:pStyle w:val="Bodyromannumerals"/>
              <w:rPr>
                <w:b/>
                <w:bCs/>
                <w:lang w:val="en-US"/>
              </w:rPr>
            </w:pPr>
            <w:r w:rsidRPr="00D85C52">
              <w:rPr>
                <w:b/>
                <w:bCs/>
                <w:lang w:val="en-US"/>
              </w:rPr>
              <w:t>000</w:t>
            </w:r>
          </w:p>
        </w:tc>
      </w:tr>
      <w:tr w:rsidR="008E147C" w:rsidRPr="009A191E" w14:paraId="77D1ADC8" w14:textId="77777777" w:rsidTr="2C985F9B">
        <w:tc>
          <w:tcPr>
            <w:tcW w:w="1995" w:type="dxa"/>
            <w:gridSpan w:val="2"/>
            <w:tcBorders>
              <w:left w:val="single" w:sz="4" w:space="0" w:color="FFFFFF" w:themeColor="background2"/>
              <w:bottom w:val="single" w:sz="4" w:space="0" w:color="FFFFFF" w:themeColor="background2"/>
              <w:right w:val="single" w:sz="4" w:space="0" w:color="FFFFFF" w:themeColor="background2"/>
            </w:tcBorders>
          </w:tcPr>
          <w:p w14:paraId="7D61F2F9" w14:textId="77777777" w:rsidR="008E147C" w:rsidRPr="009A191E" w:rsidRDefault="008E147C" w:rsidP="00D85C52">
            <w:pPr>
              <w:pStyle w:val="Bodyromannumerals"/>
              <w:rPr>
                <w:i/>
                <w:lang w:val="en-US"/>
              </w:rPr>
            </w:pPr>
            <w:r w:rsidRPr="009A191E">
              <w:rPr>
                <w:i/>
                <w:lang w:val="en-US"/>
              </w:rPr>
              <w:t>Definition:</w:t>
            </w:r>
          </w:p>
        </w:tc>
        <w:tc>
          <w:tcPr>
            <w:tcW w:w="5563" w:type="dxa"/>
            <w:gridSpan w:val="2"/>
            <w:tcBorders>
              <w:left w:val="single" w:sz="4" w:space="0" w:color="FFFFFF" w:themeColor="background2"/>
              <w:bottom w:val="single" w:sz="4" w:space="0" w:color="FFFFFF" w:themeColor="background2"/>
              <w:right w:val="single" w:sz="4" w:space="0" w:color="FFFFFF" w:themeColor="background2"/>
            </w:tcBorders>
          </w:tcPr>
          <w:p w14:paraId="767353EA" w14:textId="1B090BF2" w:rsidR="00ED4BE1" w:rsidRDefault="00455203" w:rsidP="00D85C52">
            <w:pPr>
              <w:pStyle w:val="Bodyromannumerals"/>
              <w:rPr>
                <w:lang w:val="en-US"/>
              </w:rPr>
            </w:pPr>
            <w:r>
              <w:rPr>
                <w:lang w:val="en-US"/>
              </w:rPr>
              <w:t>Total winter p</w:t>
            </w:r>
            <w:r w:rsidRPr="009A191E">
              <w:rPr>
                <w:lang w:val="en-US"/>
              </w:rPr>
              <w:t xml:space="preserve">opulation </w:t>
            </w:r>
            <w:r w:rsidR="008E147C" w:rsidRPr="009A191E">
              <w:rPr>
                <w:lang w:val="en-US"/>
              </w:rPr>
              <w:t xml:space="preserve">supplied </w:t>
            </w:r>
            <w:r w:rsidR="00ED4BE1">
              <w:rPr>
                <w:lang w:val="en-US"/>
              </w:rPr>
              <w:t>at the financial year end (30 June)</w:t>
            </w:r>
            <w:r w:rsidR="008E147C" w:rsidRPr="009A191E">
              <w:rPr>
                <w:lang w:val="en-US"/>
              </w:rPr>
              <w:t xml:space="preserve"> in the </w:t>
            </w:r>
            <w:r w:rsidR="002E6A73">
              <w:rPr>
                <w:lang w:val="en-US"/>
              </w:rPr>
              <w:t>Local</w:t>
            </w:r>
            <w:r w:rsidR="00B47509" w:rsidRPr="00B47509">
              <w:rPr>
                <w:lang w:val="en-US"/>
              </w:rPr>
              <w:t xml:space="preserve"> Authority</w:t>
            </w:r>
            <w:r w:rsidR="008E147C" w:rsidRPr="009A191E">
              <w:rPr>
                <w:lang w:val="en-US"/>
              </w:rPr>
              <w:t>’s area of supply.</w:t>
            </w:r>
            <w:r>
              <w:rPr>
                <w:lang w:val="en-US"/>
              </w:rPr>
              <w:t xml:space="preserve"> This should include customers supplied with unmeasured and measured water.</w:t>
            </w:r>
          </w:p>
          <w:p w14:paraId="3F4DA447" w14:textId="77777777" w:rsidR="008E147C" w:rsidRDefault="008E147C" w:rsidP="00D85C52">
            <w:pPr>
              <w:pStyle w:val="Bodyromannumerals"/>
              <w:rPr>
                <w:lang w:val="en-US"/>
              </w:rPr>
            </w:pPr>
            <w:r w:rsidRPr="009A191E">
              <w:rPr>
                <w:lang w:val="en-US"/>
              </w:rPr>
              <w:t>Include population served by bulk supplies received.</w:t>
            </w:r>
          </w:p>
          <w:p w14:paraId="455F65D0" w14:textId="166BC9E5" w:rsidR="00ED4BE1" w:rsidRPr="009A191E" w:rsidRDefault="00ED4BE1" w:rsidP="00D85C52">
            <w:pPr>
              <w:pStyle w:val="Bodyromannumerals"/>
              <w:rPr>
                <w:lang w:val="en-US"/>
              </w:rPr>
            </w:pPr>
            <w:r>
              <w:rPr>
                <w:lang w:val="en-US"/>
              </w:rPr>
              <w:t>Please provide commentary on</w:t>
            </w:r>
            <w:r w:rsidR="00455203">
              <w:rPr>
                <w:lang w:val="en-US"/>
              </w:rPr>
              <w:t xml:space="preserve"> how the winter population has been estimated.</w:t>
            </w:r>
            <w:r>
              <w:rPr>
                <w:lang w:val="en-US"/>
              </w:rPr>
              <w:t xml:space="preserve"> </w:t>
            </w:r>
          </w:p>
        </w:tc>
      </w:tr>
      <w:tr w:rsidR="008E147C" w:rsidRPr="009A191E" w14:paraId="33661C2A" w14:textId="77777777" w:rsidTr="2C985F9B">
        <w:tc>
          <w:tcPr>
            <w:tcW w:w="199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204CDF6" w14:textId="77777777" w:rsidR="008E147C" w:rsidRPr="009A191E" w:rsidRDefault="008E147C" w:rsidP="00D85C52">
            <w:pPr>
              <w:pStyle w:val="Bodyromannumerals"/>
              <w:rPr>
                <w:i/>
                <w:lang w:val="en-US"/>
              </w:rPr>
            </w:pPr>
            <w:r w:rsidRPr="009A191E">
              <w:rPr>
                <w:i/>
                <w:lang w:val="en-US"/>
              </w:rPr>
              <w:t>Processing Rules:</w:t>
            </w:r>
          </w:p>
        </w:tc>
        <w:tc>
          <w:tcPr>
            <w:tcW w:w="556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D5E3D65" w14:textId="77777777" w:rsidR="008E147C" w:rsidRPr="009A191E" w:rsidRDefault="008E147C" w:rsidP="00D85C52">
            <w:pPr>
              <w:pStyle w:val="Bodyromannumerals"/>
              <w:rPr>
                <w:lang w:val="en-US"/>
              </w:rPr>
            </w:pPr>
            <w:r w:rsidRPr="009A191E">
              <w:rPr>
                <w:lang w:val="en-US"/>
              </w:rPr>
              <w:t>Input field</w:t>
            </w:r>
          </w:p>
        </w:tc>
      </w:tr>
    </w:tbl>
    <w:p w14:paraId="220802F8" w14:textId="654870F7" w:rsidR="005677DF" w:rsidRDefault="005677DF"/>
    <w:tbl>
      <w:tblPr>
        <w:tblStyle w:val="TableGrid3"/>
        <w:tblW w:w="7558" w:type="dxa"/>
        <w:tblLook w:val="04A0" w:firstRow="1" w:lastRow="0" w:firstColumn="1" w:lastColumn="0" w:noHBand="0" w:noVBand="1"/>
      </w:tblPr>
      <w:tblGrid>
        <w:gridCol w:w="1080"/>
        <w:gridCol w:w="915"/>
        <w:gridCol w:w="4441"/>
        <w:gridCol w:w="1122"/>
      </w:tblGrid>
      <w:tr w:rsidR="00455203" w:rsidRPr="009A191E" w14:paraId="284981AE" w14:textId="77777777" w:rsidTr="2C985F9B">
        <w:tc>
          <w:tcPr>
            <w:tcW w:w="1080" w:type="dxa"/>
          </w:tcPr>
          <w:p w14:paraId="6F53543E" w14:textId="55CFDAC1" w:rsidR="008E147C" w:rsidRPr="00D85C52" w:rsidRDefault="008E147C" w:rsidP="00D85C52">
            <w:pPr>
              <w:pStyle w:val="Bodyromannumerals"/>
              <w:rPr>
                <w:b/>
                <w:bCs/>
                <w:lang w:val="en-US"/>
              </w:rPr>
            </w:pPr>
            <w:r w:rsidRPr="00D85C52">
              <w:rPr>
                <w:b/>
                <w:bCs/>
                <w:lang w:val="en-US"/>
              </w:rPr>
              <w:t>A1.4</w:t>
            </w:r>
            <w:r w:rsidR="00B540F6">
              <w:rPr>
                <w:b/>
                <w:bCs/>
                <w:lang w:val="en-US"/>
              </w:rPr>
              <w:t>4</w:t>
            </w:r>
          </w:p>
        </w:tc>
        <w:tc>
          <w:tcPr>
            <w:tcW w:w="5356" w:type="dxa"/>
            <w:gridSpan w:val="2"/>
          </w:tcPr>
          <w:p w14:paraId="6AD3B852" w14:textId="77777777" w:rsidR="008E147C" w:rsidRPr="00D85C52" w:rsidRDefault="008E147C" w:rsidP="00D85C52">
            <w:pPr>
              <w:pStyle w:val="Bodyromannumerals"/>
              <w:rPr>
                <w:b/>
                <w:bCs/>
                <w:lang w:val="en-US"/>
              </w:rPr>
            </w:pPr>
            <w:r w:rsidRPr="00D85C52">
              <w:rPr>
                <w:b/>
                <w:bCs/>
                <w:lang w:val="en-US"/>
              </w:rPr>
              <w:t>Summer</w:t>
            </w:r>
          </w:p>
        </w:tc>
        <w:tc>
          <w:tcPr>
            <w:tcW w:w="1122" w:type="dxa"/>
          </w:tcPr>
          <w:p w14:paraId="57530DE9" w14:textId="77777777" w:rsidR="008E147C" w:rsidRPr="00D85C52" w:rsidRDefault="008E147C" w:rsidP="00D85C52">
            <w:pPr>
              <w:pStyle w:val="Bodyromannumerals"/>
              <w:rPr>
                <w:b/>
                <w:bCs/>
                <w:lang w:val="en-US"/>
              </w:rPr>
            </w:pPr>
            <w:r w:rsidRPr="00D85C52">
              <w:rPr>
                <w:b/>
                <w:bCs/>
                <w:lang w:val="en-US"/>
              </w:rPr>
              <w:t>000</w:t>
            </w:r>
          </w:p>
        </w:tc>
      </w:tr>
      <w:tr w:rsidR="008E147C" w:rsidRPr="009A191E" w14:paraId="4964FA29" w14:textId="77777777" w:rsidTr="2C985F9B">
        <w:tc>
          <w:tcPr>
            <w:tcW w:w="1995" w:type="dxa"/>
            <w:gridSpan w:val="2"/>
            <w:tcBorders>
              <w:left w:val="single" w:sz="4" w:space="0" w:color="FFFFFF" w:themeColor="background2"/>
              <w:bottom w:val="single" w:sz="4" w:space="0" w:color="FFFFFF" w:themeColor="background2"/>
              <w:right w:val="single" w:sz="4" w:space="0" w:color="FFFFFF" w:themeColor="background2"/>
            </w:tcBorders>
          </w:tcPr>
          <w:p w14:paraId="2700C87A" w14:textId="77777777" w:rsidR="008E147C" w:rsidRPr="009A191E" w:rsidRDefault="008E147C" w:rsidP="00D85C52">
            <w:pPr>
              <w:pStyle w:val="Bodyromannumerals"/>
              <w:rPr>
                <w:i/>
                <w:lang w:val="en-US"/>
              </w:rPr>
            </w:pPr>
            <w:r w:rsidRPr="009A191E">
              <w:rPr>
                <w:i/>
                <w:lang w:val="en-US"/>
              </w:rPr>
              <w:t>Definition:</w:t>
            </w:r>
          </w:p>
        </w:tc>
        <w:tc>
          <w:tcPr>
            <w:tcW w:w="5563" w:type="dxa"/>
            <w:gridSpan w:val="2"/>
            <w:tcBorders>
              <w:left w:val="single" w:sz="4" w:space="0" w:color="FFFFFF" w:themeColor="background2"/>
              <w:bottom w:val="single" w:sz="4" w:space="0" w:color="FFFFFF" w:themeColor="background2"/>
              <w:right w:val="single" w:sz="4" w:space="0" w:color="FFFFFF" w:themeColor="background2"/>
            </w:tcBorders>
          </w:tcPr>
          <w:p w14:paraId="6417C91C" w14:textId="11226058" w:rsidR="008E147C" w:rsidRPr="009A191E" w:rsidRDefault="008E147C" w:rsidP="00D85C52">
            <w:pPr>
              <w:pStyle w:val="Bodyromannumerals"/>
              <w:rPr>
                <w:lang w:val="en-US"/>
              </w:rPr>
            </w:pPr>
            <w:r w:rsidRPr="009A191E">
              <w:rPr>
                <w:lang w:val="en-US"/>
              </w:rPr>
              <w:t xml:space="preserve">Population (winter) supplied during the reporting year in the </w:t>
            </w:r>
            <w:r w:rsidR="002E6A73">
              <w:rPr>
                <w:lang w:val="en-US"/>
              </w:rPr>
              <w:t>Local</w:t>
            </w:r>
            <w:r w:rsidR="00B47509" w:rsidRPr="00B47509">
              <w:rPr>
                <w:lang w:val="en-US"/>
              </w:rPr>
              <w:t xml:space="preserve"> Authority</w:t>
            </w:r>
            <w:r w:rsidRPr="009A191E">
              <w:rPr>
                <w:lang w:val="en-US"/>
              </w:rPr>
              <w:t>’s area of supply plus the holiday and tourist population defined below.</w:t>
            </w:r>
          </w:p>
          <w:p w14:paraId="7F8B1A60" w14:textId="77777777" w:rsidR="008E147C" w:rsidRPr="009A191E" w:rsidRDefault="008E147C" w:rsidP="00D85C52">
            <w:pPr>
              <w:pStyle w:val="Bodyromannumerals"/>
              <w:rPr>
                <w:lang w:val="en-US"/>
              </w:rPr>
            </w:pPr>
            <w:r w:rsidRPr="009A191E">
              <w:rPr>
                <w:lang w:val="en-US"/>
              </w:rPr>
              <w:t>The holiday and tourist population can be obtained from the tourist board estimates of the number of bed spaces available for non-residents.</w:t>
            </w:r>
          </w:p>
          <w:p w14:paraId="167FC199" w14:textId="618EE3A7" w:rsidR="008E147C" w:rsidRPr="009A191E" w:rsidRDefault="008E147C" w:rsidP="00D85C52">
            <w:pPr>
              <w:pStyle w:val="Bodyromannumerals"/>
              <w:rPr>
                <w:lang w:val="en-US"/>
              </w:rPr>
            </w:pPr>
            <w:r w:rsidRPr="009A191E">
              <w:rPr>
                <w:lang w:val="en-US"/>
              </w:rPr>
              <w:t xml:space="preserve">Except where there is firm evidence to the contrary, the </w:t>
            </w:r>
            <w:r w:rsidR="002E6A73">
              <w:rPr>
                <w:lang w:val="en-US"/>
              </w:rPr>
              <w:t>Local</w:t>
            </w:r>
            <w:r w:rsidR="00B47509" w:rsidRPr="00B47509">
              <w:rPr>
                <w:lang w:val="en-US"/>
              </w:rPr>
              <w:t xml:space="preserve"> Authority</w:t>
            </w:r>
            <w:r w:rsidRPr="009A191E">
              <w:rPr>
                <w:lang w:val="en-US"/>
              </w:rPr>
              <w:t xml:space="preserve"> should use a population based on a 2/3 occupancy rate for the peak summer month.</w:t>
            </w:r>
          </w:p>
          <w:p w14:paraId="3E32D3A3" w14:textId="1F5F9255" w:rsidR="008E147C" w:rsidRDefault="008E147C" w:rsidP="00D85C52">
            <w:pPr>
              <w:pStyle w:val="Bodyromannumerals"/>
              <w:rPr>
                <w:lang w:val="en-US"/>
              </w:rPr>
            </w:pPr>
            <w:r w:rsidRPr="009A191E">
              <w:rPr>
                <w:lang w:val="en-US"/>
              </w:rPr>
              <w:t>Note that the resultant figure will be additional to the resident population.</w:t>
            </w:r>
          </w:p>
          <w:p w14:paraId="793BA262" w14:textId="3D415EAD" w:rsidR="00455203" w:rsidRPr="009A191E" w:rsidRDefault="0073790F" w:rsidP="00D85C52">
            <w:pPr>
              <w:pStyle w:val="Bodyromannumerals"/>
              <w:rPr>
                <w:lang w:val="en-US"/>
              </w:rPr>
            </w:pPr>
            <w:r>
              <w:rPr>
                <w:lang w:val="en-US"/>
              </w:rPr>
              <w:t xml:space="preserve">As an example of how the additional summer population could be calculated, </w:t>
            </w:r>
            <w:r w:rsidR="0F9CD08F" w:rsidRPr="2C985F9B">
              <w:rPr>
                <w:lang w:val="en-US"/>
              </w:rPr>
              <w:t>Watercare used the number of guest nights reported by Stats NZ and compared the average guest nights from international visitors over the summer months (</w:t>
            </w:r>
            <w:r w:rsidR="00BF570C">
              <w:rPr>
                <w:lang w:val="en-US"/>
              </w:rPr>
              <w:t>January</w:t>
            </w:r>
            <w:r w:rsidR="00BF570C" w:rsidRPr="2C985F9B">
              <w:rPr>
                <w:lang w:val="en-US"/>
              </w:rPr>
              <w:t xml:space="preserve"> </w:t>
            </w:r>
            <w:r w:rsidR="0F9CD08F" w:rsidRPr="2C985F9B">
              <w:rPr>
                <w:lang w:val="en-US"/>
              </w:rPr>
              <w:t xml:space="preserve">to </w:t>
            </w:r>
            <w:r w:rsidR="00BF570C">
              <w:rPr>
                <w:lang w:val="en-US"/>
              </w:rPr>
              <w:t>March</w:t>
            </w:r>
            <w:r w:rsidR="0F9CD08F" w:rsidRPr="2C985F9B">
              <w:rPr>
                <w:lang w:val="en-US"/>
              </w:rPr>
              <w:t>), to the equivalent guest nights for the winter months (June to August).</w:t>
            </w:r>
            <w:r w:rsidR="69C678D0" w:rsidRPr="2C985F9B">
              <w:rPr>
                <w:lang w:val="en-US"/>
              </w:rPr>
              <w:t xml:space="preserve"> </w:t>
            </w:r>
            <w:r w:rsidR="012AC700" w:rsidRPr="2C985F9B">
              <w:rPr>
                <w:lang w:val="en-US"/>
              </w:rPr>
              <w:t>Please provide commentary on how the summer population has been estimated.</w:t>
            </w:r>
          </w:p>
          <w:p w14:paraId="3EEDF1E0" w14:textId="77777777" w:rsidR="008E147C" w:rsidRPr="009A191E" w:rsidRDefault="008E147C" w:rsidP="00D85C52">
            <w:pPr>
              <w:pStyle w:val="Bodyromannumerals"/>
              <w:rPr>
                <w:lang w:val="en-US"/>
              </w:rPr>
            </w:pPr>
            <w:r w:rsidRPr="009A191E">
              <w:rPr>
                <w:lang w:val="en-US"/>
              </w:rPr>
              <w:t>Exclude any allowance for daily commuters.</w:t>
            </w:r>
          </w:p>
        </w:tc>
      </w:tr>
      <w:tr w:rsidR="008E147C" w:rsidRPr="009A191E" w14:paraId="262631F3" w14:textId="77777777" w:rsidTr="2C985F9B">
        <w:tc>
          <w:tcPr>
            <w:tcW w:w="199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1DDE44A" w14:textId="77777777" w:rsidR="008E147C" w:rsidRPr="009A191E" w:rsidRDefault="008E147C" w:rsidP="00D85C52">
            <w:pPr>
              <w:pStyle w:val="Bodyromannumerals"/>
              <w:rPr>
                <w:i/>
                <w:lang w:val="en-US"/>
              </w:rPr>
            </w:pPr>
            <w:r w:rsidRPr="009A191E">
              <w:rPr>
                <w:i/>
                <w:lang w:val="en-US"/>
              </w:rPr>
              <w:t>Processing Rules:</w:t>
            </w:r>
          </w:p>
        </w:tc>
        <w:tc>
          <w:tcPr>
            <w:tcW w:w="556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88BCC36" w14:textId="77777777" w:rsidR="008E147C" w:rsidRPr="009A191E" w:rsidRDefault="008E147C" w:rsidP="00D85C52">
            <w:pPr>
              <w:pStyle w:val="Bodyromannumerals"/>
              <w:rPr>
                <w:lang w:val="en-US"/>
              </w:rPr>
            </w:pPr>
            <w:r w:rsidRPr="009A191E">
              <w:rPr>
                <w:lang w:val="en-US"/>
              </w:rPr>
              <w:t>Input field</w:t>
            </w:r>
          </w:p>
        </w:tc>
      </w:tr>
    </w:tbl>
    <w:p w14:paraId="2256F459" w14:textId="77777777" w:rsidR="008E147C" w:rsidRPr="009A191E" w:rsidRDefault="008E147C" w:rsidP="008E147C">
      <w:pPr>
        <w:spacing w:after="160" w:line="259" w:lineRule="auto"/>
        <w:rPr>
          <w:rFonts w:eastAsia="Calibri" w:cs="Arial"/>
          <w:b/>
          <w:color w:val="000000" w:themeColor="text1"/>
          <w:lang w:val="en-GB"/>
        </w:rPr>
      </w:pPr>
    </w:p>
    <w:p w14:paraId="6EC65BBA" w14:textId="77777777" w:rsidR="00657283" w:rsidRDefault="00657283">
      <w:pPr>
        <w:spacing w:after="160" w:line="259" w:lineRule="auto"/>
        <w:rPr>
          <w:rFonts w:ascii="Calibri" w:hAnsi="Calibri" w:cs="Calibri"/>
          <w:b/>
          <w:color w:val="182B46"/>
          <w:sz w:val="26"/>
          <w:lang w:val="en-GB"/>
        </w:rPr>
      </w:pPr>
      <w:r>
        <w:rPr>
          <w:lang w:val="en-GB"/>
        </w:rPr>
        <w:br w:type="page"/>
      </w:r>
    </w:p>
    <w:p w14:paraId="7CE8AF3A" w14:textId="2DE73DBB" w:rsidR="008E147C" w:rsidRPr="009A191E" w:rsidRDefault="008E147C" w:rsidP="00596058">
      <w:pPr>
        <w:pStyle w:val="Sectionsub-heading"/>
        <w:rPr>
          <w:lang w:val="en-GB"/>
        </w:rPr>
      </w:pPr>
      <w:r w:rsidRPr="009A191E">
        <w:rPr>
          <w:lang w:val="en-GB"/>
        </w:rPr>
        <w:lastRenderedPageBreak/>
        <w:t xml:space="preserve">BLOCK 8: </w:t>
      </w:r>
      <w:r w:rsidR="00BB5A05">
        <w:rPr>
          <w:lang w:val="en-GB"/>
        </w:rPr>
        <w:t>HOUSEHOLD</w:t>
      </w:r>
      <w:r w:rsidRPr="009A191E">
        <w:rPr>
          <w:lang w:val="en-GB"/>
        </w:rPr>
        <w:t xml:space="preserve"> – POPULATION</w:t>
      </w:r>
    </w:p>
    <w:tbl>
      <w:tblPr>
        <w:tblStyle w:val="TableGrid3"/>
        <w:tblW w:w="7558" w:type="dxa"/>
        <w:tblLook w:val="04A0" w:firstRow="1" w:lastRow="0" w:firstColumn="1" w:lastColumn="0" w:noHBand="0" w:noVBand="1"/>
      </w:tblPr>
      <w:tblGrid>
        <w:gridCol w:w="1050"/>
        <w:gridCol w:w="937"/>
        <w:gridCol w:w="4458"/>
        <w:gridCol w:w="1113"/>
      </w:tblGrid>
      <w:tr w:rsidR="008E147C" w:rsidRPr="009A191E" w14:paraId="2DCEE399" w14:textId="77777777" w:rsidTr="2C985F9B">
        <w:tc>
          <w:tcPr>
            <w:tcW w:w="1050" w:type="dxa"/>
          </w:tcPr>
          <w:p w14:paraId="05974D6B" w14:textId="6381DAEB" w:rsidR="008E147C" w:rsidRPr="00C130F2" w:rsidRDefault="008E147C" w:rsidP="00596058">
            <w:pPr>
              <w:pStyle w:val="Bodyromannumerals"/>
              <w:rPr>
                <w:b/>
                <w:bCs/>
                <w:lang w:val="en-US"/>
              </w:rPr>
            </w:pPr>
            <w:r w:rsidRPr="00C130F2">
              <w:rPr>
                <w:b/>
                <w:bCs/>
                <w:lang w:val="en-US"/>
              </w:rPr>
              <w:t>A1.4</w:t>
            </w:r>
            <w:r w:rsidR="00B540F6">
              <w:rPr>
                <w:b/>
                <w:bCs/>
                <w:lang w:val="en-US"/>
              </w:rPr>
              <w:t>5</w:t>
            </w:r>
          </w:p>
        </w:tc>
        <w:tc>
          <w:tcPr>
            <w:tcW w:w="5395" w:type="dxa"/>
            <w:gridSpan w:val="2"/>
          </w:tcPr>
          <w:p w14:paraId="1881B367" w14:textId="1B37F55E" w:rsidR="008E147C" w:rsidRPr="00C130F2" w:rsidRDefault="008E147C" w:rsidP="00596058">
            <w:pPr>
              <w:pStyle w:val="Bodyromannumerals"/>
              <w:rPr>
                <w:b/>
                <w:bCs/>
                <w:lang w:val="en-US"/>
              </w:rPr>
            </w:pPr>
            <w:r w:rsidRPr="00C130F2">
              <w:rPr>
                <w:b/>
                <w:bCs/>
                <w:lang w:val="en-US"/>
              </w:rPr>
              <w:t xml:space="preserve">Population of unmeasured </w:t>
            </w:r>
            <w:r w:rsidR="00BB5A05">
              <w:rPr>
                <w:b/>
                <w:bCs/>
                <w:lang w:val="en-US"/>
              </w:rPr>
              <w:t>household</w:t>
            </w:r>
            <w:r w:rsidRPr="00C130F2">
              <w:rPr>
                <w:b/>
                <w:bCs/>
                <w:lang w:val="en-US"/>
              </w:rPr>
              <w:t xml:space="preserve"> properties</w:t>
            </w:r>
          </w:p>
        </w:tc>
        <w:tc>
          <w:tcPr>
            <w:tcW w:w="1113" w:type="dxa"/>
          </w:tcPr>
          <w:p w14:paraId="42CC2C5E" w14:textId="77777777" w:rsidR="008E147C" w:rsidRPr="00C130F2" w:rsidRDefault="008E147C" w:rsidP="00596058">
            <w:pPr>
              <w:pStyle w:val="Bodyromannumerals"/>
              <w:rPr>
                <w:b/>
                <w:bCs/>
                <w:lang w:val="en-US"/>
              </w:rPr>
            </w:pPr>
            <w:r w:rsidRPr="00C130F2">
              <w:rPr>
                <w:b/>
                <w:bCs/>
                <w:lang w:val="en-US"/>
              </w:rPr>
              <w:t>000</w:t>
            </w:r>
          </w:p>
        </w:tc>
      </w:tr>
      <w:tr w:rsidR="008E147C" w:rsidRPr="009A191E" w14:paraId="4FB968E8" w14:textId="77777777" w:rsidTr="2C985F9B">
        <w:tc>
          <w:tcPr>
            <w:tcW w:w="1987" w:type="dxa"/>
            <w:gridSpan w:val="2"/>
            <w:tcBorders>
              <w:left w:val="single" w:sz="4" w:space="0" w:color="FFFFFF" w:themeColor="background2"/>
              <w:bottom w:val="single" w:sz="4" w:space="0" w:color="FFFFFF" w:themeColor="background2"/>
              <w:right w:val="single" w:sz="4" w:space="0" w:color="FFFFFF" w:themeColor="background2"/>
            </w:tcBorders>
          </w:tcPr>
          <w:p w14:paraId="74FE2910" w14:textId="77777777" w:rsidR="008E147C" w:rsidRPr="009A191E" w:rsidRDefault="008E147C" w:rsidP="00596058">
            <w:pPr>
              <w:pStyle w:val="Bodyromannumerals"/>
              <w:rPr>
                <w:i/>
                <w:lang w:val="en-US"/>
              </w:rPr>
            </w:pPr>
            <w:r w:rsidRPr="009A191E">
              <w:rPr>
                <w:i/>
                <w:lang w:val="en-US"/>
              </w:rPr>
              <w:t>Definition:</w:t>
            </w:r>
          </w:p>
        </w:tc>
        <w:tc>
          <w:tcPr>
            <w:tcW w:w="5571" w:type="dxa"/>
            <w:gridSpan w:val="2"/>
            <w:tcBorders>
              <w:left w:val="single" w:sz="4" w:space="0" w:color="FFFFFF" w:themeColor="background2"/>
              <w:bottom w:val="single" w:sz="4" w:space="0" w:color="FFFFFF" w:themeColor="background2"/>
              <w:right w:val="single" w:sz="4" w:space="0" w:color="FFFFFF" w:themeColor="background2"/>
            </w:tcBorders>
          </w:tcPr>
          <w:p w14:paraId="557A4BC3" w14:textId="4CCCE719" w:rsidR="008E147C" w:rsidRPr="009A191E" w:rsidRDefault="008E147C" w:rsidP="00596058">
            <w:pPr>
              <w:pStyle w:val="Bodyromannumerals"/>
              <w:rPr>
                <w:lang w:val="en-US"/>
              </w:rPr>
            </w:pPr>
            <w:r w:rsidRPr="009A191E">
              <w:rPr>
                <w:lang w:val="en-US"/>
              </w:rPr>
              <w:t xml:space="preserve">Population (winter) supplied </w:t>
            </w:r>
            <w:r w:rsidR="00455203">
              <w:rPr>
                <w:lang w:val="en-US"/>
              </w:rPr>
              <w:t>at the financial year end (30 June)</w:t>
            </w:r>
            <w:r w:rsidR="00455203" w:rsidRPr="009A191E">
              <w:rPr>
                <w:lang w:val="en-US"/>
              </w:rPr>
              <w:t xml:space="preserve"> </w:t>
            </w:r>
            <w:r w:rsidRPr="009A191E">
              <w:rPr>
                <w:lang w:val="en-US"/>
              </w:rPr>
              <w:t xml:space="preserve">occupying unmeasured </w:t>
            </w:r>
            <w:r w:rsidR="00BB5A05">
              <w:rPr>
                <w:lang w:val="en-US"/>
              </w:rPr>
              <w:t>household</w:t>
            </w:r>
            <w:r w:rsidRPr="009A191E">
              <w:rPr>
                <w:lang w:val="en-US"/>
              </w:rPr>
              <w:t xml:space="preserve"> properties.</w:t>
            </w:r>
          </w:p>
        </w:tc>
      </w:tr>
      <w:tr w:rsidR="008E147C" w:rsidRPr="009A191E" w14:paraId="256EE2DC" w14:textId="77777777" w:rsidTr="2C985F9B">
        <w:tc>
          <w:tcPr>
            <w:tcW w:w="19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6FA69CB" w14:textId="77777777" w:rsidR="008E147C" w:rsidRPr="009A191E" w:rsidRDefault="008E147C" w:rsidP="00596058">
            <w:pPr>
              <w:pStyle w:val="Bodyromannumerals"/>
              <w:rPr>
                <w:i/>
                <w:lang w:val="en-US"/>
              </w:rPr>
            </w:pPr>
            <w:r w:rsidRPr="009A191E">
              <w:rPr>
                <w:i/>
                <w:lang w:val="en-US"/>
              </w:rPr>
              <w:t>Processing Rules:</w:t>
            </w:r>
          </w:p>
        </w:tc>
        <w:tc>
          <w:tcPr>
            <w:tcW w:w="557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FB95E99" w14:textId="77777777" w:rsidR="008E147C" w:rsidRPr="009A191E" w:rsidRDefault="008E147C" w:rsidP="00596058">
            <w:pPr>
              <w:pStyle w:val="Bodyromannumerals"/>
              <w:rPr>
                <w:lang w:val="en-US"/>
              </w:rPr>
            </w:pPr>
            <w:r w:rsidRPr="009A191E">
              <w:rPr>
                <w:lang w:val="en-US"/>
              </w:rPr>
              <w:t>Input field</w:t>
            </w:r>
          </w:p>
        </w:tc>
      </w:tr>
      <w:tr w:rsidR="008E147C" w:rsidRPr="009A191E" w14:paraId="2E53F8D8" w14:textId="77777777" w:rsidTr="2C985F9B">
        <w:tc>
          <w:tcPr>
            <w:tcW w:w="1050" w:type="dxa"/>
          </w:tcPr>
          <w:p w14:paraId="2A01CC25" w14:textId="07B84C5C" w:rsidR="008E147C" w:rsidRPr="00C130F2" w:rsidRDefault="008E147C" w:rsidP="00596058">
            <w:pPr>
              <w:pStyle w:val="Bodyromannumerals"/>
              <w:rPr>
                <w:b/>
                <w:bCs/>
                <w:lang w:val="en-US"/>
              </w:rPr>
            </w:pPr>
            <w:r w:rsidRPr="00C130F2">
              <w:rPr>
                <w:b/>
                <w:bCs/>
                <w:lang w:val="en-US"/>
              </w:rPr>
              <w:t>A1.4</w:t>
            </w:r>
            <w:r w:rsidR="00B540F6">
              <w:rPr>
                <w:b/>
                <w:bCs/>
                <w:lang w:val="en-US"/>
              </w:rPr>
              <w:t>6</w:t>
            </w:r>
          </w:p>
        </w:tc>
        <w:tc>
          <w:tcPr>
            <w:tcW w:w="5395" w:type="dxa"/>
            <w:gridSpan w:val="2"/>
          </w:tcPr>
          <w:p w14:paraId="22016017" w14:textId="6BCA7CA7" w:rsidR="008E147C" w:rsidRPr="00C130F2" w:rsidRDefault="008E147C" w:rsidP="00596058">
            <w:pPr>
              <w:pStyle w:val="Bodyromannumerals"/>
              <w:rPr>
                <w:b/>
                <w:bCs/>
                <w:lang w:val="en-US"/>
              </w:rPr>
            </w:pPr>
            <w:r w:rsidRPr="00C130F2">
              <w:rPr>
                <w:b/>
                <w:bCs/>
                <w:lang w:val="en-US"/>
              </w:rPr>
              <w:t xml:space="preserve">Population of measured </w:t>
            </w:r>
            <w:r w:rsidR="00BB5A05">
              <w:rPr>
                <w:b/>
                <w:bCs/>
                <w:lang w:val="en-US"/>
              </w:rPr>
              <w:t>household</w:t>
            </w:r>
            <w:r w:rsidRPr="00C130F2">
              <w:rPr>
                <w:b/>
                <w:bCs/>
                <w:lang w:val="en-US"/>
              </w:rPr>
              <w:t xml:space="preserve"> properties</w:t>
            </w:r>
          </w:p>
        </w:tc>
        <w:tc>
          <w:tcPr>
            <w:tcW w:w="1113" w:type="dxa"/>
          </w:tcPr>
          <w:p w14:paraId="29D0121F" w14:textId="77777777" w:rsidR="008E147C" w:rsidRPr="00C130F2" w:rsidRDefault="008E147C" w:rsidP="00596058">
            <w:pPr>
              <w:pStyle w:val="Bodyromannumerals"/>
              <w:rPr>
                <w:b/>
                <w:bCs/>
                <w:lang w:val="en-US"/>
              </w:rPr>
            </w:pPr>
            <w:r w:rsidRPr="00C130F2">
              <w:rPr>
                <w:b/>
                <w:bCs/>
                <w:lang w:val="en-US"/>
              </w:rPr>
              <w:t>000</w:t>
            </w:r>
          </w:p>
        </w:tc>
      </w:tr>
      <w:tr w:rsidR="008E147C" w:rsidRPr="009A191E" w14:paraId="51ABBD1B" w14:textId="77777777" w:rsidTr="2C985F9B">
        <w:tc>
          <w:tcPr>
            <w:tcW w:w="1987" w:type="dxa"/>
            <w:gridSpan w:val="2"/>
            <w:tcBorders>
              <w:left w:val="single" w:sz="4" w:space="0" w:color="FFFFFF" w:themeColor="background2"/>
              <w:bottom w:val="single" w:sz="4" w:space="0" w:color="FFFFFF" w:themeColor="background2"/>
              <w:right w:val="single" w:sz="4" w:space="0" w:color="FFFFFF" w:themeColor="background2"/>
            </w:tcBorders>
          </w:tcPr>
          <w:p w14:paraId="667E382E" w14:textId="77777777" w:rsidR="008E147C" w:rsidRPr="009A191E" w:rsidRDefault="008E147C" w:rsidP="00596058">
            <w:pPr>
              <w:pStyle w:val="Bodyromannumerals"/>
              <w:rPr>
                <w:i/>
                <w:lang w:val="en-US"/>
              </w:rPr>
            </w:pPr>
            <w:r w:rsidRPr="009A191E">
              <w:rPr>
                <w:i/>
                <w:lang w:val="en-US"/>
              </w:rPr>
              <w:t>Definition:</w:t>
            </w:r>
          </w:p>
        </w:tc>
        <w:tc>
          <w:tcPr>
            <w:tcW w:w="5571" w:type="dxa"/>
            <w:gridSpan w:val="2"/>
            <w:tcBorders>
              <w:left w:val="single" w:sz="4" w:space="0" w:color="FFFFFF" w:themeColor="background2"/>
              <w:bottom w:val="single" w:sz="4" w:space="0" w:color="FFFFFF" w:themeColor="background2"/>
              <w:right w:val="single" w:sz="4" w:space="0" w:color="FFFFFF" w:themeColor="background2"/>
            </w:tcBorders>
          </w:tcPr>
          <w:p w14:paraId="133E2204" w14:textId="521CF2F3" w:rsidR="008E147C" w:rsidRPr="009A191E" w:rsidRDefault="008E147C" w:rsidP="00596058">
            <w:pPr>
              <w:pStyle w:val="Bodyromannumerals"/>
              <w:rPr>
                <w:lang w:val="en-US"/>
              </w:rPr>
            </w:pPr>
            <w:r w:rsidRPr="009A191E">
              <w:rPr>
                <w:lang w:val="en-US"/>
              </w:rPr>
              <w:t xml:space="preserve">Population (winter) supplied </w:t>
            </w:r>
            <w:r w:rsidR="00455203">
              <w:rPr>
                <w:lang w:val="en-US"/>
              </w:rPr>
              <w:t>at the financial year end (30 June)</w:t>
            </w:r>
            <w:r w:rsidR="00455203" w:rsidRPr="009A191E">
              <w:rPr>
                <w:lang w:val="en-US"/>
              </w:rPr>
              <w:t xml:space="preserve"> </w:t>
            </w:r>
            <w:r w:rsidRPr="009A191E">
              <w:rPr>
                <w:lang w:val="en-US"/>
              </w:rPr>
              <w:t xml:space="preserve">occupying measured </w:t>
            </w:r>
            <w:r w:rsidR="00BB5A05">
              <w:rPr>
                <w:lang w:val="en-US"/>
              </w:rPr>
              <w:t>household</w:t>
            </w:r>
            <w:r w:rsidRPr="009A191E">
              <w:rPr>
                <w:lang w:val="en-US"/>
              </w:rPr>
              <w:t xml:space="preserve"> properties.</w:t>
            </w:r>
          </w:p>
        </w:tc>
      </w:tr>
      <w:tr w:rsidR="008E147C" w:rsidRPr="009A191E" w14:paraId="17582A45" w14:textId="77777777" w:rsidTr="2C985F9B">
        <w:tc>
          <w:tcPr>
            <w:tcW w:w="19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482A3DA" w14:textId="77777777" w:rsidR="008E147C" w:rsidRPr="009A191E" w:rsidRDefault="008E147C" w:rsidP="00596058">
            <w:pPr>
              <w:pStyle w:val="Bodyromannumerals"/>
              <w:rPr>
                <w:i/>
                <w:lang w:val="en-US"/>
              </w:rPr>
            </w:pPr>
            <w:r w:rsidRPr="009A191E">
              <w:rPr>
                <w:i/>
                <w:lang w:val="en-US"/>
              </w:rPr>
              <w:t>Processing Rules:</w:t>
            </w:r>
          </w:p>
        </w:tc>
        <w:tc>
          <w:tcPr>
            <w:tcW w:w="557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2D4C360" w14:textId="77777777" w:rsidR="008E147C" w:rsidRPr="009A191E" w:rsidRDefault="008E147C" w:rsidP="00596058">
            <w:pPr>
              <w:pStyle w:val="Bodyromannumerals"/>
              <w:rPr>
                <w:lang w:val="en-US"/>
              </w:rPr>
            </w:pPr>
            <w:r w:rsidRPr="009A191E">
              <w:rPr>
                <w:lang w:val="en-US"/>
              </w:rPr>
              <w:t>Input field</w:t>
            </w:r>
          </w:p>
        </w:tc>
      </w:tr>
      <w:tr w:rsidR="008E147C" w:rsidRPr="009A191E" w14:paraId="64A8422A" w14:textId="77777777" w:rsidTr="2C985F9B">
        <w:tc>
          <w:tcPr>
            <w:tcW w:w="1050" w:type="dxa"/>
          </w:tcPr>
          <w:p w14:paraId="2C5A5E3A" w14:textId="44560784" w:rsidR="008E147C" w:rsidRPr="00C130F2" w:rsidRDefault="008E147C" w:rsidP="00596058">
            <w:pPr>
              <w:pStyle w:val="Bodyromannumerals"/>
              <w:rPr>
                <w:b/>
                <w:bCs/>
                <w:lang w:val="en-US"/>
              </w:rPr>
            </w:pPr>
            <w:bookmarkStart w:id="4" w:name="_Hlk510014570"/>
            <w:r w:rsidRPr="00C130F2">
              <w:rPr>
                <w:b/>
                <w:bCs/>
                <w:lang w:val="en-US"/>
              </w:rPr>
              <w:t>A1.4</w:t>
            </w:r>
            <w:r w:rsidR="00B540F6">
              <w:rPr>
                <w:b/>
                <w:bCs/>
                <w:lang w:val="en-US"/>
              </w:rPr>
              <w:t>7</w:t>
            </w:r>
          </w:p>
        </w:tc>
        <w:tc>
          <w:tcPr>
            <w:tcW w:w="5395" w:type="dxa"/>
            <w:gridSpan w:val="2"/>
          </w:tcPr>
          <w:p w14:paraId="21DDA3A6" w14:textId="3BA13DDA" w:rsidR="008E147C" w:rsidRPr="00C130F2" w:rsidRDefault="00BB5A05" w:rsidP="00596058">
            <w:pPr>
              <w:pStyle w:val="Bodyromannumerals"/>
              <w:rPr>
                <w:b/>
                <w:bCs/>
                <w:lang w:val="en-US"/>
              </w:rPr>
            </w:pPr>
            <w:r>
              <w:rPr>
                <w:b/>
                <w:bCs/>
                <w:lang w:val="en-US"/>
              </w:rPr>
              <w:t>Household</w:t>
            </w:r>
            <w:r w:rsidR="008E147C" w:rsidRPr="00C130F2">
              <w:rPr>
                <w:b/>
                <w:bCs/>
                <w:lang w:val="en-US"/>
              </w:rPr>
              <w:t xml:space="preserve"> population connected to the water service</w:t>
            </w:r>
          </w:p>
        </w:tc>
        <w:tc>
          <w:tcPr>
            <w:tcW w:w="1113" w:type="dxa"/>
          </w:tcPr>
          <w:p w14:paraId="4EDBE335" w14:textId="77777777" w:rsidR="008E147C" w:rsidRPr="00C130F2" w:rsidRDefault="008E147C" w:rsidP="00596058">
            <w:pPr>
              <w:pStyle w:val="Bodyromannumerals"/>
              <w:rPr>
                <w:b/>
                <w:bCs/>
                <w:lang w:val="en-US"/>
              </w:rPr>
            </w:pPr>
            <w:r w:rsidRPr="00C130F2">
              <w:rPr>
                <w:b/>
                <w:bCs/>
                <w:lang w:val="en-US"/>
              </w:rPr>
              <w:t>000</w:t>
            </w:r>
          </w:p>
        </w:tc>
      </w:tr>
      <w:tr w:rsidR="008E147C" w:rsidRPr="009A191E" w14:paraId="5E2D9645" w14:textId="77777777" w:rsidTr="2C985F9B">
        <w:tc>
          <w:tcPr>
            <w:tcW w:w="1987" w:type="dxa"/>
            <w:gridSpan w:val="2"/>
            <w:tcBorders>
              <w:left w:val="single" w:sz="4" w:space="0" w:color="FFFFFF" w:themeColor="background2"/>
              <w:bottom w:val="single" w:sz="4" w:space="0" w:color="FFFFFF" w:themeColor="background2"/>
              <w:right w:val="single" w:sz="4" w:space="0" w:color="FFFFFF" w:themeColor="background2"/>
            </w:tcBorders>
          </w:tcPr>
          <w:p w14:paraId="25FF4443" w14:textId="77777777" w:rsidR="008E147C" w:rsidRPr="009A191E" w:rsidRDefault="008E147C" w:rsidP="00596058">
            <w:pPr>
              <w:pStyle w:val="Bodyromannumerals"/>
              <w:rPr>
                <w:i/>
                <w:lang w:val="en-US"/>
              </w:rPr>
            </w:pPr>
            <w:r w:rsidRPr="009A191E">
              <w:rPr>
                <w:i/>
                <w:lang w:val="en-US"/>
              </w:rPr>
              <w:t>Definition:</w:t>
            </w:r>
          </w:p>
        </w:tc>
        <w:tc>
          <w:tcPr>
            <w:tcW w:w="5571" w:type="dxa"/>
            <w:gridSpan w:val="2"/>
            <w:tcBorders>
              <w:left w:val="single" w:sz="4" w:space="0" w:color="FFFFFF" w:themeColor="background2"/>
              <w:bottom w:val="single" w:sz="4" w:space="0" w:color="FFFFFF" w:themeColor="background2"/>
              <w:right w:val="single" w:sz="4" w:space="0" w:color="FFFFFF" w:themeColor="background2"/>
            </w:tcBorders>
          </w:tcPr>
          <w:p w14:paraId="4CEA939C" w14:textId="33CEAB6A" w:rsidR="008E147C" w:rsidRPr="009A191E" w:rsidRDefault="008E147C" w:rsidP="00596058">
            <w:pPr>
              <w:pStyle w:val="Bodyromannumerals"/>
              <w:rPr>
                <w:lang w:val="en-US"/>
              </w:rPr>
            </w:pPr>
            <w:r w:rsidRPr="009A191E">
              <w:rPr>
                <w:lang w:val="en-US"/>
              </w:rPr>
              <w:t xml:space="preserve">Population (winter) supplied </w:t>
            </w:r>
            <w:r w:rsidR="00455203">
              <w:rPr>
                <w:lang w:val="en-US"/>
              </w:rPr>
              <w:t>at the financial year end (30 June)</w:t>
            </w:r>
            <w:r w:rsidR="00455203" w:rsidRPr="009A191E">
              <w:rPr>
                <w:lang w:val="en-US"/>
              </w:rPr>
              <w:t xml:space="preserve"> </w:t>
            </w:r>
            <w:r w:rsidRPr="009A191E">
              <w:rPr>
                <w:lang w:val="en-US"/>
              </w:rPr>
              <w:t xml:space="preserve">occupying </w:t>
            </w:r>
            <w:r w:rsidR="00643536">
              <w:rPr>
                <w:lang w:val="en-US"/>
              </w:rPr>
              <w:t>household</w:t>
            </w:r>
            <w:r w:rsidR="00643536" w:rsidRPr="009A191E">
              <w:rPr>
                <w:lang w:val="en-US"/>
              </w:rPr>
              <w:t xml:space="preserve"> </w:t>
            </w:r>
            <w:r w:rsidRPr="009A191E">
              <w:rPr>
                <w:lang w:val="en-US"/>
              </w:rPr>
              <w:t>properties.</w:t>
            </w:r>
          </w:p>
        </w:tc>
      </w:tr>
      <w:tr w:rsidR="008E147C" w:rsidRPr="009A191E" w14:paraId="2781BCBF" w14:textId="77777777" w:rsidTr="2C985F9B">
        <w:tc>
          <w:tcPr>
            <w:tcW w:w="19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5EAC3AA" w14:textId="77777777" w:rsidR="008E147C" w:rsidRPr="009A191E" w:rsidRDefault="008E147C" w:rsidP="00596058">
            <w:pPr>
              <w:pStyle w:val="Bodyromannumerals"/>
              <w:rPr>
                <w:i/>
                <w:lang w:val="en-US"/>
              </w:rPr>
            </w:pPr>
            <w:r w:rsidRPr="009A191E">
              <w:rPr>
                <w:i/>
                <w:lang w:val="en-US"/>
              </w:rPr>
              <w:t>Processing Rules:</w:t>
            </w:r>
          </w:p>
        </w:tc>
        <w:tc>
          <w:tcPr>
            <w:tcW w:w="557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A610821" w14:textId="2F99F0D4" w:rsidR="008E147C" w:rsidRPr="009A191E" w:rsidRDefault="008E147C" w:rsidP="00596058">
            <w:pPr>
              <w:pStyle w:val="Bodyromannumerals"/>
              <w:rPr>
                <w:lang w:val="en-US"/>
              </w:rPr>
            </w:pPr>
            <w:r w:rsidRPr="009A191E">
              <w:rPr>
                <w:lang w:val="en-US"/>
              </w:rPr>
              <w:t>Calculated field: The sum of A1.</w:t>
            </w:r>
            <w:r w:rsidR="00206FA8" w:rsidRPr="009A191E">
              <w:rPr>
                <w:lang w:val="en-US"/>
              </w:rPr>
              <w:t>4</w:t>
            </w:r>
            <w:r w:rsidR="00206FA8">
              <w:rPr>
                <w:lang w:val="en-US"/>
              </w:rPr>
              <w:t>5</w:t>
            </w:r>
            <w:r w:rsidR="00206FA8" w:rsidRPr="009A191E">
              <w:rPr>
                <w:lang w:val="en-US"/>
              </w:rPr>
              <w:t xml:space="preserve"> </w:t>
            </w:r>
            <w:r w:rsidRPr="009A191E">
              <w:rPr>
                <w:lang w:val="en-US"/>
              </w:rPr>
              <w:t>and A1.</w:t>
            </w:r>
            <w:r w:rsidR="00206FA8" w:rsidRPr="009A191E">
              <w:rPr>
                <w:lang w:val="en-US"/>
              </w:rPr>
              <w:t>4</w:t>
            </w:r>
            <w:r w:rsidR="00206FA8">
              <w:rPr>
                <w:lang w:val="en-US"/>
              </w:rPr>
              <w:t>6</w:t>
            </w:r>
            <w:r w:rsidRPr="009A191E">
              <w:rPr>
                <w:lang w:val="en-US"/>
              </w:rPr>
              <w:t>.</w:t>
            </w:r>
          </w:p>
        </w:tc>
      </w:tr>
      <w:bookmarkEnd w:id="4"/>
    </w:tbl>
    <w:p w14:paraId="2E557B51" w14:textId="0D987858" w:rsidR="008E147C" w:rsidRPr="009A191E" w:rsidRDefault="0006382C" w:rsidP="00C130F2">
      <w:pPr>
        <w:pStyle w:val="Title1"/>
        <w:rPr>
          <w:lang w:val="en-GB"/>
        </w:rPr>
      </w:pPr>
      <w:r>
        <w:rPr>
          <w:lang w:val="en-GB"/>
        </w:rPr>
        <w:br w:type="page"/>
      </w:r>
      <w:r w:rsidR="008E147C" w:rsidRPr="009A191E">
        <w:rPr>
          <w:lang w:val="en-GB"/>
        </w:rPr>
        <w:lastRenderedPageBreak/>
        <w:t>TABLE A2: WATER VOLUMES</w:t>
      </w:r>
    </w:p>
    <w:p w14:paraId="2068A6DF" w14:textId="0BAE5CC5" w:rsidR="008E147C" w:rsidRPr="009A191E" w:rsidRDefault="008E147C" w:rsidP="00C130F2">
      <w:pPr>
        <w:pStyle w:val="Sectionsub-heading"/>
        <w:rPr>
          <w:lang w:val="en-GB"/>
        </w:rPr>
      </w:pPr>
      <w:r w:rsidRPr="009A191E">
        <w:rPr>
          <w:lang w:val="en-GB"/>
        </w:rPr>
        <w:t xml:space="preserve">Water </w:t>
      </w:r>
      <w:r w:rsidR="009121CF">
        <w:rPr>
          <w:lang w:val="en-GB"/>
        </w:rPr>
        <w:t>d</w:t>
      </w:r>
      <w:r w:rsidRPr="009A191E">
        <w:rPr>
          <w:lang w:val="en-GB"/>
        </w:rPr>
        <w:t xml:space="preserve">elivered – </w:t>
      </w:r>
      <w:r w:rsidR="009121CF">
        <w:rPr>
          <w:lang w:val="en-GB"/>
        </w:rPr>
        <w:t>v</w:t>
      </w:r>
      <w:r w:rsidRPr="009A191E">
        <w:rPr>
          <w:lang w:val="en-GB"/>
        </w:rPr>
        <w:t xml:space="preserve">olumes (measured, unmeasured, </w:t>
      </w:r>
      <w:r w:rsidR="00BB5A05">
        <w:rPr>
          <w:lang w:val="en-GB"/>
        </w:rPr>
        <w:t>household</w:t>
      </w:r>
      <w:r w:rsidRPr="009A191E">
        <w:rPr>
          <w:lang w:val="en-GB"/>
        </w:rPr>
        <w:t xml:space="preserve"> and non-</w:t>
      </w:r>
      <w:r w:rsidR="00BB5A05">
        <w:rPr>
          <w:lang w:val="en-GB"/>
        </w:rPr>
        <w:t>household</w:t>
      </w:r>
      <w:r w:rsidRPr="009A191E">
        <w:rPr>
          <w:lang w:val="en-GB"/>
        </w:rPr>
        <w:t>).</w:t>
      </w:r>
    </w:p>
    <w:p w14:paraId="69D687AF" w14:textId="48A4899C" w:rsidR="008E147C" w:rsidRPr="00B03104" w:rsidRDefault="008E147C" w:rsidP="00871522">
      <w:pPr>
        <w:pStyle w:val="Bodynumbercopy"/>
        <w:numPr>
          <w:ilvl w:val="0"/>
          <w:numId w:val="25"/>
        </w:numPr>
        <w:rPr>
          <w:lang w:val="en-GB"/>
        </w:rPr>
      </w:pPr>
      <w:r w:rsidRPr="00B03104">
        <w:rPr>
          <w:lang w:val="en-GB"/>
        </w:rPr>
        <w:t xml:space="preserve">This records the total volume of water, in </w:t>
      </w:r>
      <w:r w:rsidRPr="00A96EA6">
        <w:rPr>
          <w:b/>
          <w:bCs/>
          <w:lang w:val="en-GB"/>
        </w:rPr>
        <w:t>megalitres</w:t>
      </w:r>
      <w:r w:rsidRPr="00B03104">
        <w:rPr>
          <w:lang w:val="en-GB"/>
        </w:rPr>
        <w:t xml:space="preserve"> per day</w:t>
      </w:r>
      <w:r w:rsidR="00483F97">
        <w:rPr>
          <w:lang w:val="en-GB"/>
        </w:rPr>
        <w:t xml:space="preserve"> (in units of 1,000m</w:t>
      </w:r>
      <w:r w:rsidR="00483F97" w:rsidRPr="009F0A88">
        <w:rPr>
          <w:vertAlign w:val="superscript"/>
          <w:lang w:val="en-GB"/>
        </w:rPr>
        <w:t>3</w:t>
      </w:r>
      <w:r w:rsidR="00483F97">
        <w:rPr>
          <w:lang w:val="en-GB"/>
        </w:rPr>
        <w:t>)</w:t>
      </w:r>
      <w:r w:rsidRPr="00B03104">
        <w:rPr>
          <w:lang w:val="en-GB"/>
        </w:rPr>
        <w:t xml:space="preserve">, which is delivered to measured and unmeasured </w:t>
      </w:r>
      <w:r w:rsidR="00BB5A05">
        <w:rPr>
          <w:lang w:val="en-GB"/>
        </w:rPr>
        <w:t>households</w:t>
      </w:r>
      <w:r w:rsidRPr="00B03104">
        <w:rPr>
          <w:lang w:val="en-GB"/>
        </w:rPr>
        <w:t xml:space="preserve"> and non-</w:t>
      </w:r>
      <w:r w:rsidR="00BB5A05">
        <w:rPr>
          <w:lang w:val="en-GB"/>
        </w:rPr>
        <w:t>household</w:t>
      </w:r>
      <w:r w:rsidRPr="00B03104">
        <w:rPr>
          <w:lang w:val="en-GB"/>
        </w:rPr>
        <w:t xml:space="preserve"> properties</w:t>
      </w:r>
      <w:r w:rsidR="00D10510" w:rsidRPr="00B03104">
        <w:rPr>
          <w:lang w:val="en-GB"/>
        </w:rPr>
        <w:t xml:space="preserve"> in the </w:t>
      </w:r>
      <w:r w:rsidR="002E6A73">
        <w:rPr>
          <w:lang w:val="en-GB"/>
        </w:rPr>
        <w:t>Local</w:t>
      </w:r>
      <w:r w:rsidR="00D10510" w:rsidRPr="00B03104">
        <w:rPr>
          <w:lang w:val="en-GB"/>
        </w:rPr>
        <w:t xml:space="preserve"> Authority area</w:t>
      </w:r>
      <w:r w:rsidRPr="00B03104">
        <w:rPr>
          <w:lang w:val="en-GB"/>
        </w:rPr>
        <w:t>.</w:t>
      </w:r>
      <w:r w:rsidR="006E5C15">
        <w:rPr>
          <w:lang w:val="en-GB"/>
        </w:rPr>
        <w:t xml:space="preserve"> </w:t>
      </w:r>
    </w:p>
    <w:p w14:paraId="66203A22" w14:textId="13F496D7" w:rsidR="008E147C" w:rsidRPr="005677DF" w:rsidRDefault="008E147C" w:rsidP="005677DF">
      <w:pPr>
        <w:pStyle w:val="Bodynumbercopy"/>
        <w:rPr>
          <w:lang w:val="en-GB"/>
        </w:rPr>
      </w:pPr>
      <w:r w:rsidRPr="005677DF">
        <w:rPr>
          <w:lang w:val="en-GB"/>
        </w:rPr>
        <w:t>A number of the components included in this section, such as per capita consumption, meter under-registration or unmeasured non-</w:t>
      </w:r>
      <w:r w:rsidR="00BB5A05">
        <w:rPr>
          <w:lang w:val="en-GB"/>
        </w:rPr>
        <w:t>households</w:t>
      </w:r>
      <w:r w:rsidRPr="005677DF">
        <w:rPr>
          <w:lang w:val="en-GB"/>
        </w:rPr>
        <w:t xml:space="preserve"> use, are used to estimate water delivered volumes.</w:t>
      </w:r>
    </w:p>
    <w:p w14:paraId="30DACECE" w14:textId="6CB987A5" w:rsidR="002D6B3A" w:rsidRPr="005677DF" w:rsidRDefault="002D6B3A" w:rsidP="005677DF">
      <w:pPr>
        <w:pStyle w:val="Bodynumbercopy"/>
        <w:rPr>
          <w:lang w:val="en-GB"/>
        </w:rPr>
      </w:pPr>
      <w:r w:rsidRPr="00CE4D11">
        <w:rPr>
          <w:lang w:val="en-GB"/>
        </w:rPr>
        <w:t xml:space="preserve">As clarified at the DIA clinic held on 3 November, Local </w:t>
      </w:r>
      <w:r>
        <w:rPr>
          <w:lang w:val="en-GB"/>
        </w:rPr>
        <w:t>A</w:t>
      </w:r>
      <w:r w:rsidRPr="00CE4D11">
        <w:rPr>
          <w:lang w:val="en-GB"/>
        </w:rPr>
        <w:t xml:space="preserve">uthorities should include </w:t>
      </w:r>
      <w:r w:rsidR="00DD0A0D" w:rsidRPr="00DD0A0D">
        <w:rPr>
          <w:lang w:val="en-GB"/>
        </w:rPr>
        <w:t xml:space="preserve">water provided to </w:t>
      </w:r>
      <w:r w:rsidRPr="00CE4D11">
        <w:rPr>
          <w:lang w:val="en-GB"/>
        </w:rPr>
        <w:t>household and non-household properties that receive a stock water supply</w:t>
      </w:r>
      <w:r w:rsidR="007B5639" w:rsidRPr="007B5639">
        <w:rPr>
          <w:lang w:val="en-GB"/>
        </w:rPr>
        <w:t xml:space="preserve"> </w:t>
      </w:r>
      <w:r w:rsidR="007B5639">
        <w:rPr>
          <w:lang w:val="en-GB"/>
        </w:rPr>
        <w:t>when reporting volumes in the relevant lines of the table</w:t>
      </w:r>
      <w:r w:rsidRPr="00CE4D11">
        <w:rPr>
          <w:lang w:val="en-GB"/>
        </w:rPr>
        <w:t xml:space="preserve">. </w:t>
      </w:r>
      <w:r w:rsidR="00DD0A0D" w:rsidRPr="00DD0A0D">
        <w:rPr>
          <w:lang w:val="en-GB"/>
        </w:rPr>
        <w:t xml:space="preserve">If the stock water supply is completely discrete, then this should </w:t>
      </w:r>
      <w:r w:rsidR="00DD0A0D">
        <w:rPr>
          <w:lang w:val="en-GB"/>
        </w:rPr>
        <w:t>only be included for estimating the water balance</w:t>
      </w:r>
      <w:r w:rsidR="00DD0A0D" w:rsidRPr="00DD0A0D">
        <w:rPr>
          <w:lang w:val="en-GB"/>
        </w:rPr>
        <w:t>.</w:t>
      </w:r>
    </w:p>
    <w:p w14:paraId="7D632A53" w14:textId="7112FFFF" w:rsidR="008E147C" w:rsidRPr="009A191E" w:rsidRDefault="008E147C" w:rsidP="00C130F2">
      <w:pPr>
        <w:pStyle w:val="Sectionsub-heading"/>
        <w:rPr>
          <w:lang w:val="en-GB"/>
        </w:rPr>
      </w:pPr>
      <w:r w:rsidRPr="009A191E">
        <w:rPr>
          <w:lang w:val="en-GB"/>
        </w:rPr>
        <w:t xml:space="preserve">Water </w:t>
      </w:r>
      <w:r w:rsidR="009121CF">
        <w:rPr>
          <w:lang w:val="en-GB"/>
        </w:rPr>
        <w:t>b</w:t>
      </w:r>
      <w:r w:rsidRPr="009A191E">
        <w:rPr>
          <w:lang w:val="en-GB"/>
        </w:rPr>
        <w:t>alance</w:t>
      </w:r>
    </w:p>
    <w:p w14:paraId="605BBBA5" w14:textId="0FD9DF6D" w:rsidR="008E147C" w:rsidRPr="009A191E" w:rsidRDefault="008E147C" w:rsidP="00C130F2">
      <w:pPr>
        <w:pStyle w:val="Bodynumbercopy"/>
        <w:rPr>
          <w:lang w:val="en-GB"/>
        </w:rPr>
      </w:pPr>
      <w:r w:rsidRPr="2C985F9B">
        <w:rPr>
          <w:lang w:val="en-GB"/>
        </w:rPr>
        <w:t xml:space="preserve">This records the assumptions which the </w:t>
      </w:r>
      <w:r w:rsidR="002E6A73">
        <w:rPr>
          <w:lang w:val="en-GB"/>
        </w:rPr>
        <w:t>Local</w:t>
      </w:r>
      <w:r w:rsidR="00B47509" w:rsidRPr="2C985F9B">
        <w:rPr>
          <w:lang w:val="en-GB"/>
        </w:rPr>
        <w:t xml:space="preserve"> Authority</w:t>
      </w:r>
      <w:r w:rsidRPr="2C985F9B">
        <w:rPr>
          <w:lang w:val="en-GB"/>
        </w:rPr>
        <w:t xml:space="preserve"> has made in determining its water balance. This block also includes those parameters, which together with water delivered volumes, make up the </w:t>
      </w:r>
      <w:r w:rsidR="002E6A73">
        <w:rPr>
          <w:lang w:val="en-GB"/>
        </w:rPr>
        <w:t>Local</w:t>
      </w:r>
      <w:r w:rsidR="00B47509" w:rsidRPr="2C985F9B">
        <w:rPr>
          <w:lang w:val="en-GB"/>
        </w:rPr>
        <w:t xml:space="preserve"> Authority</w:t>
      </w:r>
      <w:r w:rsidRPr="2C985F9B">
        <w:rPr>
          <w:lang w:val="en-GB"/>
        </w:rPr>
        <w:t>'s water balance.</w:t>
      </w:r>
    </w:p>
    <w:p w14:paraId="3A3A8EC5" w14:textId="77777777" w:rsidR="008E147C" w:rsidRPr="009A191E" w:rsidRDefault="008E147C" w:rsidP="00C130F2">
      <w:pPr>
        <w:pStyle w:val="Bodynumbercopy"/>
        <w:rPr>
          <w:lang w:val="en-GB"/>
        </w:rPr>
      </w:pPr>
      <w:r w:rsidRPr="2C985F9B">
        <w:rPr>
          <w:lang w:val="en-GB"/>
        </w:rPr>
        <w:t>Water delivered data is used for charging and tariff balance issues.</w:t>
      </w:r>
    </w:p>
    <w:p w14:paraId="5759E26F" w14:textId="66AF644D" w:rsidR="00083B08" w:rsidRPr="009A191E" w:rsidRDefault="00083B08" w:rsidP="00C130F2">
      <w:pPr>
        <w:pStyle w:val="Bodynumbercopy"/>
        <w:rPr>
          <w:lang w:val="en-GB"/>
        </w:rPr>
      </w:pPr>
      <w:r w:rsidRPr="2C985F9B">
        <w:rPr>
          <w:lang w:val="en-GB"/>
        </w:rPr>
        <w:t>The water balance contains the following components:</w:t>
      </w:r>
    </w:p>
    <w:p w14:paraId="278D126A" w14:textId="378AED29" w:rsidR="008E147C" w:rsidRPr="009A191E" w:rsidRDefault="008E147C" w:rsidP="00871522">
      <w:pPr>
        <w:pStyle w:val="Bodynumbercopy"/>
        <w:numPr>
          <w:ilvl w:val="1"/>
          <w:numId w:val="23"/>
        </w:numPr>
        <w:rPr>
          <w:lang w:val="en-GB"/>
        </w:rPr>
      </w:pPr>
      <w:r w:rsidRPr="00AC2CB9">
        <w:rPr>
          <w:b/>
          <w:bCs/>
          <w:i/>
          <w:iCs/>
          <w:lang w:val="en-GB"/>
        </w:rPr>
        <w:t>Water delivered quantities</w:t>
      </w:r>
      <w:r w:rsidRPr="2C985F9B">
        <w:rPr>
          <w:lang w:val="en-GB"/>
        </w:rPr>
        <w:t xml:space="preserve"> are those measured or estimated at their "point of delivery". Point of delivery is the point at which water is transferred from mains or pipes which are vested in the </w:t>
      </w:r>
      <w:r w:rsidR="002E6A73">
        <w:rPr>
          <w:lang w:val="en-GB"/>
        </w:rPr>
        <w:t>Local</w:t>
      </w:r>
      <w:r w:rsidR="00B47509" w:rsidRPr="2C985F9B">
        <w:rPr>
          <w:lang w:val="en-GB"/>
        </w:rPr>
        <w:t xml:space="preserve"> Authority</w:t>
      </w:r>
      <w:r w:rsidRPr="2C985F9B">
        <w:rPr>
          <w:lang w:val="en-GB"/>
        </w:rPr>
        <w:t xml:space="preserve"> (distribution system), into the supply pipes, which are the responsibility of the customers. For the permanently connected customers this is the point on the service pipe, at or close to the external stop-tap (usually the highway curtilage</w:t>
      </w:r>
      <w:r w:rsidR="002A18C1">
        <w:rPr>
          <w:lang w:val="en-GB"/>
        </w:rPr>
        <w:t xml:space="preserve"> (</w:t>
      </w:r>
      <w:r w:rsidR="002A18C1" w:rsidRPr="002A18C1">
        <w:rPr>
          <w:lang w:val="en-GB"/>
        </w:rPr>
        <w:t>an area of land attached to a house and forming one enclosure with it</w:t>
      </w:r>
      <w:r w:rsidR="002A18C1">
        <w:rPr>
          <w:lang w:val="en-GB"/>
        </w:rPr>
        <w:t>)</w:t>
      </w:r>
      <w:r w:rsidRPr="2C985F9B">
        <w:rPr>
          <w:lang w:val="en-GB"/>
        </w:rPr>
        <w:t>), where the supply pipe commences. For this reason, all supply pipe leakage must be included in the water delivered figures. For temporarily connected customers the point of delivery is the hydrant of</w:t>
      </w:r>
      <w:r w:rsidR="00BE5BF7">
        <w:rPr>
          <w:lang w:val="en-GB"/>
        </w:rPr>
        <w:t xml:space="preserve"> the</w:t>
      </w:r>
      <w:r w:rsidRPr="2C985F9B">
        <w:rPr>
          <w:lang w:val="en-GB"/>
        </w:rPr>
        <w:t xml:space="preserve"> building water connection.</w:t>
      </w:r>
    </w:p>
    <w:p w14:paraId="6A082A06" w14:textId="17B91645" w:rsidR="008E147C" w:rsidRPr="009A191E" w:rsidRDefault="008E147C" w:rsidP="00871522">
      <w:pPr>
        <w:pStyle w:val="Bodynumbercopy"/>
        <w:numPr>
          <w:ilvl w:val="1"/>
          <w:numId w:val="23"/>
        </w:numPr>
        <w:rPr>
          <w:lang w:val="en-GB"/>
        </w:rPr>
      </w:pPr>
      <w:r w:rsidRPr="00AC2CB9">
        <w:rPr>
          <w:b/>
          <w:bCs/>
          <w:i/>
          <w:iCs/>
          <w:lang w:val="en-GB"/>
        </w:rPr>
        <w:t>Water delivered</w:t>
      </w:r>
      <w:r w:rsidRPr="2C985F9B">
        <w:rPr>
          <w:lang w:val="en-GB"/>
        </w:rPr>
        <w:t xml:space="preserve"> forms the majority of the water balance. The </w:t>
      </w:r>
      <w:r w:rsidR="002E6A73">
        <w:rPr>
          <w:lang w:val="en-GB"/>
        </w:rPr>
        <w:t>Local</w:t>
      </w:r>
      <w:r w:rsidR="00083B08" w:rsidRPr="2C985F9B">
        <w:rPr>
          <w:lang w:val="en-GB"/>
        </w:rPr>
        <w:t xml:space="preserve"> </w:t>
      </w:r>
      <w:r w:rsidR="00D10510" w:rsidRPr="2C985F9B">
        <w:rPr>
          <w:lang w:val="en-GB"/>
        </w:rPr>
        <w:t>A</w:t>
      </w:r>
      <w:r w:rsidR="00083B08" w:rsidRPr="2C985F9B">
        <w:rPr>
          <w:lang w:val="en-GB"/>
        </w:rPr>
        <w:t xml:space="preserve">uthority's </w:t>
      </w:r>
      <w:r w:rsidRPr="2C985F9B">
        <w:rPr>
          <w:lang w:val="en-GB"/>
        </w:rPr>
        <w:t xml:space="preserve">approach to Table A2 can validate any assumptions used to estimate water delivered components. </w:t>
      </w:r>
      <w:r w:rsidR="00083B08" w:rsidRPr="2C985F9B">
        <w:rPr>
          <w:lang w:val="en-GB"/>
        </w:rPr>
        <w:t xml:space="preserve">The </w:t>
      </w:r>
      <w:r w:rsidR="002E6A73">
        <w:rPr>
          <w:lang w:val="en-GB"/>
        </w:rPr>
        <w:t>Local</w:t>
      </w:r>
      <w:r w:rsidR="00083B08" w:rsidRPr="2C985F9B">
        <w:rPr>
          <w:lang w:val="en-GB"/>
        </w:rPr>
        <w:t xml:space="preserve"> Authority is encouraged to </w:t>
      </w:r>
      <w:r w:rsidRPr="2C985F9B">
        <w:rPr>
          <w:lang w:val="en-GB"/>
        </w:rPr>
        <w:t xml:space="preserve">estimate each component of distribution input and compare the sum of these </w:t>
      </w:r>
      <w:r w:rsidR="00B96441">
        <w:rPr>
          <w:lang w:val="en-GB"/>
        </w:rPr>
        <w:t xml:space="preserve">components </w:t>
      </w:r>
      <w:r w:rsidRPr="2C985F9B">
        <w:rPr>
          <w:lang w:val="en-GB"/>
        </w:rPr>
        <w:t xml:space="preserve">with measured distribution input. </w:t>
      </w:r>
    </w:p>
    <w:p w14:paraId="564106E3" w14:textId="744E1C69" w:rsidR="008E147C" w:rsidRPr="009A191E" w:rsidRDefault="008E147C" w:rsidP="00871522">
      <w:pPr>
        <w:pStyle w:val="Bodynumbercopy"/>
        <w:numPr>
          <w:ilvl w:val="1"/>
          <w:numId w:val="23"/>
        </w:numPr>
        <w:rPr>
          <w:lang w:val="en-GB"/>
        </w:rPr>
      </w:pPr>
      <w:r w:rsidRPr="2C985F9B">
        <w:rPr>
          <w:lang w:val="en-GB"/>
        </w:rPr>
        <w:t xml:space="preserve">The </w:t>
      </w:r>
      <w:r w:rsidR="002E6A73">
        <w:rPr>
          <w:lang w:val="en-GB"/>
        </w:rPr>
        <w:t>Local</w:t>
      </w:r>
      <w:r w:rsidR="00083B08" w:rsidRPr="2C985F9B">
        <w:rPr>
          <w:lang w:val="en-GB"/>
        </w:rPr>
        <w:t xml:space="preserve"> </w:t>
      </w:r>
      <w:r w:rsidR="00D10510" w:rsidRPr="2C985F9B">
        <w:rPr>
          <w:lang w:val="en-GB"/>
        </w:rPr>
        <w:t>A</w:t>
      </w:r>
      <w:r w:rsidR="00083B08" w:rsidRPr="2C985F9B">
        <w:rPr>
          <w:lang w:val="en-GB"/>
        </w:rPr>
        <w:t xml:space="preserve">uthority </w:t>
      </w:r>
      <w:r w:rsidRPr="2C985F9B">
        <w:rPr>
          <w:lang w:val="en-GB"/>
        </w:rPr>
        <w:t xml:space="preserve">should </w:t>
      </w:r>
      <w:proofErr w:type="gramStart"/>
      <w:r w:rsidRPr="2C985F9B">
        <w:rPr>
          <w:lang w:val="en-GB"/>
        </w:rPr>
        <w:t>give an explanation of</w:t>
      </w:r>
      <w:proofErr w:type="gramEnd"/>
      <w:r w:rsidRPr="2C985F9B">
        <w:rPr>
          <w:lang w:val="en-GB"/>
        </w:rPr>
        <w:t xml:space="preserve"> any </w:t>
      </w:r>
      <w:r w:rsidR="00996E9B">
        <w:rPr>
          <w:lang w:val="en-GB"/>
        </w:rPr>
        <w:t>discrepancy</w:t>
      </w:r>
      <w:r w:rsidRPr="2C985F9B">
        <w:rPr>
          <w:lang w:val="en-GB"/>
        </w:rPr>
        <w:t xml:space="preserve"> in the analysis. Where the estimating process has been reviewed, it should provide a full briefing, outlining the degree of the discrepancy, which components were reviewed, what assumptions </w:t>
      </w:r>
      <w:r w:rsidRPr="2C985F9B">
        <w:rPr>
          <w:lang w:val="en-GB"/>
        </w:rPr>
        <w:lastRenderedPageBreak/>
        <w:t>were altered, and if so why, and which water balance components needed improvement.</w:t>
      </w:r>
    </w:p>
    <w:p w14:paraId="17B22316" w14:textId="2621839F" w:rsidR="008E147C" w:rsidRPr="009A191E" w:rsidRDefault="00602A2E" w:rsidP="00871522">
      <w:pPr>
        <w:pStyle w:val="Bodynumbercopy"/>
        <w:numPr>
          <w:ilvl w:val="1"/>
          <w:numId w:val="23"/>
        </w:numPr>
        <w:rPr>
          <w:lang w:val="en-GB"/>
        </w:rPr>
      </w:pPr>
      <w:r>
        <w:rPr>
          <w:lang w:val="en-GB"/>
        </w:rPr>
        <w:t xml:space="preserve">The Local Authority should explain how it has derived its estimate of leakage. In the UK, this is based on the </w:t>
      </w:r>
      <w:r w:rsidR="008E147C" w:rsidRPr="2C985F9B">
        <w:rPr>
          <w:lang w:val="en-GB"/>
        </w:rPr>
        <w:t xml:space="preserve">Integrated Flow Method and </w:t>
      </w:r>
      <w:r>
        <w:rPr>
          <w:lang w:val="en-GB"/>
        </w:rPr>
        <w:t>monitoring night flows (</w:t>
      </w:r>
      <w:r w:rsidR="008E147C" w:rsidRPr="2C985F9B">
        <w:rPr>
          <w:lang w:val="en-GB"/>
        </w:rPr>
        <w:t>the Minimum Night Flow Method</w:t>
      </w:r>
      <w:r>
        <w:rPr>
          <w:lang w:val="en-GB"/>
        </w:rPr>
        <w:t>)</w:t>
      </w:r>
      <w:r w:rsidR="008E147C" w:rsidRPr="2C985F9B">
        <w:rPr>
          <w:lang w:val="en-GB"/>
        </w:rPr>
        <w:t xml:space="preserve"> in conjunction, as a means to substantiate their estimation of leakage.</w:t>
      </w:r>
    </w:p>
    <w:p w14:paraId="0B858AE2" w14:textId="244F9ECD" w:rsidR="008E147C" w:rsidRPr="009A191E" w:rsidRDefault="008E147C" w:rsidP="00C76A2F">
      <w:pPr>
        <w:pStyle w:val="Bodynumbercopy"/>
        <w:rPr>
          <w:lang w:val="en-GB"/>
        </w:rPr>
      </w:pPr>
      <w:r w:rsidRPr="2C985F9B">
        <w:rPr>
          <w:lang w:val="en-GB"/>
        </w:rPr>
        <w:t xml:space="preserve">A2.3, A2.6 and A2.23 ask for an estimate of supply pipe leakage on </w:t>
      </w:r>
      <w:r w:rsidR="00A36773" w:rsidRPr="2C985F9B">
        <w:rPr>
          <w:lang w:val="en-GB"/>
        </w:rPr>
        <w:t xml:space="preserve">vacant/void </w:t>
      </w:r>
      <w:r w:rsidRPr="2C985F9B">
        <w:rPr>
          <w:lang w:val="en-GB"/>
        </w:rPr>
        <w:t xml:space="preserve">&amp; exempt properties. The </w:t>
      </w:r>
      <w:r w:rsidR="002E6A73">
        <w:rPr>
          <w:lang w:val="en-GB"/>
        </w:rPr>
        <w:t>Local</w:t>
      </w:r>
      <w:r w:rsidR="00083B08" w:rsidRPr="2C985F9B">
        <w:rPr>
          <w:lang w:val="en-GB"/>
        </w:rPr>
        <w:t xml:space="preserve"> </w:t>
      </w:r>
      <w:r w:rsidR="00D10510" w:rsidRPr="2C985F9B">
        <w:rPr>
          <w:lang w:val="en-GB"/>
        </w:rPr>
        <w:t>A</w:t>
      </w:r>
      <w:r w:rsidR="00083B08" w:rsidRPr="2C985F9B">
        <w:rPr>
          <w:lang w:val="en-GB"/>
        </w:rPr>
        <w:t xml:space="preserve">uthority </w:t>
      </w:r>
      <w:r w:rsidRPr="2C985F9B">
        <w:rPr>
          <w:lang w:val="en-GB"/>
        </w:rPr>
        <w:t>should explain in the commentary the basis for this estimate</w:t>
      </w:r>
      <w:r w:rsidR="00B95B2C">
        <w:rPr>
          <w:lang w:val="en-GB"/>
        </w:rPr>
        <w:t>.</w:t>
      </w:r>
    </w:p>
    <w:p w14:paraId="1D2DA6C4" w14:textId="19BFC1F4" w:rsidR="008E147C" w:rsidRPr="009A191E" w:rsidRDefault="00083B08" w:rsidP="00C76A2F">
      <w:pPr>
        <w:pStyle w:val="Bodynumbercopy"/>
        <w:rPr>
          <w:lang w:val="en-GB"/>
        </w:rPr>
      </w:pPr>
      <w:r w:rsidRPr="2C985F9B">
        <w:rPr>
          <w:lang w:val="en-GB"/>
        </w:rPr>
        <w:t xml:space="preserve">The </w:t>
      </w:r>
      <w:r w:rsidR="002E6A73">
        <w:rPr>
          <w:lang w:val="en-GB"/>
        </w:rPr>
        <w:t>Local</w:t>
      </w:r>
      <w:r w:rsidRPr="2C985F9B">
        <w:rPr>
          <w:lang w:val="en-GB"/>
        </w:rPr>
        <w:t xml:space="preserve"> </w:t>
      </w:r>
      <w:r w:rsidR="00D10510" w:rsidRPr="2C985F9B">
        <w:rPr>
          <w:lang w:val="en-GB"/>
        </w:rPr>
        <w:t>A</w:t>
      </w:r>
      <w:r w:rsidRPr="2C985F9B">
        <w:rPr>
          <w:lang w:val="en-GB"/>
        </w:rPr>
        <w:t>uthority is also expected</w:t>
      </w:r>
      <w:r w:rsidR="008E147C" w:rsidRPr="2C985F9B">
        <w:rPr>
          <w:lang w:val="en-GB"/>
        </w:rPr>
        <w:t xml:space="preserve"> to see the impact of metering on some water delivered components:</w:t>
      </w:r>
    </w:p>
    <w:p w14:paraId="7B637C8D" w14:textId="3FA7B1CF" w:rsidR="008E147C" w:rsidRPr="009A191E" w:rsidRDefault="008E147C" w:rsidP="00871522">
      <w:pPr>
        <w:pStyle w:val="Bodynumbercopy"/>
        <w:numPr>
          <w:ilvl w:val="1"/>
          <w:numId w:val="23"/>
        </w:numPr>
        <w:rPr>
          <w:lang w:val="en-GB"/>
        </w:rPr>
      </w:pPr>
      <w:r w:rsidRPr="2C985F9B">
        <w:rPr>
          <w:b/>
          <w:bCs/>
          <w:i/>
          <w:iCs/>
          <w:lang w:val="en-GB"/>
        </w:rPr>
        <w:t>Supply pipe leakage:</w:t>
      </w:r>
      <w:r w:rsidRPr="2C985F9B">
        <w:rPr>
          <w:lang w:val="en-GB"/>
        </w:rPr>
        <w:t xml:space="preserve"> Where properties are externally metered, </w:t>
      </w:r>
      <w:r w:rsidR="00083B08" w:rsidRPr="2C985F9B">
        <w:rPr>
          <w:lang w:val="en-GB"/>
        </w:rPr>
        <w:t>it would be expected that</w:t>
      </w:r>
      <w:r w:rsidRPr="2C985F9B">
        <w:rPr>
          <w:lang w:val="en-GB"/>
        </w:rPr>
        <w:t xml:space="preserve"> supply pipe leakage </w:t>
      </w:r>
      <w:r w:rsidR="00083B08" w:rsidRPr="2C985F9B">
        <w:rPr>
          <w:lang w:val="en-GB"/>
        </w:rPr>
        <w:t>is</w:t>
      </w:r>
      <w:r w:rsidRPr="2C985F9B">
        <w:rPr>
          <w:lang w:val="en-GB"/>
        </w:rPr>
        <w:t xml:space="preserve"> lower than that found on unmeasured or internally metered properties.</w:t>
      </w:r>
    </w:p>
    <w:p w14:paraId="32AE14C6" w14:textId="2DAEDED7" w:rsidR="008E147C" w:rsidRPr="009A191E" w:rsidRDefault="008E147C" w:rsidP="00871522">
      <w:pPr>
        <w:pStyle w:val="Bodynumbercopy"/>
        <w:numPr>
          <w:ilvl w:val="1"/>
          <w:numId w:val="23"/>
        </w:numPr>
        <w:rPr>
          <w:lang w:val="en-GB"/>
        </w:rPr>
      </w:pPr>
      <w:r w:rsidRPr="2C985F9B">
        <w:rPr>
          <w:b/>
          <w:bCs/>
          <w:i/>
          <w:iCs/>
          <w:lang w:val="en-GB"/>
        </w:rPr>
        <w:t>Per capita consumption</w:t>
      </w:r>
      <w:r w:rsidRPr="2C985F9B">
        <w:rPr>
          <w:i/>
          <w:iCs/>
          <w:lang w:val="en-GB"/>
        </w:rPr>
        <w:t>:</w:t>
      </w:r>
      <w:r w:rsidRPr="2C985F9B">
        <w:rPr>
          <w:lang w:val="en-GB"/>
        </w:rPr>
        <w:t xml:space="preserve"> Measured </w:t>
      </w:r>
      <w:r w:rsidR="00BB5A05">
        <w:rPr>
          <w:lang w:val="en-GB"/>
        </w:rPr>
        <w:t>household</w:t>
      </w:r>
      <w:r w:rsidRPr="2C985F9B">
        <w:rPr>
          <w:lang w:val="en-GB"/>
        </w:rPr>
        <w:t xml:space="preserve"> per capita consumption would normally be expected to be lower than unmeasured </w:t>
      </w:r>
      <w:r w:rsidR="00BB5A05">
        <w:rPr>
          <w:lang w:val="en-GB"/>
        </w:rPr>
        <w:t>household</w:t>
      </w:r>
      <w:r w:rsidRPr="2C985F9B">
        <w:rPr>
          <w:lang w:val="en-GB"/>
        </w:rPr>
        <w:t xml:space="preserve"> consumption, assuming similar occupant profiles. </w:t>
      </w:r>
    </w:p>
    <w:p w14:paraId="5B5FCAF7" w14:textId="2161A372" w:rsidR="008E147C" w:rsidRPr="009A191E" w:rsidRDefault="008E147C" w:rsidP="00871522">
      <w:pPr>
        <w:pStyle w:val="Bodynumbercopy"/>
        <w:numPr>
          <w:ilvl w:val="1"/>
          <w:numId w:val="23"/>
        </w:numPr>
        <w:rPr>
          <w:lang w:val="en-GB"/>
        </w:rPr>
      </w:pPr>
      <w:r w:rsidRPr="2C985F9B">
        <w:rPr>
          <w:b/>
          <w:bCs/>
          <w:i/>
          <w:iCs/>
          <w:lang w:val="en-GB"/>
        </w:rPr>
        <w:t>Bulk Supplies</w:t>
      </w:r>
      <w:r w:rsidRPr="2C985F9B">
        <w:rPr>
          <w:i/>
          <w:iCs/>
          <w:lang w:val="en-GB"/>
        </w:rPr>
        <w:t>:</w:t>
      </w:r>
      <w:r w:rsidRPr="2C985F9B">
        <w:rPr>
          <w:lang w:val="en-GB"/>
        </w:rPr>
        <w:t xml:space="preserve"> </w:t>
      </w:r>
      <w:r w:rsidR="00D21FE0" w:rsidRPr="2C985F9B">
        <w:rPr>
          <w:lang w:val="en-GB"/>
        </w:rPr>
        <w:t>T</w:t>
      </w:r>
      <w:r w:rsidRPr="2C985F9B">
        <w:rPr>
          <w:lang w:val="en-GB"/>
        </w:rPr>
        <w:t xml:space="preserve">he volume of water imported or exported in bulk to another water operator, should be recorded in this part of the table. It also records the percentage of the distribution input arising from treatment </w:t>
      </w:r>
      <w:r w:rsidR="00871522">
        <w:rPr>
          <w:lang w:val="en-GB"/>
        </w:rPr>
        <w:t>plants</w:t>
      </w:r>
      <w:r w:rsidRPr="2C985F9B">
        <w:rPr>
          <w:lang w:val="en-GB"/>
        </w:rPr>
        <w:t xml:space="preserve"> funded through </w:t>
      </w:r>
      <w:r w:rsidR="00D10510" w:rsidRPr="2C985F9B">
        <w:rPr>
          <w:lang w:val="en-GB"/>
        </w:rPr>
        <w:t>contractual arrangements (e.g. contracts with a private operator who has built, financed and operates the work)</w:t>
      </w:r>
      <w:r w:rsidRPr="2C985F9B">
        <w:rPr>
          <w:lang w:val="en-GB"/>
        </w:rPr>
        <w:t>.</w:t>
      </w:r>
    </w:p>
    <w:p w14:paraId="04FA5A2C" w14:textId="188A117E" w:rsidR="008E147C" w:rsidRPr="009A191E" w:rsidRDefault="00D10510" w:rsidP="00C76A2F">
      <w:pPr>
        <w:pStyle w:val="Bodynumbercopy"/>
        <w:rPr>
          <w:lang w:val="en-GB"/>
        </w:rPr>
      </w:pPr>
      <w:r w:rsidRPr="2C985F9B">
        <w:rPr>
          <w:lang w:val="en-GB"/>
        </w:rPr>
        <w:t xml:space="preserve">The </w:t>
      </w:r>
      <w:r w:rsidR="002E6A73">
        <w:rPr>
          <w:lang w:val="en-GB"/>
        </w:rPr>
        <w:t>Local</w:t>
      </w:r>
      <w:r w:rsidRPr="2C985F9B">
        <w:rPr>
          <w:lang w:val="en-GB"/>
        </w:rPr>
        <w:t xml:space="preserve"> Authority is also expected</w:t>
      </w:r>
      <w:r w:rsidR="008E147C" w:rsidRPr="2C985F9B">
        <w:rPr>
          <w:lang w:val="en-GB"/>
        </w:rPr>
        <w:t xml:space="preserve"> to explain any significant changes between report years.</w:t>
      </w:r>
    </w:p>
    <w:p w14:paraId="136207CE" w14:textId="7A35A6F9" w:rsidR="008E147C" w:rsidRPr="009A191E" w:rsidRDefault="008E147C" w:rsidP="00777E9E">
      <w:pPr>
        <w:pStyle w:val="Sectionsub-heading"/>
        <w:rPr>
          <w:lang w:val="en-GB"/>
        </w:rPr>
      </w:pPr>
      <w:r w:rsidRPr="009A191E">
        <w:rPr>
          <w:lang w:val="en-GB"/>
        </w:rPr>
        <w:t xml:space="preserve">Confidence </w:t>
      </w:r>
      <w:r w:rsidR="00013FA6">
        <w:rPr>
          <w:lang w:val="en-GB"/>
        </w:rPr>
        <w:t>g</w:t>
      </w:r>
      <w:r w:rsidRPr="009A191E">
        <w:rPr>
          <w:lang w:val="en-GB"/>
        </w:rPr>
        <w:t>rades</w:t>
      </w:r>
    </w:p>
    <w:p w14:paraId="40E3C16F" w14:textId="339FDD98" w:rsidR="008E147C" w:rsidRPr="009A191E" w:rsidRDefault="008E147C" w:rsidP="00E54637">
      <w:pPr>
        <w:pStyle w:val="Bodynumbercopy"/>
        <w:rPr>
          <w:lang w:val="en-GB"/>
        </w:rPr>
      </w:pPr>
      <w:r w:rsidRPr="2C985F9B">
        <w:rPr>
          <w:lang w:val="en-GB"/>
        </w:rPr>
        <w:t xml:space="preserve">There are four key confidence grades for the water delivered components on Table A2, relating to unmeasured </w:t>
      </w:r>
      <w:r w:rsidR="00BB5A05">
        <w:rPr>
          <w:lang w:val="en-GB"/>
        </w:rPr>
        <w:t>household</w:t>
      </w:r>
      <w:r w:rsidRPr="2C985F9B">
        <w:rPr>
          <w:lang w:val="en-GB"/>
        </w:rPr>
        <w:t xml:space="preserve"> per capita consumption, distribution losses, unmeasured non-</w:t>
      </w:r>
      <w:r w:rsidR="00BB5A05">
        <w:rPr>
          <w:lang w:val="en-GB"/>
        </w:rPr>
        <w:t>household</w:t>
      </w:r>
      <w:r w:rsidRPr="2C985F9B">
        <w:rPr>
          <w:lang w:val="en-GB"/>
        </w:rPr>
        <w:t xml:space="preserve"> water delivered and distribution input. There is also an additional confidence grade dealing with the water balance as a whole. This represents varying degrees of confidence in the robustness of the water balance. For example, a reliability grading of A would represent the </w:t>
      </w:r>
      <w:r w:rsidR="002E6A73">
        <w:rPr>
          <w:lang w:val="en-GB"/>
        </w:rPr>
        <w:t>Local</w:t>
      </w:r>
      <w:r w:rsidR="00B47509" w:rsidRPr="2C985F9B">
        <w:rPr>
          <w:lang w:val="en-GB"/>
        </w:rPr>
        <w:t xml:space="preserve"> Authority</w:t>
      </w:r>
      <w:r w:rsidRPr="2C985F9B">
        <w:rPr>
          <w:lang w:val="en-GB"/>
        </w:rPr>
        <w:t xml:space="preserve"> in control of their water balance, understanding the characteristics of each separately estimated component through comprehensive data monitoring systems.</w:t>
      </w:r>
    </w:p>
    <w:p w14:paraId="7C809AE2" w14:textId="58C88DCD" w:rsidR="008E147C" w:rsidRPr="009A191E" w:rsidRDefault="008E147C" w:rsidP="00E54637">
      <w:pPr>
        <w:pStyle w:val="Bodynumbercopy"/>
        <w:rPr>
          <w:lang w:val="en-GB"/>
        </w:rPr>
      </w:pPr>
      <w:r w:rsidRPr="2C985F9B">
        <w:rPr>
          <w:lang w:val="en-GB"/>
        </w:rPr>
        <w:t>The confidence grades follow the existing format with reliability and accuracy bands</w:t>
      </w:r>
      <w:r w:rsidR="00D10510" w:rsidRPr="2C985F9B">
        <w:rPr>
          <w:lang w:val="en-GB"/>
        </w:rPr>
        <w:t>.</w:t>
      </w:r>
    </w:p>
    <w:p w14:paraId="6CC2CEF4" w14:textId="7CCD7649" w:rsidR="008E147C" w:rsidRPr="009A191E" w:rsidRDefault="008E147C" w:rsidP="00B75A77">
      <w:pPr>
        <w:pStyle w:val="Sectionsub-heading"/>
        <w:rPr>
          <w:lang w:val="en-GB"/>
        </w:rPr>
      </w:pPr>
      <w:r w:rsidRPr="009A191E">
        <w:rPr>
          <w:lang w:val="en-GB"/>
        </w:rPr>
        <w:t xml:space="preserve">Reliability </w:t>
      </w:r>
      <w:r w:rsidR="009E2F09">
        <w:rPr>
          <w:lang w:val="en-GB"/>
        </w:rPr>
        <w:t>b</w:t>
      </w:r>
      <w:r w:rsidRPr="009A191E">
        <w:rPr>
          <w:lang w:val="en-GB"/>
        </w:rPr>
        <w:t>ands</w:t>
      </w:r>
    </w:p>
    <w:p w14:paraId="088A546A" w14:textId="3257B5D7" w:rsidR="008E147C" w:rsidRPr="009A191E" w:rsidRDefault="008E147C" w:rsidP="00B75A77">
      <w:pPr>
        <w:pStyle w:val="Bodynumbercopy"/>
        <w:rPr>
          <w:b/>
          <w:bCs/>
          <w:lang w:val="en-GB"/>
        </w:rPr>
      </w:pPr>
      <w:r w:rsidRPr="2C985F9B">
        <w:rPr>
          <w:lang w:val="en-GB"/>
        </w:rPr>
        <w:t xml:space="preserve">Unmeasured </w:t>
      </w:r>
      <w:r w:rsidR="00BB5A05">
        <w:rPr>
          <w:lang w:val="en-GB"/>
        </w:rPr>
        <w:t>household</w:t>
      </w:r>
      <w:r w:rsidRPr="2C985F9B">
        <w:rPr>
          <w:lang w:val="en-GB"/>
        </w:rPr>
        <w:t xml:space="preserve"> per capita consumption (l/head/d)</w:t>
      </w:r>
    </w:p>
    <w:p w14:paraId="3DD51E08" w14:textId="793BF1A2" w:rsidR="008E147C" w:rsidRPr="009A191E" w:rsidRDefault="008E147C" w:rsidP="00871522">
      <w:pPr>
        <w:pStyle w:val="Bodynumbercopy"/>
        <w:numPr>
          <w:ilvl w:val="0"/>
          <w:numId w:val="19"/>
        </w:numPr>
        <w:rPr>
          <w:b/>
          <w:lang w:val="en-GB"/>
        </w:rPr>
      </w:pPr>
      <w:r w:rsidRPr="00E95B0E">
        <w:rPr>
          <w:b/>
          <w:bCs/>
          <w:lang w:val="en-GB"/>
        </w:rPr>
        <w:t>Reliability Grade A:</w:t>
      </w:r>
      <w:r w:rsidRPr="009A191E">
        <w:rPr>
          <w:lang w:val="en-GB"/>
        </w:rPr>
        <w:t xml:space="preserve"> Unmeasured </w:t>
      </w:r>
      <w:r w:rsidR="00BB5A05">
        <w:rPr>
          <w:lang w:val="en-GB"/>
        </w:rPr>
        <w:t>household</w:t>
      </w:r>
      <w:r w:rsidRPr="009A191E">
        <w:rPr>
          <w:lang w:val="en-GB"/>
        </w:rPr>
        <w:t xml:space="preserve"> per capita consumption is estimated from the </w:t>
      </w:r>
      <w:r w:rsidR="002E6A73">
        <w:rPr>
          <w:lang w:val="en-GB"/>
        </w:rPr>
        <w:t>Local</w:t>
      </w:r>
      <w:r w:rsidR="00D10510">
        <w:rPr>
          <w:lang w:val="en-GB"/>
        </w:rPr>
        <w:t xml:space="preserve"> Authority’s</w:t>
      </w:r>
      <w:r w:rsidR="00D10510" w:rsidRPr="009A191E">
        <w:rPr>
          <w:lang w:val="en-GB"/>
        </w:rPr>
        <w:t xml:space="preserve"> </w:t>
      </w:r>
      <w:r w:rsidRPr="009A191E">
        <w:rPr>
          <w:lang w:val="en-GB"/>
        </w:rPr>
        <w:t xml:space="preserve">own </w:t>
      </w:r>
      <w:r w:rsidRPr="009A191E">
        <w:rPr>
          <w:lang w:val="en-GB"/>
        </w:rPr>
        <w:lastRenderedPageBreak/>
        <w:t>consumption monitor, covering a minimum of 1000 properties individually monitored.</w:t>
      </w:r>
    </w:p>
    <w:p w14:paraId="33EDE33C" w14:textId="0351C0AD" w:rsidR="008E147C" w:rsidRPr="009A191E" w:rsidRDefault="008E147C" w:rsidP="00871522">
      <w:pPr>
        <w:pStyle w:val="Bodynumbercopy"/>
        <w:numPr>
          <w:ilvl w:val="1"/>
          <w:numId w:val="23"/>
        </w:numPr>
        <w:rPr>
          <w:b/>
          <w:bCs/>
          <w:lang w:val="en-GB"/>
        </w:rPr>
      </w:pPr>
      <w:r w:rsidRPr="2C985F9B">
        <w:rPr>
          <w:b/>
          <w:bCs/>
          <w:lang w:val="en-GB"/>
        </w:rPr>
        <w:t>Reliability Grade B:</w:t>
      </w:r>
      <w:r w:rsidRPr="2C985F9B">
        <w:rPr>
          <w:lang w:val="en-GB"/>
        </w:rPr>
        <w:t xml:space="preserve"> Unmeasured </w:t>
      </w:r>
      <w:r w:rsidR="00BB5A05">
        <w:rPr>
          <w:lang w:val="en-GB"/>
        </w:rPr>
        <w:t>household</w:t>
      </w:r>
      <w:r w:rsidRPr="2C985F9B">
        <w:rPr>
          <w:lang w:val="en-GB"/>
        </w:rPr>
        <w:t xml:space="preserve"> per capita consumption has been estimated from the </w:t>
      </w:r>
      <w:r w:rsidR="002E6A73">
        <w:rPr>
          <w:lang w:val="en-GB"/>
        </w:rPr>
        <w:t>Local</w:t>
      </w:r>
      <w:r w:rsidR="00D10510" w:rsidRPr="2C985F9B">
        <w:rPr>
          <w:lang w:val="en-GB"/>
        </w:rPr>
        <w:t xml:space="preserve"> Authority’s </w:t>
      </w:r>
      <w:r w:rsidRPr="2C985F9B">
        <w:rPr>
          <w:lang w:val="en-GB"/>
        </w:rPr>
        <w:t>own consumption monitor data which is over two years old</w:t>
      </w:r>
      <w:r w:rsidR="00E95B0E" w:rsidRPr="2C985F9B">
        <w:rPr>
          <w:lang w:val="en-GB"/>
        </w:rPr>
        <w:t>,</w:t>
      </w:r>
      <w:r w:rsidRPr="2C985F9B">
        <w:rPr>
          <w:lang w:val="en-GB"/>
        </w:rPr>
        <w:t xml:space="preserve"> but the monitor covers 1000 properties individually monitored; or 2000 properties monitored within 40 zones; or the </w:t>
      </w:r>
      <w:r w:rsidR="002E6A73">
        <w:rPr>
          <w:lang w:val="en-GB"/>
        </w:rPr>
        <w:t>Local</w:t>
      </w:r>
      <w:r w:rsidR="00B47509" w:rsidRPr="2C985F9B">
        <w:rPr>
          <w:lang w:val="en-GB"/>
        </w:rPr>
        <w:t xml:space="preserve"> Authority</w:t>
      </w:r>
      <w:r w:rsidRPr="2C985F9B">
        <w:rPr>
          <w:lang w:val="en-GB"/>
        </w:rPr>
        <w:t xml:space="preserve">’s own monitor covers 500 properties individually monitored. Alternatively, unmeasured </w:t>
      </w:r>
      <w:r w:rsidR="00BB5A05">
        <w:rPr>
          <w:lang w:val="en-GB"/>
        </w:rPr>
        <w:t>household</w:t>
      </w:r>
      <w:r w:rsidRPr="2C985F9B">
        <w:rPr>
          <w:lang w:val="en-GB"/>
        </w:rPr>
        <w:t xml:space="preserve"> per capita consumption is estimated from a zonal monitor covering over 10,000 properties in 50 zones</w:t>
      </w:r>
      <w:r w:rsidR="00A96EA6">
        <w:rPr>
          <w:lang w:val="en-GB"/>
        </w:rPr>
        <w:t>.</w:t>
      </w:r>
    </w:p>
    <w:p w14:paraId="483355D4" w14:textId="6B805B37" w:rsidR="008E147C" w:rsidRPr="009A191E" w:rsidRDefault="008E147C" w:rsidP="00871522">
      <w:pPr>
        <w:pStyle w:val="Bodynumbercopy"/>
        <w:numPr>
          <w:ilvl w:val="1"/>
          <w:numId w:val="23"/>
        </w:numPr>
        <w:rPr>
          <w:b/>
          <w:bCs/>
          <w:lang w:val="en-GB"/>
        </w:rPr>
      </w:pPr>
      <w:r w:rsidRPr="2C985F9B">
        <w:rPr>
          <w:b/>
          <w:bCs/>
          <w:lang w:val="en-GB"/>
        </w:rPr>
        <w:t>Reliability Grade C:</w:t>
      </w:r>
      <w:r w:rsidRPr="2C985F9B">
        <w:rPr>
          <w:lang w:val="en-GB"/>
        </w:rPr>
        <w:t xml:space="preserve"> Unmeasured </w:t>
      </w:r>
      <w:r w:rsidR="00BB5A05">
        <w:rPr>
          <w:lang w:val="en-GB"/>
        </w:rPr>
        <w:t>household</w:t>
      </w:r>
      <w:r w:rsidRPr="2C985F9B">
        <w:rPr>
          <w:lang w:val="en-GB"/>
        </w:rPr>
        <w:t xml:space="preserve"> per capita consumption is estimated not from a consumption monitor, nor is it assumed to be the residual component of the water balance, but is estimated using an alternative method, e.g. from a sample of measured </w:t>
      </w:r>
      <w:r w:rsidR="00BB5A05">
        <w:rPr>
          <w:lang w:val="en-GB"/>
        </w:rPr>
        <w:t>household</w:t>
      </w:r>
      <w:r w:rsidRPr="2C985F9B">
        <w:rPr>
          <w:lang w:val="en-GB"/>
        </w:rPr>
        <w:t xml:space="preserve"> properties; or estimated from monitoring 1000 properties over 20 zones.</w:t>
      </w:r>
    </w:p>
    <w:p w14:paraId="74708878" w14:textId="27CAE346" w:rsidR="008E147C" w:rsidRPr="009A191E" w:rsidRDefault="008E147C" w:rsidP="00871522">
      <w:pPr>
        <w:pStyle w:val="Bodynumbercopy"/>
        <w:numPr>
          <w:ilvl w:val="1"/>
          <w:numId w:val="23"/>
        </w:numPr>
        <w:rPr>
          <w:b/>
          <w:bCs/>
          <w:lang w:val="en-GB"/>
        </w:rPr>
      </w:pPr>
      <w:r w:rsidRPr="2C985F9B">
        <w:rPr>
          <w:b/>
          <w:bCs/>
          <w:lang w:val="en-GB"/>
        </w:rPr>
        <w:t>Reliability Grade D:</w:t>
      </w:r>
      <w:r w:rsidRPr="2C985F9B">
        <w:rPr>
          <w:lang w:val="en-GB"/>
        </w:rPr>
        <w:t xml:space="preserve"> Unmeasured </w:t>
      </w:r>
      <w:r w:rsidR="00BB5A05">
        <w:rPr>
          <w:lang w:val="en-GB"/>
        </w:rPr>
        <w:t>household</w:t>
      </w:r>
      <w:r w:rsidRPr="2C985F9B">
        <w:rPr>
          <w:lang w:val="en-GB"/>
        </w:rPr>
        <w:t xml:space="preserve"> per capita consumption is estimated from the residual of the water balance once all other components have been estimated.</w:t>
      </w:r>
    </w:p>
    <w:p w14:paraId="1C30575C" w14:textId="4A964A52" w:rsidR="008E147C" w:rsidRPr="009A191E" w:rsidRDefault="008E147C" w:rsidP="00B75A77">
      <w:pPr>
        <w:pStyle w:val="Bodynumbercopy"/>
        <w:rPr>
          <w:b/>
          <w:bCs/>
          <w:lang w:val="en-GB"/>
        </w:rPr>
      </w:pPr>
      <w:r w:rsidRPr="2C985F9B">
        <w:rPr>
          <w:lang w:val="en-GB"/>
        </w:rPr>
        <w:t>Unmeasured non-</w:t>
      </w:r>
      <w:r w:rsidR="00BB5A05">
        <w:rPr>
          <w:lang w:val="en-GB"/>
        </w:rPr>
        <w:t>household</w:t>
      </w:r>
      <w:r w:rsidRPr="2C985F9B">
        <w:rPr>
          <w:lang w:val="en-GB"/>
        </w:rPr>
        <w:t xml:space="preserve"> water delivered (l/prop/d)</w:t>
      </w:r>
    </w:p>
    <w:p w14:paraId="05943054" w14:textId="6A31969D" w:rsidR="008E147C" w:rsidRPr="009A191E" w:rsidRDefault="008E147C" w:rsidP="00871522">
      <w:pPr>
        <w:pStyle w:val="Bodynumbercopy"/>
        <w:numPr>
          <w:ilvl w:val="1"/>
          <w:numId w:val="23"/>
        </w:numPr>
        <w:rPr>
          <w:lang w:val="en-GB"/>
        </w:rPr>
      </w:pPr>
      <w:r w:rsidRPr="2C985F9B">
        <w:rPr>
          <w:b/>
          <w:bCs/>
          <w:lang w:val="en-GB"/>
        </w:rPr>
        <w:t>Reliability Grade A:</w:t>
      </w:r>
      <w:r w:rsidRPr="2C985F9B">
        <w:rPr>
          <w:lang w:val="en-GB"/>
        </w:rPr>
        <w:t xml:space="preserve"> Unmeasured non-</w:t>
      </w:r>
      <w:r w:rsidR="00BB5A05">
        <w:rPr>
          <w:lang w:val="en-GB"/>
        </w:rPr>
        <w:t>household</w:t>
      </w:r>
      <w:r w:rsidRPr="2C985F9B">
        <w:rPr>
          <w:lang w:val="en-GB"/>
        </w:rPr>
        <w:t xml:space="preserve"> water delivered is estimated from the </w:t>
      </w:r>
      <w:r w:rsidR="002E6A73">
        <w:rPr>
          <w:lang w:val="en-GB"/>
        </w:rPr>
        <w:t>Local</w:t>
      </w:r>
      <w:r w:rsidR="00D10510" w:rsidRPr="2C985F9B">
        <w:rPr>
          <w:lang w:val="en-GB"/>
        </w:rPr>
        <w:t xml:space="preserve"> Authority’s </w:t>
      </w:r>
      <w:r w:rsidRPr="2C985F9B">
        <w:rPr>
          <w:lang w:val="en-GB"/>
        </w:rPr>
        <w:t xml:space="preserve">own consumption monitor of </w:t>
      </w:r>
      <w:r w:rsidR="00D10510" w:rsidRPr="2C985F9B">
        <w:rPr>
          <w:lang w:val="en-GB"/>
        </w:rPr>
        <w:t>industry classifications or groups</w:t>
      </w:r>
      <w:r w:rsidRPr="2C985F9B">
        <w:rPr>
          <w:lang w:val="en-GB"/>
        </w:rPr>
        <w:t>.</w:t>
      </w:r>
    </w:p>
    <w:p w14:paraId="210EBA12" w14:textId="236A625A" w:rsidR="008E147C" w:rsidRPr="009A191E" w:rsidRDefault="008E147C" w:rsidP="00871522">
      <w:pPr>
        <w:pStyle w:val="Bodynumbercopy"/>
        <w:numPr>
          <w:ilvl w:val="1"/>
          <w:numId w:val="23"/>
        </w:numPr>
        <w:rPr>
          <w:lang w:val="en-GB"/>
        </w:rPr>
      </w:pPr>
      <w:r w:rsidRPr="2C985F9B">
        <w:rPr>
          <w:b/>
          <w:bCs/>
          <w:lang w:val="en-GB"/>
        </w:rPr>
        <w:t>Reliability Grade B:</w:t>
      </w:r>
      <w:r w:rsidRPr="2C985F9B">
        <w:rPr>
          <w:lang w:val="en-GB"/>
        </w:rPr>
        <w:t xml:space="preserve"> Unmeasured non-</w:t>
      </w:r>
      <w:r w:rsidR="00BB5A05">
        <w:rPr>
          <w:lang w:val="en-GB"/>
        </w:rPr>
        <w:t>household</w:t>
      </w:r>
      <w:r w:rsidRPr="2C985F9B">
        <w:rPr>
          <w:lang w:val="en-GB"/>
        </w:rPr>
        <w:t xml:space="preserve"> water delivered has been derived from the </w:t>
      </w:r>
      <w:r w:rsidR="002E6A73">
        <w:rPr>
          <w:lang w:val="en-GB"/>
        </w:rPr>
        <w:t>Local</w:t>
      </w:r>
      <w:r w:rsidR="00D10510" w:rsidRPr="2C985F9B">
        <w:rPr>
          <w:lang w:val="en-GB"/>
        </w:rPr>
        <w:t xml:space="preserve"> Authority’s </w:t>
      </w:r>
      <w:r w:rsidRPr="2C985F9B">
        <w:rPr>
          <w:lang w:val="en-GB"/>
        </w:rPr>
        <w:t>own monitor where the consumption data is over two years old; or is based on the consumption of comparable measured non-</w:t>
      </w:r>
      <w:r w:rsidR="00BB5A05">
        <w:rPr>
          <w:lang w:val="en-GB"/>
        </w:rPr>
        <w:t>household</w:t>
      </w:r>
      <w:r w:rsidRPr="2C985F9B">
        <w:rPr>
          <w:lang w:val="en-GB"/>
        </w:rPr>
        <w:t xml:space="preserve"> properties.</w:t>
      </w:r>
    </w:p>
    <w:p w14:paraId="4D04F6D1" w14:textId="56DD363A" w:rsidR="008E147C" w:rsidRPr="009A191E" w:rsidRDefault="008E147C" w:rsidP="00871522">
      <w:pPr>
        <w:pStyle w:val="Bodynumbercopy"/>
        <w:numPr>
          <w:ilvl w:val="1"/>
          <w:numId w:val="23"/>
        </w:numPr>
        <w:rPr>
          <w:b/>
          <w:bCs/>
          <w:lang w:val="en-GB"/>
        </w:rPr>
      </w:pPr>
      <w:r w:rsidRPr="2C985F9B">
        <w:rPr>
          <w:b/>
          <w:bCs/>
          <w:lang w:val="en-GB"/>
        </w:rPr>
        <w:t>Reliability Grade C:</w:t>
      </w:r>
      <w:r w:rsidRPr="2C985F9B">
        <w:rPr>
          <w:lang w:val="en-GB"/>
        </w:rPr>
        <w:t xml:space="preserve"> Unmeasured non-</w:t>
      </w:r>
      <w:r w:rsidR="00BB5A05">
        <w:rPr>
          <w:lang w:val="en-GB"/>
        </w:rPr>
        <w:t>household</w:t>
      </w:r>
      <w:r w:rsidRPr="2C985F9B">
        <w:rPr>
          <w:lang w:val="en-GB"/>
        </w:rPr>
        <w:t xml:space="preserve"> water delivered has been estimated using none of the above methods and is not assumed to be the residual component of the water balance; it is estimated using an alternative method, e.g. based on property rateable values</w:t>
      </w:r>
      <w:r w:rsidR="00D10510" w:rsidRPr="2C985F9B">
        <w:rPr>
          <w:lang w:val="en-GB"/>
        </w:rPr>
        <w:t xml:space="preserve"> or another such measure of charging unmeasured non-</w:t>
      </w:r>
      <w:r w:rsidR="00BB5A05">
        <w:rPr>
          <w:lang w:val="en-GB"/>
        </w:rPr>
        <w:t>household</w:t>
      </w:r>
      <w:r w:rsidR="00D10510" w:rsidRPr="2C985F9B">
        <w:rPr>
          <w:lang w:val="en-GB"/>
        </w:rPr>
        <w:t xml:space="preserve"> customers such as assessed usage</w:t>
      </w:r>
      <w:r w:rsidRPr="2C985F9B">
        <w:rPr>
          <w:lang w:val="en-GB"/>
        </w:rPr>
        <w:t>.</w:t>
      </w:r>
    </w:p>
    <w:p w14:paraId="527D8532" w14:textId="74CCB023" w:rsidR="008E147C" w:rsidRPr="009A191E" w:rsidRDefault="008E147C" w:rsidP="00871522">
      <w:pPr>
        <w:pStyle w:val="Bodynumbercopy"/>
        <w:numPr>
          <w:ilvl w:val="1"/>
          <w:numId w:val="23"/>
        </w:numPr>
        <w:rPr>
          <w:b/>
          <w:bCs/>
          <w:lang w:val="en-GB"/>
        </w:rPr>
      </w:pPr>
      <w:r w:rsidRPr="2C985F9B">
        <w:rPr>
          <w:b/>
          <w:bCs/>
          <w:lang w:val="en-GB"/>
        </w:rPr>
        <w:t>Reliability Grade D:</w:t>
      </w:r>
      <w:r w:rsidRPr="2C985F9B">
        <w:rPr>
          <w:lang w:val="en-GB"/>
        </w:rPr>
        <w:t xml:space="preserve"> Unmeasured non-</w:t>
      </w:r>
      <w:r w:rsidR="00BB5A05">
        <w:rPr>
          <w:lang w:val="en-GB"/>
        </w:rPr>
        <w:t>household</w:t>
      </w:r>
      <w:r w:rsidRPr="2C985F9B">
        <w:rPr>
          <w:lang w:val="en-GB"/>
        </w:rPr>
        <w:t xml:space="preserve"> water delivered is either estimated from the residual of the water balance once all other components have been separately estimated.</w:t>
      </w:r>
    </w:p>
    <w:p w14:paraId="346B9DC4" w14:textId="77777777" w:rsidR="008E147C" w:rsidRPr="009A191E" w:rsidRDefault="008E147C" w:rsidP="00B75A77">
      <w:pPr>
        <w:pStyle w:val="Bodynumbercopy"/>
        <w:rPr>
          <w:b/>
          <w:bCs/>
          <w:lang w:val="en-GB"/>
        </w:rPr>
      </w:pPr>
      <w:r w:rsidRPr="2C985F9B">
        <w:rPr>
          <w:lang w:val="en-GB"/>
        </w:rPr>
        <w:t>Total Leakage (</w:t>
      </w:r>
      <w:proofErr w:type="spellStart"/>
      <w:r w:rsidRPr="2C985F9B">
        <w:rPr>
          <w:lang w:val="en-GB"/>
        </w:rPr>
        <w:t>Ml</w:t>
      </w:r>
      <w:proofErr w:type="spellEnd"/>
      <w:r w:rsidRPr="2C985F9B">
        <w:rPr>
          <w:lang w:val="en-GB"/>
        </w:rPr>
        <w:t>/d)</w:t>
      </w:r>
    </w:p>
    <w:p w14:paraId="1F903070" w14:textId="77777777" w:rsidR="008E147C" w:rsidRPr="009A191E" w:rsidRDefault="008E147C" w:rsidP="00871522">
      <w:pPr>
        <w:pStyle w:val="Bodynumbercopy"/>
        <w:numPr>
          <w:ilvl w:val="1"/>
          <w:numId w:val="23"/>
        </w:numPr>
        <w:rPr>
          <w:b/>
          <w:bCs/>
          <w:lang w:val="en-GB"/>
        </w:rPr>
      </w:pPr>
      <w:r w:rsidRPr="2C985F9B">
        <w:rPr>
          <w:b/>
          <w:bCs/>
          <w:lang w:val="en-GB"/>
        </w:rPr>
        <w:t>Reliability Grade A:</w:t>
      </w:r>
      <w:r w:rsidRPr="2C985F9B">
        <w:rPr>
          <w:lang w:val="en-GB"/>
        </w:rPr>
        <w:t xml:space="preserve"> Total Leakage is estimated using the Minimum Night Flow Method, the resulting leakage level should then reconcile to within 5% of the residual using the Integrated Flow Method. The data should represent the average for the year. The night line data should be estimated with Continual Night Flow Monitoring covering over 80% of properties, recorded more than 20 times a year, in addition to sample surveys on service reservoirs and trunk mains.</w:t>
      </w:r>
    </w:p>
    <w:p w14:paraId="799EF00E" w14:textId="1C76DBAD" w:rsidR="008E147C" w:rsidRPr="009A191E" w:rsidRDefault="008E147C" w:rsidP="00871522">
      <w:pPr>
        <w:pStyle w:val="Bodynumbercopy"/>
        <w:numPr>
          <w:ilvl w:val="1"/>
          <w:numId w:val="23"/>
        </w:numPr>
        <w:rPr>
          <w:b/>
          <w:bCs/>
          <w:lang w:val="en-GB"/>
        </w:rPr>
      </w:pPr>
      <w:r w:rsidRPr="2C985F9B">
        <w:rPr>
          <w:b/>
          <w:bCs/>
          <w:lang w:val="en-GB"/>
        </w:rPr>
        <w:t>Reliability Grade B:</w:t>
      </w:r>
      <w:r w:rsidRPr="2C985F9B">
        <w:rPr>
          <w:lang w:val="en-GB"/>
        </w:rPr>
        <w:t xml:space="preserve"> Total Leakage is estimated using either the Integrated Flow Method or the Minimum Night Flow Method where the data represents the average for the year. The night line data should be estimated from a coverage of either Continual Night Flow </w:t>
      </w:r>
      <w:r w:rsidRPr="2C985F9B">
        <w:rPr>
          <w:lang w:val="en-GB"/>
        </w:rPr>
        <w:lastRenderedPageBreak/>
        <w:t>Monitoring or waste/district zone metering covering over 60% of properties, recorded less than 20 times a year.</w:t>
      </w:r>
      <w:r w:rsidRPr="2C985F9B">
        <w:rPr>
          <w:b/>
          <w:bCs/>
          <w:lang w:val="en-GB"/>
        </w:rPr>
        <w:t xml:space="preserve"> </w:t>
      </w:r>
    </w:p>
    <w:p w14:paraId="616C5234" w14:textId="410171CE" w:rsidR="008E147C" w:rsidRPr="009A191E" w:rsidRDefault="008E147C" w:rsidP="00871522">
      <w:pPr>
        <w:pStyle w:val="Bodynumbercopy"/>
        <w:numPr>
          <w:ilvl w:val="1"/>
          <w:numId w:val="23"/>
        </w:numPr>
        <w:rPr>
          <w:b/>
          <w:bCs/>
          <w:lang w:val="en-GB"/>
        </w:rPr>
      </w:pPr>
      <w:r w:rsidRPr="2C985F9B">
        <w:rPr>
          <w:b/>
          <w:bCs/>
          <w:lang w:val="en-GB"/>
        </w:rPr>
        <w:t>Reliability Grade C:</w:t>
      </w:r>
      <w:r w:rsidRPr="2C985F9B">
        <w:rPr>
          <w:lang w:val="en-GB"/>
        </w:rPr>
        <w:t xml:space="preserve"> Total Leakage is derived solely from a software package, which uses the </w:t>
      </w:r>
      <w:r w:rsidR="002E6A73">
        <w:rPr>
          <w:lang w:val="en-GB"/>
        </w:rPr>
        <w:t>Local</w:t>
      </w:r>
      <w:r w:rsidR="00560DB4" w:rsidRPr="2C985F9B">
        <w:rPr>
          <w:lang w:val="en-GB"/>
        </w:rPr>
        <w:t xml:space="preserve"> Authority’s </w:t>
      </w:r>
      <w:r w:rsidRPr="2C985F9B">
        <w:rPr>
          <w:lang w:val="en-GB"/>
        </w:rPr>
        <w:t>own data, national estimates or default input values. The resulting leakage figure should be supported by leakage levels estimated using the Integrated Flow Method or the Night Flow Method. The night line data should be estimated from a coverage of either Continual Night Flow Monitoring or waste/district zone metering covering under 60% properties, recorded less than 20 times a year.</w:t>
      </w:r>
    </w:p>
    <w:p w14:paraId="139A7E51" w14:textId="77777777" w:rsidR="008E147C" w:rsidRPr="009A191E" w:rsidRDefault="008E147C" w:rsidP="00871522">
      <w:pPr>
        <w:pStyle w:val="Bodynumbercopy"/>
        <w:numPr>
          <w:ilvl w:val="1"/>
          <w:numId w:val="23"/>
        </w:numPr>
        <w:rPr>
          <w:b/>
          <w:bCs/>
          <w:lang w:val="en-GB"/>
        </w:rPr>
      </w:pPr>
      <w:r w:rsidRPr="2C985F9B">
        <w:rPr>
          <w:b/>
          <w:bCs/>
          <w:lang w:val="en-GB"/>
        </w:rPr>
        <w:t>Reliability Grade D:</w:t>
      </w:r>
      <w:r w:rsidRPr="2C985F9B">
        <w:rPr>
          <w:lang w:val="en-GB"/>
        </w:rPr>
        <w:t xml:space="preserve"> Total leakage is assumed to be either the residual of the water balance once all other components have been estimated; or is derived solely from a software package, which uses national estimates or default input values, and the resulting leakage figure is not supported by leakage levels estimated using the Integrated Flow Method or the Night Flow Method; or is estimated on the basis of drop tests alone.</w:t>
      </w:r>
    </w:p>
    <w:p w14:paraId="28ECB2B5" w14:textId="77777777" w:rsidR="008E147C" w:rsidRPr="009A191E" w:rsidRDefault="008E147C" w:rsidP="00D06820">
      <w:pPr>
        <w:pStyle w:val="Bodynumbercopy"/>
        <w:rPr>
          <w:lang w:val="en-GB"/>
        </w:rPr>
      </w:pPr>
      <w:r w:rsidRPr="2C985F9B">
        <w:rPr>
          <w:lang w:val="en-GB"/>
        </w:rPr>
        <w:t>Distribution input (</w:t>
      </w:r>
      <w:proofErr w:type="spellStart"/>
      <w:r w:rsidRPr="2C985F9B">
        <w:rPr>
          <w:lang w:val="en-GB"/>
        </w:rPr>
        <w:t>Ml</w:t>
      </w:r>
      <w:proofErr w:type="spellEnd"/>
      <w:r w:rsidRPr="2C985F9B">
        <w:rPr>
          <w:lang w:val="en-GB"/>
        </w:rPr>
        <w:t>/d)</w:t>
      </w:r>
    </w:p>
    <w:p w14:paraId="1B9095F5" w14:textId="77DB9AB7" w:rsidR="008E147C" w:rsidRPr="009A191E" w:rsidRDefault="008E147C" w:rsidP="00871522">
      <w:pPr>
        <w:pStyle w:val="Bodynumbercopy"/>
        <w:numPr>
          <w:ilvl w:val="1"/>
          <w:numId w:val="23"/>
        </w:numPr>
        <w:rPr>
          <w:b/>
          <w:bCs/>
          <w:lang w:val="en-GB"/>
        </w:rPr>
      </w:pPr>
      <w:r w:rsidRPr="2C985F9B">
        <w:rPr>
          <w:b/>
          <w:bCs/>
          <w:lang w:val="en-GB"/>
        </w:rPr>
        <w:t xml:space="preserve">Reliability Grade A: </w:t>
      </w:r>
      <w:r w:rsidRPr="2C985F9B">
        <w:rPr>
          <w:lang w:val="en-GB"/>
        </w:rPr>
        <w:t xml:space="preserve">The sum of the separately estimated water balance components </w:t>
      </w:r>
      <w:r w:rsidR="00477D89" w:rsidRPr="2C985F9B">
        <w:rPr>
          <w:lang w:val="en-GB"/>
        </w:rPr>
        <w:t>reconciles</w:t>
      </w:r>
      <w:r w:rsidRPr="2C985F9B">
        <w:rPr>
          <w:lang w:val="en-GB"/>
        </w:rPr>
        <w:t xml:space="preserve"> with the measured volume of distribution input to within 1-2%. There has been no adjustment made to measured distribution input other than as a result of the aforementioned reconciliation; that is, the sum of the water balance components with measured distribution input. Measured distribution input has been estimated from water-into-supply meters which record 95% of the volume of distribution input, and the meters have been used and regularly recalibrated in accordance with the </w:t>
      </w:r>
      <w:r w:rsidR="00477D89" w:rsidRPr="2C985F9B">
        <w:rPr>
          <w:lang w:val="en-GB"/>
        </w:rPr>
        <w:t>manufacturer’s</w:t>
      </w:r>
      <w:r w:rsidRPr="2C985F9B">
        <w:rPr>
          <w:lang w:val="en-GB"/>
        </w:rPr>
        <w:t xml:space="preserve"> recommendations.</w:t>
      </w:r>
    </w:p>
    <w:p w14:paraId="14D5A76E" w14:textId="5DD3A051" w:rsidR="008E147C" w:rsidRPr="009A191E" w:rsidRDefault="008E147C" w:rsidP="00871522">
      <w:pPr>
        <w:pStyle w:val="Bodynumbercopy"/>
        <w:numPr>
          <w:ilvl w:val="1"/>
          <w:numId w:val="23"/>
        </w:numPr>
        <w:rPr>
          <w:b/>
          <w:bCs/>
          <w:lang w:val="en-GB"/>
        </w:rPr>
      </w:pPr>
      <w:r w:rsidRPr="2C985F9B">
        <w:rPr>
          <w:b/>
          <w:bCs/>
          <w:lang w:val="en-GB"/>
        </w:rPr>
        <w:t>Reliability Grade B:</w:t>
      </w:r>
      <w:r w:rsidRPr="2C985F9B">
        <w:rPr>
          <w:lang w:val="en-GB"/>
        </w:rPr>
        <w:t xml:space="preserve"> The sum of the separately estimated water balance components </w:t>
      </w:r>
      <w:r w:rsidR="00477D89" w:rsidRPr="2C985F9B">
        <w:rPr>
          <w:lang w:val="en-GB"/>
        </w:rPr>
        <w:t>reconciles</w:t>
      </w:r>
      <w:r w:rsidRPr="2C985F9B">
        <w:rPr>
          <w:lang w:val="en-GB"/>
        </w:rPr>
        <w:t xml:space="preserve"> with the measured volume of distribution input to within 5% but not to within 2%. There has been no adjustment made to measured distribution input, other than as a result of the aforementioned reconciliation; that is, the sum of the water balance components with measured distribution input. Measured distribution input has been estimated from water-into-supply meters which record 90% of the volume of distribution input, and the meters have been used and regularly recalibrated in accordance with the </w:t>
      </w:r>
      <w:r w:rsidR="00477D89" w:rsidRPr="2C985F9B">
        <w:rPr>
          <w:lang w:val="en-GB"/>
        </w:rPr>
        <w:t>manufacturer’s</w:t>
      </w:r>
      <w:r w:rsidRPr="2C985F9B">
        <w:rPr>
          <w:lang w:val="en-GB"/>
        </w:rPr>
        <w:t xml:space="preserve"> recommendations.</w:t>
      </w:r>
    </w:p>
    <w:p w14:paraId="6384EF1D" w14:textId="598C0CBB" w:rsidR="008E147C" w:rsidRPr="009A191E" w:rsidRDefault="008E147C" w:rsidP="00871522">
      <w:pPr>
        <w:pStyle w:val="Bodynumbercopy"/>
        <w:numPr>
          <w:ilvl w:val="1"/>
          <w:numId w:val="23"/>
        </w:numPr>
        <w:rPr>
          <w:b/>
          <w:bCs/>
          <w:lang w:val="en-GB"/>
        </w:rPr>
      </w:pPr>
      <w:r w:rsidRPr="2C985F9B">
        <w:rPr>
          <w:b/>
          <w:bCs/>
          <w:lang w:val="en-GB"/>
        </w:rPr>
        <w:t>Reliability Grade C</w:t>
      </w:r>
      <w:r w:rsidRPr="2C985F9B">
        <w:rPr>
          <w:lang w:val="en-GB"/>
        </w:rPr>
        <w:t xml:space="preserve">: Distribution input is taken from water-into-supply meter readings only and does not reconcile to within 5% of the sum of the separately estimated water balance components. There has been no adjustment made to measured distribution input, other than as a result of the aforementioned reconciliation; that is, the sum of the water balance components with measured distribution input. Measured distribution input has been estimated from water-into-supply meters which record 85% of the volume of distribution input, and the meters have been used and regularly recalibrated in accordance with the </w:t>
      </w:r>
      <w:r w:rsidR="00477D89" w:rsidRPr="2C985F9B">
        <w:rPr>
          <w:lang w:val="en-GB"/>
        </w:rPr>
        <w:t>manufacturer’s</w:t>
      </w:r>
      <w:r w:rsidRPr="2C985F9B">
        <w:rPr>
          <w:lang w:val="en-GB"/>
        </w:rPr>
        <w:t xml:space="preserve"> recommendations.</w:t>
      </w:r>
    </w:p>
    <w:p w14:paraId="7DD628A9" w14:textId="77777777" w:rsidR="008E147C" w:rsidRPr="009A191E" w:rsidRDefault="008E147C" w:rsidP="00871522">
      <w:pPr>
        <w:pStyle w:val="Bodynumbercopy"/>
        <w:numPr>
          <w:ilvl w:val="1"/>
          <w:numId w:val="23"/>
        </w:numPr>
        <w:rPr>
          <w:lang w:val="en-GB"/>
        </w:rPr>
      </w:pPr>
      <w:r w:rsidRPr="2C985F9B">
        <w:rPr>
          <w:b/>
          <w:bCs/>
          <w:lang w:val="en-GB"/>
        </w:rPr>
        <w:lastRenderedPageBreak/>
        <w:t>Reliability Grade D:</w:t>
      </w:r>
      <w:r w:rsidRPr="2C985F9B">
        <w:rPr>
          <w:lang w:val="en-GB"/>
        </w:rPr>
        <w:t xml:space="preserve"> Distribution input is taken as either the sum of the components of the water balance, or is taken from water-into-supply meters only, where there has been adjustments made to measured distribution input, which are not as a result of any reconciliation between the sum of components and measured distribution input.</w:t>
      </w:r>
    </w:p>
    <w:p w14:paraId="1BE2E8A3" w14:textId="77777777" w:rsidR="008E147C" w:rsidRPr="009A191E" w:rsidRDefault="008E147C" w:rsidP="00D06820">
      <w:pPr>
        <w:pStyle w:val="Bodynumbercopy"/>
        <w:rPr>
          <w:lang w:val="en-GB"/>
        </w:rPr>
      </w:pPr>
      <w:r w:rsidRPr="2C985F9B">
        <w:rPr>
          <w:lang w:val="en-GB"/>
        </w:rPr>
        <w:t>Overall water balance</w:t>
      </w:r>
    </w:p>
    <w:p w14:paraId="6B0377D3" w14:textId="759F10BD" w:rsidR="008E147C" w:rsidRPr="009A191E" w:rsidRDefault="008E147C" w:rsidP="00871522">
      <w:pPr>
        <w:pStyle w:val="Bodynumbercopy"/>
        <w:numPr>
          <w:ilvl w:val="1"/>
          <w:numId w:val="23"/>
        </w:numPr>
        <w:rPr>
          <w:b/>
          <w:bCs/>
          <w:lang w:val="en-GB"/>
        </w:rPr>
      </w:pPr>
      <w:r w:rsidRPr="2C985F9B">
        <w:rPr>
          <w:b/>
          <w:bCs/>
          <w:lang w:val="en-GB"/>
        </w:rPr>
        <w:t>Reliability Grade A:</w:t>
      </w:r>
      <w:r w:rsidRPr="2C985F9B">
        <w:rPr>
          <w:lang w:val="en-GB"/>
        </w:rPr>
        <w:t xml:space="preserve"> The water balance components reconcile with measured distribution input, to within 2%. Water-into-supply meters have been used and recalibrated in accordance with the </w:t>
      </w:r>
      <w:r w:rsidR="00576173" w:rsidRPr="2C985F9B">
        <w:rPr>
          <w:lang w:val="en-GB"/>
        </w:rPr>
        <w:t>manufacturer’s</w:t>
      </w:r>
      <w:r w:rsidRPr="2C985F9B">
        <w:rPr>
          <w:lang w:val="en-GB"/>
        </w:rPr>
        <w:t xml:space="preserve"> recommendation. The water balance components have been separately estimated and reconcile with the equivalent residual of the water balance. 90% of the volume of distribution input (not including distribution input) has been awarded a reliability band of A or B within the separately estimated water balance components.</w:t>
      </w:r>
    </w:p>
    <w:p w14:paraId="7F18C5D8" w14:textId="01E4E395" w:rsidR="008E147C" w:rsidRPr="009A191E" w:rsidRDefault="008E147C" w:rsidP="00871522">
      <w:pPr>
        <w:pStyle w:val="Bodynumbercopy"/>
        <w:numPr>
          <w:ilvl w:val="1"/>
          <w:numId w:val="23"/>
        </w:numPr>
        <w:rPr>
          <w:b/>
          <w:bCs/>
          <w:lang w:val="en-GB"/>
        </w:rPr>
      </w:pPr>
      <w:r w:rsidRPr="2C985F9B">
        <w:rPr>
          <w:b/>
          <w:bCs/>
          <w:lang w:val="en-GB"/>
        </w:rPr>
        <w:t>Reliability Grade B:</w:t>
      </w:r>
      <w:r w:rsidRPr="2C985F9B">
        <w:rPr>
          <w:lang w:val="en-GB"/>
        </w:rPr>
        <w:t xml:space="preserve"> The water balance components reconcile with measured distribution input to within 5%. Water-into-supply meters have been used and recalibrated in accordance with the </w:t>
      </w:r>
      <w:r w:rsidR="00576173" w:rsidRPr="2C985F9B">
        <w:rPr>
          <w:lang w:val="en-GB"/>
        </w:rPr>
        <w:t>manufacturer’s</w:t>
      </w:r>
      <w:r w:rsidRPr="2C985F9B">
        <w:rPr>
          <w:lang w:val="en-GB"/>
        </w:rPr>
        <w:t xml:space="preserve"> recommendation. The water balance components have been separately estimated and reconcile with the equivalent residual of the water balance. 90% of the volume of distribution input should have been awarded a reliability band of A or B within the separately estimated water balance components.</w:t>
      </w:r>
    </w:p>
    <w:p w14:paraId="746AFAC2" w14:textId="77777777" w:rsidR="008E147C" w:rsidRPr="009A191E" w:rsidRDefault="008E147C" w:rsidP="00871522">
      <w:pPr>
        <w:pStyle w:val="Bodynumbercopy"/>
        <w:numPr>
          <w:ilvl w:val="1"/>
          <w:numId w:val="23"/>
        </w:numPr>
        <w:rPr>
          <w:b/>
          <w:bCs/>
          <w:lang w:val="en-GB"/>
        </w:rPr>
      </w:pPr>
      <w:r w:rsidRPr="2C985F9B">
        <w:rPr>
          <w:b/>
          <w:bCs/>
          <w:lang w:val="en-GB"/>
        </w:rPr>
        <w:t>Reliability Grade C</w:t>
      </w:r>
      <w:r w:rsidRPr="2C985F9B">
        <w:rPr>
          <w:lang w:val="en-GB"/>
        </w:rPr>
        <w:t>: The water balance components have not been reconciled with measured distribution input. The water balance components have been separately estimated and reconcile with the equivalent residual of the water balance. 90% of the volume of distribution input should have been awarded a reliability band of C or better within the separately estimated water balance components.</w:t>
      </w:r>
    </w:p>
    <w:p w14:paraId="2E7437C6" w14:textId="0A9E24FB" w:rsidR="006E5C15" w:rsidRPr="001965B3" w:rsidRDefault="008E147C" w:rsidP="00871522">
      <w:pPr>
        <w:pStyle w:val="Bodynumbercopy"/>
        <w:numPr>
          <w:ilvl w:val="1"/>
          <w:numId w:val="23"/>
        </w:numPr>
        <w:rPr>
          <w:lang w:val="en-GB"/>
        </w:rPr>
      </w:pPr>
      <w:r w:rsidRPr="2C985F9B">
        <w:rPr>
          <w:b/>
          <w:bCs/>
          <w:lang w:val="en-GB"/>
        </w:rPr>
        <w:t>Reliability Grade D:</w:t>
      </w:r>
      <w:r w:rsidRPr="2C985F9B">
        <w:rPr>
          <w:lang w:val="en-GB"/>
        </w:rPr>
        <w:t xml:space="preserve"> There has been no reconciliation across individual components or between the sum of components and measured distribution input. 90% of the volume of distribution input should have been awarded a reliability band of C or D within the separately estimated water balance components.</w:t>
      </w:r>
    </w:p>
    <w:p w14:paraId="531CD103" w14:textId="2FBE9B5C" w:rsidR="006E5C15" w:rsidRPr="006E5C15" w:rsidRDefault="006E5C15" w:rsidP="0018706D">
      <w:pPr>
        <w:pStyle w:val="Sectionsub-heading"/>
        <w:rPr>
          <w:lang w:val="en-GB"/>
        </w:rPr>
      </w:pPr>
      <w:r>
        <w:rPr>
          <w:lang w:val="en-GB"/>
        </w:rPr>
        <w:t>Guidance to the Local Authority</w:t>
      </w:r>
    </w:p>
    <w:p w14:paraId="160088CA" w14:textId="77777777" w:rsidR="00D70C3E" w:rsidRDefault="006E5C15" w:rsidP="000A3293">
      <w:pPr>
        <w:pStyle w:val="Bodynumbercopy"/>
        <w:ind w:left="780"/>
        <w:rPr>
          <w:lang w:val="en-GB"/>
        </w:rPr>
      </w:pPr>
      <w:r w:rsidRPr="00D70C3E">
        <w:rPr>
          <w:lang w:val="en-GB"/>
        </w:rPr>
        <w:t xml:space="preserve">For the avoidance of doubt, </w:t>
      </w:r>
      <w:r w:rsidR="00E4313F" w:rsidRPr="00D70C3E">
        <w:rPr>
          <w:lang w:val="en-GB"/>
        </w:rPr>
        <w:t>T</w:t>
      </w:r>
      <w:r w:rsidRPr="00D70C3E">
        <w:rPr>
          <w:lang w:val="en-GB"/>
        </w:rPr>
        <w:t xml:space="preserve">able A2 refers to </w:t>
      </w:r>
      <w:r w:rsidR="00A84715" w:rsidRPr="00D70C3E">
        <w:rPr>
          <w:lang w:val="en-GB"/>
        </w:rPr>
        <w:t xml:space="preserve">the </w:t>
      </w:r>
      <w:r w:rsidR="00FD02F0" w:rsidRPr="00D70C3E">
        <w:rPr>
          <w:lang w:val="en-GB"/>
        </w:rPr>
        <w:t>whole</w:t>
      </w:r>
      <w:r w:rsidR="00A84715" w:rsidRPr="00D70C3E">
        <w:rPr>
          <w:lang w:val="en-GB"/>
        </w:rPr>
        <w:t xml:space="preserve"> Local Authority area. </w:t>
      </w:r>
      <w:r w:rsidR="00FD02F0" w:rsidRPr="00D70C3E">
        <w:rPr>
          <w:lang w:val="en-GB"/>
        </w:rPr>
        <w:t>In the event that a Local Authority has several discrete schemes, the total across the Local Authority area should be reported.</w:t>
      </w:r>
    </w:p>
    <w:p w14:paraId="326ED09F" w14:textId="3D9847A0" w:rsidR="00D70C3E" w:rsidRPr="00D70C3E" w:rsidRDefault="00D70C3E" w:rsidP="00D70C3E">
      <w:pPr>
        <w:pStyle w:val="Bodynumbercopy"/>
        <w:ind w:left="780"/>
        <w:rPr>
          <w:lang w:val="en-GB"/>
        </w:rPr>
      </w:pPr>
      <w:r w:rsidRPr="000A68A6">
        <w:t>In the event of a joint venture of assets serving two or more Local Authority areas</w:t>
      </w:r>
      <w:r>
        <w:t>, Local Authorities should report their own share of the volumes supplied. If allocated, t</w:t>
      </w:r>
      <w:r w:rsidRPr="00EC5783">
        <w:t>he Local Authority is expected to explain the allocation</w:t>
      </w:r>
      <w:r>
        <w:t xml:space="preserve"> method</w:t>
      </w:r>
      <w:r w:rsidRPr="00EC5783">
        <w:t xml:space="preserve"> used in the commentary cells. </w:t>
      </w:r>
    </w:p>
    <w:p w14:paraId="5D2BF43B" w14:textId="77777777" w:rsidR="00D70C3E" w:rsidRPr="00FD02F0" w:rsidRDefault="00D70C3E" w:rsidP="000B5EDE">
      <w:pPr>
        <w:pStyle w:val="Bodynumbercopy"/>
        <w:numPr>
          <w:ilvl w:val="0"/>
          <w:numId w:val="0"/>
        </w:numPr>
        <w:ind w:left="1554" w:hanging="420"/>
        <w:rPr>
          <w:lang w:val="en-GB"/>
        </w:rPr>
      </w:pPr>
    </w:p>
    <w:p w14:paraId="6BED3915" w14:textId="77777777" w:rsidR="006E5C15" w:rsidRPr="009A191E" w:rsidRDefault="006E5C15" w:rsidP="0018706D">
      <w:pPr>
        <w:pStyle w:val="Bodynumbercopy"/>
        <w:numPr>
          <w:ilvl w:val="0"/>
          <w:numId w:val="0"/>
        </w:numPr>
        <w:rPr>
          <w:b/>
          <w:bCs/>
          <w:lang w:val="en-GB"/>
        </w:rPr>
      </w:pPr>
    </w:p>
    <w:p w14:paraId="1B2A6825" w14:textId="77777777" w:rsidR="005677DF" w:rsidRDefault="005677DF">
      <w:pPr>
        <w:spacing w:after="160" w:line="259" w:lineRule="auto"/>
        <w:rPr>
          <w:rFonts w:ascii="Calibri" w:hAnsi="Calibri" w:cs="Calibri"/>
          <w:b/>
          <w:color w:val="182B46"/>
          <w:sz w:val="26"/>
          <w:lang w:val="en-GB"/>
        </w:rPr>
      </w:pPr>
      <w:r>
        <w:rPr>
          <w:lang w:val="en-GB"/>
        </w:rPr>
        <w:br w:type="page"/>
      </w:r>
    </w:p>
    <w:p w14:paraId="4B8FA4E3" w14:textId="6B8E37E8" w:rsidR="008E147C" w:rsidRPr="009A191E" w:rsidRDefault="008E147C" w:rsidP="00FA2EDC">
      <w:pPr>
        <w:pStyle w:val="Sectionsub-heading"/>
        <w:rPr>
          <w:lang w:val="en-GB"/>
        </w:rPr>
      </w:pPr>
      <w:r w:rsidRPr="009A191E">
        <w:rPr>
          <w:lang w:val="en-GB"/>
        </w:rPr>
        <w:lastRenderedPageBreak/>
        <w:t xml:space="preserve">BLOCK 1: UNMEASURED </w:t>
      </w:r>
      <w:r w:rsidR="00BB5A05">
        <w:rPr>
          <w:lang w:val="en-GB"/>
        </w:rPr>
        <w:t>HOUSEHOLD</w:t>
      </w:r>
      <w:r w:rsidRPr="009A191E">
        <w:rPr>
          <w:lang w:val="en-GB"/>
        </w:rPr>
        <w:t xml:space="preserve"> </w:t>
      </w:r>
    </w:p>
    <w:tbl>
      <w:tblPr>
        <w:tblStyle w:val="TableGrid3"/>
        <w:tblW w:w="0" w:type="auto"/>
        <w:tblLook w:val="04A0" w:firstRow="1" w:lastRow="0" w:firstColumn="1" w:lastColumn="0" w:noHBand="0" w:noVBand="1"/>
      </w:tblPr>
      <w:tblGrid>
        <w:gridCol w:w="968"/>
        <w:gridCol w:w="963"/>
        <w:gridCol w:w="4313"/>
        <w:gridCol w:w="1314"/>
      </w:tblGrid>
      <w:tr w:rsidR="008E147C" w:rsidRPr="009A191E" w14:paraId="1A053B5E" w14:textId="77777777" w:rsidTr="00EE66BC">
        <w:tc>
          <w:tcPr>
            <w:tcW w:w="968" w:type="dxa"/>
          </w:tcPr>
          <w:p w14:paraId="60B56DF5" w14:textId="77777777" w:rsidR="008E147C" w:rsidRPr="00FA2EDC" w:rsidRDefault="008E147C" w:rsidP="00FA2EDC">
            <w:pPr>
              <w:pStyle w:val="Bodyromannumerals"/>
              <w:rPr>
                <w:b/>
                <w:bCs/>
                <w:lang w:val="en-US"/>
              </w:rPr>
            </w:pPr>
            <w:r w:rsidRPr="00FA2EDC">
              <w:rPr>
                <w:b/>
                <w:bCs/>
                <w:lang w:val="en-US"/>
              </w:rPr>
              <w:t>A2.1</w:t>
            </w:r>
          </w:p>
        </w:tc>
        <w:tc>
          <w:tcPr>
            <w:tcW w:w="6682" w:type="dxa"/>
            <w:gridSpan w:val="2"/>
          </w:tcPr>
          <w:p w14:paraId="2B483383" w14:textId="16AAE9A9" w:rsidR="008E147C" w:rsidRPr="00FA2EDC" w:rsidRDefault="008E147C" w:rsidP="00FA2EDC">
            <w:pPr>
              <w:pStyle w:val="Bodyromannumerals"/>
              <w:rPr>
                <w:b/>
                <w:bCs/>
                <w:lang w:val="en-US"/>
              </w:rPr>
            </w:pPr>
            <w:r w:rsidRPr="00FA2EDC">
              <w:rPr>
                <w:b/>
                <w:bCs/>
                <w:lang w:val="en-US"/>
              </w:rPr>
              <w:t xml:space="preserve">Water </w:t>
            </w:r>
            <w:r w:rsidR="00E4313F">
              <w:rPr>
                <w:b/>
                <w:bCs/>
                <w:lang w:val="en-US"/>
              </w:rPr>
              <w:t>d</w:t>
            </w:r>
            <w:r w:rsidRPr="00FA2EDC">
              <w:rPr>
                <w:b/>
                <w:bCs/>
                <w:lang w:val="en-US"/>
              </w:rPr>
              <w:t>elivered</w:t>
            </w:r>
          </w:p>
        </w:tc>
        <w:tc>
          <w:tcPr>
            <w:tcW w:w="1366" w:type="dxa"/>
          </w:tcPr>
          <w:p w14:paraId="0BECE476" w14:textId="77777777" w:rsidR="008E147C" w:rsidRPr="00FA2EDC" w:rsidRDefault="008E147C" w:rsidP="00FA2EDC">
            <w:pPr>
              <w:pStyle w:val="Bodyromannumerals"/>
              <w:rPr>
                <w:b/>
                <w:bCs/>
                <w:lang w:val="en-US"/>
              </w:rPr>
            </w:pPr>
            <w:r w:rsidRPr="00FA2EDC">
              <w:rPr>
                <w:b/>
                <w:bCs/>
                <w:lang w:val="en-US"/>
              </w:rPr>
              <w:t>000 m3/d</w:t>
            </w:r>
          </w:p>
        </w:tc>
      </w:tr>
      <w:tr w:rsidR="008E147C" w:rsidRPr="009A191E" w14:paraId="02AB6735" w14:textId="77777777" w:rsidTr="00EE66BC">
        <w:tc>
          <w:tcPr>
            <w:tcW w:w="2193" w:type="dxa"/>
            <w:gridSpan w:val="2"/>
            <w:tcBorders>
              <w:left w:val="single" w:sz="4" w:space="0" w:color="FFFFFF"/>
              <w:bottom w:val="single" w:sz="4" w:space="0" w:color="FFFFFF"/>
              <w:right w:val="single" w:sz="4" w:space="0" w:color="FFFFFF"/>
            </w:tcBorders>
          </w:tcPr>
          <w:p w14:paraId="55C336FA" w14:textId="77777777" w:rsidR="008E147C" w:rsidRPr="009A191E" w:rsidRDefault="008E147C" w:rsidP="00FA2EDC">
            <w:pPr>
              <w:pStyle w:val="Bodyromannumerals"/>
              <w:rPr>
                <w:i/>
                <w:lang w:val="en-US"/>
              </w:rPr>
            </w:pPr>
            <w:r w:rsidRPr="009A191E">
              <w:rPr>
                <w:i/>
                <w:lang w:val="en-US"/>
              </w:rPr>
              <w:t>Definition:</w:t>
            </w:r>
          </w:p>
        </w:tc>
        <w:tc>
          <w:tcPr>
            <w:tcW w:w="6823" w:type="dxa"/>
            <w:gridSpan w:val="2"/>
            <w:tcBorders>
              <w:left w:val="single" w:sz="4" w:space="0" w:color="FFFFFF"/>
              <w:bottom w:val="single" w:sz="4" w:space="0" w:color="FFFFFF"/>
              <w:right w:val="single" w:sz="4" w:space="0" w:color="FFFFFF"/>
            </w:tcBorders>
          </w:tcPr>
          <w:p w14:paraId="3D20E6A4" w14:textId="18CD4422" w:rsidR="008E147C" w:rsidRPr="009A191E" w:rsidRDefault="008E147C" w:rsidP="00FA2EDC">
            <w:pPr>
              <w:pStyle w:val="Bodyromannumerals"/>
              <w:rPr>
                <w:lang w:val="en-US"/>
              </w:rPr>
            </w:pPr>
            <w:r w:rsidRPr="009A191E">
              <w:rPr>
                <w:lang w:val="en-US"/>
              </w:rPr>
              <w:t xml:space="preserve">Estimated average volume of potable water delivered to unmeasured </w:t>
            </w:r>
            <w:r w:rsidR="00BB5A05">
              <w:rPr>
                <w:lang w:val="en-US"/>
              </w:rPr>
              <w:t>household</w:t>
            </w:r>
            <w:r w:rsidRPr="009A191E">
              <w:rPr>
                <w:lang w:val="en-US"/>
              </w:rPr>
              <w:t xml:space="preserve"> properties.</w:t>
            </w:r>
            <w:r w:rsidR="00DC2299">
              <w:rPr>
                <w:lang w:val="en-US"/>
              </w:rPr>
              <w:t xml:space="preserve"> This should include potable water delivered to properties that are connected to the distribution system but not charged.</w:t>
            </w:r>
          </w:p>
          <w:p w14:paraId="323D08E8" w14:textId="0A746537" w:rsidR="008E147C" w:rsidRPr="009A191E" w:rsidRDefault="008E147C" w:rsidP="00FA2EDC">
            <w:pPr>
              <w:pStyle w:val="Bodyromannumerals"/>
              <w:rPr>
                <w:lang w:val="en-US"/>
              </w:rPr>
            </w:pPr>
            <w:r w:rsidRPr="009A191E">
              <w:rPr>
                <w:lang w:val="en-US"/>
              </w:rPr>
              <w:t xml:space="preserve">This is to </w:t>
            </w:r>
            <w:r w:rsidRPr="00F07E9B">
              <w:rPr>
                <w:b/>
                <w:bCs/>
                <w:lang w:val="en-US"/>
              </w:rPr>
              <w:t>include</w:t>
            </w:r>
            <w:r w:rsidRPr="009A191E">
              <w:rPr>
                <w:lang w:val="en-US"/>
              </w:rPr>
              <w:t xml:space="preserve"> supply pipe leakage.  If the </w:t>
            </w:r>
            <w:r w:rsidR="002E6A73">
              <w:rPr>
                <w:lang w:val="en-US"/>
              </w:rPr>
              <w:t>Local</w:t>
            </w:r>
            <w:r w:rsidR="00560DB4">
              <w:rPr>
                <w:lang w:val="en-US"/>
              </w:rPr>
              <w:t xml:space="preserve"> Authority’s</w:t>
            </w:r>
            <w:r w:rsidR="00560DB4" w:rsidRPr="009A191E">
              <w:rPr>
                <w:lang w:val="en-US"/>
              </w:rPr>
              <w:t xml:space="preserve"> </w:t>
            </w:r>
            <w:r w:rsidRPr="009A191E">
              <w:rPr>
                <w:lang w:val="en-US"/>
              </w:rPr>
              <w:t xml:space="preserve">estimate of the per capita consumption of unmeasured </w:t>
            </w:r>
            <w:r w:rsidR="00BB5A05">
              <w:rPr>
                <w:lang w:val="en-US"/>
              </w:rPr>
              <w:t>household</w:t>
            </w:r>
            <w:r w:rsidRPr="009A191E">
              <w:rPr>
                <w:lang w:val="en-US"/>
              </w:rPr>
              <w:t xml:space="preserve"> properties excludes supply pipe leakage, an estimate of this leakage must be made and included in this line for comparative purposes.  This estimate should include supply pipe leakage from </w:t>
            </w:r>
            <w:r w:rsidR="00A36773">
              <w:rPr>
                <w:lang w:val="en-US"/>
              </w:rPr>
              <w:t>vacant/void</w:t>
            </w:r>
            <w:r w:rsidRPr="009A191E">
              <w:rPr>
                <w:lang w:val="en-US"/>
              </w:rPr>
              <w:t xml:space="preserve"> and exempt properties.  The method of estimation must be set out and supported in the commentaries.</w:t>
            </w:r>
          </w:p>
          <w:p w14:paraId="6A8B7243" w14:textId="18689C3F" w:rsidR="008E147C" w:rsidRPr="009A191E" w:rsidRDefault="008E147C" w:rsidP="00FA2EDC">
            <w:pPr>
              <w:pStyle w:val="Bodyromannumerals"/>
              <w:rPr>
                <w:lang w:val="en-US"/>
              </w:rPr>
            </w:pPr>
            <w:r w:rsidRPr="009A191E">
              <w:rPr>
                <w:lang w:val="en-US"/>
              </w:rPr>
              <w:t>Exclude miscellaneous use. This is reported in lines A2.26, A2.27 and A2.28</w:t>
            </w:r>
            <w:r w:rsidR="00560DB4">
              <w:rPr>
                <w:lang w:val="en-US"/>
              </w:rPr>
              <w:t xml:space="preserve"> below</w:t>
            </w:r>
            <w:r w:rsidRPr="009A191E">
              <w:rPr>
                <w:lang w:val="en-US"/>
              </w:rPr>
              <w:t>.</w:t>
            </w:r>
          </w:p>
        </w:tc>
      </w:tr>
      <w:tr w:rsidR="008E147C" w:rsidRPr="009A191E" w14:paraId="1E146D38" w14:textId="77777777" w:rsidTr="00EE66BC">
        <w:tc>
          <w:tcPr>
            <w:tcW w:w="2193" w:type="dxa"/>
            <w:gridSpan w:val="2"/>
            <w:tcBorders>
              <w:top w:val="single" w:sz="4" w:space="0" w:color="FFFFFF"/>
              <w:left w:val="single" w:sz="4" w:space="0" w:color="FFFFFF"/>
              <w:bottom w:val="single" w:sz="4" w:space="0" w:color="FFFFFF"/>
              <w:right w:val="single" w:sz="4" w:space="0" w:color="FFFFFF"/>
            </w:tcBorders>
          </w:tcPr>
          <w:p w14:paraId="04A32131" w14:textId="77777777" w:rsidR="008E147C" w:rsidRPr="009A191E" w:rsidRDefault="008E147C" w:rsidP="00FA2EDC">
            <w:pPr>
              <w:pStyle w:val="Bodyromannumerals"/>
              <w:rPr>
                <w:i/>
                <w:lang w:val="en-US"/>
              </w:rPr>
            </w:pPr>
            <w:r w:rsidRPr="009A191E">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013D0C7B" w14:textId="63B4AADE" w:rsidR="008E147C" w:rsidRPr="009A191E" w:rsidRDefault="008E147C" w:rsidP="00FA2EDC">
            <w:pPr>
              <w:pStyle w:val="Bodyromannumerals"/>
              <w:rPr>
                <w:lang w:val="en-US"/>
              </w:rPr>
            </w:pPr>
            <w:r w:rsidRPr="009A191E">
              <w:rPr>
                <w:lang w:val="en-US"/>
              </w:rPr>
              <w:t>Input field</w:t>
            </w:r>
          </w:p>
        </w:tc>
      </w:tr>
      <w:tr w:rsidR="008E147C" w:rsidRPr="009A191E" w14:paraId="11A0DC50" w14:textId="77777777" w:rsidTr="00EE66BC">
        <w:tc>
          <w:tcPr>
            <w:tcW w:w="968" w:type="dxa"/>
          </w:tcPr>
          <w:p w14:paraId="10AEBDD1" w14:textId="77777777" w:rsidR="008E147C" w:rsidRPr="00FA2EDC" w:rsidRDefault="008E147C" w:rsidP="00FA2EDC">
            <w:pPr>
              <w:pStyle w:val="Bodyromannumerals"/>
              <w:rPr>
                <w:b/>
                <w:bCs/>
                <w:lang w:val="en-US"/>
              </w:rPr>
            </w:pPr>
            <w:r w:rsidRPr="00FA2EDC">
              <w:rPr>
                <w:b/>
                <w:bCs/>
                <w:lang w:val="en-US"/>
              </w:rPr>
              <w:t>A2.2</w:t>
            </w:r>
          </w:p>
        </w:tc>
        <w:tc>
          <w:tcPr>
            <w:tcW w:w="6682" w:type="dxa"/>
            <w:gridSpan w:val="2"/>
          </w:tcPr>
          <w:p w14:paraId="1AB4A30D" w14:textId="77777777" w:rsidR="008E147C" w:rsidRPr="00FA2EDC" w:rsidRDefault="008E147C" w:rsidP="00FA2EDC">
            <w:pPr>
              <w:pStyle w:val="Bodyromannumerals"/>
              <w:rPr>
                <w:b/>
                <w:bCs/>
                <w:lang w:val="en-US"/>
              </w:rPr>
            </w:pPr>
            <w:r w:rsidRPr="00FA2EDC">
              <w:rPr>
                <w:b/>
                <w:bCs/>
                <w:lang w:val="en-US"/>
              </w:rPr>
              <w:t>Underground supply pipe leakage – billed</w:t>
            </w:r>
          </w:p>
        </w:tc>
        <w:tc>
          <w:tcPr>
            <w:tcW w:w="1366" w:type="dxa"/>
          </w:tcPr>
          <w:p w14:paraId="1EDFFAAF" w14:textId="77777777" w:rsidR="008E147C" w:rsidRPr="00FA2EDC" w:rsidRDefault="008E147C" w:rsidP="00FA2EDC">
            <w:pPr>
              <w:pStyle w:val="Bodyromannumerals"/>
              <w:rPr>
                <w:b/>
                <w:bCs/>
                <w:lang w:val="en-US"/>
              </w:rPr>
            </w:pPr>
            <w:r w:rsidRPr="00FA2EDC">
              <w:rPr>
                <w:b/>
                <w:bCs/>
                <w:lang w:val="en-US"/>
              </w:rPr>
              <w:t>l/pr/d</w:t>
            </w:r>
          </w:p>
        </w:tc>
      </w:tr>
      <w:tr w:rsidR="008E147C" w:rsidRPr="009A191E" w14:paraId="6DE598F7" w14:textId="77777777" w:rsidTr="00EE66BC">
        <w:tc>
          <w:tcPr>
            <w:tcW w:w="2193" w:type="dxa"/>
            <w:gridSpan w:val="2"/>
            <w:tcBorders>
              <w:left w:val="single" w:sz="4" w:space="0" w:color="FFFFFF"/>
              <w:bottom w:val="single" w:sz="4" w:space="0" w:color="FFFFFF"/>
              <w:right w:val="single" w:sz="4" w:space="0" w:color="FFFFFF"/>
            </w:tcBorders>
          </w:tcPr>
          <w:p w14:paraId="6330A4E4" w14:textId="77777777" w:rsidR="008E147C" w:rsidRPr="009A191E" w:rsidRDefault="008E147C" w:rsidP="00FA2EDC">
            <w:pPr>
              <w:pStyle w:val="Bodyromannumerals"/>
              <w:rPr>
                <w:i/>
                <w:lang w:val="en-US"/>
              </w:rPr>
            </w:pPr>
            <w:r w:rsidRPr="009A191E">
              <w:rPr>
                <w:i/>
                <w:lang w:val="en-US"/>
              </w:rPr>
              <w:t>Definition:</w:t>
            </w:r>
          </w:p>
        </w:tc>
        <w:tc>
          <w:tcPr>
            <w:tcW w:w="6823" w:type="dxa"/>
            <w:gridSpan w:val="2"/>
            <w:tcBorders>
              <w:left w:val="single" w:sz="4" w:space="0" w:color="FFFFFF"/>
              <w:bottom w:val="single" w:sz="4" w:space="0" w:color="FFFFFF"/>
              <w:right w:val="single" w:sz="4" w:space="0" w:color="FFFFFF"/>
            </w:tcBorders>
          </w:tcPr>
          <w:p w14:paraId="5C32AD62" w14:textId="2E5BA049" w:rsidR="008E147C" w:rsidRPr="009A191E" w:rsidRDefault="008E147C" w:rsidP="00FA2EDC">
            <w:pPr>
              <w:pStyle w:val="Bodyromannumerals"/>
              <w:rPr>
                <w:lang w:val="en-US"/>
              </w:rPr>
            </w:pPr>
            <w:r w:rsidRPr="009A191E">
              <w:rPr>
                <w:lang w:val="en-US"/>
              </w:rPr>
              <w:t xml:space="preserve">Estimated underground supply pipe leakage per unmeasured </w:t>
            </w:r>
            <w:r w:rsidR="00BB5A05">
              <w:rPr>
                <w:lang w:val="en-US"/>
              </w:rPr>
              <w:t>household</w:t>
            </w:r>
            <w:r w:rsidRPr="009A191E">
              <w:rPr>
                <w:lang w:val="en-US"/>
              </w:rPr>
              <w:t xml:space="preserve"> property.</w:t>
            </w:r>
          </w:p>
          <w:p w14:paraId="1F327600" w14:textId="15BB8D05" w:rsidR="008E147C" w:rsidRPr="009A191E" w:rsidRDefault="008E147C" w:rsidP="00FA2EDC">
            <w:pPr>
              <w:pStyle w:val="Bodyromannumerals"/>
              <w:rPr>
                <w:lang w:val="en-US"/>
              </w:rPr>
            </w:pPr>
            <w:r w:rsidRPr="009A191E">
              <w:rPr>
                <w:lang w:val="en-US"/>
              </w:rPr>
              <w:t xml:space="preserve">This estimate is made for </w:t>
            </w:r>
            <w:r w:rsidR="00BB5A05">
              <w:rPr>
                <w:lang w:val="en-US"/>
              </w:rPr>
              <w:t>household</w:t>
            </w:r>
            <w:r w:rsidRPr="009A191E">
              <w:rPr>
                <w:lang w:val="en-US"/>
              </w:rPr>
              <w:t xml:space="preserve"> properties that are billed (A1.1) and is included in the potable water delivered total (A2.25).</w:t>
            </w:r>
          </w:p>
        </w:tc>
      </w:tr>
      <w:tr w:rsidR="008E147C" w:rsidRPr="009A191E" w14:paraId="3EB37700" w14:textId="77777777" w:rsidTr="00EE66BC">
        <w:tc>
          <w:tcPr>
            <w:tcW w:w="2193" w:type="dxa"/>
            <w:gridSpan w:val="2"/>
            <w:tcBorders>
              <w:top w:val="single" w:sz="4" w:space="0" w:color="FFFFFF"/>
              <w:left w:val="single" w:sz="4" w:space="0" w:color="FFFFFF"/>
              <w:bottom w:val="single" w:sz="4" w:space="0" w:color="FFFFFF"/>
              <w:right w:val="single" w:sz="4" w:space="0" w:color="FFFFFF"/>
            </w:tcBorders>
          </w:tcPr>
          <w:p w14:paraId="1C2A3A10" w14:textId="77777777" w:rsidR="008E147C" w:rsidRPr="009A191E" w:rsidRDefault="008E147C" w:rsidP="00FA2EDC">
            <w:pPr>
              <w:pStyle w:val="Bodyromannumerals"/>
              <w:rPr>
                <w:i/>
                <w:lang w:val="en-US"/>
              </w:rPr>
            </w:pPr>
            <w:r w:rsidRPr="009A191E">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1B0234E2" w14:textId="77777777" w:rsidR="008E147C" w:rsidRPr="009A191E" w:rsidRDefault="008E147C" w:rsidP="00FA2EDC">
            <w:pPr>
              <w:pStyle w:val="Bodyromannumerals"/>
              <w:rPr>
                <w:lang w:val="en-US"/>
              </w:rPr>
            </w:pPr>
            <w:r w:rsidRPr="009A191E">
              <w:rPr>
                <w:lang w:val="en-US"/>
              </w:rPr>
              <w:t>Input field</w:t>
            </w:r>
          </w:p>
        </w:tc>
      </w:tr>
      <w:tr w:rsidR="008E147C" w:rsidRPr="009A191E" w14:paraId="5F95D489" w14:textId="77777777" w:rsidTr="00EE66BC">
        <w:tc>
          <w:tcPr>
            <w:tcW w:w="968" w:type="dxa"/>
          </w:tcPr>
          <w:p w14:paraId="05E91DFC" w14:textId="77777777" w:rsidR="008E147C" w:rsidRPr="00FA2EDC" w:rsidRDefault="008E147C" w:rsidP="00FA2EDC">
            <w:pPr>
              <w:pStyle w:val="Bodyromannumerals"/>
              <w:rPr>
                <w:b/>
                <w:bCs/>
                <w:lang w:val="en-US"/>
              </w:rPr>
            </w:pPr>
            <w:r w:rsidRPr="00FA2EDC">
              <w:rPr>
                <w:b/>
                <w:bCs/>
                <w:lang w:val="en-US"/>
              </w:rPr>
              <w:t>A2.3</w:t>
            </w:r>
          </w:p>
        </w:tc>
        <w:tc>
          <w:tcPr>
            <w:tcW w:w="6682" w:type="dxa"/>
            <w:gridSpan w:val="2"/>
          </w:tcPr>
          <w:p w14:paraId="5B2FFE00" w14:textId="21A3FB49" w:rsidR="008E147C" w:rsidRPr="00FA2EDC" w:rsidRDefault="008E147C" w:rsidP="00FA2EDC">
            <w:pPr>
              <w:pStyle w:val="Bodyromannumerals"/>
              <w:rPr>
                <w:b/>
                <w:bCs/>
                <w:lang w:val="en-US"/>
              </w:rPr>
            </w:pPr>
            <w:r w:rsidRPr="00FA2EDC">
              <w:rPr>
                <w:b/>
                <w:bCs/>
                <w:lang w:val="en-US"/>
              </w:rPr>
              <w:t xml:space="preserve">Underground supply pipe leakage – </w:t>
            </w:r>
            <w:r w:rsidR="00B12766">
              <w:rPr>
                <w:b/>
                <w:bCs/>
                <w:lang w:val="en-US"/>
              </w:rPr>
              <w:t>connected but not charge</w:t>
            </w:r>
            <w:r w:rsidR="00CC03C7">
              <w:rPr>
                <w:b/>
                <w:bCs/>
                <w:lang w:val="en-US"/>
              </w:rPr>
              <w:t>d</w:t>
            </w:r>
          </w:p>
        </w:tc>
        <w:tc>
          <w:tcPr>
            <w:tcW w:w="1366" w:type="dxa"/>
          </w:tcPr>
          <w:p w14:paraId="5B301B58" w14:textId="77777777" w:rsidR="008E147C" w:rsidRPr="00FA2EDC" w:rsidRDefault="008E147C" w:rsidP="00FA2EDC">
            <w:pPr>
              <w:pStyle w:val="Bodyromannumerals"/>
              <w:rPr>
                <w:b/>
                <w:bCs/>
                <w:lang w:val="en-US"/>
              </w:rPr>
            </w:pPr>
            <w:r w:rsidRPr="00FA2EDC">
              <w:rPr>
                <w:b/>
                <w:bCs/>
                <w:lang w:val="en-US"/>
              </w:rPr>
              <w:t>l/pr/d</w:t>
            </w:r>
          </w:p>
        </w:tc>
      </w:tr>
      <w:tr w:rsidR="008E147C" w:rsidRPr="009A191E" w14:paraId="701B5415" w14:textId="77777777" w:rsidTr="00EE66BC">
        <w:tc>
          <w:tcPr>
            <w:tcW w:w="2193" w:type="dxa"/>
            <w:gridSpan w:val="2"/>
            <w:tcBorders>
              <w:left w:val="single" w:sz="4" w:space="0" w:color="FFFFFF"/>
              <w:bottom w:val="single" w:sz="4" w:space="0" w:color="FFFFFF"/>
              <w:right w:val="single" w:sz="4" w:space="0" w:color="FFFFFF"/>
            </w:tcBorders>
          </w:tcPr>
          <w:p w14:paraId="1207763F" w14:textId="77777777" w:rsidR="008E147C" w:rsidRPr="009A191E" w:rsidRDefault="008E147C" w:rsidP="00FA2EDC">
            <w:pPr>
              <w:pStyle w:val="Bodyromannumerals"/>
              <w:rPr>
                <w:i/>
                <w:lang w:val="en-US"/>
              </w:rPr>
            </w:pPr>
            <w:r w:rsidRPr="009A191E">
              <w:rPr>
                <w:i/>
                <w:lang w:val="en-US"/>
              </w:rPr>
              <w:t>Definition:</w:t>
            </w:r>
          </w:p>
        </w:tc>
        <w:tc>
          <w:tcPr>
            <w:tcW w:w="6823" w:type="dxa"/>
            <w:gridSpan w:val="2"/>
            <w:tcBorders>
              <w:left w:val="single" w:sz="4" w:space="0" w:color="FFFFFF"/>
              <w:bottom w:val="single" w:sz="4" w:space="0" w:color="FFFFFF"/>
              <w:right w:val="single" w:sz="4" w:space="0" w:color="FFFFFF"/>
            </w:tcBorders>
          </w:tcPr>
          <w:p w14:paraId="435006A2" w14:textId="63087CE8" w:rsidR="008E147C" w:rsidRPr="009A191E" w:rsidRDefault="008E147C" w:rsidP="00FA2EDC">
            <w:pPr>
              <w:pStyle w:val="Bodyromannumerals"/>
              <w:rPr>
                <w:lang w:val="en-US"/>
              </w:rPr>
            </w:pPr>
            <w:r w:rsidRPr="009A191E">
              <w:rPr>
                <w:lang w:val="en-US"/>
              </w:rPr>
              <w:t xml:space="preserve">Estimated supply pipe leakage from unmeasured </w:t>
            </w:r>
            <w:r w:rsidR="00BB5A05">
              <w:rPr>
                <w:lang w:val="en-US"/>
              </w:rPr>
              <w:t>household</w:t>
            </w:r>
            <w:r w:rsidRPr="009A191E">
              <w:rPr>
                <w:lang w:val="en-US"/>
              </w:rPr>
              <w:t xml:space="preserve"> properties</w:t>
            </w:r>
            <w:r w:rsidR="00CC03C7">
              <w:rPr>
                <w:lang w:val="en-US"/>
              </w:rPr>
              <w:t xml:space="preserve"> that are connected</w:t>
            </w:r>
            <w:r w:rsidR="00897093">
              <w:rPr>
                <w:lang w:val="en-US"/>
              </w:rPr>
              <w:t xml:space="preserve"> to the distribution system</w:t>
            </w:r>
            <w:r w:rsidR="00CC03C7">
              <w:rPr>
                <w:lang w:val="en-US"/>
              </w:rPr>
              <w:t xml:space="preserve"> but not charged</w:t>
            </w:r>
            <w:r w:rsidRPr="009A191E">
              <w:rPr>
                <w:lang w:val="en-US"/>
              </w:rPr>
              <w:t xml:space="preserve"> (as reported in lines A1.2).</w:t>
            </w:r>
          </w:p>
        </w:tc>
      </w:tr>
      <w:tr w:rsidR="008E147C" w:rsidRPr="009A191E" w14:paraId="718F5B65" w14:textId="77777777" w:rsidTr="00EE66BC">
        <w:tc>
          <w:tcPr>
            <w:tcW w:w="2193" w:type="dxa"/>
            <w:gridSpan w:val="2"/>
            <w:tcBorders>
              <w:top w:val="single" w:sz="4" w:space="0" w:color="FFFFFF"/>
              <w:left w:val="single" w:sz="4" w:space="0" w:color="FFFFFF"/>
              <w:bottom w:val="single" w:sz="4" w:space="0" w:color="FFFFFF"/>
              <w:right w:val="single" w:sz="4" w:space="0" w:color="FFFFFF"/>
            </w:tcBorders>
          </w:tcPr>
          <w:p w14:paraId="6375A4A9" w14:textId="77777777" w:rsidR="008E147C" w:rsidRPr="009A191E" w:rsidRDefault="008E147C" w:rsidP="00FA2EDC">
            <w:pPr>
              <w:pStyle w:val="Bodyromannumerals"/>
              <w:rPr>
                <w:i/>
                <w:lang w:val="en-US"/>
              </w:rPr>
            </w:pPr>
            <w:r w:rsidRPr="009A191E">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333ACB20" w14:textId="77777777" w:rsidR="008E147C" w:rsidRPr="009A191E" w:rsidRDefault="008E147C" w:rsidP="00FA2EDC">
            <w:pPr>
              <w:pStyle w:val="Bodyromannumerals"/>
              <w:rPr>
                <w:lang w:val="en-US"/>
              </w:rPr>
            </w:pPr>
            <w:r w:rsidRPr="009A191E">
              <w:rPr>
                <w:lang w:val="en-US"/>
              </w:rPr>
              <w:t>Input field</w:t>
            </w:r>
          </w:p>
        </w:tc>
      </w:tr>
      <w:tr w:rsidR="008E147C" w:rsidRPr="009A191E" w14:paraId="4671D318" w14:textId="77777777" w:rsidTr="00EE66BC">
        <w:tc>
          <w:tcPr>
            <w:tcW w:w="968" w:type="dxa"/>
          </w:tcPr>
          <w:p w14:paraId="23B22A8E" w14:textId="77777777" w:rsidR="008E147C" w:rsidRPr="005B7A32" w:rsidRDefault="008E147C" w:rsidP="00FA2EDC">
            <w:pPr>
              <w:pStyle w:val="Bodyromannumerals"/>
              <w:rPr>
                <w:b/>
                <w:bCs/>
                <w:lang w:val="en-US"/>
              </w:rPr>
            </w:pPr>
            <w:r w:rsidRPr="005B7A32">
              <w:rPr>
                <w:b/>
                <w:bCs/>
                <w:lang w:val="en-US"/>
              </w:rPr>
              <w:t>A2.4</w:t>
            </w:r>
          </w:p>
        </w:tc>
        <w:tc>
          <w:tcPr>
            <w:tcW w:w="6682" w:type="dxa"/>
            <w:gridSpan w:val="2"/>
          </w:tcPr>
          <w:p w14:paraId="05173C9E" w14:textId="57ACBA01" w:rsidR="008E147C" w:rsidRPr="005B7A32" w:rsidRDefault="008E147C" w:rsidP="00FA2EDC">
            <w:pPr>
              <w:pStyle w:val="Bodyromannumerals"/>
              <w:rPr>
                <w:b/>
                <w:bCs/>
                <w:lang w:val="en-US"/>
              </w:rPr>
            </w:pPr>
            <w:r w:rsidRPr="005B7A32">
              <w:rPr>
                <w:b/>
                <w:bCs/>
                <w:lang w:val="en-US"/>
              </w:rPr>
              <w:t xml:space="preserve">Per capita consumption (unmeasured </w:t>
            </w:r>
            <w:r w:rsidR="00BB5A05">
              <w:rPr>
                <w:b/>
                <w:bCs/>
                <w:lang w:val="en-US"/>
              </w:rPr>
              <w:t>household</w:t>
            </w:r>
            <w:r w:rsidRPr="005B7A32">
              <w:rPr>
                <w:b/>
                <w:bCs/>
                <w:lang w:val="en-US"/>
              </w:rPr>
              <w:t xml:space="preserve"> excluding supply pipe leakage)</w:t>
            </w:r>
          </w:p>
        </w:tc>
        <w:tc>
          <w:tcPr>
            <w:tcW w:w="1366" w:type="dxa"/>
          </w:tcPr>
          <w:p w14:paraId="677D2142" w14:textId="77777777" w:rsidR="008E147C" w:rsidRPr="005B7A32" w:rsidRDefault="008E147C" w:rsidP="00FA2EDC">
            <w:pPr>
              <w:pStyle w:val="Bodyromannumerals"/>
              <w:rPr>
                <w:b/>
                <w:bCs/>
                <w:lang w:val="en-US"/>
              </w:rPr>
            </w:pPr>
            <w:r w:rsidRPr="005B7A32">
              <w:rPr>
                <w:b/>
                <w:bCs/>
                <w:lang w:val="en-US"/>
              </w:rPr>
              <w:t>l/h/d</w:t>
            </w:r>
          </w:p>
        </w:tc>
      </w:tr>
      <w:tr w:rsidR="008E147C" w:rsidRPr="009A191E" w14:paraId="0331AB62" w14:textId="77777777" w:rsidTr="00EE66BC">
        <w:tc>
          <w:tcPr>
            <w:tcW w:w="2193" w:type="dxa"/>
            <w:gridSpan w:val="2"/>
            <w:tcBorders>
              <w:left w:val="single" w:sz="4" w:space="0" w:color="FFFFFF"/>
              <w:bottom w:val="single" w:sz="4" w:space="0" w:color="FFFFFF"/>
              <w:right w:val="single" w:sz="4" w:space="0" w:color="FFFFFF"/>
            </w:tcBorders>
          </w:tcPr>
          <w:p w14:paraId="17BC0BB3" w14:textId="77777777" w:rsidR="008E147C" w:rsidRPr="009A191E" w:rsidRDefault="008E147C" w:rsidP="00FA2EDC">
            <w:pPr>
              <w:pStyle w:val="Bodyromannumerals"/>
              <w:rPr>
                <w:i/>
                <w:lang w:val="en-US"/>
              </w:rPr>
            </w:pPr>
            <w:r w:rsidRPr="009A191E">
              <w:rPr>
                <w:i/>
                <w:lang w:val="en-US"/>
              </w:rPr>
              <w:t>Definition:</w:t>
            </w:r>
          </w:p>
        </w:tc>
        <w:tc>
          <w:tcPr>
            <w:tcW w:w="6823" w:type="dxa"/>
            <w:gridSpan w:val="2"/>
            <w:tcBorders>
              <w:left w:val="single" w:sz="4" w:space="0" w:color="FFFFFF"/>
              <w:bottom w:val="single" w:sz="4" w:space="0" w:color="FFFFFF"/>
              <w:right w:val="single" w:sz="4" w:space="0" w:color="FFFFFF"/>
            </w:tcBorders>
          </w:tcPr>
          <w:p w14:paraId="24198C8C" w14:textId="006FB30A" w:rsidR="008E147C" w:rsidRPr="009A191E" w:rsidRDefault="008E147C" w:rsidP="00FA2EDC">
            <w:pPr>
              <w:pStyle w:val="Bodyromannumerals"/>
              <w:rPr>
                <w:lang w:val="en-US"/>
              </w:rPr>
            </w:pPr>
            <w:r w:rsidRPr="009A191E">
              <w:rPr>
                <w:lang w:val="en-US"/>
              </w:rPr>
              <w:t xml:space="preserve">Estimated per capita consumption of </w:t>
            </w:r>
            <w:r w:rsidR="00BB5A05">
              <w:rPr>
                <w:lang w:val="en-US"/>
              </w:rPr>
              <w:t>household</w:t>
            </w:r>
            <w:r w:rsidRPr="009A191E">
              <w:rPr>
                <w:lang w:val="en-US"/>
              </w:rPr>
              <w:t xml:space="preserve"> properties supplied with unmeasured water. This figure applies to billed unmeasured </w:t>
            </w:r>
            <w:r w:rsidR="00BB5A05">
              <w:rPr>
                <w:lang w:val="en-US"/>
              </w:rPr>
              <w:t>household</w:t>
            </w:r>
            <w:r w:rsidRPr="009A191E">
              <w:rPr>
                <w:lang w:val="en-US"/>
              </w:rPr>
              <w:t xml:space="preserve"> properties and excludes underground supply pipe leakage.</w:t>
            </w:r>
          </w:p>
        </w:tc>
      </w:tr>
      <w:tr w:rsidR="008E147C" w:rsidRPr="009A191E" w14:paraId="55905FB4" w14:textId="77777777" w:rsidTr="00EE66BC">
        <w:tc>
          <w:tcPr>
            <w:tcW w:w="2193" w:type="dxa"/>
            <w:gridSpan w:val="2"/>
            <w:tcBorders>
              <w:top w:val="single" w:sz="4" w:space="0" w:color="FFFFFF"/>
              <w:left w:val="single" w:sz="4" w:space="0" w:color="FFFFFF"/>
              <w:bottom w:val="single" w:sz="4" w:space="0" w:color="FFFFFF"/>
              <w:right w:val="single" w:sz="4" w:space="0" w:color="FFFFFF"/>
            </w:tcBorders>
          </w:tcPr>
          <w:p w14:paraId="23887DE2" w14:textId="77777777" w:rsidR="008E147C" w:rsidRPr="009A191E" w:rsidRDefault="008E147C" w:rsidP="00FA2EDC">
            <w:pPr>
              <w:pStyle w:val="Bodyromannumerals"/>
              <w:rPr>
                <w:i/>
                <w:lang w:val="en-US"/>
              </w:rPr>
            </w:pPr>
            <w:r w:rsidRPr="009A191E">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4652122F" w14:textId="7175420F" w:rsidR="008E147C" w:rsidRPr="009A191E" w:rsidRDefault="008E147C" w:rsidP="00FA2EDC">
            <w:pPr>
              <w:pStyle w:val="Bodyromannumerals"/>
              <w:rPr>
                <w:lang w:val="en-US"/>
              </w:rPr>
            </w:pPr>
            <w:r w:rsidRPr="009A191E">
              <w:rPr>
                <w:lang w:val="en-US"/>
              </w:rPr>
              <w:t xml:space="preserve">Calculated field: </w:t>
            </w:r>
            <m:oMath>
              <m:f>
                <m:fPr>
                  <m:ctrlPr>
                    <w:rPr>
                      <w:rFonts w:ascii="Cambria Math" w:hAnsi="Cambria Math"/>
                      <w:i/>
                      <w:lang w:val="en-US"/>
                    </w:rPr>
                  </m:ctrlPr>
                </m:fPr>
                <m:num>
                  <m:r>
                    <w:rPr>
                      <w:rFonts w:ascii="Cambria Math" w:hAnsi="Cambria Math"/>
                      <w:lang w:val="en-US"/>
                    </w:rPr>
                    <m:t>A2.1*1000000 -((A2.2*A1.1)+(A2.3*A1.2))</m:t>
                  </m:r>
                </m:num>
                <m:den>
                  <m:r>
                    <w:rPr>
                      <w:rFonts w:ascii="Cambria Math" w:hAnsi="Cambria Math"/>
                      <w:lang w:val="en-US"/>
                    </w:rPr>
                    <m:t>A1.45*1,000</m:t>
                  </m:r>
                </m:den>
              </m:f>
            </m:oMath>
          </w:p>
        </w:tc>
      </w:tr>
    </w:tbl>
    <w:p w14:paraId="4E5A43BF" w14:textId="4577FDFE" w:rsidR="00871522" w:rsidRDefault="00871522">
      <w:pPr>
        <w:spacing w:after="160" w:line="259" w:lineRule="auto"/>
        <w:rPr>
          <w:rFonts w:ascii="Calibri" w:hAnsi="Calibri" w:cs="Calibri"/>
          <w:b/>
          <w:color w:val="182B46"/>
          <w:sz w:val="26"/>
          <w:lang w:val="en-GB"/>
        </w:rPr>
      </w:pPr>
    </w:p>
    <w:p w14:paraId="06DE6CCD" w14:textId="58343131" w:rsidR="008E147C" w:rsidRPr="009A191E" w:rsidRDefault="008E147C" w:rsidP="005B7A32">
      <w:pPr>
        <w:pStyle w:val="Sectionsub-heading"/>
        <w:rPr>
          <w:lang w:val="en-GB"/>
        </w:rPr>
      </w:pPr>
      <w:r w:rsidRPr="009A191E">
        <w:rPr>
          <w:lang w:val="en-GB"/>
        </w:rPr>
        <w:lastRenderedPageBreak/>
        <w:t xml:space="preserve">BLOCK 2: MEASURED </w:t>
      </w:r>
      <w:r w:rsidR="00BB5A05">
        <w:rPr>
          <w:lang w:val="en-GB"/>
        </w:rPr>
        <w:t>HOUSEHOLD</w:t>
      </w:r>
    </w:p>
    <w:tbl>
      <w:tblPr>
        <w:tblStyle w:val="TableGrid3"/>
        <w:tblW w:w="0" w:type="auto"/>
        <w:tblLook w:val="04A0" w:firstRow="1" w:lastRow="0" w:firstColumn="1" w:lastColumn="0" w:noHBand="0" w:noVBand="1"/>
      </w:tblPr>
      <w:tblGrid>
        <w:gridCol w:w="968"/>
        <w:gridCol w:w="977"/>
        <w:gridCol w:w="4326"/>
        <w:gridCol w:w="1287"/>
      </w:tblGrid>
      <w:tr w:rsidR="008E147C" w:rsidRPr="009A191E" w14:paraId="5F299DBE" w14:textId="77777777" w:rsidTr="005677DF">
        <w:tc>
          <w:tcPr>
            <w:tcW w:w="968" w:type="dxa"/>
          </w:tcPr>
          <w:p w14:paraId="1E009D03" w14:textId="77777777" w:rsidR="008E147C" w:rsidRPr="005B7A32" w:rsidRDefault="008E147C" w:rsidP="005B7A32">
            <w:pPr>
              <w:pStyle w:val="Bodyromannumerals"/>
              <w:rPr>
                <w:b/>
                <w:bCs/>
                <w:lang w:val="en-US"/>
              </w:rPr>
            </w:pPr>
            <w:r w:rsidRPr="005B7A32">
              <w:rPr>
                <w:b/>
                <w:bCs/>
                <w:lang w:val="en-US"/>
              </w:rPr>
              <w:t>A2.5</w:t>
            </w:r>
          </w:p>
        </w:tc>
        <w:tc>
          <w:tcPr>
            <w:tcW w:w="5303" w:type="dxa"/>
            <w:gridSpan w:val="2"/>
          </w:tcPr>
          <w:p w14:paraId="189439D5" w14:textId="7200AEAD" w:rsidR="008E147C" w:rsidRPr="005B7A32" w:rsidRDefault="008E147C" w:rsidP="005B7A32">
            <w:pPr>
              <w:pStyle w:val="Bodyromannumerals"/>
              <w:rPr>
                <w:b/>
                <w:bCs/>
                <w:lang w:val="en-US"/>
              </w:rPr>
            </w:pPr>
            <w:r w:rsidRPr="005B7A32">
              <w:rPr>
                <w:b/>
                <w:bCs/>
                <w:lang w:val="en-US"/>
              </w:rPr>
              <w:t xml:space="preserve">Water </w:t>
            </w:r>
            <w:r w:rsidR="00E4313F">
              <w:rPr>
                <w:b/>
                <w:bCs/>
                <w:lang w:val="en-US"/>
              </w:rPr>
              <w:t>d</w:t>
            </w:r>
            <w:r w:rsidRPr="005B7A32">
              <w:rPr>
                <w:b/>
                <w:bCs/>
                <w:lang w:val="en-US"/>
              </w:rPr>
              <w:t>elivered</w:t>
            </w:r>
          </w:p>
        </w:tc>
        <w:tc>
          <w:tcPr>
            <w:tcW w:w="1287" w:type="dxa"/>
          </w:tcPr>
          <w:p w14:paraId="097B6DA2" w14:textId="77777777" w:rsidR="008E147C" w:rsidRPr="005B7A32" w:rsidRDefault="008E147C" w:rsidP="005B7A32">
            <w:pPr>
              <w:pStyle w:val="Bodyromannumerals"/>
              <w:rPr>
                <w:b/>
                <w:bCs/>
                <w:lang w:val="en-US"/>
              </w:rPr>
            </w:pPr>
            <w:r w:rsidRPr="005B7A32">
              <w:rPr>
                <w:b/>
                <w:bCs/>
                <w:lang w:val="en-US"/>
              </w:rPr>
              <w:t>000 m3/d</w:t>
            </w:r>
          </w:p>
        </w:tc>
      </w:tr>
      <w:tr w:rsidR="008E147C" w:rsidRPr="009A191E" w14:paraId="45A95DC4" w14:textId="77777777" w:rsidTr="005677DF">
        <w:tc>
          <w:tcPr>
            <w:tcW w:w="1945" w:type="dxa"/>
            <w:gridSpan w:val="2"/>
            <w:tcBorders>
              <w:left w:val="single" w:sz="4" w:space="0" w:color="FFFFFF"/>
              <w:bottom w:val="single" w:sz="4" w:space="0" w:color="FFFFFF"/>
              <w:right w:val="single" w:sz="4" w:space="0" w:color="FFFFFF"/>
            </w:tcBorders>
          </w:tcPr>
          <w:p w14:paraId="5A955D36" w14:textId="77777777" w:rsidR="008E147C" w:rsidRPr="009A191E" w:rsidRDefault="008E147C" w:rsidP="005B7A32">
            <w:pPr>
              <w:pStyle w:val="Bodyromannumerals"/>
              <w:rPr>
                <w:i/>
                <w:lang w:val="en-US"/>
              </w:rPr>
            </w:pPr>
            <w:r w:rsidRPr="009A191E">
              <w:rPr>
                <w:i/>
                <w:lang w:val="en-US"/>
              </w:rPr>
              <w:t>Definition:</w:t>
            </w:r>
          </w:p>
        </w:tc>
        <w:tc>
          <w:tcPr>
            <w:tcW w:w="5613" w:type="dxa"/>
            <w:gridSpan w:val="2"/>
            <w:tcBorders>
              <w:left w:val="single" w:sz="4" w:space="0" w:color="FFFFFF"/>
              <w:bottom w:val="single" w:sz="4" w:space="0" w:color="FFFFFF"/>
              <w:right w:val="single" w:sz="4" w:space="0" w:color="FFFFFF"/>
            </w:tcBorders>
          </w:tcPr>
          <w:p w14:paraId="6D5CEAEE" w14:textId="571DA2ED" w:rsidR="00DC2299" w:rsidRDefault="008E147C" w:rsidP="005B7A32">
            <w:pPr>
              <w:pStyle w:val="Bodyromannumerals"/>
              <w:rPr>
                <w:lang w:val="en-US"/>
              </w:rPr>
            </w:pPr>
            <w:r w:rsidRPr="009A191E">
              <w:rPr>
                <w:lang w:val="en-US"/>
              </w:rPr>
              <w:t xml:space="preserve">Average volume of potable water delivered to measured </w:t>
            </w:r>
            <w:r w:rsidR="00BB5A05">
              <w:rPr>
                <w:lang w:val="en-US"/>
              </w:rPr>
              <w:t>household</w:t>
            </w:r>
            <w:r w:rsidRPr="009A191E">
              <w:rPr>
                <w:lang w:val="en-US"/>
              </w:rPr>
              <w:t xml:space="preserve"> properties.  </w:t>
            </w:r>
            <w:r w:rsidR="00DC2299">
              <w:rPr>
                <w:lang w:val="en-US"/>
              </w:rPr>
              <w:t>This should include:</w:t>
            </w:r>
          </w:p>
          <w:p w14:paraId="18CF1006" w14:textId="77777777" w:rsidR="00DC2299" w:rsidRDefault="00DC2299" w:rsidP="00377E7D">
            <w:pPr>
              <w:pStyle w:val="Bodyromannumerals"/>
              <w:numPr>
                <w:ilvl w:val="0"/>
                <w:numId w:val="31"/>
              </w:numPr>
              <w:rPr>
                <w:lang w:val="en-US"/>
              </w:rPr>
            </w:pPr>
            <w:r>
              <w:rPr>
                <w:lang w:val="en-US"/>
              </w:rPr>
              <w:t>potable water delivered to properties that are connected to the distribution system but not charged; and</w:t>
            </w:r>
          </w:p>
          <w:p w14:paraId="2F25BCA1" w14:textId="27003B16" w:rsidR="008E147C" w:rsidRPr="009A191E" w:rsidRDefault="008E147C" w:rsidP="00377E7D">
            <w:pPr>
              <w:pStyle w:val="Bodyromannumerals"/>
              <w:numPr>
                <w:ilvl w:val="0"/>
                <w:numId w:val="31"/>
              </w:numPr>
              <w:rPr>
                <w:lang w:val="en-US"/>
              </w:rPr>
            </w:pPr>
            <w:r w:rsidRPr="009A191E">
              <w:rPr>
                <w:lang w:val="en-US"/>
              </w:rPr>
              <w:t>supply pipe leakage and meter under-registration.</w:t>
            </w:r>
          </w:p>
          <w:p w14:paraId="19615292" w14:textId="2A36FBCE" w:rsidR="008E147C" w:rsidRPr="009A191E" w:rsidRDefault="008E147C" w:rsidP="005B7A32">
            <w:pPr>
              <w:pStyle w:val="Bodyromannumerals"/>
              <w:rPr>
                <w:lang w:val="en-US"/>
              </w:rPr>
            </w:pPr>
            <w:r w:rsidRPr="009A191E">
              <w:rPr>
                <w:lang w:val="en-US"/>
              </w:rPr>
              <w:t xml:space="preserve">The </w:t>
            </w:r>
            <w:r w:rsidR="002E6A73">
              <w:rPr>
                <w:lang w:val="en-US"/>
              </w:rPr>
              <w:t>Local</w:t>
            </w:r>
            <w:r w:rsidR="00B47509">
              <w:rPr>
                <w:lang w:val="en-US"/>
              </w:rPr>
              <w:t xml:space="preserve"> Authority</w:t>
            </w:r>
            <w:r w:rsidRPr="009A191E">
              <w:rPr>
                <w:lang w:val="en-US"/>
              </w:rPr>
              <w:t xml:space="preserve"> should clearly report any amendments to actual metered consumption records to provide the requested water delivered information. Amendments may be necessary to take account of billing periods different from the report year. </w:t>
            </w:r>
            <w:r w:rsidR="0013713E">
              <w:rPr>
                <w:lang w:val="en-US"/>
              </w:rPr>
              <w:t xml:space="preserve">If appropriate, </w:t>
            </w:r>
            <w:r w:rsidRPr="009A191E">
              <w:rPr>
                <w:lang w:val="en-US"/>
              </w:rPr>
              <w:t xml:space="preserve">the </w:t>
            </w:r>
            <w:r w:rsidR="002E6A73">
              <w:rPr>
                <w:lang w:val="en-US"/>
              </w:rPr>
              <w:t>Local</w:t>
            </w:r>
            <w:r w:rsidR="00B47509">
              <w:rPr>
                <w:lang w:val="en-US"/>
              </w:rPr>
              <w:t xml:space="preserve"> Authority</w:t>
            </w:r>
            <w:r w:rsidRPr="009A191E">
              <w:rPr>
                <w:lang w:val="en-US"/>
              </w:rPr>
              <w:t xml:space="preserve"> may need to take account </w:t>
            </w:r>
            <w:r w:rsidR="0013713E">
              <w:rPr>
                <w:lang w:val="en-US"/>
              </w:rPr>
              <w:t xml:space="preserve">of meter registration </w:t>
            </w:r>
            <w:r w:rsidRPr="009A191E">
              <w:rPr>
                <w:lang w:val="en-US"/>
              </w:rPr>
              <w:t xml:space="preserve">and adjust records.  If records are adjusted this should be clearly reported in the commentaries along with evidence to support the need for any changes. Where meter under-registration is a problem the </w:t>
            </w:r>
            <w:r w:rsidR="002E6A73">
              <w:rPr>
                <w:lang w:val="en-US"/>
              </w:rPr>
              <w:t>Local</w:t>
            </w:r>
            <w:r w:rsidR="00B47509">
              <w:rPr>
                <w:lang w:val="en-US"/>
              </w:rPr>
              <w:t xml:space="preserve"> Authority</w:t>
            </w:r>
            <w:r w:rsidRPr="009A191E">
              <w:rPr>
                <w:lang w:val="en-US"/>
              </w:rPr>
              <w:t xml:space="preserve"> should specify the class of meters involved and the percentage error assumed. Any meter under-registration included in the total should also be reported in line A2.7.</w:t>
            </w:r>
          </w:p>
        </w:tc>
      </w:tr>
      <w:tr w:rsidR="008E147C" w:rsidRPr="009A191E" w14:paraId="7A241226" w14:textId="77777777" w:rsidTr="005677DF">
        <w:tc>
          <w:tcPr>
            <w:tcW w:w="1945" w:type="dxa"/>
            <w:gridSpan w:val="2"/>
            <w:tcBorders>
              <w:top w:val="single" w:sz="4" w:space="0" w:color="FFFFFF"/>
              <w:left w:val="single" w:sz="4" w:space="0" w:color="FFFFFF"/>
              <w:bottom w:val="single" w:sz="4" w:space="0" w:color="FFFFFF"/>
              <w:right w:val="single" w:sz="4" w:space="0" w:color="FFFFFF"/>
            </w:tcBorders>
          </w:tcPr>
          <w:p w14:paraId="0D7F00EC" w14:textId="77777777" w:rsidR="008E147C" w:rsidRPr="009A191E" w:rsidRDefault="008E147C" w:rsidP="005B7A32">
            <w:pPr>
              <w:pStyle w:val="Bodyromannumerals"/>
              <w:rPr>
                <w:i/>
                <w:lang w:val="en-US"/>
              </w:rPr>
            </w:pPr>
            <w:r w:rsidRPr="009A191E">
              <w:rPr>
                <w:i/>
                <w:lang w:val="en-US"/>
              </w:rPr>
              <w:t>Processing Rules:</w:t>
            </w:r>
          </w:p>
        </w:tc>
        <w:tc>
          <w:tcPr>
            <w:tcW w:w="5613" w:type="dxa"/>
            <w:gridSpan w:val="2"/>
            <w:tcBorders>
              <w:top w:val="single" w:sz="4" w:space="0" w:color="FFFFFF"/>
              <w:left w:val="single" w:sz="4" w:space="0" w:color="FFFFFF"/>
              <w:bottom w:val="single" w:sz="4" w:space="0" w:color="FFFFFF"/>
              <w:right w:val="single" w:sz="4" w:space="0" w:color="FFFFFF"/>
            </w:tcBorders>
          </w:tcPr>
          <w:p w14:paraId="5C53139B" w14:textId="77777777" w:rsidR="008E147C" w:rsidRPr="009A191E" w:rsidRDefault="008E147C" w:rsidP="005B7A32">
            <w:pPr>
              <w:pStyle w:val="Bodyromannumerals"/>
              <w:rPr>
                <w:lang w:val="en-US"/>
              </w:rPr>
            </w:pPr>
            <w:r w:rsidRPr="009A191E">
              <w:rPr>
                <w:lang w:val="en-US"/>
              </w:rPr>
              <w:t>Input field</w:t>
            </w:r>
          </w:p>
        </w:tc>
      </w:tr>
      <w:tr w:rsidR="008E147C" w:rsidRPr="009A191E" w14:paraId="3AA952E5" w14:textId="77777777" w:rsidTr="005677DF">
        <w:tc>
          <w:tcPr>
            <w:tcW w:w="968" w:type="dxa"/>
          </w:tcPr>
          <w:p w14:paraId="54D92AC6" w14:textId="77777777" w:rsidR="008E147C" w:rsidRPr="005B7A32" w:rsidRDefault="008E147C" w:rsidP="005B7A32">
            <w:pPr>
              <w:pStyle w:val="Bodyromannumerals"/>
              <w:rPr>
                <w:b/>
                <w:bCs/>
                <w:lang w:val="en-US"/>
              </w:rPr>
            </w:pPr>
            <w:r w:rsidRPr="005B7A32">
              <w:rPr>
                <w:b/>
                <w:bCs/>
                <w:lang w:val="en-US"/>
              </w:rPr>
              <w:t>A2.6</w:t>
            </w:r>
          </w:p>
        </w:tc>
        <w:tc>
          <w:tcPr>
            <w:tcW w:w="5303" w:type="dxa"/>
            <w:gridSpan w:val="2"/>
          </w:tcPr>
          <w:p w14:paraId="2A4AC838" w14:textId="55C69D55" w:rsidR="008E147C" w:rsidRPr="005B7A32" w:rsidRDefault="008E147C" w:rsidP="005B7A32">
            <w:pPr>
              <w:pStyle w:val="Bodyromannumerals"/>
              <w:rPr>
                <w:b/>
                <w:bCs/>
                <w:lang w:val="en-US"/>
              </w:rPr>
            </w:pPr>
            <w:r w:rsidRPr="005B7A32">
              <w:rPr>
                <w:b/>
                <w:bCs/>
                <w:lang w:val="en-US"/>
              </w:rPr>
              <w:t xml:space="preserve">Underground supply pipe leakage – </w:t>
            </w:r>
            <w:r w:rsidR="005A6210">
              <w:rPr>
                <w:b/>
                <w:bCs/>
                <w:lang w:val="en-US"/>
              </w:rPr>
              <w:t>connected but not charged</w:t>
            </w:r>
            <w:r w:rsidR="00560DB4">
              <w:rPr>
                <w:b/>
                <w:bCs/>
                <w:lang w:val="en-US"/>
              </w:rPr>
              <w:t xml:space="preserve"> </w:t>
            </w:r>
          </w:p>
        </w:tc>
        <w:tc>
          <w:tcPr>
            <w:tcW w:w="1287" w:type="dxa"/>
          </w:tcPr>
          <w:p w14:paraId="11EFE177" w14:textId="4E91A1D4" w:rsidR="008E147C" w:rsidRPr="005B7A32" w:rsidRDefault="00877934" w:rsidP="005B7A32">
            <w:pPr>
              <w:pStyle w:val="Bodyromannumerals"/>
              <w:rPr>
                <w:b/>
                <w:bCs/>
                <w:lang w:val="en-US"/>
              </w:rPr>
            </w:pPr>
            <w:r>
              <w:rPr>
                <w:b/>
                <w:bCs/>
                <w:lang w:val="en-US"/>
              </w:rPr>
              <w:t xml:space="preserve"> l/pr/d</w:t>
            </w:r>
          </w:p>
        </w:tc>
      </w:tr>
      <w:tr w:rsidR="008E147C" w:rsidRPr="009A191E" w14:paraId="6E9723D2" w14:textId="77777777" w:rsidTr="005677DF">
        <w:tc>
          <w:tcPr>
            <w:tcW w:w="1945" w:type="dxa"/>
            <w:gridSpan w:val="2"/>
            <w:tcBorders>
              <w:left w:val="single" w:sz="4" w:space="0" w:color="FFFFFF"/>
              <w:bottom w:val="single" w:sz="4" w:space="0" w:color="FFFFFF"/>
              <w:right w:val="single" w:sz="4" w:space="0" w:color="FFFFFF"/>
            </w:tcBorders>
          </w:tcPr>
          <w:p w14:paraId="0CDDEBAB" w14:textId="77777777" w:rsidR="008E147C" w:rsidRPr="009A191E" w:rsidRDefault="008E147C" w:rsidP="005B7A32">
            <w:pPr>
              <w:pStyle w:val="Bodyromannumerals"/>
              <w:rPr>
                <w:i/>
                <w:lang w:val="en-US"/>
              </w:rPr>
            </w:pPr>
            <w:r w:rsidRPr="009A191E">
              <w:rPr>
                <w:i/>
                <w:lang w:val="en-US"/>
              </w:rPr>
              <w:t>Definition:</w:t>
            </w:r>
          </w:p>
        </w:tc>
        <w:tc>
          <w:tcPr>
            <w:tcW w:w="5613" w:type="dxa"/>
            <w:gridSpan w:val="2"/>
            <w:tcBorders>
              <w:left w:val="single" w:sz="4" w:space="0" w:color="FFFFFF"/>
              <w:bottom w:val="single" w:sz="4" w:space="0" w:color="FFFFFF"/>
              <w:right w:val="single" w:sz="4" w:space="0" w:color="FFFFFF"/>
            </w:tcBorders>
          </w:tcPr>
          <w:p w14:paraId="38A6B5BF" w14:textId="49E5AB55" w:rsidR="008E147C" w:rsidRPr="009A191E" w:rsidRDefault="008E147C" w:rsidP="005B7A32">
            <w:pPr>
              <w:pStyle w:val="Bodyromannumerals"/>
              <w:rPr>
                <w:lang w:val="en-US"/>
              </w:rPr>
            </w:pPr>
            <w:r w:rsidRPr="009A191E">
              <w:rPr>
                <w:lang w:val="en-US"/>
              </w:rPr>
              <w:t xml:space="preserve">Estimated supply pipe leakage from measured </w:t>
            </w:r>
            <w:r w:rsidR="00BB5A05">
              <w:rPr>
                <w:lang w:val="en-US"/>
              </w:rPr>
              <w:t>household</w:t>
            </w:r>
            <w:r w:rsidRPr="009A191E">
              <w:rPr>
                <w:lang w:val="en-US"/>
              </w:rPr>
              <w:t xml:space="preserve"> properties</w:t>
            </w:r>
            <w:r w:rsidR="005A6210">
              <w:rPr>
                <w:lang w:val="en-US"/>
              </w:rPr>
              <w:t xml:space="preserve"> that are c</w:t>
            </w:r>
            <w:r w:rsidR="00897093">
              <w:rPr>
                <w:lang w:val="en-US"/>
              </w:rPr>
              <w:t>onnected to the distribution system but not charged</w:t>
            </w:r>
            <w:r w:rsidRPr="009A191E">
              <w:rPr>
                <w:lang w:val="en-US"/>
              </w:rPr>
              <w:t xml:space="preserve"> (as reported in line A1.12).</w:t>
            </w:r>
          </w:p>
        </w:tc>
      </w:tr>
      <w:tr w:rsidR="008E147C" w:rsidRPr="009A191E" w14:paraId="004DE1FB" w14:textId="77777777" w:rsidTr="005677DF">
        <w:tc>
          <w:tcPr>
            <w:tcW w:w="1945" w:type="dxa"/>
            <w:gridSpan w:val="2"/>
            <w:tcBorders>
              <w:top w:val="single" w:sz="4" w:space="0" w:color="FFFFFF"/>
              <w:left w:val="single" w:sz="4" w:space="0" w:color="FFFFFF"/>
              <w:bottom w:val="single" w:sz="4" w:space="0" w:color="FFFFFF"/>
              <w:right w:val="single" w:sz="4" w:space="0" w:color="FFFFFF"/>
            </w:tcBorders>
          </w:tcPr>
          <w:p w14:paraId="37461B69" w14:textId="77777777" w:rsidR="008E147C" w:rsidRPr="009A191E" w:rsidRDefault="008E147C" w:rsidP="005B7A32">
            <w:pPr>
              <w:pStyle w:val="Bodyromannumerals"/>
              <w:rPr>
                <w:i/>
                <w:lang w:val="en-US"/>
              </w:rPr>
            </w:pPr>
            <w:r w:rsidRPr="009A191E">
              <w:rPr>
                <w:i/>
                <w:lang w:val="en-US"/>
              </w:rPr>
              <w:t>Processing Rules:</w:t>
            </w:r>
          </w:p>
        </w:tc>
        <w:tc>
          <w:tcPr>
            <w:tcW w:w="5613" w:type="dxa"/>
            <w:gridSpan w:val="2"/>
            <w:tcBorders>
              <w:top w:val="single" w:sz="4" w:space="0" w:color="FFFFFF"/>
              <w:left w:val="single" w:sz="4" w:space="0" w:color="FFFFFF"/>
              <w:bottom w:val="single" w:sz="4" w:space="0" w:color="FFFFFF"/>
              <w:right w:val="single" w:sz="4" w:space="0" w:color="FFFFFF"/>
            </w:tcBorders>
          </w:tcPr>
          <w:p w14:paraId="1796692F" w14:textId="77777777" w:rsidR="008E147C" w:rsidRPr="009A191E" w:rsidRDefault="008E147C" w:rsidP="005B7A32">
            <w:pPr>
              <w:pStyle w:val="Bodyromannumerals"/>
              <w:rPr>
                <w:lang w:val="en-US"/>
              </w:rPr>
            </w:pPr>
            <w:r w:rsidRPr="009A191E">
              <w:rPr>
                <w:lang w:val="en-US"/>
              </w:rPr>
              <w:t>Input field</w:t>
            </w:r>
          </w:p>
        </w:tc>
      </w:tr>
      <w:tr w:rsidR="008E147C" w:rsidRPr="009A191E" w14:paraId="1D8F0C3C" w14:textId="77777777" w:rsidTr="005677DF">
        <w:tc>
          <w:tcPr>
            <w:tcW w:w="968" w:type="dxa"/>
          </w:tcPr>
          <w:p w14:paraId="46E30C9C" w14:textId="77777777" w:rsidR="008E147C" w:rsidRPr="005B7A32" w:rsidRDefault="008E147C" w:rsidP="005B7A32">
            <w:pPr>
              <w:pStyle w:val="Bodyromannumerals"/>
              <w:rPr>
                <w:b/>
                <w:bCs/>
                <w:lang w:val="en-US"/>
              </w:rPr>
            </w:pPr>
            <w:r w:rsidRPr="005B7A32">
              <w:rPr>
                <w:b/>
                <w:bCs/>
                <w:lang w:val="en-US"/>
              </w:rPr>
              <w:t>A2.7</w:t>
            </w:r>
          </w:p>
        </w:tc>
        <w:tc>
          <w:tcPr>
            <w:tcW w:w="5303" w:type="dxa"/>
            <w:gridSpan w:val="2"/>
          </w:tcPr>
          <w:p w14:paraId="0F679FE2" w14:textId="77777777" w:rsidR="008E147C" w:rsidRPr="005B7A32" w:rsidRDefault="008E147C" w:rsidP="005B7A32">
            <w:pPr>
              <w:pStyle w:val="Bodyromannumerals"/>
              <w:rPr>
                <w:b/>
                <w:bCs/>
                <w:lang w:val="en-US"/>
              </w:rPr>
            </w:pPr>
            <w:r w:rsidRPr="005B7A32">
              <w:rPr>
                <w:b/>
                <w:bCs/>
                <w:lang w:val="en-US"/>
              </w:rPr>
              <w:t>Meter under-registration</w:t>
            </w:r>
          </w:p>
        </w:tc>
        <w:tc>
          <w:tcPr>
            <w:tcW w:w="1287" w:type="dxa"/>
          </w:tcPr>
          <w:p w14:paraId="156D4F7C" w14:textId="77777777" w:rsidR="008E147C" w:rsidRPr="005B7A32" w:rsidRDefault="008E147C" w:rsidP="005B7A32">
            <w:pPr>
              <w:pStyle w:val="Bodyromannumerals"/>
              <w:rPr>
                <w:b/>
                <w:bCs/>
                <w:lang w:val="en-US"/>
              </w:rPr>
            </w:pPr>
            <w:r w:rsidRPr="005B7A32">
              <w:rPr>
                <w:b/>
                <w:bCs/>
                <w:lang w:val="en-US"/>
              </w:rPr>
              <w:t>000 m3/d</w:t>
            </w:r>
          </w:p>
        </w:tc>
      </w:tr>
      <w:tr w:rsidR="008E147C" w:rsidRPr="009A191E" w14:paraId="531E2C75" w14:textId="77777777" w:rsidTr="005677DF">
        <w:tc>
          <w:tcPr>
            <w:tcW w:w="1945" w:type="dxa"/>
            <w:gridSpan w:val="2"/>
            <w:tcBorders>
              <w:left w:val="single" w:sz="4" w:space="0" w:color="FFFFFF"/>
              <w:bottom w:val="single" w:sz="4" w:space="0" w:color="FFFFFF"/>
              <w:right w:val="single" w:sz="4" w:space="0" w:color="FFFFFF"/>
            </w:tcBorders>
          </w:tcPr>
          <w:p w14:paraId="13D51884" w14:textId="77777777" w:rsidR="008E147C" w:rsidRPr="009A191E" w:rsidRDefault="008E147C" w:rsidP="005B7A32">
            <w:pPr>
              <w:pStyle w:val="Bodyromannumerals"/>
              <w:rPr>
                <w:i/>
                <w:lang w:val="en-US"/>
              </w:rPr>
            </w:pPr>
            <w:r w:rsidRPr="009A191E">
              <w:rPr>
                <w:i/>
                <w:lang w:val="en-US"/>
              </w:rPr>
              <w:t>Definition:</w:t>
            </w:r>
          </w:p>
        </w:tc>
        <w:tc>
          <w:tcPr>
            <w:tcW w:w="5613" w:type="dxa"/>
            <w:gridSpan w:val="2"/>
            <w:tcBorders>
              <w:left w:val="single" w:sz="4" w:space="0" w:color="FFFFFF"/>
              <w:bottom w:val="single" w:sz="4" w:space="0" w:color="FFFFFF"/>
              <w:right w:val="single" w:sz="4" w:space="0" w:color="FFFFFF"/>
            </w:tcBorders>
          </w:tcPr>
          <w:p w14:paraId="711A34B3" w14:textId="215BB2CD" w:rsidR="008E147C" w:rsidRPr="009A191E" w:rsidRDefault="008E147C" w:rsidP="005B7A32">
            <w:pPr>
              <w:pStyle w:val="Bodyromannumerals"/>
              <w:rPr>
                <w:lang w:val="en-US"/>
              </w:rPr>
            </w:pPr>
            <w:r w:rsidRPr="009A191E">
              <w:rPr>
                <w:lang w:val="en-US"/>
              </w:rPr>
              <w:t xml:space="preserve">Average volume of meter under-registration included in line A2.5. Any report volume against this item should be supported by evidence in the commentaries.  The </w:t>
            </w:r>
            <w:r w:rsidR="002E6A73">
              <w:rPr>
                <w:lang w:val="en-US"/>
              </w:rPr>
              <w:t>Local</w:t>
            </w:r>
            <w:r w:rsidR="00B47509">
              <w:rPr>
                <w:lang w:val="en-US"/>
              </w:rPr>
              <w:t xml:space="preserve"> Authority</w:t>
            </w:r>
            <w:r w:rsidRPr="009A191E">
              <w:rPr>
                <w:lang w:val="en-US"/>
              </w:rPr>
              <w:t xml:space="preserve"> should also specify the class of meter involved and the percentage error assumed.</w:t>
            </w:r>
          </w:p>
          <w:p w14:paraId="1564B270" w14:textId="77777777" w:rsidR="008E147C" w:rsidRPr="009A191E" w:rsidRDefault="008E147C" w:rsidP="005B7A32">
            <w:pPr>
              <w:pStyle w:val="Bodyromannumerals"/>
              <w:rPr>
                <w:lang w:val="en-US"/>
              </w:rPr>
            </w:pPr>
            <w:r w:rsidRPr="009A191E">
              <w:rPr>
                <w:lang w:val="en-US"/>
              </w:rPr>
              <w:t>NB: Meter under-registration is the tendency of meters to under-record flows, particularly low flows.</w:t>
            </w:r>
          </w:p>
        </w:tc>
      </w:tr>
      <w:tr w:rsidR="008E147C" w:rsidRPr="009A191E" w14:paraId="053D1B75" w14:textId="77777777" w:rsidTr="005677DF">
        <w:tc>
          <w:tcPr>
            <w:tcW w:w="1945" w:type="dxa"/>
            <w:gridSpan w:val="2"/>
            <w:tcBorders>
              <w:top w:val="single" w:sz="4" w:space="0" w:color="FFFFFF"/>
              <w:left w:val="single" w:sz="4" w:space="0" w:color="FFFFFF"/>
              <w:bottom w:val="single" w:sz="4" w:space="0" w:color="FFFFFF"/>
              <w:right w:val="single" w:sz="4" w:space="0" w:color="FFFFFF"/>
            </w:tcBorders>
          </w:tcPr>
          <w:p w14:paraId="479C6011" w14:textId="77777777" w:rsidR="008E147C" w:rsidRPr="009A191E" w:rsidRDefault="008E147C" w:rsidP="005B7A32">
            <w:pPr>
              <w:pStyle w:val="Bodyromannumerals"/>
              <w:rPr>
                <w:i/>
                <w:lang w:val="en-US"/>
              </w:rPr>
            </w:pPr>
            <w:r w:rsidRPr="009A191E">
              <w:rPr>
                <w:i/>
                <w:lang w:val="en-US"/>
              </w:rPr>
              <w:t>Processing Rules:</w:t>
            </w:r>
          </w:p>
        </w:tc>
        <w:tc>
          <w:tcPr>
            <w:tcW w:w="5613" w:type="dxa"/>
            <w:gridSpan w:val="2"/>
            <w:tcBorders>
              <w:top w:val="single" w:sz="4" w:space="0" w:color="FFFFFF"/>
              <w:left w:val="single" w:sz="4" w:space="0" w:color="FFFFFF"/>
              <w:bottom w:val="single" w:sz="4" w:space="0" w:color="FFFFFF"/>
              <w:right w:val="single" w:sz="4" w:space="0" w:color="FFFFFF"/>
            </w:tcBorders>
          </w:tcPr>
          <w:p w14:paraId="551E44AA" w14:textId="77777777" w:rsidR="008E147C" w:rsidRPr="009A191E" w:rsidRDefault="008E147C" w:rsidP="005B7A32">
            <w:pPr>
              <w:pStyle w:val="Bodyromannumerals"/>
              <w:rPr>
                <w:lang w:val="en-US"/>
              </w:rPr>
            </w:pPr>
            <w:r w:rsidRPr="009A191E">
              <w:rPr>
                <w:lang w:val="en-US"/>
              </w:rPr>
              <w:t>Input field</w:t>
            </w:r>
          </w:p>
        </w:tc>
      </w:tr>
    </w:tbl>
    <w:p w14:paraId="602F6D05" w14:textId="77777777" w:rsidR="005677DF" w:rsidRDefault="005677DF">
      <w:r>
        <w:br w:type="page"/>
      </w:r>
    </w:p>
    <w:tbl>
      <w:tblPr>
        <w:tblStyle w:val="TableGrid3"/>
        <w:tblW w:w="0" w:type="auto"/>
        <w:tblLook w:val="04A0" w:firstRow="1" w:lastRow="0" w:firstColumn="1" w:lastColumn="0" w:noHBand="0" w:noVBand="1"/>
      </w:tblPr>
      <w:tblGrid>
        <w:gridCol w:w="968"/>
        <w:gridCol w:w="977"/>
        <w:gridCol w:w="4326"/>
        <w:gridCol w:w="1287"/>
      </w:tblGrid>
      <w:tr w:rsidR="008E147C" w:rsidRPr="009A191E" w14:paraId="69550264" w14:textId="77777777" w:rsidTr="005677DF">
        <w:tc>
          <w:tcPr>
            <w:tcW w:w="968" w:type="dxa"/>
          </w:tcPr>
          <w:p w14:paraId="145307FC" w14:textId="44EA00D9" w:rsidR="008E147C" w:rsidRPr="005B7A32" w:rsidRDefault="008E147C" w:rsidP="005B7A32">
            <w:pPr>
              <w:pStyle w:val="Bodyromannumerals"/>
              <w:rPr>
                <w:b/>
                <w:bCs/>
                <w:lang w:val="en-US"/>
              </w:rPr>
            </w:pPr>
            <w:r w:rsidRPr="005B7A32">
              <w:rPr>
                <w:b/>
                <w:bCs/>
                <w:lang w:val="en-US"/>
              </w:rPr>
              <w:lastRenderedPageBreak/>
              <w:t>A2.8</w:t>
            </w:r>
          </w:p>
        </w:tc>
        <w:tc>
          <w:tcPr>
            <w:tcW w:w="5303" w:type="dxa"/>
            <w:gridSpan w:val="2"/>
          </w:tcPr>
          <w:p w14:paraId="50661607" w14:textId="0AEAC23C" w:rsidR="008E147C" w:rsidRPr="005B7A32" w:rsidRDefault="008E147C" w:rsidP="005B7A32">
            <w:pPr>
              <w:pStyle w:val="Bodyromannumerals"/>
              <w:rPr>
                <w:b/>
                <w:bCs/>
                <w:lang w:val="en-US"/>
              </w:rPr>
            </w:pPr>
            <w:r w:rsidRPr="005B7A32">
              <w:rPr>
                <w:b/>
                <w:bCs/>
                <w:lang w:val="en-US"/>
              </w:rPr>
              <w:t xml:space="preserve">Per capita consumption (measured </w:t>
            </w:r>
            <w:r w:rsidR="00BB5A05">
              <w:rPr>
                <w:b/>
                <w:bCs/>
                <w:lang w:val="en-US"/>
              </w:rPr>
              <w:t>household</w:t>
            </w:r>
            <w:r w:rsidRPr="005B7A32">
              <w:rPr>
                <w:b/>
                <w:bCs/>
                <w:lang w:val="en-US"/>
              </w:rPr>
              <w:t xml:space="preserve"> excluding supply pipe leakage)</w:t>
            </w:r>
          </w:p>
        </w:tc>
        <w:tc>
          <w:tcPr>
            <w:tcW w:w="1287" w:type="dxa"/>
          </w:tcPr>
          <w:p w14:paraId="7767EF52" w14:textId="77777777" w:rsidR="008E147C" w:rsidRPr="005B7A32" w:rsidRDefault="008E147C" w:rsidP="005B7A32">
            <w:pPr>
              <w:pStyle w:val="Bodyromannumerals"/>
              <w:rPr>
                <w:b/>
                <w:bCs/>
                <w:lang w:val="en-US"/>
              </w:rPr>
            </w:pPr>
            <w:r w:rsidRPr="005B7A32">
              <w:rPr>
                <w:b/>
                <w:bCs/>
                <w:lang w:val="en-US"/>
              </w:rPr>
              <w:t>l/h/d</w:t>
            </w:r>
          </w:p>
        </w:tc>
      </w:tr>
      <w:tr w:rsidR="008E147C" w:rsidRPr="009A191E" w14:paraId="1E0404BB" w14:textId="77777777" w:rsidTr="005677DF">
        <w:tc>
          <w:tcPr>
            <w:tcW w:w="1945" w:type="dxa"/>
            <w:gridSpan w:val="2"/>
            <w:tcBorders>
              <w:left w:val="single" w:sz="4" w:space="0" w:color="FFFFFF"/>
              <w:bottom w:val="single" w:sz="4" w:space="0" w:color="FFFFFF"/>
              <w:right w:val="single" w:sz="4" w:space="0" w:color="FFFFFF"/>
            </w:tcBorders>
          </w:tcPr>
          <w:p w14:paraId="7D499BDA" w14:textId="77777777" w:rsidR="008E147C" w:rsidRPr="009A191E" w:rsidRDefault="008E147C" w:rsidP="005B7A32">
            <w:pPr>
              <w:pStyle w:val="Bodyromannumerals"/>
              <w:rPr>
                <w:i/>
                <w:lang w:val="en-US"/>
              </w:rPr>
            </w:pPr>
            <w:r w:rsidRPr="009A191E">
              <w:rPr>
                <w:i/>
                <w:lang w:val="en-US"/>
              </w:rPr>
              <w:t>Definition:</w:t>
            </w:r>
          </w:p>
        </w:tc>
        <w:tc>
          <w:tcPr>
            <w:tcW w:w="5613" w:type="dxa"/>
            <w:gridSpan w:val="2"/>
            <w:tcBorders>
              <w:left w:val="single" w:sz="4" w:space="0" w:color="FFFFFF"/>
              <w:bottom w:val="single" w:sz="4" w:space="0" w:color="FFFFFF"/>
              <w:right w:val="single" w:sz="4" w:space="0" w:color="FFFFFF"/>
            </w:tcBorders>
          </w:tcPr>
          <w:p w14:paraId="0BECFF1F" w14:textId="4C7D2615" w:rsidR="008E147C" w:rsidRPr="009A191E" w:rsidRDefault="008E147C" w:rsidP="005B7A32">
            <w:pPr>
              <w:pStyle w:val="Bodyromannumerals"/>
              <w:rPr>
                <w:lang w:val="en-US"/>
              </w:rPr>
            </w:pPr>
            <w:r w:rsidRPr="009A191E">
              <w:rPr>
                <w:lang w:val="en-US"/>
              </w:rPr>
              <w:t xml:space="preserve">Estimated per capita consumption of measured </w:t>
            </w:r>
            <w:r w:rsidR="00BB5A05">
              <w:rPr>
                <w:lang w:val="en-US"/>
              </w:rPr>
              <w:t>household</w:t>
            </w:r>
            <w:r w:rsidRPr="009A191E">
              <w:rPr>
                <w:lang w:val="en-US"/>
              </w:rPr>
              <w:t xml:space="preserve"> properties. This figure applies to billed measured </w:t>
            </w:r>
            <w:r w:rsidR="00BB5A05">
              <w:rPr>
                <w:lang w:val="en-US"/>
              </w:rPr>
              <w:t>household</w:t>
            </w:r>
            <w:r w:rsidRPr="009A191E">
              <w:rPr>
                <w:lang w:val="en-US"/>
              </w:rPr>
              <w:t xml:space="preserve"> properties and excludes underground supply pipe leakage.</w:t>
            </w:r>
          </w:p>
        </w:tc>
      </w:tr>
      <w:tr w:rsidR="008E147C" w:rsidRPr="009A191E" w14:paraId="6D79669F" w14:textId="77777777" w:rsidTr="005677DF">
        <w:tc>
          <w:tcPr>
            <w:tcW w:w="1945" w:type="dxa"/>
            <w:gridSpan w:val="2"/>
            <w:tcBorders>
              <w:top w:val="single" w:sz="4" w:space="0" w:color="FFFFFF"/>
              <w:left w:val="single" w:sz="4" w:space="0" w:color="FFFFFF"/>
              <w:bottom w:val="single" w:sz="4" w:space="0" w:color="FFFFFF"/>
              <w:right w:val="single" w:sz="4" w:space="0" w:color="FFFFFF"/>
            </w:tcBorders>
          </w:tcPr>
          <w:p w14:paraId="1B3643D1" w14:textId="77777777" w:rsidR="008E147C" w:rsidRPr="009A191E" w:rsidRDefault="008E147C" w:rsidP="005B7A32">
            <w:pPr>
              <w:pStyle w:val="Bodyromannumerals"/>
              <w:rPr>
                <w:i/>
                <w:lang w:val="en-US"/>
              </w:rPr>
            </w:pPr>
            <w:r w:rsidRPr="009A191E">
              <w:rPr>
                <w:i/>
                <w:lang w:val="en-US"/>
              </w:rPr>
              <w:t>Processing Rules:</w:t>
            </w:r>
          </w:p>
        </w:tc>
        <w:tc>
          <w:tcPr>
            <w:tcW w:w="5613" w:type="dxa"/>
            <w:gridSpan w:val="2"/>
            <w:tcBorders>
              <w:top w:val="single" w:sz="4" w:space="0" w:color="FFFFFF"/>
              <w:left w:val="single" w:sz="4" w:space="0" w:color="FFFFFF"/>
              <w:bottom w:val="single" w:sz="4" w:space="0" w:color="FFFFFF"/>
              <w:right w:val="single" w:sz="4" w:space="0" w:color="FFFFFF"/>
            </w:tcBorders>
          </w:tcPr>
          <w:p w14:paraId="0BD46027" w14:textId="22D544E4" w:rsidR="008E147C" w:rsidRPr="009A191E" w:rsidRDefault="008E147C" w:rsidP="005B7A32">
            <w:pPr>
              <w:pStyle w:val="Bodyromannumerals"/>
              <w:rPr>
                <w:lang w:val="en-US"/>
              </w:rPr>
            </w:pPr>
            <w:r w:rsidRPr="009A191E">
              <w:rPr>
                <w:lang w:val="en-US"/>
              </w:rPr>
              <w:t xml:space="preserve">Calculated field: </w:t>
            </w:r>
            <m:oMath>
              <m:f>
                <m:fPr>
                  <m:ctrlPr>
                    <w:rPr>
                      <w:rFonts w:ascii="Cambria Math" w:hAnsi="Cambria Math"/>
                      <w:i/>
                      <w:lang w:val="en-US"/>
                    </w:rPr>
                  </m:ctrlPr>
                </m:fPr>
                <m:num>
                  <m:r>
                    <w:rPr>
                      <w:rFonts w:ascii="Cambria Math" w:hAnsi="Cambria Math"/>
                      <w:lang w:val="en-US"/>
                    </w:rPr>
                    <m:t>A2.5*1000000 -(A2.6*A1.12+A2.7*A1.4)</m:t>
                  </m:r>
                </m:num>
                <m:den>
                  <m:r>
                    <w:rPr>
                      <w:rFonts w:ascii="Cambria Math" w:hAnsi="Cambria Math"/>
                      <w:lang w:val="en-US"/>
                    </w:rPr>
                    <m:t>A1.46*1,000</m:t>
                  </m:r>
                </m:den>
              </m:f>
            </m:oMath>
          </w:p>
        </w:tc>
      </w:tr>
    </w:tbl>
    <w:p w14:paraId="6562D347" w14:textId="77777777" w:rsidR="008E147C" w:rsidRPr="009A191E" w:rsidRDefault="008E147C" w:rsidP="008E147C">
      <w:pPr>
        <w:spacing w:after="160" w:line="259" w:lineRule="auto"/>
        <w:rPr>
          <w:rFonts w:eastAsia="Calibri"/>
          <w:color w:val="000000" w:themeColor="text1"/>
          <w:lang w:val="en-GB"/>
        </w:rPr>
      </w:pPr>
    </w:p>
    <w:p w14:paraId="1B502BD4" w14:textId="782ADA0E" w:rsidR="008E147C" w:rsidRPr="009A191E" w:rsidRDefault="008E147C" w:rsidP="005B7A32">
      <w:pPr>
        <w:pStyle w:val="Sectionsub-heading"/>
        <w:rPr>
          <w:lang w:val="en-GB"/>
        </w:rPr>
      </w:pPr>
      <w:r w:rsidRPr="009A191E">
        <w:rPr>
          <w:lang w:val="en-GB"/>
        </w:rPr>
        <w:t>BLOCK 3: MEASURED NON-</w:t>
      </w:r>
      <w:r w:rsidR="00BB5A05">
        <w:rPr>
          <w:lang w:val="en-GB"/>
        </w:rPr>
        <w:t>HOUSEHOLD</w:t>
      </w:r>
      <w:r w:rsidR="00EF31AF">
        <w:rPr>
          <w:lang w:val="en-GB"/>
        </w:rPr>
        <w:t xml:space="preserve"> </w:t>
      </w:r>
    </w:p>
    <w:tbl>
      <w:tblPr>
        <w:tblStyle w:val="TableGrid3"/>
        <w:tblW w:w="0" w:type="auto"/>
        <w:tblLook w:val="04A0" w:firstRow="1" w:lastRow="0" w:firstColumn="1" w:lastColumn="0" w:noHBand="0" w:noVBand="1"/>
      </w:tblPr>
      <w:tblGrid>
        <w:gridCol w:w="971"/>
        <w:gridCol w:w="1018"/>
        <w:gridCol w:w="4308"/>
        <w:gridCol w:w="1261"/>
      </w:tblGrid>
      <w:tr w:rsidR="008E147C" w:rsidRPr="009A191E" w14:paraId="3D130840" w14:textId="77777777" w:rsidTr="001D7531">
        <w:tc>
          <w:tcPr>
            <w:tcW w:w="971" w:type="dxa"/>
          </w:tcPr>
          <w:p w14:paraId="6DAE201B" w14:textId="77777777" w:rsidR="008E147C" w:rsidRPr="005B7A32" w:rsidRDefault="008E147C" w:rsidP="005B7A32">
            <w:pPr>
              <w:pStyle w:val="Bodyromannumerals"/>
              <w:rPr>
                <w:b/>
                <w:bCs/>
                <w:lang w:val="en-US"/>
              </w:rPr>
            </w:pPr>
            <w:r w:rsidRPr="005B7A32">
              <w:rPr>
                <w:b/>
                <w:bCs/>
                <w:lang w:val="en-US"/>
              </w:rPr>
              <w:t>A2.8a</w:t>
            </w:r>
          </w:p>
        </w:tc>
        <w:tc>
          <w:tcPr>
            <w:tcW w:w="5326" w:type="dxa"/>
            <w:gridSpan w:val="2"/>
          </w:tcPr>
          <w:p w14:paraId="4C129F93" w14:textId="77777777" w:rsidR="008E147C" w:rsidRPr="005B7A32" w:rsidRDefault="008E147C" w:rsidP="005B7A32">
            <w:pPr>
              <w:pStyle w:val="Bodyromannumerals"/>
              <w:rPr>
                <w:b/>
                <w:bCs/>
                <w:lang w:val="en-US"/>
              </w:rPr>
            </w:pPr>
            <w:r w:rsidRPr="005B7A32">
              <w:rPr>
                <w:b/>
                <w:bCs/>
                <w:lang w:val="en-US"/>
              </w:rPr>
              <w:t>Water delivered (potable)</w:t>
            </w:r>
          </w:p>
        </w:tc>
        <w:tc>
          <w:tcPr>
            <w:tcW w:w="1261" w:type="dxa"/>
          </w:tcPr>
          <w:p w14:paraId="0180964F" w14:textId="77777777" w:rsidR="008E147C" w:rsidRPr="005B7A32" w:rsidRDefault="008E147C" w:rsidP="005B7A32">
            <w:pPr>
              <w:pStyle w:val="Bodyromannumerals"/>
              <w:rPr>
                <w:b/>
                <w:bCs/>
                <w:lang w:val="en-US"/>
              </w:rPr>
            </w:pPr>
            <w:r w:rsidRPr="005B7A32">
              <w:rPr>
                <w:b/>
                <w:bCs/>
                <w:lang w:val="en-US"/>
              </w:rPr>
              <w:t>000 m3/d</w:t>
            </w:r>
          </w:p>
        </w:tc>
      </w:tr>
      <w:tr w:rsidR="008E147C" w:rsidRPr="009A191E" w14:paraId="1E93C499" w14:textId="77777777" w:rsidTr="001D7531">
        <w:tc>
          <w:tcPr>
            <w:tcW w:w="1989" w:type="dxa"/>
            <w:gridSpan w:val="2"/>
            <w:tcBorders>
              <w:left w:val="single" w:sz="4" w:space="0" w:color="FFFFFF"/>
              <w:bottom w:val="single" w:sz="4" w:space="0" w:color="FFFFFF"/>
              <w:right w:val="single" w:sz="4" w:space="0" w:color="FFFFFF"/>
            </w:tcBorders>
          </w:tcPr>
          <w:p w14:paraId="1E3057E5" w14:textId="77777777" w:rsidR="008E147C" w:rsidRPr="009A191E" w:rsidRDefault="008E147C" w:rsidP="005B7A32">
            <w:pPr>
              <w:pStyle w:val="Bodyromannumerals"/>
              <w:rPr>
                <w:i/>
                <w:lang w:val="en-US"/>
              </w:rPr>
            </w:pPr>
            <w:r w:rsidRPr="009A191E">
              <w:rPr>
                <w:i/>
                <w:lang w:val="en-US"/>
              </w:rPr>
              <w:t>Definition:</w:t>
            </w:r>
          </w:p>
        </w:tc>
        <w:tc>
          <w:tcPr>
            <w:tcW w:w="5569" w:type="dxa"/>
            <w:gridSpan w:val="2"/>
            <w:tcBorders>
              <w:left w:val="single" w:sz="4" w:space="0" w:color="FFFFFF"/>
              <w:bottom w:val="single" w:sz="4" w:space="0" w:color="FFFFFF"/>
              <w:right w:val="single" w:sz="4" w:space="0" w:color="FFFFFF"/>
            </w:tcBorders>
          </w:tcPr>
          <w:p w14:paraId="3FA8A690" w14:textId="1EFC308B" w:rsidR="008E147C" w:rsidRPr="009A191E" w:rsidRDefault="008E147C" w:rsidP="005B7A32">
            <w:pPr>
              <w:pStyle w:val="Bodyromannumerals"/>
              <w:rPr>
                <w:lang w:val="en-US"/>
              </w:rPr>
            </w:pPr>
            <w:r w:rsidRPr="009A191E">
              <w:rPr>
                <w:lang w:val="en-US"/>
              </w:rPr>
              <w:t>Average volume of potable water delivered to measured non-</w:t>
            </w:r>
            <w:r w:rsidR="00BB5A05">
              <w:rPr>
                <w:lang w:val="en-US"/>
              </w:rPr>
              <w:t>household</w:t>
            </w:r>
            <w:r w:rsidRPr="009A191E">
              <w:rPr>
                <w:lang w:val="en-US"/>
              </w:rPr>
              <w:t xml:space="preserve"> properties. This is to include supply pipe leakage and meter under-registration.</w:t>
            </w:r>
          </w:p>
          <w:p w14:paraId="440AA8E5" w14:textId="76161AB8" w:rsidR="008E147C" w:rsidRPr="009A191E" w:rsidRDefault="008E147C" w:rsidP="005B7A32">
            <w:pPr>
              <w:pStyle w:val="Bodyromannumerals"/>
              <w:rPr>
                <w:lang w:val="en-US"/>
              </w:rPr>
            </w:pPr>
            <w:r w:rsidRPr="009A191E">
              <w:rPr>
                <w:lang w:val="en-US"/>
              </w:rPr>
              <w:t xml:space="preserve">The </w:t>
            </w:r>
            <w:r w:rsidR="002E6A73">
              <w:rPr>
                <w:lang w:val="en-US"/>
              </w:rPr>
              <w:t>Local</w:t>
            </w:r>
            <w:r w:rsidR="00B47509">
              <w:rPr>
                <w:lang w:val="en-US"/>
              </w:rPr>
              <w:t xml:space="preserve"> Authority</w:t>
            </w:r>
            <w:r w:rsidRPr="009A191E">
              <w:rPr>
                <w:lang w:val="en-US"/>
              </w:rPr>
              <w:t xml:space="preserve"> should clearly report any amendments to actual metered consumption records to provide the requested water delivered information. Amendments may be necessary to take account of billing periods different from the report year. </w:t>
            </w:r>
            <w:r w:rsidR="0013713E">
              <w:rPr>
                <w:lang w:val="en-US"/>
              </w:rPr>
              <w:t xml:space="preserve">If appropriate, </w:t>
            </w:r>
            <w:r w:rsidR="0013713E" w:rsidRPr="009A191E">
              <w:rPr>
                <w:lang w:val="en-US"/>
              </w:rPr>
              <w:t xml:space="preserve">the </w:t>
            </w:r>
            <w:r w:rsidR="0013713E">
              <w:rPr>
                <w:lang w:val="en-US"/>
              </w:rPr>
              <w:t>Local Authority</w:t>
            </w:r>
            <w:r w:rsidR="0013713E" w:rsidRPr="009A191E">
              <w:rPr>
                <w:lang w:val="en-US"/>
              </w:rPr>
              <w:t xml:space="preserve"> may need to take account </w:t>
            </w:r>
            <w:r w:rsidR="0013713E">
              <w:rPr>
                <w:lang w:val="en-US"/>
              </w:rPr>
              <w:t xml:space="preserve">of meter registration </w:t>
            </w:r>
            <w:r w:rsidR="0013713E" w:rsidRPr="009A191E">
              <w:rPr>
                <w:lang w:val="en-US"/>
              </w:rPr>
              <w:t xml:space="preserve">and adjust records.  </w:t>
            </w:r>
            <w:r w:rsidRPr="009A191E">
              <w:rPr>
                <w:lang w:val="en-US"/>
              </w:rPr>
              <w:t xml:space="preserve">If records are adjusted this should be clearly reported in the commentaries along with evidence to support the need for any changes. Where meter under-registration is a problem the </w:t>
            </w:r>
            <w:r w:rsidR="002E6A73">
              <w:rPr>
                <w:lang w:val="en-US"/>
              </w:rPr>
              <w:t>Local</w:t>
            </w:r>
            <w:r w:rsidR="00B47509">
              <w:rPr>
                <w:lang w:val="en-US"/>
              </w:rPr>
              <w:t xml:space="preserve"> Authority</w:t>
            </w:r>
            <w:r w:rsidRPr="009A191E">
              <w:rPr>
                <w:lang w:val="en-US"/>
              </w:rPr>
              <w:t xml:space="preserve"> should specify the class of meters involved and the percentage error assumed.</w:t>
            </w:r>
          </w:p>
          <w:p w14:paraId="67FE3713" w14:textId="3A807686" w:rsidR="008E147C" w:rsidRPr="009A191E" w:rsidRDefault="008E147C" w:rsidP="005B7A32">
            <w:pPr>
              <w:pStyle w:val="Bodyromannumerals"/>
              <w:rPr>
                <w:lang w:val="en-US"/>
              </w:rPr>
            </w:pPr>
          </w:p>
        </w:tc>
      </w:tr>
      <w:tr w:rsidR="008E147C" w:rsidRPr="009A191E" w14:paraId="58519E27" w14:textId="77777777" w:rsidTr="001D7531">
        <w:tc>
          <w:tcPr>
            <w:tcW w:w="1989" w:type="dxa"/>
            <w:gridSpan w:val="2"/>
            <w:tcBorders>
              <w:top w:val="single" w:sz="4" w:space="0" w:color="FFFFFF"/>
              <w:left w:val="single" w:sz="4" w:space="0" w:color="FFFFFF"/>
              <w:bottom w:val="single" w:sz="4" w:space="0" w:color="FFFFFF"/>
              <w:right w:val="single" w:sz="4" w:space="0" w:color="FFFFFF"/>
            </w:tcBorders>
          </w:tcPr>
          <w:p w14:paraId="25E9DC41" w14:textId="77777777" w:rsidR="008E147C" w:rsidRPr="009A191E" w:rsidRDefault="008E147C" w:rsidP="005B7A32">
            <w:pPr>
              <w:pStyle w:val="Bodyromannumerals"/>
              <w:rPr>
                <w:i/>
                <w:lang w:val="en-US"/>
              </w:rPr>
            </w:pPr>
            <w:r w:rsidRPr="009A191E">
              <w:rPr>
                <w:i/>
                <w:lang w:val="en-US"/>
              </w:rPr>
              <w:t>Processing Rules:</w:t>
            </w:r>
          </w:p>
        </w:tc>
        <w:tc>
          <w:tcPr>
            <w:tcW w:w="5569" w:type="dxa"/>
            <w:gridSpan w:val="2"/>
            <w:tcBorders>
              <w:top w:val="single" w:sz="4" w:space="0" w:color="FFFFFF"/>
              <w:left w:val="single" w:sz="4" w:space="0" w:color="FFFFFF"/>
              <w:bottom w:val="single" w:sz="4" w:space="0" w:color="FFFFFF"/>
              <w:right w:val="single" w:sz="4" w:space="0" w:color="FFFFFF"/>
            </w:tcBorders>
          </w:tcPr>
          <w:p w14:paraId="17B365B5" w14:textId="77777777" w:rsidR="008E147C" w:rsidRPr="009A191E" w:rsidRDefault="008E147C" w:rsidP="005B7A32">
            <w:pPr>
              <w:pStyle w:val="Bodyromannumerals"/>
              <w:rPr>
                <w:lang w:val="en-US"/>
              </w:rPr>
            </w:pPr>
            <w:r w:rsidRPr="009A191E">
              <w:rPr>
                <w:lang w:val="en-US"/>
              </w:rPr>
              <w:t>Input field</w:t>
            </w:r>
          </w:p>
        </w:tc>
      </w:tr>
    </w:tbl>
    <w:p w14:paraId="58EA809C" w14:textId="77777777" w:rsidR="00657283" w:rsidRDefault="00657283">
      <w:r>
        <w:br w:type="page"/>
      </w:r>
    </w:p>
    <w:tbl>
      <w:tblPr>
        <w:tblStyle w:val="TableGrid3"/>
        <w:tblW w:w="0" w:type="auto"/>
        <w:tblLook w:val="04A0" w:firstRow="1" w:lastRow="0" w:firstColumn="1" w:lastColumn="0" w:noHBand="0" w:noVBand="1"/>
      </w:tblPr>
      <w:tblGrid>
        <w:gridCol w:w="1163"/>
        <w:gridCol w:w="988"/>
        <w:gridCol w:w="4164"/>
        <w:gridCol w:w="1243"/>
      </w:tblGrid>
      <w:tr w:rsidR="008E147C" w:rsidRPr="009A191E" w14:paraId="59AA002A" w14:textId="77777777" w:rsidTr="001D7531">
        <w:tc>
          <w:tcPr>
            <w:tcW w:w="1163" w:type="dxa"/>
          </w:tcPr>
          <w:p w14:paraId="23E311A5" w14:textId="4AB9E748" w:rsidR="008E147C" w:rsidRPr="005B7A32" w:rsidRDefault="008E147C" w:rsidP="005B7A32">
            <w:pPr>
              <w:pStyle w:val="Bodyromannumerals"/>
              <w:rPr>
                <w:b/>
                <w:bCs/>
                <w:lang w:val="en-US"/>
              </w:rPr>
            </w:pPr>
            <w:r w:rsidRPr="005B7A32">
              <w:rPr>
                <w:b/>
                <w:bCs/>
                <w:lang w:val="en-US"/>
              </w:rPr>
              <w:lastRenderedPageBreak/>
              <w:t>A2.10</w:t>
            </w:r>
          </w:p>
        </w:tc>
        <w:tc>
          <w:tcPr>
            <w:tcW w:w="5152" w:type="dxa"/>
            <w:gridSpan w:val="2"/>
          </w:tcPr>
          <w:p w14:paraId="5928B5C4" w14:textId="77777777" w:rsidR="008E147C" w:rsidRPr="005B7A32" w:rsidRDefault="008E147C" w:rsidP="005B7A32">
            <w:pPr>
              <w:pStyle w:val="Bodyromannumerals"/>
              <w:rPr>
                <w:b/>
                <w:bCs/>
                <w:lang w:val="en-US"/>
              </w:rPr>
            </w:pPr>
            <w:r w:rsidRPr="005B7A32">
              <w:rPr>
                <w:b/>
                <w:bCs/>
                <w:lang w:val="en-US"/>
              </w:rPr>
              <w:t>Water delivered (potable) to users with no charges</w:t>
            </w:r>
          </w:p>
        </w:tc>
        <w:tc>
          <w:tcPr>
            <w:tcW w:w="1243" w:type="dxa"/>
          </w:tcPr>
          <w:p w14:paraId="09D208D8" w14:textId="77777777" w:rsidR="008E147C" w:rsidRPr="005B7A32" w:rsidRDefault="008E147C" w:rsidP="005B7A32">
            <w:pPr>
              <w:pStyle w:val="Bodyromannumerals"/>
              <w:rPr>
                <w:b/>
                <w:bCs/>
                <w:lang w:val="en-US"/>
              </w:rPr>
            </w:pPr>
            <w:r w:rsidRPr="005B7A32">
              <w:rPr>
                <w:b/>
                <w:bCs/>
                <w:lang w:val="en-US"/>
              </w:rPr>
              <w:t>000 m3/d</w:t>
            </w:r>
          </w:p>
        </w:tc>
      </w:tr>
      <w:tr w:rsidR="008E147C" w:rsidRPr="009A191E" w14:paraId="00E9C348" w14:textId="77777777" w:rsidTr="001D7531">
        <w:tc>
          <w:tcPr>
            <w:tcW w:w="2151" w:type="dxa"/>
            <w:gridSpan w:val="2"/>
            <w:tcBorders>
              <w:left w:val="single" w:sz="4" w:space="0" w:color="FFFFFF"/>
              <w:bottom w:val="single" w:sz="4" w:space="0" w:color="FFFFFF"/>
              <w:right w:val="single" w:sz="4" w:space="0" w:color="FFFFFF"/>
            </w:tcBorders>
          </w:tcPr>
          <w:p w14:paraId="69D51FDA" w14:textId="77777777" w:rsidR="008E147C" w:rsidRPr="009A191E" w:rsidRDefault="008E147C" w:rsidP="005B7A32">
            <w:pPr>
              <w:pStyle w:val="Bodyromannumerals"/>
              <w:rPr>
                <w:i/>
                <w:lang w:val="en-US"/>
              </w:rPr>
            </w:pPr>
            <w:r w:rsidRPr="009A191E">
              <w:rPr>
                <w:i/>
                <w:lang w:val="en-US"/>
              </w:rPr>
              <w:t>Definition:</w:t>
            </w:r>
          </w:p>
        </w:tc>
        <w:tc>
          <w:tcPr>
            <w:tcW w:w="5407" w:type="dxa"/>
            <w:gridSpan w:val="2"/>
            <w:tcBorders>
              <w:left w:val="single" w:sz="4" w:space="0" w:color="FFFFFF"/>
              <w:bottom w:val="single" w:sz="4" w:space="0" w:color="FFFFFF"/>
              <w:right w:val="single" w:sz="4" w:space="0" w:color="FFFFFF"/>
            </w:tcBorders>
          </w:tcPr>
          <w:p w14:paraId="33CDC11B" w14:textId="4BDEF5E0" w:rsidR="00A36773" w:rsidRDefault="008E147C" w:rsidP="005B7A32">
            <w:pPr>
              <w:pStyle w:val="Bodyromannumerals"/>
              <w:rPr>
                <w:lang w:val="en-US"/>
              </w:rPr>
            </w:pPr>
            <w:r w:rsidRPr="009A191E">
              <w:rPr>
                <w:lang w:val="en-US"/>
              </w:rPr>
              <w:t>Average volume of potable water delivered to measured non-</w:t>
            </w:r>
            <w:r w:rsidR="00BB5A05">
              <w:rPr>
                <w:lang w:val="en-US"/>
              </w:rPr>
              <w:t>household</w:t>
            </w:r>
            <w:r w:rsidRPr="009A191E">
              <w:rPr>
                <w:lang w:val="en-US"/>
              </w:rPr>
              <w:t xml:space="preserve"> properties where a service has been provided, but no bill has been raised. </w:t>
            </w:r>
            <w:r w:rsidR="00A36773">
              <w:rPr>
                <w:lang w:val="en-US"/>
              </w:rPr>
              <w:t>This would include</w:t>
            </w:r>
            <w:r w:rsidRPr="009A191E">
              <w:rPr>
                <w:lang w:val="en-US"/>
              </w:rPr>
              <w:t xml:space="preserve"> </w:t>
            </w:r>
            <w:r w:rsidR="00A36773">
              <w:rPr>
                <w:lang w:val="en-US"/>
              </w:rPr>
              <w:t xml:space="preserve">registered community water supplies. </w:t>
            </w:r>
          </w:p>
          <w:p w14:paraId="3033CACF" w14:textId="789E22ED" w:rsidR="008E147C" w:rsidRPr="009A191E" w:rsidRDefault="008E147C" w:rsidP="005B7A32">
            <w:pPr>
              <w:pStyle w:val="Bodyromannumerals"/>
              <w:rPr>
                <w:lang w:val="en-US"/>
              </w:rPr>
            </w:pPr>
            <w:r w:rsidRPr="009A191E">
              <w:rPr>
                <w:lang w:val="en-US"/>
              </w:rPr>
              <w:t>This is to include supply pipe leakage and meter under-registration.</w:t>
            </w:r>
            <w:r w:rsidR="0035509A">
              <w:rPr>
                <w:lang w:val="en-US"/>
              </w:rPr>
              <w:t xml:space="preserve"> </w:t>
            </w:r>
          </w:p>
          <w:p w14:paraId="450F8EE5" w14:textId="6A4EDE41" w:rsidR="008E147C" w:rsidRPr="009A191E" w:rsidRDefault="008E147C" w:rsidP="00CC6A58">
            <w:pPr>
              <w:pStyle w:val="Bodyromannumerals"/>
              <w:rPr>
                <w:lang w:val="en-US"/>
              </w:rPr>
            </w:pPr>
            <w:r w:rsidRPr="009A191E">
              <w:rPr>
                <w:lang w:val="en-US"/>
              </w:rPr>
              <w:t xml:space="preserve">The </w:t>
            </w:r>
            <w:r w:rsidR="002E6A73">
              <w:rPr>
                <w:lang w:val="en-US"/>
              </w:rPr>
              <w:t>Local</w:t>
            </w:r>
            <w:r w:rsidR="00B47509">
              <w:rPr>
                <w:lang w:val="en-US"/>
              </w:rPr>
              <w:t xml:space="preserve"> Authority</w:t>
            </w:r>
            <w:r w:rsidRPr="009A191E">
              <w:rPr>
                <w:lang w:val="en-US"/>
              </w:rPr>
              <w:t xml:space="preserve"> should clearly report any amendments to actual metered consumption records to provide the requested water delivered information. Amendments may be necessary to take account of billing periods different from the report year. </w:t>
            </w:r>
            <w:r w:rsidR="009F64C6">
              <w:rPr>
                <w:lang w:val="en-US"/>
              </w:rPr>
              <w:t xml:space="preserve">If appropriate, </w:t>
            </w:r>
            <w:r w:rsidR="009F64C6" w:rsidRPr="009A191E">
              <w:rPr>
                <w:lang w:val="en-US"/>
              </w:rPr>
              <w:t xml:space="preserve">the </w:t>
            </w:r>
            <w:r w:rsidR="009F64C6">
              <w:rPr>
                <w:lang w:val="en-US"/>
              </w:rPr>
              <w:t>Local Authority</w:t>
            </w:r>
            <w:r w:rsidR="009F64C6" w:rsidRPr="009A191E">
              <w:rPr>
                <w:lang w:val="en-US"/>
              </w:rPr>
              <w:t xml:space="preserve"> may need to take account </w:t>
            </w:r>
            <w:r w:rsidR="009F64C6">
              <w:rPr>
                <w:lang w:val="en-US"/>
              </w:rPr>
              <w:t xml:space="preserve">of meter registration </w:t>
            </w:r>
            <w:r w:rsidR="009F64C6" w:rsidRPr="009A191E">
              <w:rPr>
                <w:lang w:val="en-US"/>
              </w:rPr>
              <w:t xml:space="preserve">and adjust records.  </w:t>
            </w:r>
            <w:r w:rsidRPr="009A191E">
              <w:rPr>
                <w:lang w:val="en-US"/>
              </w:rPr>
              <w:t xml:space="preserve">If records are adjusted this should be clearly reported in the commentaries along with evidence to support the need for any changes. Where meter under-registration is a problem the </w:t>
            </w:r>
            <w:r w:rsidR="002E6A73">
              <w:rPr>
                <w:lang w:val="en-US"/>
              </w:rPr>
              <w:t>Local</w:t>
            </w:r>
            <w:r w:rsidR="00B47509">
              <w:rPr>
                <w:lang w:val="en-US"/>
              </w:rPr>
              <w:t xml:space="preserve"> Authority</w:t>
            </w:r>
            <w:r w:rsidRPr="009A191E">
              <w:rPr>
                <w:lang w:val="en-US"/>
              </w:rPr>
              <w:t xml:space="preserve"> should specify the class of meters involved and the percentage error assumed. </w:t>
            </w:r>
          </w:p>
        </w:tc>
      </w:tr>
      <w:tr w:rsidR="008E147C" w:rsidRPr="009A191E" w14:paraId="5615B257" w14:textId="77777777" w:rsidTr="001D7531">
        <w:tc>
          <w:tcPr>
            <w:tcW w:w="2151" w:type="dxa"/>
            <w:gridSpan w:val="2"/>
            <w:tcBorders>
              <w:top w:val="single" w:sz="4" w:space="0" w:color="FFFFFF"/>
              <w:left w:val="single" w:sz="4" w:space="0" w:color="FFFFFF"/>
              <w:bottom w:val="single" w:sz="4" w:space="0" w:color="FFFFFF"/>
              <w:right w:val="single" w:sz="4" w:space="0" w:color="FFFFFF"/>
            </w:tcBorders>
          </w:tcPr>
          <w:p w14:paraId="22F55DB3" w14:textId="77777777" w:rsidR="008E147C" w:rsidRPr="009A191E" w:rsidRDefault="008E147C" w:rsidP="005B7A32">
            <w:pPr>
              <w:pStyle w:val="Bodyromannumerals"/>
              <w:rPr>
                <w:i/>
                <w:lang w:val="en-US"/>
              </w:rPr>
            </w:pPr>
            <w:r w:rsidRPr="009A191E">
              <w:rPr>
                <w:i/>
                <w:lang w:val="en-US"/>
              </w:rPr>
              <w:t>Processing Rules:</w:t>
            </w:r>
          </w:p>
        </w:tc>
        <w:tc>
          <w:tcPr>
            <w:tcW w:w="5407" w:type="dxa"/>
            <w:gridSpan w:val="2"/>
            <w:tcBorders>
              <w:top w:val="single" w:sz="4" w:space="0" w:color="FFFFFF"/>
              <w:left w:val="single" w:sz="4" w:space="0" w:color="FFFFFF"/>
              <w:bottom w:val="single" w:sz="4" w:space="0" w:color="FFFFFF"/>
              <w:right w:val="single" w:sz="4" w:space="0" w:color="FFFFFF"/>
            </w:tcBorders>
          </w:tcPr>
          <w:p w14:paraId="3A186CE0" w14:textId="77777777" w:rsidR="008E147C" w:rsidRPr="009A191E" w:rsidRDefault="008E147C" w:rsidP="005B7A32">
            <w:pPr>
              <w:pStyle w:val="Bodyromannumerals"/>
              <w:rPr>
                <w:lang w:val="en-US"/>
              </w:rPr>
            </w:pPr>
            <w:r w:rsidRPr="009A191E">
              <w:rPr>
                <w:lang w:val="en-US"/>
              </w:rPr>
              <w:t>Input field</w:t>
            </w:r>
          </w:p>
        </w:tc>
      </w:tr>
    </w:tbl>
    <w:p w14:paraId="4802AB15" w14:textId="77777777" w:rsidR="00657283" w:rsidRDefault="00657283">
      <w:r>
        <w:br w:type="page"/>
      </w:r>
    </w:p>
    <w:tbl>
      <w:tblPr>
        <w:tblStyle w:val="TableGrid3"/>
        <w:tblW w:w="0" w:type="auto"/>
        <w:tblLook w:val="04A0" w:firstRow="1" w:lastRow="0" w:firstColumn="1" w:lastColumn="0" w:noHBand="0" w:noVBand="1"/>
      </w:tblPr>
      <w:tblGrid>
        <w:gridCol w:w="1163"/>
        <w:gridCol w:w="988"/>
        <w:gridCol w:w="4164"/>
        <w:gridCol w:w="1243"/>
      </w:tblGrid>
      <w:tr w:rsidR="008E147C" w:rsidRPr="009A191E" w14:paraId="5F4FB9CB" w14:textId="77777777" w:rsidTr="001D7531">
        <w:tc>
          <w:tcPr>
            <w:tcW w:w="1163" w:type="dxa"/>
          </w:tcPr>
          <w:p w14:paraId="1967976A" w14:textId="3754B724" w:rsidR="008E147C" w:rsidRPr="005B7A32" w:rsidRDefault="008E147C" w:rsidP="005B7A32">
            <w:pPr>
              <w:pStyle w:val="Bodyromannumerals"/>
              <w:rPr>
                <w:b/>
                <w:bCs/>
                <w:lang w:val="en-US"/>
              </w:rPr>
            </w:pPr>
            <w:r w:rsidRPr="005B7A32">
              <w:rPr>
                <w:b/>
                <w:bCs/>
                <w:lang w:val="en-US"/>
              </w:rPr>
              <w:lastRenderedPageBreak/>
              <w:t>A2.11</w:t>
            </w:r>
          </w:p>
        </w:tc>
        <w:tc>
          <w:tcPr>
            <w:tcW w:w="5152" w:type="dxa"/>
            <w:gridSpan w:val="2"/>
          </w:tcPr>
          <w:p w14:paraId="36286EE3" w14:textId="77777777" w:rsidR="008E147C" w:rsidRPr="005B7A32" w:rsidRDefault="008E147C" w:rsidP="005B7A32">
            <w:pPr>
              <w:pStyle w:val="Bodyromannumerals"/>
              <w:rPr>
                <w:b/>
                <w:bCs/>
                <w:lang w:val="en-US"/>
              </w:rPr>
            </w:pPr>
            <w:r w:rsidRPr="005B7A32">
              <w:rPr>
                <w:b/>
                <w:bCs/>
                <w:lang w:val="en-US"/>
              </w:rPr>
              <w:t>Water delivered (non-potable)</w:t>
            </w:r>
          </w:p>
        </w:tc>
        <w:tc>
          <w:tcPr>
            <w:tcW w:w="1243" w:type="dxa"/>
          </w:tcPr>
          <w:p w14:paraId="4832C8D7" w14:textId="77777777" w:rsidR="008E147C" w:rsidRPr="005B7A32" w:rsidRDefault="008E147C" w:rsidP="005B7A32">
            <w:pPr>
              <w:pStyle w:val="Bodyromannumerals"/>
              <w:rPr>
                <w:b/>
                <w:bCs/>
                <w:lang w:val="en-US"/>
              </w:rPr>
            </w:pPr>
            <w:r w:rsidRPr="005B7A32">
              <w:rPr>
                <w:b/>
                <w:bCs/>
                <w:lang w:val="en-US"/>
              </w:rPr>
              <w:t>000 m3/d</w:t>
            </w:r>
          </w:p>
        </w:tc>
      </w:tr>
      <w:tr w:rsidR="008E147C" w:rsidRPr="009A191E" w14:paraId="5E39CC87" w14:textId="77777777" w:rsidTr="001D7531">
        <w:tc>
          <w:tcPr>
            <w:tcW w:w="2151" w:type="dxa"/>
            <w:gridSpan w:val="2"/>
            <w:tcBorders>
              <w:left w:val="single" w:sz="4" w:space="0" w:color="FFFFFF"/>
              <w:bottom w:val="single" w:sz="4" w:space="0" w:color="FFFFFF"/>
              <w:right w:val="single" w:sz="4" w:space="0" w:color="FFFFFF"/>
            </w:tcBorders>
          </w:tcPr>
          <w:p w14:paraId="10978AD9" w14:textId="77777777" w:rsidR="008E147C" w:rsidRPr="009A191E" w:rsidRDefault="008E147C" w:rsidP="005B7A32">
            <w:pPr>
              <w:pStyle w:val="Bodyromannumerals"/>
              <w:rPr>
                <w:i/>
                <w:lang w:val="en-US"/>
              </w:rPr>
            </w:pPr>
            <w:r w:rsidRPr="009A191E">
              <w:rPr>
                <w:i/>
                <w:lang w:val="en-US"/>
              </w:rPr>
              <w:t>Definition:</w:t>
            </w:r>
          </w:p>
        </w:tc>
        <w:tc>
          <w:tcPr>
            <w:tcW w:w="5407" w:type="dxa"/>
            <w:gridSpan w:val="2"/>
            <w:tcBorders>
              <w:left w:val="single" w:sz="4" w:space="0" w:color="FFFFFF"/>
              <w:bottom w:val="single" w:sz="4" w:space="0" w:color="FFFFFF"/>
              <w:right w:val="single" w:sz="4" w:space="0" w:color="FFFFFF"/>
            </w:tcBorders>
          </w:tcPr>
          <w:p w14:paraId="2772D7CA" w14:textId="438B60C0" w:rsidR="00A36773" w:rsidRDefault="008E147C" w:rsidP="005B7A32">
            <w:pPr>
              <w:pStyle w:val="Bodyromannumerals"/>
              <w:rPr>
                <w:lang w:val="en-US"/>
              </w:rPr>
            </w:pPr>
            <w:r w:rsidRPr="009A191E">
              <w:rPr>
                <w:lang w:val="en-US"/>
              </w:rPr>
              <w:t>Average volume of non-potable water</w:t>
            </w:r>
            <w:r w:rsidR="00A36773">
              <w:rPr>
                <w:lang w:val="en-US"/>
              </w:rPr>
              <w:t xml:space="preserve"> </w:t>
            </w:r>
            <w:r w:rsidRPr="009A191E">
              <w:rPr>
                <w:lang w:val="en-US"/>
              </w:rPr>
              <w:t>delivered to measured non-</w:t>
            </w:r>
            <w:r w:rsidR="00BB5A05">
              <w:rPr>
                <w:lang w:val="en-US"/>
              </w:rPr>
              <w:t>household</w:t>
            </w:r>
            <w:r w:rsidRPr="009A191E">
              <w:rPr>
                <w:lang w:val="en-US"/>
              </w:rPr>
              <w:t xml:space="preserve"> properties. </w:t>
            </w:r>
            <w:r w:rsidR="00A36773">
              <w:rPr>
                <w:lang w:val="en-US"/>
              </w:rPr>
              <w:t>This would include stock-water supplies and raw water take offs before treatment.</w:t>
            </w:r>
          </w:p>
          <w:p w14:paraId="20B6621A" w14:textId="112A8667" w:rsidR="008E147C" w:rsidRPr="009A191E" w:rsidRDefault="008E147C" w:rsidP="005B7A32">
            <w:pPr>
              <w:pStyle w:val="Bodyromannumerals"/>
              <w:rPr>
                <w:lang w:val="en-US"/>
              </w:rPr>
            </w:pPr>
            <w:r w:rsidRPr="009A191E">
              <w:rPr>
                <w:lang w:val="en-US"/>
              </w:rPr>
              <w:t>This is to include supply pipe leakage and meter under-registration.</w:t>
            </w:r>
          </w:p>
          <w:p w14:paraId="0FDE4CED" w14:textId="0C0DD5B1" w:rsidR="008E147C" w:rsidRPr="009A191E" w:rsidRDefault="008E147C" w:rsidP="005B7A32">
            <w:pPr>
              <w:pStyle w:val="Bodyromannumerals"/>
              <w:rPr>
                <w:lang w:val="en-US"/>
              </w:rPr>
            </w:pPr>
            <w:r w:rsidRPr="009A191E">
              <w:rPr>
                <w:lang w:val="en-US"/>
              </w:rPr>
              <w:t xml:space="preserve">The </w:t>
            </w:r>
            <w:r w:rsidR="002E6A73">
              <w:rPr>
                <w:lang w:val="en-US"/>
              </w:rPr>
              <w:t>Local</w:t>
            </w:r>
            <w:r w:rsidR="00B47509">
              <w:rPr>
                <w:lang w:val="en-US"/>
              </w:rPr>
              <w:t xml:space="preserve"> Authority</w:t>
            </w:r>
            <w:r w:rsidRPr="009A191E">
              <w:rPr>
                <w:lang w:val="en-US"/>
              </w:rPr>
              <w:t xml:space="preserve"> should clearly report any amendments to actual metered consumption records to provide the requested water delivered information.  Amendments may be necessary to take account of billing periods different from the report year.  </w:t>
            </w:r>
            <w:r w:rsidR="009F64C6">
              <w:rPr>
                <w:lang w:val="en-US"/>
              </w:rPr>
              <w:t xml:space="preserve">If appropriate, </w:t>
            </w:r>
            <w:r w:rsidR="009F64C6" w:rsidRPr="009A191E">
              <w:rPr>
                <w:lang w:val="en-US"/>
              </w:rPr>
              <w:t xml:space="preserve">the </w:t>
            </w:r>
            <w:r w:rsidR="009F64C6">
              <w:rPr>
                <w:lang w:val="en-US"/>
              </w:rPr>
              <w:t>Local Authority</w:t>
            </w:r>
            <w:r w:rsidR="009F64C6" w:rsidRPr="009A191E">
              <w:rPr>
                <w:lang w:val="en-US"/>
              </w:rPr>
              <w:t xml:space="preserve"> may need to take account </w:t>
            </w:r>
            <w:r w:rsidR="009F64C6">
              <w:rPr>
                <w:lang w:val="en-US"/>
              </w:rPr>
              <w:t xml:space="preserve">of meter registration </w:t>
            </w:r>
            <w:r w:rsidR="009F64C6" w:rsidRPr="009A191E">
              <w:rPr>
                <w:lang w:val="en-US"/>
              </w:rPr>
              <w:t xml:space="preserve">and adjust records.  </w:t>
            </w:r>
            <w:r w:rsidRPr="009A191E">
              <w:rPr>
                <w:lang w:val="en-US"/>
              </w:rPr>
              <w:t xml:space="preserve">If records are adjusted this should be clearly reported in the commentaries along with evidence to support the need for any changes.  Where meter under-registration is a problem the </w:t>
            </w:r>
            <w:r w:rsidR="002E6A73">
              <w:rPr>
                <w:lang w:val="en-US"/>
              </w:rPr>
              <w:t>Local</w:t>
            </w:r>
            <w:r w:rsidR="00B47509">
              <w:rPr>
                <w:lang w:val="en-US"/>
              </w:rPr>
              <w:t xml:space="preserve"> Authority</w:t>
            </w:r>
            <w:r w:rsidRPr="009A191E">
              <w:rPr>
                <w:lang w:val="en-US"/>
              </w:rPr>
              <w:t xml:space="preserve"> should specify the class of meters involved and the percentage error assumed.  </w:t>
            </w:r>
          </w:p>
        </w:tc>
      </w:tr>
      <w:tr w:rsidR="008E147C" w:rsidRPr="009A191E" w14:paraId="6ABCC269" w14:textId="77777777" w:rsidTr="001D7531">
        <w:tc>
          <w:tcPr>
            <w:tcW w:w="2151" w:type="dxa"/>
            <w:gridSpan w:val="2"/>
            <w:tcBorders>
              <w:top w:val="single" w:sz="4" w:space="0" w:color="FFFFFF"/>
              <w:left w:val="single" w:sz="4" w:space="0" w:color="FFFFFF"/>
              <w:bottom w:val="single" w:sz="4" w:space="0" w:color="FFFFFF"/>
              <w:right w:val="single" w:sz="4" w:space="0" w:color="FFFFFF"/>
            </w:tcBorders>
          </w:tcPr>
          <w:p w14:paraId="6A684C3B" w14:textId="77777777" w:rsidR="008E147C" w:rsidRPr="009A191E" w:rsidRDefault="008E147C" w:rsidP="005B7A32">
            <w:pPr>
              <w:pStyle w:val="Bodyromannumerals"/>
              <w:rPr>
                <w:i/>
                <w:lang w:val="en-US"/>
              </w:rPr>
            </w:pPr>
            <w:r w:rsidRPr="009A191E">
              <w:rPr>
                <w:i/>
                <w:lang w:val="en-US"/>
              </w:rPr>
              <w:t>Processing Rules:</w:t>
            </w:r>
          </w:p>
        </w:tc>
        <w:tc>
          <w:tcPr>
            <w:tcW w:w="5407" w:type="dxa"/>
            <w:gridSpan w:val="2"/>
            <w:tcBorders>
              <w:top w:val="single" w:sz="4" w:space="0" w:color="FFFFFF"/>
              <w:left w:val="single" w:sz="4" w:space="0" w:color="FFFFFF"/>
              <w:bottom w:val="single" w:sz="4" w:space="0" w:color="FFFFFF"/>
              <w:right w:val="single" w:sz="4" w:space="0" w:color="FFFFFF"/>
            </w:tcBorders>
          </w:tcPr>
          <w:p w14:paraId="3E415092" w14:textId="77777777" w:rsidR="008E147C" w:rsidRPr="009A191E" w:rsidRDefault="008E147C" w:rsidP="005B7A32">
            <w:pPr>
              <w:pStyle w:val="Bodyromannumerals"/>
              <w:rPr>
                <w:lang w:val="en-US"/>
              </w:rPr>
            </w:pPr>
            <w:r w:rsidRPr="009A191E">
              <w:rPr>
                <w:lang w:val="en-US"/>
              </w:rPr>
              <w:t>Input field</w:t>
            </w:r>
          </w:p>
        </w:tc>
      </w:tr>
    </w:tbl>
    <w:p w14:paraId="6040330C" w14:textId="77777777" w:rsidR="008E147C" w:rsidRPr="009A191E" w:rsidRDefault="008E147C" w:rsidP="008E147C">
      <w:pPr>
        <w:spacing w:after="160" w:line="259" w:lineRule="auto"/>
        <w:rPr>
          <w:rFonts w:eastAsia="Calibri"/>
          <w:color w:val="000000" w:themeColor="text1"/>
          <w:lang w:val="en-GB"/>
        </w:rPr>
      </w:pPr>
    </w:p>
    <w:p w14:paraId="661A1F08" w14:textId="77777777" w:rsidR="00657283" w:rsidRDefault="00657283">
      <w:pPr>
        <w:spacing w:after="160" w:line="259" w:lineRule="auto"/>
        <w:rPr>
          <w:rFonts w:ascii="Calibri" w:hAnsi="Calibri" w:cs="Calibri"/>
          <w:b/>
          <w:color w:val="182B46"/>
          <w:sz w:val="26"/>
          <w:lang w:val="en-GB"/>
        </w:rPr>
      </w:pPr>
      <w:r>
        <w:rPr>
          <w:lang w:val="en-GB"/>
        </w:rPr>
        <w:br w:type="page"/>
      </w:r>
    </w:p>
    <w:p w14:paraId="19F32EA0" w14:textId="550B7F70" w:rsidR="008E147C" w:rsidRPr="009A191E" w:rsidRDefault="008E147C" w:rsidP="00AD66C0">
      <w:pPr>
        <w:pStyle w:val="Sectionsub-heading"/>
        <w:rPr>
          <w:lang w:val="en-GB"/>
        </w:rPr>
      </w:pPr>
      <w:r w:rsidRPr="009A191E">
        <w:rPr>
          <w:lang w:val="en-GB"/>
        </w:rPr>
        <w:lastRenderedPageBreak/>
        <w:t>BLOCK 4: UNMEASURED NON-</w:t>
      </w:r>
      <w:r w:rsidR="00BB5A05">
        <w:rPr>
          <w:lang w:val="en-GB"/>
        </w:rPr>
        <w:t>HOUSEHOLD</w:t>
      </w:r>
    </w:p>
    <w:tbl>
      <w:tblPr>
        <w:tblStyle w:val="TableGrid3"/>
        <w:tblW w:w="7558" w:type="dxa"/>
        <w:tblLook w:val="04A0" w:firstRow="1" w:lastRow="0" w:firstColumn="1" w:lastColumn="0" w:noHBand="0" w:noVBand="1"/>
      </w:tblPr>
      <w:tblGrid>
        <w:gridCol w:w="1078"/>
        <w:gridCol w:w="357"/>
        <w:gridCol w:w="805"/>
        <w:gridCol w:w="4054"/>
        <w:gridCol w:w="22"/>
        <w:gridCol w:w="1242"/>
      </w:tblGrid>
      <w:tr w:rsidR="008E147C" w:rsidRPr="009A191E" w14:paraId="2CDBB659" w14:textId="77777777" w:rsidTr="00657283">
        <w:tc>
          <w:tcPr>
            <w:tcW w:w="1078" w:type="dxa"/>
          </w:tcPr>
          <w:p w14:paraId="21506CBF" w14:textId="77777777" w:rsidR="008E147C" w:rsidRPr="00AD66C0" w:rsidRDefault="008E147C" w:rsidP="00AD66C0">
            <w:pPr>
              <w:pStyle w:val="Bodyromannumerals"/>
              <w:rPr>
                <w:b/>
                <w:bCs/>
                <w:lang w:val="en-US"/>
              </w:rPr>
            </w:pPr>
            <w:r w:rsidRPr="00AD66C0">
              <w:rPr>
                <w:b/>
                <w:bCs/>
                <w:lang w:val="en-US"/>
              </w:rPr>
              <w:t>A2.15a</w:t>
            </w:r>
          </w:p>
        </w:tc>
        <w:tc>
          <w:tcPr>
            <w:tcW w:w="5216" w:type="dxa"/>
            <w:gridSpan w:val="3"/>
          </w:tcPr>
          <w:p w14:paraId="25688CD7" w14:textId="77777777" w:rsidR="008E147C" w:rsidRPr="00AD66C0" w:rsidRDefault="008E147C" w:rsidP="00AD66C0">
            <w:pPr>
              <w:pStyle w:val="Bodyromannumerals"/>
              <w:rPr>
                <w:b/>
                <w:bCs/>
                <w:lang w:val="en-US"/>
              </w:rPr>
            </w:pPr>
            <w:r w:rsidRPr="00AD66C0">
              <w:rPr>
                <w:b/>
                <w:bCs/>
                <w:lang w:val="en-US"/>
              </w:rPr>
              <w:t>Water delivered (potable)</w:t>
            </w:r>
          </w:p>
        </w:tc>
        <w:tc>
          <w:tcPr>
            <w:tcW w:w="1264" w:type="dxa"/>
            <w:gridSpan w:val="2"/>
          </w:tcPr>
          <w:p w14:paraId="36EFE973" w14:textId="77777777" w:rsidR="008E147C" w:rsidRPr="00AD66C0" w:rsidRDefault="008E147C" w:rsidP="00AD66C0">
            <w:pPr>
              <w:pStyle w:val="Bodyromannumerals"/>
              <w:rPr>
                <w:b/>
                <w:bCs/>
                <w:lang w:val="en-US"/>
              </w:rPr>
            </w:pPr>
            <w:r w:rsidRPr="00AD66C0">
              <w:rPr>
                <w:b/>
                <w:bCs/>
                <w:lang w:val="en-US"/>
              </w:rPr>
              <w:t>000 m3/d</w:t>
            </w:r>
          </w:p>
        </w:tc>
      </w:tr>
      <w:tr w:rsidR="008E147C" w:rsidRPr="009A191E" w14:paraId="20BD47A9" w14:textId="77777777" w:rsidTr="00657283">
        <w:tc>
          <w:tcPr>
            <w:tcW w:w="2240" w:type="dxa"/>
            <w:gridSpan w:val="3"/>
            <w:tcBorders>
              <w:left w:val="single" w:sz="4" w:space="0" w:color="FFFFFF" w:themeColor="background2"/>
              <w:bottom w:val="single" w:sz="4" w:space="0" w:color="FFFFFF" w:themeColor="background2"/>
              <w:right w:val="single" w:sz="4" w:space="0" w:color="FFFFFF" w:themeColor="background2"/>
            </w:tcBorders>
          </w:tcPr>
          <w:p w14:paraId="03EF3872" w14:textId="77777777" w:rsidR="008E147C" w:rsidRPr="009A191E" w:rsidRDefault="008E147C" w:rsidP="00AD66C0">
            <w:pPr>
              <w:pStyle w:val="Bodyromannumerals"/>
              <w:rPr>
                <w:i/>
                <w:lang w:val="en-US"/>
              </w:rPr>
            </w:pPr>
            <w:r w:rsidRPr="009A191E">
              <w:rPr>
                <w:i/>
                <w:lang w:val="en-US"/>
              </w:rPr>
              <w:t>Definition:</w:t>
            </w:r>
          </w:p>
        </w:tc>
        <w:tc>
          <w:tcPr>
            <w:tcW w:w="5318" w:type="dxa"/>
            <w:gridSpan w:val="3"/>
            <w:tcBorders>
              <w:left w:val="single" w:sz="4" w:space="0" w:color="FFFFFF" w:themeColor="background2"/>
              <w:bottom w:val="single" w:sz="4" w:space="0" w:color="FFFFFF" w:themeColor="background2"/>
              <w:right w:val="single" w:sz="4" w:space="0" w:color="FFFFFF" w:themeColor="background2"/>
            </w:tcBorders>
          </w:tcPr>
          <w:p w14:paraId="0B55252A" w14:textId="3524D5C9" w:rsidR="008E147C" w:rsidRPr="009A191E" w:rsidRDefault="008E147C" w:rsidP="00AD66C0">
            <w:pPr>
              <w:pStyle w:val="Bodyromannumerals"/>
              <w:rPr>
                <w:lang w:val="en-US"/>
              </w:rPr>
            </w:pPr>
            <w:r w:rsidRPr="009A191E">
              <w:rPr>
                <w:lang w:val="en-US"/>
              </w:rPr>
              <w:t>Estimated volume of potable water delivered to unmeasured non-</w:t>
            </w:r>
            <w:r w:rsidR="00BB5A05">
              <w:rPr>
                <w:lang w:val="en-US"/>
              </w:rPr>
              <w:t>household</w:t>
            </w:r>
            <w:r w:rsidRPr="009A191E">
              <w:rPr>
                <w:lang w:val="en-US"/>
              </w:rPr>
              <w:t xml:space="preserve"> properties.  </w:t>
            </w:r>
            <w:r w:rsidR="00F659B1">
              <w:rPr>
                <w:lang w:val="en-US"/>
              </w:rPr>
              <w:t>Thi</w:t>
            </w:r>
            <w:r w:rsidR="00D71499">
              <w:rPr>
                <w:lang w:val="en-US"/>
              </w:rPr>
              <w:t xml:space="preserve">s should include </w:t>
            </w:r>
            <w:r w:rsidR="006E61B6">
              <w:rPr>
                <w:lang w:val="en-US"/>
              </w:rPr>
              <w:t xml:space="preserve">potable </w:t>
            </w:r>
            <w:r w:rsidR="00D71499">
              <w:rPr>
                <w:lang w:val="en-US"/>
              </w:rPr>
              <w:t xml:space="preserve">water delivered to properties </w:t>
            </w:r>
            <w:r w:rsidR="00975405">
              <w:rPr>
                <w:lang w:val="en-US"/>
              </w:rPr>
              <w:t xml:space="preserve">that are connected to the distribution </w:t>
            </w:r>
            <w:r w:rsidR="00FA0480">
              <w:rPr>
                <w:lang w:val="en-US"/>
              </w:rPr>
              <w:t>system</w:t>
            </w:r>
            <w:r w:rsidR="00975405">
              <w:rPr>
                <w:lang w:val="en-US"/>
              </w:rPr>
              <w:t xml:space="preserve"> but not charged.</w:t>
            </w:r>
          </w:p>
          <w:p w14:paraId="5C7F7521" w14:textId="612A61A6" w:rsidR="008E147C" w:rsidRPr="009A191E" w:rsidRDefault="008E147C" w:rsidP="00AD66C0">
            <w:pPr>
              <w:pStyle w:val="Bodyromannumerals"/>
              <w:rPr>
                <w:lang w:val="en-US"/>
              </w:rPr>
            </w:pPr>
            <w:r w:rsidRPr="009A191E">
              <w:rPr>
                <w:lang w:val="en-US"/>
              </w:rPr>
              <w:t xml:space="preserve">This is to include supply pipe leakage.  If the </w:t>
            </w:r>
            <w:r w:rsidR="002E6A73">
              <w:rPr>
                <w:lang w:val="en-US"/>
              </w:rPr>
              <w:t>Local</w:t>
            </w:r>
            <w:r w:rsidR="00B47509">
              <w:rPr>
                <w:lang w:val="en-US"/>
              </w:rPr>
              <w:t xml:space="preserve"> Authority</w:t>
            </w:r>
            <w:r w:rsidRPr="009A191E">
              <w:rPr>
                <w:lang w:val="en-US"/>
              </w:rPr>
              <w:t>’s estimate of the per capita consumption of unmeasured non-</w:t>
            </w:r>
            <w:r w:rsidR="00BB5A05">
              <w:rPr>
                <w:lang w:val="en-US"/>
              </w:rPr>
              <w:t>household</w:t>
            </w:r>
            <w:r w:rsidRPr="009A191E">
              <w:rPr>
                <w:lang w:val="en-US"/>
              </w:rPr>
              <w:t xml:space="preserve"> properties excludes supply pipe leakage, an estimate of this leakage must be made and included in this line for comparative purposes.  The method of estimation must be set out and supported in the commentaries.</w:t>
            </w:r>
          </w:p>
        </w:tc>
      </w:tr>
      <w:tr w:rsidR="008E147C" w:rsidRPr="009A191E" w14:paraId="3D0FBDC0" w14:textId="77777777" w:rsidTr="00657283">
        <w:tc>
          <w:tcPr>
            <w:tcW w:w="2240"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872DB9D" w14:textId="77777777" w:rsidR="008E147C" w:rsidRPr="009A191E" w:rsidRDefault="008E147C" w:rsidP="00AD66C0">
            <w:pPr>
              <w:pStyle w:val="Bodyromannumerals"/>
              <w:rPr>
                <w:i/>
                <w:lang w:val="en-US"/>
              </w:rPr>
            </w:pPr>
            <w:r w:rsidRPr="009A191E">
              <w:rPr>
                <w:i/>
                <w:lang w:val="en-US"/>
              </w:rPr>
              <w:t>Processing Rules:</w:t>
            </w:r>
          </w:p>
        </w:tc>
        <w:tc>
          <w:tcPr>
            <w:tcW w:w="5318"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95FD8E0" w14:textId="77777777" w:rsidR="008E147C" w:rsidRPr="009A191E" w:rsidRDefault="008E147C" w:rsidP="00AD66C0">
            <w:pPr>
              <w:pStyle w:val="Bodyromannumerals"/>
              <w:rPr>
                <w:lang w:val="en-US"/>
              </w:rPr>
            </w:pPr>
            <w:r w:rsidRPr="009A191E">
              <w:rPr>
                <w:lang w:val="en-US"/>
              </w:rPr>
              <w:t>Input field</w:t>
            </w:r>
          </w:p>
        </w:tc>
      </w:tr>
      <w:tr w:rsidR="008E147C" w:rsidRPr="009A191E" w14:paraId="3A9110FE" w14:textId="77777777" w:rsidTr="00657283">
        <w:tc>
          <w:tcPr>
            <w:tcW w:w="1435" w:type="dxa"/>
            <w:gridSpan w:val="2"/>
          </w:tcPr>
          <w:p w14:paraId="282F2C6C" w14:textId="77777777" w:rsidR="008E147C" w:rsidRPr="002F5723" w:rsidRDefault="008E147C" w:rsidP="002F5723">
            <w:pPr>
              <w:pStyle w:val="Bodyromannumerals"/>
              <w:rPr>
                <w:b/>
                <w:bCs/>
                <w:lang w:val="en-US"/>
              </w:rPr>
            </w:pPr>
            <w:r w:rsidRPr="002F5723">
              <w:rPr>
                <w:b/>
                <w:bCs/>
                <w:lang w:val="en-US"/>
              </w:rPr>
              <w:t>A2.19</w:t>
            </w:r>
          </w:p>
        </w:tc>
        <w:tc>
          <w:tcPr>
            <w:tcW w:w="4881" w:type="dxa"/>
            <w:gridSpan w:val="3"/>
          </w:tcPr>
          <w:p w14:paraId="34C7FAA9" w14:textId="61F692AE" w:rsidR="008E147C" w:rsidRPr="002F5723" w:rsidRDefault="008E147C" w:rsidP="002F5723">
            <w:pPr>
              <w:pStyle w:val="Bodyromannumerals"/>
              <w:rPr>
                <w:b/>
                <w:bCs/>
                <w:lang w:val="en-US"/>
              </w:rPr>
            </w:pPr>
            <w:r w:rsidRPr="002F5723">
              <w:rPr>
                <w:b/>
                <w:bCs/>
                <w:lang w:val="en-US"/>
              </w:rPr>
              <w:t>Water delivered (non-potable)</w:t>
            </w:r>
            <w:r w:rsidR="005E0954">
              <w:rPr>
                <w:b/>
                <w:bCs/>
                <w:lang w:val="en-US"/>
              </w:rPr>
              <w:t xml:space="preserve"> </w:t>
            </w:r>
          </w:p>
        </w:tc>
        <w:tc>
          <w:tcPr>
            <w:tcW w:w="1242" w:type="dxa"/>
          </w:tcPr>
          <w:p w14:paraId="76E7ED8C" w14:textId="77777777" w:rsidR="008E147C" w:rsidRPr="002F5723" w:rsidRDefault="008E147C" w:rsidP="002F5723">
            <w:pPr>
              <w:pStyle w:val="Bodyromannumerals"/>
              <w:rPr>
                <w:b/>
                <w:bCs/>
                <w:lang w:val="en-US"/>
              </w:rPr>
            </w:pPr>
            <w:r w:rsidRPr="002F5723">
              <w:rPr>
                <w:b/>
                <w:bCs/>
                <w:lang w:val="en-US"/>
              </w:rPr>
              <w:t>000 m3/d</w:t>
            </w:r>
          </w:p>
        </w:tc>
      </w:tr>
      <w:tr w:rsidR="008E147C" w:rsidRPr="009A191E" w14:paraId="50AE4209" w14:textId="77777777" w:rsidTr="00657283">
        <w:tc>
          <w:tcPr>
            <w:tcW w:w="2240" w:type="dxa"/>
            <w:gridSpan w:val="3"/>
            <w:tcBorders>
              <w:left w:val="single" w:sz="4" w:space="0" w:color="FFFFFF" w:themeColor="background2"/>
              <w:bottom w:val="single" w:sz="4" w:space="0" w:color="FFFFFF" w:themeColor="background2"/>
              <w:right w:val="single" w:sz="4" w:space="0" w:color="FFFFFF" w:themeColor="background2"/>
            </w:tcBorders>
          </w:tcPr>
          <w:p w14:paraId="6A45A0EF" w14:textId="77777777" w:rsidR="008E147C" w:rsidRPr="009A191E" w:rsidRDefault="008E147C" w:rsidP="002F5723">
            <w:pPr>
              <w:pStyle w:val="Bodyromannumerals"/>
              <w:rPr>
                <w:i/>
                <w:lang w:val="en-US"/>
              </w:rPr>
            </w:pPr>
            <w:r w:rsidRPr="009A191E">
              <w:rPr>
                <w:i/>
                <w:lang w:val="en-US"/>
              </w:rPr>
              <w:t>Definition:</w:t>
            </w:r>
          </w:p>
        </w:tc>
        <w:tc>
          <w:tcPr>
            <w:tcW w:w="5318" w:type="dxa"/>
            <w:gridSpan w:val="3"/>
            <w:tcBorders>
              <w:left w:val="single" w:sz="4" w:space="0" w:color="FFFFFF" w:themeColor="background2"/>
              <w:bottom w:val="single" w:sz="4" w:space="0" w:color="FFFFFF" w:themeColor="background2"/>
              <w:right w:val="single" w:sz="4" w:space="0" w:color="FFFFFF" w:themeColor="background2"/>
            </w:tcBorders>
          </w:tcPr>
          <w:p w14:paraId="3CF61F4B" w14:textId="3ABCA604" w:rsidR="00BB452D" w:rsidRPr="009A191E" w:rsidRDefault="008E147C" w:rsidP="00BB452D">
            <w:pPr>
              <w:pStyle w:val="Bodyromannumerals"/>
              <w:rPr>
                <w:lang w:val="en-US"/>
              </w:rPr>
            </w:pPr>
            <w:r w:rsidRPr="009A191E">
              <w:rPr>
                <w:lang w:val="en-US"/>
              </w:rPr>
              <w:t>Estimated volume of non-potable water delivered to unmeasured non-</w:t>
            </w:r>
            <w:r w:rsidR="00BB5A05">
              <w:rPr>
                <w:lang w:val="en-US"/>
              </w:rPr>
              <w:t>household</w:t>
            </w:r>
            <w:r w:rsidRPr="009A191E">
              <w:rPr>
                <w:lang w:val="en-US"/>
              </w:rPr>
              <w:t xml:space="preserve"> properties.</w:t>
            </w:r>
            <w:r w:rsidR="00BB452D">
              <w:rPr>
                <w:lang w:val="en-US"/>
              </w:rPr>
              <w:t xml:space="preserve"> This should include non-potable water delivered to properties that are connected to the distribution system but not charged.</w:t>
            </w:r>
          </w:p>
          <w:p w14:paraId="71331B61" w14:textId="082B8B3E" w:rsidR="008E147C" w:rsidRPr="009A191E" w:rsidRDefault="008E147C" w:rsidP="002F5723">
            <w:pPr>
              <w:pStyle w:val="Bodyromannumerals"/>
              <w:rPr>
                <w:lang w:val="en-US"/>
              </w:rPr>
            </w:pPr>
            <w:r w:rsidRPr="009A191E">
              <w:rPr>
                <w:lang w:val="en-US"/>
              </w:rPr>
              <w:t xml:space="preserve">This is to include supply pipe leakage.  If the </w:t>
            </w:r>
            <w:r w:rsidR="002E6A73">
              <w:rPr>
                <w:lang w:val="en-US"/>
              </w:rPr>
              <w:t>Local</w:t>
            </w:r>
            <w:r w:rsidR="00B47509">
              <w:rPr>
                <w:lang w:val="en-US"/>
              </w:rPr>
              <w:t xml:space="preserve"> Authority</w:t>
            </w:r>
            <w:r w:rsidRPr="009A191E">
              <w:rPr>
                <w:lang w:val="en-US"/>
              </w:rPr>
              <w:t>’s estimate of the per capita consumption of unmeasured non-</w:t>
            </w:r>
            <w:r w:rsidR="00BB5A05">
              <w:rPr>
                <w:lang w:val="en-US"/>
              </w:rPr>
              <w:t>household</w:t>
            </w:r>
            <w:r w:rsidRPr="009A191E">
              <w:rPr>
                <w:lang w:val="en-US"/>
              </w:rPr>
              <w:t xml:space="preserve"> properties excludes supply pipe leakage, an estimate of this leakage must be made and included in this line for comparative purposes.  The method of estimation must be set out and supported in the commentaries.</w:t>
            </w:r>
          </w:p>
        </w:tc>
      </w:tr>
      <w:tr w:rsidR="008E147C" w:rsidRPr="009A191E" w14:paraId="75AE912D" w14:textId="77777777" w:rsidTr="00657283">
        <w:tc>
          <w:tcPr>
            <w:tcW w:w="2240"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8283F64" w14:textId="77777777" w:rsidR="008E147C" w:rsidRPr="009A191E" w:rsidRDefault="008E147C" w:rsidP="002F5723">
            <w:pPr>
              <w:pStyle w:val="Bodyromannumerals"/>
              <w:rPr>
                <w:i/>
                <w:lang w:val="en-US"/>
              </w:rPr>
            </w:pPr>
            <w:r w:rsidRPr="009A191E">
              <w:rPr>
                <w:i/>
                <w:lang w:val="en-US"/>
              </w:rPr>
              <w:t>Processing Rules:</w:t>
            </w:r>
          </w:p>
        </w:tc>
        <w:tc>
          <w:tcPr>
            <w:tcW w:w="5318"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B14BD4A" w14:textId="77777777" w:rsidR="008E147C" w:rsidRPr="009A191E" w:rsidRDefault="008E147C" w:rsidP="002F5723">
            <w:pPr>
              <w:pStyle w:val="Bodyromannumerals"/>
              <w:rPr>
                <w:lang w:val="en-US"/>
              </w:rPr>
            </w:pPr>
            <w:r w:rsidRPr="009A191E">
              <w:rPr>
                <w:lang w:val="en-US"/>
              </w:rPr>
              <w:t>Input field</w:t>
            </w:r>
          </w:p>
        </w:tc>
      </w:tr>
      <w:tr w:rsidR="008E147C" w:rsidRPr="009A191E" w14:paraId="037296F5" w14:textId="77777777" w:rsidTr="00657283">
        <w:tc>
          <w:tcPr>
            <w:tcW w:w="1435" w:type="dxa"/>
            <w:gridSpan w:val="2"/>
          </w:tcPr>
          <w:p w14:paraId="76FBC724" w14:textId="77777777" w:rsidR="008E147C" w:rsidRPr="002F5723" w:rsidRDefault="008E147C" w:rsidP="002F5723">
            <w:pPr>
              <w:pStyle w:val="Bodyromannumerals"/>
              <w:rPr>
                <w:b/>
                <w:bCs/>
                <w:lang w:val="en-US"/>
              </w:rPr>
            </w:pPr>
            <w:r w:rsidRPr="002F5723">
              <w:rPr>
                <w:b/>
                <w:bCs/>
                <w:lang w:val="en-US"/>
              </w:rPr>
              <w:t>A2.22</w:t>
            </w:r>
          </w:p>
        </w:tc>
        <w:tc>
          <w:tcPr>
            <w:tcW w:w="4881" w:type="dxa"/>
            <w:gridSpan w:val="3"/>
          </w:tcPr>
          <w:p w14:paraId="34139934" w14:textId="33472E0C" w:rsidR="008E147C" w:rsidRPr="002F5723" w:rsidRDefault="008E147C" w:rsidP="002F5723">
            <w:pPr>
              <w:pStyle w:val="Bodyromannumerals"/>
              <w:rPr>
                <w:b/>
                <w:bCs/>
                <w:lang w:val="en-US"/>
              </w:rPr>
            </w:pPr>
            <w:r w:rsidRPr="002F5723">
              <w:rPr>
                <w:b/>
                <w:bCs/>
                <w:lang w:val="en-US"/>
              </w:rPr>
              <w:t>Underground supply pipe leakage - billed</w:t>
            </w:r>
          </w:p>
        </w:tc>
        <w:tc>
          <w:tcPr>
            <w:tcW w:w="1242" w:type="dxa"/>
          </w:tcPr>
          <w:p w14:paraId="6EE933BC" w14:textId="77777777" w:rsidR="008E147C" w:rsidRPr="002F5723" w:rsidRDefault="008E147C" w:rsidP="002F5723">
            <w:pPr>
              <w:pStyle w:val="Bodyromannumerals"/>
              <w:rPr>
                <w:b/>
                <w:bCs/>
                <w:lang w:val="en-US"/>
              </w:rPr>
            </w:pPr>
            <w:r w:rsidRPr="002F5723">
              <w:rPr>
                <w:b/>
                <w:bCs/>
                <w:lang w:val="en-US"/>
              </w:rPr>
              <w:t>l/pr/d</w:t>
            </w:r>
          </w:p>
        </w:tc>
      </w:tr>
      <w:tr w:rsidR="008E147C" w:rsidRPr="009A191E" w14:paraId="6A2033A0" w14:textId="77777777" w:rsidTr="00657283">
        <w:tc>
          <w:tcPr>
            <w:tcW w:w="2240" w:type="dxa"/>
            <w:gridSpan w:val="3"/>
            <w:tcBorders>
              <w:left w:val="single" w:sz="4" w:space="0" w:color="FFFFFF" w:themeColor="background2"/>
              <w:bottom w:val="single" w:sz="4" w:space="0" w:color="FFFFFF" w:themeColor="background2"/>
              <w:right w:val="single" w:sz="4" w:space="0" w:color="FFFFFF" w:themeColor="background2"/>
            </w:tcBorders>
          </w:tcPr>
          <w:p w14:paraId="5E15D898" w14:textId="77777777" w:rsidR="008E147C" w:rsidRPr="009A191E" w:rsidRDefault="008E147C" w:rsidP="002F5723">
            <w:pPr>
              <w:pStyle w:val="Bodyromannumerals"/>
              <w:rPr>
                <w:i/>
                <w:lang w:val="en-US"/>
              </w:rPr>
            </w:pPr>
            <w:r w:rsidRPr="009A191E">
              <w:rPr>
                <w:i/>
                <w:lang w:val="en-US"/>
              </w:rPr>
              <w:t>Definition:</w:t>
            </w:r>
          </w:p>
        </w:tc>
        <w:tc>
          <w:tcPr>
            <w:tcW w:w="5318" w:type="dxa"/>
            <w:gridSpan w:val="3"/>
            <w:tcBorders>
              <w:left w:val="single" w:sz="4" w:space="0" w:color="FFFFFF" w:themeColor="background2"/>
              <w:bottom w:val="single" w:sz="4" w:space="0" w:color="FFFFFF" w:themeColor="background2"/>
              <w:right w:val="single" w:sz="4" w:space="0" w:color="FFFFFF" w:themeColor="background2"/>
            </w:tcBorders>
          </w:tcPr>
          <w:p w14:paraId="072323C7" w14:textId="098971FD" w:rsidR="008E147C" w:rsidRPr="009A191E" w:rsidRDefault="008E147C" w:rsidP="002F5723">
            <w:pPr>
              <w:pStyle w:val="Bodyromannumerals"/>
              <w:rPr>
                <w:lang w:val="en-US"/>
              </w:rPr>
            </w:pPr>
            <w:r w:rsidRPr="009A191E">
              <w:rPr>
                <w:lang w:val="en-US"/>
              </w:rPr>
              <w:t>Estimated supply pipe leakage from billed unmeasured non-</w:t>
            </w:r>
            <w:r w:rsidR="00BB5A05">
              <w:rPr>
                <w:lang w:val="en-US"/>
              </w:rPr>
              <w:t>household</w:t>
            </w:r>
            <w:r w:rsidRPr="009A191E">
              <w:rPr>
                <w:lang w:val="en-US"/>
              </w:rPr>
              <w:t xml:space="preserve"> properties (as reported in line A1.36).</w:t>
            </w:r>
            <w:r w:rsidR="00483F97">
              <w:rPr>
                <w:lang w:val="en-US"/>
              </w:rPr>
              <w:t xml:space="preserve"> This line relates to potable water.</w:t>
            </w:r>
          </w:p>
        </w:tc>
      </w:tr>
      <w:tr w:rsidR="008E147C" w:rsidRPr="009A191E" w14:paraId="58491AC9" w14:textId="77777777" w:rsidTr="00657283">
        <w:tc>
          <w:tcPr>
            <w:tcW w:w="2240"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0697303" w14:textId="77777777" w:rsidR="008E147C" w:rsidRPr="009A191E" w:rsidRDefault="008E147C" w:rsidP="002F5723">
            <w:pPr>
              <w:pStyle w:val="Bodyromannumerals"/>
              <w:rPr>
                <w:i/>
                <w:lang w:val="en-US"/>
              </w:rPr>
            </w:pPr>
            <w:r w:rsidRPr="009A191E">
              <w:rPr>
                <w:i/>
                <w:lang w:val="en-US"/>
              </w:rPr>
              <w:t>Processing Rules:</w:t>
            </w:r>
          </w:p>
        </w:tc>
        <w:tc>
          <w:tcPr>
            <w:tcW w:w="5318"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C649BF3" w14:textId="77777777" w:rsidR="008E147C" w:rsidRDefault="008E147C" w:rsidP="002F5723">
            <w:pPr>
              <w:pStyle w:val="Bodyromannumerals"/>
              <w:rPr>
                <w:lang w:val="en-US"/>
              </w:rPr>
            </w:pPr>
            <w:r w:rsidRPr="009A191E">
              <w:rPr>
                <w:lang w:val="en-US"/>
              </w:rPr>
              <w:t>Input field</w:t>
            </w:r>
          </w:p>
          <w:p w14:paraId="186E3DE4" w14:textId="0EC5FC16" w:rsidR="00D87621" w:rsidRPr="009A191E" w:rsidRDefault="00D87621" w:rsidP="002F5723">
            <w:pPr>
              <w:pStyle w:val="Bodyromannumerals"/>
              <w:rPr>
                <w:lang w:val="en-US"/>
              </w:rPr>
            </w:pPr>
          </w:p>
        </w:tc>
      </w:tr>
    </w:tbl>
    <w:p w14:paraId="3E2348F2" w14:textId="77777777" w:rsidR="00D87621" w:rsidRDefault="00D87621">
      <w:r>
        <w:br w:type="page"/>
      </w:r>
    </w:p>
    <w:tbl>
      <w:tblPr>
        <w:tblStyle w:val="TableGrid3"/>
        <w:tblW w:w="7558" w:type="dxa"/>
        <w:tblLook w:val="04A0" w:firstRow="1" w:lastRow="0" w:firstColumn="1" w:lastColumn="0" w:noHBand="0" w:noVBand="1"/>
      </w:tblPr>
      <w:tblGrid>
        <w:gridCol w:w="1435"/>
        <w:gridCol w:w="805"/>
        <w:gridCol w:w="4076"/>
        <w:gridCol w:w="1242"/>
      </w:tblGrid>
      <w:tr w:rsidR="008E147C" w:rsidRPr="009A191E" w14:paraId="31FE6351" w14:textId="77777777" w:rsidTr="00657283">
        <w:tc>
          <w:tcPr>
            <w:tcW w:w="1435" w:type="dxa"/>
          </w:tcPr>
          <w:p w14:paraId="07956B63" w14:textId="384EB284" w:rsidR="008E147C" w:rsidRPr="002F5723" w:rsidRDefault="008E147C" w:rsidP="002F5723">
            <w:pPr>
              <w:pStyle w:val="Bodyromannumerals"/>
              <w:rPr>
                <w:b/>
                <w:bCs/>
                <w:lang w:val="en-US"/>
              </w:rPr>
            </w:pPr>
            <w:r w:rsidRPr="002F5723">
              <w:rPr>
                <w:b/>
                <w:bCs/>
                <w:lang w:val="en-US"/>
              </w:rPr>
              <w:lastRenderedPageBreak/>
              <w:t>A2.23</w:t>
            </w:r>
          </w:p>
        </w:tc>
        <w:tc>
          <w:tcPr>
            <w:tcW w:w="4881" w:type="dxa"/>
            <w:gridSpan w:val="2"/>
          </w:tcPr>
          <w:p w14:paraId="0A456AB1" w14:textId="7438DA08" w:rsidR="008E147C" w:rsidRPr="002F5723" w:rsidRDefault="008E147C" w:rsidP="002F5723">
            <w:pPr>
              <w:pStyle w:val="Bodyromannumerals"/>
              <w:rPr>
                <w:b/>
                <w:bCs/>
                <w:lang w:val="en-US"/>
              </w:rPr>
            </w:pPr>
            <w:r w:rsidRPr="002F5723">
              <w:rPr>
                <w:b/>
                <w:bCs/>
                <w:lang w:val="en-US"/>
              </w:rPr>
              <w:t xml:space="preserve">Underground supply pipe leakage </w:t>
            </w:r>
            <w:r w:rsidR="00CA4B1F">
              <w:rPr>
                <w:b/>
                <w:bCs/>
                <w:lang w:val="en-US"/>
              </w:rPr>
              <w:t>–</w:t>
            </w:r>
            <w:r w:rsidRPr="002F5723">
              <w:rPr>
                <w:b/>
                <w:bCs/>
                <w:lang w:val="en-US"/>
              </w:rPr>
              <w:t xml:space="preserve"> </w:t>
            </w:r>
            <w:r w:rsidR="00B12766">
              <w:rPr>
                <w:b/>
                <w:bCs/>
                <w:lang w:val="en-US"/>
              </w:rPr>
              <w:t>connected but not charge</w:t>
            </w:r>
            <w:r w:rsidR="00F547C6">
              <w:rPr>
                <w:b/>
                <w:bCs/>
                <w:lang w:val="en-US"/>
              </w:rPr>
              <w:t>d</w:t>
            </w:r>
          </w:p>
        </w:tc>
        <w:tc>
          <w:tcPr>
            <w:tcW w:w="1242" w:type="dxa"/>
          </w:tcPr>
          <w:p w14:paraId="241AC4D8" w14:textId="77777777" w:rsidR="008E147C" w:rsidRPr="002F5723" w:rsidRDefault="008E147C" w:rsidP="002F5723">
            <w:pPr>
              <w:pStyle w:val="Bodyromannumerals"/>
              <w:rPr>
                <w:b/>
                <w:bCs/>
                <w:lang w:val="en-US"/>
              </w:rPr>
            </w:pPr>
            <w:r w:rsidRPr="002F5723">
              <w:rPr>
                <w:b/>
                <w:bCs/>
                <w:lang w:val="en-US"/>
              </w:rPr>
              <w:t>l/pr/d</w:t>
            </w:r>
          </w:p>
        </w:tc>
      </w:tr>
      <w:tr w:rsidR="008E147C" w:rsidRPr="009A191E" w14:paraId="021A78D1" w14:textId="77777777" w:rsidTr="00657283">
        <w:tc>
          <w:tcPr>
            <w:tcW w:w="2240" w:type="dxa"/>
            <w:gridSpan w:val="2"/>
            <w:tcBorders>
              <w:left w:val="single" w:sz="4" w:space="0" w:color="FFFFFF" w:themeColor="background2"/>
              <w:bottom w:val="single" w:sz="4" w:space="0" w:color="FFFFFF" w:themeColor="background2"/>
              <w:right w:val="single" w:sz="4" w:space="0" w:color="FFFFFF" w:themeColor="background2"/>
            </w:tcBorders>
          </w:tcPr>
          <w:p w14:paraId="0734F3E5" w14:textId="77777777" w:rsidR="008E147C" w:rsidRPr="009A191E" w:rsidRDefault="008E147C" w:rsidP="002F5723">
            <w:pPr>
              <w:pStyle w:val="Bodyromannumerals"/>
              <w:rPr>
                <w:i/>
                <w:lang w:val="en-US"/>
              </w:rPr>
            </w:pPr>
            <w:r w:rsidRPr="009A191E">
              <w:rPr>
                <w:i/>
                <w:lang w:val="en-US"/>
              </w:rPr>
              <w:t>Definition:</w:t>
            </w:r>
          </w:p>
        </w:tc>
        <w:tc>
          <w:tcPr>
            <w:tcW w:w="5318" w:type="dxa"/>
            <w:gridSpan w:val="2"/>
            <w:tcBorders>
              <w:left w:val="single" w:sz="4" w:space="0" w:color="FFFFFF" w:themeColor="background2"/>
              <w:bottom w:val="single" w:sz="4" w:space="0" w:color="FFFFFF" w:themeColor="background2"/>
              <w:right w:val="single" w:sz="4" w:space="0" w:color="FFFFFF" w:themeColor="background2"/>
            </w:tcBorders>
          </w:tcPr>
          <w:p w14:paraId="157D4706" w14:textId="78E6ADAE" w:rsidR="008E147C" w:rsidRPr="009A191E" w:rsidRDefault="008E147C" w:rsidP="002F5723">
            <w:pPr>
              <w:pStyle w:val="Bodyromannumerals"/>
              <w:rPr>
                <w:lang w:val="en-US"/>
              </w:rPr>
            </w:pPr>
            <w:r w:rsidRPr="009A191E">
              <w:rPr>
                <w:lang w:val="en-US"/>
              </w:rPr>
              <w:t>Estimated supply pipe leakage from unmeasured non-</w:t>
            </w:r>
            <w:r w:rsidR="00BB5A05">
              <w:rPr>
                <w:lang w:val="en-US"/>
              </w:rPr>
              <w:t>household</w:t>
            </w:r>
            <w:r w:rsidRPr="009A191E">
              <w:rPr>
                <w:lang w:val="en-US"/>
              </w:rPr>
              <w:t xml:space="preserve"> properties</w:t>
            </w:r>
            <w:r w:rsidR="00F547C6">
              <w:rPr>
                <w:lang w:val="en-US"/>
              </w:rPr>
              <w:t xml:space="preserve"> that are connected to the distribution </w:t>
            </w:r>
            <w:r w:rsidR="00FA0480">
              <w:rPr>
                <w:lang w:val="en-US"/>
              </w:rPr>
              <w:t>system</w:t>
            </w:r>
            <w:r w:rsidR="00F547C6">
              <w:rPr>
                <w:lang w:val="en-US"/>
              </w:rPr>
              <w:t xml:space="preserve"> but not charged</w:t>
            </w:r>
            <w:r w:rsidRPr="009A191E">
              <w:rPr>
                <w:lang w:val="en-US"/>
              </w:rPr>
              <w:t xml:space="preserve"> (as reported in line A1.37).</w:t>
            </w:r>
            <w:r w:rsidR="00483F97">
              <w:rPr>
                <w:lang w:val="en-US"/>
              </w:rPr>
              <w:t xml:space="preserve"> This line relates to potable water.</w:t>
            </w:r>
          </w:p>
        </w:tc>
      </w:tr>
      <w:tr w:rsidR="008E147C" w:rsidRPr="009A191E" w14:paraId="4CFCD06E" w14:textId="77777777" w:rsidTr="00657283">
        <w:tc>
          <w:tcPr>
            <w:tcW w:w="224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C998FEA" w14:textId="77777777" w:rsidR="008E147C" w:rsidRPr="009A191E" w:rsidRDefault="008E147C" w:rsidP="002F5723">
            <w:pPr>
              <w:pStyle w:val="Bodyromannumerals"/>
              <w:rPr>
                <w:i/>
                <w:lang w:val="en-US"/>
              </w:rPr>
            </w:pPr>
            <w:r w:rsidRPr="009A191E">
              <w:rPr>
                <w:i/>
                <w:lang w:val="en-US"/>
              </w:rPr>
              <w:t>Processing Rules:</w:t>
            </w:r>
          </w:p>
        </w:tc>
        <w:tc>
          <w:tcPr>
            <w:tcW w:w="531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A32E15F" w14:textId="77777777" w:rsidR="008E147C" w:rsidRPr="009A191E" w:rsidRDefault="008E147C" w:rsidP="002F5723">
            <w:pPr>
              <w:pStyle w:val="Bodyromannumerals"/>
              <w:rPr>
                <w:lang w:val="en-US"/>
              </w:rPr>
            </w:pPr>
            <w:r w:rsidRPr="009A191E">
              <w:rPr>
                <w:lang w:val="en-US"/>
              </w:rPr>
              <w:t>Input field</w:t>
            </w:r>
          </w:p>
        </w:tc>
      </w:tr>
      <w:tr w:rsidR="008E147C" w:rsidRPr="009A191E" w14:paraId="398541C9" w14:textId="77777777" w:rsidTr="00657283">
        <w:tc>
          <w:tcPr>
            <w:tcW w:w="1435" w:type="dxa"/>
          </w:tcPr>
          <w:p w14:paraId="19D4DA6A" w14:textId="7A2F7E4A" w:rsidR="008E147C" w:rsidRPr="002F5723" w:rsidRDefault="008E147C" w:rsidP="002F5723">
            <w:pPr>
              <w:pStyle w:val="Bodyromannumerals"/>
              <w:rPr>
                <w:b/>
                <w:bCs/>
                <w:lang w:val="en-US"/>
              </w:rPr>
            </w:pPr>
            <w:r w:rsidRPr="002F5723">
              <w:rPr>
                <w:b/>
                <w:bCs/>
                <w:lang w:val="en-US"/>
              </w:rPr>
              <w:t>A2.24</w:t>
            </w:r>
          </w:p>
        </w:tc>
        <w:tc>
          <w:tcPr>
            <w:tcW w:w="4881" w:type="dxa"/>
            <w:gridSpan w:val="2"/>
          </w:tcPr>
          <w:p w14:paraId="15CBCECE" w14:textId="44A1E3F2" w:rsidR="008E147C" w:rsidRPr="002F5723" w:rsidRDefault="008E147C" w:rsidP="002F5723">
            <w:pPr>
              <w:pStyle w:val="Bodyromannumerals"/>
              <w:rPr>
                <w:b/>
                <w:bCs/>
                <w:lang w:val="en-US"/>
              </w:rPr>
            </w:pPr>
            <w:r w:rsidRPr="002F5723">
              <w:rPr>
                <w:b/>
                <w:bCs/>
                <w:lang w:val="en-US"/>
              </w:rPr>
              <w:t>Estimated water delivered per unmeasured non-</w:t>
            </w:r>
            <w:r w:rsidR="00BB5A05">
              <w:rPr>
                <w:b/>
                <w:bCs/>
                <w:lang w:val="en-US"/>
              </w:rPr>
              <w:t>household</w:t>
            </w:r>
            <w:r w:rsidRPr="002F5723">
              <w:rPr>
                <w:b/>
                <w:bCs/>
                <w:lang w:val="en-US"/>
              </w:rPr>
              <w:t xml:space="preserve"> property</w:t>
            </w:r>
          </w:p>
        </w:tc>
        <w:tc>
          <w:tcPr>
            <w:tcW w:w="1242" w:type="dxa"/>
          </w:tcPr>
          <w:p w14:paraId="46C97473" w14:textId="77777777" w:rsidR="008E147C" w:rsidRPr="002F5723" w:rsidRDefault="008E147C" w:rsidP="002F5723">
            <w:pPr>
              <w:pStyle w:val="Bodyromannumerals"/>
              <w:rPr>
                <w:b/>
                <w:bCs/>
                <w:lang w:val="en-US"/>
              </w:rPr>
            </w:pPr>
            <w:r w:rsidRPr="002F5723">
              <w:rPr>
                <w:b/>
                <w:bCs/>
                <w:lang w:val="en-US"/>
              </w:rPr>
              <w:t>l/pr/d</w:t>
            </w:r>
          </w:p>
        </w:tc>
      </w:tr>
      <w:tr w:rsidR="008E147C" w:rsidRPr="009A191E" w14:paraId="5782F1C9" w14:textId="77777777" w:rsidTr="00657283">
        <w:tc>
          <w:tcPr>
            <w:tcW w:w="2240" w:type="dxa"/>
            <w:gridSpan w:val="2"/>
            <w:tcBorders>
              <w:left w:val="single" w:sz="4" w:space="0" w:color="FFFFFF" w:themeColor="background2"/>
              <w:bottom w:val="single" w:sz="4" w:space="0" w:color="FFFFFF" w:themeColor="background2"/>
              <w:right w:val="single" w:sz="4" w:space="0" w:color="FFFFFF" w:themeColor="background2"/>
            </w:tcBorders>
          </w:tcPr>
          <w:p w14:paraId="483985F9" w14:textId="77777777" w:rsidR="008E147C" w:rsidRPr="009A191E" w:rsidRDefault="008E147C" w:rsidP="002F5723">
            <w:pPr>
              <w:pStyle w:val="Bodyromannumerals"/>
              <w:rPr>
                <w:i/>
                <w:lang w:val="en-US"/>
              </w:rPr>
            </w:pPr>
            <w:r w:rsidRPr="009A191E">
              <w:rPr>
                <w:i/>
                <w:lang w:val="en-US"/>
              </w:rPr>
              <w:t>Definition:</w:t>
            </w:r>
          </w:p>
        </w:tc>
        <w:tc>
          <w:tcPr>
            <w:tcW w:w="5318" w:type="dxa"/>
            <w:gridSpan w:val="2"/>
            <w:tcBorders>
              <w:left w:val="single" w:sz="4" w:space="0" w:color="FFFFFF" w:themeColor="background2"/>
              <w:bottom w:val="single" w:sz="4" w:space="0" w:color="FFFFFF" w:themeColor="background2"/>
              <w:right w:val="single" w:sz="4" w:space="0" w:color="FFFFFF" w:themeColor="background2"/>
            </w:tcBorders>
          </w:tcPr>
          <w:p w14:paraId="61D58602" w14:textId="11B29EF2" w:rsidR="008E147C" w:rsidRPr="009A191E" w:rsidRDefault="008E147C" w:rsidP="002F5723">
            <w:pPr>
              <w:pStyle w:val="Bodyromannumerals"/>
              <w:rPr>
                <w:lang w:val="en-US"/>
              </w:rPr>
            </w:pPr>
            <w:r w:rsidRPr="009A191E">
              <w:rPr>
                <w:lang w:val="en-US"/>
              </w:rPr>
              <w:t>Estimated water delivered per unmeasured non-</w:t>
            </w:r>
            <w:r w:rsidR="00BB5A05">
              <w:rPr>
                <w:lang w:val="en-US"/>
              </w:rPr>
              <w:t>household</w:t>
            </w:r>
            <w:r w:rsidRPr="009A191E">
              <w:rPr>
                <w:lang w:val="en-US"/>
              </w:rPr>
              <w:t xml:space="preserve"> property. This figure applies to premises that are billed (Table A1, line A1.36) and includes underground supply pipe leakage.</w:t>
            </w:r>
            <w:r w:rsidR="00483F97">
              <w:rPr>
                <w:lang w:val="en-US"/>
              </w:rPr>
              <w:t xml:space="preserve"> This line relates to potable water.</w:t>
            </w:r>
          </w:p>
        </w:tc>
      </w:tr>
      <w:tr w:rsidR="008E147C" w:rsidRPr="009A191E" w14:paraId="4791D983" w14:textId="77777777" w:rsidTr="00657283">
        <w:tc>
          <w:tcPr>
            <w:tcW w:w="224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5829DE9" w14:textId="77777777" w:rsidR="008E147C" w:rsidRPr="009A191E" w:rsidRDefault="008E147C" w:rsidP="002F5723">
            <w:pPr>
              <w:pStyle w:val="Bodyromannumerals"/>
              <w:rPr>
                <w:i/>
                <w:lang w:val="en-US"/>
              </w:rPr>
            </w:pPr>
            <w:r w:rsidRPr="009A191E">
              <w:rPr>
                <w:i/>
                <w:lang w:val="en-US"/>
              </w:rPr>
              <w:t>Processing Rules:</w:t>
            </w:r>
          </w:p>
        </w:tc>
        <w:tc>
          <w:tcPr>
            <w:tcW w:w="531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EF0D115" w14:textId="2BE8FD3F" w:rsidR="008E147C" w:rsidRPr="009A191E" w:rsidRDefault="008E147C" w:rsidP="002F5723">
            <w:pPr>
              <w:pStyle w:val="Bodyromannumerals"/>
              <w:rPr>
                <w:lang w:val="en-US"/>
              </w:rPr>
            </w:pPr>
            <w:r w:rsidRPr="009A191E">
              <w:rPr>
                <w:lang w:val="en-US"/>
              </w:rPr>
              <w:t xml:space="preserve">Calculated field: 1,000,000 * </w:t>
            </w:r>
            <m:oMath>
              <m:f>
                <m:fPr>
                  <m:ctrlPr>
                    <w:rPr>
                      <w:rFonts w:ascii="Cambria Math" w:hAnsi="Cambria Math"/>
                      <w:i/>
                      <w:lang w:val="en-US"/>
                    </w:rPr>
                  </m:ctrlPr>
                </m:fPr>
                <m:num>
                  <m:r>
                    <w:rPr>
                      <w:rFonts w:ascii="Cambria Math" w:hAnsi="Cambria Math"/>
                      <w:lang w:val="en-US"/>
                    </w:rPr>
                    <m:t>A2.15a</m:t>
                  </m:r>
                </m:num>
                <m:den>
                  <m:r>
                    <w:rPr>
                      <w:rFonts w:ascii="Cambria Math" w:hAnsi="Cambria Math"/>
                      <w:lang w:val="en-US"/>
                    </w:rPr>
                    <m:t>A1.36</m:t>
                  </m:r>
                </m:den>
              </m:f>
            </m:oMath>
          </w:p>
        </w:tc>
      </w:tr>
    </w:tbl>
    <w:p w14:paraId="415249FC" w14:textId="77777777" w:rsidR="008E147C" w:rsidRPr="009A191E" w:rsidRDefault="008E147C" w:rsidP="008E147C">
      <w:pPr>
        <w:spacing w:after="160" w:line="259" w:lineRule="auto"/>
        <w:rPr>
          <w:rFonts w:eastAsia="Calibri"/>
          <w:color w:val="000000" w:themeColor="text1"/>
          <w:lang w:val="en-GB"/>
        </w:rPr>
      </w:pPr>
    </w:p>
    <w:p w14:paraId="0CED28C2" w14:textId="63746281" w:rsidR="008E147C" w:rsidRPr="009A191E" w:rsidRDefault="008E147C" w:rsidP="006E7473">
      <w:pPr>
        <w:pStyle w:val="Sectionsub-heading"/>
        <w:rPr>
          <w:lang w:val="en-GB"/>
        </w:rPr>
      </w:pPr>
      <w:r w:rsidRPr="009A191E">
        <w:rPr>
          <w:lang w:val="en-GB"/>
        </w:rPr>
        <w:t>BLOCK 5: WATER BALANCE</w:t>
      </w:r>
    </w:p>
    <w:tbl>
      <w:tblPr>
        <w:tblStyle w:val="TableGrid3"/>
        <w:tblW w:w="7558" w:type="dxa"/>
        <w:tblLook w:val="04A0" w:firstRow="1" w:lastRow="0" w:firstColumn="1" w:lastColumn="0" w:noHBand="0" w:noVBand="1"/>
      </w:tblPr>
      <w:tblGrid>
        <w:gridCol w:w="1050"/>
        <w:gridCol w:w="940"/>
        <w:gridCol w:w="4311"/>
        <w:gridCol w:w="1257"/>
      </w:tblGrid>
      <w:tr w:rsidR="008E147C" w:rsidRPr="009A191E" w14:paraId="100AC45B" w14:textId="77777777" w:rsidTr="2C985F9B">
        <w:tc>
          <w:tcPr>
            <w:tcW w:w="1050" w:type="dxa"/>
          </w:tcPr>
          <w:p w14:paraId="014156A6" w14:textId="77777777" w:rsidR="008E147C" w:rsidRPr="006E7473" w:rsidRDefault="008E147C" w:rsidP="006E7473">
            <w:pPr>
              <w:pStyle w:val="Bodyromannumerals"/>
              <w:rPr>
                <w:b/>
                <w:bCs/>
                <w:lang w:val="en-US"/>
              </w:rPr>
            </w:pPr>
            <w:r w:rsidRPr="006E7473">
              <w:rPr>
                <w:b/>
                <w:bCs/>
                <w:lang w:val="en-US"/>
              </w:rPr>
              <w:t>A2.25</w:t>
            </w:r>
          </w:p>
        </w:tc>
        <w:tc>
          <w:tcPr>
            <w:tcW w:w="5251" w:type="dxa"/>
            <w:gridSpan w:val="2"/>
          </w:tcPr>
          <w:p w14:paraId="42A5CC50" w14:textId="69451689" w:rsidR="008E147C" w:rsidRPr="006E7473" w:rsidRDefault="008E147C" w:rsidP="006E7473">
            <w:pPr>
              <w:pStyle w:val="Bodyromannumerals"/>
              <w:rPr>
                <w:b/>
                <w:bCs/>
                <w:lang w:val="en-US"/>
              </w:rPr>
            </w:pPr>
            <w:r w:rsidRPr="006E7473">
              <w:rPr>
                <w:b/>
                <w:bCs/>
                <w:lang w:val="en-US"/>
              </w:rPr>
              <w:t xml:space="preserve">Total </w:t>
            </w:r>
            <w:r w:rsidR="00A96EA6">
              <w:rPr>
                <w:b/>
                <w:bCs/>
                <w:lang w:val="en-US"/>
              </w:rPr>
              <w:t xml:space="preserve">potable </w:t>
            </w:r>
            <w:r w:rsidRPr="006E7473">
              <w:rPr>
                <w:b/>
                <w:bCs/>
                <w:lang w:val="en-US"/>
              </w:rPr>
              <w:t xml:space="preserve">water delivered to </w:t>
            </w:r>
            <w:r w:rsidR="00BB5A05">
              <w:rPr>
                <w:b/>
                <w:bCs/>
                <w:lang w:val="en-US"/>
              </w:rPr>
              <w:t>household</w:t>
            </w:r>
            <w:r w:rsidRPr="006E7473">
              <w:rPr>
                <w:b/>
                <w:bCs/>
                <w:lang w:val="en-US"/>
              </w:rPr>
              <w:t xml:space="preserve"> &amp; non-</w:t>
            </w:r>
            <w:r w:rsidR="00BB5A05">
              <w:rPr>
                <w:b/>
                <w:bCs/>
                <w:lang w:val="en-US"/>
              </w:rPr>
              <w:t>household</w:t>
            </w:r>
            <w:r w:rsidRPr="006E7473">
              <w:rPr>
                <w:b/>
                <w:bCs/>
                <w:lang w:val="en-US"/>
              </w:rPr>
              <w:t xml:space="preserve"> properties</w:t>
            </w:r>
          </w:p>
        </w:tc>
        <w:tc>
          <w:tcPr>
            <w:tcW w:w="1257" w:type="dxa"/>
          </w:tcPr>
          <w:p w14:paraId="6D9BE0C5" w14:textId="77777777" w:rsidR="008E147C" w:rsidRPr="006E7473" w:rsidRDefault="008E147C" w:rsidP="006E7473">
            <w:pPr>
              <w:pStyle w:val="Bodyromannumerals"/>
              <w:rPr>
                <w:b/>
                <w:bCs/>
                <w:lang w:val="en-US"/>
              </w:rPr>
            </w:pPr>
            <w:r w:rsidRPr="006E7473">
              <w:rPr>
                <w:b/>
                <w:bCs/>
                <w:lang w:val="en-US"/>
              </w:rPr>
              <w:t>000 m3/d</w:t>
            </w:r>
          </w:p>
        </w:tc>
      </w:tr>
      <w:tr w:rsidR="008E147C" w:rsidRPr="009A191E" w14:paraId="25E1412A" w14:textId="77777777" w:rsidTr="2C985F9B">
        <w:tc>
          <w:tcPr>
            <w:tcW w:w="1990" w:type="dxa"/>
            <w:gridSpan w:val="2"/>
            <w:tcBorders>
              <w:left w:val="single" w:sz="4" w:space="0" w:color="FFFFFF" w:themeColor="background2"/>
              <w:bottom w:val="single" w:sz="4" w:space="0" w:color="FFFFFF" w:themeColor="background2"/>
              <w:right w:val="single" w:sz="4" w:space="0" w:color="FFFFFF" w:themeColor="background2"/>
            </w:tcBorders>
          </w:tcPr>
          <w:p w14:paraId="081B81FF" w14:textId="77777777" w:rsidR="008E147C" w:rsidRPr="009A191E" w:rsidRDefault="008E147C" w:rsidP="006E7473">
            <w:pPr>
              <w:pStyle w:val="Bodyromannumerals"/>
              <w:rPr>
                <w:i/>
                <w:lang w:val="en-US"/>
              </w:rPr>
            </w:pPr>
            <w:r w:rsidRPr="009A191E">
              <w:rPr>
                <w:i/>
                <w:lang w:val="en-US"/>
              </w:rPr>
              <w:t>Definition:</w:t>
            </w:r>
          </w:p>
        </w:tc>
        <w:tc>
          <w:tcPr>
            <w:tcW w:w="5568" w:type="dxa"/>
            <w:gridSpan w:val="2"/>
            <w:tcBorders>
              <w:left w:val="single" w:sz="4" w:space="0" w:color="FFFFFF" w:themeColor="background2"/>
              <w:bottom w:val="single" w:sz="4" w:space="0" w:color="FFFFFF" w:themeColor="background2"/>
              <w:right w:val="single" w:sz="4" w:space="0" w:color="FFFFFF" w:themeColor="background2"/>
            </w:tcBorders>
          </w:tcPr>
          <w:p w14:paraId="76974FE7" w14:textId="776EF2F4" w:rsidR="008E147C" w:rsidRPr="009A191E" w:rsidRDefault="008E147C" w:rsidP="006E7473">
            <w:pPr>
              <w:pStyle w:val="Bodyromannumerals"/>
              <w:rPr>
                <w:lang w:val="en-US"/>
              </w:rPr>
            </w:pPr>
            <w:r w:rsidRPr="009A191E">
              <w:rPr>
                <w:lang w:val="en-US"/>
              </w:rPr>
              <w:t>All potable water supplied</w:t>
            </w:r>
            <w:r w:rsidR="00FE1A90">
              <w:rPr>
                <w:lang w:val="en-US"/>
              </w:rPr>
              <w:t xml:space="preserve"> to </w:t>
            </w:r>
            <w:r w:rsidR="00BB5A05">
              <w:rPr>
                <w:lang w:val="en-US"/>
              </w:rPr>
              <w:t>household</w:t>
            </w:r>
            <w:r w:rsidR="00FE1A90">
              <w:rPr>
                <w:lang w:val="en-US"/>
              </w:rPr>
              <w:t xml:space="preserve"> and non-</w:t>
            </w:r>
            <w:r w:rsidR="00BB5A05">
              <w:rPr>
                <w:lang w:val="en-US"/>
              </w:rPr>
              <w:t>household</w:t>
            </w:r>
            <w:r w:rsidR="00FE1A90">
              <w:rPr>
                <w:lang w:val="en-US"/>
              </w:rPr>
              <w:t xml:space="preserve"> properties</w:t>
            </w:r>
            <w:r w:rsidRPr="009A191E">
              <w:rPr>
                <w:lang w:val="en-US"/>
              </w:rPr>
              <w:t>.</w:t>
            </w:r>
            <w:r w:rsidR="004E0DE8">
              <w:rPr>
                <w:lang w:val="en-US"/>
              </w:rPr>
              <w:t xml:space="preserve"> </w:t>
            </w:r>
            <w:r w:rsidR="004E0DE8" w:rsidRPr="009A191E">
              <w:rPr>
                <w:lang w:val="en-US"/>
              </w:rPr>
              <w:t xml:space="preserve">This is to </w:t>
            </w:r>
            <w:r w:rsidR="004E0DE8" w:rsidRPr="00F07E9B">
              <w:rPr>
                <w:b/>
                <w:bCs/>
                <w:lang w:val="en-US"/>
              </w:rPr>
              <w:t>include</w:t>
            </w:r>
            <w:r w:rsidR="004E0DE8" w:rsidRPr="009A191E">
              <w:rPr>
                <w:lang w:val="en-US"/>
              </w:rPr>
              <w:t xml:space="preserve"> supply pipe leakage.  If the </w:t>
            </w:r>
            <w:r w:rsidR="002E6A73">
              <w:rPr>
                <w:lang w:val="en-US"/>
              </w:rPr>
              <w:t>Local</w:t>
            </w:r>
            <w:r w:rsidR="004E0DE8">
              <w:rPr>
                <w:lang w:val="en-US"/>
              </w:rPr>
              <w:t xml:space="preserve"> Authority’s</w:t>
            </w:r>
            <w:r w:rsidR="004E0DE8" w:rsidRPr="009A191E">
              <w:rPr>
                <w:lang w:val="en-US"/>
              </w:rPr>
              <w:t xml:space="preserve"> estimate of the per capita consumption of unmeasured </w:t>
            </w:r>
            <w:r w:rsidR="00BB5A05">
              <w:rPr>
                <w:lang w:val="en-US"/>
              </w:rPr>
              <w:t>household</w:t>
            </w:r>
            <w:r w:rsidR="004E0DE8" w:rsidRPr="009A191E">
              <w:rPr>
                <w:lang w:val="en-US"/>
              </w:rPr>
              <w:t xml:space="preserve"> properties excludes supply pipe leakage, an estimate of this leakage must be made and included in this line for comparative purposes.  </w:t>
            </w:r>
            <w:r w:rsidRPr="009A191E">
              <w:rPr>
                <w:lang w:val="en-US"/>
              </w:rPr>
              <w:t xml:space="preserve">The </w:t>
            </w:r>
            <w:r w:rsidR="002E6A73">
              <w:rPr>
                <w:lang w:val="en-US"/>
              </w:rPr>
              <w:t>Local</w:t>
            </w:r>
            <w:r w:rsidR="00B47509">
              <w:rPr>
                <w:lang w:val="en-US"/>
              </w:rPr>
              <w:t xml:space="preserve"> Authority</w:t>
            </w:r>
            <w:r w:rsidRPr="009A191E">
              <w:rPr>
                <w:lang w:val="en-US"/>
              </w:rPr>
              <w:t xml:space="preserve"> should explain in the </w:t>
            </w:r>
            <w:r w:rsidR="00E522A8" w:rsidRPr="009A191E">
              <w:rPr>
                <w:lang w:val="en-US"/>
              </w:rPr>
              <w:t>ac</w:t>
            </w:r>
            <w:r w:rsidR="00E522A8">
              <w:rPr>
                <w:lang w:val="en-US"/>
              </w:rPr>
              <w:t>companying</w:t>
            </w:r>
            <w:r w:rsidRPr="009A191E">
              <w:rPr>
                <w:lang w:val="en-US"/>
              </w:rPr>
              <w:t xml:space="preserve"> commentary the calculation used to derive this figure.</w:t>
            </w:r>
          </w:p>
        </w:tc>
      </w:tr>
      <w:tr w:rsidR="008E147C" w:rsidRPr="009A191E" w14:paraId="098F21CD" w14:textId="77777777" w:rsidTr="2C985F9B">
        <w:tc>
          <w:tcPr>
            <w:tcW w:w="199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D8D9FA1" w14:textId="77777777" w:rsidR="008E147C" w:rsidRPr="009A191E" w:rsidRDefault="008E147C" w:rsidP="006E7473">
            <w:pPr>
              <w:pStyle w:val="Bodyromannumerals"/>
              <w:rPr>
                <w:i/>
                <w:lang w:val="en-US"/>
              </w:rPr>
            </w:pPr>
            <w:r w:rsidRPr="009A191E">
              <w:rPr>
                <w:i/>
                <w:lang w:val="en-US"/>
              </w:rPr>
              <w:t>Processing Rules:</w:t>
            </w:r>
          </w:p>
        </w:tc>
        <w:tc>
          <w:tcPr>
            <w:tcW w:w="556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D31C63E" w14:textId="77777777" w:rsidR="008E147C" w:rsidRPr="009A191E" w:rsidRDefault="008E147C" w:rsidP="006E7473">
            <w:pPr>
              <w:pStyle w:val="Bodyromannumerals"/>
              <w:rPr>
                <w:lang w:val="en-US"/>
              </w:rPr>
            </w:pPr>
            <w:r w:rsidRPr="009A191E">
              <w:rPr>
                <w:lang w:val="en-US"/>
              </w:rPr>
              <w:t>Input field</w:t>
            </w:r>
          </w:p>
        </w:tc>
      </w:tr>
      <w:tr w:rsidR="008E147C" w:rsidRPr="009A191E" w14:paraId="061305A4" w14:textId="77777777" w:rsidTr="2C985F9B">
        <w:tc>
          <w:tcPr>
            <w:tcW w:w="1050" w:type="dxa"/>
          </w:tcPr>
          <w:p w14:paraId="531070D1" w14:textId="77777777" w:rsidR="008E147C" w:rsidRPr="006E7473" w:rsidRDefault="008E147C" w:rsidP="006E7473">
            <w:pPr>
              <w:pStyle w:val="Bodyromannumerals"/>
              <w:rPr>
                <w:b/>
                <w:bCs/>
                <w:lang w:val="en-US"/>
              </w:rPr>
            </w:pPr>
            <w:r w:rsidRPr="006E7473">
              <w:rPr>
                <w:b/>
                <w:bCs/>
                <w:lang w:val="en-US"/>
              </w:rPr>
              <w:t>A2.26</w:t>
            </w:r>
          </w:p>
        </w:tc>
        <w:tc>
          <w:tcPr>
            <w:tcW w:w="5251" w:type="dxa"/>
            <w:gridSpan w:val="2"/>
          </w:tcPr>
          <w:p w14:paraId="38C4D65F" w14:textId="06142D78" w:rsidR="008E147C" w:rsidRPr="006E7473" w:rsidRDefault="008E147C" w:rsidP="006E7473">
            <w:pPr>
              <w:pStyle w:val="Bodyromannumerals"/>
              <w:rPr>
                <w:b/>
                <w:bCs/>
                <w:lang w:val="en-US"/>
              </w:rPr>
            </w:pPr>
            <w:r w:rsidRPr="006E7473">
              <w:rPr>
                <w:b/>
                <w:bCs/>
                <w:lang w:val="en-US"/>
              </w:rPr>
              <w:t>Distribution system operational use</w:t>
            </w:r>
          </w:p>
        </w:tc>
        <w:tc>
          <w:tcPr>
            <w:tcW w:w="1257" w:type="dxa"/>
          </w:tcPr>
          <w:p w14:paraId="7260C92F" w14:textId="77777777" w:rsidR="008E147C" w:rsidRPr="006E7473" w:rsidRDefault="008E147C" w:rsidP="006E7473">
            <w:pPr>
              <w:pStyle w:val="Bodyromannumerals"/>
              <w:rPr>
                <w:b/>
                <w:bCs/>
                <w:lang w:val="en-US"/>
              </w:rPr>
            </w:pPr>
            <w:r w:rsidRPr="006E7473">
              <w:rPr>
                <w:b/>
                <w:bCs/>
                <w:lang w:val="en-US"/>
              </w:rPr>
              <w:t>000 m3/d</w:t>
            </w:r>
          </w:p>
        </w:tc>
      </w:tr>
      <w:tr w:rsidR="008E147C" w:rsidRPr="009A191E" w14:paraId="6BE60377" w14:textId="77777777" w:rsidTr="2C985F9B">
        <w:tc>
          <w:tcPr>
            <w:tcW w:w="1990" w:type="dxa"/>
            <w:gridSpan w:val="2"/>
            <w:tcBorders>
              <w:left w:val="single" w:sz="4" w:space="0" w:color="FFFFFF" w:themeColor="background2"/>
              <w:bottom w:val="single" w:sz="4" w:space="0" w:color="FFFFFF" w:themeColor="background2"/>
              <w:right w:val="single" w:sz="4" w:space="0" w:color="FFFFFF" w:themeColor="background2"/>
            </w:tcBorders>
          </w:tcPr>
          <w:p w14:paraId="22CC17E8" w14:textId="77777777" w:rsidR="008E147C" w:rsidRPr="009A191E" w:rsidRDefault="008E147C" w:rsidP="006E7473">
            <w:pPr>
              <w:pStyle w:val="Bodyromannumerals"/>
              <w:rPr>
                <w:i/>
                <w:lang w:val="en-US"/>
              </w:rPr>
            </w:pPr>
            <w:r w:rsidRPr="009A191E">
              <w:rPr>
                <w:i/>
                <w:lang w:val="en-US"/>
              </w:rPr>
              <w:t>Definition:</w:t>
            </w:r>
          </w:p>
        </w:tc>
        <w:tc>
          <w:tcPr>
            <w:tcW w:w="5568" w:type="dxa"/>
            <w:gridSpan w:val="2"/>
            <w:tcBorders>
              <w:left w:val="single" w:sz="4" w:space="0" w:color="FFFFFF" w:themeColor="background2"/>
              <w:bottom w:val="single" w:sz="4" w:space="0" w:color="FFFFFF" w:themeColor="background2"/>
              <w:right w:val="single" w:sz="4" w:space="0" w:color="FFFFFF" w:themeColor="background2"/>
            </w:tcBorders>
          </w:tcPr>
          <w:p w14:paraId="0ABDE305" w14:textId="2B70AB7D" w:rsidR="008E147C" w:rsidRPr="009A191E" w:rsidRDefault="008E147C" w:rsidP="006E7473">
            <w:pPr>
              <w:pStyle w:val="Bodyromannumerals"/>
              <w:rPr>
                <w:lang w:val="en-US"/>
              </w:rPr>
            </w:pPr>
            <w:r w:rsidRPr="009A191E">
              <w:rPr>
                <w:lang w:val="en-US"/>
              </w:rPr>
              <w:t xml:space="preserve">Distribution system operational use; water knowingly used by the </w:t>
            </w:r>
            <w:r w:rsidR="002E6A73">
              <w:rPr>
                <w:lang w:val="en-US"/>
              </w:rPr>
              <w:t>Local</w:t>
            </w:r>
            <w:r w:rsidR="00B47509">
              <w:rPr>
                <w:lang w:val="en-US"/>
              </w:rPr>
              <w:t xml:space="preserve"> Authority</w:t>
            </w:r>
            <w:r w:rsidRPr="009A191E">
              <w:rPr>
                <w:lang w:val="en-US"/>
              </w:rPr>
              <w:t xml:space="preserve"> to meet its statutory obligations, particularly those relating to water quality.  This includes, amongst other things, service reservoir cleaning, mains flushing/air scouring, swabbing, draining networks, discharges to control pH or other chemical parameters.</w:t>
            </w:r>
          </w:p>
          <w:p w14:paraId="31BAF216" w14:textId="002CDD6C" w:rsidR="008E147C" w:rsidRPr="009A191E" w:rsidRDefault="008E147C" w:rsidP="006E7473">
            <w:pPr>
              <w:pStyle w:val="Bodyromannumerals"/>
              <w:rPr>
                <w:lang w:val="en-US"/>
              </w:rPr>
            </w:pPr>
            <w:r w:rsidRPr="009A191E">
              <w:rPr>
                <w:lang w:val="en-US"/>
              </w:rPr>
              <w:t xml:space="preserve">The </w:t>
            </w:r>
            <w:r w:rsidR="002E6A73">
              <w:rPr>
                <w:lang w:val="en-US"/>
              </w:rPr>
              <w:t>Local</w:t>
            </w:r>
            <w:r w:rsidR="00B47509">
              <w:rPr>
                <w:lang w:val="en-US"/>
              </w:rPr>
              <w:t xml:space="preserve"> Authority</w:t>
            </w:r>
            <w:r w:rsidRPr="009A191E">
              <w:rPr>
                <w:lang w:val="en-US"/>
              </w:rPr>
              <w:t xml:space="preserve"> should explain in the accompanying commentary the calculation used to derive this figure.</w:t>
            </w:r>
          </w:p>
        </w:tc>
      </w:tr>
      <w:tr w:rsidR="008E147C" w:rsidRPr="009A191E" w14:paraId="166C2141" w14:textId="77777777" w:rsidTr="2C985F9B">
        <w:tc>
          <w:tcPr>
            <w:tcW w:w="199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21FE563" w14:textId="77777777" w:rsidR="008E147C" w:rsidRPr="009A191E" w:rsidRDefault="008E147C" w:rsidP="006E7473">
            <w:pPr>
              <w:pStyle w:val="Bodyromannumerals"/>
              <w:rPr>
                <w:i/>
                <w:lang w:val="en-US"/>
              </w:rPr>
            </w:pPr>
            <w:r w:rsidRPr="009A191E">
              <w:rPr>
                <w:i/>
                <w:lang w:val="en-US"/>
              </w:rPr>
              <w:t>Processing Rules:</w:t>
            </w:r>
          </w:p>
        </w:tc>
        <w:tc>
          <w:tcPr>
            <w:tcW w:w="556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CAFFC3A" w14:textId="77777777" w:rsidR="008E147C" w:rsidRPr="009A191E" w:rsidRDefault="008E147C" w:rsidP="006E7473">
            <w:pPr>
              <w:pStyle w:val="Bodyromannumerals"/>
              <w:rPr>
                <w:lang w:val="en-US"/>
              </w:rPr>
            </w:pPr>
            <w:r w:rsidRPr="009A191E">
              <w:rPr>
                <w:lang w:val="en-US"/>
              </w:rPr>
              <w:t>Input field</w:t>
            </w:r>
          </w:p>
        </w:tc>
      </w:tr>
      <w:tr w:rsidR="008E147C" w:rsidRPr="009A191E" w14:paraId="281EDAD8" w14:textId="77777777" w:rsidTr="2C985F9B">
        <w:tc>
          <w:tcPr>
            <w:tcW w:w="1050" w:type="dxa"/>
          </w:tcPr>
          <w:p w14:paraId="4D446878" w14:textId="77777777" w:rsidR="008E147C" w:rsidRPr="006E7473" w:rsidRDefault="008E147C" w:rsidP="006E7473">
            <w:pPr>
              <w:pStyle w:val="Bodyromannumerals"/>
              <w:rPr>
                <w:b/>
                <w:bCs/>
                <w:lang w:val="en-US"/>
              </w:rPr>
            </w:pPr>
            <w:r w:rsidRPr="006E7473">
              <w:rPr>
                <w:b/>
                <w:bCs/>
                <w:lang w:val="en-US"/>
              </w:rPr>
              <w:lastRenderedPageBreak/>
              <w:t>A2.27</w:t>
            </w:r>
          </w:p>
        </w:tc>
        <w:tc>
          <w:tcPr>
            <w:tcW w:w="5251" w:type="dxa"/>
            <w:gridSpan w:val="2"/>
          </w:tcPr>
          <w:p w14:paraId="5468A3BA" w14:textId="77777777" w:rsidR="008E147C" w:rsidRPr="006E7473" w:rsidRDefault="008E147C" w:rsidP="006E7473">
            <w:pPr>
              <w:pStyle w:val="Bodyromannumerals"/>
              <w:rPr>
                <w:b/>
                <w:bCs/>
                <w:lang w:val="en-US"/>
              </w:rPr>
            </w:pPr>
            <w:r w:rsidRPr="006E7473">
              <w:rPr>
                <w:b/>
                <w:bCs/>
                <w:lang w:val="en-US"/>
              </w:rPr>
              <w:t>Water taken legally unbilled</w:t>
            </w:r>
          </w:p>
        </w:tc>
        <w:tc>
          <w:tcPr>
            <w:tcW w:w="1257" w:type="dxa"/>
          </w:tcPr>
          <w:p w14:paraId="4D5DF222" w14:textId="77777777" w:rsidR="008E147C" w:rsidRPr="006E7473" w:rsidRDefault="008E147C" w:rsidP="006E7473">
            <w:pPr>
              <w:pStyle w:val="Bodyromannumerals"/>
              <w:rPr>
                <w:b/>
                <w:bCs/>
                <w:lang w:val="en-US"/>
              </w:rPr>
            </w:pPr>
            <w:r w:rsidRPr="006E7473">
              <w:rPr>
                <w:b/>
                <w:bCs/>
                <w:lang w:val="en-US"/>
              </w:rPr>
              <w:t>000 m3/d</w:t>
            </w:r>
          </w:p>
        </w:tc>
      </w:tr>
      <w:tr w:rsidR="008E147C" w:rsidRPr="009A191E" w14:paraId="2EBF160E" w14:textId="77777777" w:rsidTr="2C985F9B">
        <w:tc>
          <w:tcPr>
            <w:tcW w:w="1990" w:type="dxa"/>
            <w:gridSpan w:val="2"/>
            <w:tcBorders>
              <w:left w:val="single" w:sz="4" w:space="0" w:color="FFFFFF" w:themeColor="background2"/>
              <w:bottom w:val="single" w:sz="4" w:space="0" w:color="FFFFFF" w:themeColor="background2"/>
              <w:right w:val="single" w:sz="4" w:space="0" w:color="FFFFFF" w:themeColor="background2"/>
            </w:tcBorders>
          </w:tcPr>
          <w:p w14:paraId="42BE57CD" w14:textId="77777777" w:rsidR="008E147C" w:rsidRPr="009A191E" w:rsidRDefault="008E147C" w:rsidP="006E7473">
            <w:pPr>
              <w:pStyle w:val="Bodyromannumerals"/>
              <w:rPr>
                <w:lang w:val="en-US"/>
              </w:rPr>
            </w:pPr>
            <w:r w:rsidRPr="0006697C">
              <w:rPr>
                <w:i/>
                <w:iCs/>
                <w:lang w:val="en-US"/>
              </w:rPr>
              <w:t>Definition</w:t>
            </w:r>
            <w:r w:rsidRPr="009A191E">
              <w:rPr>
                <w:lang w:val="en-US"/>
              </w:rPr>
              <w:t>:</w:t>
            </w:r>
          </w:p>
        </w:tc>
        <w:tc>
          <w:tcPr>
            <w:tcW w:w="5568" w:type="dxa"/>
            <w:gridSpan w:val="2"/>
            <w:tcBorders>
              <w:left w:val="single" w:sz="4" w:space="0" w:color="FFFFFF" w:themeColor="background2"/>
              <w:bottom w:val="single" w:sz="4" w:space="0" w:color="FFFFFF" w:themeColor="background2"/>
              <w:right w:val="single" w:sz="4" w:space="0" w:color="FFFFFF" w:themeColor="background2"/>
            </w:tcBorders>
          </w:tcPr>
          <w:p w14:paraId="1B3B2A51" w14:textId="738D31D2" w:rsidR="008E147C" w:rsidRPr="009A191E" w:rsidRDefault="008E147C" w:rsidP="006E7473">
            <w:pPr>
              <w:pStyle w:val="Bodyromannumerals"/>
              <w:rPr>
                <w:lang w:val="en-US"/>
              </w:rPr>
            </w:pPr>
            <w:r w:rsidRPr="009A191E">
              <w:rPr>
                <w:lang w:val="en-US"/>
              </w:rPr>
              <w:t xml:space="preserve">Water taken legally unbilled; this should include all water supplied to customers for legitimate purposes which is unbilled.  None of this should have been included in the breakdown of water delivered to billed customers. It can include public supplies for which no charge is made (some sewer flushing </w:t>
            </w:r>
            <w:r w:rsidR="005A4AD1" w:rsidRPr="009A191E">
              <w:rPr>
                <w:lang w:val="en-US"/>
              </w:rPr>
              <w:t>etc.</w:t>
            </w:r>
            <w:r w:rsidRPr="009A191E">
              <w:rPr>
                <w:lang w:val="en-US"/>
              </w:rPr>
              <w:t>), uncharged church supplies, fire training and fire-fighting supplies where these are not charged irrespective of whether or not they are metered.</w:t>
            </w:r>
          </w:p>
          <w:p w14:paraId="47D32CE8" w14:textId="652444D0" w:rsidR="008E147C" w:rsidRPr="009A191E" w:rsidRDefault="008E147C" w:rsidP="006E7473">
            <w:pPr>
              <w:pStyle w:val="Bodyromannumerals"/>
              <w:rPr>
                <w:lang w:val="en-US"/>
              </w:rPr>
            </w:pPr>
            <w:r w:rsidRPr="009A191E">
              <w:rPr>
                <w:lang w:val="en-US"/>
              </w:rPr>
              <w:t xml:space="preserve">The </w:t>
            </w:r>
            <w:r w:rsidR="002E6A73">
              <w:rPr>
                <w:lang w:val="en-US"/>
              </w:rPr>
              <w:t>Local</w:t>
            </w:r>
            <w:r w:rsidR="00B47509">
              <w:rPr>
                <w:lang w:val="en-US"/>
              </w:rPr>
              <w:t xml:space="preserve"> Authority</w:t>
            </w:r>
            <w:r w:rsidRPr="009A191E">
              <w:rPr>
                <w:lang w:val="en-US"/>
              </w:rPr>
              <w:t xml:space="preserve"> should comment on any significant volumes.</w:t>
            </w:r>
          </w:p>
          <w:p w14:paraId="0B6EA510" w14:textId="7100B982" w:rsidR="008E147C" w:rsidRPr="009A191E" w:rsidRDefault="008E147C" w:rsidP="006E7473">
            <w:pPr>
              <w:pStyle w:val="Bodyromannumerals"/>
              <w:rPr>
                <w:lang w:val="en-US"/>
              </w:rPr>
            </w:pPr>
            <w:r w:rsidRPr="009A191E">
              <w:rPr>
                <w:lang w:val="en-US"/>
              </w:rPr>
              <w:t xml:space="preserve">The </w:t>
            </w:r>
            <w:r w:rsidR="002E6A73">
              <w:rPr>
                <w:lang w:val="en-US"/>
              </w:rPr>
              <w:t>Local</w:t>
            </w:r>
            <w:r w:rsidR="00B47509">
              <w:rPr>
                <w:lang w:val="en-US"/>
              </w:rPr>
              <w:t xml:space="preserve"> Authority</w:t>
            </w:r>
            <w:r w:rsidRPr="009A191E">
              <w:rPr>
                <w:lang w:val="en-US"/>
              </w:rPr>
              <w:t xml:space="preserve"> should explain in the accompanying commentary the calculation used to derive this figure.</w:t>
            </w:r>
          </w:p>
        </w:tc>
      </w:tr>
      <w:tr w:rsidR="008E147C" w:rsidRPr="009A191E" w14:paraId="78BD6F07" w14:textId="77777777" w:rsidTr="2C985F9B">
        <w:tc>
          <w:tcPr>
            <w:tcW w:w="199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3BDD63F" w14:textId="77777777" w:rsidR="008E147C" w:rsidRPr="009A191E" w:rsidRDefault="008E147C" w:rsidP="006E7473">
            <w:pPr>
              <w:pStyle w:val="Bodyromannumerals"/>
              <w:rPr>
                <w:lang w:val="en-US"/>
              </w:rPr>
            </w:pPr>
            <w:r w:rsidRPr="00410EC6">
              <w:rPr>
                <w:i/>
                <w:iCs/>
                <w:lang w:val="en-US"/>
              </w:rPr>
              <w:t>Processing Rules</w:t>
            </w:r>
            <w:r w:rsidRPr="009A191E">
              <w:rPr>
                <w:lang w:val="en-US"/>
              </w:rPr>
              <w:t>:</w:t>
            </w:r>
          </w:p>
        </w:tc>
        <w:tc>
          <w:tcPr>
            <w:tcW w:w="556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4D133CF" w14:textId="77777777" w:rsidR="008E147C" w:rsidRPr="009A191E" w:rsidRDefault="008E147C" w:rsidP="006E7473">
            <w:pPr>
              <w:pStyle w:val="Bodyromannumerals"/>
              <w:rPr>
                <w:lang w:val="en-US"/>
              </w:rPr>
            </w:pPr>
            <w:r w:rsidRPr="009A191E">
              <w:rPr>
                <w:lang w:val="en-US"/>
              </w:rPr>
              <w:t>Input field</w:t>
            </w:r>
          </w:p>
        </w:tc>
      </w:tr>
      <w:tr w:rsidR="008E147C" w:rsidRPr="009A191E" w14:paraId="15346B13" w14:textId="77777777" w:rsidTr="2C985F9B">
        <w:tc>
          <w:tcPr>
            <w:tcW w:w="1050" w:type="dxa"/>
          </w:tcPr>
          <w:p w14:paraId="16594FCA" w14:textId="71393AF6" w:rsidR="008E147C" w:rsidRPr="006E7473" w:rsidRDefault="008E147C" w:rsidP="006E7473">
            <w:pPr>
              <w:pStyle w:val="Bodyromannumerals"/>
              <w:rPr>
                <w:b/>
                <w:bCs/>
                <w:lang w:val="en-US"/>
              </w:rPr>
            </w:pPr>
            <w:r w:rsidRPr="006E7473">
              <w:rPr>
                <w:b/>
                <w:bCs/>
                <w:lang w:val="en-US"/>
              </w:rPr>
              <w:t>A2.28</w:t>
            </w:r>
          </w:p>
        </w:tc>
        <w:tc>
          <w:tcPr>
            <w:tcW w:w="5251" w:type="dxa"/>
            <w:gridSpan w:val="2"/>
          </w:tcPr>
          <w:p w14:paraId="7B56AFC0" w14:textId="77777777" w:rsidR="008E147C" w:rsidRPr="006E7473" w:rsidRDefault="008E147C" w:rsidP="006E7473">
            <w:pPr>
              <w:pStyle w:val="Bodyromannumerals"/>
              <w:rPr>
                <w:b/>
                <w:bCs/>
                <w:lang w:val="en-US"/>
              </w:rPr>
            </w:pPr>
            <w:r w:rsidRPr="006E7473">
              <w:rPr>
                <w:b/>
                <w:bCs/>
                <w:lang w:val="en-US"/>
              </w:rPr>
              <w:t>Water taken illegally unbilled</w:t>
            </w:r>
          </w:p>
        </w:tc>
        <w:tc>
          <w:tcPr>
            <w:tcW w:w="1257" w:type="dxa"/>
          </w:tcPr>
          <w:p w14:paraId="47A161DE" w14:textId="77777777" w:rsidR="008E147C" w:rsidRPr="006E7473" w:rsidRDefault="008E147C" w:rsidP="006E7473">
            <w:pPr>
              <w:pStyle w:val="Bodyromannumerals"/>
              <w:rPr>
                <w:b/>
                <w:bCs/>
                <w:lang w:val="en-US"/>
              </w:rPr>
            </w:pPr>
            <w:r w:rsidRPr="006E7473">
              <w:rPr>
                <w:b/>
                <w:bCs/>
                <w:lang w:val="en-US"/>
              </w:rPr>
              <w:t>000 m3/d</w:t>
            </w:r>
          </w:p>
        </w:tc>
      </w:tr>
      <w:tr w:rsidR="008E147C" w:rsidRPr="009A191E" w14:paraId="49B14780" w14:textId="77777777" w:rsidTr="2C985F9B">
        <w:tc>
          <w:tcPr>
            <w:tcW w:w="1990" w:type="dxa"/>
            <w:gridSpan w:val="2"/>
            <w:tcBorders>
              <w:left w:val="single" w:sz="4" w:space="0" w:color="FFFFFF" w:themeColor="background2"/>
              <w:bottom w:val="single" w:sz="4" w:space="0" w:color="FFFFFF" w:themeColor="background2"/>
              <w:right w:val="single" w:sz="4" w:space="0" w:color="FFFFFF" w:themeColor="background2"/>
            </w:tcBorders>
          </w:tcPr>
          <w:p w14:paraId="16FC812F" w14:textId="77777777" w:rsidR="008E147C" w:rsidRPr="009A191E" w:rsidRDefault="008E147C" w:rsidP="006E7473">
            <w:pPr>
              <w:pStyle w:val="Bodyromannumerals"/>
              <w:rPr>
                <w:lang w:val="en-US"/>
              </w:rPr>
            </w:pPr>
            <w:r w:rsidRPr="00410EC6">
              <w:rPr>
                <w:i/>
                <w:iCs/>
                <w:lang w:val="en-US"/>
              </w:rPr>
              <w:t>Definition</w:t>
            </w:r>
            <w:r w:rsidRPr="009A191E">
              <w:rPr>
                <w:lang w:val="en-US"/>
              </w:rPr>
              <w:t>:</w:t>
            </w:r>
          </w:p>
        </w:tc>
        <w:tc>
          <w:tcPr>
            <w:tcW w:w="5568" w:type="dxa"/>
            <w:gridSpan w:val="2"/>
            <w:tcBorders>
              <w:left w:val="single" w:sz="4" w:space="0" w:color="FFFFFF" w:themeColor="background2"/>
              <w:bottom w:val="single" w:sz="4" w:space="0" w:color="FFFFFF" w:themeColor="background2"/>
              <w:right w:val="single" w:sz="4" w:space="0" w:color="FFFFFF" w:themeColor="background2"/>
            </w:tcBorders>
          </w:tcPr>
          <w:p w14:paraId="6FF4B446" w14:textId="43B9023B" w:rsidR="008E147C" w:rsidRPr="009A191E" w:rsidRDefault="008E147C" w:rsidP="006E7473">
            <w:pPr>
              <w:pStyle w:val="Bodyromannumerals"/>
              <w:rPr>
                <w:lang w:val="en-US"/>
              </w:rPr>
            </w:pPr>
            <w:r w:rsidRPr="009A191E">
              <w:rPr>
                <w:lang w:val="en-US"/>
              </w:rPr>
              <w:t>Water taken illegally unbilled; illegally taken water should only be reported here and included in the water delivered total if it is based on actual occurrences using sound and audi</w:t>
            </w:r>
            <w:r w:rsidR="002F7B6F">
              <w:rPr>
                <w:lang w:val="en-US"/>
              </w:rPr>
              <w:t>ta</w:t>
            </w:r>
            <w:r w:rsidRPr="009A191E">
              <w:rPr>
                <w:lang w:val="en-US"/>
              </w:rPr>
              <w:t>ble identification and reporting procedures. These procedures must be set out in the commentaries. If it is not based on these it should be classified as distribution losses (line A2.29).</w:t>
            </w:r>
          </w:p>
          <w:p w14:paraId="19B4D738" w14:textId="0CFF8F94" w:rsidR="008E147C" w:rsidRPr="009A191E" w:rsidRDefault="008E147C" w:rsidP="006E7473">
            <w:pPr>
              <w:pStyle w:val="Bodyromannumerals"/>
              <w:rPr>
                <w:lang w:val="en-US"/>
              </w:rPr>
            </w:pPr>
            <w:r w:rsidRPr="009A191E">
              <w:rPr>
                <w:lang w:val="en-US"/>
              </w:rPr>
              <w:t xml:space="preserve">The </w:t>
            </w:r>
            <w:r w:rsidR="002E6A73">
              <w:rPr>
                <w:lang w:val="en-US"/>
              </w:rPr>
              <w:t>Local</w:t>
            </w:r>
            <w:r w:rsidR="00B47509">
              <w:rPr>
                <w:lang w:val="en-US"/>
              </w:rPr>
              <w:t xml:space="preserve"> Authority</w:t>
            </w:r>
            <w:r w:rsidRPr="009A191E">
              <w:rPr>
                <w:lang w:val="en-US"/>
              </w:rPr>
              <w:t xml:space="preserve"> should explain in the accompanying commentary the calculation used to derive this figure.</w:t>
            </w:r>
          </w:p>
        </w:tc>
      </w:tr>
      <w:tr w:rsidR="008E147C" w:rsidRPr="009A191E" w14:paraId="7FB3C1A9" w14:textId="77777777" w:rsidTr="2C985F9B">
        <w:tc>
          <w:tcPr>
            <w:tcW w:w="199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110D045" w14:textId="77777777" w:rsidR="008E147C" w:rsidRPr="009A191E" w:rsidRDefault="008E147C" w:rsidP="006E7473">
            <w:pPr>
              <w:pStyle w:val="Bodyromannumerals"/>
              <w:rPr>
                <w:lang w:val="en-US"/>
              </w:rPr>
            </w:pPr>
            <w:r w:rsidRPr="00410EC6">
              <w:rPr>
                <w:i/>
                <w:iCs/>
                <w:lang w:val="en-US"/>
              </w:rPr>
              <w:t>Processing Rules</w:t>
            </w:r>
            <w:r w:rsidRPr="009A191E">
              <w:rPr>
                <w:lang w:val="en-US"/>
              </w:rPr>
              <w:t>:</w:t>
            </w:r>
          </w:p>
        </w:tc>
        <w:tc>
          <w:tcPr>
            <w:tcW w:w="556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D12A794" w14:textId="77777777" w:rsidR="008E147C" w:rsidRPr="009A191E" w:rsidRDefault="008E147C" w:rsidP="006E7473">
            <w:pPr>
              <w:pStyle w:val="Bodyromannumerals"/>
              <w:rPr>
                <w:lang w:val="en-US"/>
              </w:rPr>
            </w:pPr>
            <w:r w:rsidRPr="009A191E">
              <w:rPr>
                <w:lang w:val="en-US"/>
              </w:rPr>
              <w:t>Input field</w:t>
            </w:r>
          </w:p>
        </w:tc>
      </w:tr>
      <w:tr w:rsidR="008E147C" w:rsidRPr="009A191E" w14:paraId="7A54FF4C" w14:textId="77777777" w:rsidTr="2C985F9B">
        <w:tc>
          <w:tcPr>
            <w:tcW w:w="1050" w:type="dxa"/>
          </w:tcPr>
          <w:p w14:paraId="2E197BFD" w14:textId="77777777" w:rsidR="008E147C" w:rsidRPr="006E7473" w:rsidRDefault="008E147C" w:rsidP="006E7473">
            <w:pPr>
              <w:pStyle w:val="Bodyromannumerals"/>
              <w:rPr>
                <w:b/>
                <w:bCs/>
                <w:lang w:val="en-US"/>
              </w:rPr>
            </w:pPr>
            <w:r w:rsidRPr="006E7473">
              <w:rPr>
                <w:b/>
                <w:bCs/>
                <w:lang w:val="en-US"/>
              </w:rPr>
              <w:t>A2.29</w:t>
            </w:r>
          </w:p>
        </w:tc>
        <w:tc>
          <w:tcPr>
            <w:tcW w:w="5251" w:type="dxa"/>
            <w:gridSpan w:val="2"/>
          </w:tcPr>
          <w:p w14:paraId="22B65BAC" w14:textId="77777777" w:rsidR="008E147C" w:rsidRPr="006E7473" w:rsidRDefault="008E147C" w:rsidP="006E7473">
            <w:pPr>
              <w:pStyle w:val="Bodyromannumerals"/>
              <w:rPr>
                <w:b/>
                <w:bCs/>
                <w:lang w:val="en-US"/>
              </w:rPr>
            </w:pPr>
            <w:r w:rsidRPr="006E7473">
              <w:rPr>
                <w:b/>
                <w:bCs/>
                <w:lang w:val="en-US"/>
              </w:rPr>
              <w:t>Distribution losses</w:t>
            </w:r>
          </w:p>
        </w:tc>
        <w:tc>
          <w:tcPr>
            <w:tcW w:w="1257" w:type="dxa"/>
          </w:tcPr>
          <w:p w14:paraId="48E7A941" w14:textId="77777777" w:rsidR="008E147C" w:rsidRPr="006E7473" w:rsidRDefault="008E147C" w:rsidP="006E7473">
            <w:pPr>
              <w:pStyle w:val="Bodyromannumerals"/>
              <w:rPr>
                <w:b/>
                <w:bCs/>
                <w:lang w:val="en-US"/>
              </w:rPr>
            </w:pPr>
            <w:r w:rsidRPr="006E7473">
              <w:rPr>
                <w:b/>
                <w:bCs/>
                <w:lang w:val="en-US"/>
              </w:rPr>
              <w:t>000 m3/d</w:t>
            </w:r>
          </w:p>
        </w:tc>
      </w:tr>
      <w:tr w:rsidR="008E147C" w:rsidRPr="009A191E" w14:paraId="55A90D6C" w14:textId="77777777" w:rsidTr="2C985F9B">
        <w:tc>
          <w:tcPr>
            <w:tcW w:w="1990" w:type="dxa"/>
            <w:gridSpan w:val="2"/>
            <w:tcBorders>
              <w:left w:val="single" w:sz="4" w:space="0" w:color="FFFFFF" w:themeColor="background2"/>
              <w:bottom w:val="single" w:sz="4" w:space="0" w:color="FFFFFF" w:themeColor="background2"/>
              <w:right w:val="single" w:sz="4" w:space="0" w:color="FFFFFF" w:themeColor="background2"/>
            </w:tcBorders>
          </w:tcPr>
          <w:p w14:paraId="29D2FAE6" w14:textId="77777777" w:rsidR="008E147C" w:rsidRPr="009A191E" w:rsidRDefault="008E147C" w:rsidP="006E7473">
            <w:pPr>
              <w:pStyle w:val="Bodyromannumerals"/>
              <w:rPr>
                <w:lang w:val="en-US"/>
              </w:rPr>
            </w:pPr>
            <w:r w:rsidRPr="00410EC6">
              <w:rPr>
                <w:i/>
                <w:iCs/>
                <w:lang w:val="en-US"/>
              </w:rPr>
              <w:t>Definition</w:t>
            </w:r>
            <w:r w:rsidRPr="009A191E">
              <w:rPr>
                <w:lang w:val="en-US"/>
              </w:rPr>
              <w:t>:</w:t>
            </w:r>
          </w:p>
        </w:tc>
        <w:tc>
          <w:tcPr>
            <w:tcW w:w="5568" w:type="dxa"/>
            <w:gridSpan w:val="2"/>
            <w:tcBorders>
              <w:left w:val="single" w:sz="4" w:space="0" w:color="FFFFFF" w:themeColor="background2"/>
              <w:bottom w:val="single" w:sz="4" w:space="0" w:color="FFFFFF" w:themeColor="background2"/>
              <w:right w:val="single" w:sz="4" w:space="0" w:color="FFFFFF" w:themeColor="background2"/>
            </w:tcBorders>
          </w:tcPr>
          <w:p w14:paraId="1DF01FCD" w14:textId="34B5D377" w:rsidR="008E147C" w:rsidRPr="009A191E" w:rsidRDefault="008E147C" w:rsidP="006E7473">
            <w:pPr>
              <w:pStyle w:val="Bodyromannumerals"/>
              <w:rPr>
                <w:lang w:val="en-US"/>
              </w:rPr>
            </w:pPr>
            <w:r w:rsidRPr="009A191E">
              <w:rPr>
                <w:lang w:val="en-US"/>
              </w:rPr>
              <w:t xml:space="preserve">Distribution losses represent the losses on the </w:t>
            </w:r>
            <w:r w:rsidR="002E6A73">
              <w:rPr>
                <w:lang w:val="en-US"/>
              </w:rPr>
              <w:t>Local</w:t>
            </w:r>
            <w:r w:rsidR="00B47509">
              <w:rPr>
                <w:lang w:val="en-US"/>
              </w:rPr>
              <w:t xml:space="preserve"> Authority</w:t>
            </w:r>
            <w:r w:rsidRPr="009A191E">
              <w:rPr>
                <w:lang w:val="en-US"/>
              </w:rPr>
              <w:t>’s potable water distribution system</w:t>
            </w:r>
            <w:r w:rsidR="00FE1A90">
              <w:rPr>
                <w:lang w:val="en-US"/>
              </w:rPr>
              <w:t xml:space="preserve"> (i.e. the network). This line</w:t>
            </w:r>
            <w:r w:rsidRPr="009A191E">
              <w:rPr>
                <w:lang w:val="en-US"/>
              </w:rPr>
              <w:t xml:space="preserve"> exclud</w:t>
            </w:r>
            <w:r w:rsidR="00FE1A90">
              <w:rPr>
                <w:lang w:val="en-US"/>
              </w:rPr>
              <w:t>es</w:t>
            </w:r>
            <w:r w:rsidRPr="009A191E">
              <w:rPr>
                <w:lang w:val="en-US"/>
              </w:rPr>
              <w:t xml:space="preserve"> supply pipe leakag</w:t>
            </w:r>
            <w:r w:rsidR="00FE1A90">
              <w:rPr>
                <w:lang w:val="en-US"/>
              </w:rPr>
              <w:t>e</w:t>
            </w:r>
            <w:r w:rsidRPr="009A191E">
              <w:rPr>
                <w:lang w:val="en-US"/>
              </w:rPr>
              <w:t xml:space="preserve"> which is the customer’s responsibility.</w:t>
            </w:r>
          </w:p>
          <w:p w14:paraId="2000B193" w14:textId="0FB0229A" w:rsidR="008E147C" w:rsidRPr="009A191E" w:rsidRDefault="008E147C" w:rsidP="006E7473">
            <w:pPr>
              <w:pStyle w:val="Bodyromannumerals"/>
              <w:rPr>
                <w:lang w:val="en-US"/>
              </w:rPr>
            </w:pPr>
            <w:r w:rsidRPr="009A191E">
              <w:rPr>
                <w:lang w:val="en-US"/>
              </w:rPr>
              <w:t xml:space="preserve">The </w:t>
            </w:r>
            <w:r w:rsidR="002E6A73">
              <w:rPr>
                <w:lang w:val="en-US"/>
              </w:rPr>
              <w:t>Local</w:t>
            </w:r>
            <w:r w:rsidR="00B47509">
              <w:rPr>
                <w:lang w:val="en-US"/>
              </w:rPr>
              <w:t xml:space="preserve"> Authority</w:t>
            </w:r>
            <w:r w:rsidRPr="009A191E">
              <w:rPr>
                <w:lang w:val="en-US"/>
              </w:rPr>
              <w:t xml:space="preserve"> should explain in the accompanying commentary the calculation used to derive this figure.</w:t>
            </w:r>
          </w:p>
        </w:tc>
      </w:tr>
      <w:tr w:rsidR="008E147C" w:rsidRPr="009A191E" w14:paraId="0F245A01" w14:textId="77777777" w:rsidTr="2C985F9B">
        <w:tc>
          <w:tcPr>
            <w:tcW w:w="199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174CAD7" w14:textId="77777777" w:rsidR="008E147C" w:rsidRPr="009A191E" w:rsidRDefault="008E147C" w:rsidP="006E7473">
            <w:pPr>
              <w:pStyle w:val="Bodyromannumerals"/>
              <w:rPr>
                <w:lang w:val="en-US"/>
              </w:rPr>
            </w:pPr>
            <w:r w:rsidRPr="00410EC6">
              <w:rPr>
                <w:i/>
                <w:iCs/>
                <w:lang w:val="en-US"/>
              </w:rPr>
              <w:t>Processing Rules</w:t>
            </w:r>
            <w:r w:rsidRPr="009A191E">
              <w:rPr>
                <w:lang w:val="en-US"/>
              </w:rPr>
              <w:t>:</w:t>
            </w:r>
          </w:p>
        </w:tc>
        <w:tc>
          <w:tcPr>
            <w:tcW w:w="556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8967572" w14:textId="77777777" w:rsidR="008E147C" w:rsidRPr="009A191E" w:rsidRDefault="008E147C" w:rsidP="006E7473">
            <w:pPr>
              <w:pStyle w:val="Bodyromannumerals"/>
              <w:rPr>
                <w:lang w:val="en-US"/>
              </w:rPr>
            </w:pPr>
            <w:r w:rsidRPr="009A191E">
              <w:rPr>
                <w:lang w:val="en-US"/>
              </w:rPr>
              <w:t>Input field</w:t>
            </w:r>
          </w:p>
        </w:tc>
      </w:tr>
    </w:tbl>
    <w:p w14:paraId="7754D4EB" w14:textId="77777777" w:rsidR="006427A4" w:rsidRDefault="006427A4">
      <w:r>
        <w:br w:type="page"/>
      </w:r>
    </w:p>
    <w:tbl>
      <w:tblPr>
        <w:tblStyle w:val="TableGrid3"/>
        <w:tblW w:w="7558" w:type="dxa"/>
        <w:tblLook w:val="04A0" w:firstRow="1" w:lastRow="0" w:firstColumn="1" w:lastColumn="0" w:noHBand="0" w:noVBand="1"/>
      </w:tblPr>
      <w:tblGrid>
        <w:gridCol w:w="1050"/>
        <w:gridCol w:w="940"/>
        <w:gridCol w:w="4311"/>
        <w:gridCol w:w="1257"/>
      </w:tblGrid>
      <w:tr w:rsidR="008E147C" w:rsidRPr="009A191E" w14:paraId="364449A3" w14:textId="77777777" w:rsidTr="2C985F9B">
        <w:tc>
          <w:tcPr>
            <w:tcW w:w="1050" w:type="dxa"/>
          </w:tcPr>
          <w:p w14:paraId="009D85B3" w14:textId="0BC3F32E" w:rsidR="008E147C" w:rsidRPr="006E7473" w:rsidRDefault="008E147C" w:rsidP="006E7473">
            <w:pPr>
              <w:pStyle w:val="Bodyromannumerals"/>
              <w:rPr>
                <w:b/>
                <w:bCs/>
                <w:lang w:val="en-US"/>
              </w:rPr>
            </w:pPr>
            <w:r w:rsidRPr="006E7473">
              <w:rPr>
                <w:b/>
                <w:bCs/>
                <w:lang w:val="en-US"/>
              </w:rPr>
              <w:lastRenderedPageBreak/>
              <w:t>A2.30</w:t>
            </w:r>
          </w:p>
        </w:tc>
        <w:tc>
          <w:tcPr>
            <w:tcW w:w="5251" w:type="dxa"/>
            <w:gridSpan w:val="2"/>
          </w:tcPr>
          <w:p w14:paraId="361ED362" w14:textId="77777777" w:rsidR="008E147C" w:rsidRPr="006E7473" w:rsidRDefault="008E147C" w:rsidP="006E7473">
            <w:pPr>
              <w:pStyle w:val="Bodyromannumerals"/>
              <w:rPr>
                <w:b/>
                <w:bCs/>
                <w:lang w:val="en-US"/>
              </w:rPr>
            </w:pPr>
            <w:r w:rsidRPr="006E7473">
              <w:rPr>
                <w:b/>
                <w:bCs/>
                <w:lang w:val="en-US"/>
              </w:rPr>
              <w:t>Total leakage</w:t>
            </w:r>
          </w:p>
        </w:tc>
        <w:tc>
          <w:tcPr>
            <w:tcW w:w="1257" w:type="dxa"/>
          </w:tcPr>
          <w:p w14:paraId="57A028A6" w14:textId="77777777" w:rsidR="008E147C" w:rsidRPr="006E7473" w:rsidRDefault="008E147C" w:rsidP="006E7473">
            <w:pPr>
              <w:pStyle w:val="Bodyromannumerals"/>
              <w:rPr>
                <w:b/>
                <w:bCs/>
                <w:lang w:val="en-US"/>
              </w:rPr>
            </w:pPr>
            <w:r w:rsidRPr="006E7473">
              <w:rPr>
                <w:b/>
                <w:bCs/>
                <w:lang w:val="en-US"/>
              </w:rPr>
              <w:t>000 m3/d</w:t>
            </w:r>
          </w:p>
        </w:tc>
      </w:tr>
      <w:tr w:rsidR="008E147C" w:rsidRPr="009A191E" w14:paraId="4AA232C0" w14:textId="77777777" w:rsidTr="2C985F9B">
        <w:tc>
          <w:tcPr>
            <w:tcW w:w="1990" w:type="dxa"/>
            <w:gridSpan w:val="2"/>
            <w:tcBorders>
              <w:left w:val="single" w:sz="4" w:space="0" w:color="FFFFFF" w:themeColor="background2"/>
              <w:bottom w:val="single" w:sz="4" w:space="0" w:color="FFFFFF" w:themeColor="background2"/>
              <w:right w:val="single" w:sz="4" w:space="0" w:color="FFFFFF" w:themeColor="background2"/>
            </w:tcBorders>
          </w:tcPr>
          <w:p w14:paraId="74C9CA2E" w14:textId="77777777" w:rsidR="008E147C" w:rsidRPr="009A191E" w:rsidRDefault="008E147C" w:rsidP="006E7473">
            <w:pPr>
              <w:pStyle w:val="Bodyromannumerals"/>
              <w:rPr>
                <w:lang w:val="en-US"/>
              </w:rPr>
            </w:pPr>
            <w:r w:rsidRPr="00410EC6">
              <w:rPr>
                <w:i/>
                <w:iCs/>
                <w:lang w:val="en-US"/>
              </w:rPr>
              <w:t>Definition</w:t>
            </w:r>
            <w:r w:rsidRPr="009A191E">
              <w:rPr>
                <w:lang w:val="en-US"/>
              </w:rPr>
              <w:t>:</w:t>
            </w:r>
          </w:p>
        </w:tc>
        <w:tc>
          <w:tcPr>
            <w:tcW w:w="5568" w:type="dxa"/>
            <w:gridSpan w:val="2"/>
            <w:tcBorders>
              <w:left w:val="single" w:sz="4" w:space="0" w:color="FFFFFF" w:themeColor="background2"/>
              <w:bottom w:val="single" w:sz="4" w:space="0" w:color="FFFFFF" w:themeColor="background2"/>
              <w:right w:val="single" w:sz="4" w:space="0" w:color="FFFFFF" w:themeColor="background2"/>
            </w:tcBorders>
          </w:tcPr>
          <w:p w14:paraId="718CEA1C" w14:textId="60F82D3E" w:rsidR="009A252C" w:rsidRDefault="008E147C" w:rsidP="006E7473">
            <w:pPr>
              <w:pStyle w:val="Bodyromannumerals"/>
              <w:rPr>
                <w:lang w:val="en-US"/>
              </w:rPr>
            </w:pPr>
            <w:r w:rsidRPr="009A191E">
              <w:rPr>
                <w:lang w:val="en-US"/>
              </w:rPr>
              <w:t xml:space="preserve">The </w:t>
            </w:r>
            <w:r w:rsidR="002E6A73">
              <w:rPr>
                <w:lang w:val="en-US"/>
              </w:rPr>
              <w:t>Local</w:t>
            </w:r>
            <w:r w:rsidR="00B47509">
              <w:rPr>
                <w:lang w:val="en-US"/>
              </w:rPr>
              <w:t xml:space="preserve"> Authority</w:t>
            </w:r>
            <w:r w:rsidRPr="009A191E">
              <w:rPr>
                <w:lang w:val="en-US"/>
              </w:rPr>
              <w:t xml:space="preserve"> estimate of total leakage</w:t>
            </w:r>
            <w:r w:rsidR="00BF1688">
              <w:rPr>
                <w:lang w:val="en-US"/>
              </w:rPr>
              <w:t xml:space="preserve"> including </w:t>
            </w:r>
            <w:r w:rsidR="000262CE">
              <w:rPr>
                <w:lang w:val="en-US"/>
              </w:rPr>
              <w:t>leakage related to reservoirs</w:t>
            </w:r>
            <w:r w:rsidRPr="009A191E">
              <w:rPr>
                <w:lang w:val="en-US"/>
              </w:rPr>
              <w:t>.</w:t>
            </w:r>
            <w:r w:rsidR="00BF1688">
              <w:rPr>
                <w:lang w:val="en-US"/>
              </w:rPr>
              <w:t xml:space="preserve"> </w:t>
            </w:r>
            <w:r w:rsidR="00FE1A90">
              <w:rPr>
                <w:lang w:val="en-US"/>
              </w:rPr>
              <w:t xml:space="preserve">This line includes the distribution losses on the network as reported in line A2.29. </w:t>
            </w:r>
          </w:p>
          <w:p w14:paraId="08EFF0C5" w14:textId="79B72D6E" w:rsidR="00FE1A90" w:rsidRPr="009A191E" w:rsidRDefault="009A252C" w:rsidP="006E7473">
            <w:pPr>
              <w:pStyle w:val="Bodyromannumerals"/>
              <w:rPr>
                <w:lang w:val="en-US"/>
              </w:rPr>
            </w:pPr>
            <w:r>
              <w:rPr>
                <w:lang w:val="en-US"/>
              </w:rPr>
              <w:t>In the UK, this is derived</w:t>
            </w:r>
            <w:r w:rsidR="000262CE" w:rsidRPr="009A191E">
              <w:rPr>
                <w:lang w:val="en-US"/>
              </w:rPr>
              <w:t xml:space="preserve"> from night flow measurements and reservoir and trunk main tests after deducting allowances for plumbing losses and customer night use for the measured night flows</w:t>
            </w:r>
          </w:p>
          <w:p w14:paraId="437DC2AD" w14:textId="3892F2D2" w:rsidR="008E147C" w:rsidRPr="009A191E" w:rsidRDefault="008E147C" w:rsidP="006E7473">
            <w:pPr>
              <w:pStyle w:val="Bodyromannumerals"/>
              <w:rPr>
                <w:lang w:val="en-US"/>
              </w:rPr>
            </w:pPr>
            <w:r w:rsidRPr="009A191E">
              <w:rPr>
                <w:lang w:val="en-US"/>
              </w:rPr>
              <w:t xml:space="preserve">The </w:t>
            </w:r>
            <w:r w:rsidR="002E6A73">
              <w:rPr>
                <w:lang w:val="en-US"/>
              </w:rPr>
              <w:t>Local</w:t>
            </w:r>
            <w:r w:rsidR="00B47509">
              <w:rPr>
                <w:lang w:val="en-US"/>
              </w:rPr>
              <w:t xml:space="preserve"> Authority</w:t>
            </w:r>
            <w:r w:rsidRPr="009A191E">
              <w:rPr>
                <w:lang w:val="en-US"/>
              </w:rPr>
              <w:t xml:space="preserve"> should explain in the accompanying commentary the calculation used to derive this figure.</w:t>
            </w:r>
          </w:p>
        </w:tc>
      </w:tr>
      <w:tr w:rsidR="008E147C" w:rsidRPr="009A191E" w14:paraId="397FB953" w14:textId="77777777" w:rsidTr="2C985F9B">
        <w:tc>
          <w:tcPr>
            <w:tcW w:w="199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B81C9AA" w14:textId="77777777" w:rsidR="008E147C" w:rsidRPr="009A191E" w:rsidRDefault="008E147C" w:rsidP="006E7473">
            <w:pPr>
              <w:pStyle w:val="Bodyromannumerals"/>
              <w:rPr>
                <w:lang w:val="en-US"/>
              </w:rPr>
            </w:pPr>
            <w:r w:rsidRPr="00410EC6">
              <w:rPr>
                <w:i/>
                <w:iCs/>
                <w:lang w:val="en-US"/>
              </w:rPr>
              <w:t>Processing Rules</w:t>
            </w:r>
            <w:r w:rsidRPr="009A191E">
              <w:rPr>
                <w:lang w:val="en-US"/>
              </w:rPr>
              <w:t>:</w:t>
            </w:r>
          </w:p>
        </w:tc>
        <w:tc>
          <w:tcPr>
            <w:tcW w:w="556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D225766" w14:textId="77777777" w:rsidR="008E147C" w:rsidRPr="009A191E" w:rsidRDefault="008E147C" w:rsidP="006E7473">
            <w:pPr>
              <w:pStyle w:val="Bodyromannumerals"/>
              <w:rPr>
                <w:lang w:val="en-US"/>
              </w:rPr>
            </w:pPr>
            <w:r w:rsidRPr="009A191E">
              <w:rPr>
                <w:lang w:val="en-US"/>
              </w:rPr>
              <w:t>Input field</w:t>
            </w:r>
          </w:p>
        </w:tc>
      </w:tr>
      <w:tr w:rsidR="008E147C" w:rsidRPr="009A191E" w14:paraId="09D22826" w14:textId="77777777" w:rsidTr="2C985F9B">
        <w:tc>
          <w:tcPr>
            <w:tcW w:w="1050" w:type="dxa"/>
          </w:tcPr>
          <w:p w14:paraId="73F573C0" w14:textId="31E0D649" w:rsidR="008E147C" w:rsidRPr="006E7473" w:rsidRDefault="008E147C" w:rsidP="006E7473">
            <w:pPr>
              <w:pStyle w:val="Bodyromannumerals"/>
              <w:rPr>
                <w:b/>
                <w:bCs/>
                <w:lang w:val="en-US"/>
              </w:rPr>
            </w:pPr>
            <w:r w:rsidRPr="006E7473">
              <w:rPr>
                <w:b/>
                <w:bCs/>
                <w:lang w:val="en-US"/>
              </w:rPr>
              <w:t>A2.31</w:t>
            </w:r>
          </w:p>
        </w:tc>
        <w:tc>
          <w:tcPr>
            <w:tcW w:w="5251" w:type="dxa"/>
            <w:gridSpan w:val="2"/>
          </w:tcPr>
          <w:p w14:paraId="2A667B59" w14:textId="77777777" w:rsidR="008E147C" w:rsidRPr="006E7473" w:rsidRDefault="008E147C" w:rsidP="006E7473">
            <w:pPr>
              <w:pStyle w:val="Bodyromannumerals"/>
              <w:rPr>
                <w:b/>
                <w:bCs/>
                <w:lang w:val="en-US"/>
              </w:rPr>
            </w:pPr>
            <w:r w:rsidRPr="006E7473">
              <w:rPr>
                <w:b/>
                <w:bCs/>
                <w:lang w:val="en-US"/>
              </w:rPr>
              <w:t>Distribution input</w:t>
            </w:r>
          </w:p>
        </w:tc>
        <w:tc>
          <w:tcPr>
            <w:tcW w:w="1257" w:type="dxa"/>
          </w:tcPr>
          <w:p w14:paraId="3896BCB4" w14:textId="77777777" w:rsidR="008E147C" w:rsidRPr="006E7473" w:rsidRDefault="008E147C" w:rsidP="006E7473">
            <w:pPr>
              <w:pStyle w:val="Bodyromannumerals"/>
              <w:rPr>
                <w:b/>
                <w:bCs/>
                <w:lang w:val="en-US"/>
              </w:rPr>
            </w:pPr>
            <w:r w:rsidRPr="006E7473">
              <w:rPr>
                <w:b/>
                <w:bCs/>
                <w:lang w:val="en-US"/>
              </w:rPr>
              <w:t>000 m3/d</w:t>
            </w:r>
          </w:p>
        </w:tc>
      </w:tr>
      <w:tr w:rsidR="008E147C" w:rsidRPr="009A191E" w14:paraId="5114A7C7" w14:textId="77777777" w:rsidTr="2C985F9B">
        <w:tc>
          <w:tcPr>
            <w:tcW w:w="1990" w:type="dxa"/>
            <w:gridSpan w:val="2"/>
            <w:tcBorders>
              <w:left w:val="single" w:sz="4" w:space="0" w:color="FFFFFF" w:themeColor="background2"/>
              <w:bottom w:val="single" w:sz="4" w:space="0" w:color="FFFFFF" w:themeColor="background2"/>
              <w:right w:val="single" w:sz="4" w:space="0" w:color="FFFFFF" w:themeColor="background2"/>
            </w:tcBorders>
          </w:tcPr>
          <w:p w14:paraId="5E5AFCB7" w14:textId="77777777" w:rsidR="008E147C" w:rsidRPr="009A191E" w:rsidRDefault="008E147C" w:rsidP="006E7473">
            <w:pPr>
              <w:pStyle w:val="Bodyromannumerals"/>
              <w:rPr>
                <w:lang w:val="en-US"/>
              </w:rPr>
            </w:pPr>
            <w:r w:rsidRPr="00410EC6">
              <w:rPr>
                <w:i/>
                <w:iCs/>
                <w:lang w:val="en-US"/>
              </w:rPr>
              <w:t>Definition</w:t>
            </w:r>
            <w:r w:rsidRPr="009A191E">
              <w:rPr>
                <w:lang w:val="en-US"/>
              </w:rPr>
              <w:t>:</w:t>
            </w:r>
          </w:p>
        </w:tc>
        <w:tc>
          <w:tcPr>
            <w:tcW w:w="5568" w:type="dxa"/>
            <w:gridSpan w:val="2"/>
            <w:tcBorders>
              <w:left w:val="single" w:sz="4" w:space="0" w:color="FFFFFF" w:themeColor="background2"/>
              <w:bottom w:val="single" w:sz="4" w:space="0" w:color="FFFFFF" w:themeColor="background2"/>
              <w:right w:val="single" w:sz="4" w:space="0" w:color="FFFFFF" w:themeColor="background2"/>
            </w:tcBorders>
          </w:tcPr>
          <w:p w14:paraId="639DDA2F" w14:textId="05B1E088" w:rsidR="008E147C" w:rsidRPr="009A191E" w:rsidRDefault="008E147C" w:rsidP="006E7473">
            <w:pPr>
              <w:pStyle w:val="Bodyromannumerals"/>
              <w:rPr>
                <w:lang w:val="en-US"/>
              </w:rPr>
            </w:pPr>
            <w:r w:rsidRPr="009A191E">
              <w:rPr>
                <w:lang w:val="en-US"/>
              </w:rPr>
              <w:t xml:space="preserve">Distribution input is the average amount of potable water entering the distribution system and supplied to customers within the </w:t>
            </w:r>
            <w:r w:rsidR="002E6A73">
              <w:rPr>
                <w:lang w:val="en-US"/>
              </w:rPr>
              <w:t>Local</w:t>
            </w:r>
            <w:r w:rsidR="00B47509">
              <w:rPr>
                <w:lang w:val="en-US"/>
              </w:rPr>
              <w:t xml:space="preserve"> Authority</w:t>
            </w:r>
            <w:r w:rsidRPr="009A191E">
              <w:rPr>
                <w:lang w:val="en-US"/>
              </w:rPr>
              <w:t>’s area of supply.  It is expected to be equal to metered distribution input.</w:t>
            </w:r>
          </w:p>
          <w:p w14:paraId="39C837E2" w14:textId="4CA0B7D7" w:rsidR="008E147C" w:rsidRPr="009A191E" w:rsidRDefault="008E147C" w:rsidP="006E7473">
            <w:pPr>
              <w:pStyle w:val="Bodyromannumerals"/>
              <w:rPr>
                <w:lang w:val="en-US"/>
              </w:rPr>
            </w:pPr>
            <w:r w:rsidRPr="009A191E">
              <w:rPr>
                <w:lang w:val="en-US"/>
              </w:rPr>
              <w:t xml:space="preserve">The </w:t>
            </w:r>
            <w:r w:rsidR="002E6A73">
              <w:rPr>
                <w:lang w:val="en-US"/>
              </w:rPr>
              <w:t>Local</w:t>
            </w:r>
            <w:r w:rsidR="00B47509">
              <w:rPr>
                <w:lang w:val="en-US"/>
              </w:rPr>
              <w:t xml:space="preserve"> Authority</w:t>
            </w:r>
            <w:r w:rsidRPr="009A191E">
              <w:rPr>
                <w:lang w:val="en-US"/>
              </w:rPr>
              <w:t xml:space="preserve"> should explain in the accompanying commentary the calculation used to derive this figure.</w:t>
            </w:r>
          </w:p>
        </w:tc>
      </w:tr>
      <w:tr w:rsidR="008E147C" w:rsidRPr="009A191E" w14:paraId="74995418" w14:textId="77777777" w:rsidTr="2C985F9B">
        <w:tc>
          <w:tcPr>
            <w:tcW w:w="199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0754C7F" w14:textId="77777777" w:rsidR="008E147C" w:rsidRPr="009A191E" w:rsidRDefault="008E147C" w:rsidP="006E7473">
            <w:pPr>
              <w:pStyle w:val="Bodyromannumerals"/>
              <w:rPr>
                <w:lang w:val="en-US"/>
              </w:rPr>
            </w:pPr>
            <w:r w:rsidRPr="00410EC6">
              <w:rPr>
                <w:i/>
                <w:iCs/>
                <w:lang w:val="en-US"/>
              </w:rPr>
              <w:t>Processing Rules</w:t>
            </w:r>
            <w:r w:rsidRPr="009A191E">
              <w:rPr>
                <w:lang w:val="en-US"/>
              </w:rPr>
              <w:t>:</w:t>
            </w:r>
          </w:p>
        </w:tc>
        <w:tc>
          <w:tcPr>
            <w:tcW w:w="556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F045763" w14:textId="77777777" w:rsidR="008E147C" w:rsidRPr="009A191E" w:rsidRDefault="008E147C" w:rsidP="006E7473">
            <w:pPr>
              <w:pStyle w:val="Bodyromannumerals"/>
              <w:rPr>
                <w:lang w:val="en-US"/>
              </w:rPr>
            </w:pPr>
            <w:r w:rsidRPr="009A191E">
              <w:rPr>
                <w:lang w:val="en-US"/>
              </w:rPr>
              <w:t>Input field</w:t>
            </w:r>
          </w:p>
        </w:tc>
      </w:tr>
      <w:tr w:rsidR="008E147C" w:rsidRPr="009A191E" w14:paraId="21C8686B" w14:textId="77777777" w:rsidTr="2C985F9B">
        <w:tc>
          <w:tcPr>
            <w:tcW w:w="1050" w:type="dxa"/>
          </w:tcPr>
          <w:p w14:paraId="393C0279" w14:textId="77777777" w:rsidR="008E147C" w:rsidRPr="006E7473" w:rsidRDefault="008E147C" w:rsidP="006E7473">
            <w:pPr>
              <w:pStyle w:val="Bodyromannumerals"/>
              <w:rPr>
                <w:b/>
                <w:bCs/>
                <w:lang w:val="en-US"/>
              </w:rPr>
            </w:pPr>
            <w:r w:rsidRPr="006E7473">
              <w:rPr>
                <w:b/>
                <w:bCs/>
                <w:lang w:val="en-US"/>
              </w:rPr>
              <w:t>A2.32</w:t>
            </w:r>
          </w:p>
        </w:tc>
        <w:tc>
          <w:tcPr>
            <w:tcW w:w="5251" w:type="dxa"/>
            <w:gridSpan w:val="2"/>
          </w:tcPr>
          <w:p w14:paraId="4E37A935" w14:textId="77777777" w:rsidR="008E147C" w:rsidRPr="006E7473" w:rsidRDefault="008E147C" w:rsidP="006E7473">
            <w:pPr>
              <w:pStyle w:val="Bodyromannumerals"/>
              <w:rPr>
                <w:b/>
                <w:bCs/>
                <w:lang w:val="en-US"/>
              </w:rPr>
            </w:pPr>
            <w:r w:rsidRPr="006E7473">
              <w:rPr>
                <w:b/>
                <w:bCs/>
                <w:lang w:val="en-US"/>
              </w:rPr>
              <w:t>Difference in water balance</w:t>
            </w:r>
          </w:p>
        </w:tc>
        <w:tc>
          <w:tcPr>
            <w:tcW w:w="1257" w:type="dxa"/>
          </w:tcPr>
          <w:p w14:paraId="48633A82" w14:textId="77777777" w:rsidR="008E147C" w:rsidRPr="006E7473" w:rsidRDefault="008E147C" w:rsidP="006E7473">
            <w:pPr>
              <w:pStyle w:val="Bodyromannumerals"/>
              <w:rPr>
                <w:b/>
                <w:bCs/>
                <w:lang w:val="en-US"/>
              </w:rPr>
            </w:pPr>
            <w:r w:rsidRPr="006E7473">
              <w:rPr>
                <w:b/>
                <w:bCs/>
                <w:lang w:val="en-US"/>
              </w:rPr>
              <w:t>000 m3/d</w:t>
            </w:r>
          </w:p>
        </w:tc>
      </w:tr>
      <w:tr w:rsidR="008E147C" w:rsidRPr="009A191E" w14:paraId="50576F38" w14:textId="77777777" w:rsidTr="2C985F9B">
        <w:tc>
          <w:tcPr>
            <w:tcW w:w="1990" w:type="dxa"/>
            <w:gridSpan w:val="2"/>
            <w:tcBorders>
              <w:left w:val="single" w:sz="4" w:space="0" w:color="FFFFFF" w:themeColor="background2"/>
              <w:bottom w:val="single" w:sz="4" w:space="0" w:color="FFFFFF" w:themeColor="background2"/>
              <w:right w:val="single" w:sz="4" w:space="0" w:color="FFFFFF" w:themeColor="background2"/>
            </w:tcBorders>
          </w:tcPr>
          <w:p w14:paraId="205A8686" w14:textId="77777777" w:rsidR="008E147C" w:rsidRPr="009A191E" w:rsidRDefault="008E147C" w:rsidP="006E7473">
            <w:pPr>
              <w:pStyle w:val="Bodyromannumerals"/>
              <w:rPr>
                <w:lang w:val="en-US"/>
              </w:rPr>
            </w:pPr>
            <w:r w:rsidRPr="00410EC6">
              <w:rPr>
                <w:i/>
                <w:iCs/>
                <w:lang w:val="en-US"/>
              </w:rPr>
              <w:t>Definition</w:t>
            </w:r>
            <w:r w:rsidRPr="009A191E">
              <w:rPr>
                <w:lang w:val="en-US"/>
              </w:rPr>
              <w:t>:</w:t>
            </w:r>
          </w:p>
        </w:tc>
        <w:tc>
          <w:tcPr>
            <w:tcW w:w="5568" w:type="dxa"/>
            <w:gridSpan w:val="2"/>
            <w:tcBorders>
              <w:left w:val="single" w:sz="4" w:space="0" w:color="FFFFFF" w:themeColor="background2"/>
              <w:bottom w:val="single" w:sz="4" w:space="0" w:color="FFFFFF" w:themeColor="background2"/>
              <w:right w:val="single" w:sz="4" w:space="0" w:color="FFFFFF" w:themeColor="background2"/>
            </w:tcBorders>
          </w:tcPr>
          <w:p w14:paraId="4BE77841" w14:textId="77777777" w:rsidR="008E147C" w:rsidRPr="009A191E" w:rsidRDefault="008E147C" w:rsidP="006E7473">
            <w:pPr>
              <w:pStyle w:val="Bodyromannumerals"/>
              <w:rPr>
                <w:lang w:val="en-US"/>
              </w:rPr>
            </w:pPr>
            <w:r w:rsidRPr="009A191E">
              <w:rPr>
                <w:lang w:val="en-US"/>
              </w:rPr>
              <w:t>The difference between the sum of the water balance components and the actual measured distribution input.</w:t>
            </w:r>
          </w:p>
          <w:p w14:paraId="09FD2A96" w14:textId="0424BFD1" w:rsidR="008E147C" w:rsidRPr="009A191E" w:rsidRDefault="008E147C" w:rsidP="006E7473">
            <w:pPr>
              <w:pStyle w:val="Bodyromannumerals"/>
              <w:rPr>
                <w:lang w:val="en-US"/>
              </w:rPr>
            </w:pPr>
            <w:r w:rsidRPr="009A191E">
              <w:rPr>
                <w:lang w:val="en-US"/>
              </w:rPr>
              <w:t xml:space="preserve">The </w:t>
            </w:r>
            <w:r w:rsidR="002E6A73">
              <w:rPr>
                <w:lang w:val="en-US"/>
              </w:rPr>
              <w:t>Local</w:t>
            </w:r>
            <w:r w:rsidR="00B47509">
              <w:rPr>
                <w:lang w:val="en-US"/>
              </w:rPr>
              <w:t xml:space="preserve"> Authority</w:t>
            </w:r>
            <w:r w:rsidRPr="009A191E">
              <w:rPr>
                <w:lang w:val="en-US"/>
              </w:rPr>
              <w:t xml:space="preserve"> should explain in the accompanying commentary the calculation used to derive this figure.</w:t>
            </w:r>
          </w:p>
        </w:tc>
      </w:tr>
      <w:tr w:rsidR="008E147C" w:rsidRPr="009A191E" w14:paraId="7FC9096A" w14:textId="77777777" w:rsidTr="2C985F9B">
        <w:tc>
          <w:tcPr>
            <w:tcW w:w="199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552900F" w14:textId="77777777" w:rsidR="008E147C" w:rsidRPr="009A191E" w:rsidRDefault="008E147C" w:rsidP="006E7473">
            <w:pPr>
              <w:pStyle w:val="Bodyromannumerals"/>
              <w:rPr>
                <w:lang w:val="en-US"/>
              </w:rPr>
            </w:pPr>
            <w:r w:rsidRPr="00410EC6">
              <w:rPr>
                <w:i/>
                <w:iCs/>
                <w:lang w:val="en-US"/>
              </w:rPr>
              <w:t>Processing Rules</w:t>
            </w:r>
            <w:r w:rsidRPr="009A191E">
              <w:rPr>
                <w:lang w:val="en-US"/>
              </w:rPr>
              <w:t>:</w:t>
            </w:r>
          </w:p>
        </w:tc>
        <w:tc>
          <w:tcPr>
            <w:tcW w:w="556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B6D6BB1" w14:textId="77777777" w:rsidR="008E147C" w:rsidRPr="009A191E" w:rsidRDefault="008E147C" w:rsidP="006E7473">
            <w:pPr>
              <w:pStyle w:val="Bodyromannumerals"/>
              <w:rPr>
                <w:lang w:val="en-US"/>
              </w:rPr>
            </w:pPr>
            <w:r w:rsidRPr="009A191E">
              <w:rPr>
                <w:lang w:val="en-US"/>
              </w:rPr>
              <w:t>Input field</w:t>
            </w:r>
          </w:p>
        </w:tc>
      </w:tr>
      <w:tr w:rsidR="008E147C" w:rsidRPr="00E95786" w14:paraId="20538D69" w14:textId="77777777" w:rsidTr="2C985F9B">
        <w:tc>
          <w:tcPr>
            <w:tcW w:w="1050" w:type="dxa"/>
          </w:tcPr>
          <w:p w14:paraId="5E7B167A" w14:textId="77777777" w:rsidR="008E147C" w:rsidRPr="00F86AB5" w:rsidRDefault="008E147C" w:rsidP="006E7473">
            <w:pPr>
              <w:pStyle w:val="Bodyromannumerals"/>
              <w:rPr>
                <w:b/>
                <w:bCs/>
              </w:rPr>
            </w:pPr>
            <w:r w:rsidRPr="00F86AB5">
              <w:rPr>
                <w:b/>
                <w:bCs/>
              </w:rPr>
              <w:t>A2.33</w:t>
            </w:r>
          </w:p>
        </w:tc>
        <w:tc>
          <w:tcPr>
            <w:tcW w:w="5251" w:type="dxa"/>
            <w:gridSpan w:val="2"/>
          </w:tcPr>
          <w:p w14:paraId="331A209C" w14:textId="77777777" w:rsidR="008E147C" w:rsidRPr="00F86AB5" w:rsidRDefault="008E147C" w:rsidP="006E7473">
            <w:pPr>
              <w:pStyle w:val="Bodyromannumerals"/>
              <w:rPr>
                <w:b/>
                <w:bCs/>
              </w:rPr>
            </w:pPr>
            <w:r w:rsidRPr="00F86AB5">
              <w:rPr>
                <w:b/>
                <w:bCs/>
              </w:rPr>
              <w:t>Assessment of overall water balance</w:t>
            </w:r>
          </w:p>
        </w:tc>
        <w:tc>
          <w:tcPr>
            <w:tcW w:w="1257" w:type="dxa"/>
            <w:shd w:val="clear" w:color="auto" w:fill="auto"/>
          </w:tcPr>
          <w:p w14:paraId="0C61D5CB" w14:textId="77777777" w:rsidR="008E147C" w:rsidRPr="00F86AB5" w:rsidRDefault="008E147C" w:rsidP="006E7473">
            <w:pPr>
              <w:pStyle w:val="Bodyromannumerals"/>
              <w:rPr>
                <w:b/>
                <w:bCs/>
              </w:rPr>
            </w:pPr>
            <w:r w:rsidRPr="00F86AB5">
              <w:rPr>
                <w:b/>
                <w:bCs/>
              </w:rPr>
              <w:t>CG</w:t>
            </w:r>
          </w:p>
        </w:tc>
      </w:tr>
      <w:tr w:rsidR="008E147C" w:rsidRPr="009A191E" w14:paraId="536D6866" w14:textId="77777777" w:rsidTr="2C985F9B">
        <w:tc>
          <w:tcPr>
            <w:tcW w:w="1990" w:type="dxa"/>
            <w:gridSpan w:val="2"/>
            <w:tcBorders>
              <w:left w:val="single" w:sz="4" w:space="0" w:color="FFFFFF" w:themeColor="background2"/>
              <w:bottom w:val="single" w:sz="4" w:space="0" w:color="FFFFFF" w:themeColor="background2"/>
              <w:right w:val="single" w:sz="4" w:space="0" w:color="FFFFFF" w:themeColor="background2"/>
            </w:tcBorders>
          </w:tcPr>
          <w:p w14:paraId="4064C59E" w14:textId="77777777" w:rsidR="008E147C" w:rsidRPr="009A191E" w:rsidRDefault="008E147C" w:rsidP="006E7473">
            <w:pPr>
              <w:pStyle w:val="Bodyromannumerals"/>
              <w:rPr>
                <w:lang w:val="en-US"/>
              </w:rPr>
            </w:pPr>
            <w:r w:rsidRPr="00410EC6">
              <w:rPr>
                <w:i/>
                <w:iCs/>
                <w:lang w:val="en-US"/>
              </w:rPr>
              <w:t>Definition</w:t>
            </w:r>
            <w:r w:rsidRPr="009A191E">
              <w:rPr>
                <w:lang w:val="en-US"/>
              </w:rPr>
              <w:t>:</w:t>
            </w:r>
          </w:p>
        </w:tc>
        <w:tc>
          <w:tcPr>
            <w:tcW w:w="5568" w:type="dxa"/>
            <w:gridSpan w:val="2"/>
            <w:tcBorders>
              <w:left w:val="single" w:sz="4" w:space="0" w:color="FFFFFF" w:themeColor="background2"/>
              <w:bottom w:val="single" w:sz="4" w:space="0" w:color="FFFFFF" w:themeColor="background2"/>
              <w:right w:val="single" w:sz="4" w:space="0" w:color="FFFFFF" w:themeColor="background2"/>
            </w:tcBorders>
          </w:tcPr>
          <w:p w14:paraId="74FE1B62" w14:textId="500A4762" w:rsidR="008E147C" w:rsidRPr="009A191E" w:rsidRDefault="008E147C" w:rsidP="006E7473">
            <w:pPr>
              <w:pStyle w:val="Bodyromannumerals"/>
              <w:rPr>
                <w:lang w:val="en-US"/>
              </w:rPr>
            </w:pPr>
            <w:r w:rsidRPr="009A191E">
              <w:rPr>
                <w:lang w:val="en-US"/>
              </w:rPr>
              <w:t>Confidence grade for the overall water balance.</w:t>
            </w:r>
          </w:p>
        </w:tc>
      </w:tr>
      <w:tr w:rsidR="008E147C" w:rsidRPr="009A191E" w14:paraId="5409F8FF" w14:textId="77777777" w:rsidTr="2C985F9B">
        <w:tc>
          <w:tcPr>
            <w:tcW w:w="199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74AFD2E" w14:textId="77777777" w:rsidR="008E147C" w:rsidRPr="009A191E" w:rsidRDefault="008E147C" w:rsidP="006E7473">
            <w:pPr>
              <w:pStyle w:val="Bodyromannumerals"/>
              <w:rPr>
                <w:lang w:val="en-US"/>
              </w:rPr>
            </w:pPr>
            <w:r w:rsidRPr="00410EC6">
              <w:rPr>
                <w:i/>
                <w:iCs/>
                <w:lang w:val="en-US"/>
              </w:rPr>
              <w:t>Processing Rules</w:t>
            </w:r>
            <w:r w:rsidRPr="009A191E">
              <w:rPr>
                <w:lang w:val="en-US"/>
              </w:rPr>
              <w:t>:</w:t>
            </w:r>
          </w:p>
        </w:tc>
        <w:tc>
          <w:tcPr>
            <w:tcW w:w="556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2DF8550" w14:textId="6DBAD46C" w:rsidR="008E147C" w:rsidRPr="009A191E" w:rsidRDefault="00E4313F" w:rsidP="006E7473">
            <w:pPr>
              <w:pStyle w:val="Bodyromannumerals"/>
              <w:rPr>
                <w:lang w:val="en-US"/>
              </w:rPr>
            </w:pPr>
            <w:r>
              <w:rPr>
                <w:lang w:val="en-US"/>
              </w:rPr>
              <w:t>Input field</w:t>
            </w:r>
          </w:p>
        </w:tc>
      </w:tr>
    </w:tbl>
    <w:p w14:paraId="716D93B1" w14:textId="77777777" w:rsidR="008E147C" w:rsidRPr="009A191E" w:rsidRDefault="008E147C" w:rsidP="00F86AB5">
      <w:pPr>
        <w:pStyle w:val="Sectionsub-heading"/>
        <w:rPr>
          <w:lang w:val="en-GB"/>
        </w:rPr>
      </w:pPr>
      <w:r w:rsidRPr="009A191E">
        <w:rPr>
          <w:lang w:val="en-GB"/>
        </w:rPr>
        <w:t>BLOCK 6: BULK SUPPLIES</w:t>
      </w:r>
    </w:p>
    <w:tbl>
      <w:tblPr>
        <w:tblStyle w:val="TableGrid3"/>
        <w:tblW w:w="7558" w:type="dxa"/>
        <w:tblLook w:val="04A0" w:firstRow="1" w:lastRow="0" w:firstColumn="1" w:lastColumn="0" w:noHBand="0" w:noVBand="1"/>
      </w:tblPr>
      <w:tblGrid>
        <w:gridCol w:w="1087"/>
        <w:gridCol w:w="938"/>
        <w:gridCol w:w="4274"/>
        <w:gridCol w:w="1259"/>
      </w:tblGrid>
      <w:tr w:rsidR="008E147C" w:rsidRPr="009A191E" w14:paraId="58AA6D49" w14:textId="77777777" w:rsidTr="2C985F9B">
        <w:tc>
          <w:tcPr>
            <w:tcW w:w="1050" w:type="dxa"/>
          </w:tcPr>
          <w:p w14:paraId="13C7D47B" w14:textId="2820609F" w:rsidR="008E147C" w:rsidRPr="00FD297A" w:rsidRDefault="008E147C" w:rsidP="00FD297A">
            <w:pPr>
              <w:pStyle w:val="Bodyromannumerals"/>
              <w:rPr>
                <w:b/>
                <w:bCs/>
                <w:lang w:val="en-US"/>
              </w:rPr>
            </w:pPr>
            <w:r w:rsidRPr="00FD297A">
              <w:rPr>
                <w:b/>
                <w:bCs/>
                <w:lang w:val="en-US"/>
              </w:rPr>
              <w:t>A2.34</w:t>
            </w:r>
            <w:r w:rsidR="00D36918">
              <w:rPr>
                <w:b/>
                <w:bCs/>
                <w:lang w:val="en-US"/>
              </w:rPr>
              <w:t>a</w:t>
            </w:r>
          </w:p>
        </w:tc>
        <w:tc>
          <w:tcPr>
            <w:tcW w:w="5246" w:type="dxa"/>
            <w:gridSpan w:val="2"/>
          </w:tcPr>
          <w:p w14:paraId="742F2ACD" w14:textId="77AA910A" w:rsidR="008E147C" w:rsidRPr="00FD297A" w:rsidRDefault="008E147C" w:rsidP="00FD297A">
            <w:pPr>
              <w:pStyle w:val="Bodyromannumerals"/>
              <w:rPr>
                <w:b/>
                <w:bCs/>
                <w:lang w:val="en-US"/>
              </w:rPr>
            </w:pPr>
            <w:r w:rsidRPr="00FD297A">
              <w:rPr>
                <w:b/>
                <w:bCs/>
                <w:lang w:val="en-US"/>
              </w:rPr>
              <w:t>Bulk supply imports</w:t>
            </w:r>
            <w:r w:rsidR="00D36918">
              <w:rPr>
                <w:b/>
                <w:bCs/>
                <w:lang w:val="en-US"/>
              </w:rPr>
              <w:t xml:space="preserve"> - treated</w:t>
            </w:r>
          </w:p>
        </w:tc>
        <w:tc>
          <w:tcPr>
            <w:tcW w:w="1262" w:type="dxa"/>
          </w:tcPr>
          <w:p w14:paraId="5089FC8C" w14:textId="77777777" w:rsidR="008E147C" w:rsidRPr="00FD297A" w:rsidRDefault="008E147C" w:rsidP="00FD297A">
            <w:pPr>
              <w:pStyle w:val="Bodyromannumerals"/>
              <w:rPr>
                <w:b/>
                <w:bCs/>
                <w:lang w:val="en-US"/>
              </w:rPr>
            </w:pPr>
            <w:r w:rsidRPr="00FD297A">
              <w:rPr>
                <w:b/>
                <w:bCs/>
                <w:lang w:val="en-US"/>
              </w:rPr>
              <w:t>000 m3/d</w:t>
            </w:r>
          </w:p>
        </w:tc>
      </w:tr>
      <w:tr w:rsidR="008E147C" w:rsidRPr="009A191E" w14:paraId="6EAA9929" w14:textId="77777777" w:rsidTr="2C985F9B">
        <w:tc>
          <w:tcPr>
            <w:tcW w:w="1993" w:type="dxa"/>
            <w:gridSpan w:val="2"/>
            <w:tcBorders>
              <w:left w:val="single" w:sz="4" w:space="0" w:color="FFFFFF" w:themeColor="background2"/>
              <w:bottom w:val="single" w:sz="4" w:space="0" w:color="FFFFFF" w:themeColor="background2"/>
              <w:right w:val="single" w:sz="4" w:space="0" w:color="FFFFFF" w:themeColor="background2"/>
            </w:tcBorders>
          </w:tcPr>
          <w:p w14:paraId="1D2F6EFA" w14:textId="77777777" w:rsidR="008E147C" w:rsidRPr="009A191E" w:rsidRDefault="008E147C" w:rsidP="00FD297A">
            <w:pPr>
              <w:pStyle w:val="Bodyromannumerals"/>
              <w:rPr>
                <w:i/>
                <w:lang w:val="en-US"/>
              </w:rPr>
            </w:pPr>
            <w:r w:rsidRPr="009A191E">
              <w:rPr>
                <w:i/>
                <w:lang w:val="en-US"/>
              </w:rPr>
              <w:t>Definition:</w:t>
            </w:r>
          </w:p>
        </w:tc>
        <w:tc>
          <w:tcPr>
            <w:tcW w:w="5565" w:type="dxa"/>
            <w:gridSpan w:val="2"/>
            <w:tcBorders>
              <w:left w:val="single" w:sz="4" w:space="0" w:color="FFFFFF" w:themeColor="background2"/>
              <w:bottom w:val="single" w:sz="4" w:space="0" w:color="FFFFFF" w:themeColor="background2"/>
              <w:right w:val="single" w:sz="4" w:space="0" w:color="FFFFFF" w:themeColor="background2"/>
            </w:tcBorders>
          </w:tcPr>
          <w:p w14:paraId="3FC11E0C" w14:textId="6D2219BD" w:rsidR="008E147C" w:rsidRPr="009A191E" w:rsidRDefault="008E147C" w:rsidP="00FD297A">
            <w:pPr>
              <w:pStyle w:val="Bodyromannumerals"/>
              <w:rPr>
                <w:lang w:val="en-US"/>
              </w:rPr>
            </w:pPr>
            <w:r w:rsidRPr="009A191E">
              <w:rPr>
                <w:lang w:val="en-US"/>
              </w:rPr>
              <w:t xml:space="preserve">Volume of </w:t>
            </w:r>
            <w:r w:rsidR="00D36918">
              <w:rPr>
                <w:lang w:val="en-US"/>
              </w:rPr>
              <w:t xml:space="preserve">treated </w:t>
            </w:r>
            <w:r w:rsidRPr="009A191E">
              <w:rPr>
                <w:lang w:val="en-US"/>
              </w:rPr>
              <w:t xml:space="preserve">water imported from outside </w:t>
            </w:r>
            <w:r w:rsidR="00FE1A90">
              <w:rPr>
                <w:lang w:val="en-US"/>
              </w:rPr>
              <w:t xml:space="preserve">the </w:t>
            </w:r>
            <w:r w:rsidR="002E6A73">
              <w:rPr>
                <w:lang w:val="en-US"/>
              </w:rPr>
              <w:t>Local</w:t>
            </w:r>
            <w:r w:rsidR="00FE1A90">
              <w:rPr>
                <w:lang w:val="en-US"/>
              </w:rPr>
              <w:t xml:space="preserve"> Authority’s</w:t>
            </w:r>
            <w:r w:rsidRPr="009A191E">
              <w:rPr>
                <w:lang w:val="en-US"/>
              </w:rPr>
              <w:t xml:space="preserve"> service area in bulk supplies. </w:t>
            </w:r>
          </w:p>
        </w:tc>
      </w:tr>
      <w:tr w:rsidR="008E147C" w:rsidRPr="009A191E" w14:paraId="69A7E38B" w14:textId="77777777" w:rsidTr="2C985F9B">
        <w:tc>
          <w:tcPr>
            <w:tcW w:w="199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1C29BD4" w14:textId="77777777" w:rsidR="008E147C" w:rsidRPr="009A191E" w:rsidRDefault="008E147C" w:rsidP="00FD297A">
            <w:pPr>
              <w:pStyle w:val="Bodyromannumerals"/>
              <w:rPr>
                <w:i/>
                <w:lang w:val="en-US"/>
              </w:rPr>
            </w:pPr>
            <w:r w:rsidRPr="009A191E">
              <w:rPr>
                <w:i/>
                <w:lang w:val="en-US"/>
              </w:rPr>
              <w:t>Processing Rules:</w:t>
            </w:r>
          </w:p>
        </w:tc>
        <w:tc>
          <w:tcPr>
            <w:tcW w:w="556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1E0D714" w14:textId="77777777" w:rsidR="008E147C" w:rsidRPr="009A191E" w:rsidRDefault="008E147C" w:rsidP="00FD297A">
            <w:pPr>
              <w:pStyle w:val="Bodyromannumerals"/>
              <w:rPr>
                <w:lang w:val="en-US"/>
              </w:rPr>
            </w:pPr>
            <w:r w:rsidRPr="009A191E">
              <w:rPr>
                <w:lang w:val="en-US"/>
              </w:rPr>
              <w:t>Input field</w:t>
            </w:r>
          </w:p>
        </w:tc>
      </w:tr>
      <w:tr w:rsidR="008E147C" w:rsidRPr="009A191E" w14:paraId="55AF8931" w14:textId="77777777" w:rsidTr="2C985F9B">
        <w:tc>
          <w:tcPr>
            <w:tcW w:w="1050" w:type="dxa"/>
          </w:tcPr>
          <w:p w14:paraId="68D13E0F" w14:textId="5042531B" w:rsidR="008E147C" w:rsidRPr="00FD297A" w:rsidRDefault="008E147C" w:rsidP="00FD297A">
            <w:pPr>
              <w:pStyle w:val="Bodyromannumerals"/>
              <w:rPr>
                <w:b/>
                <w:bCs/>
                <w:lang w:val="en-US"/>
              </w:rPr>
            </w:pPr>
            <w:r w:rsidRPr="00FD297A">
              <w:rPr>
                <w:b/>
                <w:bCs/>
                <w:lang w:val="en-US"/>
              </w:rPr>
              <w:lastRenderedPageBreak/>
              <w:t>A2.3</w:t>
            </w:r>
            <w:r w:rsidR="00D36918">
              <w:rPr>
                <w:b/>
                <w:bCs/>
                <w:lang w:val="en-US"/>
              </w:rPr>
              <w:t>4b</w:t>
            </w:r>
          </w:p>
        </w:tc>
        <w:tc>
          <w:tcPr>
            <w:tcW w:w="5246" w:type="dxa"/>
            <w:gridSpan w:val="2"/>
          </w:tcPr>
          <w:p w14:paraId="3E46BB3D" w14:textId="1B7B1EEF" w:rsidR="008E147C" w:rsidRPr="00FD297A" w:rsidRDefault="008E147C" w:rsidP="00FD297A">
            <w:pPr>
              <w:pStyle w:val="Bodyromannumerals"/>
              <w:rPr>
                <w:b/>
                <w:bCs/>
                <w:lang w:val="en-US"/>
              </w:rPr>
            </w:pPr>
            <w:r w:rsidRPr="00FD297A">
              <w:rPr>
                <w:b/>
                <w:bCs/>
                <w:lang w:val="en-US"/>
              </w:rPr>
              <w:t xml:space="preserve">Bulk supply </w:t>
            </w:r>
            <w:r w:rsidR="00D36918">
              <w:rPr>
                <w:b/>
                <w:bCs/>
                <w:lang w:val="en-US"/>
              </w:rPr>
              <w:t>im</w:t>
            </w:r>
            <w:r w:rsidRPr="00FD297A">
              <w:rPr>
                <w:b/>
                <w:bCs/>
                <w:lang w:val="en-US"/>
              </w:rPr>
              <w:t>ports</w:t>
            </w:r>
            <w:r w:rsidR="00D36918">
              <w:rPr>
                <w:b/>
                <w:bCs/>
                <w:lang w:val="en-US"/>
              </w:rPr>
              <w:t xml:space="preserve"> - untreated</w:t>
            </w:r>
          </w:p>
        </w:tc>
        <w:tc>
          <w:tcPr>
            <w:tcW w:w="1262" w:type="dxa"/>
          </w:tcPr>
          <w:p w14:paraId="3A89DB51" w14:textId="77777777" w:rsidR="008E147C" w:rsidRPr="00FD297A" w:rsidRDefault="008E147C" w:rsidP="00FD297A">
            <w:pPr>
              <w:pStyle w:val="Bodyromannumerals"/>
              <w:rPr>
                <w:b/>
                <w:bCs/>
                <w:lang w:val="en-US"/>
              </w:rPr>
            </w:pPr>
            <w:r w:rsidRPr="00FD297A">
              <w:rPr>
                <w:b/>
                <w:bCs/>
                <w:lang w:val="en-US"/>
              </w:rPr>
              <w:t>000 m3/d</w:t>
            </w:r>
          </w:p>
        </w:tc>
      </w:tr>
      <w:tr w:rsidR="008E147C" w:rsidRPr="009A191E" w14:paraId="6D03409D" w14:textId="77777777" w:rsidTr="2C985F9B">
        <w:tc>
          <w:tcPr>
            <w:tcW w:w="1993" w:type="dxa"/>
            <w:gridSpan w:val="2"/>
            <w:tcBorders>
              <w:left w:val="single" w:sz="4" w:space="0" w:color="FFFFFF" w:themeColor="background2"/>
              <w:bottom w:val="single" w:sz="4" w:space="0" w:color="FFFFFF" w:themeColor="background2"/>
              <w:right w:val="single" w:sz="4" w:space="0" w:color="FFFFFF" w:themeColor="background2"/>
            </w:tcBorders>
          </w:tcPr>
          <w:p w14:paraId="4A2F03AD" w14:textId="77777777" w:rsidR="008E147C" w:rsidRPr="009A191E" w:rsidRDefault="008E147C" w:rsidP="00FD297A">
            <w:pPr>
              <w:pStyle w:val="Bodyromannumerals"/>
              <w:rPr>
                <w:i/>
                <w:lang w:val="en-US"/>
              </w:rPr>
            </w:pPr>
            <w:r w:rsidRPr="009A191E">
              <w:rPr>
                <w:i/>
                <w:lang w:val="en-US"/>
              </w:rPr>
              <w:t>Definition:</w:t>
            </w:r>
          </w:p>
        </w:tc>
        <w:tc>
          <w:tcPr>
            <w:tcW w:w="5565" w:type="dxa"/>
            <w:gridSpan w:val="2"/>
            <w:tcBorders>
              <w:left w:val="single" w:sz="4" w:space="0" w:color="FFFFFF" w:themeColor="background2"/>
              <w:bottom w:val="single" w:sz="4" w:space="0" w:color="FFFFFF" w:themeColor="background2"/>
              <w:right w:val="single" w:sz="4" w:space="0" w:color="FFFFFF" w:themeColor="background2"/>
            </w:tcBorders>
          </w:tcPr>
          <w:p w14:paraId="08ACECC0" w14:textId="0ABEF689" w:rsidR="008E147C" w:rsidRPr="009A191E" w:rsidRDefault="008E147C" w:rsidP="00FD297A">
            <w:pPr>
              <w:pStyle w:val="Bodyromannumerals"/>
              <w:rPr>
                <w:lang w:val="en-US"/>
              </w:rPr>
            </w:pPr>
            <w:r w:rsidRPr="009A191E">
              <w:rPr>
                <w:lang w:val="en-US"/>
              </w:rPr>
              <w:t>Volume of</w:t>
            </w:r>
            <w:r w:rsidR="00D36918">
              <w:rPr>
                <w:lang w:val="en-US"/>
              </w:rPr>
              <w:t xml:space="preserve"> untreated</w:t>
            </w:r>
            <w:r w:rsidRPr="009A191E">
              <w:rPr>
                <w:lang w:val="en-US"/>
              </w:rPr>
              <w:t xml:space="preserve"> water </w:t>
            </w:r>
            <w:r w:rsidR="00D36918">
              <w:rPr>
                <w:lang w:val="en-US"/>
              </w:rPr>
              <w:t>imported</w:t>
            </w:r>
            <w:r w:rsidR="00D36918" w:rsidRPr="009A191E">
              <w:rPr>
                <w:lang w:val="en-US"/>
              </w:rPr>
              <w:t xml:space="preserve"> </w:t>
            </w:r>
            <w:r w:rsidR="00D36918">
              <w:rPr>
                <w:lang w:val="en-US"/>
              </w:rPr>
              <w:t xml:space="preserve">from </w:t>
            </w:r>
            <w:r w:rsidRPr="009A191E">
              <w:rPr>
                <w:lang w:val="en-US"/>
              </w:rPr>
              <w:t xml:space="preserve">outside </w:t>
            </w:r>
            <w:r w:rsidR="00FE1A90">
              <w:rPr>
                <w:lang w:val="en-US"/>
              </w:rPr>
              <w:t xml:space="preserve">the </w:t>
            </w:r>
            <w:r w:rsidR="002E6A73">
              <w:rPr>
                <w:lang w:val="en-US"/>
              </w:rPr>
              <w:t>Local</w:t>
            </w:r>
            <w:r w:rsidR="00FE1A90">
              <w:rPr>
                <w:lang w:val="en-US"/>
              </w:rPr>
              <w:t xml:space="preserve"> Authority’s</w:t>
            </w:r>
            <w:r w:rsidRPr="009A191E">
              <w:rPr>
                <w:lang w:val="en-US"/>
              </w:rPr>
              <w:t xml:space="preserve"> service area in bulk supplies.  </w:t>
            </w:r>
          </w:p>
        </w:tc>
      </w:tr>
      <w:tr w:rsidR="008E147C" w:rsidRPr="009A191E" w14:paraId="04F5F44C" w14:textId="77777777" w:rsidTr="2C985F9B">
        <w:tc>
          <w:tcPr>
            <w:tcW w:w="199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0D2B016" w14:textId="77777777" w:rsidR="008E147C" w:rsidRPr="009A191E" w:rsidRDefault="008E147C" w:rsidP="00FD297A">
            <w:pPr>
              <w:pStyle w:val="Bodyromannumerals"/>
              <w:rPr>
                <w:i/>
                <w:lang w:val="en-US"/>
              </w:rPr>
            </w:pPr>
            <w:r w:rsidRPr="009A191E">
              <w:rPr>
                <w:i/>
                <w:lang w:val="en-US"/>
              </w:rPr>
              <w:t>Processing Rules:</w:t>
            </w:r>
          </w:p>
        </w:tc>
        <w:tc>
          <w:tcPr>
            <w:tcW w:w="556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DBA08F2" w14:textId="77777777" w:rsidR="008E147C" w:rsidRPr="009A191E" w:rsidRDefault="008E147C" w:rsidP="00FD297A">
            <w:pPr>
              <w:pStyle w:val="Bodyromannumerals"/>
              <w:rPr>
                <w:lang w:val="en-US"/>
              </w:rPr>
            </w:pPr>
            <w:r w:rsidRPr="009A191E">
              <w:rPr>
                <w:lang w:val="en-US"/>
              </w:rPr>
              <w:t>Input field</w:t>
            </w:r>
          </w:p>
        </w:tc>
      </w:tr>
      <w:tr w:rsidR="00D36918" w:rsidRPr="00FD297A" w14:paraId="060DD484" w14:textId="77777777" w:rsidTr="009F0A88">
        <w:tc>
          <w:tcPr>
            <w:tcW w:w="1050" w:type="dxa"/>
          </w:tcPr>
          <w:p w14:paraId="6E301FF5" w14:textId="750DF550" w:rsidR="00D36918" w:rsidRPr="00FD297A" w:rsidRDefault="00D36918" w:rsidP="009F0A88">
            <w:pPr>
              <w:pStyle w:val="Bodyromannumerals"/>
              <w:rPr>
                <w:b/>
                <w:bCs/>
                <w:lang w:val="en-US"/>
              </w:rPr>
            </w:pPr>
            <w:r w:rsidRPr="00FD297A">
              <w:rPr>
                <w:b/>
                <w:bCs/>
                <w:lang w:val="en-US"/>
              </w:rPr>
              <w:t>A2.35</w:t>
            </w:r>
            <w:r>
              <w:rPr>
                <w:b/>
                <w:bCs/>
                <w:lang w:val="en-US"/>
              </w:rPr>
              <w:t>a</w:t>
            </w:r>
          </w:p>
        </w:tc>
        <w:tc>
          <w:tcPr>
            <w:tcW w:w="5246" w:type="dxa"/>
            <w:gridSpan w:val="2"/>
          </w:tcPr>
          <w:p w14:paraId="4746E0A8" w14:textId="6EF84A33" w:rsidR="00D36918" w:rsidRPr="00FD297A" w:rsidRDefault="00D36918" w:rsidP="009F0A88">
            <w:pPr>
              <w:pStyle w:val="Bodyromannumerals"/>
              <w:rPr>
                <w:b/>
                <w:bCs/>
                <w:lang w:val="en-US"/>
              </w:rPr>
            </w:pPr>
            <w:r w:rsidRPr="00FD297A">
              <w:rPr>
                <w:b/>
                <w:bCs/>
                <w:lang w:val="en-US"/>
              </w:rPr>
              <w:t>Bulk supply exports</w:t>
            </w:r>
            <w:r>
              <w:rPr>
                <w:b/>
                <w:bCs/>
                <w:lang w:val="en-US"/>
              </w:rPr>
              <w:t xml:space="preserve"> - treated</w:t>
            </w:r>
          </w:p>
        </w:tc>
        <w:tc>
          <w:tcPr>
            <w:tcW w:w="1262" w:type="dxa"/>
          </w:tcPr>
          <w:p w14:paraId="0525612E" w14:textId="77777777" w:rsidR="00D36918" w:rsidRPr="00FD297A" w:rsidRDefault="00D36918" w:rsidP="009F0A88">
            <w:pPr>
              <w:pStyle w:val="Bodyromannumerals"/>
              <w:rPr>
                <w:b/>
                <w:bCs/>
                <w:lang w:val="en-US"/>
              </w:rPr>
            </w:pPr>
            <w:r w:rsidRPr="00FD297A">
              <w:rPr>
                <w:b/>
                <w:bCs/>
                <w:lang w:val="en-US"/>
              </w:rPr>
              <w:t>000 m3/d</w:t>
            </w:r>
          </w:p>
        </w:tc>
      </w:tr>
      <w:tr w:rsidR="00D36918" w:rsidRPr="009A191E" w14:paraId="1BE113B7" w14:textId="77777777" w:rsidTr="009F0A88">
        <w:tc>
          <w:tcPr>
            <w:tcW w:w="1993" w:type="dxa"/>
            <w:gridSpan w:val="2"/>
            <w:tcBorders>
              <w:left w:val="single" w:sz="4" w:space="0" w:color="FFFFFF" w:themeColor="background2"/>
              <w:bottom w:val="single" w:sz="4" w:space="0" w:color="FFFFFF" w:themeColor="background2"/>
              <w:right w:val="single" w:sz="4" w:space="0" w:color="FFFFFF" w:themeColor="background2"/>
            </w:tcBorders>
          </w:tcPr>
          <w:p w14:paraId="5B9E8546" w14:textId="77777777" w:rsidR="00D36918" w:rsidRPr="009A191E" w:rsidRDefault="00D36918" w:rsidP="009F0A88">
            <w:pPr>
              <w:pStyle w:val="Bodyromannumerals"/>
              <w:rPr>
                <w:i/>
                <w:lang w:val="en-US"/>
              </w:rPr>
            </w:pPr>
            <w:r w:rsidRPr="009A191E">
              <w:rPr>
                <w:i/>
                <w:lang w:val="en-US"/>
              </w:rPr>
              <w:t>Definition:</w:t>
            </w:r>
          </w:p>
        </w:tc>
        <w:tc>
          <w:tcPr>
            <w:tcW w:w="5565" w:type="dxa"/>
            <w:gridSpan w:val="2"/>
            <w:tcBorders>
              <w:left w:val="single" w:sz="4" w:space="0" w:color="FFFFFF" w:themeColor="background2"/>
              <w:bottom w:val="single" w:sz="4" w:space="0" w:color="FFFFFF" w:themeColor="background2"/>
              <w:right w:val="single" w:sz="4" w:space="0" w:color="FFFFFF" w:themeColor="background2"/>
            </w:tcBorders>
          </w:tcPr>
          <w:p w14:paraId="6B6BA68B" w14:textId="2078094D" w:rsidR="00D36918" w:rsidRPr="009A191E" w:rsidRDefault="00D36918" w:rsidP="009F0A88">
            <w:pPr>
              <w:pStyle w:val="Bodyromannumerals"/>
              <w:rPr>
                <w:lang w:val="en-US"/>
              </w:rPr>
            </w:pPr>
            <w:r w:rsidRPr="009A191E">
              <w:rPr>
                <w:lang w:val="en-US"/>
              </w:rPr>
              <w:t xml:space="preserve">Volume of </w:t>
            </w:r>
            <w:r>
              <w:rPr>
                <w:lang w:val="en-US"/>
              </w:rPr>
              <w:t xml:space="preserve">treated </w:t>
            </w:r>
            <w:r w:rsidRPr="009A191E">
              <w:rPr>
                <w:lang w:val="en-US"/>
              </w:rPr>
              <w:t xml:space="preserve">water exported outside </w:t>
            </w:r>
            <w:r>
              <w:rPr>
                <w:lang w:val="en-US"/>
              </w:rPr>
              <w:t>the Local Authority’s</w:t>
            </w:r>
            <w:r w:rsidRPr="009A191E">
              <w:rPr>
                <w:lang w:val="en-US"/>
              </w:rPr>
              <w:t xml:space="preserve"> service area in bulk supplies.</w:t>
            </w:r>
          </w:p>
        </w:tc>
      </w:tr>
      <w:tr w:rsidR="00D36918" w:rsidRPr="009A191E" w14:paraId="1CDF8270" w14:textId="77777777" w:rsidTr="009F0A88">
        <w:tc>
          <w:tcPr>
            <w:tcW w:w="199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4BE18A4" w14:textId="77777777" w:rsidR="00D36918" w:rsidRPr="009A191E" w:rsidRDefault="00D36918" w:rsidP="009F0A88">
            <w:pPr>
              <w:pStyle w:val="Bodyromannumerals"/>
              <w:rPr>
                <w:i/>
                <w:lang w:val="en-US"/>
              </w:rPr>
            </w:pPr>
            <w:r w:rsidRPr="009A191E">
              <w:rPr>
                <w:i/>
                <w:lang w:val="en-US"/>
              </w:rPr>
              <w:t>Processing Rules:</w:t>
            </w:r>
          </w:p>
        </w:tc>
        <w:tc>
          <w:tcPr>
            <w:tcW w:w="556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BC41828" w14:textId="77777777" w:rsidR="00D36918" w:rsidRPr="009A191E" w:rsidRDefault="00D36918" w:rsidP="009F0A88">
            <w:pPr>
              <w:pStyle w:val="Bodyromannumerals"/>
              <w:rPr>
                <w:lang w:val="en-US"/>
              </w:rPr>
            </w:pPr>
            <w:r w:rsidRPr="009A191E">
              <w:rPr>
                <w:lang w:val="en-US"/>
              </w:rPr>
              <w:t>Input field</w:t>
            </w:r>
          </w:p>
        </w:tc>
      </w:tr>
      <w:tr w:rsidR="00D36918" w:rsidRPr="00FD297A" w14:paraId="7872EA9F" w14:textId="77777777" w:rsidTr="009F0A88">
        <w:tc>
          <w:tcPr>
            <w:tcW w:w="1050" w:type="dxa"/>
          </w:tcPr>
          <w:p w14:paraId="459BB63D" w14:textId="19CE4EBA" w:rsidR="00D36918" w:rsidRPr="00FD297A" w:rsidRDefault="00D36918" w:rsidP="009F0A88">
            <w:pPr>
              <w:pStyle w:val="Bodyromannumerals"/>
              <w:rPr>
                <w:b/>
                <w:bCs/>
                <w:lang w:val="en-US"/>
              </w:rPr>
            </w:pPr>
            <w:r w:rsidRPr="00FD297A">
              <w:rPr>
                <w:b/>
                <w:bCs/>
                <w:lang w:val="en-US"/>
              </w:rPr>
              <w:t>A2.35</w:t>
            </w:r>
            <w:r w:rsidR="009D7479">
              <w:rPr>
                <w:b/>
                <w:bCs/>
                <w:lang w:val="en-US"/>
              </w:rPr>
              <w:t>b</w:t>
            </w:r>
          </w:p>
        </w:tc>
        <w:tc>
          <w:tcPr>
            <w:tcW w:w="5246" w:type="dxa"/>
            <w:gridSpan w:val="2"/>
          </w:tcPr>
          <w:p w14:paraId="01AB1ACE" w14:textId="4EF60C13" w:rsidR="00D36918" w:rsidRPr="00FD297A" w:rsidRDefault="00D36918" w:rsidP="009F0A88">
            <w:pPr>
              <w:pStyle w:val="Bodyromannumerals"/>
              <w:rPr>
                <w:b/>
                <w:bCs/>
                <w:lang w:val="en-US"/>
              </w:rPr>
            </w:pPr>
            <w:r w:rsidRPr="00FD297A">
              <w:rPr>
                <w:b/>
                <w:bCs/>
                <w:lang w:val="en-US"/>
              </w:rPr>
              <w:t>Bulk supply exports</w:t>
            </w:r>
            <w:r>
              <w:rPr>
                <w:b/>
                <w:bCs/>
                <w:lang w:val="en-US"/>
              </w:rPr>
              <w:t xml:space="preserve"> - untreated</w:t>
            </w:r>
          </w:p>
        </w:tc>
        <w:tc>
          <w:tcPr>
            <w:tcW w:w="1262" w:type="dxa"/>
          </w:tcPr>
          <w:p w14:paraId="1C2FFFBE" w14:textId="77777777" w:rsidR="00D36918" w:rsidRPr="00FD297A" w:rsidRDefault="00D36918" w:rsidP="009F0A88">
            <w:pPr>
              <w:pStyle w:val="Bodyromannumerals"/>
              <w:rPr>
                <w:b/>
                <w:bCs/>
                <w:lang w:val="en-US"/>
              </w:rPr>
            </w:pPr>
            <w:r w:rsidRPr="00FD297A">
              <w:rPr>
                <w:b/>
                <w:bCs/>
                <w:lang w:val="en-US"/>
              </w:rPr>
              <w:t>000 m3/d</w:t>
            </w:r>
          </w:p>
        </w:tc>
      </w:tr>
      <w:tr w:rsidR="00D36918" w:rsidRPr="009A191E" w14:paraId="51648EE1" w14:textId="77777777" w:rsidTr="009F0A88">
        <w:tc>
          <w:tcPr>
            <w:tcW w:w="1993" w:type="dxa"/>
            <w:gridSpan w:val="2"/>
            <w:tcBorders>
              <w:left w:val="single" w:sz="4" w:space="0" w:color="FFFFFF" w:themeColor="background2"/>
              <w:bottom w:val="single" w:sz="4" w:space="0" w:color="FFFFFF" w:themeColor="background2"/>
              <w:right w:val="single" w:sz="4" w:space="0" w:color="FFFFFF" w:themeColor="background2"/>
            </w:tcBorders>
          </w:tcPr>
          <w:p w14:paraId="6B9FDB5B" w14:textId="77777777" w:rsidR="00D36918" w:rsidRPr="009A191E" w:rsidRDefault="00D36918" w:rsidP="009F0A88">
            <w:pPr>
              <w:pStyle w:val="Bodyromannumerals"/>
              <w:rPr>
                <w:i/>
                <w:lang w:val="en-US"/>
              </w:rPr>
            </w:pPr>
            <w:r w:rsidRPr="009A191E">
              <w:rPr>
                <w:i/>
                <w:lang w:val="en-US"/>
              </w:rPr>
              <w:t>Definition:</w:t>
            </w:r>
          </w:p>
        </w:tc>
        <w:tc>
          <w:tcPr>
            <w:tcW w:w="5565" w:type="dxa"/>
            <w:gridSpan w:val="2"/>
            <w:tcBorders>
              <w:left w:val="single" w:sz="4" w:space="0" w:color="FFFFFF" w:themeColor="background2"/>
              <w:bottom w:val="single" w:sz="4" w:space="0" w:color="FFFFFF" w:themeColor="background2"/>
              <w:right w:val="single" w:sz="4" w:space="0" w:color="FFFFFF" w:themeColor="background2"/>
            </w:tcBorders>
          </w:tcPr>
          <w:p w14:paraId="6EAF2D2A" w14:textId="461C4DBE" w:rsidR="00D36918" w:rsidRPr="009A191E" w:rsidRDefault="00D36918" w:rsidP="009F0A88">
            <w:pPr>
              <w:pStyle w:val="Bodyromannumerals"/>
              <w:rPr>
                <w:lang w:val="en-US"/>
              </w:rPr>
            </w:pPr>
            <w:r w:rsidRPr="009A191E">
              <w:rPr>
                <w:lang w:val="en-US"/>
              </w:rPr>
              <w:t xml:space="preserve">Volume of </w:t>
            </w:r>
            <w:r>
              <w:rPr>
                <w:lang w:val="en-US"/>
              </w:rPr>
              <w:t xml:space="preserve">untreated </w:t>
            </w:r>
            <w:r w:rsidRPr="009A191E">
              <w:rPr>
                <w:lang w:val="en-US"/>
              </w:rPr>
              <w:t xml:space="preserve">water exported outside </w:t>
            </w:r>
            <w:r>
              <w:rPr>
                <w:lang w:val="en-US"/>
              </w:rPr>
              <w:t>the Local Authority’s</w:t>
            </w:r>
            <w:r w:rsidRPr="009A191E">
              <w:rPr>
                <w:lang w:val="en-US"/>
              </w:rPr>
              <w:t xml:space="preserve"> service area in bulk supplies.  </w:t>
            </w:r>
          </w:p>
        </w:tc>
      </w:tr>
      <w:tr w:rsidR="00D36918" w:rsidRPr="009A191E" w14:paraId="5B4ED166" w14:textId="77777777" w:rsidTr="009F0A88">
        <w:tc>
          <w:tcPr>
            <w:tcW w:w="199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9CA39DD" w14:textId="77777777" w:rsidR="00D36918" w:rsidRPr="009A191E" w:rsidRDefault="00D36918" w:rsidP="009F0A88">
            <w:pPr>
              <w:pStyle w:val="Bodyromannumerals"/>
              <w:rPr>
                <w:i/>
                <w:lang w:val="en-US"/>
              </w:rPr>
            </w:pPr>
            <w:r w:rsidRPr="009A191E">
              <w:rPr>
                <w:i/>
                <w:lang w:val="en-US"/>
              </w:rPr>
              <w:t>Processing Rules:</w:t>
            </w:r>
          </w:p>
        </w:tc>
        <w:tc>
          <w:tcPr>
            <w:tcW w:w="556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E1A8AE1" w14:textId="77777777" w:rsidR="00D36918" w:rsidRPr="009A191E" w:rsidRDefault="00D36918" w:rsidP="009F0A88">
            <w:pPr>
              <w:pStyle w:val="Bodyromannumerals"/>
              <w:rPr>
                <w:lang w:val="en-US"/>
              </w:rPr>
            </w:pPr>
            <w:r w:rsidRPr="009A191E">
              <w:rPr>
                <w:lang w:val="en-US"/>
              </w:rPr>
              <w:t>Input field</w:t>
            </w:r>
          </w:p>
        </w:tc>
      </w:tr>
    </w:tbl>
    <w:p w14:paraId="733FA0ED" w14:textId="07145F3E" w:rsidR="008E147C" w:rsidRPr="009A191E" w:rsidRDefault="00985850" w:rsidP="00D36918">
      <w:pPr>
        <w:pStyle w:val="Sectionsub-heading"/>
        <w:rPr>
          <w:lang w:val="en-GB"/>
        </w:rPr>
      </w:pPr>
      <w:r>
        <w:rPr>
          <w:lang w:val="en-GB"/>
        </w:rPr>
        <w:t>BLOCK 7: LEAKAGE</w:t>
      </w:r>
    </w:p>
    <w:tbl>
      <w:tblPr>
        <w:tblStyle w:val="TableGrid3"/>
        <w:tblW w:w="7558" w:type="dxa"/>
        <w:tblLook w:val="04A0" w:firstRow="1" w:lastRow="0" w:firstColumn="1" w:lastColumn="0" w:noHBand="0" w:noVBand="1"/>
      </w:tblPr>
      <w:tblGrid>
        <w:gridCol w:w="1050"/>
        <w:gridCol w:w="950"/>
        <w:gridCol w:w="4368"/>
        <w:gridCol w:w="1190"/>
      </w:tblGrid>
      <w:tr w:rsidR="009C3A70" w:rsidRPr="00FD297A" w14:paraId="69893CFD" w14:textId="77777777" w:rsidTr="2C985F9B">
        <w:tc>
          <w:tcPr>
            <w:tcW w:w="1050" w:type="dxa"/>
          </w:tcPr>
          <w:p w14:paraId="12196315" w14:textId="2C0095B1" w:rsidR="009C3A70" w:rsidRPr="00FD297A" w:rsidRDefault="009C3A70" w:rsidP="00926C76">
            <w:pPr>
              <w:pStyle w:val="Bodyromannumerals"/>
              <w:rPr>
                <w:b/>
                <w:bCs/>
                <w:lang w:val="en-US"/>
              </w:rPr>
            </w:pPr>
            <w:r w:rsidRPr="00FD297A">
              <w:rPr>
                <w:b/>
                <w:bCs/>
                <w:lang w:val="en-US"/>
              </w:rPr>
              <w:t>A2.3</w:t>
            </w:r>
            <w:r>
              <w:rPr>
                <w:b/>
                <w:bCs/>
                <w:lang w:val="en-US"/>
              </w:rPr>
              <w:t>7</w:t>
            </w:r>
          </w:p>
        </w:tc>
        <w:tc>
          <w:tcPr>
            <w:tcW w:w="5318" w:type="dxa"/>
            <w:gridSpan w:val="2"/>
          </w:tcPr>
          <w:p w14:paraId="72FAEA40" w14:textId="730263B1" w:rsidR="009C3A70" w:rsidRPr="00FD297A" w:rsidRDefault="009C3A70" w:rsidP="00926C76">
            <w:pPr>
              <w:pStyle w:val="Bodyromannumerals"/>
              <w:rPr>
                <w:b/>
                <w:bCs/>
                <w:lang w:val="en-US"/>
              </w:rPr>
            </w:pPr>
            <w:r>
              <w:rPr>
                <w:b/>
                <w:bCs/>
                <w:lang w:val="en-US"/>
              </w:rPr>
              <w:t>Leakage target</w:t>
            </w:r>
          </w:p>
        </w:tc>
        <w:tc>
          <w:tcPr>
            <w:tcW w:w="1190" w:type="dxa"/>
          </w:tcPr>
          <w:p w14:paraId="1EF9A059" w14:textId="5586B4A4" w:rsidR="009C3A70" w:rsidRPr="00FD297A" w:rsidRDefault="00B843E4" w:rsidP="00926C76">
            <w:pPr>
              <w:pStyle w:val="Bodyromannumerals"/>
              <w:rPr>
                <w:b/>
                <w:bCs/>
                <w:lang w:val="en-US"/>
              </w:rPr>
            </w:pPr>
            <w:r>
              <w:rPr>
                <w:b/>
                <w:bCs/>
                <w:lang w:val="en-US"/>
              </w:rPr>
              <w:t>%</w:t>
            </w:r>
          </w:p>
        </w:tc>
      </w:tr>
      <w:tr w:rsidR="009C3A70" w:rsidRPr="009A191E" w14:paraId="0471F88E" w14:textId="77777777" w:rsidTr="2C985F9B">
        <w:tc>
          <w:tcPr>
            <w:tcW w:w="2000" w:type="dxa"/>
            <w:gridSpan w:val="2"/>
            <w:tcBorders>
              <w:left w:val="single" w:sz="4" w:space="0" w:color="FFFFFF" w:themeColor="background2"/>
              <w:bottom w:val="nil"/>
              <w:right w:val="single" w:sz="4" w:space="0" w:color="FFFFFF" w:themeColor="background2"/>
            </w:tcBorders>
          </w:tcPr>
          <w:p w14:paraId="50F59AC3" w14:textId="77777777" w:rsidR="009C3A70" w:rsidRPr="009A191E" w:rsidRDefault="009C3A70" w:rsidP="00926C76">
            <w:pPr>
              <w:pStyle w:val="Bodyromannumerals"/>
              <w:rPr>
                <w:i/>
                <w:lang w:val="en-US"/>
              </w:rPr>
            </w:pPr>
            <w:r w:rsidRPr="009A191E">
              <w:rPr>
                <w:i/>
                <w:lang w:val="en-US"/>
              </w:rPr>
              <w:t>Definition:</w:t>
            </w:r>
          </w:p>
        </w:tc>
        <w:tc>
          <w:tcPr>
            <w:tcW w:w="5558" w:type="dxa"/>
            <w:gridSpan w:val="2"/>
            <w:tcBorders>
              <w:left w:val="single" w:sz="4" w:space="0" w:color="FFFFFF" w:themeColor="background2"/>
              <w:bottom w:val="nil"/>
              <w:right w:val="single" w:sz="4" w:space="0" w:color="FFFFFF" w:themeColor="background2"/>
            </w:tcBorders>
          </w:tcPr>
          <w:p w14:paraId="793F1768" w14:textId="3C9D2336" w:rsidR="009C3A70" w:rsidRPr="009A191E" w:rsidRDefault="009C3A70" w:rsidP="00926C76">
            <w:pPr>
              <w:pStyle w:val="Bodyromannumerals"/>
              <w:rPr>
                <w:lang w:val="en-US"/>
              </w:rPr>
            </w:pPr>
            <w:r w:rsidRPr="009C3A70">
              <w:rPr>
                <w:lang w:val="en-US"/>
              </w:rPr>
              <w:t>This represents the annual leakage target for the reporting organisation and is used for an assessment of leakage performance where actual performance is compared with leakage targets.</w:t>
            </w:r>
          </w:p>
        </w:tc>
      </w:tr>
      <w:tr w:rsidR="00840540" w:rsidRPr="009A191E" w14:paraId="7D78456E" w14:textId="77777777" w:rsidTr="2C985F9B">
        <w:tc>
          <w:tcPr>
            <w:tcW w:w="2000" w:type="dxa"/>
            <w:gridSpan w:val="2"/>
            <w:tcBorders>
              <w:top w:val="nil"/>
              <w:left w:val="nil"/>
              <w:bottom w:val="nil"/>
              <w:right w:val="nil"/>
            </w:tcBorders>
          </w:tcPr>
          <w:p w14:paraId="3F43FE4F" w14:textId="180FB686" w:rsidR="00840540" w:rsidRPr="009A191E" w:rsidRDefault="00840540" w:rsidP="00926C76">
            <w:pPr>
              <w:pStyle w:val="Bodyromannumerals"/>
              <w:rPr>
                <w:i/>
                <w:lang w:val="en-US"/>
              </w:rPr>
            </w:pPr>
            <w:r>
              <w:rPr>
                <w:i/>
                <w:lang w:val="en-US"/>
              </w:rPr>
              <w:t>Processing Rules</w:t>
            </w:r>
          </w:p>
        </w:tc>
        <w:tc>
          <w:tcPr>
            <w:tcW w:w="5558" w:type="dxa"/>
            <w:gridSpan w:val="2"/>
            <w:tcBorders>
              <w:top w:val="nil"/>
              <w:left w:val="nil"/>
              <w:bottom w:val="nil"/>
              <w:right w:val="nil"/>
            </w:tcBorders>
          </w:tcPr>
          <w:p w14:paraId="2E7FF21E" w14:textId="7CB6A03C" w:rsidR="00840540" w:rsidRPr="009C3A70" w:rsidRDefault="00B843E4" w:rsidP="00926C76">
            <w:pPr>
              <w:pStyle w:val="Bodyromannumerals"/>
              <w:rPr>
                <w:lang w:val="en-US"/>
              </w:rPr>
            </w:pPr>
            <w:r>
              <w:rPr>
                <w:lang w:val="en-US"/>
              </w:rPr>
              <w:t>Input field</w:t>
            </w:r>
          </w:p>
        </w:tc>
      </w:tr>
    </w:tbl>
    <w:p w14:paraId="0F4E3AE7" w14:textId="61CE405D" w:rsidR="00091D09" w:rsidRDefault="00091D09" w:rsidP="00FD297A">
      <w:pPr>
        <w:pStyle w:val="Sectionsub-heading"/>
        <w:rPr>
          <w:lang w:val="en-GB"/>
        </w:rPr>
      </w:pPr>
    </w:p>
    <w:p w14:paraId="36CC63CA" w14:textId="77777777" w:rsidR="00DE4283" w:rsidRDefault="00DE4283">
      <w:pPr>
        <w:spacing w:after="160" w:line="259" w:lineRule="auto"/>
        <w:rPr>
          <w:rFonts w:ascii="Segoe UI" w:hAnsi="Segoe UI" w:cs="Segoe UI"/>
          <w:b/>
          <w:bCs/>
          <w:color w:val="03B2C4"/>
          <w:sz w:val="36"/>
          <w:szCs w:val="36"/>
          <w:lang w:val="en-GB"/>
        </w:rPr>
      </w:pPr>
      <w:r>
        <w:rPr>
          <w:lang w:val="en-GB"/>
        </w:rPr>
        <w:br w:type="page"/>
      </w:r>
    </w:p>
    <w:p w14:paraId="6F4974E3" w14:textId="3224548D" w:rsidR="008E147C" w:rsidRPr="009A191E" w:rsidRDefault="008E147C" w:rsidP="00091D09">
      <w:pPr>
        <w:pStyle w:val="Title1"/>
        <w:rPr>
          <w:lang w:val="en-GB"/>
        </w:rPr>
      </w:pPr>
      <w:r w:rsidRPr="009A191E">
        <w:rPr>
          <w:lang w:val="en-GB"/>
        </w:rPr>
        <w:lastRenderedPageBreak/>
        <w:t>TABLE A3: WASTEWATER PROPERTIES &amp; POPULATION</w:t>
      </w:r>
    </w:p>
    <w:p w14:paraId="70162A17" w14:textId="77777777" w:rsidR="008E147C" w:rsidRPr="009A191E" w:rsidRDefault="008E147C" w:rsidP="00FD297A">
      <w:pPr>
        <w:pStyle w:val="Sectionsub-heading"/>
        <w:rPr>
          <w:lang w:val="en-GB"/>
        </w:rPr>
      </w:pPr>
      <w:r w:rsidRPr="009A191E">
        <w:rPr>
          <w:lang w:val="en-GB"/>
        </w:rPr>
        <w:t>Properties</w:t>
      </w:r>
    </w:p>
    <w:p w14:paraId="1D59AE6B" w14:textId="42203F7E" w:rsidR="008E147C" w:rsidRPr="00B03104" w:rsidRDefault="008E147C" w:rsidP="00871522">
      <w:pPr>
        <w:pStyle w:val="Bodynumbercopy"/>
        <w:numPr>
          <w:ilvl w:val="0"/>
          <w:numId w:val="26"/>
        </w:numPr>
        <w:rPr>
          <w:lang w:val="en-GB"/>
        </w:rPr>
      </w:pPr>
      <w:r w:rsidRPr="00B03104">
        <w:rPr>
          <w:lang w:val="en-GB"/>
        </w:rPr>
        <w:t xml:space="preserve">This table includes a breakdown of all measured and unmeasured </w:t>
      </w:r>
      <w:r w:rsidR="00BB5A05">
        <w:rPr>
          <w:lang w:val="en-GB"/>
        </w:rPr>
        <w:t>household</w:t>
      </w:r>
      <w:r w:rsidRPr="00B03104">
        <w:rPr>
          <w:lang w:val="en-GB"/>
        </w:rPr>
        <w:t xml:space="preserve"> and non-</w:t>
      </w:r>
      <w:r w:rsidR="00BB5A05">
        <w:rPr>
          <w:lang w:val="en-GB"/>
        </w:rPr>
        <w:t>household</w:t>
      </w:r>
      <w:r w:rsidRPr="00B03104">
        <w:rPr>
          <w:lang w:val="en-GB"/>
        </w:rPr>
        <w:t xml:space="preserve"> properties and an analysis of the total number of properties connected to the </w:t>
      </w:r>
      <w:r w:rsidR="000157EF">
        <w:rPr>
          <w:lang w:val="en-GB"/>
        </w:rPr>
        <w:t>wastewater</w:t>
      </w:r>
      <w:r w:rsidRPr="00B03104">
        <w:rPr>
          <w:lang w:val="en-GB"/>
        </w:rPr>
        <w:t xml:space="preserve"> system and those receiving treatment.</w:t>
      </w:r>
    </w:p>
    <w:p w14:paraId="1484EE4E" w14:textId="201936FE" w:rsidR="008E147C" w:rsidRPr="005677DF" w:rsidRDefault="008E147C" w:rsidP="005677DF">
      <w:pPr>
        <w:pStyle w:val="Bodynumbercopy"/>
        <w:rPr>
          <w:lang w:val="en-GB"/>
        </w:rPr>
      </w:pPr>
      <w:r w:rsidRPr="005677DF">
        <w:rPr>
          <w:lang w:val="en-GB"/>
        </w:rPr>
        <w:t xml:space="preserve">Definitions for </w:t>
      </w:r>
      <w:r w:rsidR="00BB5A05">
        <w:rPr>
          <w:i/>
          <w:iCs/>
          <w:lang w:val="en-GB"/>
        </w:rPr>
        <w:t>household</w:t>
      </w:r>
      <w:r w:rsidRPr="005677DF">
        <w:rPr>
          <w:i/>
          <w:iCs/>
          <w:lang w:val="en-GB"/>
        </w:rPr>
        <w:t xml:space="preserve"> property</w:t>
      </w:r>
      <w:r w:rsidRPr="005677DF">
        <w:rPr>
          <w:lang w:val="en-GB"/>
        </w:rPr>
        <w:t xml:space="preserve"> and </w:t>
      </w:r>
      <w:r w:rsidRPr="005677DF">
        <w:rPr>
          <w:i/>
          <w:iCs/>
          <w:lang w:val="en-GB"/>
        </w:rPr>
        <w:t>non-</w:t>
      </w:r>
      <w:r w:rsidR="00BB5A05">
        <w:rPr>
          <w:i/>
          <w:iCs/>
          <w:lang w:val="en-GB"/>
        </w:rPr>
        <w:t>household</w:t>
      </w:r>
      <w:r w:rsidRPr="005677DF">
        <w:rPr>
          <w:i/>
          <w:iCs/>
          <w:lang w:val="en-GB"/>
        </w:rPr>
        <w:t xml:space="preserve"> property</w:t>
      </w:r>
      <w:r w:rsidRPr="005677DF">
        <w:rPr>
          <w:lang w:val="en-GB"/>
        </w:rPr>
        <w:t xml:space="preserve"> are given in </w:t>
      </w:r>
      <w:r w:rsidR="00E56108" w:rsidRPr="005677DF">
        <w:rPr>
          <w:lang w:val="en-GB"/>
        </w:rPr>
        <w:t xml:space="preserve">Table </w:t>
      </w:r>
      <w:r w:rsidRPr="005677DF">
        <w:rPr>
          <w:lang w:val="en-GB"/>
        </w:rPr>
        <w:t>A1.</w:t>
      </w:r>
    </w:p>
    <w:p w14:paraId="63AF33A8" w14:textId="46DF5813" w:rsidR="008E147C" w:rsidRDefault="008E147C" w:rsidP="00FD297A">
      <w:pPr>
        <w:pStyle w:val="Bodynumbercopy"/>
        <w:rPr>
          <w:lang w:val="en-GB"/>
        </w:rPr>
      </w:pPr>
      <w:r w:rsidRPr="2C985F9B">
        <w:rPr>
          <w:lang w:val="en-GB"/>
        </w:rPr>
        <w:t xml:space="preserve">A </w:t>
      </w:r>
      <w:r w:rsidRPr="00AC2CB9">
        <w:rPr>
          <w:b/>
          <w:bCs/>
          <w:i/>
          <w:iCs/>
          <w:lang w:val="en-GB"/>
        </w:rPr>
        <w:t>property</w:t>
      </w:r>
      <w:r w:rsidRPr="2C985F9B">
        <w:rPr>
          <w:lang w:val="en-GB"/>
        </w:rPr>
        <w:t xml:space="preserve"> is defined as being the subject of a separate </w:t>
      </w:r>
      <w:r w:rsidR="000157EF">
        <w:rPr>
          <w:lang w:val="en-GB"/>
        </w:rPr>
        <w:t>wastewater</w:t>
      </w:r>
      <w:r w:rsidRPr="2C985F9B">
        <w:rPr>
          <w:lang w:val="en-GB"/>
        </w:rPr>
        <w:t xml:space="preserve"> </w:t>
      </w:r>
      <w:r w:rsidR="00BC6852">
        <w:rPr>
          <w:lang w:val="en-GB"/>
        </w:rPr>
        <w:t>service</w:t>
      </w:r>
      <w:r w:rsidRPr="2C985F9B">
        <w:rPr>
          <w:lang w:val="en-GB"/>
        </w:rPr>
        <w:t xml:space="preserve">, and being occupied as a </w:t>
      </w:r>
      <w:r w:rsidR="00BB5A05">
        <w:rPr>
          <w:lang w:val="en-GB"/>
        </w:rPr>
        <w:t>household</w:t>
      </w:r>
      <w:r w:rsidRPr="2C985F9B">
        <w:rPr>
          <w:lang w:val="en-GB"/>
        </w:rPr>
        <w:t xml:space="preserve"> property, or used for public, commercial or industrial purposes.</w:t>
      </w:r>
      <w:r w:rsidR="00E7203C" w:rsidRPr="2C985F9B">
        <w:rPr>
          <w:lang w:val="en-GB"/>
        </w:rPr>
        <w:t xml:space="preserve"> Multi-unit dwellings such as a block of apartments should be counted based on the number of separate dwellings (i.e. a block of 10 apartments which have a single connection should be counted as 10 properties). </w:t>
      </w:r>
    </w:p>
    <w:p w14:paraId="4EDE5D92" w14:textId="61EB1DB7" w:rsidR="00410294" w:rsidRDefault="00410294" w:rsidP="00410294">
      <w:pPr>
        <w:pStyle w:val="Bodynumbercopy"/>
        <w:rPr>
          <w:lang w:val="en-GB"/>
        </w:rPr>
      </w:pPr>
      <w:r w:rsidRPr="2C985F9B">
        <w:rPr>
          <w:lang w:val="en-GB"/>
        </w:rPr>
        <w:t xml:space="preserve">The </w:t>
      </w:r>
      <w:r w:rsidR="002E6A73">
        <w:rPr>
          <w:lang w:val="en-GB"/>
        </w:rPr>
        <w:t>Local</w:t>
      </w:r>
      <w:r w:rsidR="004E7D0B" w:rsidRPr="2C985F9B">
        <w:rPr>
          <w:lang w:val="en-GB"/>
        </w:rPr>
        <w:t xml:space="preserve"> A</w:t>
      </w:r>
      <w:r w:rsidRPr="2C985F9B">
        <w:rPr>
          <w:lang w:val="en-GB"/>
        </w:rPr>
        <w:t>uthority should comment on the systems and methodology for estimating the table components, with particular reference to the linkage with the equivalent components in Table A1 and consistency with billing records.</w:t>
      </w:r>
    </w:p>
    <w:p w14:paraId="6D293991" w14:textId="371C0190" w:rsidR="00F07BE7" w:rsidRDefault="00F07BE7" w:rsidP="00F07BE7">
      <w:pPr>
        <w:pStyle w:val="Bodynumbercopy"/>
        <w:rPr>
          <w:lang w:val="en-GB"/>
        </w:rPr>
      </w:pPr>
      <w:r w:rsidRPr="2C985F9B">
        <w:rPr>
          <w:lang w:val="en-GB"/>
        </w:rPr>
        <w:t>All properties served should be accounted for. If there is not an obvious line reference for the property served, please explain where these have been included in the reporting templates and why in the accompanying commentary.</w:t>
      </w:r>
    </w:p>
    <w:p w14:paraId="4874B400" w14:textId="75942DC3" w:rsidR="00435B9F" w:rsidRPr="009A191E" w:rsidRDefault="00435B9F" w:rsidP="00F07BE7">
      <w:pPr>
        <w:pStyle w:val="Bodynumbercopy"/>
        <w:rPr>
          <w:lang w:val="en-GB"/>
        </w:rPr>
      </w:pPr>
      <w:r w:rsidRPr="00435B9F">
        <w:rPr>
          <w:lang w:val="en-GB"/>
        </w:rPr>
        <w:t xml:space="preserve">As clarified at the DIA clinic held on 3 November, Local </w:t>
      </w:r>
      <w:r w:rsidR="002866AD">
        <w:rPr>
          <w:lang w:val="en-GB"/>
        </w:rPr>
        <w:t>A</w:t>
      </w:r>
      <w:r w:rsidRPr="00435B9F">
        <w:rPr>
          <w:lang w:val="en-GB"/>
        </w:rPr>
        <w:t>uthorities should</w:t>
      </w:r>
      <w:r w:rsidR="002866AD">
        <w:rPr>
          <w:lang w:val="en-GB"/>
        </w:rPr>
        <w:t xml:space="preserve"> </w:t>
      </w:r>
      <w:r w:rsidR="00EF3A60">
        <w:rPr>
          <w:lang w:val="en-GB"/>
        </w:rPr>
        <w:t xml:space="preserve">include </w:t>
      </w:r>
      <w:r w:rsidRPr="00435B9F">
        <w:rPr>
          <w:lang w:val="en-GB"/>
        </w:rPr>
        <w:t xml:space="preserve">household and non-household properties </w:t>
      </w:r>
      <w:r w:rsidR="00A46DC6">
        <w:rPr>
          <w:lang w:val="en-GB"/>
        </w:rPr>
        <w:t xml:space="preserve">and populations </w:t>
      </w:r>
      <w:r w:rsidRPr="00435B9F">
        <w:rPr>
          <w:lang w:val="en-GB"/>
        </w:rPr>
        <w:t>that receive a stock water supply</w:t>
      </w:r>
      <w:r w:rsidR="00091F49">
        <w:rPr>
          <w:lang w:val="en-GB"/>
        </w:rPr>
        <w:t xml:space="preserve"> and are connected to the wastewater system</w:t>
      </w:r>
      <w:r w:rsidR="007B5639">
        <w:rPr>
          <w:lang w:val="en-GB"/>
        </w:rPr>
        <w:t xml:space="preserve"> when reporting billed and/or connected properties and populations in the relevant lines of the table</w:t>
      </w:r>
      <w:r w:rsidR="007B5639" w:rsidRPr="00CE4D11">
        <w:rPr>
          <w:lang w:val="en-GB"/>
        </w:rPr>
        <w:t xml:space="preserve">. </w:t>
      </w:r>
      <w:r w:rsidR="007B5639">
        <w:rPr>
          <w:lang w:val="en-GB"/>
        </w:rPr>
        <w:t>In addition, p</w:t>
      </w:r>
      <w:r w:rsidR="007B5639" w:rsidRPr="00CE4D11">
        <w:rPr>
          <w:lang w:val="en-GB"/>
        </w:rPr>
        <w:t>lease</w:t>
      </w:r>
      <w:r w:rsidRPr="00435B9F">
        <w:rPr>
          <w:lang w:val="en-GB"/>
        </w:rPr>
        <w:t xml:space="preserve"> provide an estimate of the number of properties </w:t>
      </w:r>
      <w:r w:rsidR="00B9729F">
        <w:rPr>
          <w:lang w:val="en-GB"/>
        </w:rPr>
        <w:t xml:space="preserve">or the population </w:t>
      </w:r>
      <w:r w:rsidR="00091F49">
        <w:rPr>
          <w:lang w:val="en-GB"/>
        </w:rPr>
        <w:t>where this applies</w:t>
      </w:r>
      <w:r w:rsidRPr="00435B9F">
        <w:rPr>
          <w:lang w:val="en-GB"/>
        </w:rPr>
        <w:t xml:space="preserve"> in the commentary cells.  </w:t>
      </w:r>
    </w:p>
    <w:p w14:paraId="535D9463" w14:textId="77777777" w:rsidR="008E147C" w:rsidRPr="009A191E" w:rsidRDefault="008E147C" w:rsidP="000028E0">
      <w:pPr>
        <w:pStyle w:val="Sectionsub-heading"/>
        <w:rPr>
          <w:lang w:val="en-GB"/>
        </w:rPr>
      </w:pPr>
      <w:r w:rsidRPr="009A191E">
        <w:rPr>
          <w:lang w:val="en-GB"/>
        </w:rPr>
        <w:t>Population</w:t>
      </w:r>
    </w:p>
    <w:p w14:paraId="48128A6F" w14:textId="77777777" w:rsidR="008E147C" w:rsidRPr="009A191E" w:rsidRDefault="008E147C" w:rsidP="00FD297A">
      <w:pPr>
        <w:pStyle w:val="Bodynumbercopy"/>
        <w:rPr>
          <w:lang w:val="en-GB"/>
        </w:rPr>
      </w:pPr>
      <w:r w:rsidRPr="2C985F9B">
        <w:rPr>
          <w:lang w:val="en-GB"/>
        </w:rPr>
        <w:t>This records the total connected resident and non-resident populations.</w:t>
      </w:r>
    </w:p>
    <w:p w14:paraId="11D052C8" w14:textId="77777777" w:rsidR="0018496F" w:rsidRPr="00410294" w:rsidRDefault="0018496F" w:rsidP="0018496F">
      <w:pPr>
        <w:pStyle w:val="Bodynumbercopy"/>
        <w:rPr>
          <w:lang w:val="en-GB"/>
        </w:rPr>
      </w:pPr>
      <w:r w:rsidRPr="00F84825">
        <w:rPr>
          <w:lang w:val="en-GB"/>
        </w:rPr>
        <w:t>The population should be obtained from</w:t>
      </w:r>
      <w:r>
        <w:rPr>
          <w:lang w:val="en-GB"/>
        </w:rPr>
        <w:t xml:space="preserve"> Local Authority systems or estimates based on the </w:t>
      </w:r>
      <w:r w:rsidRPr="00F84825">
        <w:rPr>
          <w:lang w:val="en-GB"/>
        </w:rPr>
        <w:t>most r</w:t>
      </w:r>
      <w:r w:rsidRPr="005D4BCA">
        <w:rPr>
          <w:lang w:val="en-GB"/>
        </w:rPr>
        <w:t xml:space="preserve">ecent national statistics </w:t>
      </w:r>
      <w:r w:rsidRPr="00B120DF">
        <w:rPr>
          <w:lang w:val="en-GB"/>
        </w:rPr>
        <w:t>adj</w:t>
      </w:r>
      <w:r w:rsidRPr="005228DF">
        <w:rPr>
          <w:lang w:val="en-GB"/>
        </w:rPr>
        <w:t xml:space="preserve">usted by the </w:t>
      </w:r>
      <w:r w:rsidRPr="009C3A70">
        <w:rPr>
          <w:lang w:val="en-GB"/>
        </w:rPr>
        <w:t xml:space="preserve">connection rate in the </w:t>
      </w:r>
      <w:r>
        <w:rPr>
          <w:lang w:val="en-GB"/>
        </w:rPr>
        <w:t>Local</w:t>
      </w:r>
      <w:r w:rsidRPr="009C3A70">
        <w:rPr>
          <w:lang w:val="en-GB"/>
        </w:rPr>
        <w:t xml:space="preserve"> </w:t>
      </w:r>
      <w:r>
        <w:rPr>
          <w:lang w:val="en-GB"/>
        </w:rPr>
        <w:t>A</w:t>
      </w:r>
      <w:r w:rsidRPr="00410294">
        <w:rPr>
          <w:lang w:val="en-GB"/>
        </w:rPr>
        <w:t>uthority area. Where other methods have been adopted, these should be explained in the commentary.</w:t>
      </w:r>
      <w:r w:rsidRPr="009F0A88">
        <w:rPr>
          <w:lang w:val="en-GB"/>
        </w:rPr>
        <w:t xml:space="preserve"> For example, if this has been derived from </w:t>
      </w:r>
      <w:r>
        <w:rPr>
          <w:lang w:val="en-GB"/>
        </w:rPr>
        <w:t>multiplying the properties</w:t>
      </w:r>
      <w:r w:rsidRPr="009F0A88">
        <w:rPr>
          <w:lang w:val="en-GB"/>
        </w:rPr>
        <w:t xml:space="preserve"> served by an average occupancy rate, please provide the underlying assumptions.</w:t>
      </w:r>
      <w:r>
        <w:rPr>
          <w:rStyle w:val="CommentReference"/>
          <w:rFonts w:ascii="Arial" w:hAnsi="Arial" w:cstheme="minorBidi"/>
        </w:rPr>
        <w:t xml:space="preserve"> </w:t>
      </w:r>
    </w:p>
    <w:p w14:paraId="27D30BDC" w14:textId="7D34EC53" w:rsidR="008E147C" w:rsidRPr="009A191E" w:rsidRDefault="008E147C" w:rsidP="000028E0">
      <w:pPr>
        <w:pStyle w:val="Sectionsub-heading"/>
        <w:rPr>
          <w:lang w:val="en-GB"/>
        </w:rPr>
      </w:pPr>
      <w:r w:rsidRPr="009A191E">
        <w:rPr>
          <w:lang w:val="en-GB"/>
        </w:rPr>
        <w:t xml:space="preserve">Meter </w:t>
      </w:r>
      <w:r w:rsidR="00C17895">
        <w:rPr>
          <w:lang w:val="en-GB"/>
        </w:rPr>
        <w:t>s</w:t>
      </w:r>
      <w:r w:rsidRPr="009A191E">
        <w:rPr>
          <w:lang w:val="en-GB"/>
        </w:rPr>
        <w:t>izes</w:t>
      </w:r>
    </w:p>
    <w:p w14:paraId="667ACD50" w14:textId="60C91EDB" w:rsidR="008E147C" w:rsidRPr="009A191E" w:rsidRDefault="008E147C" w:rsidP="00FD297A">
      <w:pPr>
        <w:pStyle w:val="Bodynumbercopy"/>
        <w:rPr>
          <w:lang w:val="en-GB"/>
        </w:rPr>
      </w:pPr>
      <w:r w:rsidRPr="00AC2CB9">
        <w:rPr>
          <w:b/>
          <w:bCs/>
          <w:i/>
          <w:iCs/>
          <w:lang w:val="en-GB"/>
        </w:rPr>
        <w:lastRenderedPageBreak/>
        <w:t>Meter Sizes – Actual</w:t>
      </w:r>
      <w:r w:rsidRPr="2C985F9B">
        <w:rPr>
          <w:lang w:val="en-GB"/>
        </w:rPr>
        <w:t xml:space="preserve"> is those </w:t>
      </w:r>
      <w:r w:rsidR="00E70E04" w:rsidRPr="2C985F9B">
        <w:rPr>
          <w:lang w:val="en-GB"/>
        </w:rPr>
        <w:t>wastewater</w:t>
      </w:r>
      <w:r w:rsidRPr="2C985F9B">
        <w:rPr>
          <w:lang w:val="en-GB"/>
        </w:rPr>
        <w:t xml:space="preserve"> meters, assumed to be in place from those water supply meters actually in place, which may or may not generate revenue through a fixed charge for networks and/or customer services or </w:t>
      </w:r>
      <w:r w:rsidR="00230A33" w:rsidRPr="2C985F9B">
        <w:rPr>
          <w:lang w:val="en-GB"/>
        </w:rPr>
        <w:t>another</w:t>
      </w:r>
      <w:r w:rsidRPr="2C985F9B">
        <w:rPr>
          <w:lang w:val="en-GB"/>
        </w:rPr>
        <w:t xml:space="preserve"> component element based on meter size.</w:t>
      </w:r>
    </w:p>
    <w:p w14:paraId="5314452B" w14:textId="279D737E" w:rsidR="00A84715" w:rsidRDefault="008E147C" w:rsidP="00A84715">
      <w:pPr>
        <w:pStyle w:val="Bodynumbercopy"/>
        <w:rPr>
          <w:lang w:val="en-GB"/>
        </w:rPr>
      </w:pPr>
      <w:r w:rsidRPr="00AC2CB9">
        <w:rPr>
          <w:b/>
          <w:bCs/>
          <w:i/>
          <w:iCs/>
          <w:lang w:val="en-GB"/>
        </w:rPr>
        <w:t>Meter Sizes – “Tariff”</w:t>
      </w:r>
      <w:r w:rsidRPr="2C985F9B">
        <w:rPr>
          <w:lang w:val="en-GB"/>
        </w:rPr>
        <w:t xml:space="preserve"> meters are those </w:t>
      </w:r>
      <w:r w:rsidR="00E70E04" w:rsidRPr="2C985F9B">
        <w:rPr>
          <w:lang w:val="en-GB"/>
        </w:rPr>
        <w:t>wastewater</w:t>
      </w:r>
      <w:r w:rsidRPr="2C985F9B">
        <w:rPr>
          <w:lang w:val="en-GB"/>
        </w:rPr>
        <w:t xml:space="preserve"> meters, assumed to be in place from theoretical water supply meters, which generate revenue through a fixed charge for networks and/or customer services or </w:t>
      </w:r>
      <w:r w:rsidR="00230A33" w:rsidRPr="2C985F9B">
        <w:rPr>
          <w:lang w:val="en-GB"/>
        </w:rPr>
        <w:t>another</w:t>
      </w:r>
      <w:r w:rsidRPr="2C985F9B">
        <w:rPr>
          <w:lang w:val="en-GB"/>
        </w:rPr>
        <w:t xml:space="preserve"> component element based on meter size. For any property, the actual and “tariff” meters may or may not be the same size.</w:t>
      </w:r>
    </w:p>
    <w:p w14:paraId="4DC34E70" w14:textId="77777777" w:rsidR="00A84715" w:rsidRPr="006E5C15" w:rsidRDefault="00A84715" w:rsidP="00A84715">
      <w:pPr>
        <w:pStyle w:val="Sectionsub-heading"/>
        <w:rPr>
          <w:lang w:val="en-GB"/>
        </w:rPr>
      </w:pPr>
      <w:r>
        <w:rPr>
          <w:lang w:val="en-GB"/>
        </w:rPr>
        <w:t>Guidance to the Local Authority</w:t>
      </w:r>
    </w:p>
    <w:p w14:paraId="4508AA58" w14:textId="785F703B" w:rsidR="00242E98" w:rsidRDefault="00A84715" w:rsidP="000A3293">
      <w:pPr>
        <w:pStyle w:val="Bodynumbercopy"/>
        <w:ind w:left="780"/>
        <w:rPr>
          <w:lang w:val="en-GB"/>
        </w:rPr>
      </w:pPr>
      <w:r w:rsidRPr="00D70C3E">
        <w:rPr>
          <w:lang w:val="en-GB"/>
        </w:rPr>
        <w:t xml:space="preserve">For the avoidance of doubt, table A3 refers to the total Local Authority area. In the </w:t>
      </w:r>
      <w:r w:rsidR="00860D94" w:rsidRPr="00242E98">
        <w:rPr>
          <w:lang w:val="en-GB"/>
        </w:rPr>
        <w:t>event that a Local Authority has</w:t>
      </w:r>
      <w:r w:rsidRPr="00242E98">
        <w:rPr>
          <w:lang w:val="en-GB"/>
        </w:rPr>
        <w:t xml:space="preserve"> several discrete </w:t>
      </w:r>
      <w:r w:rsidR="00860D94" w:rsidRPr="00242E98">
        <w:rPr>
          <w:lang w:val="en-GB"/>
        </w:rPr>
        <w:t>schemes</w:t>
      </w:r>
      <w:r w:rsidRPr="00242E98">
        <w:rPr>
          <w:lang w:val="en-GB"/>
        </w:rPr>
        <w:t xml:space="preserve">, the total </w:t>
      </w:r>
      <w:r w:rsidR="00965ECC" w:rsidRPr="00242E98">
        <w:rPr>
          <w:lang w:val="en-GB"/>
        </w:rPr>
        <w:t>across</w:t>
      </w:r>
      <w:r w:rsidRPr="00242E98">
        <w:rPr>
          <w:lang w:val="en-GB"/>
        </w:rPr>
        <w:t xml:space="preserve"> the Local Authority area should be reported.</w:t>
      </w:r>
    </w:p>
    <w:p w14:paraId="481E67F0" w14:textId="18BE1142" w:rsidR="008E147C" w:rsidRPr="009A191E" w:rsidRDefault="008E147C" w:rsidP="000028E0">
      <w:pPr>
        <w:pStyle w:val="Sectionsub-heading"/>
        <w:rPr>
          <w:lang w:val="en-GB"/>
        </w:rPr>
      </w:pPr>
      <w:bookmarkStart w:id="5" w:name="_Hlk510505964"/>
      <w:r w:rsidRPr="009A191E">
        <w:rPr>
          <w:lang w:val="en-GB"/>
        </w:rPr>
        <w:t xml:space="preserve">BLOCK 1: UNMEASURED </w:t>
      </w:r>
      <w:r w:rsidR="00BB5A05">
        <w:rPr>
          <w:lang w:val="en-GB"/>
        </w:rPr>
        <w:t>HOUSEHOLD</w:t>
      </w:r>
      <w:r w:rsidRPr="009A191E">
        <w:rPr>
          <w:lang w:val="en-GB"/>
        </w:rPr>
        <w:t xml:space="preserve"> – PROPERTIES</w:t>
      </w:r>
      <w:bookmarkEnd w:id="5"/>
    </w:p>
    <w:tbl>
      <w:tblPr>
        <w:tblStyle w:val="TableGrid3"/>
        <w:tblW w:w="0" w:type="auto"/>
        <w:tblLook w:val="04A0" w:firstRow="1" w:lastRow="0" w:firstColumn="1" w:lastColumn="0" w:noHBand="0" w:noVBand="1"/>
      </w:tblPr>
      <w:tblGrid>
        <w:gridCol w:w="968"/>
        <w:gridCol w:w="1021"/>
        <w:gridCol w:w="4655"/>
        <w:gridCol w:w="914"/>
      </w:tblGrid>
      <w:tr w:rsidR="008E147C" w:rsidRPr="009A191E" w14:paraId="69732BF0" w14:textId="77777777" w:rsidTr="00F45EC6">
        <w:tc>
          <w:tcPr>
            <w:tcW w:w="968" w:type="dxa"/>
          </w:tcPr>
          <w:p w14:paraId="51864C5C" w14:textId="77777777" w:rsidR="008E147C" w:rsidRPr="000028E0" w:rsidRDefault="008E147C" w:rsidP="000028E0">
            <w:pPr>
              <w:pStyle w:val="Bodyromannumerals"/>
              <w:rPr>
                <w:b/>
                <w:bCs/>
                <w:lang w:val="en-US"/>
              </w:rPr>
            </w:pPr>
            <w:r w:rsidRPr="000028E0">
              <w:rPr>
                <w:b/>
                <w:bCs/>
                <w:lang w:val="en-US"/>
              </w:rPr>
              <w:t>A3.1</w:t>
            </w:r>
          </w:p>
        </w:tc>
        <w:tc>
          <w:tcPr>
            <w:tcW w:w="5676" w:type="dxa"/>
            <w:gridSpan w:val="2"/>
          </w:tcPr>
          <w:p w14:paraId="282C4E06" w14:textId="77777777" w:rsidR="008E147C" w:rsidRPr="000028E0" w:rsidRDefault="008E147C" w:rsidP="000028E0">
            <w:pPr>
              <w:pStyle w:val="Bodyromannumerals"/>
              <w:rPr>
                <w:b/>
                <w:bCs/>
                <w:lang w:val="en-US"/>
              </w:rPr>
            </w:pPr>
            <w:r w:rsidRPr="000028E0">
              <w:rPr>
                <w:b/>
                <w:bCs/>
                <w:lang w:val="en-US"/>
              </w:rPr>
              <w:t>Total number of billed properties</w:t>
            </w:r>
          </w:p>
        </w:tc>
        <w:tc>
          <w:tcPr>
            <w:tcW w:w="914" w:type="dxa"/>
          </w:tcPr>
          <w:p w14:paraId="46BA0589" w14:textId="77777777" w:rsidR="008E147C" w:rsidRPr="000028E0" w:rsidRDefault="008E147C" w:rsidP="000028E0">
            <w:pPr>
              <w:pStyle w:val="Bodyromannumerals"/>
              <w:rPr>
                <w:b/>
                <w:bCs/>
                <w:lang w:val="en-US"/>
              </w:rPr>
            </w:pPr>
            <w:r w:rsidRPr="000028E0">
              <w:rPr>
                <w:b/>
                <w:bCs/>
                <w:lang w:val="en-US"/>
              </w:rPr>
              <w:t>Nr.</w:t>
            </w:r>
          </w:p>
        </w:tc>
      </w:tr>
      <w:tr w:rsidR="008E147C" w:rsidRPr="009A191E" w14:paraId="4603369A" w14:textId="77777777" w:rsidTr="00F45EC6">
        <w:tc>
          <w:tcPr>
            <w:tcW w:w="1989" w:type="dxa"/>
            <w:gridSpan w:val="2"/>
            <w:tcBorders>
              <w:left w:val="single" w:sz="4" w:space="0" w:color="FFFFFF"/>
              <w:bottom w:val="single" w:sz="4" w:space="0" w:color="FFFFFF"/>
              <w:right w:val="single" w:sz="4" w:space="0" w:color="FFFFFF"/>
            </w:tcBorders>
          </w:tcPr>
          <w:p w14:paraId="026987DC" w14:textId="77777777" w:rsidR="008E147C" w:rsidRPr="009A191E" w:rsidRDefault="008E147C" w:rsidP="000028E0">
            <w:pPr>
              <w:pStyle w:val="Bodyromannumerals"/>
              <w:rPr>
                <w:i/>
                <w:lang w:val="en-US"/>
              </w:rPr>
            </w:pPr>
            <w:r w:rsidRPr="009A191E">
              <w:rPr>
                <w:i/>
                <w:lang w:val="en-US"/>
              </w:rPr>
              <w:t>Definition:</w:t>
            </w:r>
          </w:p>
        </w:tc>
        <w:tc>
          <w:tcPr>
            <w:tcW w:w="5569" w:type="dxa"/>
            <w:gridSpan w:val="2"/>
            <w:tcBorders>
              <w:left w:val="single" w:sz="4" w:space="0" w:color="FFFFFF"/>
              <w:bottom w:val="single" w:sz="4" w:space="0" w:color="FFFFFF"/>
              <w:right w:val="single" w:sz="4" w:space="0" w:color="FFFFFF"/>
            </w:tcBorders>
          </w:tcPr>
          <w:p w14:paraId="258DA517" w14:textId="585462F0" w:rsidR="008E147C" w:rsidRPr="009A191E" w:rsidRDefault="008E147C" w:rsidP="000028E0">
            <w:pPr>
              <w:pStyle w:val="Bodyromannumerals"/>
              <w:rPr>
                <w:lang w:val="en-US"/>
              </w:rPr>
            </w:pPr>
            <w:r w:rsidRPr="009A191E">
              <w:rPr>
                <w:lang w:val="en-US"/>
              </w:rPr>
              <w:t xml:space="preserve">Number of billed unmeasured </w:t>
            </w:r>
            <w:r w:rsidR="00BB5A05">
              <w:rPr>
                <w:lang w:val="en-US"/>
              </w:rPr>
              <w:t>household</w:t>
            </w:r>
            <w:r w:rsidRPr="009A191E">
              <w:rPr>
                <w:lang w:val="en-US"/>
              </w:rPr>
              <w:t xml:space="preserve"> properties for wastewater, as at </w:t>
            </w:r>
            <w:r w:rsidR="00D97768">
              <w:rPr>
                <w:lang w:val="en-US"/>
              </w:rPr>
              <w:t>30 June</w:t>
            </w:r>
            <w:r w:rsidRPr="009A191E">
              <w:rPr>
                <w:lang w:val="en-US"/>
              </w:rPr>
              <w:t xml:space="preserve"> of the reporting year. </w:t>
            </w:r>
          </w:p>
        </w:tc>
      </w:tr>
      <w:tr w:rsidR="008E147C" w:rsidRPr="009A191E" w14:paraId="2077E82B" w14:textId="77777777" w:rsidTr="00F45EC6">
        <w:tc>
          <w:tcPr>
            <w:tcW w:w="1989" w:type="dxa"/>
            <w:gridSpan w:val="2"/>
            <w:tcBorders>
              <w:top w:val="single" w:sz="4" w:space="0" w:color="FFFFFF"/>
              <w:left w:val="single" w:sz="4" w:space="0" w:color="FFFFFF"/>
              <w:bottom w:val="single" w:sz="4" w:space="0" w:color="FFFFFF"/>
              <w:right w:val="single" w:sz="4" w:space="0" w:color="FFFFFF"/>
            </w:tcBorders>
          </w:tcPr>
          <w:p w14:paraId="04529B39" w14:textId="77777777" w:rsidR="008E147C" w:rsidRPr="009A191E" w:rsidRDefault="008E147C" w:rsidP="000028E0">
            <w:pPr>
              <w:pStyle w:val="Bodyromannumerals"/>
              <w:rPr>
                <w:i/>
                <w:lang w:val="en-US"/>
              </w:rPr>
            </w:pPr>
            <w:r w:rsidRPr="009A191E">
              <w:rPr>
                <w:i/>
                <w:lang w:val="en-US"/>
              </w:rPr>
              <w:t>Processing Rules:</w:t>
            </w:r>
          </w:p>
        </w:tc>
        <w:tc>
          <w:tcPr>
            <w:tcW w:w="5569" w:type="dxa"/>
            <w:gridSpan w:val="2"/>
            <w:tcBorders>
              <w:top w:val="single" w:sz="4" w:space="0" w:color="FFFFFF"/>
              <w:left w:val="single" w:sz="4" w:space="0" w:color="FFFFFF"/>
              <w:bottom w:val="single" w:sz="4" w:space="0" w:color="FFFFFF"/>
              <w:right w:val="single" w:sz="4" w:space="0" w:color="FFFFFF"/>
            </w:tcBorders>
          </w:tcPr>
          <w:p w14:paraId="7019950C" w14:textId="77777777" w:rsidR="008E147C" w:rsidRPr="009A191E" w:rsidRDefault="008E147C" w:rsidP="000028E0">
            <w:pPr>
              <w:pStyle w:val="Bodyromannumerals"/>
              <w:rPr>
                <w:lang w:val="en-US"/>
              </w:rPr>
            </w:pPr>
            <w:r w:rsidRPr="009A191E">
              <w:rPr>
                <w:lang w:val="en-US"/>
              </w:rPr>
              <w:t>Input field</w:t>
            </w:r>
          </w:p>
        </w:tc>
      </w:tr>
    </w:tbl>
    <w:p w14:paraId="65DFE085" w14:textId="3D51531F" w:rsidR="008E147C" w:rsidRPr="009A191E" w:rsidRDefault="008E147C" w:rsidP="000028E0">
      <w:pPr>
        <w:pStyle w:val="Sectionsub-heading"/>
        <w:rPr>
          <w:lang w:val="en-GB"/>
        </w:rPr>
      </w:pPr>
      <w:r w:rsidRPr="009A191E">
        <w:rPr>
          <w:lang w:val="en-GB"/>
        </w:rPr>
        <w:t xml:space="preserve">BLOCK 2: MEASURED </w:t>
      </w:r>
      <w:r w:rsidR="00BB5A05">
        <w:rPr>
          <w:lang w:val="en-GB"/>
        </w:rPr>
        <w:t>HOUSEHOLD</w:t>
      </w:r>
      <w:r w:rsidRPr="009A191E">
        <w:rPr>
          <w:lang w:val="en-GB"/>
        </w:rPr>
        <w:t xml:space="preserve"> – PROPERTIES</w:t>
      </w:r>
    </w:p>
    <w:tbl>
      <w:tblPr>
        <w:tblStyle w:val="TableGrid3"/>
        <w:tblW w:w="0" w:type="auto"/>
        <w:tblLook w:val="04A0" w:firstRow="1" w:lastRow="0" w:firstColumn="1" w:lastColumn="0" w:noHBand="0" w:noVBand="1"/>
      </w:tblPr>
      <w:tblGrid>
        <w:gridCol w:w="968"/>
        <w:gridCol w:w="1016"/>
        <w:gridCol w:w="4657"/>
        <w:gridCol w:w="917"/>
      </w:tblGrid>
      <w:tr w:rsidR="008E147C" w:rsidRPr="009A191E" w14:paraId="7EE49B12" w14:textId="77777777" w:rsidTr="00F45EC6">
        <w:tc>
          <w:tcPr>
            <w:tcW w:w="968" w:type="dxa"/>
          </w:tcPr>
          <w:p w14:paraId="58B52AA0" w14:textId="77777777" w:rsidR="008E147C" w:rsidRPr="000028E0" w:rsidRDefault="008E147C" w:rsidP="000028E0">
            <w:pPr>
              <w:pStyle w:val="Bodyromannumerals"/>
              <w:rPr>
                <w:b/>
                <w:bCs/>
                <w:lang w:val="en-US"/>
              </w:rPr>
            </w:pPr>
            <w:r w:rsidRPr="000028E0">
              <w:rPr>
                <w:b/>
                <w:bCs/>
                <w:lang w:val="en-US"/>
              </w:rPr>
              <w:t>A3.7</w:t>
            </w:r>
          </w:p>
        </w:tc>
        <w:tc>
          <w:tcPr>
            <w:tcW w:w="5673" w:type="dxa"/>
            <w:gridSpan w:val="2"/>
          </w:tcPr>
          <w:p w14:paraId="393133F0" w14:textId="77777777" w:rsidR="008E147C" w:rsidRPr="000028E0" w:rsidRDefault="008E147C" w:rsidP="000028E0">
            <w:pPr>
              <w:pStyle w:val="Bodyromannumerals"/>
              <w:rPr>
                <w:b/>
                <w:bCs/>
                <w:lang w:val="en-US"/>
              </w:rPr>
            </w:pPr>
            <w:r w:rsidRPr="000028E0">
              <w:rPr>
                <w:b/>
                <w:bCs/>
                <w:lang w:val="en-US"/>
              </w:rPr>
              <w:t>Total number of billed properties</w:t>
            </w:r>
          </w:p>
        </w:tc>
        <w:tc>
          <w:tcPr>
            <w:tcW w:w="917" w:type="dxa"/>
          </w:tcPr>
          <w:p w14:paraId="2FA242AC" w14:textId="77777777" w:rsidR="008E147C" w:rsidRPr="000028E0" w:rsidRDefault="008E147C" w:rsidP="000028E0">
            <w:pPr>
              <w:pStyle w:val="Bodyromannumerals"/>
              <w:rPr>
                <w:b/>
                <w:bCs/>
                <w:lang w:val="en-US"/>
              </w:rPr>
            </w:pPr>
            <w:r w:rsidRPr="000028E0">
              <w:rPr>
                <w:b/>
                <w:bCs/>
                <w:lang w:val="en-US"/>
              </w:rPr>
              <w:t>Nr.</w:t>
            </w:r>
          </w:p>
        </w:tc>
      </w:tr>
      <w:tr w:rsidR="008E147C" w:rsidRPr="009A191E" w14:paraId="20993940" w14:textId="77777777" w:rsidTr="00F45EC6">
        <w:tc>
          <w:tcPr>
            <w:tcW w:w="1984" w:type="dxa"/>
            <w:gridSpan w:val="2"/>
            <w:tcBorders>
              <w:left w:val="single" w:sz="4" w:space="0" w:color="FFFFFF"/>
              <w:bottom w:val="single" w:sz="4" w:space="0" w:color="FFFFFF"/>
              <w:right w:val="single" w:sz="4" w:space="0" w:color="FFFFFF"/>
            </w:tcBorders>
          </w:tcPr>
          <w:p w14:paraId="231DF288" w14:textId="77777777" w:rsidR="008E147C" w:rsidRPr="009A191E" w:rsidRDefault="008E147C" w:rsidP="000028E0">
            <w:pPr>
              <w:pStyle w:val="Bodyromannumerals"/>
              <w:rPr>
                <w:i/>
                <w:lang w:val="en-US"/>
              </w:rPr>
            </w:pPr>
            <w:r w:rsidRPr="009A191E">
              <w:rPr>
                <w:i/>
                <w:lang w:val="en-US"/>
              </w:rPr>
              <w:t>Definition:</w:t>
            </w:r>
          </w:p>
        </w:tc>
        <w:tc>
          <w:tcPr>
            <w:tcW w:w="5574" w:type="dxa"/>
            <w:gridSpan w:val="2"/>
            <w:tcBorders>
              <w:left w:val="single" w:sz="4" w:space="0" w:color="FFFFFF"/>
              <w:bottom w:val="single" w:sz="4" w:space="0" w:color="FFFFFF"/>
              <w:right w:val="single" w:sz="4" w:space="0" w:color="FFFFFF"/>
            </w:tcBorders>
          </w:tcPr>
          <w:p w14:paraId="33CFF584" w14:textId="38647DC2" w:rsidR="008E147C" w:rsidRDefault="008E147C" w:rsidP="000028E0">
            <w:pPr>
              <w:pStyle w:val="Bodyromannumerals"/>
              <w:rPr>
                <w:lang w:val="en-US"/>
              </w:rPr>
            </w:pPr>
            <w:r w:rsidRPr="009A191E">
              <w:rPr>
                <w:lang w:val="en-US"/>
              </w:rPr>
              <w:t xml:space="preserve">Number of billed metered </w:t>
            </w:r>
            <w:r w:rsidR="00BB5A05">
              <w:rPr>
                <w:lang w:val="en-US"/>
              </w:rPr>
              <w:t>household</w:t>
            </w:r>
            <w:r w:rsidRPr="009A191E">
              <w:rPr>
                <w:lang w:val="en-US"/>
              </w:rPr>
              <w:t xml:space="preserve"> properties for wastewater as at </w:t>
            </w:r>
            <w:r w:rsidR="00D97768">
              <w:rPr>
                <w:lang w:val="en-US"/>
              </w:rPr>
              <w:t>30 June</w:t>
            </w:r>
            <w:r w:rsidRPr="009A191E">
              <w:rPr>
                <w:lang w:val="en-US"/>
              </w:rPr>
              <w:t xml:space="preserve"> of the reporting year. </w:t>
            </w:r>
          </w:p>
          <w:p w14:paraId="0F549EFC" w14:textId="07860650" w:rsidR="00410294" w:rsidRDefault="00410294" w:rsidP="000028E0">
            <w:pPr>
              <w:pStyle w:val="Bodyromannumerals"/>
              <w:rPr>
                <w:lang w:val="en-US"/>
              </w:rPr>
            </w:pPr>
            <w:r>
              <w:rPr>
                <w:lang w:val="en-US"/>
              </w:rPr>
              <w:t>For the avoidance of doubt, a customer should be considered measured if their:</w:t>
            </w:r>
          </w:p>
          <w:p w14:paraId="28DFD9AF" w14:textId="307D3BC5" w:rsidR="00410294" w:rsidRDefault="00410294" w:rsidP="00871522">
            <w:pPr>
              <w:pStyle w:val="Bodyromannumerals"/>
              <w:numPr>
                <w:ilvl w:val="0"/>
                <w:numId w:val="22"/>
              </w:numPr>
              <w:rPr>
                <w:lang w:val="en-US"/>
              </w:rPr>
            </w:pPr>
            <w:r>
              <w:rPr>
                <w:lang w:val="en-US"/>
              </w:rPr>
              <w:t>wastewater provided is directly measured and charged; or</w:t>
            </w:r>
          </w:p>
          <w:p w14:paraId="193344C2" w14:textId="2441D24F" w:rsidR="00410294" w:rsidRDefault="00410294" w:rsidP="00871522">
            <w:pPr>
              <w:pStyle w:val="Bodyromannumerals"/>
              <w:numPr>
                <w:ilvl w:val="0"/>
                <w:numId w:val="22"/>
              </w:numPr>
              <w:rPr>
                <w:lang w:val="en-US"/>
              </w:rPr>
            </w:pPr>
            <w:r>
              <w:rPr>
                <w:lang w:val="en-US"/>
              </w:rPr>
              <w:t xml:space="preserve">wastewater provided is measured and charged based on the measured water usage (i.e. a return to </w:t>
            </w:r>
            <w:r w:rsidR="00512014">
              <w:rPr>
                <w:lang w:val="en-US"/>
              </w:rPr>
              <w:t xml:space="preserve">wastewater </w:t>
            </w:r>
            <w:r>
              <w:rPr>
                <w:lang w:val="en-US"/>
              </w:rPr>
              <w:t>assumption).</w:t>
            </w:r>
          </w:p>
          <w:p w14:paraId="4EEE21F3" w14:textId="0629714A" w:rsidR="00D87204" w:rsidRPr="009A191E" w:rsidRDefault="008F5ADC" w:rsidP="00324235">
            <w:pPr>
              <w:pStyle w:val="Bodyromannumerals"/>
              <w:rPr>
                <w:lang w:val="en-US"/>
              </w:rPr>
            </w:pPr>
            <w:r>
              <w:rPr>
                <w:lang w:val="en-US"/>
              </w:rPr>
              <w:t>Otherwise, they should be included in the relevant unmeasured line.</w:t>
            </w:r>
          </w:p>
        </w:tc>
      </w:tr>
      <w:tr w:rsidR="008E147C" w:rsidRPr="009A191E" w14:paraId="6D780BE5" w14:textId="77777777" w:rsidTr="00F45EC6">
        <w:tc>
          <w:tcPr>
            <w:tcW w:w="1984" w:type="dxa"/>
            <w:gridSpan w:val="2"/>
            <w:tcBorders>
              <w:top w:val="single" w:sz="4" w:space="0" w:color="FFFFFF"/>
              <w:left w:val="single" w:sz="4" w:space="0" w:color="FFFFFF"/>
              <w:bottom w:val="single" w:sz="4" w:space="0" w:color="FFFFFF"/>
              <w:right w:val="single" w:sz="4" w:space="0" w:color="FFFFFF"/>
            </w:tcBorders>
          </w:tcPr>
          <w:p w14:paraId="31361B27" w14:textId="77777777" w:rsidR="008E147C" w:rsidRPr="009A191E" w:rsidRDefault="008E147C" w:rsidP="000028E0">
            <w:pPr>
              <w:pStyle w:val="Bodyromannumerals"/>
              <w:rPr>
                <w:i/>
                <w:lang w:val="en-US"/>
              </w:rPr>
            </w:pPr>
            <w:r w:rsidRPr="009A191E">
              <w:rPr>
                <w:i/>
                <w:lang w:val="en-US"/>
              </w:rPr>
              <w:t>Processing Rules:</w:t>
            </w:r>
          </w:p>
        </w:tc>
        <w:tc>
          <w:tcPr>
            <w:tcW w:w="5574" w:type="dxa"/>
            <w:gridSpan w:val="2"/>
            <w:tcBorders>
              <w:top w:val="single" w:sz="4" w:space="0" w:color="FFFFFF"/>
              <w:left w:val="single" w:sz="4" w:space="0" w:color="FFFFFF"/>
              <w:bottom w:val="single" w:sz="4" w:space="0" w:color="FFFFFF"/>
              <w:right w:val="single" w:sz="4" w:space="0" w:color="FFFFFF"/>
            </w:tcBorders>
          </w:tcPr>
          <w:p w14:paraId="03BC64EA" w14:textId="1A57CCA6" w:rsidR="008E147C" w:rsidRPr="009A191E" w:rsidRDefault="005B16ED" w:rsidP="000028E0">
            <w:pPr>
              <w:pStyle w:val="Bodyromannumerals"/>
              <w:rPr>
                <w:lang w:val="en-US"/>
              </w:rPr>
            </w:pPr>
            <w:r>
              <w:rPr>
                <w:lang w:val="en-US"/>
              </w:rPr>
              <w:t xml:space="preserve">Input </w:t>
            </w:r>
            <w:r w:rsidR="008E147C" w:rsidRPr="009A191E">
              <w:rPr>
                <w:lang w:val="en-US"/>
              </w:rPr>
              <w:t>field</w:t>
            </w:r>
          </w:p>
        </w:tc>
      </w:tr>
    </w:tbl>
    <w:p w14:paraId="1A51DA37" w14:textId="77777777" w:rsidR="00657283" w:rsidRDefault="00657283" w:rsidP="00072A56">
      <w:pPr>
        <w:pStyle w:val="Sectionsub-heading"/>
        <w:rPr>
          <w:lang w:val="en-GB"/>
        </w:rPr>
      </w:pPr>
    </w:p>
    <w:p w14:paraId="4B9392BA" w14:textId="77777777" w:rsidR="00657283" w:rsidRDefault="00657283">
      <w:pPr>
        <w:spacing w:after="160" w:line="259" w:lineRule="auto"/>
        <w:rPr>
          <w:rFonts w:ascii="Calibri" w:hAnsi="Calibri" w:cs="Calibri"/>
          <w:b/>
          <w:color w:val="182B46"/>
          <w:sz w:val="26"/>
          <w:lang w:val="en-GB"/>
        </w:rPr>
      </w:pPr>
      <w:r>
        <w:rPr>
          <w:lang w:val="en-GB"/>
        </w:rPr>
        <w:br w:type="page"/>
      </w:r>
    </w:p>
    <w:p w14:paraId="2B6A89EE" w14:textId="0C2DF872" w:rsidR="008E147C" w:rsidRPr="009A191E" w:rsidRDefault="008E147C" w:rsidP="00072A56">
      <w:pPr>
        <w:pStyle w:val="Sectionsub-heading"/>
        <w:rPr>
          <w:lang w:val="en-GB"/>
        </w:rPr>
      </w:pPr>
      <w:r w:rsidRPr="009A191E">
        <w:rPr>
          <w:lang w:val="en-GB"/>
        </w:rPr>
        <w:lastRenderedPageBreak/>
        <w:t>BLOCK 3: MEASURED NON-</w:t>
      </w:r>
      <w:r w:rsidR="00BB5A05">
        <w:rPr>
          <w:lang w:val="en-GB"/>
        </w:rPr>
        <w:t>HOUSEHOLD</w:t>
      </w:r>
      <w:r w:rsidRPr="009A191E">
        <w:rPr>
          <w:lang w:val="en-GB"/>
        </w:rPr>
        <w:t xml:space="preserve"> – PROPERTIES</w:t>
      </w:r>
    </w:p>
    <w:tbl>
      <w:tblPr>
        <w:tblStyle w:val="TableGrid3"/>
        <w:tblW w:w="7558" w:type="dxa"/>
        <w:tblLook w:val="04A0" w:firstRow="1" w:lastRow="0" w:firstColumn="1" w:lastColumn="0" w:noHBand="0" w:noVBand="1"/>
      </w:tblPr>
      <w:tblGrid>
        <w:gridCol w:w="1065"/>
        <w:gridCol w:w="918"/>
        <w:gridCol w:w="4655"/>
        <w:gridCol w:w="920"/>
      </w:tblGrid>
      <w:tr w:rsidR="008E147C" w:rsidRPr="009A191E" w14:paraId="0BA3DD6D" w14:textId="77777777" w:rsidTr="2C985F9B">
        <w:tc>
          <w:tcPr>
            <w:tcW w:w="1065" w:type="dxa"/>
          </w:tcPr>
          <w:p w14:paraId="313A41A9" w14:textId="77777777" w:rsidR="008E147C" w:rsidRPr="00F550C5" w:rsidRDefault="008E147C" w:rsidP="00F550C5">
            <w:pPr>
              <w:pStyle w:val="Bodyromannumerals"/>
              <w:rPr>
                <w:b/>
                <w:bCs/>
                <w:lang w:val="en-US"/>
              </w:rPr>
            </w:pPr>
            <w:r w:rsidRPr="00F550C5">
              <w:rPr>
                <w:b/>
                <w:bCs/>
                <w:lang w:val="en-US"/>
              </w:rPr>
              <w:t>A3.17</w:t>
            </w:r>
          </w:p>
        </w:tc>
        <w:tc>
          <w:tcPr>
            <w:tcW w:w="5573" w:type="dxa"/>
            <w:gridSpan w:val="2"/>
          </w:tcPr>
          <w:p w14:paraId="22F5ADD6" w14:textId="77777777" w:rsidR="008E147C" w:rsidRPr="00F550C5" w:rsidRDefault="008E147C" w:rsidP="00F550C5">
            <w:pPr>
              <w:pStyle w:val="Bodyromannumerals"/>
              <w:rPr>
                <w:b/>
                <w:bCs/>
                <w:lang w:val="en-US"/>
              </w:rPr>
            </w:pPr>
            <w:r w:rsidRPr="00F550C5">
              <w:rPr>
                <w:b/>
                <w:bCs/>
                <w:lang w:val="en-US"/>
              </w:rPr>
              <w:t>Number of billed properties with relief of charges</w:t>
            </w:r>
          </w:p>
        </w:tc>
        <w:tc>
          <w:tcPr>
            <w:tcW w:w="920" w:type="dxa"/>
          </w:tcPr>
          <w:p w14:paraId="461AC27C" w14:textId="77777777" w:rsidR="008E147C" w:rsidRPr="00F550C5" w:rsidRDefault="008E147C" w:rsidP="00F550C5">
            <w:pPr>
              <w:pStyle w:val="Bodyromannumerals"/>
              <w:rPr>
                <w:b/>
                <w:bCs/>
                <w:lang w:val="en-US"/>
              </w:rPr>
            </w:pPr>
            <w:r w:rsidRPr="00F550C5">
              <w:rPr>
                <w:b/>
                <w:bCs/>
                <w:lang w:val="en-US"/>
              </w:rPr>
              <w:t>Nr.</w:t>
            </w:r>
          </w:p>
        </w:tc>
      </w:tr>
      <w:tr w:rsidR="008E147C" w:rsidRPr="009A191E" w14:paraId="3CCF3103" w14:textId="77777777" w:rsidTr="2C985F9B">
        <w:tc>
          <w:tcPr>
            <w:tcW w:w="1983" w:type="dxa"/>
            <w:gridSpan w:val="2"/>
            <w:tcBorders>
              <w:left w:val="single" w:sz="4" w:space="0" w:color="FFFFFF" w:themeColor="background2"/>
              <w:bottom w:val="single" w:sz="4" w:space="0" w:color="FFFFFF" w:themeColor="background2"/>
              <w:right w:val="single" w:sz="4" w:space="0" w:color="FFFFFF" w:themeColor="background2"/>
            </w:tcBorders>
          </w:tcPr>
          <w:p w14:paraId="287251ED" w14:textId="77777777" w:rsidR="008E147C" w:rsidRPr="009A191E" w:rsidRDefault="008E147C" w:rsidP="00F550C5">
            <w:pPr>
              <w:pStyle w:val="Bodyromannumerals"/>
              <w:rPr>
                <w:i/>
                <w:lang w:val="en-US"/>
              </w:rPr>
            </w:pPr>
            <w:r w:rsidRPr="009A191E">
              <w:rPr>
                <w:i/>
                <w:lang w:val="en-US"/>
              </w:rPr>
              <w:t>Definition:</w:t>
            </w:r>
          </w:p>
        </w:tc>
        <w:tc>
          <w:tcPr>
            <w:tcW w:w="5575" w:type="dxa"/>
            <w:gridSpan w:val="2"/>
            <w:tcBorders>
              <w:left w:val="single" w:sz="4" w:space="0" w:color="FFFFFF" w:themeColor="background2"/>
              <w:bottom w:val="single" w:sz="4" w:space="0" w:color="FFFFFF" w:themeColor="background2"/>
              <w:right w:val="single" w:sz="4" w:space="0" w:color="FFFFFF" w:themeColor="background2"/>
            </w:tcBorders>
          </w:tcPr>
          <w:p w14:paraId="08AA56A8" w14:textId="02395CE3" w:rsidR="008E147C" w:rsidRDefault="008E147C" w:rsidP="00F550C5">
            <w:pPr>
              <w:pStyle w:val="Bodyromannumerals"/>
              <w:rPr>
                <w:lang w:val="en-US"/>
              </w:rPr>
            </w:pPr>
            <w:r w:rsidRPr="009A191E">
              <w:rPr>
                <w:lang w:val="en-US"/>
              </w:rPr>
              <w:t>Number of billed non-</w:t>
            </w:r>
            <w:r w:rsidR="00BB5A05">
              <w:rPr>
                <w:lang w:val="en-US"/>
              </w:rPr>
              <w:t>household</w:t>
            </w:r>
            <w:r w:rsidRPr="009A191E">
              <w:rPr>
                <w:lang w:val="en-US"/>
              </w:rPr>
              <w:t xml:space="preserve"> properties for wastewater as at </w:t>
            </w:r>
            <w:r w:rsidR="00D97768">
              <w:rPr>
                <w:lang w:val="en-US"/>
              </w:rPr>
              <w:t>30 June</w:t>
            </w:r>
            <w:r w:rsidRPr="009A191E">
              <w:rPr>
                <w:lang w:val="en-US"/>
              </w:rPr>
              <w:t xml:space="preserve"> of the reporting year, with discretionary relief of charges. </w:t>
            </w:r>
          </w:p>
          <w:p w14:paraId="569E7286" w14:textId="273B5D6F" w:rsidR="000618B7" w:rsidRPr="009A191E" w:rsidRDefault="000618B7" w:rsidP="000618B7">
            <w:pPr>
              <w:pStyle w:val="Bodyromannumerals"/>
              <w:rPr>
                <w:lang w:val="en-US"/>
              </w:rPr>
            </w:pPr>
            <w:r>
              <w:rPr>
                <w:lang w:val="en-US"/>
              </w:rPr>
              <w:t xml:space="preserve">If this line is populated, please provide a commentary on the relief in place. </w:t>
            </w:r>
          </w:p>
          <w:p w14:paraId="4852D624" w14:textId="77777777" w:rsidR="000618B7" w:rsidRDefault="000618B7" w:rsidP="000618B7">
            <w:pPr>
              <w:pStyle w:val="Bodyromannumerals"/>
              <w:rPr>
                <w:lang w:val="en-US"/>
              </w:rPr>
            </w:pPr>
            <w:r>
              <w:rPr>
                <w:lang w:val="en-US"/>
              </w:rPr>
              <w:t>For the avoidance of doubt, a customer should be considered measured if their:</w:t>
            </w:r>
          </w:p>
          <w:p w14:paraId="2CEDEE02" w14:textId="77777777" w:rsidR="000618B7" w:rsidRDefault="000618B7" w:rsidP="00871522">
            <w:pPr>
              <w:pStyle w:val="Bodyromannumerals"/>
              <w:numPr>
                <w:ilvl w:val="0"/>
                <w:numId w:val="22"/>
              </w:numPr>
              <w:rPr>
                <w:lang w:val="en-US"/>
              </w:rPr>
            </w:pPr>
            <w:r>
              <w:rPr>
                <w:lang w:val="en-US"/>
              </w:rPr>
              <w:t>wastewater provided is directly measured and charged; or</w:t>
            </w:r>
          </w:p>
          <w:p w14:paraId="3ED08EC7" w14:textId="77777777" w:rsidR="000618B7" w:rsidRDefault="000618B7" w:rsidP="00871522">
            <w:pPr>
              <w:pStyle w:val="Bodyromannumerals"/>
              <w:numPr>
                <w:ilvl w:val="0"/>
                <w:numId w:val="22"/>
              </w:numPr>
              <w:rPr>
                <w:lang w:val="en-US"/>
              </w:rPr>
            </w:pPr>
            <w:r>
              <w:rPr>
                <w:lang w:val="en-US"/>
              </w:rPr>
              <w:t>wastewater provided is measured and charged based on the measured water usage (i.e. a return to sewer assumption).</w:t>
            </w:r>
          </w:p>
          <w:p w14:paraId="44BDB4D5" w14:textId="6DAD2909" w:rsidR="008F5ADC" w:rsidRPr="009A191E" w:rsidRDefault="000618B7" w:rsidP="00F550C5">
            <w:pPr>
              <w:pStyle w:val="Bodyromannumerals"/>
              <w:rPr>
                <w:lang w:val="en-US"/>
              </w:rPr>
            </w:pPr>
            <w:r>
              <w:rPr>
                <w:lang w:val="en-US"/>
              </w:rPr>
              <w:t>Otherwise, they should be included in the relevant unmeasured line.</w:t>
            </w:r>
          </w:p>
        </w:tc>
      </w:tr>
      <w:tr w:rsidR="008E147C" w:rsidRPr="009A191E" w14:paraId="4E955EDB" w14:textId="77777777" w:rsidTr="2C985F9B">
        <w:tc>
          <w:tcPr>
            <w:tcW w:w="19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3980D90" w14:textId="77777777" w:rsidR="008E147C" w:rsidRPr="009A191E" w:rsidRDefault="008E147C" w:rsidP="00F550C5">
            <w:pPr>
              <w:pStyle w:val="Bodyromannumerals"/>
              <w:rPr>
                <w:i/>
                <w:lang w:val="en-US"/>
              </w:rPr>
            </w:pPr>
            <w:r w:rsidRPr="009A191E">
              <w:rPr>
                <w:i/>
                <w:lang w:val="en-US"/>
              </w:rPr>
              <w:t>Processing Rules:</w:t>
            </w:r>
          </w:p>
        </w:tc>
        <w:tc>
          <w:tcPr>
            <w:tcW w:w="557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B4D4679" w14:textId="77777777" w:rsidR="008E147C" w:rsidRPr="009A191E" w:rsidRDefault="008E147C" w:rsidP="00F550C5">
            <w:pPr>
              <w:pStyle w:val="Bodyromannumerals"/>
              <w:rPr>
                <w:lang w:val="en-US"/>
              </w:rPr>
            </w:pPr>
            <w:r w:rsidRPr="009A191E">
              <w:rPr>
                <w:lang w:val="en-US"/>
              </w:rPr>
              <w:t>Input field</w:t>
            </w:r>
          </w:p>
        </w:tc>
      </w:tr>
      <w:tr w:rsidR="008E147C" w:rsidRPr="009A191E" w14:paraId="5DA5EE5F" w14:textId="77777777" w:rsidTr="2C985F9B">
        <w:tc>
          <w:tcPr>
            <w:tcW w:w="1065" w:type="dxa"/>
          </w:tcPr>
          <w:p w14:paraId="5364DBA9" w14:textId="77777777" w:rsidR="008E147C" w:rsidRPr="00F550C5" w:rsidRDefault="008E147C" w:rsidP="00F550C5">
            <w:pPr>
              <w:pStyle w:val="Bodyromannumerals"/>
              <w:rPr>
                <w:b/>
                <w:bCs/>
                <w:lang w:val="en-US"/>
              </w:rPr>
            </w:pPr>
            <w:r w:rsidRPr="00F550C5">
              <w:rPr>
                <w:b/>
                <w:bCs/>
                <w:lang w:val="en-US"/>
              </w:rPr>
              <w:t>A3.18</w:t>
            </w:r>
          </w:p>
        </w:tc>
        <w:tc>
          <w:tcPr>
            <w:tcW w:w="5573" w:type="dxa"/>
            <w:gridSpan w:val="2"/>
          </w:tcPr>
          <w:p w14:paraId="5F4BD602" w14:textId="77777777" w:rsidR="008E147C" w:rsidRPr="00F550C5" w:rsidRDefault="008E147C" w:rsidP="00F550C5">
            <w:pPr>
              <w:pStyle w:val="Bodyromannumerals"/>
              <w:rPr>
                <w:b/>
                <w:bCs/>
                <w:lang w:val="en-US"/>
              </w:rPr>
            </w:pPr>
            <w:r w:rsidRPr="00F550C5">
              <w:rPr>
                <w:b/>
                <w:bCs/>
                <w:lang w:val="en-US"/>
              </w:rPr>
              <w:t>Number of billed properties with no charges</w:t>
            </w:r>
          </w:p>
        </w:tc>
        <w:tc>
          <w:tcPr>
            <w:tcW w:w="920" w:type="dxa"/>
          </w:tcPr>
          <w:p w14:paraId="7B5DEEFA" w14:textId="77777777" w:rsidR="008E147C" w:rsidRPr="00F550C5" w:rsidRDefault="008E147C" w:rsidP="00F550C5">
            <w:pPr>
              <w:pStyle w:val="Bodyromannumerals"/>
              <w:rPr>
                <w:b/>
                <w:bCs/>
                <w:lang w:val="en-US"/>
              </w:rPr>
            </w:pPr>
            <w:r w:rsidRPr="00F550C5">
              <w:rPr>
                <w:b/>
                <w:bCs/>
                <w:lang w:val="en-US"/>
              </w:rPr>
              <w:t>Nr.</w:t>
            </w:r>
          </w:p>
        </w:tc>
      </w:tr>
      <w:tr w:rsidR="008E147C" w:rsidRPr="009A191E" w14:paraId="192D9A43" w14:textId="77777777" w:rsidTr="2C985F9B">
        <w:tc>
          <w:tcPr>
            <w:tcW w:w="1983" w:type="dxa"/>
            <w:gridSpan w:val="2"/>
            <w:tcBorders>
              <w:left w:val="single" w:sz="4" w:space="0" w:color="FFFFFF" w:themeColor="background2"/>
              <w:bottom w:val="single" w:sz="4" w:space="0" w:color="FFFFFF" w:themeColor="background2"/>
              <w:right w:val="single" w:sz="4" w:space="0" w:color="FFFFFF" w:themeColor="background2"/>
            </w:tcBorders>
          </w:tcPr>
          <w:p w14:paraId="41B68E99" w14:textId="77777777" w:rsidR="008E147C" w:rsidRPr="009A191E" w:rsidRDefault="008E147C" w:rsidP="00F550C5">
            <w:pPr>
              <w:pStyle w:val="Bodyromannumerals"/>
              <w:rPr>
                <w:i/>
                <w:lang w:val="en-US"/>
              </w:rPr>
            </w:pPr>
            <w:r w:rsidRPr="009A191E">
              <w:rPr>
                <w:i/>
                <w:lang w:val="en-US"/>
              </w:rPr>
              <w:t>Definition:</w:t>
            </w:r>
          </w:p>
        </w:tc>
        <w:tc>
          <w:tcPr>
            <w:tcW w:w="5575" w:type="dxa"/>
            <w:gridSpan w:val="2"/>
            <w:tcBorders>
              <w:left w:val="single" w:sz="4" w:space="0" w:color="FFFFFF" w:themeColor="background2"/>
              <w:bottom w:val="single" w:sz="4" w:space="0" w:color="FFFFFF" w:themeColor="background2"/>
              <w:right w:val="single" w:sz="4" w:space="0" w:color="FFFFFF" w:themeColor="background2"/>
            </w:tcBorders>
          </w:tcPr>
          <w:p w14:paraId="029C927E" w14:textId="270C1D6F" w:rsidR="008E147C" w:rsidRDefault="008E147C" w:rsidP="00F550C5">
            <w:pPr>
              <w:pStyle w:val="Bodyromannumerals"/>
              <w:rPr>
                <w:lang w:val="en-US"/>
              </w:rPr>
            </w:pPr>
            <w:r w:rsidRPr="009A191E">
              <w:rPr>
                <w:lang w:val="en-US"/>
              </w:rPr>
              <w:t>Number of billed metered non-</w:t>
            </w:r>
            <w:r w:rsidR="00BB5A05">
              <w:rPr>
                <w:lang w:val="en-US"/>
              </w:rPr>
              <w:t>household</w:t>
            </w:r>
            <w:r w:rsidRPr="009A191E">
              <w:rPr>
                <w:lang w:val="en-US"/>
              </w:rPr>
              <w:t xml:space="preserve"> properties for wastewater as at </w:t>
            </w:r>
            <w:r w:rsidR="00D97768">
              <w:rPr>
                <w:lang w:val="en-US"/>
              </w:rPr>
              <w:t>30 June</w:t>
            </w:r>
            <w:r w:rsidRPr="009A191E">
              <w:rPr>
                <w:lang w:val="en-US"/>
              </w:rPr>
              <w:t xml:space="preserve"> of the reporting year, where no charge has been made. </w:t>
            </w:r>
          </w:p>
          <w:p w14:paraId="67B42D2E" w14:textId="16A7311C" w:rsidR="000618B7" w:rsidRDefault="000618B7" w:rsidP="00F550C5">
            <w:pPr>
              <w:pStyle w:val="Bodyromannumerals"/>
              <w:rPr>
                <w:lang w:val="en-US"/>
              </w:rPr>
            </w:pPr>
            <w:r>
              <w:rPr>
                <w:lang w:val="en-US"/>
              </w:rPr>
              <w:t xml:space="preserve">If this line is populated, please provide a commentary on the relief in place. </w:t>
            </w:r>
          </w:p>
          <w:p w14:paraId="06A7AC2F" w14:textId="77777777" w:rsidR="000618B7" w:rsidRDefault="000618B7" w:rsidP="000618B7">
            <w:pPr>
              <w:pStyle w:val="Bodyromannumerals"/>
              <w:rPr>
                <w:lang w:val="en-US"/>
              </w:rPr>
            </w:pPr>
            <w:r>
              <w:rPr>
                <w:lang w:val="en-US"/>
              </w:rPr>
              <w:t>For the avoidance of doubt, a customer should be considered measured if their:</w:t>
            </w:r>
          </w:p>
          <w:p w14:paraId="69854C75" w14:textId="77777777" w:rsidR="000618B7" w:rsidRDefault="000618B7" w:rsidP="00871522">
            <w:pPr>
              <w:pStyle w:val="Bodyromannumerals"/>
              <w:numPr>
                <w:ilvl w:val="0"/>
                <w:numId w:val="22"/>
              </w:numPr>
              <w:rPr>
                <w:lang w:val="en-US"/>
              </w:rPr>
            </w:pPr>
            <w:r>
              <w:rPr>
                <w:lang w:val="en-US"/>
              </w:rPr>
              <w:t>wastewater provided is directly measured and charged; or</w:t>
            </w:r>
          </w:p>
          <w:p w14:paraId="39D31CFB" w14:textId="77777777" w:rsidR="000618B7" w:rsidRDefault="000618B7" w:rsidP="00871522">
            <w:pPr>
              <w:pStyle w:val="Bodyromannumerals"/>
              <w:numPr>
                <w:ilvl w:val="0"/>
                <w:numId w:val="22"/>
              </w:numPr>
              <w:rPr>
                <w:lang w:val="en-US"/>
              </w:rPr>
            </w:pPr>
            <w:r>
              <w:rPr>
                <w:lang w:val="en-US"/>
              </w:rPr>
              <w:t>wastewater provided is measured and charged based on the measured water usage (i.e. a return to sewer assumption).</w:t>
            </w:r>
          </w:p>
          <w:p w14:paraId="1389667E" w14:textId="36DCDAB2" w:rsidR="008F5ADC" w:rsidRPr="009A191E" w:rsidRDefault="000618B7" w:rsidP="008F5ADC">
            <w:pPr>
              <w:pStyle w:val="Bodyromannumerals"/>
              <w:rPr>
                <w:lang w:val="en-US"/>
              </w:rPr>
            </w:pPr>
            <w:r>
              <w:rPr>
                <w:lang w:val="en-US"/>
              </w:rPr>
              <w:t>Otherwise, they should be included in the relevant unmeasured line</w:t>
            </w:r>
          </w:p>
        </w:tc>
      </w:tr>
      <w:tr w:rsidR="008E147C" w:rsidRPr="009A191E" w14:paraId="7D95D384" w14:textId="77777777" w:rsidTr="2C985F9B">
        <w:tc>
          <w:tcPr>
            <w:tcW w:w="19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583AF72" w14:textId="77777777" w:rsidR="008E147C" w:rsidRPr="009A191E" w:rsidRDefault="008E147C" w:rsidP="00F550C5">
            <w:pPr>
              <w:pStyle w:val="Bodyromannumerals"/>
              <w:rPr>
                <w:i/>
                <w:lang w:val="en-US"/>
              </w:rPr>
            </w:pPr>
            <w:r w:rsidRPr="009A191E">
              <w:rPr>
                <w:i/>
                <w:lang w:val="en-US"/>
              </w:rPr>
              <w:t>Processing Rules:</w:t>
            </w:r>
          </w:p>
        </w:tc>
        <w:tc>
          <w:tcPr>
            <w:tcW w:w="557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7EE573F" w14:textId="77777777" w:rsidR="008E147C" w:rsidRPr="009A191E" w:rsidRDefault="008E147C" w:rsidP="00F550C5">
            <w:pPr>
              <w:pStyle w:val="Bodyromannumerals"/>
              <w:rPr>
                <w:lang w:val="en-US"/>
              </w:rPr>
            </w:pPr>
            <w:r w:rsidRPr="009A191E">
              <w:rPr>
                <w:lang w:val="en-US"/>
              </w:rPr>
              <w:t>Input field</w:t>
            </w:r>
          </w:p>
        </w:tc>
      </w:tr>
    </w:tbl>
    <w:p w14:paraId="3D9D9274" w14:textId="77777777" w:rsidR="00657283" w:rsidRDefault="00657283">
      <w:r>
        <w:br w:type="page"/>
      </w:r>
    </w:p>
    <w:tbl>
      <w:tblPr>
        <w:tblStyle w:val="TableGrid3"/>
        <w:tblW w:w="7558" w:type="dxa"/>
        <w:tblLook w:val="04A0" w:firstRow="1" w:lastRow="0" w:firstColumn="1" w:lastColumn="0" w:noHBand="0" w:noVBand="1"/>
      </w:tblPr>
      <w:tblGrid>
        <w:gridCol w:w="1065"/>
        <w:gridCol w:w="918"/>
        <w:gridCol w:w="4655"/>
        <w:gridCol w:w="920"/>
      </w:tblGrid>
      <w:tr w:rsidR="008E147C" w:rsidRPr="009A191E" w14:paraId="1EFF8CB9" w14:textId="77777777" w:rsidTr="2C985F9B">
        <w:tc>
          <w:tcPr>
            <w:tcW w:w="1065" w:type="dxa"/>
          </w:tcPr>
          <w:p w14:paraId="77E061AA" w14:textId="7770CE0C" w:rsidR="008E147C" w:rsidRPr="00F550C5" w:rsidRDefault="008E147C" w:rsidP="00F550C5">
            <w:pPr>
              <w:pStyle w:val="Bodyromannumerals"/>
              <w:rPr>
                <w:b/>
                <w:bCs/>
                <w:lang w:val="en-US"/>
              </w:rPr>
            </w:pPr>
            <w:r w:rsidRPr="00F550C5">
              <w:rPr>
                <w:b/>
                <w:bCs/>
                <w:lang w:val="en-US"/>
              </w:rPr>
              <w:lastRenderedPageBreak/>
              <w:t>A3.19</w:t>
            </w:r>
          </w:p>
        </w:tc>
        <w:tc>
          <w:tcPr>
            <w:tcW w:w="5573" w:type="dxa"/>
            <w:gridSpan w:val="2"/>
          </w:tcPr>
          <w:p w14:paraId="760FBA8E" w14:textId="77777777" w:rsidR="008E147C" w:rsidRPr="00F550C5" w:rsidRDefault="008E147C" w:rsidP="00F550C5">
            <w:pPr>
              <w:pStyle w:val="Bodyromannumerals"/>
              <w:rPr>
                <w:b/>
                <w:bCs/>
                <w:lang w:val="en-US"/>
              </w:rPr>
            </w:pPr>
            <w:r w:rsidRPr="00F550C5">
              <w:rPr>
                <w:b/>
                <w:bCs/>
                <w:lang w:val="en-US"/>
              </w:rPr>
              <w:t>Total number of billed properties</w:t>
            </w:r>
          </w:p>
        </w:tc>
        <w:tc>
          <w:tcPr>
            <w:tcW w:w="920" w:type="dxa"/>
          </w:tcPr>
          <w:p w14:paraId="5474C6E8" w14:textId="77777777" w:rsidR="008E147C" w:rsidRPr="00F550C5" w:rsidRDefault="008E147C" w:rsidP="00F550C5">
            <w:pPr>
              <w:pStyle w:val="Bodyromannumerals"/>
              <w:rPr>
                <w:b/>
                <w:bCs/>
                <w:lang w:val="en-US"/>
              </w:rPr>
            </w:pPr>
            <w:r w:rsidRPr="00F550C5">
              <w:rPr>
                <w:b/>
                <w:bCs/>
                <w:lang w:val="en-US"/>
              </w:rPr>
              <w:t>Nr.</w:t>
            </w:r>
          </w:p>
        </w:tc>
      </w:tr>
      <w:tr w:rsidR="008E147C" w:rsidRPr="009A191E" w14:paraId="2292B1D4" w14:textId="77777777" w:rsidTr="2C985F9B">
        <w:tc>
          <w:tcPr>
            <w:tcW w:w="1983" w:type="dxa"/>
            <w:gridSpan w:val="2"/>
            <w:tcBorders>
              <w:left w:val="single" w:sz="4" w:space="0" w:color="FFFFFF" w:themeColor="background2"/>
              <w:bottom w:val="single" w:sz="4" w:space="0" w:color="FFFFFF" w:themeColor="background2"/>
              <w:right w:val="single" w:sz="4" w:space="0" w:color="FFFFFF" w:themeColor="background2"/>
            </w:tcBorders>
          </w:tcPr>
          <w:p w14:paraId="4CC651E6" w14:textId="77777777" w:rsidR="008E147C" w:rsidRPr="009A191E" w:rsidRDefault="008E147C" w:rsidP="00F550C5">
            <w:pPr>
              <w:pStyle w:val="Bodyromannumerals"/>
              <w:rPr>
                <w:i/>
                <w:lang w:val="en-US"/>
              </w:rPr>
            </w:pPr>
            <w:r w:rsidRPr="009A191E">
              <w:rPr>
                <w:i/>
                <w:lang w:val="en-US"/>
              </w:rPr>
              <w:t>Definition:</w:t>
            </w:r>
          </w:p>
        </w:tc>
        <w:tc>
          <w:tcPr>
            <w:tcW w:w="5575" w:type="dxa"/>
            <w:gridSpan w:val="2"/>
            <w:tcBorders>
              <w:left w:val="single" w:sz="4" w:space="0" w:color="FFFFFF" w:themeColor="background2"/>
              <w:bottom w:val="single" w:sz="4" w:space="0" w:color="FFFFFF" w:themeColor="background2"/>
              <w:right w:val="single" w:sz="4" w:space="0" w:color="FFFFFF" w:themeColor="background2"/>
            </w:tcBorders>
          </w:tcPr>
          <w:p w14:paraId="25829734" w14:textId="16D1E9BE" w:rsidR="008E147C" w:rsidRDefault="008E147C" w:rsidP="00F550C5">
            <w:pPr>
              <w:pStyle w:val="Bodyromannumerals"/>
              <w:rPr>
                <w:lang w:val="en-US"/>
              </w:rPr>
            </w:pPr>
            <w:r w:rsidRPr="009A191E">
              <w:rPr>
                <w:lang w:val="en-US"/>
              </w:rPr>
              <w:t>Number of metered non-</w:t>
            </w:r>
            <w:r w:rsidR="00BB5A05">
              <w:rPr>
                <w:lang w:val="en-US"/>
              </w:rPr>
              <w:t>household</w:t>
            </w:r>
            <w:r w:rsidRPr="009A191E">
              <w:rPr>
                <w:lang w:val="en-US"/>
              </w:rPr>
              <w:t xml:space="preserve"> properties for wastewater as at </w:t>
            </w:r>
            <w:r w:rsidR="00D97768">
              <w:rPr>
                <w:lang w:val="en-US"/>
              </w:rPr>
              <w:t>30 June</w:t>
            </w:r>
            <w:r w:rsidRPr="009A191E">
              <w:rPr>
                <w:lang w:val="en-US"/>
              </w:rPr>
              <w:t xml:space="preserve"> of the reporting year. </w:t>
            </w:r>
          </w:p>
          <w:p w14:paraId="1DEF62E2" w14:textId="77777777" w:rsidR="008F5ADC" w:rsidRDefault="008F5ADC" w:rsidP="008F5ADC">
            <w:pPr>
              <w:pStyle w:val="Bodyromannumerals"/>
              <w:rPr>
                <w:lang w:val="en-US"/>
              </w:rPr>
            </w:pPr>
            <w:r>
              <w:rPr>
                <w:lang w:val="en-US"/>
              </w:rPr>
              <w:t>For the avoidance of doubt, a customer should be considered measured if their:</w:t>
            </w:r>
          </w:p>
          <w:p w14:paraId="03B14C66" w14:textId="77777777" w:rsidR="008F5ADC" w:rsidRDefault="008F5ADC" w:rsidP="00871522">
            <w:pPr>
              <w:pStyle w:val="Bodyromannumerals"/>
              <w:numPr>
                <w:ilvl w:val="0"/>
                <w:numId w:val="22"/>
              </w:numPr>
              <w:rPr>
                <w:lang w:val="en-US"/>
              </w:rPr>
            </w:pPr>
            <w:r>
              <w:rPr>
                <w:lang w:val="en-US"/>
              </w:rPr>
              <w:t>wastewater provided is directly measured and charged; or</w:t>
            </w:r>
          </w:p>
          <w:p w14:paraId="43CCA5CB" w14:textId="77777777" w:rsidR="008F5ADC" w:rsidRDefault="008F5ADC" w:rsidP="00871522">
            <w:pPr>
              <w:pStyle w:val="Bodyromannumerals"/>
              <w:numPr>
                <w:ilvl w:val="0"/>
                <w:numId w:val="22"/>
              </w:numPr>
              <w:rPr>
                <w:lang w:val="en-US"/>
              </w:rPr>
            </w:pPr>
            <w:r>
              <w:rPr>
                <w:lang w:val="en-US"/>
              </w:rPr>
              <w:t>wastewater provided is measured and charged based on the measured water usage (i.e. a return to sewer assumption).</w:t>
            </w:r>
          </w:p>
          <w:p w14:paraId="6F40C356" w14:textId="67B12D45" w:rsidR="008F5ADC" w:rsidRPr="009A191E" w:rsidRDefault="008F5ADC" w:rsidP="00F550C5">
            <w:pPr>
              <w:pStyle w:val="Bodyromannumerals"/>
              <w:rPr>
                <w:lang w:val="en-US"/>
              </w:rPr>
            </w:pPr>
            <w:r>
              <w:rPr>
                <w:lang w:val="en-US"/>
              </w:rPr>
              <w:t>Otherwise, they should be included in the relevant unmeasured line.</w:t>
            </w:r>
          </w:p>
        </w:tc>
      </w:tr>
      <w:tr w:rsidR="008E147C" w:rsidRPr="009A191E" w14:paraId="2D61E8A9" w14:textId="77777777" w:rsidTr="2C985F9B">
        <w:tc>
          <w:tcPr>
            <w:tcW w:w="19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0BCE7F5" w14:textId="77777777" w:rsidR="008E147C" w:rsidRPr="009A191E" w:rsidRDefault="008E147C" w:rsidP="00F550C5">
            <w:pPr>
              <w:pStyle w:val="Bodyromannumerals"/>
              <w:rPr>
                <w:i/>
                <w:lang w:val="en-US"/>
              </w:rPr>
            </w:pPr>
            <w:r w:rsidRPr="009A191E">
              <w:rPr>
                <w:i/>
                <w:lang w:val="en-US"/>
              </w:rPr>
              <w:t>Processing Rules:</w:t>
            </w:r>
          </w:p>
        </w:tc>
        <w:tc>
          <w:tcPr>
            <w:tcW w:w="557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A1B88F5" w14:textId="77777777" w:rsidR="008E147C" w:rsidRPr="009A191E" w:rsidRDefault="008E147C" w:rsidP="00F550C5">
            <w:pPr>
              <w:pStyle w:val="Bodyromannumerals"/>
              <w:rPr>
                <w:lang w:val="en-US"/>
              </w:rPr>
            </w:pPr>
            <w:r w:rsidRPr="009A191E">
              <w:rPr>
                <w:lang w:val="en-US"/>
              </w:rPr>
              <w:t>Input field</w:t>
            </w:r>
          </w:p>
        </w:tc>
      </w:tr>
      <w:tr w:rsidR="008E147C" w:rsidRPr="009A191E" w14:paraId="47B9A757" w14:textId="77777777" w:rsidTr="2C985F9B">
        <w:tc>
          <w:tcPr>
            <w:tcW w:w="1065" w:type="dxa"/>
          </w:tcPr>
          <w:p w14:paraId="20276414" w14:textId="77777777" w:rsidR="008E147C" w:rsidRPr="00F550C5" w:rsidRDefault="008E147C" w:rsidP="00F550C5">
            <w:pPr>
              <w:pStyle w:val="Bodyromannumerals"/>
              <w:rPr>
                <w:b/>
                <w:bCs/>
                <w:lang w:val="en-US"/>
              </w:rPr>
            </w:pPr>
            <w:r w:rsidRPr="00F550C5">
              <w:rPr>
                <w:b/>
                <w:bCs/>
                <w:lang w:val="en-US"/>
              </w:rPr>
              <w:t>A3.20</w:t>
            </w:r>
          </w:p>
        </w:tc>
        <w:tc>
          <w:tcPr>
            <w:tcW w:w="5573" w:type="dxa"/>
            <w:gridSpan w:val="2"/>
          </w:tcPr>
          <w:p w14:paraId="22370E16" w14:textId="0E00DD44" w:rsidR="008E147C" w:rsidRPr="00F550C5" w:rsidRDefault="008E147C" w:rsidP="00F550C5">
            <w:pPr>
              <w:pStyle w:val="Bodyromannumerals"/>
              <w:rPr>
                <w:b/>
                <w:bCs/>
                <w:lang w:val="en-US"/>
              </w:rPr>
            </w:pPr>
            <w:r w:rsidRPr="00F550C5">
              <w:rPr>
                <w:b/>
                <w:bCs/>
                <w:lang w:val="en-US"/>
              </w:rPr>
              <w:t xml:space="preserve">Number of billed properties with </w:t>
            </w:r>
            <w:proofErr w:type="spellStart"/>
            <w:r w:rsidRPr="00F550C5">
              <w:rPr>
                <w:b/>
                <w:bCs/>
                <w:lang w:val="en-US"/>
              </w:rPr>
              <w:t>trad</w:t>
            </w:r>
            <w:r w:rsidR="002E6A73">
              <w:rPr>
                <w:b/>
                <w:bCs/>
                <w:lang w:val="en-US"/>
              </w:rPr>
              <w:t>ewaste</w:t>
            </w:r>
            <w:proofErr w:type="spellEnd"/>
            <w:r w:rsidRPr="00F550C5">
              <w:rPr>
                <w:b/>
                <w:bCs/>
                <w:lang w:val="en-US"/>
              </w:rPr>
              <w:t xml:space="preserve"> agreements</w:t>
            </w:r>
          </w:p>
        </w:tc>
        <w:tc>
          <w:tcPr>
            <w:tcW w:w="920" w:type="dxa"/>
          </w:tcPr>
          <w:p w14:paraId="35242C06" w14:textId="77777777" w:rsidR="008E147C" w:rsidRPr="00F550C5" w:rsidRDefault="008E147C" w:rsidP="00F550C5">
            <w:pPr>
              <w:pStyle w:val="Bodyromannumerals"/>
              <w:rPr>
                <w:b/>
                <w:bCs/>
                <w:lang w:val="en-US"/>
              </w:rPr>
            </w:pPr>
            <w:r w:rsidRPr="00F550C5">
              <w:rPr>
                <w:b/>
                <w:bCs/>
                <w:lang w:val="en-US"/>
              </w:rPr>
              <w:t>Nr.</w:t>
            </w:r>
          </w:p>
        </w:tc>
      </w:tr>
      <w:tr w:rsidR="008E147C" w:rsidRPr="009A191E" w14:paraId="7D8A57BB" w14:textId="77777777" w:rsidTr="2C985F9B">
        <w:tc>
          <w:tcPr>
            <w:tcW w:w="1983" w:type="dxa"/>
            <w:gridSpan w:val="2"/>
            <w:tcBorders>
              <w:left w:val="single" w:sz="4" w:space="0" w:color="FFFFFF" w:themeColor="background2"/>
              <w:bottom w:val="single" w:sz="4" w:space="0" w:color="FFFFFF" w:themeColor="background2"/>
              <w:right w:val="single" w:sz="4" w:space="0" w:color="FFFFFF" w:themeColor="background2"/>
            </w:tcBorders>
          </w:tcPr>
          <w:p w14:paraId="3855812F" w14:textId="77777777" w:rsidR="008E147C" w:rsidRPr="009A191E" w:rsidRDefault="008E147C" w:rsidP="00F550C5">
            <w:pPr>
              <w:pStyle w:val="Bodyromannumerals"/>
              <w:rPr>
                <w:i/>
                <w:lang w:val="en-US"/>
              </w:rPr>
            </w:pPr>
            <w:r w:rsidRPr="009A191E">
              <w:rPr>
                <w:i/>
                <w:lang w:val="en-US"/>
              </w:rPr>
              <w:t>Definition:</w:t>
            </w:r>
          </w:p>
        </w:tc>
        <w:tc>
          <w:tcPr>
            <w:tcW w:w="5575" w:type="dxa"/>
            <w:gridSpan w:val="2"/>
            <w:tcBorders>
              <w:left w:val="single" w:sz="4" w:space="0" w:color="FFFFFF" w:themeColor="background2"/>
              <w:bottom w:val="single" w:sz="4" w:space="0" w:color="FFFFFF" w:themeColor="background2"/>
              <w:right w:val="single" w:sz="4" w:space="0" w:color="FFFFFF" w:themeColor="background2"/>
            </w:tcBorders>
          </w:tcPr>
          <w:p w14:paraId="4349B3FA" w14:textId="5ED37B35" w:rsidR="008E147C" w:rsidRPr="009A191E" w:rsidRDefault="008E147C" w:rsidP="00F550C5">
            <w:pPr>
              <w:pStyle w:val="Bodyromannumerals"/>
              <w:rPr>
                <w:lang w:val="en-US"/>
              </w:rPr>
            </w:pPr>
            <w:r w:rsidRPr="009A191E">
              <w:rPr>
                <w:lang w:val="en-US"/>
              </w:rPr>
              <w:t>Number of billed metered non-</w:t>
            </w:r>
            <w:r w:rsidR="00BB5A05">
              <w:rPr>
                <w:lang w:val="en-US"/>
              </w:rPr>
              <w:t>household</w:t>
            </w:r>
            <w:r w:rsidRPr="009A191E">
              <w:rPr>
                <w:lang w:val="en-US"/>
              </w:rPr>
              <w:t xml:space="preserve"> properties for wastewater as at </w:t>
            </w:r>
            <w:r w:rsidR="00D97768">
              <w:rPr>
                <w:lang w:val="en-US"/>
              </w:rPr>
              <w:t>30 June</w:t>
            </w:r>
            <w:r w:rsidRPr="009A191E">
              <w:rPr>
                <w:lang w:val="en-US"/>
              </w:rPr>
              <w:t xml:space="preserve"> of the reporting year, with </w:t>
            </w:r>
            <w:proofErr w:type="spellStart"/>
            <w:r w:rsidRPr="009A191E">
              <w:rPr>
                <w:lang w:val="en-US"/>
              </w:rPr>
              <w:t>trade</w:t>
            </w:r>
            <w:r w:rsidR="002E6A73">
              <w:rPr>
                <w:lang w:val="en-US"/>
              </w:rPr>
              <w:t>waste</w:t>
            </w:r>
            <w:proofErr w:type="spellEnd"/>
            <w:r w:rsidR="002E6A73" w:rsidRPr="009A191E">
              <w:rPr>
                <w:lang w:val="en-US"/>
              </w:rPr>
              <w:t xml:space="preserve"> </w:t>
            </w:r>
            <w:r w:rsidRPr="009A191E">
              <w:rPr>
                <w:lang w:val="en-US"/>
              </w:rPr>
              <w:t>agreements.</w:t>
            </w:r>
          </w:p>
        </w:tc>
      </w:tr>
      <w:tr w:rsidR="008E147C" w:rsidRPr="009A191E" w14:paraId="0DF729FA" w14:textId="77777777" w:rsidTr="2C985F9B">
        <w:tc>
          <w:tcPr>
            <w:tcW w:w="19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F549FF0" w14:textId="77777777" w:rsidR="008E147C" w:rsidRPr="009A191E" w:rsidRDefault="008E147C" w:rsidP="00F550C5">
            <w:pPr>
              <w:pStyle w:val="Bodyromannumerals"/>
              <w:rPr>
                <w:i/>
                <w:lang w:val="en-US"/>
              </w:rPr>
            </w:pPr>
            <w:r w:rsidRPr="009A191E">
              <w:rPr>
                <w:i/>
                <w:lang w:val="en-US"/>
              </w:rPr>
              <w:t>Processing Rules:</w:t>
            </w:r>
          </w:p>
        </w:tc>
        <w:tc>
          <w:tcPr>
            <w:tcW w:w="557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C888F88" w14:textId="77777777" w:rsidR="008E147C" w:rsidRPr="009A191E" w:rsidRDefault="008E147C" w:rsidP="00F550C5">
            <w:pPr>
              <w:pStyle w:val="Bodyromannumerals"/>
              <w:rPr>
                <w:lang w:val="en-US"/>
              </w:rPr>
            </w:pPr>
            <w:r w:rsidRPr="009A191E">
              <w:rPr>
                <w:lang w:val="en-US"/>
              </w:rPr>
              <w:t>Input field</w:t>
            </w:r>
          </w:p>
        </w:tc>
      </w:tr>
    </w:tbl>
    <w:p w14:paraId="6C2CEC4B" w14:textId="5086ED62" w:rsidR="008E147C" w:rsidRPr="009A191E" w:rsidRDefault="008E147C" w:rsidP="00574F08">
      <w:pPr>
        <w:pStyle w:val="Sectionsub-heading"/>
        <w:rPr>
          <w:lang w:val="en-GB"/>
        </w:rPr>
      </w:pPr>
      <w:r w:rsidRPr="009A191E">
        <w:rPr>
          <w:lang w:val="en-GB"/>
        </w:rPr>
        <w:t xml:space="preserve">BLOCK </w:t>
      </w:r>
      <w:r w:rsidR="000C300C">
        <w:rPr>
          <w:lang w:val="en-GB"/>
        </w:rPr>
        <w:t>4</w:t>
      </w:r>
      <w:r w:rsidRPr="009A191E">
        <w:rPr>
          <w:lang w:val="en-GB"/>
        </w:rPr>
        <w:t>: UNMEASURED NON-</w:t>
      </w:r>
      <w:r w:rsidR="00BB5A05">
        <w:rPr>
          <w:lang w:val="en-GB"/>
        </w:rPr>
        <w:t>HOUSEHOLD</w:t>
      </w:r>
      <w:r w:rsidRPr="009A191E">
        <w:rPr>
          <w:lang w:val="en-GB"/>
        </w:rPr>
        <w:t xml:space="preserve"> - PROPERTIES</w:t>
      </w:r>
    </w:p>
    <w:tbl>
      <w:tblPr>
        <w:tblStyle w:val="TableGrid3"/>
        <w:tblW w:w="7558" w:type="dxa"/>
        <w:tblLook w:val="04A0" w:firstRow="1" w:lastRow="0" w:firstColumn="1" w:lastColumn="0" w:noHBand="0" w:noVBand="1"/>
      </w:tblPr>
      <w:tblGrid>
        <w:gridCol w:w="1050"/>
        <w:gridCol w:w="943"/>
        <w:gridCol w:w="4651"/>
        <w:gridCol w:w="914"/>
      </w:tblGrid>
      <w:tr w:rsidR="008E147C" w:rsidRPr="009A191E" w14:paraId="312B93F8" w14:textId="77777777" w:rsidTr="2C985F9B">
        <w:tc>
          <w:tcPr>
            <w:tcW w:w="1050" w:type="dxa"/>
          </w:tcPr>
          <w:p w14:paraId="51F475B6" w14:textId="77777777" w:rsidR="008E147C" w:rsidRPr="00574F08" w:rsidRDefault="008E147C" w:rsidP="00574F08">
            <w:pPr>
              <w:pStyle w:val="Bodyromannumerals"/>
              <w:rPr>
                <w:b/>
                <w:bCs/>
                <w:lang w:val="en-US"/>
              </w:rPr>
            </w:pPr>
            <w:r w:rsidRPr="00574F08">
              <w:rPr>
                <w:b/>
                <w:bCs/>
                <w:lang w:val="en-US"/>
              </w:rPr>
              <w:t>A3.42</w:t>
            </w:r>
          </w:p>
        </w:tc>
        <w:tc>
          <w:tcPr>
            <w:tcW w:w="5594" w:type="dxa"/>
            <w:gridSpan w:val="2"/>
          </w:tcPr>
          <w:p w14:paraId="2A54BB2F" w14:textId="77777777" w:rsidR="008E147C" w:rsidRPr="00574F08" w:rsidRDefault="008E147C" w:rsidP="00574F08">
            <w:pPr>
              <w:pStyle w:val="Bodyromannumerals"/>
              <w:rPr>
                <w:b/>
                <w:bCs/>
                <w:lang w:val="en-US"/>
              </w:rPr>
            </w:pPr>
            <w:r w:rsidRPr="00574F08">
              <w:rPr>
                <w:b/>
                <w:bCs/>
                <w:lang w:val="en-US"/>
              </w:rPr>
              <w:t>Number of billed properties with other relief of charges</w:t>
            </w:r>
          </w:p>
        </w:tc>
        <w:tc>
          <w:tcPr>
            <w:tcW w:w="914" w:type="dxa"/>
          </w:tcPr>
          <w:p w14:paraId="0F9DBB6A" w14:textId="77777777" w:rsidR="008E147C" w:rsidRPr="00574F08" w:rsidRDefault="008E147C" w:rsidP="00574F08">
            <w:pPr>
              <w:pStyle w:val="Bodyromannumerals"/>
              <w:rPr>
                <w:b/>
                <w:bCs/>
                <w:lang w:val="en-US"/>
              </w:rPr>
            </w:pPr>
            <w:r w:rsidRPr="00574F08">
              <w:rPr>
                <w:b/>
                <w:bCs/>
                <w:lang w:val="en-US"/>
              </w:rPr>
              <w:t>Nr.</w:t>
            </w:r>
          </w:p>
        </w:tc>
      </w:tr>
      <w:tr w:rsidR="008E147C" w:rsidRPr="009A191E" w14:paraId="4B3E5D26" w14:textId="77777777" w:rsidTr="2C985F9B">
        <w:tc>
          <w:tcPr>
            <w:tcW w:w="1993" w:type="dxa"/>
            <w:gridSpan w:val="2"/>
            <w:tcBorders>
              <w:left w:val="single" w:sz="4" w:space="0" w:color="FFFFFF" w:themeColor="background2"/>
              <w:bottom w:val="single" w:sz="4" w:space="0" w:color="FFFFFF" w:themeColor="background2"/>
              <w:right w:val="single" w:sz="4" w:space="0" w:color="FFFFFF" w:themeColor="background2"/>
            </w:tcBorders>
          </w:tcPr>
          <w:p w14:paraId="6FD86F5A" w14:textId="77777777" w:rsidR="008E147C" w:rsidRPr="009A191E" w:rsidRDefault="008E147C" w:rsidP="00574F08">
            <w:pPr>
              <w:pStyle w:val="Bodyromannumerals"/>
              <w:rPr>
                <w:i/>
                <w:lang w:val="en-US"/>
              </w:rPr>
            </w:pPr>
            <w:r w:rsidRPr="009A191E">
              <w:rPr>
                <w:i/>
                <w:lang w:val="en-US"/>
              </w:rPr>
              <w:t>Definition:</w:t>
            </w:r>
          </w:p>
        </w:tc>
        <w:tc>
          <w:tcPr>
            <w:tcW w:w="5565" w:type="dxa"/>
            <w:gridSpan w:val="2"/>
            <w:tcBorders>
              <w:left w:val="single" w:sz="4" w:space="0" w:color="FFFFFF" w:themeColor="background2"/>
              <w:bottom w:val="single" w:sz="4" w:space="0" w:color="FFFFFF" w:themeColor="background2"/>
              <w:right w:val="single" w:sz="4" w:space="0" w:color="FFFFFF" w:themeColor="background2"/>
            </w:tcBorders>
          </w:tcPr>
          <w:p w14:paraId="7C23C101" w14:textId="722A82EF" w:rsidR="008E147C" w:rsidRDefault="008E147C" w:rsidP="00574F08">
            <w:pPr>
              <w:pStyle w:val="Bodyromannumerals"/>
              <w:rPr>
                <w:lang w:val="en-US"/>
              </w:rPr>
            </w:pPr>
            <w:r w:rsidRPr="009A191E">
              <w:rPr>
                <w:lang w:val="en-US"/>
              </w:rPr>
              <w:t>Number of billed unmeasured non-</w:t>
            </w:r>
            <w:r w:rsidR="00BB5A05">
              <w:rPr>
                <w:lang w:val="en-US"/>
              </w:rPr>
              <w:t>household</w:t>
            </w:r>
            <w:r w:rsidRPr="009A191E">
              <w:rPr>
                <w:lang w:val="en-US"/>
              </w:rPr>
              <w:t xml:space="preserve"> properties for wastewater with other relief of charges as at </w:t>
            </w:r>
            <w:r w:rsidR="00D97768">
              <w:rPr>
                <w:lang w:val="en-US"/>
              </w:rPr>
              <w:t>30 June</w:t>
            </w:r>
            <w:r w:rsidRPr="009A191E">
              <w:rPr>
                <w:lang w:val="en-US"/>
              </w:rPr>
              <w:t xml:space="preserve"> of the reporting year.</w:t>
            </w:r>
          </w:p>
          <w:p w14:paraId="5D34BCDD" w14:textId="13EA9172" w:rsidR="0012152B" w:rsidRPr="009A191E" w:rsidRDefault="0012152B" w:rsidP="00574F08">
            <w:pPr>
              <w:pStyle w:val="Bodyromannumerals"/>
              <w:rPr>
                <w:lang w:val="en-US"/>
              </w:rPr>
            </w:pPr>
            <w:r>
              <w:rPr>
                <w:lang w:val="en-US"/>
              </w:rPr>
              <w:t>If this line is populated, please provide a commentary on the relief in place.</w:t>
            </w:r>
          </w:p>
        </w:tc>
      </w:tr>
      <w:tr w:rsidR="008E147C" w:rsidRPr="009A191E" w14:paraId="678E33F2" w14:textId="77777777" w:rsidTr="2C985F9B">
        <w:tc>
          <w:tcPr>
            <w:tcW w:w="199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288661A" w14:textId="77777777" w:rsidR="008E147C" w:rsidRPr="009A191E" w:rsidRDefault="008E147C" w:rsidP="00574F08">
            <w:pPr>
              <w:pStyle w:val="Bodyromannumerals"/>
              <w:rPr>
                <w:i/>
                <w:lang w:val="en-US"/>
              </w:rPr>
            </w:pPr>
            <w:r w:rsidRPr="009A191E">
              <w:rPr>
                <w:i/>
                <w:lang w:val="en-US"/>
              </w:rPr>
              <w:t>Processing Rules:</w:t>
            </w:r>
          </w:p>
        </w:tc>
        <w:tc>
          <w:tcPr>
            <w:tcW w:w="556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5C1D17B" w14:textId="77777777" w:rsidR="008E147C" w:rsidRPr="009A191E" w:rsidRDefault="008E147C" w:rsidP="00574F08">
            <w:pPr>
              <w:pStyle w:val="Bodyromannumerals"/>
              <w:rPr>
                <w:lang w:val="en-US"/>
              </w:rPr>
            </w:pPr>
            <w:r w:rsidRPr="009A191E">
              <w:rPr>
                <w:lang w:val="en-US"/>
              </w:rPr>
              <w:t>Input field</w:t>
            </w:r>
          </w:p>
        </w:tc>
      </w:tr>
      <w:tr w:rsidR="008E147C" w:rsidRPr="009A191E" w14:paraId="5B854059" w14:textId="77777777" w:rsidTr="2C985F9B">
        <w:tc>
          <w:tcPr>
            <w:tcW w:w="1050" w:type="dxa"/>
          </w:tcPr>
          <w:p w14:paraId="556BCA11" w14:textId="77777777" w:rsidR="008E147C" w:rsidRPr="00574F08" w:rsidRDefault="008E147C" w:rsidP="00574F08">
            <w:pPr>
              <w:pStyle w:val="Bodyromannumerals"/>
              <w:rPr>
                <w:b/>
                <w:bCs/>
                <w:lang w:val="en-US"/>
              </w:rPr>
            </w:pPr>
            <w:r w:rsidRPr="00574F08">
              <w:rPr>
                <w:b/>
                <w:bCs/>
                <w:lang w:val="en-US"/>
              </w:rPr>
              <w:t>A3.43</w:t>
            </w:r>
          </w:p>
        </w:tc>
        <w:tc>
          <w:tcPr>
            <w:tcW w:w="5594" w:type="dxa"/>
            <w:gridSpan w:val="2"/>
          </w:tcPr>
          <w:p w14:paraId="2333D162" w14:textId="77777777" w:rsidR="008E147C" w:rsidRPr="00574F08" w:rsidRDefault="008E147C" w:rsidP="00574F08">
            <w:pPr>
              <w:pStyle w:val="Bodyromannumerals"/>
              <w:rPr>
                <w:b/>
                <w:bCs/>
                <w:lang w:val="en-US"/>
              </w:rPr>
            </w:pPr>
            <w:r w:rsidRPr="00574F08">
              <w:rPr>
                <w:b/>
                <w:bCs/>
                <w:lang w:val="en-US"/>
              </w:rPr>
              <w:t>Number of billed properties with no charges</w:t>
            </w:r>
          </w:p>
        </w:tc>
        <w:tc>
          <w:tcPr>
            <w:tcW w:w="914" w:type="dxa"/>
          </w:tcPr>
          <w:p w14:paraId="15F462F6" w14:textId="77777777" w:rsidR="008E147C" w:rsidRPr="00574F08" w:rsidRDefault="008E147C" w:rsidP="00574F08">
            <w:pPr>
              <w:pStyle w:val="Bodyromannumerals"/>
              <w:rPr>
                <w:b/>
                <w:bCs/>
                <w:lang w:val="en-US"/>
              </w:rPr>
            </w:pPr>
            <w:r w:rsidRPr="00574F08">
              <w:rPr>
                <w:b/>
                <w:bCs/>
                <w:lang w:val="en-US"/>
              </w:rPr>
              <w:t>Nr.</w:t>
            </w:r>
          </w:p>
        </w:tc>
      </w:tr>
      <w:tr w:rsidR="008E147C" w:rsidRPr="009A191E" w14:paraId="4BD5BC03" w14:textId="77777777" w:rsidTr="2C985F9B">
        <w:tc>
          <w:tcPr>
            <w:tcW w:w="1993" w:type="dxa"/>
            <w:gridSpan w:val="2"/>
            <w:tcBorders>
              <w:left w:val="single" w:sz="4" w:space="0" w:color="FFFFFF" w:themeColor="background2"/>
              <w:bottom w:val="single" w:sz="4" w:space="0" w:color="FFFFFF" w:themeColor="background2"/>
              <w:right w:val="single" w:sz="4" w:space="0" w:color="FFFFFF" w:themeColor="background2"/>
            </w:tcBorders>
          </w:tcPr>
          <w:p w14:paraId="22026D07" w14:textId="77777777" w:rsidR="008E147C" w:rsidRPr="009A191E" w:rsidRDefault="008E147C" w:rsidP="00574F08">
            <w:pPr>
              <w:pStyle w:val="Bodyromannumerals"/>
              <w:rPr>
                <w:i/>
                <w:lang w:val="en-US"/>
              </w:rPr>
            </w:pPr>
            <w:r w:rsidRPr="009A191E">
              <w:rPr>
                <w:i/>
                <w:lang w:val="en-US"/>
              </w:rPr>
              <w:t>Definition:</w:t>
            </w:r>
          </w:p>
        </w:tc>
        <w:tc>
          <w:tcPr>
            <w:tcW w:w="5565" w:type="dxa"/>
            <w:gridSpan w:val="2"/>
            <w:tcBorders>
              <w:left w:val="single" w:sz="4" w:space="0" w:color="FFFFFF" w:themeColor="background2"/>
              <w:bottom w:val="single" w:sz="4" w:space="0" w:color="FFFFFF" w:themeColor="background2"/>
              <w:right w:val="single" w:sz="4" w:space="0" w:color="FFFFFF" w:themeColor="background2"/>
            </w:tcBorders>
          </w:tcPr>
          <w:p w14:paraId="66498A5A" w14:textId="63EDED21" w:rsidR="008E147C" w:rsidRDefault="008E147C" w:rsidP="00574F08">
            <w:pPr>
              <w:pStyle w:val="Bodyromannumerals"/>
              <w:rPr>
                <w:lang w:val="en-US"/>
              </w:rPr>
            </w:pPr>
            <w:r w:rsidRPr="009A191E">
              <w:rPr>
                <w:lang w:val="en-US"/>
              </w:rPr>
              <w:t>Number of billed unmeasured non-</w:t>
            </w:r>
            <w:r w:rsidR="00BB5A05">
              <w:rPr>
                <w:lang w:val="en-US"/>
              </w:rPr>
              <w:t>household</w:t>
            </w:r>
            <w:r w:rsidRPr="009A191E">
              <w:rPr>
                <w:lang w:val="en-US"/>
              </w:rPr>
              <w:t xml:space="preserve"> properties for wastewater where a service has been provided as at </w:t>
            </w:r>
            <w:r w:rsidR="00D97768">
              <w:rPr>
                <w:lang w:val="en-US"/>
              </w:rPr>
              <w:t>30 June</w:t>
            </w:r>
            <w:r w:rsidRPr="009A191E">
              <w:rPr>
                <w:lang w:val="en-US"/>
              </w:rPr>
              <w:t xml:space="preserve"> of the reporting year, but no charge has been made.</w:t>
            </w:r>
          </w:p>
          <w:p w14:paraId="521D5F16" w14:textId="28DA8CD2" w:rsidR="0012152B" w:rsidRPr="009A191E" w:rsidRDefault="0012152B" w:rsidP="00574F08">
            <w:pPr>
              <w:pStyle w:val="Bodyromannumerals"/>
              <w:rPr>
                <w:lang w:val="en-US"/>
              </w:rPr>
            </w:pPr>
            <w:r>
              <w:rPr>
                <w:lang w:val="en-US"/>
              </w:rPr>
              <w:t xml:space="preserve">If this line is populated, please provide a commentary on the relief in place. </w:t>
            </w:r>
          </w:p>
        </w:tc>
      </w:tr>
      <w:tr w:rsidR="008E147C" w:rsidRPr="009A191E" w14:paraId="2D1F23AC" w14:textId="77777777" w:rsidTr="2C985F9B">
        <w:tc>
          <w:tcPr>
            <w:tcW w:w="199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19AA3F1" w14:textId="77777777" w:rsidR="008E147C" w:rsidRPr="009A191E" w:rsidRDefault="008E147C" w:rsidP="00574F08">
            <w:pPr>
              <w:pStyle w:val="Bodyromannumerals"/>
              <w:rPr>
                <w:i/>
                <w:lang w:val="en-US"/>
              </w:rPr>
            </w:pPr>
            <w:r w:rsidRPr="009A191E">
              <w:rPr>
                <w:i/>
                <w:lang w:val="en-US"/>
              </w:rPr>
              <w:t>Processing Rules:</w:t>
            </w:r>
          </w:p>
        </w:tc>
        <w:tc>
          <w:tcPr>
            <w:tcW w:w="556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4904120" w14:textId="77777777" w:rsidR="008E147C" w:rsidRPr="009A191E" w:rsidRDefault="008E147C" w:rsidP="00574F08">
            <w:pPr>
              <w:pStyle w:val="Bodyromannumerals"/>
              <w:rPr>
                <w:lang w:val="en-US"/>
              </w:rPr>
            </w:pPr>
            <w:r w:rsidRPr="009A191E">
              <w:rPr>
                <w:lang w:val="en-US"/>
              </w:rPr>
              <w:t>Input field</w:t>
            </w:r>
          </w:p>
        </w:tc>
      </w:tr>
      <w:tr w:rsidR="008E147C" w:rsidRPr="009A191E" w14:paraId="18BDAE32" w14:textId="77777777" w:rsidTr="2C985F9B">
        <w:tc>
          <w:tcPr>
            <w:tcW w:w="1050" w:type="dxa"/>
          </w:tcPr>
          <w:p w14:paraId="1EA8360F" w14:textId="635915ED" w:rsidR="008E147C" w:rsidRPr="00574F08" w:rsidRDefault="008E147C" w:rsidP="00574F08">
            <w:pPr>
              <w:pStyle w:val="Bodyromannumerals"/>
              <w:rPr>
                <w:b/>
                <w:bCs/>
                <w:lang w:val="en-US"/>
              </w:rPr>
            </w:pPr>
            <w:r w:rsidRPr="00574F08">
              <w:rPr>
                <w:b/>
                <w:bCs/>
                <w:lang w:val="en-US"/>
              </w:rPr>
              <w:t>A3.44</w:t>
            </w:r>
          </w:p>
        </w:tc>
        <w:tc>
          <w:tcPr>
            <w:tcW w:w="5594" w:type="dxa"/>
            <w:gridSpan w:val="2"/>
          </w:tcPr>
          <w:p w14:paraId="362E963F" w14:textId="77777777" w:rsidR="008E147C" w:rsidRPr="00574F08" w:rsidRDefault="008E147C" w:rsidP="00574F08">
            <w:pPr>
              <w:pStyle w:val="Bodyromannumerals"/>
              <w:rPr>
                <w:b/>
                <w:bCs/>
                <w:lang w:val="en-US"/>
              </w:rPr>
            </w:pPr>
            <w:r w:rsidRPr="00574F08">
              <w:rPr>
                <w:b/>
                <w:bCs/>
                <w:lang w:val="en-US"/>
              </w:rPr>
              <w:t>Total number of billed properties</w:t>
            </w:r>
          </w:p>
        </w:tc>
        <w:tc>
          <w:tcPr>
            <w:tcW w:w="914" w:type="dxa"/>
          </w:tcPr>
          <w:p w14:paraId="3446BC97" w14:textId="77777777" w:rsidR="008E147C" w:rsidRPr="00574F08" w:rsidRDefault="008E147C" w:rsidP="00574F08">
            <w:pPr>
              <w:pStyle w:val="Bodyromannumerals"/>
              <w:rPr>
                <w:b/>
                <w:bCs/>
                <w:lang w:val="en-US"/>
              </w:rPr>
            </w:pPr>
            <w:r w:rsidRPr="00574F08">
              <w:rPr>
                <w:b/>
                <w:bCs/>
                <w:lang w:val="en-US"/>
              </w:rPr>
              <w:t>Nr.</w:t>
            </w:r>
          </w:p>
        </w:tc>
      </w:tr>
      <w:tr w:rsidR="008E147C" w:rsidRPr="009A191E" w14:paraId="7B58BAC5" w14:textId="77777777" w:rsidTr="2C985F9B">
        <w:tc>
          <w:tcPr>
            <w:tcW w:w="1993" w:type="dxa"/>
            <w:gridSpan w:val="2"/>
            <w:tcBorders>
              <w:left w:val="single" w:sz="4" w:space="0" w:color="FFFFFF" w:themeColor="background2"/>
              <w:bottom w:val="single" w:sz="4" w:space="0" w:color="FFFFFF" w:themeColor="background2"/>
              <w:right w:val="single" w:sz="4" w:space="0" w:color="FFFFFF" w:themeColor="background2"/>
            </w:tcBorders>
          </w:tcPr>
          <w:p w14:paraId="3FD076A0" w14:textId="77777777" w:rsidR="008E147C" w:rsidRPr="009A191E" w:rsidRDefault="008E147C" w:rsidP="00574F08">
            <w:pPr>
              <w:pStyle w:val="Bodyromannumerals"/>
              <w:rPr>
                <w:i/>
                <w:lang w:val="en-US"/>
              </w:rPr>
            </w:pPr>
            <w:r w:rsidRPr="009A191E">
              <w:rPr>
                <w:i/>
                <w:lang w:val="en-US"/>
              </w:rPr>
              <w:t>Definition:</w:t>
            </w:r>
          </w:p>
        </w:tc>
        <w:tc>
          <w:tcPr>
            <w:tcW w:w="5565" w:type="dxa"/>
            <w:gridSpan w:val="2"/>
            <w:tcBorders>
              <w:left w:val="single" w:sz="4" w:space="0" w:color="FFFFFF" w:themeColor="background2"/>
              <w:bottom w:val="single" w:sz="4" w:space="0" w:color="FFFFFF" w:themeColor="background2"/>
              <w:right w:val="single" w:sz="4" w:space="0" w:color="FFFFFF" w:themeColor="background2"/>
            </w:tcBorders>
          </w:tcPr>
          <w:p w14:paraId="3B63B663" w14:textId="39AEF0D1" w:rsidR="008E147C" w:rsidRPr="009A191E" w:rsidRDefault="008E147C" w:rsidP="00574F08">
            <w:pPr>
              <w:pStyle w:val="Bodyromannumerals"/>
              <w:rPr>
                <w:lang w:val="en-US"/>
              </w:rPr>
            </w:pPr>
            <w:r w:rsidRPr="009A191E">
              <w:rPr>
                <w:lang w:val="en-US"/>
              </w:rPr>
              <w:t>Number of billed unmeasured non-</w:t>
            </w:r>
            <w:r w:rsidR="00BB5A05">
              <w:rPr>
                <w:lang w:val="en-US"/>
              </w:rPr>
              <w:t>household</w:t>
            </w:r>
            <w:r w:rsidRPr="009A191E">
              <w:rPr>
                <w:lang w:val="en-US"/>
              </w:rPr>
              <w:t xml:space="preserve"> properties for wastewater as at </w:t>
            </w:r>
            <w:r w:rsidR="00D97768">
              <w:rPr>
                <w:lang w:val="en-US"/>
              </w:rPr>
              <w:t>30 June</w:t>
            </w:r>
            <w:r w:rsidRPr="009A191E">
              <w:rPr>
                <w:lang w:val="en-US"/>
              </w:rPr>
              <w:t xml:space="preserve"> of the reporting year.</w:t>
            </w:r>
          </w:p>
        </w:tc>
      </w:tr>
      <w:tr w:rsidR="008E147C" w:rsidRPr="009A191E" w14:paraId="22C49D1F" w14:textId="77777777" w:rsidTr="2C985F9B">
        <w:tc>
          <w:tcPr>
            <w:tcW w:w="199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6020A5C" w14:textId="77777777" w:rsidR="008E147C" w:rsidRPr="009A191E" w:rsidRDefault="008E147C" w:rsidP="00574F08">
            <w:pPr>
              <w:pStyle w:val="Bodyromannumerals"/>
              <w:rPr>
                <w:i/>
                <w:lang w:val="en-US"/>
              </w:rPr>
            </w:pPr>
            <w:r w:rsidRPr="009A191E">
              <w:rPr>
                <w:i/>
                <w:lang w:val="en-US"/>
              </w:rPr>
              <w:t>Processing Rules:</w:t>
            </w:r>
          </w:p>
        </w:tc>
        <w:tc>
          <w:tcPr>
            <w:tcW w:w="556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7542963" w14:textId="77777777" w:rsidR="008E147C" w:rsidRPr="009A191E" w:rsidRDefault="008E147C" w:rsidP="00574F08">
            <w:pPr>
              <w:pStyle w:val="Bodyromannumerals"/>
              <w:rPr>
                <w:lang w:val="en-US"/>
              </w:rPr>
            </w:pPr>
            <w:r w:rsidRPr="009A191E">
              <w:rPr>
                <w:lang w:val="en-US"/>
              </w:rPr>
              <w:t>Input field</w:t>
            </w:r>
          </w:p>
        </w:tc>
      </w:tr>
    </w:tbl>
    <w:p w14:paraId="4BE311B2" w14:textId="4EFC058A" w:rsidR="00101DA4" w:rsidRPr="009A191E" w:rsidRDefault="00101DA4" w:rsidP="00101DA4">
      <w:pPr>
        <w:pStyle w:val="Sectionsub-heading"/>
        <w:rPr>
          <w:lang w:val="en-GB"/>
        </w:rPr>
      </w:pPr>
      <w:r w:rsidRPr="009A191E">
        <w:rPr>
          <w:lang w:val="en-GB"/>
        </w:rPr>
        <w:lastRenderedPageBreak/>
        <w:t xml:space="preserve">BLOCK </w:t>
      </w:r>
      <w:r w:rsidR="0098269A">
        <w:rPr>
          <w:lang w:val="en-GB"/>
        </w:rPr>
        <w:t>5</w:t>
      </w:r>
      <w:r w:rsidRPr="009A191E">
        <w:rPr>
          <w:lang w:val="en-GB"/>
        </w:rPr>
        <w:t>: SUMMARY – PROPERTIES</w:t>
      </w:r>
    </w:p>
    <w:tbl>
      <w:tblPr>
        <w:tblStyle w:val="TableGrid3"/>
        <w:tblW w:w="6917" w:type="dxa"/>
        <w:tblLook w:val="04A0" w:firstRow="1" w:lastRow="0" w:firstColumn="1" w:lastColumn="0" w:noHBand="0" w:noVBand="1"/>
      </w:tblPr>
      <w:tblGrid>
        <w:gridCol w:w="1035"/>
        <w:gridCol w:w="413"/>
        <w:gridCol w:w="558"/>
        <w:gridCol w:w="3155"/>
        <w:gridCol w:w="1756"/>
      </w:tblGrid>
      <w:tr w:rsidR="00101DA4" w:rsidRPr="009A191E" w14:paraId="490B3829" w14:textId="77777777" w:rsidTr="2C985F9B">
        <w:tc>
          <w:tcPr>
            <w:tcW w:w="1035" w:type="dxa"/>
          </w:tcPr>
          <w:p w14:paraId="612AB4A0" w14:textId="0DCD72BA" w:rsidR="00101DA4" w:rsidRPr="00B34EFB" w:rsidRDefault="00101DA4" w:rsidP="00926C76">
            <w:pPr>
              <w:pStyle w:val="Bodyromannumerals"/>
              <w:rPr>
                <w:b/>
                <w:bCs/>
                <w:lang w:val="en-US"/>
              </w:rPr>
            </w:pPr>
            <w:r w:rsidRPr="00B34EFB">
              <w:rPr>
                <w:b/>
                <w:bCs/>
                <w:lang w:val="en-US"/>
              </w:rPr>
              <w:t>A</w:t>
            </w:r>
            <w:r>
              <w:rPr>
                <w:b/>
                <w:bCs/>
                <w:lang w:val="en-US"/>
              </w:rPr>
              <w:t>3</w:t>
            </w:r>
            <w:r w:rsidRPr="00B34EFB">
              <w:rPr>
                <w:b/>
                <w:bCs/>
                <w:lang w:val="en-US"/>
              </w:rPr>
              <w:t>.</w:t>
            </w:r>
            <w:r>
              <w:rPr>
                <w:b/>
                <w:bCs/>
                <w:lang w:val="en-US"/>
              </w:rPr>
              <w:t>53</w:t>
            </w:r>
          </w:p>
        </w:tc>
        <w:tc>
          <w:tcPr>
            <w:tcW w:w="4126" w:type="dxa"/>
            <w:gridSpan w:val="3"/>
          </w:tcPr>
          <w:p w14:paraId="3E604B98" w14:textId="77777777" w:rsidR="00101DA4" w:rsidRPr="00B34EFB" w:rsidRDefault="00101DA4" w:rsidP="00926C76">
            <w:pPr>
              <w:pStyle w:val="Bodyromannumerals"/>
              <w:rPr>
                <w:b/>
                <w:bCs/>
                <w:lang w:val="en-US"/>
              </w:rPr>
            </w:pPr>
            <w:r w:rsidRPr="00B34EFB">
              <w:rPr>
                <w:b/>
                <w:bCs/>
                <w:lang w:val="en-US"/>
              </w:rPr>
              <w:t>Total connected billed properties</w:t>
            </w:r>
          </w:p>
        </w:tc>
        <w:tc>
          <w:tcPr>
            <w:tcW w:w="1756" w:type="dxa"/>
          </w:tcPr>
          <w:p w14:paraId="0F40EE86" w14:textId="77777777" w:rsidR="00101DA4" w:rsidRPr="00B34EFB" w:rsidRDefault="00101DA4" w:rsidP="00926C76">
            <w:pPr>
              <w:pStyle w:val="Bodyromannumerals"/>
              <w:rPr>
                <w:b/>
                <w:bCs/>
                <w:lang w:val="en-US"/>
              </w:rPr>
            </w:pPr>
            <w:r w:rsidRPr="00B34EFB">
              <w:rPr>
                <w:b/>
                <w:bCs/>
                <w:lang w:val="en-US"/>
              </w:rPr>
              <w:t>Nr.</w:t>
            </w:r>
          </w:p>
        </w:tc>
      </w:tr>
      <w:tr w:rsidR="00101DA4" w:rsidRPr="009A191E" w14:paraId="1F13A22A" w14:textId="77777777" w:rsidTr="2C985F9B">
        <w:tc>
          <w:tcPr>
            <w:tcW w:w="1448" w:type="dxa"/>
            <w:gridSpan w:val="2"/>
            <w:tcBorders>
              <w:left w:val="single" w:sz="4" w:space="0" w:color="FFFFFF" w:themeColor="background2"/>
              <w:bottom w:val="single" w:sz="4" w:space="0" w:color="FFFFFF" w:themeColor="background2"/>
              <w:right w:val="single" w:sz="4" w:space="0" w:color="FFFFFF" w:themeColor="background2"/>
            </w:tcBorders>
          </w:tcPr>
          <w:p w14:paraId="4E76608C" w14:textId="77777777" w:rsidR="00101DA4" w:rsidRPr="009A191E" w:rsidRDefault="00101DA4" w:rsidP="00926C76">
            <w:pPr>
              <w:pStyle w:val="Bodyromannumerals"/>
              <w:rPr>
                <w:i/>
                <w:lang w:val="en-US"/>
              </w:rPr>
            </w:pPr>
            <w:r w:rsidRPr="009A191E">
              <w:rPr>
                <w:i/>
                <w:lang w:val="en-US"/>
              </w:rPr>
              <w:t>Definition:</w:t>
            </w:r>
          </w:p>
        </w:tc>
        <w:tc>
          <w:tcPr>
            <w:tcW w:w="5469" w:type="dxa"/>
            <w:gridSpan w:val="3"/>
            <w:tcBorders>
              <w:left w:val="single" w:sz="4" w:space="0" w:color="FFFFFF" w:themeColor="background2"/>
              <w:bottom w:val="single" w:sz="4" w:space="0" w:color="FFFFFF" w:themeColor="background2"/>
              <w:right w:val="single" w:sz="4" w:space="0" w:color="FFFFFF" w:themeColor="background2"/>
            </w:tcBorders>
          </w:tcPr>
          <w:p w14:paraId="2E62CB07" w14:textId="07595600" w:rsidR="00101DA4" w:rsidRPr="009A191E" w:rsidRDefault="00101DA4" w:rsidP="00926C76">
            <w:pPr>
              <w:pStyle w:val="Bodyromannumerals"/>
              <w:rPr>
                <w:lang w:val="en-US"/>
              </w:rPr>
            </w:pPr>
            <w:r w:rsidRPr="009A191E">
              <w:rPr>
                <w:lang w:val="en-US"/>
              </w:rPr>
              <w:t xml:space="preserve">Number of </w:t>
            </w:r>
            <w:r w:rsidR="00BB5A05">
              <w:rPr>
                <w:lang w:val="en-US"/>
              </w:rPr>
              <w:t>household</w:t>
            </w:r>
            <w:r w:rsidRPr="009A191E">
              <w:rPr>
                <w:lang w:val="en-US"/>
              </w:rPr>
              <w:t xml:space="preserve"> and non-</w:t>
            </w:r>
            <w:r w:rsidR="00BB5A05">
              <w:rPr>
                <w:lang w:val="en-US"/>
              </w:rPr>
              <w:t>household</w:t>
            </w:r>
            <w:r w:rsidRPr="009A191E">
              <w:rPr>
                <w:lang w:val="en-US"/>
              </w:rPr>
              <w:t xml:space="preserve"> properties billed for </w:t>
            </w:r>
            <w:r>
              <w:rPr>
                <w:lang w:val="en-US"/>
              </w:rPr>
              <w:t>waste</w:t>
            </w:r>
            <w:r w:rsidRPr="009A191E">
              <w:rPr>
                <w:lang w:val="en-US"/>
              </w:rPr>
              <w:t xml:space="preserve">water within the supply area as at </w:t>
            </w:r>
            <w:r w:rsidR="00D97768">
              <w:rPr>
                <w:lang w:val="en-US"/>
              </w:rPr>
              <w:t>30 June</w:t>
            </w:r>
            <w:r w:rsidRPr="009A191E">
              <w:rPr>
                <w:lang w:val="en-US"/>
              </w:rPr>
              <w:t xml:space="preserve"> of the reporting year.</w:t>
            </w:r>
          </w:p>
        </w:tc>
      </w:tr>
      <w:tr w:rsidR="00101DA4" w:rsidRPr="009A191E" w14:paraId="24B88DCC" w14:textId="77777777" w:rsidTr="2C985F9B">
        <w:tc>
          <w:tcPr>
            <w:tcW w:w="144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F40D7D5" w14:textId="77777777" w:rsidR="00101DA4" w:rsidRPr="009A191E" w:rsidRDefault="00101DA4" w:rsidP="00926C76">
            <w:pPr>
              <w:pStyle w:val="Bodyromannumerals"/>
              <w:rPr>
                <w:i/>
                <w:lang w:val="en-US"/>
              </w:rPr>
            </w:pPr>
            <w:r w:rsidRPr="009A191E">
              <w:rPr>
                <w:i/>
                <w:lang w:val="en-US"/>
              </w:rPr>
              <w:t>Processing Rules:</w:t>
            </w:r>
          </w:p>
        </w:tc>
        <w:tc>
          <w:tcPr>
            <w:tcW w:w="5469"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5A4F786" w14:textId="59900A76" w:rsidR="00101DA4" w:rsidRPr="009A191E" w:rsidRDefault="00101DA4" w:rsidP="00926C76">
            <w:pPr>
              <w:pStyle w:val="Bodyromannumerals"/>
              <w:rPr>
                <w:lang w:val="en-US"/>
              </w:rPr>
            </w:pPr>
            <w:r w:rsidRPr="009A191E">
              <w:rPr>
                <w:lang w:val="en-US"/>
              </w:rPr>
              <w:t>Calculated field: A</w:t>
            </w:r>
            <w:r w:rsidR="002864E5">
              <w:rPr>
                <w:lang w:val="en-US"/>
              </w:rPr>
              <w:t>3</w:t>
            </w:r>
            <w:r w:rsidRPr="009A191E">
              <w:rPr>
                <w:lang w:val="en-US"/>
              </w:rPr>
              <w:t>.1+A</w:t>
            </w:r>
            <w:r w:rsidR="002864E5">
              <w:rPr>
                <w:lang w:val="en-US"/>
              </w:rPr>
              <w:t>3</w:t>
            </w:r>
            <w:r w:rsidRPr="009A191E">
              <w:rPr>
                <w:lang w:val="en-US"/>
              </w:rPr>
              <w:t>.</w:t>
            </w:r>
            <w:r w:rsidR="002864E5">
              <w:rPr>
                <w:lang w:val="en-US"/>
              </w:rPr>
              <w:t>7</w:t>
            </w:r>
            <w:r w:rsidRPr="009A191E">
              <w:rPr>
                <w:lang w:val="en-US"/>
              </w:rPr>
              <w:t>+A</w:t>
            </w:r>
            <w:r w:rsidR="002864E5">
              <w:rPr>
                <w:lang w:val="en-US"/>
              </w:rPr>
              <w:t>3</w:t>
            </w:r>
            <w:r w:rsidRPr="009A191E">
              <w:rPr>
                <w:lang w:val="en-US"/>
              </w:rPr>
              <w:t>.1</w:t>
            </w:r>
            <w:r w:rsidR="002864E5">
              <w:rPr>
                <w:lang w:val="en-US"/>
              </w:rPr>
              <w:t>9</w:t>
            </w:r>
            <w:r w:rsidRPr="009A191E">
              <w:rPr>
                <w:lang w:val="en-US"/>
              </w:rPr>
              <w:t>+A</w:t>
            </w:r>
            <w:r w:rsidR="002864E5">
              <w:rPr>
                <w:lang w:val="en-US"/>
              </w:rPr>
              <w:t>3</w:t>
            </w:r>
            <w:r w:rsidRPr="009A191E">
              <w:rPr>
                <w:lang w:val="en-US"/>
              </w:rPr>
              <w:t>.</w:t>
            </w:r>
            <w:r w:rsidR="002864E5">
              <w:rPr>
                <w:lang w:val="en-US"/>
              </w:rPr>
              <w:t>44</w:t>
            </w:r>
          </w:p>
        </w:tc>
      </w:tr>
      <w:tr w:rsidR="00101DA4" w:rsidRPr="009A191E" w14:paraId="3DF3F0C0" w14:textId="77777777" w:rsidTr="2C985F9B">
        <w:tc>
          <w:tcPr>
            <w:tcW w:w="1035" w:type="dxa"/>
          </w:tcPr>
          <w:p w14:paraId="572494D6" w14:textId="6A29B9E5" w:rsidR="00101DA4" w:rsidRPr="00B34EFB" w:rsidRDefault="00101DA4" w:rsidP="00926C76">
            <w:pPr>
              <w:pStyle w:val="Bodyromannumerals"/>
              <w:rPr>
                <w:b/>
                <w:bCs/>
                <w:lang w:val="en-US"/>
              </w:rPr>
            </w:pPr>
            <w:r w:rsidRPr="00B34EFB">
              <w:rPr>
                <w:b/>
                <w:bCs/>
                <w:lang w:val="en-US"/>
              </w:rPr>
              <w:t>A</w:t>
            </w:r>
            <w:r>
              <w:rPr>
                <w:b/>
                <w:bCs/>
                <w:lang w:val="en-US"/>
              </w:rPr>
              <w:t>3.54</w:t>
            </w:r>
          </w:p>
        </w:tc>
        <w:tc>
          <w:tcPr>
            <w:tcW w:w="4126" w:type="dxa"/>
            <w:gridSpan w:val="3"/>
          </w:tcPr>
          <w:p w14:paraId="316ECBC1" w14:textId="77777777" w:rsidR="00101DA4" w:rsidRPr="00B34EFB" w:rsidRDefault="00101DA4" w:rsidP="00926C76">
            <w:pPr>
              <w:pStyle w:val="Bodyromannumerals"/>
              <w:rPr>
                <w:b/>
                <w:bCs/>
                <w:lang w:val="en-US"/>
              </w:rPr>
            </w:pPr>
            <w:r w:rsidRPr="00B34EFB">
              <w:rPr>
                <w:b/>
                <w:bCs/>
                <w:lang w:val="en-US"/>
              </w:rPr>
              <w:t>Total connected properties</w:t>
            </w:r>
          </w:p>
        </w:tc>
        <w:tc>
          <w:tcPr>
            <w:tcW w:w="1756" w:type="dxa"/>
          </w:tcPr>
          <w:p w14:paraId="028B882E" w14:textId="77777777" w:rsidR="00101DA4" w:rsidRPr="00B34EFB" w:rsidRDefault="00101DA4" w:rsidP="00926C76">
            <w:pPr>
              <w:pStyle w:val="Bodyromannumerals"/>
              <w:rPr>
                <w:b/>
                <w:bCs/>
                <w:lang w:val="en-US"/>
              </w:rPr>
            </w:pPr>
            <w:r w:rsidRPr="00B34EFB">
              <w:rPr>
                <w:b/>
                <w:bCs/>
                <w:lang w:val="en-US"/>
              </w:rPr>
              <w:t>Nr.</w:t>
            </w:r>
          </w:p>
        </w:tc>
      </w:tr>
      <w:tr w:rsidR="00101DA4" w:rsidRPr="009A191E" w14:paraId="6FB0AB10" w14:textId="77777777" w:rsidTr="2C985F9B">
        <w:tc>
          <w:tcPr>
            <w:tcW w:w="1448" w:type="dxa"/>
            <w:gridSpan w:val="2"/>
            <w:tcBorders>
              <w:left w:val="single" w:sz="4" w:space="0" w:color="FFFFFF" w:themeColor="background2"/>
              <w:bottom w:val="single" w:sz="4" w:space="0" w:color="FFFFFF" w:themeColor="background2"/>
              <w:right w:val="single" w:sz="4" w:space="0" w:color="FFFFFF" w:themeColor="background2"/>
            </w:tcBorders>
          </w:tcPr>
          <w:p w14:paraId="5267DDC1" w14:textId="77777777" w:rsidR="00101DA4" w:rsidRPr="009A191E" w:rsidRDefault="00101DA4" w:rsidP="00926C76">
            <w:pPr>
              <w:pStyle w:val="Bodyromannumerals"/>
              <w:rPr>
                <w:i/>
                <w:lang w:val="en-US"/>
              </w:rPr>
            </w:pPr>
            <w:r w:rsidRPr="009A191E">
              <w:rPr>
                <w:i/>
                <w:lang w:val="en-US"/>
              </w:rPr>
              <w:t>Definition:</w:t>
            </w:r>
          </w:p>
        </w:tc>
        <w:tc>
          <w:tcPr>
            <w:tcW w:w="5469" w:type="dxa"/>
            <w:gridSpan w:val="3"/>
            <w:tcBorders>
              <w:left w:val="single" w:sz="4" w:space="0" w:color="FFFFFF" w:themeColor="background2"/>
              <w:bottom w:val="single" w:sz="4" w:space="0" w:color="FFFFFF" w:themeColor="background2"/>
              <w:right w:val="single" w:sz="4" w:space="0" w:color="FFFFFF" w:themeColor="background2"/>
            </w:tcBorders>
          </w:tcPr>
          <w:p w14:paraId="75B30416" w14:textId="0944E9D6" w:rsidR="00101DA4" w:rsidRPr="009A191E" w:rsidRDefault="00101DA4" w:rsidP="00926C76">
            <w:pPr>
              <w:pStyle w:val="Bodyromannumerals"/>
              <w:rPr>
                <w:lang w:val="en-US"/>
              </w:rPr>
            </w:pPr>
            <w:r w:rsidRPr="009A191E">
              <w:rPr>
                <w:lang w:val="en-US"/>
              </w:rPr>
              <w:t xml:space="preserve">Number of </w:t>
            </w:r>
            <w:r w:rsidR="00BB5A05">
              <w:rPr>
                <w:lang w:val="en-US"/>
              </w:rPr>
              <w:t>household</w:t>
            </w:r>
            <w:r w:rsidRPr="009A191E">
              <w:rPr>
                <w:lang w:val="en-US"/>
              </w:rPr>
              <w:t xml:space="preserve"> and non-</w:t>
            </w:r>
            <w:r w:rsidR="00BB5A05">
              <w:rPr>
                <w:lang w:val="en-US"/>
              </w:rPr>
              <w:t>household</w:t>
            </w:r>
            <w:r w:rsidRPr="009A191E">
              <w:rPr>
                <w:lang w:val="en-US"/>
              </w:rPr>
              <w:t xml:space="preserve"> properties within the supply area as at </w:t>
            </w:r>
            <w:r w:rsidR="00D97768">
              <w:rPr>
                <w:lang w:val="en-US"/>
              </w:rPr>
              <w:t>30 June</w:t>
            </w:r>
            <w:r w:rsidRPr="009A191E">
              <w:rPr>
                <w:lang w:val="en-US"/>
              </w:rPr>
              <w:t xml:space="preserve"> of the reporting year</w:t>
            </w:r>
            <w:r w:rsidR="00333602">
              <w:rPr>
                <w:lang w:val="en-US"/>
              </w:rPr>
              <w:t xml:space="preserve">. </w:t>
            </w:r>
            <w:r w:rsidR="00FD1FC2">
              <w:rPr>
                <w:lang w:val="en-US"/>
              </w:rPr>
              <w:t>This includes properties connected that do not receive a charge</w:t>
            </w:r>
            <w:r w:rsidR="004230E6">
              <w:rPr>
                <w:lang w:val="en-US"/>
              </w:rPr>
              <w:t>.</w:t>
            </w:r>
          </w:p>
        </w:tc>
      </w:tr>
      <w:tr w:rsidR="00101DA4" w:rsidRPr="009A191E" w14:paraId="609AD18E" w14:textId="77777777" w:rsidTr="2C985F9B">
        <w:tc>
          <w:tcPr>
            <w:tcW w:w="144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79F7461" w14:textId="77777777" w:rsidR="00101DA4" w:rsidRPr="009A191E" w:rsidRDefault="00101DA4" w:rsidP="00926C76">
            <w:pPr>
              <w:pStyle w:val="Bodyromannumerals"/>
              <w:rPr>
                <w:i/>
                <w:lang w:val="en-US"/>
              </w:rPr>
            </w:pPr>
            <w:r w:rsidRPr="009A191E">
              <w:rPr>
                <w:i/>
                <w:lang w:val="en-US"/>
              </w:rPr>
              <w:t>Processing Rules:</w:t>
            </w:r>
          </w:p>
        </w:tc>
        <w:tc>
          <w:tcPr>
            <w:tcW w:w="5469"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836FD29" w14:textId="27B3C692" w:rsidR="00101DA4" w:rsidRPr="009A191E" w:rsidRDefault="00DD29B6" w:rsidP="00DD29B6">
            <w:pPr>
              <w:pStyle w:val="Bodyromannumerals"/>
              <w:rPr>
                <w:lang w:val="en-US"/>
              </w:rPr>
            </w:pPr>
            <w:r>
              <w:rPr>
                <w:lang w:val="en-US"/>
              </w:rPr>
              <w:t>Input field</w:t>
            </w:r>
          </w:p>
        </w:tc>
      </w:tr>
      <w:tr w:rsidR="002864E5" w:rsidRPr="00B34EFB" w14:paraId="1D8F1DF6" w14:textId="77777777" w:rsidTr="2C985F9B">
        <w:tc>
          <w:tcPr>
            <w:tcW w:w="1035" w:type="dxa"/>
          </w:tcPr>
          <w:p w14:paraId="2E660F40" w14:textId="6EDA1874" w:rsidR="00101DA4" w:rsidRPr="00B34EFB" w:rsidRDefault="00101DA4" w:rsidP="00926C76">
            <w:pPr>
              <w:pStyle w:val="Bodyromannumerals"/>
              <w:rPr>
                <w:b/>
                <w:bCs/>
                <w:lang w:val="en-US"/>
              </w:rPr>
            </w:pPr>
            <w:r w:rsidRPr="00B34EFB">
              <w:rPr>
                <w:b/>
                <w:bCs/>
                <w:lang w:val="en-US"/>
              </w:rPr>
              <w:t>A</w:t>
            </w:r>
            <w:r>
              <w:rPr>
                <w:b/>
                <w:bCs/>
                <w:lang w:val="en-US"/>
              </w:rPr>
              <w:t>3.55</w:t>
            </w:r>
          </w:p>
        </w:tc>
        <w:tc>
          <w:tcPr>
            <w:tcW w:w="4126" w:type="dxa"/>
            <w:gridSpan w:val="3"/>
          </w:tcPr>
          <w:p w14:paraId="1C63DBD9" w14:textId="77777777" w:rsidR="00101DA4" w:rsidRPr="00B34EFB" w:rsidRDefault="00101DA4" w:rsidP="00926C76">
            <w:pPr>
              <w:pStyle w:val="Bodyromannumerals"/>
              <w:rPr>
                <w:b/>
                <w:bCs/>
                <w:lang w:val="en-US"/>
              </w:rPr>
            </w:pPr>
            <w:r>
              <w:rPr>
                <w:b/>
                <w:bCs/>
                <w:lang w:val="en-US"/>
              </w:rPr>
              <w:t>Properties charged but not connected</w:t>
            </w:r>
          </w:p>
        </w:tc>
        <w:tc>
          <w:tcPr>
            <w:tcW w:w="1756" w:type="dxa"/>
          </w:tcPr>
          <w:p w14:paraId="3DF5E641" w14:textId="77777777" w:rsidR="00101DA4" w:rsidRPr="00B34EFB" w:rsidRDefault="00101DA4" w:rsidP="00926C76">
            <w:pPr>
              <w:pStyle w:val="Bodyromannumerals"/>
              <w:rPr>
                <w:b/>
                <w:bCs/>
                <w:lang w:val="en-US"/>
              </w:rPr>
            </w:pPr>
            <w:r w:rsidRPr="00B34EFB">
              <w:rPr>
                <w:b/>
                <w:bCs/>
                <w:lang w:val="en-US"/>
              </w:rPr>
              <w:t>Nr.</w:t>
            </w:r>
          </w:p>
        </w:tc>
      </w:tr>
      <w:tr w:rsidR="00101DA4" w:rsidRPr="009A191E" w14:paraId="44084297" w14:textId="77777777" w:rsidTr="2C985F9B">
        <w:tc>
          <w:tcPr>
            <w:tcW w:w="2006" w:type="dxa"/>
            <w:gridSpan w:val="3"/>
            <w:tcBorders>
              <w:left w:val="single" w:sz="4" w:space="0" w:color="FFFFFF" w:themeColor="background2"/>
              <w:bottom w:val="single" w:sz="4" w:space="0" w:color="FFFFFF" w:themeColor="background2"/>
              <w:right w:val="single" w:sz="4" w:space="0" w:color="FFFFFF" w:themeColor="background2"/>
            </w:tcBorders>
          </w:tcPr>
          <w:p w14:paraId="167D31BF" w14:textId="77777777" w:rsidR="00101DA4" w:rsidRPr="009A191E" w:rsidRDefault="00101DA4" w:rsidP="00926C76">
            <w:pPr>
              <w:pStyle w:val="Bodyromannumerals"/>
              <w:rPr>
                <w:i/>
                <w:lang w:val="en-US"/>
              </w:rPr>
            </w:pPr>
            <w:r w:rsidRPr="009A191E">
              <w:rPr>
                <w:i/>
                <w:lang w:val="en-US"/>
              </w:rPr>
              <w:t>Definition:</w:t>
            </w:r>
          </w:p>
        </w:tc>
        <w:tc>
          <w:tcPr>
            <w:tcW w:w="4911" w:type="dxa"/>
            <w:gridSpan w:val="2"/>
            <w:tcBorders>
              <w:left w:val="single" w:sz="4" w:space="0" w:color="FFFFFF" w:themeColor="background2"/>
              <w:bottom w:val="single" w:sz="4" w:space="0" w:color="FFFFFF" w:themeColor="background2"/>
              <w:right w:val="single" w:sz="4" w:space="0" w:color="FFFFFF" w:themeColor="background2"/>
            </w:tcBorders>
          </w:tcPr>
          <w:p w14:paraId="5BEA3BE2" w14:textId="1F3506D1" w:rsidR="00101DA4" w:rsidRPr="009A191E" w:rsidRDefault="00101DA4" w:rsidP="00926C76">
            <w:pPr>
              <w:pStyle w:val="Bodyromannumerals"/>
              <w:rPr>
                <w:lang w:val="en-US"/>
              </w:rPr>
            </w:pPr>
            <w:r w:rsidRPr="009A191E">
              <w:rPr>
                <w:lang w:val="en-US"/>
              </w:rPr>
              <w:t xml:space="preserve">Number of </w:t>
            </w:r>
            <w:r w:rsidR="00BB5A05">
              <w:rPr>
                <w:lang w:val="en-US"/>
              </w:rPr>
              <w:t>household</w:t>
            </w:r>
            <w:r w:rsidRPr="009A191E">
              <w:rPr>
                <w:lang w:val="en-US"/>
              </w:rPr>
              <w:t xml:space="preserve"> and non-</w:t>
            </w:r>
            <w:r w:rsidR="00BB5A05">
              <w:rPr>
                <w:lang w:val="en-US"/>
              </w:rPr>
              <w:t>household</w:t>
            </w:r>
            <w:r w:rsidRPr="009A191E">
              <w:rPr>
                <w:lang w:val="en-US"/>
              </w:rPr>
              <w:t xml:space="preserve"> properties billed for </w:t>
            </w:r>
            <w:r w:rsidR="00AD01D6">
              <w:rPr>
                <w:lang w:val="en-US"/>
              </w:rPr>
              <w:t>waste</w:t>
            </w:r>
            <w:r w:rsidRPr="009A191E">
              <w:rPr>
                <w:lang w:val="en-US"/>
              </w:rPr>
              <w:t xml:space="preserve">water </w:t>
            </w:r>
            <w:r>
              <w:rPr>
                <w:lang w:val="en-US"/>
              </w:rPr>
              <w:t xml:space="preserve">but not connected to the </w:t>
            </w:r>
            <w:r w:rsidR="00AD01D6">
              <w:rPr>
                <w:lang w:val="en-US"/>
              </w:rPr>
              <w:t>waste</w:t>
            </w:r>
            <w:r>
              <w:rPr>
                <w:lang w:val="en-US"/>
              </w:rPr>
              <w:t xml:space="preserve">water network </w:t>
            </w:r>
            <w:r w:rsidRPr="009A191E">
              <w:rPr>
                <w:lang w:val="en-US"/>
              </w:rPr>
              <w:t xml:space="preserve">within the supply area </w:t>
            </w:r>
            <w:r w:rsidR="00630C48">
              <w:rPr>
                <w:lang w:val="en-US"/>
              </w:rPr>
              <w:t xml:space="preserve">as </w:t>
            </w:r>
            <w:r w:rsidRPr="009A191E">
              <w:rPr>
                <w:lang w:val="en-US"/>
              </w:rPr>
              <w:t xml:space="preserve">at </w:t>
            </w:r>
            <w:r w:rsidR="00D97768">
              <w:rPr>
                <w:lang w:val="en-US"/>
              </w:rPr>
              <w:t>30 June</w:t>
            </w:r>
            <w:r w:rsidRPr="009A191E">
              <w:rPr>
                <w:lang w:val="en-US"/>
              </w:rPr>
              <w:t xml:space="preserve"> of the reporting year.</w:t>
            </w:r>
            <w:r w:rsidR="00FD6EE3">
              <w:rPr>
                <w:lang w:val="en-US"/>
              </w:rPr>
              <w:t xml:space="preserve"> This row includes those properties that are paying a charge for availability (i.e. properties that are not connected to the wastewater network but </w:t>
            </w:r>
            <w:r w:rsidR="0040684A">
              <w:rPr>
                <w:lang w:val="en-US"/>
              </w:rPr>
              <w:t>have the option to connect</w:t>
            </w:r>
            <w:r w:rsidR="00FD6EE3">
              <w:rPr>
                <w:lang w:val="en-US"/>
              </w:rPr>
              <w:t>).</w:t>
            </w:r>
          </w:p>
        </w:tc>
      </w:tr>
      <w:tr w:rsidR="00101DA4" w:rsidRPr="009A191E" w14:paraId="2E64E121" w14:textId="77777777" w:rsidTr="2C985F9B">
        <w:tc>
          <w:tcPr>
            <w:tcW w:w="2006"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BEF6D81" w14:textId="77777777" w:rsidR="00101DA4" w:rsidRPr="009A191E" w:rsidRDefault="00101DA4" w:rsidP="00926C76">
            <w:pPr>
              <w:pStyle w:val="Bodyromannumerals"/>
              <w:rPr>
                <w:i/>
                <w:lang w:val="en-US"/>
              </w:rPr>
            </w:pPr>
            <w:r w:rsidRPr="009A191E">
              <w:rPr>
                <w:i/>
                <w:lang w:val="en-US"/>
              </w:rPr>
              <w:t>Processing Rules:</w:t>
            </w:r>
          </w:p>
        </w:tc>
        <w:tc>
          <w:tcPr>
            <w:tcW w:w="491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B48AEBF" w14:textId="77777777" w:rsidR="00101DA4" w:rsidRPr="009A191E" w:rsidRDefault="00101DA4" w:rsidP="00926C76">
            <w:pPr>
              <w:pStyle w:val="Bodyromannumerals"/>
              <w:rPr>
                <w:lang w:val="en-US"/>
              </w:rPr>
            </w:pPr>
            <w:r>
              <w:rPr>
                <w:lang w:val="en-US"/>
              </w:rPr>
              <w:t>Input field</w:t>
            </w:r>
          </w:p>
        </w:tc>
      </w:tr>
      <w:tr w:rsidR="002864E5" w:rsidRPr="00B34EFB" w14:paraId="39044F01" w14:textId="77777777" w:rsidTr="2C985F9B">
        <w:tc>
          <w:tcPr>
            <w:tcW w:w="1035" w:type="dxa"/>
          </w:tcPr>
          <w:p w14:paraId="6F1D7FAF" w14:textId="656251F3" w:rsidR="00101DA4" w:rsidRPr="00B34EFB" w:rsidRDefault="00101DA4" w:rsidP="00926C76">
            <w:pPr>
              <w:pStyle w:val="Bodyromannumerals"/>
              <w:rPr>
                <w:b/>
                <w:bCs/>
                <w:lang w:val="en-US"/>
              </w:rPr>
            </w:pPr>
            <w:r w:rsidRPr="00B34EFB">
              <w:rPr>
                <w:b/>
                <w:bCs/>
                <w:lang w:val="en-US"/>
              </w:rPr>
              <w:t>A</w:t>
            </w:r>
            <w:r>
              <w:rPr>
                <w:b/>
                <w:bCs/>
                <w:lang w:val="en-US"/>
              </w:rPr>
              <w:t>3.56</w:t>
            </w:r>
          </w:p>
        </w:tc>
        <w:tc>
          <w:tcPr>
            <w:tcW w:w="4126" w:type="dxa"/>
            <w:gridSpan w:val="3"/>
          </w:tcPr>
          <w:p w14:paraId="59B84E77" w14:textId="77777777" w:rsidR="00101DA4" w:rsidRPr="00B34EFB" w:rsidRDefault="00101DA4" w:rsidP="00926C76">
            <w:pPr>
              <w:pStyle w:val="Bodyromannumerals"/>
              <w:rPr>
                <w:b/>
                <w:bCs/>
                <w:lang w:val="en-US"/>
              </w:rPr>
            </w:pPr>
            <w:r w:rsidRPr="00B34EFB">
              <w:rPr>
                <w:b/>
                <w:bCs/>
                <w:lang w:val="en-US"/>
              </w:rPr>
              <w:t xml:space="preserve">Total </w:t>
            </w:r>
            <w:r>
              <w:rPr>
                <w:b/>
                <w:bCs/>
                <w:lang w:val="en-US"/>
              </w:rPr>
              <w:t>properties charged</w:t>
            </w:r>
          </w:p>
        </w:tc>
        <w:tc>
          <w:tcPr>
            <w:tcW w:w="1756" w:type="dxa"/>
          </w:tcPr>
          <w:p w14:paraId="0EA708AB" w14:textId="77777777" w:rsidR="00101DA4" w:rsidRPr="00B34EFB" w:rsidRDefault="00101DA4" w:rsidP="00926C76">
            <w:pPr>
              <w:pStyle w:val="Bodyromannumerals"/>
              <w:rPr>
                <w:b/>
                <w:bCs/>
                <w:lang w:val="en-US"/>
              </w:rPr>
            </w:pPr>
            <w:r w:rsidRPr="00B34EFB">
              <w:rPr>
                <w:b/>
                <w:bCs/>
                <w:lang w:val="en-US"/>
              </w:rPr>
              <w:t>Nr.</w:t>
            </w:r>
          </w:p>
        </w:tc>
      </w:tr>
      <w:tr w:rsidR="00101DA4" w:rsidRPr="009A191E" w14:paraId="6322121A" w14:textId="77777777" w:rsidTr="2C985F9B">
        <w:tc>
          <w:tcPr>
            <w:tcW w:w="2006" w:type="dxa"/>
            <w:gridSpan w:val="3"/>
            <w:tcBorders>
              <w:left w:val="single" w:sz="4" w:space="0" w:color="FFFFFF" w:themeColor="background2"/>
              <w:bottom w:val="single" w:sz="4" w:space="0" w:color="FFFFFF" w:themeColor="background2"/>
              <w:right w:val="single" w:sz="4" w:space="0" w:color="FFFFFF" w:themeColor="background2"/>
            </w:tcBorders>
          </w:tcPr>
          <w:p w14:paraId="7557ACC1" w14:textId="77777777" w:rsidR="00101DA4" w:rsidRPr="009A191E" w:rsidRDefault="00101DA4" w:rsidP="00926C76">
            <w:pPr>
              <w:pStyle w:val="Bodyromannumerals"/>
              <w:rPr>
                <w:i/>
                <w:lang w:val="en-US"/>
              </w:rPr>
            </w:pPr>
            <w:r w:rsidRPr="009A191E">
              <w:rPr>
                <w:i/>
                <w:lang w:val="en-US"/>
              </w:rPr>
              <w:t>Definition:</w:t>
            </w:r>
          </w:p>
        </w:tc>
        <w:tc>
          <w:tcPr>
            <w:tcW w:w="4911" w:type="dxa"/>
            <w:gridSpan w:val="2"/>
            <w:tcBorders>
              <w:left w:val="single" w:sz="4" w:space="0" w:color="FFFFFF" w:themeColor="background2"/>
              <w:bottom w:val="single" w:sz="4" w:space="0" w:color="FFFFFF" w:themeColor="background2"/>
              <w:right w:val="single" w:sz="4" w:space="0" w:color="FFFFFF" w:themeColor="background2"/>
            </w:tcBorders>
          </w:tcPr>
          <w:p w14:paraId="3F8B6EAF" w14:textId="50534E4D" w:rsidR="00101DA4" w:rsidRPr="009A191E" w:rsidRDefault="00101DA4" w:rsidP="00926C76">
            <w:pPr>
              <w:pStyle w:val="Bodyromannumerals"/>
              <w:rPr>
                <w:lang w:val="en-US"/>
              </w:rPr>
            </w:pPr>
            <w:r>
              <w:rPr>
                <w:lang w:val="en-US"/>
              </w:rPr>
              <w:t>Total n</w:t>
            </w:r>
            <w:r w:rsidRPr="009A191E">
              <w:rPr>
                <w:lang w:val="en-US"/>
              </w:rPr>
              <w:t xml:space="preserve">umber of </w:t>
            </w:r>
            <w:r w:rsidR="00BB5A05">
              <w:rPr>
                <w:lang w:val="en-US"/>
              </w:rPr>
              <w:t>household</w:t>
            </w:r>
            <w:r w:rsidRPr="009A191E">
              <w:rPr>
                <w:lang w:val="en-US"/>
              </w:rPr>
              <w:t xml:space="preserve"> and non-</w:t>
            </w:r>
            <w:r w:rsidR="00BB5A05">
              <w:rPr>
                <w:lang w:val="en-US"/>
              </w:rPr>
              <w:t>household</w:t>
            </w:r>
            <w:r w:rsidRPr="009A191E">
              <w:rPr>
                <w:lang w:val="en-US"/>
              </w:rPr>
              <w:t xml:space="preserve"> properties</w:t>
            </w:r>
            <w:r>
              <w:rPr>
                <w:lang w:val="en-US"/>
              </w:rPr>
              <w:t xml:space="preserve"> billed for </w:t>
            </w:r>
            <w:r w:rsidR="00AD01D6">
              <w:rPr>
                <w:lang w:val="en-US"/>
              </w:rPr>
              <w:t>waste</w:t>
            </w:r>
            <w:r>
              <w:rPr>
                <w:lang w:val="en-US"/>
              </w:rPr>
              <w:t>water</w:t>
            </w:r>
            <w:r w:rsidRPr="009A191E">
              <w:rPr>
                <w:lang w:val="en-US"/>
              </w:rPr>
              <w:t xml:space="preserve"> within the supply area </w:t>
            </w:r>
            <w:r w:rsidR="00630C48">
              <w:rPr>
                <w:lang w:val="en-US"/>
              </w:rPr>
              <w:t xml:space="preserve">as </w:t>
            </w:r>
            <w:r w:rsidRPr="009A191E">
              <w:rPr>
                <w:lang w:val="en-US"/>
              </w:rPr>
              <w:t xml:space="preserve">at </w:t>
            </w:r>
            <w:r w:rsidR="00D97768">
              <w:rPr>
                <w:lang w:val="en-US"/>
              </w:rPr>
              <w:t>30 June</w:t>
            </w:r>
            <w:r w:rsidRPr="009A191E">
              <w:rPr>
                <w:lang w:val="en-US"/>
              </w:rPr>
              <w:t xml:space="preserve"> of the reporting year</w:t>
            </w:r>
            <w:r w:rsidR="00630C48">
              <w:rPr>
                <w:lang w:val="en-US"/>
              </w:rPr>
              <w:t>.</w:t>
            </w:r>
          </w:p>
        </w:tc>
      </w:tr>
      <w:tr w:rsidR="00101DA4" w:rsidRPr="009A191E" w14:paraId="14093B0B" w14:textId="77777777" w:rsidTr="2C985F9B">
        <w:tc>
          <w:tcPr>
            <w:tcW w:w="2006"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D1D6A2E" w14:textId="77777777" w:rsidR="00101DA4" w:rsidRPr="009A191E" w:rsidRDefault="00101DA4" w:rsidP="00926C76">
            <w:pPr>
              <w:pStyle w:val="Bodyromannumerals"/>
              <w:rPr>
                <w:i/>
                <w:lang w:val="en-US"/>
              </w:rPr>
            </w:pPr>
            <w:r w:rsidRPr="009A191E">
              <w:rPr>
                <w:i/>
                <w:lang w:val="en-US"/>
              </w:rPr>
              <w:t>Processing Rules:</w:t>
            </w:r>
          </w:p>
        </w:tc>
        <w:tc>
          <w:tcPr>
            <w:tcW w:w="491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C7F2E6A" w14:textId="73DD4B1B" w:rsidR="00101DA4" w:rsidRDefault="00101DA4" w:rsidP="00926C76">
            <w:pPr>
              <w:pStyle w:val="Bodyromannumerals"/>
              <w:rPr>
                <w:lang w:val="en-US"/>
              </w:rPr>
            </w:pPr>
            <w:r w:rsidRPr="009A191E">
              <w:rPr>
                <w:lang w:val="en-US"/>
              </w:rPr>
              <w:t>Calculated field: A</w:t>
            </w:r>
            <w:r w:rsidR="00B65C53">
              <w:rPr>
                <w:lang w:val="en-US"/>
              </w:rPr>
              <w:t>3</w:t>
            </w:r>
            <w:r w:rsidRPr="009A191E">
              <w:rPr>
                <w:lang w:val="en-US"/>
              </w:rPr>
              <w:t>.</w:t>
            </w:r>
            <w:r w:rsidR="00B65C53">
              <w:rPr>
                <w:lang w:val="en-US"/>
              </w:rPr>
              <w:t>53</w:t>
            </w:r>
            <w:r w:rsidRPr="009A191E">
              <w:rPr>
                <w:lang w:val="en-US"/>
              </w:rPr>
              <w:t>+A</w:t>
            </w:r>
            <w:r w:rsidR="00B65C53">
              <w:rPr>
                <w:lang w:val="en-US"/>
              </w:rPr>
              <w:t>3</w:t>
            </w:r>
            <w:r w:rsidRPr="009A191E">
              <w:rPr>
                <w:lang w:val="en-US"/>
              </w:rPr>
              <w:t>.</w:t>
            </w:r>
            <w:r w:rsidR="00B65C53">
              <w:rPr>
                <w:lang w:val="en-US"/>
              </w:rPr>
              <w:t>55</w:t>
            </w:r>
          </w:p>
          <w:p w14:paraId="16249232" w14:textId="77777777" w:rsidR="00101DA4" w:rsidRPr="009A191E" w:rsidRDefault="00101DA4" w:rsidP="00926C76">
            <w:pPr>
              <w:pStyle w:val="Bodyromannumerals"/>
              <w:rPr>
                <w:lang w:val="en-US"/>
              </w:rPr>
            </w:pPr>
          </w:p>
        </w:tc>
      </w:tr>
      <w:tr w:rsidR="00101DA4" w:rsidRPr="009A191E" w14:paraId="245640A3" w14:textId="77777777" w:rsidTr="2C985F9B">
        <w:tc>
          <w:tcPr>
            <w:tcW w:w="1035" w:type="dxa"/>
          </w:tcPr>
          <w:p w14:paraId="412AD549" w14:textId="1587A320" w:rsidR="00101DA4" w:rsidRPr="00B34EFB" w:rsidRDefault="00101DA4" w:rsidP="00926C76">
            <w:pPr>
              <w:pStyle w:val="Bodyromannumerals"/>
              <w:rPr>
                <w:b/>
                <w:bCs/>
                <w:lang w:val="en-US"/>
              </w:rPr>
            </w:pPr>
            <w:r w:rsidRPr="00B34EFB">
              <w:rPr>
                <w:b/>
                <w:bCs/>
                <w:lang w:val="en-US"/>
              </w:rPr>
              <w:t>A</w:t>
            </w:r>
            <w:r>
              <w:rPr>
                <w:b/>
                <w:bCs/>
                <w:lang w:val="en-US"/>
              </w:rPr>
              <w:t>3.57</w:t>
            </w:r>
          </w:p>
        </w:tc>
        <w:tc>
          <w:tcPr>
            <w:tcW w:w="4126" w:type="dxa"/>
            <w:gridSpan w:val="3"/>
          </w:tcPr>
          <w:p w14:paraId="23452584" w14:textId="77777777" w:rsidR="00101DA4" w:rsidRPr="00B34EFB" w:rsidRDefault="00101DA4" w:rsidP="00926C76">
            <w:pPr>
              <w:pStyle w:val="Bodyromannumerals"/>
              <w:rPr>
                <w:b/>
                <w:bCs/>
                <w:lang w:val="en-US"/>
              </w:rPr>
            </w:pPr>
            <w:r w:rsidRPr="00B34EFB">
              <w:rPr>
                <w:b/>
                <w:bCs/>
                <w:lang w:val="en-US"/>
              </w:rPr>
              <w:t>Number of properties connected during the report year</w:t>
            </w:r>
          </w:p>
        </w:tc>
        <w:tc>
          <w:tcPr>
            <w:tcW w:w="1756" w:type="dxa"/>
          </w:tcPr>
          <w:p w14:paraId="2EBD042F" w14:textId="77777777" w:rsidR="00101DA4" w:rsidRPr="00B34EFB" w:rsidRDefault="00101DA4" w:rsidP="00926C76">
            <w:pPr>
              <w:pStyle w:val="Bodyromannumerals"/>
              <w:rPr>
                <w:b/>
                <w:bCs/>
                <w:lang w:val="en-US"/>
              </w:rPr>
            </w:pPr>
            <w:r w:rsidRPr="00B34EFB">
              <w:rPr>
                <w:b/>
                <w:bCs/>
                <w:lang w:val="en-US"/>
              </w:rPr>
              <w:t>Nr.</w:t>
            </w:r>
          </w:p>
        </w:tc>
      </w:tr>
      <w:tr w:rsidR="00101DA4" w:rsidRPr="009A191E" w14:paraId="159C467A" w14:textId="77777777" w:rsidTr="2C985F9B">
        <w:tc>
          <w:tcPr>
            <w:tcW w:w="1448" w:type="dxa"/>
            <w:gridSpan w:val="2"/>
            <w:tcBorders>
              <w:left w:val="single" w:sz="4" w:space="0" w:color="FFFFFF" w:themeColor="background2"/>
              <w:bottom w:val="single" w:sz="4" w:space="0" w:color="FFFFFF" w:themeColor="background2"/>
              <w:right w:val="single" w:sz="4" w:space="0" w:color="FFFFFF" w:themeColor="background2"/>
            </w:tcBorders>
          </w:tcPr>
          <w:p w14:paraId="1BFA8495" w14:textId="77777777" w:rsidR="00101DA4" w:rsidRPr="009A191E" w:rsidRDefault="00101DA4" w:rsidP="00926C76">
            <w:pPr>
              <w:pStyle w:val="Bodyromannumerals"/>
              <w:rPr>
                <w:i/>
                <w:lang w:val="en-US"/>
              </w:rPr>
            </w:pPr>
            <w:r w:rsidRPr="009A191E">
              <w:rPr>
                <w:i/>
                <w:lang w:val="en-US"/>
              </w:rPr>
              <w:t>Definition:</w:t>
            </w:r>
          </w:p>
        </w:tc>
        <w:tc>
          <w:tcPr>
            <w:tcW w:w="5469" w:type="dxa"/>
            <w:gridSpan w:val="3"/>
            <w:tcBorders>
              <w:left w:val="single" w:sz="4" w:space="0" w:color="FFFFFF" w:themeColor="background2"/>
              <w:bottom w:val="single" w:sz="4" w:space="0" w:color="FFFFFF" w:themeColor="background2"/>
              <w:right w:val="single" w:sz="4" w:space="0" w:color="FFFFFF" w:themeColor="background2"/>
            </w:tcBorders>
          </w:tcPr>
          <w:p w14:paraId="74BD1A06" w14:textId="26EFB9AA" w:rsidR="00101DA4" w:rsidRPr="009A191E" w:rsidRDefault="00101DA4" w:rsidP="00926C76">
            <w:pPr>
              <w:pStyle w:val="Bodyromannumerals"/>
              <w:rPr>
                <w:lang w:val="en-US"/>
              </w:rPr>
            </w:pPr>
            <w:r w:rsidRPr="009A191E">
              <w:rPr>
                <w:lang w:val="en-US"/>
              </w:rPr>
              <w:t xml:space="preserve">The number of new </w:t>
            </w:r>
            <w:r w:rsidR="00BB5A05">
              <w:rPr>
                <w:lang w:val="en-US"/>
              </w:rPr>
              <w:t>household</w:t>
            </w:r>
            <w:r w:rsidRPr="009A191E">
              <w:rPr>
                <w:lang w:val="en-US"/>
              </w:rPr>
              <w:t xml:space="preserve"> and non-</w:t>
            </w:r>
            <w:r w:rsidR="00BB5A05">
              <w:rPr>
                <w:lang w:val="en-US"/>
              </w:rPr>
              <w:t>household</w:t>
            </w:r>
            <w:r w:rsidRPr="009A191E">
              <w:rPr>
                <w:lang w:val="en-US"/>
              </w:rPr>
              <w:t xml:space="preserve"> properties added during the report year.</w:t>
            </w:r>
          </w:p>
        </w:tc>
      </w:tr>
      <w:tr w:rsidR="00101DA4" w:rsidRPr="009A191E" w14:paraId="43CEA50E" w14:textId="77777777" w:rsidTr="2C985F9B">
        <w:tc>
          <w:tcPr>
            <w:tcW w:w="144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748782F" w14:textId="77777777" w:rsidR="00101DA4" w:rsidRPr="009A191E" w:rsidRDefault="00101DA4" w:rsidP="00926C76">
            <w:pPr>
              <w:pStyle w:val="Bodyromannumerals"/>
              <w:rPr>
                <w:i/>
                <w:lang w:val="en-US"/>
              </w:rPr>
            </w:pPr>
            <w:r w:rsidRPr="009A191E">
              <w:rPr>
                <w:i/>
                <w:lang w:val="en-US"/>
              </w:rPr>
              <w:t>Processing Rules:</w:t>
            </w:r>
          </w:p>
        </w:tc>
        <w:tc>
          <w:tcPr>
            <w:tcW w:w="5469"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2376FF4" w14:textId="77777777" w:rsidR="00101DA4" w:rsidRPr="009A191E" w:rsidRDefault="00101DA4" w:rsidP="00926C76">
            <w:pPr>
              <w:pStyle w:val="Bodyromannumerals"/>
              <w:rPr>
                <w:lang w:val="en-US"/>
              </w:rPr>
            </w:pPr>
            <w:r w:rsidRPr="009A191E">
              <w:rPr>
                <w:lang w:val="en-US"/>
              </w:rPr>
              <w:t>Input field</w:t>
            </w:r>
          </w:p>
        </w:tc>
      </w:tr>
    </w:tbl>
    <w:p w14:paraId="4C073758" w14:textId="77777777" w:rsidR="00101DA4" w:rsidRPr="009A191E" w:rsidRDefault="00101DA4" w:rsidP="008E147C">
      <w:pPr>
        <w:spacing w:after="160" w:line="259" w:lineRule="auto"/>
        <w:rPr>
          <w:rFonts w:eastAsia="Calibri"/>
          <w:color w:val="000000" w:themeColor="text1"/>
          <w:lang w:val="en-GB"/>
        </w:rPr>
      </w:pPr>
    </w:p>
    <w:p w14:paraId="17602CB2" w14:textId="77777777" w:rsidR="00A61C15" w:rsidRDefault="00A61C15" w:rsidP="00574F08">
      <w:pPr>
        <w:pStyle w:val="Sectionsub-heading"/>
        <w:rPr>
          <w:lang w:val="en-GB"/>
        </w:rPr>
      </w:pPr>
      <w:r>
        <w:rPr>
          <w:lang w:val="en-GB"/>
        </w:rPr>
        <w:br w:type="page"/>
      </w:r>
    </w:p>
    <w:p w14:paraId="763F3373" w14:textId="4BDA78FC" w:rsidR="008E147C" w:rsidRPr="009A191E" w:rsidRDefault="008E147C" w:rsidP="00574F08">
      <w:pPr>
        <w:pStyle w:val="Sectionsub-heading"/>
        <w:rPr>
          <w:lang w:val="en-GB"/>
        </w:rPr>
      </w:pPr>
      <w:r w:rsidRPr="009A191E">
        <w:rPr>
          <w:lang w:val="en-GB"/>
        </w:rPr>
        <w:lastRenderedPageBreak/>
        <w:t xml:space="preserve">BLOCK </w:t>
      </w:r>
      <w:r w:rsidR="0098269A">
        <w:rPr>
          <w:lang w:val="en-GB"/>
        </w:rPr>
        <w:t>6</w:t>
      </w:r>
      <w:r w:rsidRPr="009A191E">
        <w:rPr>
          <w:lang w:val="en-GB"/>
        </w:rPr>
        <w:t>: SUMMARY – POPULATION</w:t>
      </w:r>
    </w:p>
    <w:tbl>
      <w:tblPr>
        <w:tblStyle w:val="TableGrid3"/>
        <w:tblW w:w="0" w:type="auto"/>
        <w:tblLook w:val="04A0" w:firstRow="1" w:lastRow="0" w:firstColumn="1" w:lastColumn="0" w:noHBand="0" w:noVBand="1"/>
      </w:tblPr>
      <w:tblGrid>
        <w:gridCol w:w="975"/>
        <w:gridCol w:w="1032"/>
        <w:gridCol w:w="4403"/>
        <w:gridCol w:w="1148"/>
      </w:tblGrid>
      <w:tr w:rsidR="008E147C" w:rsidRPr="009A191E" w14:paraId="79D4F472" w14:textId="77777777" w:rsidTr="00DE4283">
        <w:tc>
          <w:tcPr>
            <w:tcW w:w="975" w:type="dxa"/>
          </w:tcPr>
          <w:p w14:paraId="71A5C5F9" w14:textId="6F8ECA7D" w:rsidR="008E147C" w:rsidRPr="00574F08" w:rsidRDefault="008E147C" w:rsidP="00574F08">
            <w:pPr>
              <w:pStyle w:val="Bodyromannumerals"/>
              <w:rPr>
                <w:b/>
                <w:bCs/>
                <w:lang w:val="en-US"/>
              </w:rPr>
            </w:pPr>
            <w:r w:rsidRPr="00574F08">
              <w:rPr>
                <w:b/>
                <w:bCs/>
                <w:lang w:val="en-US"/>
              </w:rPr>
              <w:t>A3.</w:t>
            </w:r>
            <w:r w:rsidR="00101DA4" w:rsidRPr="00574F08">
              <w:rPr>
                <w:b/>
                <w:bCs/>
                <w:lang w:val="en-US"/>
              </w:rPr>
              <w:t>5</w:t>
            </w:r>
            <w:r w:rsidR="00101DA4">
              <w:rPr>
                <w:b/>
                <w:bCs/>
                <w:lang w:val="en-US"/>
              </w:rPr>
              <w:t>8</w:t>
            </w:r>
          </w:p>
        </w:tc>
        <w:tc>
          <w:tcPr>
            <w:tcW w:w="5435" w:type="dxa"/>
            <w:gridSpan w:val="2"/>
          </w:tcPr>
          <w:p w14:paraId="7FA8E3C1" w14:textId="77777777" w:rsidR="008E147C" w:rsidRPr="00574F08" w:rsidRDefault="008E147C" w:rsidP="00574F08">
            <w:pPr>
              <w:pStyle w:val="Bodyromannumerals"/>
              <w:rPr>
                <w:b/>
                <w:bCs/>
                <w:lang w:val="en-US"/>
              </w:rPr>
            </w:pPr>
            <w:r w:rsidRPr="00574F08">
              <w:rPr>
                <w:b/>
                <w:bCs/>
                <w:lang w:val="en-US"/>
              </w:rPr>
              <w:t>Winter</w:t>
            </w:r>
          </w:p>
        </w:tc>
        <w:tc>
          <w:tcPr>
            <w:tcW w:w="1148" w:type="dxa"/>
          </w:tcPr>
          <w:p w14:paraId="0D365E86" w14:textId="77777777" w:rsidR="008E147C" w:rsidRPr="00574F08" w:rsidRDefault="008E147C" w:rsidP="00574F08">
            <w:pPr>
              <w:pStyle w:val="Bodyromannumerals"/>
              <w:rPr>
                <w:b/>
                <w:bCs/>
                <w:lang w:val="en-US"/>
              </w:rPr>
            </w:pPr>
            <w:r w:rsidRPr="00574F08">
              <w:rPr>
                <w:b/>
                <w:bCs/>
                <w:lang w:val="en-US"/>
              </w:rPr>
              <w:t>000 (2dp)</w:t>
            </w:r>
          </w:p>
        </w:tc>
      </w:tr>
      <w:tr w:rsidR="008E147C" w:rsidRPr="009A191E" w14:paraId="43FECE79" w14:textId="77777777" w:rsidTr="00DE4283">
        <w:tc>
          <w:tcPr>
            <w:tcW w:w="2007" w:type="dxa"/>
            <w:gridSpan w:val="2"/>
            <w:tcBorders>
              <w:left w:val="single" w:sz="4" w:space="0" w:color="FFFFFF"/>
              <w:bottom w:val="single" w:sz="4" w:space="0" w:color="FFFFFF"/>
              <w:right w:val="single" w:sz="4" w:space="0" w:color="FFFFFF"/>
            </w:tcBorders>
          </w:tcPr>
          <w:p w14:paraId="79B2BB56" w14:textId="77777777" w:rsidR="008E147C" w:rsidRPr="009A191E" w:rsidRDefault="008E147C" w:rsidP="00574F08">
            <w:pPr>
              <w:pStyle w:val="Bodyromannumerals"/>
              <w:rPr>
                <w:i/>
                <w:lang w:val="en-US"/>
              </w:rPr>
            </w:pPr>
            <w:r w:rsidRPr="009A191E">
              <w:rPr>
                <w:i/>
                <w:lang w:val="en-US"/>
              </w:rPr>
              <w:t>Definition:</w:t>
            </w:r>
          </w:p>
        </w:tc>
        <w:tc>
          <w:tcPr>
            <w:tcW w:w="5551" w:type="dxa"/>
            <w:gridSpan w:val="2"/>
            <w:tcBorders>
              <w:left w:val="single" w:sz="4" w:space="0" w:color="FFFFFF"/>
              <w:bottom w:val="single" w:sz="4" w:space="0" w:color="FFFFFF"/>
              <w:right w:val="single" w:sz="4" w:space="0" w:color="FFFFFF"/>
            </w:tcBorders>
          </w:tcPr>
          <w:p w14:paraId="5B9AAB14" w14:textId="7EB48349" w:rsidR="0012152B" w:rsidRPr="009A191E" w:rsidRDefault="0012152B" w:rsidP="0012152B">
            <w:pPr>
              <w:pStyle w:val="Bodyromannumerals"/>
              <w:rPr>
                <w:lang w:val="en-US"/>
              </w:rPr>
            </w:pPr>
            <w:r>
              <w:rPr>
                <w:lang w:val="en-US"/>
              </w:rPr>
              <w:t>Total winter p</w:t>
            </w:r>
            <w:r w:rsidRPr="009A191E">
              <w:rPr>
                <w:lang w:val="en-US"/>
              </w:rPr>
              <w:t xml:space="preserve">opulation supplied </w:t>
            </w:r>
            <w:r>
              <w:rPr>
                <w:lang w:val="en-US"/>
              </w:rPr>
              <w:t>at the financial year end (30 June)</w:t>
            </w:r>
            <w:r w:rsidRPr="009A191E">
              <w:rPr>
                <w:lang w:val="en-US"/>
              </w:rPr>
              <w:t xml:space="preserve"> in the </w:t>
            </w:r>
            <w:r w:rsidR="002E6A73">
              <w:rPr>
                <w:lang w:val="en-US"/>
              </w:rPr>
              <w:t>Local</w:t>
            </w:r>
            <w:r>
              <w:rPr>
                <w:lang w:val="en-US"/>
              </w:rPr>
              <w:t xml:space="preserve"> Authority</w:t>
            </w:r>
            <w:r w:rsidRPr="009A191E">
              <w:rPr>
                <w:lang w:val="en-US"/>
              </w:rPr>
              <w:t>’s area of supply.</w:t>
            </w:r>
            <w:r>
              <w:rPr>
                <w:lang w:val="en-US"/>
              </w:rPr>
              <w:t xml:space="preserve"> This should include billed customers supplied with unmeasured and measured wastewater.</w:t>
            </w:r>
          </w:p>
          <w:p w14:paraId="65533400" w14:textId="7AF19E67" w:rsidR="0012152B" w:rsidRPr="009A191E" w:rsidRDefault="0012152B" w:rsidP="0012152B">
            <w:pPr>
              <w:pStyle w:val="Bodyromannumerals"/>
              <w:rPr>
                <w:lang w:val="en-US"/>
              </w:rPr>
            </w:pPr>
            <w:r>
              <w:rPr>
                <w:lang w:val="en-US"/>
              </w:rPr>
              <w:t>Please provide commentary on how the winter population has been estimated.</w:t>
            </w:r>
          </w:p>
        </w:tc>
      </w:tr>
      <w:tr w:rsidR="008E147C" w:rsidRPr="009A191E" w14:paraId="16D975D1" w14:textId="77777777" w:rsidTr="00DE4283">
        <w:tc>
          <w:tcPr>
            <w:tcW w:w="2007" w:type="dxa"/>
            <w:gridSpan w:val="2"/>
            <w:tcBorders>
              <w:top w:val="single" w:sz="4" w:space="0" w:color="FFFFFF"/>
              <w:left w:val="single" w:sz="4" w:space="0" w:color="FFFFFF"/>
              <w:bottom w:val="single" w:sz="4" w:space="0" w:color="FFFFFF"/>
              <w:right w:val="single" w:sz="4" w:space="0" w:color="FFFFFF"/>
            </w:tcBorders>
          </w:tcPr>
          <w:p w14:paraId="2143D612" w14:textId="77777777" w:rsidR="008E147C" w:rsidRPr="009A191E" w:rsidRDefault="008E147C" w:rsidP="00574F08">
            <w:pPr>
              <w:pStyle w:val="Bodyromannumerals"/>
              <w:rPr>
                <w:i/>
                <w:lang w:val="en-US"/>
              </w:rPr>
            </w:pPr>
            <w:r w:rsidRPr="009A191E">
              <w:rPr>
                <w:i/>
                <w:lang w:val="en-US"/>
              </w:rPr>
              <w:t>Processing Rules:</w:t>
            </w:r>
          </w:p>
        </w:tc>
        <w:tc>
          <w:tcPr>
            <w:tcW w:w="5551" w:type="dxa"/>
            <w:gridSpan w:val="2"/>
            <w:tcBorders>
              <w:top w:val="single" w:sz="4" w:space="0" w:color="FFFFFF"/>
              <w:left w:val="single" w:sz="4" w:space="0" w:color="FFFFFF"/>
              <w:bottom w:val="single" w:sz="4" w:space="0" w:color="FFFFFF"/>
              <w:right w:val="single" w:sz="4" w:space="0" w:color="FFFFFF"/>
            </w:tcBorders>
          </w:tcPr>
          <w:p w14:paraId="42782969" w14:textId="77777777" w:rsidR="008E147C" w:rsidRPr="009A191E" w:rsidRDefault="008E147C" w:rsidP="00574F08">
            <w:pPr>
              <w:pStyle w:val="Bodyromannumerals"/>
              <w:rPr>
                <w:lang w:val="en-US"/>
              </w:rPr>
            </w:pPr>
            <w:r w:rsidRPr="009A191E">
              <w:rPr>
                <w:lang w:val="en-US"/>
              </w:rPr>
              <w:t>Input field</w:t>
            </w:r>
          </w:p>
        </w:tc>
      </w:tr>
    </w:tbl>
    <w:p w14:paraId="21D0CFEC" w14:textId="49C4B4EA" w:rsidR="00DE4283" w:rsidRDefault="00DE4283"/>
    <w:tbl>
      <w:tblPr>
        <w:tblStyle w:val="TableGrid3"/>
        <w:tblW w:w="0" w:type="auto"/>
        <w:tblLook w:val="04A0" w:firstRow="1" w:lastRow="0" w:firstColumn="1" w:lastColumn="0" w:noHBand="0" w:noVBand="1"/>
      </w:tblPr>
      <w:tblGrid>
        <w:gridCol w:w="1081"/>
        <w:gridCol w:w="1016"/>
        <w:gridCol w:w="4318"/>
        <w:gridCol w:w="1143"/>
      </w:tblGrid>
      <w:tr w:rsidR="008E147C" w:rsidRPr="009A191E" w14:paraId="7C830DF8" w14:textId="77777777" w:rsidTr="00377E7D">
        <w:tc>
          <w:tcPr>
            <w:tcW w:w="1081" w:type="dxa"/>
          </w:tcPr>
          <w:p w14:paraId="2F899025" w14:textId="09FF4A44" w:rsidR="008E147C" w:rsidRPr="00574F08" w:rsidRDefault="008E147C" w:rsidP="00574F08">
            <w:pPr>
              <w:pStyle w:val="Bodyromannumerals"/>
              <w:rPr>
                <w:b/>
                <w:bCs/>
                <w:lang w:val="en-US"/>
              </w:rPr>
            </w:pPr>
            <w:r w:rsidRPr="00574F08">
              <w:rPr>
                <w:b/>
                <w:bCs/>
                <w:lang w:val="en-US"/>
              </w:rPr>
              <w:t>A3.</w:t>
            </w:r>
            <w:r w:rsidR="00101DA4" w:rsidRPr="00574F08">
              <w:rPr>
                <w:b/>
                <w:bCs/>
                <w:lang w:val="en-US"/>
              </w:rPr>
              <w:t>5</w:t>
            </w:r>
            <w:r w:rsidR="00101DA4">
              <w:rPr>
                <w:b/>
                <w:bCs/>
                <w:lang w:val="en-US"/>
              </w:rPr>
              <w:t>9</w:t>
            </w:r>
          </w:p>
        </w:tc>
        <w:tc>
          <w:tcPr>
            <w:tcW w:w="5334" w:type="dxa"/>
            <w:gridSpan w:val="2"/>
          </w:tcPr>
          <w:p w14:paraId="4B6B9E47" w14:textId="77777777" w:rsidR="008E147C" w:rsidRPr="00574F08" w:rsidRDefault="008E147C" w:rsidP="00574F08">
            <w:pPr>
              <w:pStyle w:val="Bodyromannumerals"/>
              <w:rPr>
                <w:b/>
                <w:bCs/>
                <w:lang w:val="en-US"/>
              </w:rPr>
            </w:pPr>
            <w:r w:rsidRPr="00574F08">
              <w:rPr>
                <w:b/>
                <w:bCs/>
                <w:lang w:val="en-US"/>
              </w:rPr>
              <w:t>Summer</w:t>
            </w:r>
          </w:p>
        </w:tc>
        <w:tc>
          <w:tcPr>
            <w:tcW w:w="1143" w:type="dxa"/>
          </w:tcPr>
          <w:p w14:paraId="7AA3E487" w14:textId="77777777" w:rsidR="008E147C" w:rsidRPr="00574F08" w:rsidRDefault="008E147C" w:rsidP="00574F08">
            <w:pPr>
              <w:pStyle w:val="Bodyromannumerals"/>
              <w:rPr>
                <w:b/>
                <w:bCs/>
                <w:lang w:val="en-US"/>
              </w:rPr>
            </w:pPr>
            <w:r w:rsidRPr="00574F08">
              <w:rPr>
                <w:b/>
                <w:bCs/>
                <w:lang w:val="en-US"/>
              </w:rPr>
              <w:t>000 (2dp)</w:t>
            </w:r>
          </w:p>
        </w:tc>
      </w:tr>
      <w:tr w:rsidR="008E147C" w:rsidRPr="009A191E" w14:paraId="7B6A262B" w14:textId="77777777" w:rsidTr="00377E7D">
        <w:tc>
          <w:tcPr>
            <w:tcW w:w="2097" w:type="dxa"/>
            <w:gridSpan w:val="2"/>
            <w:tcBorders>
              <w:left w:val="single" w:sz="4" w:space="0" w:color="FFFFFF"/>
              <w:bottom w:val="single" w:sz="4" w:space="0" w:color="FFFFFF"/>
              <w:right w:val="single" w:sz="4" w:space="0" w:color="FFFFFF"/>
            </w:tcBorders>
          </w:tcPr>
          <w:p w14:paraId="4ABBD7E8" w14:textId="77777777" w:rsidR="008E147C" w:rsidRPr="009A191E" w:rsidRDefault="008E147C" w:rsidP="00574F08">
            <w:pPr>
              <w:pStyle w:val="Bodyromannumerals"/>
              <w:rPr>
                <w:i/>
                <w:lang w:val="en-US"/>
              </w:rPr>
            </w:pPr>
            <w:r w:rsidRPr="009A191E">
              <w:rPr>
                <w:i/>
                <w:lang w:val="en-US"/>
              </w:rPr>
              <w:t>Definition:</w:t>
            </w:r>
          </w:p>
        </w:tc>
        <w:tc>
          <w:tcPr>
            <w:tcW w:w="5461" w:type="dxa"/>
            <w:gridSpan w:val="2"/>
            <w:tcBorders>
              <w:left w:val="single" w:sz="4" w:space="0" w:color="FFFFFF"/>
              <w:bottom w:val="single" w:sz="4" w:space="0" w:color="FFFFFF"/>
              <w:right w:val="single" w:sz="4" w:space="0" w:color="FFFFFF"/>
            </w:tcBorders>
          </w:tcPr>
          <w:p w14:paraId="2356C004" w14:textId="4213B251" w:rsidR="008E147C" w:rsidRPr="009A191E" w:rsidRDefault="008E147C" w:rsidP="00574F08">
            <w:pPr>
              <w:pStyle w:val="Bodyromannumerals"/>
              <w:rPr>
                <w:lang w:val="en-US"/>
              </w:rPr>
            </w:pPr>
            <w:r w:rsidRPr="009A191E">
              <w:rPr>
                <w:lang w:val="en-US"/>
              </w:rPr>
              <w:t>Population (</w:t>
            </w:r>
            <w:r w:rsidR="00BB6A37">
              <w:rPr>
                <w:lang w:val="en-US"/>
              </w:rPr>
              <w:t>summer</w:t>
            </w:r>
            <w:r w:rsidRPr="009A191E">
              <w:rPr>
                <w:lang w:val="en-US"/>
              </w:rPr>
              <w:t xml:space="preserve">) supplied </w:t>
            </w:r>
            <w:r w:rsidR="00F84825">
              <w:rPr>
                <w:lang w:val="en-US"/>
              </w:rPr>
              <w:t xml:space="preserve">at the financial year end (30 June) in </w:t>
            </w:r>
            <w:r w:rsidRPr="009A191E">
              <w:rPr>
                <w:lang w:val="en-US"/>
              </w:rPr>
              <w:t xml:space="preserve">the </w:t>
            </w:r>
            <w:r w:rsidR="002E6A73">
              <w:rPr>
                <w:lang w:val="en-US"/>
              </w:rPr>
              <w:t>Local</w:t>
            </w:r>
            <w:r w:rsidR="00F84825">
              <w:rPr>
                <w:lang w:val="en-US"/>
              </w:rPr>
              <w:t xml:space="preserve"> Authority</w:t>
            </w:r>
            <w:r w:rsidR="00F84825" w:rsidRPr="009A191E">
              <w:rPr>
                <w:lang w:val="en-US"/>
              </w:rPr>
              <w:t xml:space="preserve">’s </w:t>
            </w:r>
            <w:r w:rsidRPr="009A191E">
              <w:rPr>
                <w:lang w:val="en-US"/>
              </w:rPr>
              <w:t>area of supply plus the holiday and tourist population defined below.</w:t>
            </w:r>
          </w:p>
          <w:p w14:paraId="52112009" w14:textId="77777777" w:rsidR="008E147C" w:rsidRPr="009A191E" w:rsidRDefault="008E147C" w:rsidP="00574F08">
            <w:pPr>
              <w:pStyle w:val="Bodyromannumerals"/>
              <w:rPr>
                <w:lang w:val="en-US"/>
              </w:rPr>
            </w:pPr>
            <w:r w:rsidRPr="009A191E">
              <w:rPr>
                <w:lang w:val="en-US"/>
              </w:rPr>
              <w:t>The holiday and tourist population can be obtained from the tourist board estimates of the number of bed spaces available for non-residents.</w:t>
            </w:r>
          </w:p>
          <w:p w14:paraId="7606D727" w14:textId="1CD874E6" w:rsidR="008E147C" w:rsidRPr="009A191E" w:rsidRDefault="008E147C" w:rsidP="00574F08">
            <w:pPr>
              <w:pStyle w:val="Bodyromannumerals"/>
              <w:rPr>
                <w:lang w:val="en-US"/>
              </w:rPr>
            </w:pPr>
            <w:r w:rsidRPr="009A191E">
              <w:rPr>
                <w:lang w:val="en-US"/>
              </w:rPr>
              <w:t xml:space="preserve">Except where there is firm evidence to the contrary, the </w:t>
            </w:r>
            <w:r w:rsidR="002E6A73">
              <w:rPr>
                <w:lang w:val="en-US"/>
              </w:rPr>
              <w:t>Local</w:t>
            </w:r>
            <w:r w:rsidR="00B47509">
              <w:rPr>
                <w:lang w:val="en-US"/>
              </w:rPr>
              <w:t xml:space="preserve"> Authority</w:t>
            </w:r>
            <w:r w:rsidRPr="009A191E">
              <w:rPr>
                <w:lang w:val="en-US"/>
              </w:rPr>
              <w:t xml:space="preserve"> should use a population based on a 2/3rds occupancy rate for the peak summer month.</w:t>
            </w:r>
          </w:p>
          <w:p w14:paraId="7F78E3DB" w14:textId="6CF6EE56" w:rsidR="008E147C" w:rsidRDefault="008E147C" w:rsidP="00574F08">
            <w:pPr>
              <w:pStyle w:val="Bodyromannumerals"/>
              <w:rPr>
                <w:lang w:val="en-US"/>
              </w:rPr>
            </w:pPr>
            <w:r w:rsidRPr="009A191E">
              <w:rPr>
                <w:lang w:val="en-US"/>
              </w:rPr>
              <w:t>Note that the resultant figure will be additional to the resident population.</w:t>
            </w:r>
          </w:p>
          <w:p w14:paraId="58223B06" w14:textId="41DDBC42" w:rsidR="0012152B" w:rsidRPr="009A191E" w:rsidRDefault="00E23E5E" w:rsidP="00574F08">
            <w:pPr>
              <w:pStyle w:val="Bodyromannumerals"/>
              <w:rPr>
                <w:lang w:val="en-US"/>
              </w:rPr>
            </w:pPr>
            <w:r>
              <w:rPr>
                <w:lang w:val="en-US"/>
              </w:rPr>
              <w:t>As an example, t</w:t>
            </w:r>
            <w:r w:rsidR="0012152B">
              <w:rPr>
                <w:lang w:val="en-US"/>
              </w:rPr>
              <w:t>o estimate summer population, Watercare used the number of guest nights reported by Stats NZ and compared the average guest nights from international visitors over the summer months (January to March), to the equivalent guest nights for the winter months (June to August).Please provide commentary on how the summer population has been estimated.</w:t>
            </w:r>
          </w:p>
          <w:p w14:paraId="5BCA4FF4" w14:textId="77777777" w:rsidR="008E147C" w:rsidRPr="009A191E" w:rsidRDefault="008E147C" w:rsidP="00574F08">
            <w:pPr>
              <w:pStyle w:val="Bodyromannumerals"/>
              <w:rPr>
                <w:lang w:val="en-US"/>
              </w:rPr>
            </w:pPr>
            <w:r w:rsidRPr="009A191E">
              <w:rPr>
                <w:lang w:val="en-US"/>
              </w:rPr>
              <w:t>Exclude any allowance for daily commuters.</w:t>
            </w:r>
          </w:p>
        </w:tc>
      </w:tr>
      <w:tr w:rsidR="008E147C" w:rsidRPr="009A191E" w14:paraId="3542FE44" w14:textId="77777777" w:rsidTr="00377E7D">
        <w:tc>
          <w:tcPr>
            <w:tcW w:w="2097" w:type="dxa"/>
            <w:gridSpan w:val="2"/>
            <w:tcBorders>
              <w:top w:val="single" w:sz="4" w:space="0" w:color="FFFFFF"/>
              <w:left w:val="single" w:sz="4" w:space="0" w:color="FFFFFF"/>
              <w:bottom w:val="single" w:sz="4" w:space="0" w:color="FFFFFF"/>
              <w:right w:val="single" w:sz="4" w:space="0" w:color="FFFFFF"/>
            </w:tcBorders>
          </w:tcPr>
          <w:p w14:paraId="32473A5B" w14:textId="77777777" w:rsidR="008E147C" w:rsidRPr="009A191E" w:rsidRDefault="008E147C" w:rsidP="00574F08">
            <w:pPr>
              <w:pStyle w:val="Bodyromannumerals"/>
              <w:rPr>
                <w:i/>
                <w:lang w:val="en-US"/>
              </w:rPr>
            </w:pPr>
            <w:r w:rsidRPr="009A191E">
              <w:rPr>
                <w:i/>
                <w:lang w:val="en-US"/>
              </w:rPr>
              <w:t>Processing Rules:</w:t>
            </w:r>
          </w:p>
        </w:tc>
        <w:tc>
          <w:tcPr>
            <w:tcW w:w="5461" w:type="dxa"/>
            <w:gridSpan w:val="2"/>
            <w:tcBorders>
              <w:top w:val="single" w:sz="4" w:space="0" w:color="FFFFFF"/>
              <w:left w:val="single" w:sz="4" w:space="0" w:color="FFFFFF"/>
              <w:bottom w:val="single" w:sz="4" w:space="0" w:color="FFFFFF"/>
              <w:right w:val="single" w:sz="4" w:space="0" w:color="FFFFFF"/>
            </w:tcBorders>
          </w:tcPr>
          <w:p w14:paraId="71967CEA" w14:textId="77777777" w:rsidR="008E147C" w:rsidRPr="009A191E" w:rsidRDefault="008E147C" w:rsidP="00574F08">
            <w:pPr>
              <w:pStyle w:val="Bodyromannumerals"/>
              <w:rPr>
                <w:lang w:val="en-US"/>
              </w:rPr>
            </w:pPr>
            <w:r w:rsidRPr="009A191E">
              <w:rPr>
                <w:lang w:val="en-US"/>
              </w:rPr>
              <w:t>Input field</w:t>
            </w:r>
          </w:p>
        </w:tc>
      </w:tr>
      <w:tr w:rsidR="008E147C" w:rsidRPr="009A191E" w14:paraId="6FFA2173" w14:textId="77777777" w:rsidTr="00377E7D">
        <w:tc>
          <w:tcPr>
            <w:tcW w:w="1081" w:type="dxa"/>
          </w:tcPr>
          <w:p w14:paraId="4C04F023" w14:textId="69DF2581" w:rsidR="008E147C" w:rsidRPr="00574F08" w:rsidRDefault="008E147C" w:rsidP="00574F08">
            <w:pPr>
              <w:pStyle w:val="Bodyromannumerals"/>
              <w:rPr>
                <w:b/>
                <w:bCs/>
                <w:lang w:val="en-US"/>
              </w:rPr>
            </w:pPr>
            <w:r w:rsidRPr="00574F08">
              <w:rPr>
                <w:b/>
                <w:bCs/>
                <w:lang w:val="en-US"/>
              </w:rPr>
              <w:t>A3.</w:t>
            </w:r>
            <w:r w:rsidR="00101DA4">
              <w:rPr>
                <w:b/>
                <w:bCs/>
                <w:lang w:val="en-US"/>
              </w:rPr>
              <w:t>6</w:t>
            </w:r>
            <w:r w:rsidR="00CE1E37">
              <w:rPr>
                <w:b/>
                <w:bCs/>
                <w:lang w:val="en-US"/>
              </w:rPr>
              <w:t>0</w:t>
            </w:r>
          </w:p>
        </w:tc>
        <w:tc>
          <w:tcPr>
            <w:tcW w:w="5334" w:type="dxa"/>
            <w:gridSpan w:val="2"/>
          </w:tcPr>
          <w:p w14:paraId="747D3FA2" w14:textId="107F99B4" w:rsidR="008E147C" w:rsidRPr="00574F08" w:rsidRDefault="008E147C" w:rsidP="00574F08">
            <w:pPr>
              <w:pStyle w:val="Bodyromannumerals"/>
              <w:rPr>
                <w:b/>
                <w:bCs/>
                <w:lang w:val="en-US"/>
              </w:rPr>
            </w:pPr>
            <w:r w:rsidRPr="00574F08">
              <w:rPr>
                <w:b/>
                <w:bCs/>
                <w:lang w:val="en-US"/>
              </w:rPr>
              <w:t xml:space="preserve">Assumed percentage returned to </w:t>
            </w:r>
            <w:r w:rsidR="00512014">
              <w:rPr>
                <w:b/>
                <w:bCs/>
                <w:lang w:val="en-US"/>
              </w:rPr>
              <w:t>wastewater</w:t>
            </w:r>
            <w:r w:rsidR="005255E1">
              <w:rPr>
                <w:b/>
                <w:bCs/>
                <w:lang w:val="en-US"/>
              </w:rPr>
              <w:t xml:space="preserve"> system</w:t>
            </w:r>
          </w:p>
        </w:tc>
        <w:tc>
          <w:tcPr>
            <w:tcW w:w="1143" w:type="dxa"/>
          </w:tcPr>
          <w:p w14:paraId="03FF30A7" w14:textId="77777777" w:rsidR="008E147C" w:rsidRPr="00574F08" w:rsidRDefault="008E147C" w:rsidP="00574F08">
            <w:pPr>
              <w:pStyle w:val="Bodyromannumerals"/>
              <w:rPr>
                <w:b/>
                <w:bCs/>
                <w:lang w:val="en-US"/>
              </w:rPr>
            </w:pPr>
            <w:r w:rsidRPr="00574F08">
              <w:rPr>
                <w:b/>
                <w:bCs/>
                <w:lang w:val="en-US"/>
              </w:rPr>
              <w:t>%</w:t>
            </w:r>
          </w:p>
        </w:tc>
      </w:tr>
      <w:tr w:rsidR="008E147C" w:rsidRPr="009A191E" w14:paraId="01507499" w14:textId="77777777" w:rsidTr="00377E7D">
        <w:trPr>
          <w:trHeight w:val="557"/>
        </w:trPr>
        <w:tc>
          <w:tcPr>
            <w:tcW w:w="2097" w:type="dxa"/>
            <w:gridSpan w:val="2"/>
            <w:tcBorders>
              <w:left w:val="single" w:sz="4" w:space="0" w:color="FFFFFF"/>
              <w:bottom w:val="nil"/>
              <w:right w:val="single" w:sz="4" w:space="0" w:color="FFFFFF"/>
            </w:tcBorders>
          </w:tcPr>
          <w:p w14:paraId="69E22E1D" w14:textId="77777777" w:rsidR="008E147C" w:rsidRPr="009A191E" w:rsidRDefault="008E147C" w:rsidP="00574F08">
            <w:pPr>
              <w:pStyle w:val="Bodyromannumerals"/>
              <w:rPr>
                <w:i/>
                <w:lang w:val="en-US"/>
              </w:rPr>
            </w:pPr>
            <w:r w:rsidRPr="009A191E">
              <w:rPr>
                <w:i/>
                <w:lang w:val="en-US"/>
              </w:rPr>
              <w:t>Definition:</w:t>
            </w:r>
          </w:p>
          <w:p w14:paraId="70ED5E8A" w14:textId="77777777" w:rsidR="008E147C" w:rsidRPr="009A191E" w:rsidRDefault="008E147C" w:rsidP="00574F08">
            <w:pPr>
              <w:pStyle w:val="Bodyromannumerals"/>
              <w:rPr>
                <w:i/>
                <w:lang w:val="en-US"/>
              </w:rPr>
            </w:pPr>
          </w:p>
        </w:tc>
        <w:tc>
          <w:tcPr>
            <w:tcW w:w="5461" w:type="dxa"/>
            <w:gridSpan w:val="2"/>
            <w:tcBorders>
              <w:left w:val="single" w:sz="4" w:space="0" w:color="FFFFFF"/>
              <w:bottom w:val="nil"/>
              <w:right w:val="single" w:sz="4" w:space="0" w:color="FFFFFF"/>
            </w:tcBorders>
          </w:tcPr>
          <w:p w14:paraId="5D50D6E2" w14:textId="5511DFDB" w:rsidR="008E147C" w:rsidRPr="009A191E" w:rsidRDefault="008E147C" w:rsidP="00574F08">
            <w:pPr>
              <w:pStyle w:val="Bodyromannumerals"/>
              <w:rPr>
                <w:lang w:val="en-US"/>
              </w:rPr>
            </w:pPr>
            <w:r w:rsidRPr="009A191E">
              <w:rPr>
                <w:lang w:val="en-US"/>
              </w:rPr>
              <w:t xml:space="preserve">Assumed percentage of delivered water that is returned to the </w:t>
            </w:r>
            <w:r w:rsidR="000157EF">
              <w:rPr>
                <w:lang w:val="en-US"/>
              </w:rPr>
              <w:t>wastewater</w:t>
            </w:r>
            <w:r w:rsidRPr="009A191E">
              <w:rPr>
                <w:lang w:val="en-US"/>
              </w:rPr>
              <w:t xml:space="preserve"> system.</w:t>
            </w:r>
          </w:p>
        </w:tc>
      </w:tr>
      <w:tr w:rsidR="008E147C" w:rsidRPr="009A191E" w14:paraId="6B8278FD" w14:textId="77777777" w:rsidTr="00377E7D">
        <w:tc>
          <w:tcPr>
            <w:tcW w:w="2097" w:type="dxa"/>
            <w:gridSpan w:val="2"/>
            <w:tcBorders>
              <w:top w:val="nil"/>
              <w:left w:val="nil"/>
              <w:bottom w:val="nil"/>
              <w:right w:val="nil"/>
            </w:tcBorders>
          </w:tcPr>
          <w:p w14:paraId="0695B28E" w14:textId="77777777" w:rsidR="008E147C" w:rsidRPr="009A191E" w:rsidRDefault="008E147C" w:rsidP="00574F08">
            <w:pPr>
              <w:pStyle w:val="Bodyromannumerals"/>
              <w:rPr>
                <w:lang w:val="en-US"/>
              </w:rPr>
            </w:pPr>
            <w:r w:rsidRPr="009A191E">
              <w:rPr>
                <w:lang w:val="en-US"/>
              </w:rPr>
              <w:t>Processing Rules:</w:t>
            </w:r>
          </w:p>
        </w:tc>
        <w:tc>
          <w:tcPr>
            <w:tcW w:w="5461" w:type="dxa"/>
            <w:gridSpan w:val="2"/>
            <w:tcBorders>
              <w:top w:val="nil"/>
              <w:left w:val="nil"/>
              <w:bottom w:val="nil"/>
              <w:right w:val="nil"/>
            </w:tcBorders>
          </w:tcPr>
          <w:p w14:paraId="497B96AB" w14:textId="413B0257" w:rsidR="008E147C" w:rsidRDefault="008E147C" w:rsidP="00574F08">
            <w:pPr>
              <w:pStyle w:val="Bodyromannumerals"/>
              <w:rPr>
                <w:lang w:val="en-US"/>
              </w:rPr>
            </w:pPr>
            <w:r w:rsidRPr="009A191E">
              <w:rPr>
                <w:lang w:val="en-US"/>
              </w:rPr>
              <w:t>Input field</w:t>
            </w:r>
          </w:p>
          <w:p w14:paraId="7F293927" w14:textId="57574193" w:rsidR="00574F08" w:rsidRPr="009A191E" w:rsidRDefault="00574F08" w:rsidP="00574F08">
            <w:pPr>
              <w:pStyle w:val="Bodyromannumerals"/>
              <w:rPr>
                <w:lang w:val="en-US"/>
              </w:rPr>
            </w:pPr>
          </w:p>
        </w:tc>
      </w:tr>
    </w:tbl>
    <w:p w14:paraId="5ADEB8E6" w14:textId="1AC84704" w:rsidR="00A61C15" w:rsidRDefault="00A61C15" w:rsidP="00574F08">
      <w:pPr>
        <w:pStyle w:val="Title1"/>
        <w:rPr>
          <w:lang w:val="en-GB"/>
        </w:rPr>
      </w:pPr>
      <w:r>
        <w:rPr>
          <w:lang w:val="en-GB"/>
        </w:rPr>
        <w:br w:type="page"/>
      </w:r>
    </w:p>
    <w:p w14:paraId="07686A70" w14:textId="2D684232" w:rsidR="008E147C" w:rsidRPr="009A191E" w:rsidRDefault="008E147C" w:rsidP="00574F08">
      <w:pPr>
        <w:pStyle w:val="Title1"/>
        <w:rPr>
          <w:lang w:val="en-GB"/>
        </w:rPr>
      </w:pPr>
      <w:r w:rsidRPr="009A191E">
        <w:rPr>
          <w:lang w:val="en-GB"/>
        </w:rPr>
        <w:lastRenderedPageBreak/>
        <w:t>TABLE A3b: STORMWATER PROPERTIES &amp; POPULATION</w:t>
      </w:r>
    </w:p>
    <w:p w14:paraId="4BC80D26" w14:textId="77777777" w:rsidR="008E147C" w:rsidRPr="009A191E" w:rsidRDefault="008E147C" w:rsidP="00574F08">
      <w:pPr>
        <w:pStyle w:val="Sectionsub-heading"/>
        <w:rPr>
          <w:lang w:val="en-GB"/>
        </w:rPr>
      </w:pPr>
      <w:r w:rsidRPr="009A191E">
        <w:rPr>
          <w:lang w:val="en-GB"/>
        </w:rPr>
        <w:t>Properties</w:t>
      </w:r>
    </w:p>
    <w:p w14:paraId="54AD4910" w14:textId="413DB99F" w:rsidR="008E147C" w:rsidRPr="005677DF" w:rsidRDefault="008E147C" w:rsidP="00871522">
      <w:pPr>
        <w:pStyle w:val="Bodynumbercopy"/>
        <w:numPr>
          <w:ilvl w:val="0"/>
          <w:numId w:val="24"/>
        </w:numPr>
        <w:rPr>
          <w:lang w:val="en-GB"/>
        </w:rPr>
      </w:pPr>
      <w:r w:rsidRPr="005677DF">
        <w:rPr>
          <w:lang w:val="en-GB"/>
        </w:rPr>
        <w:t xml:space="preserve">This table includes a breakdown of all measured and unmeasured </w:t>
      </w:r>
      <w:r w:rsidR="00BB5A05">
        <w:rPr>
          <w:lang w:val="en-GB"/>
        </w:rPr>
        <w:t>household</w:t>
      </w:r>
      <w:r w:rsidRPr="005677DF">
        <w:rPr>
          <w:lang w:val="en-GB"/>
        </w:rPr>
        <w:t xml:space="preserve"> and non-</w:t>
      </w:r>
      <w:r w:rsidR="00BB5A05">
        <w:rPr>
          <w:lang w:val="en-GB"/>
        </w:rPr>
        <w:t>household</w:t>
      </w:r>
      <w:r w:rsidRPr="005677DF">
        <w:rPr>
          <w:lang w:val="en-GB"/>
        </w:rPr>
        <w:t xml:space="preserve"> properties and an analysis of the total number of properties connected to the stormwater system.</w:t>
      </w:r>
    </w:p>
    <w:p w14:paraId="16D8D7FC" w14:textId="60A3A738" w:rsidR="008E147C" w:rsidRPr="009A191E" w:rsidRDefault="008E147C" w:rsidP="00574F08">
      <w:pPr>
        <w:pStyle w:val="Bodynumbercopy"/>
        <w:rPr>
          <w:lang w:val="en-GB"/>
        </w:rPr>
      </w:pPr>
      <w:r w:rsidRPr="2C985F9B">
        <w:rPr>
          <w:lang w:val="en-GB"/>
        </w:rPr>
        <w:t xml:space="preserve">Definitions for </w:t>
      </w:r>
      <w:r w:rsidR="00BB5A05">
        <w:rPr>
          <w:i/>
          <w:iCs/>
          <w:lang w:val="en-GB"/>
        </w:rPr>
        <w:t>household</w:t>
      </w:r>
      <w:r w:rsidRPr="2C985F9B">
        <w:rPr>
          <w:i/>
          <w:iCs/>
          <w:lang w:val="en-GB"/>
        </w:rPr>
        <w:t xml:space="preserve"> property</w:t>
      </w:r>
      <w:r w:rsidRPr="2C985F9B">
        <w:rPr>
          <w:lang w:val="en-GB"/>
        </w:rPr>
        <w:t xml:space="preserve"> and </w:t>
      </w:r>
      <w:r w:rsidRPr="2C985F9B">
        <w:rPr>
          <w:i/>
          <w:iCs/>
          <w:lang w:val="en-GB"/>
        </w:rPr>
        <w:t>non-</w:t>
      </w:r>
      <w:r w:rsidR="00BB5A05">
        <w:rPr>
          <w:i/>
          <w:iCs/>
          <w:lang w:val="en-GB"/>
        </w:rPr>
        <w:t>household</w:t>
      </w:r>
      <w:r w:rsidRPr="2C985F9B">
        <w:rPr>
          <w:i/>
          <w:iCs/>
          <w:lang w:val="en-GB"/>
        </w:rPr>
        <w:t xml:space="preserve"> property</w:t>
      </w:r>
      <w:r w:rsidRPr="2C985F9B">
        <w:rPr>
          <w:lang w:val="en-GB"/>
        </w:rPr>
        <w:t xml:space="preserve"> are given in </w:t>
      </w:r>
      <w:r w:rsidR="004609D0" w:rsidRPr="2C985F9B">
        <w:rPr>
          <w:lang w:val="en-GB"/>
        </w:rPr>
        <w:t>Table</w:t>
      </w:r>
      <w:r w:rsidRPr="2C985F9B">
        <w:rPr>
          <w:lang w:val="en-GB"/>
        </w:rPr>
        <w:t xml:space="preserve"> A1.</w:t>
      </w:r>
      <w:r w:rsidR="00E7203C" w:rsidRPr="2C985F9B">
        <w:rPr>
          <w:lang w:val="en-GB"/>
        </w:rPr>
        <w:t xml:space="preserve"> </w:t>
      </w:r>
    </w:p>
    <w:p w14:paraId="6DC5F6C9" w14:textId="7806E5D2" w:rsidR="008E147C" w:rsidRDefault="008E147C" w:rsidP="00574F08">
      <w:pPr>
        <w:pStyle w:val="Bodynumbercopy"/>
        <w:rPr>
          <w:lang w:val="en-GB"/>
        </w:rPr>
      </w:pPr>
      <w:r w:rsidRPr="2C985F9B">
        <w:rPr>
          <w:lang w:val="en-GB"/>
        </w:rPr>
        <w:t xml:space="preserve">A </w:t>
      </w:r>
      <w:r w:rsidRPr="00AC2CB9">
        <w:rPr>
          <w:b/>
          <w:bCs/>
          <w:i/>
          <w:iCs/>
          <w:lang w:val="en-GB"/>
        </w:rPr>
        <w:t>property</w:t>
      </w:r>
      <w:r w:rsidRPr="2C985F9B">
        <w:rPr>
          <w:lang w:val="en-GB"/>
        </w:rPr>
        <w:t xml:space="preserve"> is defined as being the subject of a separate stormwater </w:t>
      </w:r>
      <w:r w:rsidR="00B34A89">
        <w:rPr>
          <w:lang w:val="en-GB"/>
        </w:rPr>
        <w:t>service</w:t>
      </w:r>
      <w:r w:rsidRPr="2C985F9B">
        <w:rPr>
          <w:lang w:val="en-GB"/>
        </w:rPr>
        <w:t xml:space="preserve">, and being occupied as a </w:t>
      </w:r>
      <w:r w:rsidR="00BB5A05">
        <w:rPr>
          <w:lang w:val="en-GB"/>
        </w:rPr>
        <w:t>household</w:t>
      </w:r>
      <w:r w:rsidRPr="2C985F9B">
        <w:rPr>
          <w:lang w:val="en-GB"/>
        </w:rPr>
        <w:t xml:space="preserve"> property, or used for public, commercial or industrial purposes.</w:t>
      </w:r>
      <w:r w:rsidR="00E7203C" w:rsidRPr="2C985F9B">
        <w:rPr>
          <w:lang w:val="en-GB"/>
        </w:rPr>
        <w:t xml:space="preserve"> Multi-unit dwellings such as a block of apartments should be counted based on the number of separate dwellings (i.e. a block of 10 apartments which have a single connection should be counted as 10 properties).  </w:t>
      </w:r>
    </w:p>
    <w:p w14:paraId="04789B20" w14:textId="3BAB9A0F" w:rsidR="00F07BE7" w:rsidRPr="009A191E" w:rsidRDefault="00F07BE7" w:rsidP="00F07BE7">
      <w:pPr>
        <w:pStyle w:val="Bodynumbercopy"/>
        <w:rPr>
          <w:lang w:val="en-GB"/>
        </w:rPr>
      </w:pPr>
      <w:r w:rsidRPr="2C985F9B">
        <w:rPr>
          <w:lang w:val="en-GB"/>
        </w:rPr>
        <w:t>All properties served should be accounted for. If there is not an obvious line reference for the property served, please explain where these have been included in the reporting templates and why in the accompanying commentary.</w:t>
      </w:r>
    </w:p>
    <w:p w14:paraId="5E995F2D" w14:textId="77777777" w:rsidR="008E147C" w:rsidRPr="009A191E" w:rsidRDefault="008E147C" w:rsidP="00574F08">
      <w:pPr>
        <w:pStyle w:val="Sectionsub-heading"/>
        <w:rPr>
          <w:lang w:val="en-GB"/>
        </w:rPr>
      </w:pPr>
      <w:r w:rsidRPr="009A191E">
        <w:rPr>
          <w:lang w:val="en-GB"/>
        </w:rPr>
        <w:t>Population</w:t>
      </w:r>
    </w:p>
    <w:p w14:paraId="3CE51964" w14:textId="77777777" w:rsidR="008E147C" w:rsidRPr="009A191E" w:rsidRDefault="008E147C" w:rsidP="00574F08">
      <w:pPr>
        <w:pStyle w:val="Bodynumbercopy"/>
        <w:rPr>
          <w:lang w:val="en-GB"/>
        </w:rPr>
      </w:pPr>
      <w:r w:rsidRPr="2C985F9B">
        <w:rPr>
          <w:lang w:val="en-GB"/>
        </w:rPr>
        <w:t>This records the total connected resident and non-resident populations for stormwater.</w:t>
      </w:r>
    </w:p>
    <w:p w14:paraId="2CFF6830" w14:textId="26784E90" w:rsidR="008E147C" w:rsidRPr="009A191E" w:rsidRDefault="008E147C" w:rsidP="00574F08">
      <w:pPr>
        <w:pStyle w:val="Bodynumbercopy"/>
        <w:rPr>
          <w:lang w:val="en-GB"/>
        </w:rPr>
      </w:pPr>
      <w:r w:rsidRPr="2C985F9B">
        <w:rPr>
          <w:lang w:val="en-GB"/>
        </w:rPr>
        <w:t xml:space="preserve">The information in this table is used for the </w:t>
      </w:r>
      <w:r w:rsidR="00F84825" w:rsidRPr="2C985F9B">
        <w:rPr>
          <w:lang w:val="en-GB"/>
        </w:rPr>
        <w:t>s</w:t>
      </w:r>
      <w:r w:rsidRPr="2C985F9B">
        <w:rPr>
          <w:lang w:val="en-GB"/>
        </w:rPr>
        <w:t xml:space="preserve">tormwater </w:t>
      </w:r>
      <w:r w:rsidR="00F84825" w:rsidRPr="2C985F9B">
        <w:rPr>
          <w:lang w:val="en-GB"/>
        </w:rPr>
        <w:t xml:space="preserve">collected </w:t>
      </w:r>
      <w:r w:rsidRPr="2C985F9B">
        <w:rPr>
          <w:lang w:val="en-GB"/>
        </w:rPr>
        <w:t>unit cost analysis and associated additional information (for tariff and charging issues).</w:t>
      </w:r>
    </w:p>
    <w:p w14:paraId="7F3A038B" w14:textId="77777777" w:rsidR="00F26F35" w:rsidRPr="006E5C15" w:rsidRDefault="00F26F35" w:rsidP="00F26F35">
      <w:pPr>
        <w:pStyle w:val="Sectionsub-heading"/>
        <w:rPr>
          <w:lang w:val="en-GB"/>
        </w:rPr>
      </w:pPr>
      <w:r>
        <w:rPr>
          <w:lang w:val="en-GB"/>
        </w:rPr>
        <w:t>Guidance to the Local Authority</w:t>
      </w:r>
    </w:p>
    <w:p w14:paraId="6CA5EC14" w14:textId="76927C21" w:rsidR="00F1159A" w:rsidRPr="00860D94" w:rsidRDefault="00F1159A" w:rsidP="00F1159A">
      <w:pPr>
        <w:pStyle w:val="Bodynumbercopy"/>
        <w:rPr>
          <w:lang w:val="en-GB"/>
        </w:rPr>
      </w:pPr>
      <w:r w:rsidRPr="00860D94">
        <w:rPr>
          <w:lang w:val="en-GB"/>
        </w:rPr>
        <w:t>For the avoidance of doubt, Table A</w:t>
      </w:r>
      <w:r>
        <w:rPr>
          <w:lang w:val="en-GB"/>
        </w:rPr>
        <w:t>3b</w:t>
      </w:r>
      <w:r w:rsidRPr="00860D94">
        <w:rPr>
          <w:lang w:val="en-GB"/>
        </w:rPr>
        <w:t xml:space="preserve"> refers to the whole Local Authority area. In the event that a Local Authority has several discrete schemes, the total across the Local Authority area should be reported.</w:t>
      </w:r>
    </w:p>
    <w:p w14:paraId="4723E2C7" w14:textId="2E58A1BD" w:rsidR="00DE4283" w:rsidRDefault="00DE4283">
      <w:r>
        <w:rPr>
          <w:b/>
        </w:rPr>
        <w:br w:type="page"/>
      </w:r>
    </w:p>
    <w:tbl>
      <w:tblPr>
        <w:tblStyle w:val="TableGrid3"/>
        <w:tblW w:w="0" w:type="auto"/>
        <w:tblInd w:w="-113" w:type="dxa"/>
        <w:tblLook w:val="04A0" w:firstRow="1" w:lastRow="0" w:firstColumn="1" w:lastColumn="0" w:noHBand="0" w:noVBand="1"/>
      </w:tblPr>
      <w:tblGrid>
        <w:gridCol w:w="7671"/>
      </w:tblGrid>
      <w:tr w:rsidR="008E147C" w:rsidRPr="009A191E" w14:paraId="2D03EBF2" w14:textId="77777777" w:rsidTr="00BD18B3">
        <w:tc>
          <w:tcPr>
            <w:tcW w:w="7671" w:type="dxa"/>
            <w:tcBorders>
              <w:top w:val="single" w:sz="4" w:space="0" w:color="FFFFFF"/>
              <w:left w:val="single" w:sz="4" w:space="0" w:color="FFFFFF"/>
              <w:bottom w:val="single" w:sz="4" w:space="0" w:color="FFFFFF"/>
              <w:right w:val="single" w:sz="4" w:space="0" w:color="FFFFFF"/>
            </w:tcBorders>
          </w:tcPr>
          <w:p w14:paraId="1A47AC3B" w14:textId="1CA7A5AC" w:rsidR="008E147C" w:rsidRDefault="008E147C" w:rsidP="00574F08">
            <w:pPr>
              <w:pStyle w:val="Sectionsub-heading"/>
            </w:pPr>
            <w:r w:rsidRPr="009A191E">
              <w:lastRenderedPageBreak/>
              <w:t xml:space="preserve">BLOCK 1: UNMEASURED </w:t>
            </w:r>
            <w:r w:rsidR="00BB5A05">
              <w:t>HOUSEHOLD</w:t>
            </w:r>
            <w:r w:rsidRPr="009A191E">
              <w:t xml:space="preserve"> – PROPERTIES</w:t>
            </w:r>
          </w:p>
          <w:tbl>
            <w:tblPr>
              <w:tblStyle w:val="TableGrid3"/>
              <w:tblW w:w="0" w:type="auto"/>
              <w:tblLook w:val="04A0" w:firstRow="1" w:lastRow="0" w:firstColumn="1" w:lastColumn="0" w:noHBand="0" w:noVBand="1"/>
            </w:tblPr>
            <w:tblGrid>
              <w:gridCol w:w="980"/>
              <w:gridCol w:w="998"/>
              <w:gridCol w:w="4559"/>
              <w:gridCol w:w="908"/>
            </w:tblGrid>
            <w:tr w:rsidR="00414B14" w:rsidRPr="000E5681" w14:paraId="7E378C04" w14:textId="77777777" w:rsidTr="00414B14">
              <w:tc>
                <w:tcPr>
                  <w:tcW w:w="980" w:type="dxa"/>
                </w:tcPr>
                <w:p w14:paraId="61168335" w14:textId="1F6FD38B" w:rsidR="00414B14" w:rsidRPr="000E5681" w:rsidRDefault="00414B14" w:rsidP="00414B14">
                  <w:pPr>
                    <w:pStyle w:val="Bodyromannumerals"/>
                    <w:rPr>
                      <w:b/>
                      <w:bCs/>
                      <w:lang w:val="en-US"/>
                    </w:rPr>
                  </w:pPr>
                  <w:r w:rsidRPr="000E5681">
                    <w:rPr>
                      <w:b/>
                      <w:bCs/>
                      <w:lang w:val="en-US"/>
                    </w:rPr>
                    <w:t>A3b.1</w:t>
                  </w:r>
                </w:p>
              </w:tc>
              <w:tc>
                <w:tcPr>
                  <w:tcW w:w="5557" w:type="dxa"/>
                  <w:gridSpan w:val="2"/>
                </w:tcPr>
                <w:p w14:paraId="37B46A1C" w14:textId="1AA4BC24" w:rsidR="00414B14" w:rsidRPr="000E5681" w:rsidRDefault="00414B14" w:rsidP="00414B14">
                  <w:pPr>
                    <w:pStyle w:val="Bodyromannumerals"/>
                    <w:rPr>
                      <w:b/>
                      <w:bCs/>
                      <w:lang w:val="en-US"/>
                    </w:rPr>
                  </w:pPr>
                  <w:r w:rsidRPr="000E5681">
                    <w:rPr>
                      <w:b/>
                      <w:bCs/>
                      <w:lang w:val="en-US"/>
                    </w:rPr>
                    <w:t>Total number of billed properties for stormwater</w:t>
                  </w:r>
                </w:p>
              </w:tc>
              <w:tc>
                <w:tcPr>
                  <w:tcW w:w="908" w:type="dxa"/>
                </w:tcPr>
                <w:p w14:paraId="1F57968E" w14:textId="703CF82D" w:rsidR="00414B14" w:rsidRPr="000E5681" w:rsidRDefault="00414B14" w:rsidP="00414B14">
                  <w:pPr>
                    <w:pStyle w:val="Bodyromannumerals"/>
                    <w:rPr>
                      <w:b/>
                      <w:bCs/>
                      <w:lang w:val="en-US"/>
                    </w:rPr>
                  </w:pPr>
                  <w:r w:rsidRPr="000E5681">
                    <w:rPr>
                      <w:b/>
                      <w:bCs/>
                      <w:lang w:val="en-US"/>
                    </w:rPr>
                    <w:t>Nr.</w:t>
                  </w:r>
                </w:p>
              </w:tc>
            </w:tr>
            <w:tr w:rsidR="00414B14" w:rsidRPr="009A191E" w14:paraId="270B70BE" w14:textId="77777777" w:rsidTr="00414B14">
              <w:tc>
                <w:tcPr>
                  <w:tcW w:w="1978" w:type="dxa"/>
                  <w:gridSpan w:val="2"/>
                  <w:tcBorders>
                    <w:left w:val="single" w:sz="4" w:space="0" w:color="FFFFFF"/>
                    <w:bottom w:val="single" w:sz="4" w:space="0" w:color="FFFFFF"/>
                    <w:right w:val="single" w:sz="4" w:space="0" w:color="FFFFFF"/>
                  </w:tcBorders>
                </w:tcPr>
                <w:p w14:paraId="34036BC4" w14:textId="77777777" w:rsidR="00414B14" w:rsidRPr="009A191E" w:rsidRDefault="00414B14" w:rsidP="00414B14">
                  <w:pPr>
                    <w:pStyle w:val="Bodyromannumerals"/>
                    <w:rPr>
                      <w:i/>
                      <w:lang w:val="en-US"/>
                    </w:rPr>
                  </w:pPr>
                  <w:r w:rsidRPr="009A191E">
                    <w:rPr>
                      <w:i/>
                      <w:lang w:val="en-US"/>
                    </w:rPr>
                    <w:t>Definition:</w:t>
                  </w:r>
                </w:p>
              </w:tc>
              <w:tc>
                <w:tcPr>
                  <w:tcW w:w="5467" w:type="dxa"/>
                  <w:gridSpan w:val="2"/>
                  <w:tcBorders>
                    <w:left w:val="single" w:sz="4" w:space="0" w:color="FFFFFF"/>
                    <w:bottom w:val="single" w:sz="4" w:space="0" w:color="FFFFFF"/>
                    <w:right w:val="single" w:sz="4" w:space="0" w:color="FFFFFF"/>
                  </w:tcBorders>
                </w:tcPr>
                <w:p w14:paraId="202E309B" w14:textId="4141F329" w:rsidR="00414B14" w:rsidRPr="009A191E" w:rsidRDefault="00414B14" w:rsidP="00414B14">
                  <w:pPr>
                    <w:pStyle w:val="Bodyromannumerals"/>
                    <w:rPr>
                      <w:lang w:val="en-US"/>
                    </w:rPr>
                  </w:pPr>
                  <w:r w:rsidRPr="009A191E">
                    <w:rPr>
                      <w:lang w:val="en-US"/>
                    </w:rPr>
                    <w:t xml:space="preserve">Number of billed unmeasured </w:t>
                  </w:r>
                  <w:r w:rsidR="00BB5A05">
                    <w:rPr>
                      <w:lang w:val="en-US"/>
                    </w:rPr>
                    <w:t>household</w:t>
                  </w:r>
                  <w:r w:rsidRPr="009A191E">
                    <w:rPr>
                      <w:lang w:val="en-US"/>
                    </w:rPr>
                    <w:t xml:space="preserve"> properties for stormwater, as at </w:t>
                  </w:r>
                  <w:r w:rsidR="00D97768">
                    <w:rPr>
                      <w:lang w:val="en-US"/>
                    </w:rPr>
                    <w:t>30 June</w:t>
                  </w:r>
                  <w:r w:rsidRPr="009A191E">
                    <w:rPr>
                      <w:lang w:val="en-US"/>
                    </w:rPr>
                    <w:t xml:space="preserve"> of the reporting year. </w:t>
                  </w:r>
                  <w:r>
                    <w:rPr>
                      <w:lang w:val="en-US"/>
                    </w:rPr>
                    <w:t xml:space="preserve">For the avoidance of doubt, this includes billed properties that pay </w:t>
                  </w:r>
                  <w:r w:rsidR="004F2C38">
                    <w:rPr>
                      <w:lang w:val="en-US"/>
                    </w:rPr>
                    <w:t xml:space="preserve">for </w:t>
                  </w:r>
                  <w:r>
                    <w:rPr>
                      <w:lang w:val="en-US"/>
                    </w:rPr>
                    <w:t xml:space="preserve">stormwater through </w:t>
                  </w:r>
                  <w:r w:rsidR="004F2C38">
                    <w:rPr>
                      <w:lang w:val="en-US"/>
                    </w:rPr>
                    <w:t xml:space="preserve">property </w:t>
                  </w:r>
                  <w:proofErr w:type="spellStart"/>
                  <w:r>
                    <w:rPr>
                      <w:lang w:val="en-US"/>
                    </w:rPr>
                    <w:t>rateable</w:t>
                  </w:r>
                  <w:proofErr w:type="spellEnd"/>
                  <w:r>
                    <w:rPr>
                      <w:lang w:val="en-US"/>
                    </w:rPr>
                    <w:t xml:space="preserve"> values.</w:t>
                  </w:r>
                  <w:r w:rsidR="00E641F3" w:rsidRPr="00E641F3">
                    <w:rPr>
                      <w:lang w:val="en-US"/>
                    </w:rPr>
                    <w:t xml:space="preserve"> As such, Local Authorities should report the number of households where this applies.</w:t>
                  </w:r>
                </w:p>
              </w:tc>
            </w:tr>
            <w:tr w:rsidR="00414B14" w:rsidRPr="009A191E" w14:paraId="75C15BF9" w14:textId="77777777" w:rsidTr="00414B14">
              <w:tc>
                <w:tcPr>
                  <w:tcW w:w="1978" w:type="dxa"/>
                  <w:gridSpan w:val="2"/>
                  <w:tcBorders>
                    <w:top w:val="single" w:sz="4" w:space="0" w:color="FFFFFF"/>
                    <w:left w:val="single" w:sz="4" w:space="0" w:color="FFFFFF"/>
                    <w:bottom w:val="single" w:sz="4" w:space="0" w:color="FFFFFF"/>
                    <w:right w:val="single" w:sz="4" w:space="0" w:color="FFFFFF"/>
                  </w:tcBorders>
                </w:tcPr>
                <w:p w14:paraId="7CF0F8F8" w14:textId="77777777" w:rsidR="00414B14" w:rsidRPr="009A191E" w:rsidRDefault="00414B14" w:rsidP="00414B14">
                  <w:pPr>
                    <w:pStyle w:val="Bodyromannumerals"/>
                    <w:rPr>
                      <w:i/>
                      <w:lang w:val="en-US"/>
                    </w:rPr>
                  </w:pPr>
                  <w:r w:rsidRPr="009A191E">
                    <w:rPr>
                      <w:i/>
                      <w:lang w:val="en-US"/>
                    </w:rPr>
                    <w:t>Processing Rules:</w:t>
                  </w:r>
                </w:p>
              </w:tc>
              <w:tc>
                <w:tcPr>
                  <w:tcW w:w="5467" w:type="dxa"/>
                  <w:gridSpan w:val="2"/>
                  <w:tcBorders>
                    <w:top w:val="single" w:sz="4" w:space="0" w:color="FFFFFF"/>
                    <w:left w:val="single" w:sz="4" w:space="0" w:color="FFFFFF"/>
                    <w:bottom w:val="single" w:sz="4" w:space="0" w:color="FFFFFF"/>
                    <w:right w:val="single" w:sz="4" w:space="0" w:color="FFFFFF"/>
                  </w:tcBorders>
                </w:tcPr>
                <w:p w14:paraId="438C3B07" w14:textId="7D8240C1" w:rsidR="00414B14" w:rsidRPr="009A191E" w:rsidRDefault="00414B14" w:rsidP="00414B14">
                  <w:pPr>
                    <w:pStyle w:val="Bodyromannumerals"/>
                    <w:rPr>
                      <w:lang w:val="en-US"/>
                    </w:rPr>
                  </w:pPr>
                  <w:r w:rsidRPr="009A191E">
                    <w:rPr>
                      <w:lang w:val="en-US"/>
                    </w:rPr>
                    <w:t>Input field</w:t>
                  </w:r>
                </w:p>
              </w:tc>
            </w:tr>
          </w:tbl>
          <w:p w14:paraId="25F3D445" w14:textId="36E3EB1E" w:rsidR="008E147C" w:rsidRPr="009A191E" w:rsidRDefault="008E147C" w:rsidP="000E5681">
            <w:pPr>
              <w:pStyle w:val="Sectionsub-heading"/>
            </w:pPr>
            <w:r w:rsidRPr="009A191E">
              <w:t xml:space="preserve">BLOCK 2: MEASURED </w:t>
            </w:r>
            <w:r w:rsidR="00BB5A05">
              <w:t>HOUSEHOLD</w:t>
            </w:r>
            <w:r w:rsidRPr="009A191E">
              <w:t xml:space="preserve"> – PROPERTIES</w:t>
            </w:r>
          </w:p>
          <w:tbl>
            <w:tblPr>
              <w:tblStyle w:val="TableGrid3"/>
              <w:tblW w:w="0" w:type="auto"/>
              <w:tblLook w:val="04A0" w:firstRow="1" w:lastRow="0" w:firstColumn="1" w:lastColumn="0" w:noHBand="0" w:noVBand="1"/>
            </w:tblPr>
            <w:tblGrid>
              <w:gridCol w:w="1191"/>
              <w:gridCol w:w="957"/>
              <w:gridCol w:w="4395"/>
              <w:gridCol w:w="902"/>
            </w:tblGrid>
            <w:tr w:rsidR="008E147C" w:rsidRPr="009A191E" w14:paraId="7EFF40D4" w14:textId="77777777" w:rsidTr="00296616">
              <w:tc>
                <w:tcPr>
                  <w:tcW w:w="1191" w:type="dxa"/>
                </w:tcPr>
                <w:p w14:paraId="162321F4" w14:textId="77777777" w:rsidR="008E147C" w:rsidRPr="000E5681" w:rsidRDefault="008E147C" w:rsidP="000E5681">
                  <w:pPr>
                    <w:pStyle w:val="Bodyromannumerals"/>
                    <w:rPr>
                      <w:b/>
                      <w:bCs/>
                      <w:lang w:val="en-US"/>
                    </w:rPr>
                  </w:pPr>
                  <w:r w:rsidRPr="000E5681">
                    <w:rPr>
                      <w:b/>
                      <w:bCs/>
                      <w:lang w:val="en-US"/>
                    </w:rPr>
                    <w:t>A3b.7</w:t>
                  </w:r>
                </w:p>
              </w:tc>
              <w:tc>
                <w:tcPr>
                  <w:tcW w:w="5352" w:type="dxa"/>
                  <w:gridSpan w:val="2"/>
                </w:tcPr>
                <w:p w14:paraId="5CDA3AAC" w14:textId="77777777" w:rsidR="008E147C" w:rsidRPr="000E5681" w:rsidRDefault="008E147C" w:rsidP="000E5681">
                  <w:pPr>
                    <w:pStyle w:val="Bodyromannumerals"/>
                    <w:rPr>
                      <w:b/>
                      <w:bCs/>
                      <w:lang w:val="en-US"/>
                    </w:rPr>
                  </w:pPr>
                  <w:r w:rsidRPr="000E5681">
                    <w:rPr>
                      <w:b/>
                      <w:bCs/>
                      <w:lang w:val="en-US"/>
                    </w:rPr>
                    <w:t>Total number of billed properties for stormwater</w:t>
                  </w:r>
                </w:p>
              </w:tc>
              <w:tc>
                <w:tcPr>
                  <w:tcW w:w="902" w:type="dxa"/>
                </w:tcPr>
                <w:p w14:paraId="3B09B8B1" w14:textId="77777777" w:rsidR="008E147C" w:rsidRPr="000E5681" w:rsidRDefault="008E147C" w:rsidP="000E5681">
                  <w:pPr>
                    <w:pStyle w:val="Bodyromannumerals"/>
                    <w:rPr>
                      <w:b/>
                      <w:bCs/>
                      <w:lang w:val="en-US"/>
                    </w:rPr>
                  </w:pPr>
                  <w:r w:rsidRPr="000E5681">
                    <w:rPr>
                      <w:b/>
                      <w:bCs/>
                      <w:lang w:val="en-US"/>
                    </w:rPr>
                    <w:t>Nr.</w:t>
                  </w:r>
                </w:p>
              </w:tc>
            </w:tr>
            <w:tr w:rsidR="008E147C" w:rsidRPr="009A191E" w14:paraId="294B8B91" w14:textId="77777777" w:rsidTr="00296616">
              <w:tc>
                <w:tcPr>
                  <w:tcW w:w="2148" w:type="dxa"/>
                  <w:gridSpan w:val="2"/>
                  <w:tcBorders>
                    <w:left w:val="single" w:sz="4" w:space="0" w:color="FFFFFF"/>
                    <w:bottom w:val="single" w:sz="4" w:space="0" w:color="FFFFFF"/>
                    <w:right w:val="single" w:sz="4" w:space="0" w:color="FFFFFF"/>
                  </w:tcBorders>
                </w:tcPr>
                <w:p w14:paraId="2166FFC0" w14:textId="77777777" w:rsidR="008E147C" w:rsidRPr="009A191E" w:rsidRDefault="008E147C" w:rsidP="000E5681">
                  <w:pPr>
                    <w:pStyle w:val="Bodyromannumerals"/>
                    <w:rPr>
                      <w:i/>
                      <w:lang w:val="en-US"/>
                    </w:rPr>
                  </w:pPr>
                  <w:r w:rsidRPr="009A191E">
                    <w:rPr>
                      <w:i/>
                      <w:lang w:val="en-US"/>
                    </w:rPr>
                    <w:t>Definition:</w:t>
                  </w:r>
                </w:p>
              </w:tc>
              <w:tc>
                <w:tcPr>
                  <w:tcW w:w="5297" w:type="dxa"/>
                  <w:gridSpan w:val="2"/>
                  <w:tcBorders>
                    <w:left w:val="single" w:sz="4" w:space="0" w:color="FFFFFF"/>
                    <w:bottom w:val="single" w:sz="4" w:space="0" w:color="FFFFFF"/>
                    <w:right w:val="single" w:sz="4" w:space="0" w:color="FFFFFF"/>
                  </w:tcBorders>
                </w:tcPr>
                <w:p w14:paraId="445C36B9" w14:textId="1A1A5133" w:rsidR="008E147C" w:rsidRDefault="008E147C" w:rsidP="000E5681">
                  <w:pPr>
                    <w:pStyle w:val="Bodyromannumerals"/>
                    <w:rPr>
                      <w:lang w:val="en-US"/>
                    </w:rPr>
                  </w:pPr>
                  <w:r w:rsidRPr="009A191E">
                    <w:rPr>
                      <w:lang w:val="en-US"/>
                    </w:rPr>
                    <w:t xml:space="preserve">Number of billed metered </w:t>
                  </w:r>
                  <w:r w:rsidR="00BB5A05">
                    <w:rPr>
                      <w:lang w:val="en-US"/>
                    </w:rPr>
                    <w:t>household</w:t>
                  </w:r>
                  <w:r w:rsidRPr="009A191E">
                    <w:rPr>
                      <w:lang w:val="en-US"/>
                    </w:rPr>
                    <w:t xml:space="preserve"> properties for stormwater as at </w:t>
                  </w:r>
                  <w:r w:rsidR="00D97768">
                    <w:rPr>
                      <w:lang w:val="en-US"/>
                    </w:rPr>
                    <w:t>30 June</w:t>
                  </w:r>
                  <w:r w:rsidRPr="009A191E">
                    <w:rPr>
                      <w:lang w:val="en-US"/>
                    </w:rPr>
                    <w:t xml:space="preserve"> of the reporting year.</w:t>
                  </w:r>
                  <w:r w:rsidR="00512014">
                    <w:rPr>
                      <w:rStyle w:val="CommentReference"/>
                      <w:rFonts w:ascii="Arial" w:hAnsi="Arial" w:cstheme="minorBidi"/>
                      <w:lang w:val="en-NZ"/>
                    </w:rPr>
                    <w:t xml:space="preserve"> </w:t>
                  </w:r>
                </w:p>
                <w:p w14:paraId="30FE7CED" w14:textId="77777777" w:rsidR="00F84825" w:rsidRDefault="00F84825" w:rsidP="00F84825">
                  <w:pPr>
                    <w:pStyle w:val="Bodyromannumerals"/>
                    <w:rPr>
                      <w:lang w:val="en-US"/>
                    </w:rPr>
                  </w:pPr>
                  <w:r>
                    <w:rPr>
                      <w:lang w:val="en-US"/>
                    </w:rPr>
                    <w:t>For the avoidance of doubt, a customer should be considered measured if their:</w:t>
                  </w:r>
                </w:p>
                <w:p w14:paraId="2E0B703B" w14:textId="781EED8B" w:rsidR="00F84825" w:rsidRDefault="00F84825" w:rsidP="00871522">
                  <w:pPr>
                    <w:pStyle w:val="Bodyromannumerals"/>
                    <w:numPr>
                      <w:ilvl w:val="0"/>
                      <w:numId w:val="22"/>
                    </w:numPr>
                    <w:rPr>
                      <w:lang w:val="en-US"/>
                    </w:rPr>
                  </w:pPr>
                  <w:r>
                    <w:rPr>
                      <w:lang w:val="en-US"/>
                    </w:rPr>
                    <w:t>stormwater drained is directly measured and charged; or</w:t>
                  </w:r>
                </w:p>
                <w:p w14:paraId="07DD6300" w14:textId="578F5DF8" w:rsidR="00F84825" w:rsidRDefault="00F84825" w:rsidP="00871522">
                  <w:pPr>
                    <w:pStyle w:val="Bodyromannumerals"/>
                    <w:numPr>
                      <w:ilvl w:val="0"/>
                      <w:numId w:val="22"/>
                    </w:numPr>
                    <w:rPr>
                      <w:lang w:val="en-US"/>
                    </w:rPr>
                  </w:pPr>
                  <w:r>
                    <w:rPr>
                      <w:lang w:val="en-US"/>
                    </w:rPr>
                    <w:t>stormwater drained is measured and charged based on the measured water usage (i.e. a return to sewer assumption).</w:t>
                  </w:r>
                </w:p>
                <w:p w14:paraId="532BA920" w14:textId="77777777" w:rsidR="00F84825" w:rsidRDefault="00F84825" w:rsidP="00F84825">
                  <w:pPr>
                    <w:pStyle w:val="Bodyromannumerals"/>
                    <w:rPr>
                      <w:lang w:val="en-US"/>
                    </w:rPr>
                  </w:pPr>
                  <w:r>
                    <w:rPr>
                      <w:lang w:val="en-US"/>
                    </w:rPr>
                    <w:t>Otherwise, they should be included in the relevant unmeasured line.</w:t>
                  </w:r>
                </w:p>
                <w:p w14:paraId="076E309C" w14:textId="40B394B2" w:rsidR="00F84825" w:rsidRPr="009A191E" w:rsidRDefault="00F84825" w:rsidP="000E5681">
                  <w:pPr>
                    <w:pStyle w:val="Bodyromannumerals"/>
                    <w:rPr>
                      <w:lang w:val="en-US"/>
                    </w:rPr>
                  </w:pPr>
                </w:p>
              </w:tc>
            </w:tr>
            <w:tr w:rsidR="008E147C" w:rsidRPr="009A191E" w14:paraId="1DB9846B" w14:textId="77777777" w:rsidTr="00296616">
              <w:tc>
                <w:tcPr>
                  <w:tcW w:w="2148" w:type="dxa"/>
                  <w:gridSpan w:val="2"/>
                  <w:tcBorders>
                    <w:top w:val="single" w:sz="4" w:space="0" w:color="FFFFFF"/>
                    <w:left w:val="single" w:sz="4" w:space="0" w:color="FFFFFF"/>
                    <w:bottom w:val="single" w:sz="4" w:space="0" w:color="FFFFFF"/>
                    <w:right w:val="single" w:sz="4" w:space="0" w:color="FFFFFF"/>
                  </w:tcBorders>
                </w:tcPr>
                <w:p w14:paraId="52360AAC" w14:textId="77777777" w:rsidR="008E147C" w:rsidRPr="009A191E" w:rsidRDefault="008E147C" w:rsidP="000E5681">
                  <w:pPr>
                    <w:pStyle w:val="Bodyromannumerals"/>
                    <w:rPr>
                      <w:i/>
                      <w:lang w:val="en-US"/>
                    </w:rPr>
                  </w:pPr>
                  <w:r w:rsidRPr="009A191E">
                    <w:rPr>
                      <w:i/>
                      <w:lang w:val="en-US"/>
                    </w:rPr>
                    <w:t>Processing Rules:</w:t>
                  </w:r>
                </w:p>
              </w:tc>
              <w:tc>
                <w:tcPr>
                  <w:tcW w:w="5297" w:type="dxa"/>
                  <w:gridSpan w:val="2"/>
                  <w:tcBorders>
                    <w:top w:val="single" w:sz="4" w:space="0" w:color="FFFFFF"/>
                    <w:left w:val="single" w:sz="4" w:space="0" w:color="FFFFFF"/>
                    <w:bottom w:val="single" w:sz="4" w:space="0" w:color="FFFFFF"/>
                    <w:right w:val="single" w:sz="4" w:space="0" w:color="FFFFFF"/>
                  </w:tcBorders>
                </w:tcPr>
                <w:p w14:paraId="7E444FE2" w14:textId="6A602D10" w:rsidR="008E147C" w:rsidRPr="009A191E" w:rsidRDefault="00F8590B" w:rsidP="000E5681">
                  <w:pPr>
                    <w:pStyle w:val="Bodyromannumerals"/>
                    <w:rPr>
                      <w:lang w:val="en-US"/>
                    </w:rPr>
                  </w:pPr>
                  <w:r>
                    <w:rPr>
                      <w:lang w:val="en-US"/>
                    </w:rPr>
                    <w:t>Input</w:t>
                  </w:r>
                  <w:r w:rsidRPr="009A191E">
                    <w:rPr>
                      <w:lang w:val="en-US"/>
                    </w:rPr>
                    <w:t xml:space="preserve"> </w:t>
                  </w:r>
                  <w:r w:rsidR="008E147C" w:rsidRPr="009A191E">
                    <w:rPr>
                      <w:lang w:val="en-US"/>
                    </w:rPr>
                    <w:t>field</w:t>
                  </w:r>
                </w:p>
              </w:tc>
            </w:tr>
          </w:tbl>
          <w:p w14:paraId="681944EA" w14:textId="77777777" w:rsidR="008E147C" w:rsidRPr="009A191E" w:rsidRDefault="008E147C" w:rsidP="00EE66BC">
            <w:pPr>
              <w:spacing w:after="0"/>
              <w:rPr>
                <w:rFonts w:eastAsia="Calibri"/>
                <w:color w:val="000000" w:themeColor="text1"/>
              </w:rPr>
            </w:pPr>
          </w:p>
          <w:p w14:paraId="2C75B9AC" w14:textId="34663170" w:rsidR="008E147C" w:rsidRPr="009A191E" w:rsidRDefault="008E147C" w:rsidP="000E5681">
            <w:pPr>
              <w:pStyle w:val="Sectionsub-heading"/>
            </w:pPr>
            <w:r w:rsidRPr="009A191E">
              <w:t>BLOCK 3: MEASURED NON-</w:t>
            </w:r>
            <w:r w:rsidR="00BB5A05">
              <w:t>HOUSEHOLD</w:t>
            </w:r>
            <w:r w:rsidRPr="009A191E">
              <w:t xml:space="preserve"> – PROPERTIES</w:t>
            </w:r>
          </w:p>
          <w:tbl>
            <w:tblPr>
              <w:tblStyle w:val="TableGrid3"/>
              <w:tblW w:w="7445" w:type="dxa"/>
              <w:tblLook w:val="04A0" w:firstRow="1" w:lastRow="0" w:firstColumn="1" w:lastColumn="0" w:noHBand="0" w:noVBand="1"/>
            </w:tblPr>
            <w:tblGrid>
              <w:gridCol w:w="1170"/>
              <w:gridCol w:w="891"/>
              <w:gridCol w:w="4478"/>
              <w:gridCol w:w="906"/>
            </w:tblGrid>
            <w:tr w:rsidR="008E147C" w:rsidRPr="009A191E" w14:paraId="7348A14A" w14:textId="77777777" w:rsidTr="6D74F5D0">
              <w:tc>
                <w:tcPr>
                  <w:tcW w:w="1170" w:type="dxa"/>
                </w:tcPr>
                <w:p w14:paraId="0258F531" w14:textId="77777777" w:rsidR="008E147C" w:rsidRPr="000E5681" w:rsidRDefault="008E147C" w:rsidP="000E5681">
                  <w:pPr>
                    <w:pStyle w:val="Bodyromannumerals"/>
                    <w:rPr>
                      <w:b/>
                      <w:bCs/>
                      <w:lang w:val="en-US"/>
                    </w:rPr>
                  </w:pPr>
                  <w:r w:rsidRPr="000E5681">
                    <w:rPr>
                      <w:b/>
                      <w:bCs/>
                      <w:lang w:val="en-US"/>
                    </w:rPr>
                    <w:t>A3b.18</w:t>
                  </w:r>
                </w:p>
              </w:tc>
              <w:tc>
                <w:tcPr>
                  <w:tcW w:w="5369" w:type="dxa"/>
                  <w:gridSpan w:val="2"/>
                </w:tcPr>
                <w:p w14:paraId="29C3046A" w14:textId="77777777" w:rsidR="008E147C" w:rsidRPr="000E5681" w:rsidRDefault="008E147C" w:rsidP="000E5681">
                  <w:pPr>
                    <w:pStyle w:val="Bodyromannumerals"/>
                    <w:rPr>
                      <w:b/>
                      <w:bCs/>
                      <w:lang w:val="en-US"/>
                    </w:rPr>
                  </w:pPr>
                  <w:r w:rsidRPr="000E5681">
                    <w:rPr>
                      <w:b/>
                      <w:bCs/>
                      <w:lang w:val="en-US"/>
                    </w:rPr>
                    <w:t>Number of billed properties with no charges</w:t>
                  </w:r>
                </w:p>
              </w:tc>
              <w:tc>
                <w:tcPr>
                  <w:tcW w:w="906" w:type="dxa"/>
                </w:tcPr>
                <w:p w14:paraId="398D0D6B" w14:textId="77777777" w:rsidR="008E147C" w:rsidRPr="000E5681" w:rsidRDefault="008E147C" w:rsidP="000E5681">
                  <w:pPr>
                    <w:pStyle w:val="Bodyromannumerals"/>
                    <w:rPr>
                      <w:b/>
                      <w:bCs/>
                      <w:lang w:val="en-US"/>
                    </w:rPr>
                  </w:pPr>
                  <w:r w:rsidRPr="000E5681">
                    <w:rPr>
                      <w:b/>
                      <w:bCs/>
                      <w:lang w:val="en-US"/>
                    </w:rPr>
                    <w:t>Nr.</w:t>
                  </w:r>
                </w:p>
              </w:tc>
            </w:tr>
            <w:tr w:rsidR="008E147C" w:rsidRPr="009A191E" w14:paraId="2DD8580F" w14:textId="77777777" w:rsidTr="6D74F5D0">
              <w:tc>
                <w:tcPr>
                  <w:tcW w:w="2061" w:type="dxa"/>
                  <w:gridSpan w:val="2"/>
                  <w:tcBorders>
                    <w:left w:val="single" w:sz="4" w:space="0" w:color="FFFFFF" w:themeColor="background2"/>
                    <w:bottom w:val="single" w:sz="4" w:space="0" w:color="FFFFFF" w:themeColor="background2"/>
                    <w:right w:val="single" w:sz="4" w:space="0" w:color="FFFFFF" w:themeColor="background2"/>
                  </w:tcBorders>
                </w:tcPr>
                <w:p w14:paraId="44608D1E" w14:textId="77777777" w:rsidR="008E147C" w:rsidRPr="009A191E" w:rsidRDefault="008E147C" w:rsidP="000E5681">
                  <w:pPr>
                    <w:pStyle w:val="Bodyromannumerals"/>
                    <w:rPr>
                      <w:i/>
                      <w:lang w:val="en-US"/>
                    </w:rPr>
                  </w:pPr>
                  <w:r w:rsidRPr="009A191E">
                    <w:rPr>
                      <w:i/>
                      <w:lang w:val="en-US"/>
                    </w:rPr>
                    <w:t>Definition:</w:t>
                  </w:r>
                </w:p>
              </w:tc>
              <w:tc>
                <w:tcPr>
                  <w:tcW w:w="5384" w:type="dxa"/>
                  <w:gridSpan w:val="2"/>
                  <w:tcBorders>
                    <w:left w:val="single" w:sz="4" w:space="0" w:color="FFFFFF" w:themeColor="background2"/>
                    <w:bottom w:val="single" w:sz="4" w:space="0" w:color="FFFFFF" w:themeColor="background2"/>
                    <w:right w:val="single" w:sz="4" w:space="0" w:color="FFFFFF" w:themeColor="background2"/>
                  </w:tcBorders>
                </w:tcPr>
                <w:p w14:paraId="47128DD7" w14:textId="7EA9DB2E" w:rsidR="008E147C" w:rsidRPr="009A191E" w:rsidRDefault="008E147C" w:rsidP="000E5681">
                  <w:pPr>
                    <w:pStyle w:val="Bodyromannumerals"/>
                    <w:rPr>
                      <w:lang w:val="en-US"/>
                    </w:rPr>
                  </w:pPr>
                  <w:r w:rsidRPr="009A191E">
                    <w:rPr>
                      <w:lang w:val="en-US"/>
                    </w:rPr>
                    <w:t>Number of billed metered non-</w:t>
                  </w:r>
                  <w:r w:rsidR="00BB5A05">
                    <w:rPr>
                      <w:lang w:val="en-US"/>
                    </w:rPr>
                    <w:t>household</w:t>
                  </w:r>
                  <w:r w:rsidRPr="009A191E">
                    <w:rPr>
                      <w:lang w:val="en-US"/>
                    </w:rPr>
                    <w:t xml:space="preserve"> properties for stormwater as at </w:t>
                  </w:r>
                  <w:r w:rsidR="00D97768">
                    <w:rPr>
                      <w:lang w:val="en-US"/>
                    </w:rPr>
                    <w:t>30 June</w:t>
                  </w:r>
                  <w:r w:rsidRPr="009A191E">
                    <w:rPr>
                      <w:lang w:val="en-US"/>
                    </w:rPr>
                    <w:t xml:space="preserve"> of the reporting year, where no charge has been made. </w:t>
                  </w:r>
                </w:p>
              </w:tc>
            </w:tr>
            <w:tr w:rsidR="008E147C" w:rsidRPr="009A191E" w14:paraId="149495D0" w14:textId="77777777" w:rsidTr="6D74F5D0">
              <w:tc>
                <w:tcPr>
                  <w:tcW w:w="206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FB700F4" w14:textId="77777777" w:rsidR="008E147C" w:rsidRPr="009A191E" w:rsidRDefault="008E147C" w:rsidP="000E5681">
                  <w:pPr>
                    <w:pStyle w:val="Bodyromannumerals"/>
                    <w:rPr>
                      <w:i/>
                      <w:lang w:val="en-US"/>
                    </w:rPr>
                  </w:pPr>
                  <w:r w:rsidRPr="009A191E">
                    <w:rPr>
                      <w:i/>
                      <w:lang w:val="en-US"/>
                    </w:rPr>
                    <w:t>Processing Rules:</w:t>
                  </w:r>
                </w:p>
              </w:tc>
              <w:tc>
                <w:tcPr>
                  <w:tcW w:w="53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AAC71C0" w14:textId="786EED71" w:rsidR="00D87621" w:rsidRPr="009A191E" w:rsidRDefault="008E147C" w:rsidP="000E5681">
                  <w:pPr>
                    <w:pStyle w:val="Bodyromannumerals"/>
                    <w:rPr>
                      <w:lang w:val="en-US"/>
                    </w:rPr>
                  </w:pPr>
                  <w:r w:rsidRPr="009A191E">
                    <w:rPr>
                      <w:lang w:val="en-US"/>
                    </w:rPr>
                    <w:t>Input field</w:t>
                  </w:r>
                </w:p>
              </w:tc>
            </w:tr>
            <w:tr w:rsidR="008E147C" w:rsidRPr="009A191E" w14:paraId="668636CC" w14:textId="77777777" w:rsidTr="6D74F5D0">
              <w:tc>
                <w:tcPr>
                  <w:tcW w:w="1170" w:type="dxa"/>
                </w:tcPr>
                <w:p w14:paraId="234415D8" w14:textId="77777777" w:rsidR="008E147C" w:rsidRPr="000E5681" w:rsidRDefault="008E147C" w:rsidP="000E5681">
                  <w:pPr>
                    <w:pStyle w:val="Bodyromannumerals"/>
                    <w:rPr>
                      <w:b/>
                      <w:bCs/>
                      <w:lang w:val="en-US"/>
                    </w:rPr>
                  </w:pPr>
                  <w:r w:rsidRPr="000E5681">
                    <w:rPr>
                      <w:b/>
                      <w:bCs/>
                      <w:lang w:val="en-US"/>
                    </w:rPr>
                    <w:t>A3b.19</w:t>
                  </w:r>
                </w:p>
              </w:tc>
              <w:tc>
                <w:tcPr>
                  <w:tcW w:w="5369" w:type="dxa"/>
                  <w:gridSpan w:val="2"/>
                </w:tcPr>
                <w:p w14:paraId="0606CBAD" w14:textId="77777777" w:rsidR="008E147C" w:rsidRPr="000E5681" w:rsidRDefault="008E147C" w:rsidP="000E5681">
                  <w:pPr>
                    <w:pStyle w:val="Bodyromannumerals"/>
                    <w:rPr>
                      <w:b/>
                      <w:bCs/>
                      <w:lang w:val="en-US"/>
                    </w:rPr>
                  </w:pPr>
                  <w:r w:rsidRPr="000E5681">
                    <w:rPr>
                      <w:b/>
                      <w:bCs/>
                      <w:lang w:val="en-US"/>
                    </w:rPr>
                    <w:t>Total number of billed properties for stormwater</w:t>
                  </w:r>
                </w:p>
              </w:tc>
              <w:tc>
                <w:tcPr>
                  <w:tcW w:w="906" w:type="dxa"/>
                </w:tcPr>
                <w:p w14:paraId="4DC054E8" w14:textId="77777777" w:rsidR="008E147C" w:rsidRPr="000E5681" w:rsidRDefault="008E147C" w:rsidP="000E5681">
                  <w:pPr>
                    <w:pStyle w:val="Bodyromannumerals"/>
                    <w:rPr>
                      <w:b/>
                      <w:bCs/>
                      <w:lang w:val="en-US"/>
                    </w:rPr>
                  </w:pPr>
                  <w:r w:rsidRPr="000E5681">
                    <w:rPr>
                      <w:b/>
                      <w:bCs/>
                      <w:lang w:val="en-US"/>
                    </w:rPr>
                    <w:t>Nr.</w:t>
                  </w:r>
                </w:p>
              </w:tc>
            </w:tr>
            <w:tr w:rsidR="008E147C" w:rsidRPr="009A191E" w14:paraId="4347962B" w14:textId="77777777" w:rsidTr="00A61C15">
              <w:tc>
                <w:tcPr>
                  <w:tcW w:w="2061" w:type="dxa"/>
                  <w:gridSpan w:val="2"/>
                  <w:tcBorders>
                    <w:left w:val="single" w:sz="4" w:space="0" w:color="FFFFFF" w:themeColor="background2"/>
                    <w:bottom w:val="single" w:sz="4" w:space="0" w:color="FFFFFF" w:themeColor="background2"/>
                    <w:right w:val="single" w:sz="4" w:space="0" w:color="FFFFFF" w:themeColor="background2"/>
                  </w:tcBorders>
                </w:tcPr>
                <w:p w14:paraId="45F12D3D" w14:textId="77777777" w:rsidR="008E147C" w:rsidRPr="009A191E" w:rsidRDefault="008E147C" w:rsidP="000E5681">
                  <w:pPr>
                    <w:pStyle w:val="Bodyromannumerals"/>
                    <w:rPr>
                      <w:i/>
                      <w:lang w:val="en-US"/>
                    </w:rPr>
                  </w:pPr>
                  <w:r w:rsidRPr="009A191E">
                    <w:rPr>
                      <w:i/>
                      <w:lang w:val="en-US"/>
                    </w:rPr>
                    <w:t>Definition:</w:t>
                  </w:r>
                </w:p>
              </w:tc>
              <w:tc>
                <w:tcPr>
                  <w:tcW w:w="5384" w:type="dxa"/>
                  <w:gridSpan w:val="2"/>
                  <w:tcBorders>
                    <w:left w:val="single" w:sz="4" w:space="0" w:color="FFFFFF" w:themeColor="background2"/>
                    <w:bottom w:val="single" w:sz="4" w:space="0" w:color="FFFFFF" w:themeColor="background2"/>
                    <w:right w:val="single" w:sz="4" w:space="0" w:color="FFFFFF" w:themeColor="background2"/>
                  </w:tcBorders>
                </w:tcPr>
                <w:p w14:paraId="7EB1B984" w14:textId="554A62C1" w:rsidR="008E147C" w:rsidRDefault="008E147C" w:rsidP="000E5681">
                  <w:pPr>
                    <w:pStyle w:val="Bodyromannumerals"/>
                    <w:rPr>
                      <w:lang w:val="en-US"/>
                    </w:rPr>
                  </w:pPr>
                  <w:r w:rsidRPr="009A191E">
                    <w:rPr>
                      <w:lang w:val="en-US"/>
                    </w:rPr>
                    <w:t>Number of metered non-</w:t>
                  </w:r>
                  <w:r w:rsidR="00BB5A05">
                    <w:rPr>
                      <w:lang w:val="en-US"/>
                    </w:rPr>
                    <w:t>household</w:t>
                  </w:r>
                  <w:r w:rsidRPr="009A191E">
                    <w:rPr>
                      <w:lang w:val="en-US"/>
                    </w:rPr>
                    <w:t xml:space="preserve"> properties for stormwater as at </w:t>
                  </w:r>
                  <w:r w:rsidR="00D97768">
                    <w:rPr>
                      <w:lang w:val="en-US"/>
                    </w:rPr>
                    <w:t>30 June</w:t>
                  </w:r>
                  <w:r w:rsidRPr="009A191E">
                    <w:rPr>
                      <w:lang w:val="en-US"/>
                    </w:rPr>
                    <w:t xml:space="preserve"> of the reporting year. </w:t>
                  </w:r>
                </w:p>
                <w:p w14:paraId="0216FD33" w14:textId="77777777" w:rsidR="00F84825" w:rsidRDefault="00F84825" w:rsidP="00F84825">
                  <w:pPr>
                    <w:pStyle w:val="Bodyromannumerals"/>
                    <w:rPr>
                      <w:lang w:val="en-US"/>
                    </w:rPr>
                  </w:pPr>
                  <w:r>
                    <w:rPr>
                      <w:lang w:val="en-US"/>
                    </w:rPr>
                    <w:t>For the avoidance of doubt, a customer should be considered measured if their:</w:t>
                  </w:r>
                </w:p>
                <w:p w14:paraId="46FC3C48" w14:textId="77777777" w:rsidR="00F84825" w:rsidRDefault="00F84825" w:rsidP="00871522">
                  <w:pPr>
                    <w:pStyle w:val="Bodyromannumerals"/>
                    <w:numPr>
                      <w:ilvl w:val="0"/>
                      <w:numId w:val="22"/>
                    </w:numPr>
                    <w:rPr>
                      <w:lang w:val="en-US"/>
                    </w:rPr>
                  </w:pPr>
                  <w:r>
                    <w:rPr>
                      <w:lang w:val="en-US"/>
                    </w:rPr>
                    <w:lastRenderedPageBreak/>
                    <w:t>stormwater drained is directly measured and charged; or</w:t>
                  </w:r>
                </w:p>
                <w:p w14:paraId="55A17D2F" w14:textId="77777777" w:rsidR="00F84825" w:rsidRDefault="00F84825" w:rsidP="00871522">
                  <w:pPr>
                    <w:pStyle w:val="Bodyromannumerals"/>
                    <w:numPr>
                      <w:ilvl w:val="0"/>
                      <w:numId w:val="22"/>
                    </w:numPr>
                    <w:rPr>
                      <w:lang w:val="en-US"/>
                    </w:rPr>
                  </w:pPr>
                  <w:r>
                    <w:rPr>
                      <w:lang w:val="en-US"/>
                    </w:rPr>
                    <w:t>stormwater drained is measured and charged based on the measured water usage (i.e. a return to sewer assumption).</w:t>
                  </w:r>
                </w:p>
                <w:p w14:paraId="2F4C5B8D" w14:textId="77777777" w:rsidR="00F84825" w:rsidRDefault="00F84825" w:rsidP="00F84825">
                  <w:pPr>
                    <w:pStyle w:val="Bodyromannumerals"/>
                    <w:rPr>
                      <w:lang w:val="en-US"/>
                    </w:rPr>
                  </w:pPr>
                  <w:r>
                    <w:rPr>
                      <w:lang w:val="en-US"/>
                    </w:rPr>
                    <w:t>Otherwise, they should be included in the relevant unmeasured line.</w:t>
                  </w:r>
                </w:p>
                <w:p w14:paraId="50616409" w14:textId="29F6DE0F" w:rsidR="00F84825" w:rsidRPr="009A191E" w:rsidRDefault="00F84825" w:rsidP="000E5681">
                  <w:pPr>
                    <w:pStyle w:val="Bodyromannumerals"/>
                    <w:rPr>
                      <w:lang w:val="en-US"/>
                    </w:rPr>
                  </w:pPr>
                </w:p>
              </w:tc>
            </w:tr>
            <w:tr w:rsidR="008E147C" w:rsidRPr="009A191E" w14:paraId="4B1FB7E7" w14:textId="77777777" w:rsidTr="00A61C15">
              <w:tc>
                <w:tcPr>
                  <w:tcW w:w="2061" w:type="dxa"/>
                  <w:gridSpan w:val="2"/>
                  <w:tcBorders>
                    <w:top w:val="single" w:sz="4" w:space="0" w:color="FFFFFF" w:themeColor="background2"/>
                    <w:left w:val="single" w:sz="4" w:space="0" w:color="FFFFFF" w:themeColor="background2"/>
                    <w:bottom w:val="nil"/>
                    <w:right w:val="single" w:sz="4" w:space="0" w:color="FFFFFF" w:themeColor="background2"/>
                  </w:tcBorders>
                </w:tcPr>
                <w:p w14:paraId="2C58D4DA" w14:textId="77777777" w:rsidR="008E147C" w:rsidRPr="009A191E" w:rsidRDefault="008E147C" w:rsidP="000E5681">
                  <w:pPr>
                    <w:pStyle w:val="Bodyromannumerals"/>
                    <w:rPr>
                      <w:i/>
                      <w:lang w:val="en-US"/>
                    </w:rPr>
                  </w:pPr>
                  <w:r w:rsidRPr="009A191E">
                    <w:rPr>
                      <w:i/>
                      <w:lang w:val="en-US"/>
                    </w:rPr>
                    <w:lastRenderedPageBreak/>
                    <w:t>Processing Rules:</w:t>
                  </w:r>
                </w:p>
              </w:tc>
              <w:tc>
                <w:tcPr>
                  <w:tcW w:w="5384" w:type="dxa"/>
                  <w:gridSpan w:val="2"/>
                  <w:tcBorders>
                    <w:top w:val="single" w:sz="4" w:space="0" w:color="FFFFFF" w:themeColor="background2"/>
                    <w:left w:val="single" w:sz="4" w:space="0" w:color="FFFFFF" w:themeColor="background2"/>
                    <w:bottom w:val="nil"/>
                    <w:right w:val="single" w:sz="4" w:space="0" w:color="FFFFFF" w:themeColor="background2"/>
                  </w:tcBorders>
                </w:tcPr>
                <w:p w14:paraId="66EA71E1" w14:textId="77777777" w:rsidR="008E147C" w:rsidRPr="009A191E" w:rsidRDefault="008E147C" w:rsidP="000E5681">
                  <w:pPr>
                    <w:pStyle w:val="Bodyromannumerals"/>
                    <w:rPr>
                      <w:lang w:val="en-US"/>
                    </w:rPr>
                  </w:pPr>
                  <w:r w:rsidRPr="009A191E">
                    <w:rPr>
                      <w:lang w:val="en-US"/>
                    </w:rPr>
                    <w:t>Input field</w:t>
                  </w:r>
                </w:p>
              </w:tc>
            </w:tr>
          </w:tbl>
          <w:p w14:paraId="6A6BF574" w14:textId="50AC9929" w:rsidR="008E147C" w:rsidRPr="009A191E" w:rsidRDefault="008E147C" w:rsidP="00EA7E5D">
            <w:pPr>
              <w:pStyle w:val="Sectionsub-heading"/>
            </w:pPr>
            <w:r w:rsidRPr="009A191E">
              <w:t xml:space="preserve">BLOCK </w:t>
            </w:r>
            <w:r w:rsidR="00531058">
              <w:t>4</w:t>
            </w:r>
            <w:r w:rsidRPr="009A191E">
              <w:t>: UNMEASURED NON-</w:t>
            </w:r>
            <w:r w:rsidR="00BB5A05">
              <w:t>HOUSEHOLD</w:t>
            </w:r>
            <w:r w:rsidRPr="009A191E">
              <w:t xml:space="preserve"> </w:t>
            </w:r>
            <w:r w:rsidR="003C51EF" w:rsidRPr="009A191E">
              <w:t>–</w:t>
            </w:r>
            <w:r w:rsidRPr="009A191E">
              <w:t xml:space="preserve"> PROPERTIES</w:t>
            </w:r>
          </w:p>
          <w:tbl>
            <w:tblPr>
              <w:tblStyle w:val="TableGrid3"/>
              <w:tblW w:w="7445" w:type="dxa"/>
              <w:tblLook w:val="04A0" w:firstRow="1" w:lastRow="0" w:firstColumn="1" w:lastColumn="0" w:noHBand="0" w:noVBand="1"/>
            </w:tblPr>
            <w:tblGrid>
              <w:gridCol w:w="1200"/>
              <w:gridCol w:w="861"/>
              <w:gridCol w:w="4479"/>
              <w:gridCol w:w="905"/>
            </w:tblGrid>
            <w:tr w:rsidR="008E147C" w:rsidRPr="009A191E" w14:paraId="3ACFF31F" w14:textId="77777777" w:rsidTr="6D74F5D0">
              <w:tc>
                <w:tcPr>
                  <w:tcW w:w="1200" w:type="dxa"/>
                </w:tcPr>
                <w:p w14:paraId="6C15CF66" w14:textId="77777777" w:rsidR="008E147C" w:rsidRPr="00927ABE" w:rsidRDefault="008E147C" w:rsidP="00927ABE">
                  <w:pPr>
                    <w:pStyle w:val="Bodyromannumerals"/>
                    <w:rPr>
                      <w:b/>
                      <w:bCs/>
                      <w:lang w:val="en-US"/>
                    </w:rPr>
                  </w:pPr>
                  <w:r w:rsidRPr="00927ABE">
                    <w:rPr>
                      <w:b/>
                      <w:bCs/>
                      <w:lang w:val="en-US"/>
                    </w:rPr>
                    <w:t>A3b.43</w:t>
                  </w:r>
                </w:p>
              </w:tc>
              <w:tc>
                <w:tcPr>
                  <w:tcW w:w="5340" w:type="dxa"/>
                  <w:gridSpan w:val="2"/>
                </w:tcPr>
                <w:p w14:paraId="1BC26E2C" w14:textId="77777777" w:rsidR="008E147C" w:rsidRPr="00927ABE" w:rsidRDefault="008E147C" w:rsidP="00927ABE">
                  <w:pPr>
                    <w:pStyle w:val="Bodyromannumerals"/>
                    <w:rPr>
                      <w:b/>
                      <w:bCs/>
                      <w:lang w:val="en-US"/>
                    </w:rPr>
                  </w:pPr>
                  <w:r w:rsidRPr="00927ABE">
                    <w:rPr>
                      <w:b/>
                      <w:bCs/>
                      <w:lang w:val="en-US"/>
                    </w:rPr>
                    <w:t>Number of billed properties with no charges</w:t>
                  </w:r>
                </w:p>
              </w:tc>
              <w:tc>
                <w:tcPr>
                  <w:tcW w:w="905" w:type="dxa"/>
                </w:tcPr>
                <w:p w14:paraId="0D095A0A" w14:textId="77777777" w:rsidR="008E147C" w:rsidRPr="00927ABE" w:rsidRDefault="008E147C" w:rsidP="00927ABE">
                  <w:pPr>
                    <w:pStyle w:val="Bodyromannumerals"/>
                    <w:rPr>
                      <w:b/>
                      <w:bCs/>
                      <w:lang w:val="en-US"/>
                    </w:rPr>
                  </w:pPr>
                  <w:r w:rsidRPr="00927ABE">
                    <w:rPr>
                      <w:b/>
                      <w:bCs/>
                      <w:lang w:val="en-US"/>
                    </w:rPr>
                    <w:t>Nr.</w:t>
                  </w:r>
                </w:p>
              </w:tc>
            </w:tr>
            <w:tr w:rsidR="008E147C" w:rsidRPr="009A191E" w14:paraId="760D2B10" w14:textId="77777777" w:rsidTr="6D74F5D0">
              <w:tc>
                <w:tcPr>
                  <w:tcW w:w="2061" w:type="dxa"/>
                  <w:gridSpan w:val="2"/>
                  <w:tcBorders>
                    <w:left w:val="single" w:sz="4" w:space="0" w:color="FFFFFF" w:themeColor="background2"/>
                    <w:bottom w:val="single" w:sz="4" w:space="0" w:color="FFFFFF" w:themeColor="background2"/>
                    <w:right w:val="single" w:sz="4" w:space="0" w:color="FFFFFF" w:themeColor="background2"/>
                  </w:tcBorders>
                </w:tcPr>
                <w:p w14:paraId="56AEBCA9" w14:textId="77777777" w:rsidR="008E147C" w:rsidRPr="009A191E" w:rsidRDefault="008E147C" w:rsidP="00927ABE">
                  <w:pPr>
                    <w:pStyle w:val="Bodyromannumerals"/>
                    <w:rPr>
                      <w:lang w:val="en-US"/>
                    </w:rPr>
                  </w:pPr>
                  <w:r w:rsidRPr="009A191E">
                    <w:rPr>
                      <w:lang w:val="en-US"/>
                    </w:rPr>
                    <w:t>Definition:</w:t>
                  </w:r>
                </w:p>
              </w:tc>
              <w:tc>
                <w:tcPr>
                  <w:tcW w:w="5384" w:type="dxa"/>
                  <w:gridSpan w:val="2"/>
                  <w:tcBorders>
                    <w:left w:val="single" w:sz="4" w:space="0" w:color="FFFFFF" w:themeColor="background2"/>
                    <w:bottom w:val="single" w:sz="4" w:space="0" w:color="FFFFFF" w:themeColor="background2"/>
                    <w:right w:val="single" w:sz="4" w:space="0" w:color="FFFFFF" w:themeColor="background2"/>
                  </w:tcBorders>
                </w:tcPr>
                <w:p w14:paraId="0888756A" w14:textId="2D7C5862" w:rsidR="008E147C" w:rsidRPr="009A191E" w:rsidRDefault="008E147C" w:rsidP="00927ABE">
                  <w:pPr>
                    <w:pStyle w:val="Bodyromannumerals"/>
                    <w:rPr>
                      <w:lang w:val="en-US"/>
                    </w:rPr>
                  </w:pPr>
                  <w:r w:rsidRPr="009A191E">
                    <w:rPr>
                      <w:lang w:val="en-US"/>
                    </w:rPr>
                    <w:t>Number of billed unmeasured non-</w:t>
                  </w:r>
                  <w:r w:rsidR="00BB5A05">
                    <w:rPr>
                      <w:lang w:val="en-US"/>
                    </w:rPr>
                    <w:t>household</w:t>
                  </w:r>
                  <w:r w:rsidRPr="009A191E">
                    <w:rPr>
                      <w:lang w:val="en-US"/>
                    </w:rPr>
                    <w:t xml:space="preserve"> properties for stormwater where a service has been provided as at </w:t>
                  </w:r>
                  <w:r w:rsidR="00D97768">
                    <w:rPr>
                      <w:lang w:val="en-US"/>
                    </w:rPr>
                    <w:t>30 June</w:t>
                  </w:r>
                  <w:r w:rsidRPr="009A191E">
                    <w:rPr>
                      <w:lang w:val="en-US"/>
                    </w:rPr>
                    <w:t xml:space="preserve"> of the reporting year, but no charge has been </w:t>
                  </w:r>
                  <w:r w:rsidR="006B1580">
                    <w:rPr>
                      <w:lang w:val="en-US"/>
                    </w:rPr>
                    <w:t>paid</w:t>
                  </w:r>
                  <w:r w:rsidRPr="009A191E">
                    <w:rPr>
                      <w:lang w:val="en-US"/>
                    </w:rPr>
                    <w:t>.</w:t>
                  </w:r>
                </w:p>
              </w:tc>
            </w:tr>
            <w:tr w:rsidR="008E147C" w:rsidRPr="009A191E" w14:paraId="140144AF" w14:textId="77777777" w:rsidTr="6D74F5D0">
              <w:tc>
                <w:tcPr>
                  <w:tcW w:w="206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239F08F" w14:textId="77777777" w:rsidR="008E147C" w:rsidRPr="009A191E" w:rsidRDefault="008E147C" w:rsidP="00927ABE">
                  <w:pPr>
                    <w:pStyle w:val="Bodyromannumerals"/>
                    <w:rPr>
                      <w:lang w:val="en-US"/>
                    </w:rPr>
                  </w:pPr>
                  <w:r w:rsidRPr="009A191E">
                    <w:rPr>
                      <w:lang w:val="en-US"/>
                    </w:rPr>
                    <w:t>Processing Rules:</w:t>
                  </w:r>
                </w:p>
              </w:tc>
              <w:tc>
                <w:tcPr>
                  <w:tcW w:w="53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EC8C466" w14:textId="77777777" w:rsidR="008E147C" w:rsidRDefault="008E147C" w:rsidP="00927ABE">
                  <w:pPr>
                    <w:pStyle w:val="Bodyromannumerals"/>
                    <w:rPr>
                      <w:lang w:val="en-US"/>
                    </w:rPr>
                  </w:pPr>
                  <w:r w:rsidRPr="009A191E">
                    <w:rPr>
                      <w:lang w:val="en-US"/>
                    </w:rPr>
                    <w:t>Input field</w:t>
                  </w:r>
                </w:p>
                <w:p w14:paraId="33CE7F95" w14:textId="6A765379" w:rsidR="00871522" w:rsidRPr="009A191E" w:rsidRDefault="00871522" w:rsidP="00927ABE">
                  <w:pPr>
                    <w:pStyle w:val="Bodyromannumerals"/>
                    <w:rPr>
                      <w:lang w:val="en-US"/>
                    </w:rPr>
                  </w:pPr>
                </w:p>
              </w:tc>
            </w:tr>
            <w:tr w:rsidR="008E147C" w:rsidRPr="009A191E" w14:paraId="18F138A7" w14:textId="77777777" w:rsidTr="6D74F5D0">
              <w:tc>
                <w:tcPr>
                  <w:tcW w:w="1200" w:type="dxa"/>
                </w:tcPr>
                <w:p w14:paraId="0FB4A0FA" w14:textId="77777777" w:rsidR="008E147C" w:rsidRPr="00A30608" w:rsidRDefault="008E147C" w:rsidP="00927ABE">
                  <w:pPr>
                    <w:pStyle w:val="Bodyromannumerals"/>
                    <w:rPr>
                      <w:b/>
                      <w:bCs/>
                      <w:lang w:val="en-US"/>
                    </w:rPr>
                  </w:pPr>
                  <w:r w:rsidRPr="00A30608">
                    <w:rPr>
                      <w:b/>
                      <w:bCs/>
                      <w:lang w:val="en-US"/>
                    </w:rPr>
                    <w:t>A3b.44</w:t>
                  </w:r>
                </w:p>
              </w:tc>
              <w:tc>
                <w:tcPr>
                  <w:tcW w:w="5340" w:type="dxa"/>
                  <w:gridSpan w:val="2"/>
                </w:tcPr>
                <w:p w14:paraId="1F906187" w14:textId="77777777" w:rsidR="008E147C" w:rsidRPr="00A30608" w:rsidRDefault="008E147C" w:rsidP="00927ABE">
                  <w:pPr>
                    <w:pStyle w:val="Bodyromannumerals"/>
                    <w:rPr>
                      <w:b/>
                      <w:bCs/>
                      <w:lang w:val="en-US"/>
                    </w:rPr>
                  </w:pPr>
                  <w:r w:rsidRPr="00A30608">
                    <w:rPr>
                      <w:b/>
                      <w:bCs/>
                      <w:lang w:val="en-US"/>
                    </w:rPr>
                    <w:t>Total number of billed properties</w:t>
                  </w:r>
                </w:p>
              </w:tc>
              <w:tc>
                <w:tcPr>
                  <w:tcW w:w="905" w:type="dxa"/>
                </w:tcPr>
                <w:p w14:paraId="00FA2F32" w14:textId="77777777" w:rsidR="008E147C" w:rsidRPr="00A30608" w:rsidRDefault="008E147C" w:rsidP="00927ABE">
                  <w:pPr>
                    <w:pStyle w:val="Bodyromannumerals"/>
                    <w:rPr>
                      <w:b/>
                      <w:bCs/>
                      <w:lang w:val="en-US"/>
                    </w:rPr>
                  </w:pPr>
                  <w:r w:rsidRPr="00A30608">
                    <w:rPr>
                      <w:b/>
                      <w:bCs/>
                      <w:lang w:val="en-US"/>
                    </w:rPr>
                    <w:t>Nr.</w:t>
                  </w:r>
                </w:p>
              </w:tc>
            </w:tr>
            <w:tr w:rsidR="008E147C" w:rsidRPr="009A191E" w14:paraId="05B6CEA0" w14:textId="77777777" w:rsidTr="6D74F5D0">
              <w:tc>
                <w:tcPr>
                  <w:tcW w:w="2061" w:type="dxa"/>
                  <w:gridSpan w:val="2"/>
                  <w:tcBorders>
                    <w:left w:val="single" w:sz="4" w:space="0" w:color="FFFFFF" w:themeColor="background2"/>
                    <w:bottom w:val="single" w:sz="4" w:space="0" w:color="FFFFFF" w:themeColor="background2"/>
                    <w:right w:val="single" w:sz="4" w:space="0" w:color="FFFFFF" w:themeColor="background2"/>
                  </w:tcBorders>
                </w:tcPr>
                <w:p w14:paraId="79172DF1" w14:textId="77777777" w:rsidR="008E147C" w:rsidRPr="009A191E" w:rsidRDefault="008E147C" w:rsidP="00927ABE">
                  <w:pPr>
                    <w:pStyle w:val="Bodyromannumerals"/>
                    <w:rPr>
                      <w:lang w:val="en-US"/>
                    </w:rPr>
                  </w:pPr>
                  <w:r w:rsidRPr="009A191E">
                    <w:rPr>
                      <w:lang w:val="en-US"/>
                    </w:rPr>
                    <w:t>Definition:</w:t>
                  </w:r>
                </w:p>
              </w:tc>
              <w:tc>
                <w:tcPr>
                  <w:tcW w:w="5384" w:type="dxa"/>
                  <w:gridSpan w:val="2"/>
                  <w:tcBorders>
                    <w:left w:val="single" w:sz="4" w:space="0" w:color="FFFFFF" w:themeColor="background2"/>
                    <w:bottom w:val="single" w:sz="4" w:space="0" w:color="FFFFFF" w:themeColor="background2"/>
                    <w:right w:val="single" w:sz="4" w:space="0" w:color="FFFFFF" w:themeColor="background2"/>
                  </w:tcBorders>
                </w:tcPr>
                <w:p w14:paraId="094A62A3" w14:textId="16576485" w:rsidR="008E147C" w:rsidRPr="009A191E" w:rsidRDefault="008E147C" w:rsidP="00927ABE">
                  <w:pPr>
                    <w:pStyle w:val="Bodyromannumerals"/>
                    <w:rPr>
                      <w:lang w:val="en-US"/>
                    </w:rPr>
                  </w:pPr>
                  <w:r w:rsidRPr="009A191E">
                    <w:rPr>
                      <w:lang w:val="en-US"/>
                    </w:rPr>
                    <w:t>Number of billed unmeasured non-</w:t>
                  </w:r>
                  <w:r w:rsidR="00BB5A05">
                    <w:rPr>
                      <w:lang w:val="en-US"/>
                    </w:rPr>
                    <w:t>household</w:t>
                  </w:r>
                  <w:r w:rsidRPr="009A191E">
                    <w:rPr>
                      <w:lang w:val="en-US"/>
                    </w:rPr>
                    <w:t xml:space="preserve"> properties for stormwater as at </w:t>
                  </w:r>
                  <w:r w:rsidR="00D97768">
                    <w:rPr>
                      <w:lang w:val="en-US"/>
                    </w:rPr>
                    <w:t>30 June</w:t>
                  </w:r>
                  <w:r w:rsidRPr="009A191E">
                    <w:rPr>
                      <w:lang w:val="en-US"/>
                    </w:rPr>
                    <w:t xml:space="preserve"> of the reporting year.</w:t>
                  </w:r>
                </w:p>
              </w:tc>
            </w:tr>
            <w:tr w:rsidR="008E147C" w:rsidRPr="009A191E" w14:paraId="4DC77EFE" w14:textId="77777777" w:rsidTr="6D74F5D0">
              <w:tc>
                <w:tcPr>
                  <w:tcW w:w="206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1218792" w14:textId="77777777" w:rsidR="008E147C" w:rsidRPr="009A191E" w:rsidRDefault="008E147C" w:rsidP="00927ABE">
                  <w:pPr>
                    <w:pStyle w:val="Bodyromannumerals"/>
                    <w:rPr>
                      <w:lang w:val="en-US"/>
                    </w:rPr>
                  </w:pPr>
                  <w:r w:rsidRPr="009A191E">
                    <w:rPr>
                      <w:lang w:val="en-US"/>
                    </w:rPr>
                    <w:t>Processing Rules:</w:t>
                  </w:r>
                </w:p>
              </w:tc>
              <w:tc>
                <w:tcPr>
                  <w:tcW w:w="53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E5AD5C4" w14:textId="77777777" w:rsidR="008E147C" w:rsidRPr="009A191E" w:rsidRDefault="008E147C" w:rsidP="00927ABE">
                  <w:pPr>
                    <w:pStyle w:val="Bodyromannumerals"/>
                    <w:rPr>
                      <w:lang w:val="en-US"/>
                    </w:rPr>
                  </w:pPr>
                  <w:r w:rsidRPr="009A191E">
                    <w:rPr>
                      <w:lang w:val="en-US"/>
                    </w:rPr>
                    <w:t>Input field</w:t>
                  </w:r>
                </w:p>
              </w:tc>
            </w:tr>
          </w:tbl>
          <w:p w14:paraId="6535455F" w14:textId="7B6088D9" w:rsidR="008E147C" w:rsidRPr="009A191E" w:rsidRDefault="008E147C" w:rsidP="00B22EAA">
            <w:pPr>
              <w:pStyle w:val="Sectionsub-heading"/>
            </w:pPr>
            <w:r w:rsidRPr="009A191E">
              <w:t xml:space="preserve">BLOCK </w:t>
            </w:r>
            <w:r w:rsidR="00531058">
              <w:t>5</w:t>
            </w:r>
            <w:r w:rsidRPr="009A191E">
              <w:t>: SUMMARY – POPULATION</w:t>
            </w:r>
          </w:p>
          <w:tbl>
            <w:tblPr>
              <w:tblStyle w:val="TableGrid3"/>
              <w:tblW w:w="7445" w:type="dxa"/>
              <w:tblLook w:val="04A0" w:firstRow="1" w:lastRow="0" w:firstColumn="1" w:lastColumn="0" w:noHBand="0" w:noVBand="1"/>
            </w:tblPr>
            <w:tblGrid>
              <w:gridCol w:w="1200"/>
              <w:gridCol w:w="863"/>
              <w:gridCol w:w="4245"/>
              <w:gridCol w:w="1137"/>
            </w:tblGrid>
            <w:tr w:rsidR="008E147C" w:rsidRPr="009A191E" w14:paraId="450F0216" w14:textId="77777777" w:rsidTr="5B5A4BE9">
              <w:tc>
                <w:tcPr>
                  <w:tcW w:w="1200" w:type="dxa"/>
                </w:tcPr>
                <w:p w14:paraId="440021C4" w14:textId="77777777" w:rsidR="008E147C" w:rsidRPr="003212C0" w:rsidRDefault="008E147C" w:rsidP="003212C0">
                  <w:pPr>
                    <w:pStyle w:val="Bodyromannumerals"/>
                    <w:rPr>
                      <w:b/>
                      <w:bCs/>
                      <w:lang w:val="en-US"/>
                    </w:rPr>
                  </w:pPr>
                  <w:r w:rsidRPr="003212C0">
                    <w:rPr>
                      <w:b/>
                      <w:bCs/>
                      <w:lang w:val="en-US"/>
                    </w:rPr>
                    <w:t>A3b.55</w:t>
                  </w:r>
                </w:p>
              </w:tc>
              <w:tc>
                <w:tcPr>
                  <w:tcW w:w="5108" w:type="dxa"/>
                  <w:gridSpan w:val="2"/>
                </w:tcPr>
                <w:p w14:paraId="541C3238" w14:textId="63C44EB7" w:rsidR="008E147C" w:rsidRPr="003212C0" w:rsidRDefault="008E147C" w:rsidP="003212C0">
                  <w:pPr>
                    <w:pStyle w:val="Bodyromannumerals"/>
                    <w:rPr>
                      <w:b/>
                      <w:bCs/>
                      <w:lang w:val="en-US"/>
                    </w:rPr>
                  </w:pPr>
                  <w:r w:rsidRPr="003212C0">
                    <w:rPr>
                      <w:b/>
                      <w:bCs/>
                      <w:lang w:val="en-US"/>
                    </w:rPr>
                    <w:t xml:space="preserve">Population connected to </w:t>
                  </w:r>
                  <w:r w:rsidR="00832BC2">
                    <w:rPr>
                      <w:b/>
                      <w:bCs/>
                      <w:lang w:val="en-US"/>
                    </w:rPr>
                    <w:t xml:space="preserve">stormwater </w:t>
                  </w:r>
                  <w:r w:rsidRPr="003212C0">
                    <w:rPr>
                      <w:b/>
                      <w:bCs/>
                      <w:lang w:val="en-US"/>
                    </w:rPr>
                    <w:t>service</w:t>
                  </w:r>
                  <w:r w:rsidR="00832BC2">
                    <w:rPr>
                      <w:b/>
                      <w:bCs/>
                      <w:lang w:val="en-US"/>
                    </w:rPr>
                    <w:t>s</w:t>
                  </w:r>
                </w:p>
              </w:tc>
              <w:tc>
                <w:tcPr>
                  <w:tcW w:w="1137" w:type="dxa"/>
                </w:tcPr>
                <w:p w14:paraId="58BF7C43" w14:textId="77777777" w:rsidR="008E147C" w:rsidRPr="003212C0" w:rsidRDefault="008E147C" w:rsidP="003212C0">
                  <w:pPr>
                    <w:pStyle w:val="Bodyromannumerals"/>
                    <w:rPr>
                      <w:b/>
                      <w:bCs/>
                      <w:lang w:val="en-US"/>
                    </w:rPr>
                  </w:pPr>
                  <w:r w:rsidRPr="003212C0">
                    <w:rPr>
                      <w:b/>
                      <w:bCs/>
                      <w:lang w:val="en-US"/>
                    </w:rPr>
                    <w:t>000 (2dp)</w:t>
                  </w:r>
                </w:p>
              </w:tc>
            </w:tr>
            <w:tr w:rsidR="008E147C" w:rsidRPr="009A191E" w14:paraId="0D44BCF7" w14:textId="77777777" w:rsidTr="5B5A4BE9">
              <w:tc>
                <w:tcPr>
                  <w:tcW w:w="2063" w:type="dxa"/>
                  <w:gridSpan w:val="2"/>
                  <w:tcBorders>
                    <w:left w:val="single" w:sz="4" w:space="0" w:color="FFFFFF" w:themeColor="background2"/>
                    <w:bottom w:val="single" w:sz="4" w:space="0" w:color="FFFFFF" w:themeColor="background2"/>
                    <w:right w:val="single" w:sz="4" w:space="0" w:color="FFFFFF" w:themeColor="background2"/>
                  </w:tcBorders>
                </w:tcPr>
                <w:p w14:paraId="6BCFE779" w14:textId="77777777" w:rsidR="008E147C" w:rsidRPr="009A191E" w:rsidRDefault="008E147C" w:rsidP="003212C0">
                  <w:pPr>
                    <w:pStyle w:val="Bodyromannumerals"/>
                    <w:rPr>
                      <w:i/>
                      <w:lang w:val="en-US"/>
                    </w:rPr>
                  </w:pPr>
                  <w:r w:rsidRPr="009A191E">
                    <w:rPr>
                      <w:i/>
                      <w:lang w:val="en-US"/>
                    </w:rPr>
                    <w:t>Definition:</w:t>
                  </w:r>
                </w:p>
              </w:tc>
              <w:tc>
                <w:tcPr>
                  <w:tcW w:w="5382" w:type="dxa"/>
                  <w:gridSpan w:val="2"/>
                  <w:tcBorders>
                    <w:left w:val="single" w:sz="4" w:space="0" w:color="FFFFFF" w:themeColor="background2"/>
                    <w:bottom w:val="single" w:sz="4" w:space="0" w:color="FFFFFF" w:themeColor="background2"/>
                    <w:right w:val="single" w:sz="4" w:space="0" w:color="FFFFFF" w:themeColor="background2"/>
                  </w:tcBorders>
                </w:tcPr>
                <w:p w14:paraId="4299D384" w14:textId="31B80FA5" w:rsidR="004E2C2E" w:rsidRPr="009A191E" w:rsidRDefault="008E147C" w:rsidP="004E2C2E">
                  <w:pPr>
                    <w:pStyle w:val="Bodyromannumerals"/>
                    <w:rPr>
                      <w:lang w:val="en-US"/>
                    </w:rPr>
                  </w:pPr>
                  <w:r w:rsidRPr="009A191E">
                    <w:rPr>
                      <w:lang w:val="en-US"/>
                    </w:rPr>
                    <w:t>Total winter population connected to the stormwater service</w:t>
                  </w:r>
                  <w:r w:rsidR="00832BC2">
                    <w:rPr>
                      <w:lang w:val="en-US"/>
                    </w:rPr>
                    <w:t xml:space="preserve"> at the financial year end (30 June)</w:t>
                  </w:r>
                  <w:r w:rsidRPr="009A191E">
                    <w:rPr>
                      <w:lang w:val="en-US"/>
                    </w:rPr>
                    <w:t>.</w:t>
                  </w:r>
                  <w:r w:rsidR="004E2C2E">
                    <w:rPr>
                      <w:lang w:val="en-US"/>
                    </w:rPr>
                    <w:t xml:space="preserve"> This should include billed customers </w:t>
                  </w:r>
                  <w:r w:rsidR="00F90077">
                    <w:rPr>
                      <w:lang w:val="en-US"/>
                    </w:rPr>
                    <w:t>which receive a</w:t>
                  </w:r>
                  <w:r w:rsidR="004E2C2E">
                    <w:rPr>
                      <w:lang w:val="en-US"/>
                    </w:rPr>
                    <w:t xml:space="preserve"> stormwater</w:t>
                  </w:r>
                  <w:r w:rsidR="00F90077">
                    <w:rPr>
                      <w:lang w:val="en-US"/>
                    </w:rPr>
                    <w:t xml:space="preserve"> service</w:t>
                  </w:r>
                  <w:r w:rsidR="004E2C2E">
                    <w:rPr>
                      <w:lang w:val="en-US"/>
                    </w:rPr>
                    <w:t>.</w:t>
                  </w:r>
                </w:p>
                <w:p w14:paraId="21EFF2DD" w14:textId="26151C8B" w:rsidR="008E147C" w:rsidRPr="009A191E" w:rsidRDefault="004E2C2E" w:rsidP="004E2C2E">
                  <w:pPr>
                    <w:pStyle w:val="Bodyromannumerals"/>
                    <w:rPr>
                      <w:lang w:val="en-US"/>
                    </w:rPr>
                  </w:pPr>
                  <w:r>
                    <w:rPr>
                      <w:lang w:val="en-US"/>
                    </w:rPr>
                    <w:t>Please provide commentary on how the</w:t>
                  </w:r>
                  <w:r w:rsidR="005F2AA6">
                    <w:rPr>
                      <w:lang w:val="en-US"/>
                    </w:rPr>
                    <w:t xml:space="preserve"> </w:t>
                  </w:r>
                  <w:r>
                    <w:rPr>
                      <w:lang w:val="en-US"/>
                    </w:rPr>
                    <w:t>population has been estimated.</w:t>
                  </w:r>
                </w:p>
              </w:tc>
            </w:tr>
            <w:tr w:rsidR="008E147C" w:rsidRPr="009A191E" w14:paraId="65B341A7" w14:textId="77777777" w:rsidTr="5B5A4BE9">
              <w:tc>
                <w:tcPr>
                  <w:tcW w:w="206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111F772" w14:textId="77777777" w:rsidR="008E147C" w:rsidRPr="009A191E" w:rsidRDefault="008E147C" w:rsidP="003212C0">
                  <w:pPr>
                    <w:pStyle w:val="Bodyromannumerals"/>
                    <w:rPr>
                      <w:i/>
                      <w:lang w:val="en-US"/>
                    </w:rPr>
                  </w:pPr>
                  <w:r w:rsidRPr="009A191E">
                    <w:rPr>
                      <w:i/>
                      <w:lang w:val="en-US"/>
                    </w:rPr>
                    <w:t>Processing Rules:</w:t>
                  </w:r>
                </w:p>
              </w:tc>
              <w:tc>
                <w:tcPr>
                  <w:tcW w:w="538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94E8E3B" w14:textId="77777777" w:rsidR="008E147C" w:rsidRPr="009A191E" w:rsidRDefault="008E147C" w:rsidP="003212C0">
                  <w:pPr>
                    <w:pStyle w:val="Bodyromannumerals"/>
                    <w:rPr>
                      <w:lang w:val="en-US"/>
                    </w:rPr>
                  </w:pPr>
                  <w:r w:rsidRPr="009A191E">
                    <w:rPr>
                      <w:lang w:val="en-US"/>
                    </w:rPr>
                    <w:t>Input field</w:t>
                  </w:r>
                </w:p>
              </w:tc>
            </w:tr>
          </w:tbl>
          <w:p w14:paraId="5262A294" w14:textId="77777777" w:rsidR="008E147C" w:rsidRPr="009A191E" w:rsidRDefault="008E147C" w:rsidP="00EE66BC">
            <w:pPr>
              <w:spacing w:after="160"/>
              <w:rPr>
                <w:rFonts w:eastAsia="Calibri"/>
                <w:color w:val="000000" w:themeColor="text1"/>
                <w:lang w:val="en-US"/>
              </w:rPr>
            </w:pPr>
          </w:p>
        </w:tc>
      </w:tr>
    </w:tbl>
    <w:p w14:paraId="16DC831D" w14:textId="77777777" w:rsidR="00BD7EB3" w:rsidRDefault="00BD7EB3" w:rsidP="003212C0">
      <w:pPr>
        <w:pStyle w:val="Title1"/>
        <w:rPr>
          <w:lang w:val="en-GB"/>
        </w:rPr>
      </w:pPr>
      <w:r>
        <w:rPr>
          <w:lang w:val="en-GB"/>
        </w:rPr>
        <w:lastRenderedPageBreak/>
        <w:br w:type="page"/>
      </w:r>
    </w:p>
    <w:p w14:paraId="0A7F7723" w14:textId="37536F2B" w:rsidR="008E147C" w:rsidRPr="00556113" w:rsidRDefault="008E147C" w:rsidP="003212C0">
      <w:pPr>
        <w:pStyle w:val="Title1"/>
        <w:rPr>
          <w:lang w:val="en-GB"/>
        </w:rPr>
      </w:pPr>
      <w:r w:rsidRPr="009A191E">
        <w:rPr>
          <w:lang w:val="en-GB"/>
        </w:rPr>
        <w:lastRenderedPageBreak/>
        <w:t xml:space="preserve">TABLE A4 – </w:t>
      </w:r>
      <w:r w:rsidR="002E6A73">
        <w:rPr>
          <w:lang w:val="en-GB"/>
        </w:rPr>
        <w:t>WASTEWATER</w:t>
      </w:r>
      <w:r w:rsidRPr="009A191E">
        <w:rPr>
          <w:lang w:val="en-GB"/>
        </w:rPr>
        <w:t xml:space="preserve"> VOLUMES AND LOADING</w:t>
      </w:r>
    </w:p>
    <w:p w14:paraId="570A337C" w14:textId="782690E1" w:rsidR="008E147C" w:rsidRPr="009A191E" w:rsidRDefault="002E6A73" w:rsidP="003212C0">
      <w:pPr>
        <w:pStyle w:val="Sectionsub-heading"/>
        <w:rPr>
          <w:lang w:val="en-GB"/>
        </w:rPr>
      </w:pPr>
      <w:r>
        <w:rPr>
          <w:lang w:val="en-GB"/>
        </w:rPr>
        <w:t>Wastewater</w:t>
      </w:r>
      <w:r w:rsidR="008E147C" w:rsidRPr="009A191E">
        <w:rPr>
          <w:lang w:val="en-GB"/>
        </w:rPr>
        <w:t xml:space="preserve"> </w:t>
      </w:r>
      <w:r w:rsidR="0019774B">
        <w:rPr>
          <w:lang w:val="en-GB"/>
        </w:rPr>
        <w:t>v</w:t>
      </w:r>
      <w:r w:rsidR="008E147C" w:rsidRPr="009A191E">
        <w:rPr>
          <w:lang w:val="en-GB"/>
        </w:rPr>
        <w:t>olumes</w:t>
      </w:r>
    </w:p>
    <w:p w14:paraId="3D65F79C" w14:textId="19C4A850" w:rsidR="008E147C" w:rsidRPr="00070F38" w:rsidRDefault="008E147C" w:rsidP="000B5EDE">
      <w:pPr>
        <w:pStyle w:val="Bodynumbercopy"/>
        <w:numPr>
          <w:ilvl w:val="0"/>
          <w:numId w:val="37"/>
        </w:numPr>
        <w:rPr>
          <w:lang w:val="en-GB"/>
        </w:rPr>
      </w:pPr>
      <w:r w:rsidRPr="00070F38">
        <w:rPr>
          <w:lang w:val="en-GB"/>
        </w:rPr>
        <w:t xml:space="preserve">This records the </w:t>
      </w:r>
      <w:r w:rsidR="00C16ADF" w:rsidRPr="00070F38">
        <w:rPr>
          <w:lang w:val="en-GB"/>
        </w:rPr>
        <w:t xml:space="preserve">wastewater </w:t>
      </w:r>
      <w:r w:rsidRPr="00070F38">
        <w:rPr>
          <w:lang w:val="en-GB"/>
        </w:rPr>
        <w:t xml:space="preserve">volumes collected from measured and unmeasured </w:t>
      </w:r>
      <w:r w:rsidR="00BB5A05" w:rsidRPr="00070F38">
        <w:rPr>
          <w:lang w:val="en-GB"/>
        </w:rPr>
        <w:t>household</w:t>
      </w:r>
      <w:r w:rsidRPr="00070F38">
        <w:rPr>
          <w:lang w:val="en-GB"/>
        </w:rPr>
        <w:t xml:space="preserve"> properties and non-</w:t>
      </w:r>
      <w:r w:rsidR="00BB5A05" w:rsidRPr="00070F38">
        <w:rPr>
          <w:lang w:val="en-GB"/>
        </w:rPr>
        <w:t>household</w:t>
      </w:r>
      <w:r w:rsidRPr="00070F38">
        <w:rPr>
          <w:lang w:val="en-GB"/>
        </w:rPr>
        <w:t xml:space="preserve"> properties, together with the volumes of </w:t>
      </w:r>
      <w:proofErr w:type="spellStart"/>
      <w:r w:rsidRPr="00070F38">
        <w:rPr>
          <w:lang w:val="en-GB"/>
        </w:rPr>
        <w:t>trade</w:t>
      </w:r>
      <w:r w:rsidR="002E6A73" w:rsidRPr="00070F38">
        <w:rPr>
          <w:lang w:val="en-GB"/>
        </w:rPr>
        <w:t>waste</w:t>
      </w:r>
      <w:proofErr w:type="spellEnd"/>
      <w:r w:rsidRPr="00070F38">
        <w:rPr>
          <w:lang w:val="en-GB"/>
        </w:rPr>
        <w:t>, and septic tank waste.</w:t>
      </w:r>
    </w:p>
    <w:p w14:paraId="0BD8F42A" w14:textId="5A858EC3" w:rsidR="008E147C" w:rsidRPr="00B03104" w:rsidRDefault="002E6A73" w:rsidP="00871522">
      <w:pPr>
        <w:pStyle w:val="Bodynumbercopy"/>
        <w:rPr>
          <w:lang w:val="en-GB"/>
        </w:rPr>
      </w:pPr>
      <w:r>
        <w:rPr>
          <w:lang w:val="en-GB"/>
        </w:rPr>
        <w:t>Wastewater</w:t>
      </w:r>
      <w:r w:rsidR="008E147C" w:rsidRPr="00B03104">
        <w:rPr>
          <w:lang w:val="en-GB"/>
        </w:rPr>
        <w:t xml:space="preserve"> collected is considered to be the most appropriate output measure of quantity for the wastewater service. </w:t>
      </w:r>
    </w:p>
    <w:p w14:paraId="53558C14" w14:textId="2E8161DE" w:rsidR="00693C82" w:rsidRPr="00693C82" w:rsidRDefault="00693C82" w:rsidP="000B5EDE">
      <w:pPr>
        <w:pStyle w:val="Bodynumbercopy"/>
        <w:rPr>
          <w:lang w:val="en-GB"/>
        </w:rPr>
      </w:pPr>
      <w:r w:rsidRPr="00693C82">
        <w:rPr>
          <w:lang w:val="en-GB"/>
        </w:rPr>
        <w:t xml:space="preserve">As clarified at the DIA clinic held on 3 November, Local Authorities should </w:t>
      </w:r>
      <w:r w:rsidR="00EF3A60">
        <w:rPr>
          <w:lang w:val="en-GB"/>
        </w:rPr>
        <w:t>include</w:t>
      </w:r>
      <w:r w:rsidR="00EF3A60" w:rsidRPr="00693C82">
        <w:rPr>
          <w:lang w:val="en-GB"/>
        </w:rPr>
        <w:t xml:space="preserve"> </w:t>
      </w:r>
      <w:r>
        <w:rPr>
          <w:lang w:val="en-GB"/>
        </w:rPr>
        <w:t>waste</w:t>
      </w:r>
      <w:r w:rsidRPr="00693C82">
        <w:rPr>
          <w:lang w:val="en-GB"/>
        </w:rPr>
        <w:t xml:space="preserve">water </w:t>
      </w:r>
      <w:r>
        <w:rPr>
          <w:lang w:val="en-GB"/>
        </w:rPr>
        <w:t>received from</w:t>
      </w:r>
      <w:r w:rsidRPr="00693C82">
        <w:rPr>
          <w:lang w:val="en-GB"/>
        </w:rPr>
        <w:t xml:space="preserve"> household and non-household properties that receive a stock water supply</w:t>
      </w:r>
      <w:r w:rsidR="007B5639">
        <w:rPr>
          <w:lang w:val="en-GB"/>
        </w:rPr>
        <w:t xml:space="preserve"> when reporting volumes/loads in the relevant lines in the table</w:t>
      </w:r>
      <w:r w:rsidRPr="00693C82">
        <w:rPr>
          <w:lang w:val="en-GB"/>
        </w:rPr>
        <w:t xml:space="preserve">. If the stock water supply is completely discrete, then this should </w:t>
      </w:r>
      <w:r>
        <w:rPr>
          <w:lang w:val="en-GB"/>
        </w:rPr>
        <w:t>not be includ</w:t>
      </w:r>
      <w:r w:rsidR="00BA3584">
        <w:rPr>
          <w:lang w:val="en-GB"/>
        </w:rPr>
        <w:t>ed</w:t>
      </w:r>
      <w:r w:rsidRPr="00693C82">
        <w:rPr>
          <w:lang w:val="en-GB"/>
        </w:rPr>
        <w:t>.</w:t>
      </w:r>
    </w:p>
    <w:p w14:paraId="021DC7B9" w14:textId="77777777" w:rsidR="00F1159A" w:rsidRPr="00B03104" w:rsidRDefault="00F1159A" w:rsidP="000B5EDE">
      <w:pPr>
        <w:pStyle w:val="Bodynumbercopy"/>
        <w:numPr>
          <w:ilvl w:val="0"/>
          <w:numId w:val="0"/>
        </w:numPr>
        <w:ind w:left="1554"/>
        <w:rPr>
          <w:lang w:val="en-GB"/>
        </w:rPr>
      </w:pPr>
    </w:p>
    <w:p w14:paraId="1D1BB698" w14:textId="64730F62" w:rsidR="008E147C" w:rsidRPr="009A191E" w:rsidRDefault="002E6A73" w:rsidP="003212C0">
      <w:pPr>
        <w:pStyle w:val="Sectionsub-heading"/>
        <w:rPr>
          <w:lang w:val="en-GB"/>
        </w:rPr>
      </w:pPr>
      <w:r>
        <w:rPr>
          <w:lang w:val="en-GB"/>
        </w:rPr>
        <w:t>Wastewater</w:t>
      </w:r>
      <w:r w:rsidR="008E147C" w:rsidRPr="009A191E">
        <w:rPr>
          <w:lang w:val="en-GB"/>
        </w:rPr>
        <w:t xml:space="preserve"> – </w:t>
      </w:r>
      <w:r w:rsidR="0019774B">
        <w:rPr>
          <w:lang w:val="en-GB"/>
        </w:rPr>
        <w:t>l</w:t>
      </w:r>
      <w:r w:rsidR="008E147C" w:rsidRPr="009A191E">
        <w:rPr>
          <w:lang w:val="en-GB"/>
        </w:rPr>
        <w:t>oads</w:t>
      </w:r>
    </w:p>
    <w:p w14:paraId="4B3895B2" w14:textId="7E887302" w:rsidR="008E147C" w:rsidRPr="009A191E" w:rsidRDefault="008E147C" w:rsidP="003212C0">
      <w:pPr>
        <w:pStyle w:val="Bodynumbercopy"/>
        <w:rPr>
          <w:lang w:val="en-GB"/>
        </w:rPr>
      </w:pPr>
      <w:r w:rsidRPr="2C985F9B">
        <w:rPr>
          <w:lang w:val="en-GB"/>
        </w:rPr>
        <w:t xml:space="preserve">This part of the </w:t>
      </w:r>
      <w:r w:rsidR="0019774B" w:rsidRPr="2C985F9B">
        <w:rPr>
          <w:lang w:val="en-GB"/>
        </w:rPr>
        <w:t>t</w:t>
      </w:r>
      <w:r w:rsidRPr="2C985F9B">
        <w:rPr>
          <w:lang w:val="en-GB"/>
        </w:rPr>
        <w:t xml:space="preserve">able includes a breakdown of the pollution loads arising from the domestic population, </w:t>
      </w:r>
      <w:proofErr w:type="spellStart"/>
      <w:r w:rsidRPr="2C985F9B">
        <w:rPr>
          <w:lang w:val="en-GB"/>
        </w:rPr>
        <w:t>trade</w:t>
      </w:r>
      <w:r w:rsidR="002E6A73">
        <w:rPr>
          <w:lang w:val="en-GB"/>
        </w:rPr>
        <w:t>waste</w:t>
      </w:r>
      <w:proofErr w:type="spellEnd"/>
      <w:r w:rsidRPr="2C985F9B">
        <w:rPr>
          <w:lang w:val="en-GB"/>
        </w:rPr>
        <w:t xml:space="preserve"> and </w:t>
      </w:r>
      <w:proofErr w:type="spellStart"/>
      <w:r w:rsidRPr="2C985F9B">
        <w:rPr>
          <w:lang w:val="en-GB"/>
        </w:rPr>
        <w:t>tankered</w:t>
      </w:r>
      <w:proofErr w:type="spellEnd"/>
      <w:r w:rsidRPr="2C985F9B">
        <w:rPr>
          <w:lang w:val="en-GB"/>
        </w:rPr>
        <w:t xml:space="preserve"> (i.e. septic tank and industrial liquid waste) loads being treated by the </w:t>
      </w:r>
      <w:r w:rsidR="002E6A73">
        <w:rPr>
          <w:lang w:val="en-GB"/>
        </w:rPr>
        <w:t>Local</w:t>
      </w:r>
      <w:r w:rsidR="00B47509" w:rsidRPr="2C985F9B">
        <w:rPr>
          <w:lang w:val="en-GB"/>
        </w:rPr>
        <w:t xml:space="preserve"> Authority</w:t>
      </w:r>
      <w:r w:rsidRPr="2C985F9B">
        <w:rPr>
          <w:lang w:val="en-GB"/>
        </w:rPr>
        <w:t xml:space="preserve">. Treatment types are defined in </w:t>
      </w:r>
      <w:r w:rsidR="007A07A4" w:rsidRPr="2C985F9B">
        <w:rPr>
          <w:lang w:val="en-GB"/>
        </w:rPr>
        <w:t>T</w:t>
      </w:r>
      <w:r w:rsidRPr="2C985F9B">
        <w:rPr>
          <w:lang w:val="en-GB"/>
        </w:rPr>
        <w:t xml:space="preserve">able </w:t>
      </w:r>
      <w:r w:rsidR="005F770C" w:rsidRPr="2C985F9B">
        <w:rPr>
          <w:lang w:val="en-GB"/>
        </w:rPr>
        <w:t>E8</w:t>
      </w:r>
      <w:r w:rsidRPr="2C985F9B">
        <w:rPr>
          <w:lang w:val="en-GB"/>
        </w:rPr>
        <w:t>.</w:t>
      </w:r>
    </w:p>
    <w:p w14:paraId="54D3BB82" w14:textId="0C936494" w:rsidR="008E147C" w:rsidRPr="009A191E" w:rsidRDefault="002E6A73" w:rsidP="003212C0">
      <w:pPr>
        <w:pStyle w:val="Sectionsub-heading"/>
        <w:rPr>
          <w:lang w:val="en-GB"/>
        </w:rPr>
      </w:pPr>
      <w:r>
        <w:rPr>
          <w:lang w:val="en-GB"/>
        </w:rPr>
        <w:t>Wastewater</w:t>
      </w:r>
      <w:r w:rsidR="008E147C" w:rsidRPr="009A191E">
        <w:rPr>
          <w:lang w:val="en-GB"/>
        </w:rPr>
        <w:t xml:space="preserve"> – </w:t>
      </w:r>
      <w:r w:rsidR="0019774B">
        <w:rPr>
          <w:lang w:val="en-GB"/>
        </w:rPr>
        <w:t>f</w:t>
      </w:r>
      <w:r w:rsidR="008E147C" w:rsidRPr="009A191E">
        <w:rPr>
          <w:lang w:val="en-GB"/>
        </w:rPr>
        <w:t>acilities</w:t>
      </w:r>
    </w:p>
    <w:p w14:paraId="370E6F8C" w14:textId="02137B9C" w:rsidR="004F2C38" w:rsidRPr="004F2C38" w:rsidRDefault="008E147C" w:rsidP="004F2C38">
      <w:pPr>
        <w:pStyle w:val="Bodynumbercopy"/>
        <w:rPr>
          <w:lang w:val="en-GB"/>
        </w:rPr>
      </w:pPr>
      <w:r w:rsidRPr="2C985F9B">
        <w:rPr>
          <w:lang w:val="en-GB"/>
        </w:rPr>
        <w:t xml:space="preserve">Records the total number of </w:t>
      </w:r>
      <w:r w:rsidR="00C50458">
        <w:rPr>
          <w:lang w:val="en-GB"/>
        </w:rPr>
        <w:t>wastewater</w:t>
      </w:r>
      <w:r w:rsidR="00C50458" w:rsidRPr="2C985F9B">
        <w:rPr>
          <w:lang w:val="en-GB"/>
        </w:rPr>
        <w:t xml:space="preserve"> </w:t>
      </w:r>
      <w:r w:rsidRPr="2C985F9B">
        <w:rPr>
          <w:lang w:val="en-GB"/>
        </w:rPr>
        <w:t xml:space="preserve">treatment </w:t>
      </w:r>
      <w:r w:rsidR="00871522">
        <w:rPr>
          <w:lang w:val="en-GB"/>
        </w:rPr>
        <w:t>plants</w:t>
      </w:r>
      <w:r w:rsidRPr="2C985F9B">
        <w:rPr>
          <w:lang w:val="en-GB"/>
        </w:rPr>
        <w:t xml:space="preserve"> and  outfalls, unsatisfactory outfalls and the treatment capacity </w:t>
      </w:r>
      <w:r w:rsidR="004F2C38" w:rsidRPr="004F2C38">
        <w:rPr>
          <w:lang w:val="en-GB"/>
        </w:rPr>
        <w:t>available</w:t>
      </w:r>
      <w:r w:rsidR="004F2C38">
        <w:rPr>
          <w:lang w:val="en-GB"/>
        </w:rPr>
        <w:t>.</w:t>
      </w:r>
    </w:p>
    <w:p w14:paraId="345CBEF8" w14:textId="322E1CE0" w:rsidR="008E147C" w:rsidRPr="007A07A4" w:rsidRDefault="002E6A73" w:rsidP="007A07A4">
      <w:pPr>
        <w:pStyle w:val="Sectionsub-heading"/>
        <w:rPr>
          <w:lang w:val="en-GB"/>
        </w:rPr>
      </w:pPr>
      <w:r>
        <w:rPr>
          <w:lang w:val="en-GB"/>
        </w:rPr>
        <w:t>Wastewater</w:t>
      </w:r>
      <w:r w:rsidR="008E147C" w:rsidRPr="007A07A4">
        <w:rPr>
          <w:lang w:val="en-GB"/>
        </w:rPr>
        <w:t xml:space="preserve"> </w:t>
      </w:r>
      <w:r w:rsidR="007A07A4">
        <w:rPr>
          <w:lang w:val="en-GB"/>
        </w:rPr>
        <w:t>s</w:t>
      </w:r>
      <w:r w:rsidR="008E147C" w:rsidRPr="007A07A4">
        <w:rPr>
          <w:lang w:val="en-GB"/>
        </w:rPr>
        <w:t xml:space="preserve">ludge </w:t>
      </w:r>
      <w:r w:rsidR="007A07A4">
        <w:rPr>
          <w:lang w:val="en-GB"/>
        </w:rPr>
        <w:t>d</w:t>
      </w:r>
      <w:r w:rsidR="008E147C" w:rsidRPr="007A07A4">
        <w:rPr>
          <w:lang w:val="en-GB"/>
        </w:rPr>
        <w:t>isposal</w:t>
      </w:r>
    </w:p>
    <w:p w14:paraId="6516EF42" w14:textId="58B0D728" w:rsidR="008E147C" w:rsidRPr="009A191E" w:rsidRDefault="008E147C" w:rsidP="003212C0">
      <w:pPr>
        <w:pStyle w:val="Bodynumbercopy"/>
        <w:rPr>
          <w:lang w:val="en-GB"/>
        </w:rPr>
      </w:pPr>
      <w:r w:rsidRPr="2C985F9B">
        <w:rPr>
          <w:lang w:val="en-GB"/>
        </w:rPr>
        <w:t>Records the volume of sludge disposed of via the various possible disposal routes.</w:t>
      </w:r>
      <w:r w:rsidR="004F2C38">
        <w:rPr>
          <w:lang w:val="en-GB"/>
        </w:rPr>
        <w:t xml:space="preserve"> A4.50 should specify Total Sludge Disposal in </w:t>
      </w:r>
      <w:r w:rsidR="00E93204">
        <w:rPr>
          <w:lang w:val="en-GB"/>
        </w:rPr>
        <w:t>thousand tonnes dry solids (</w:t>
      </w:r>
      <w:proofErr w:type="spellStart"/>
      <w:r w:rsidR="004F2C38">
        <w:rPr>
          <w:lang w:val="en-GB"/>
        </w:rPr>
        <w:t>ttds</w:t>
      </w:r>
      <w:proofErr w:type="spellEnd"/>
      <w:r w:rsidR="00E93204">
        <w:rPr>
          <w:lang w:val="en-GB"/>
        </w:rPr>
        <w:t>)</w:t>
      </w:r>
      <w:r w:rsidR="004F2C38">
        <w:rPr>
          <w:lang w:val="en-GB"/>
        </w:rPr>
        <w:t xml:space="preserve"> over </w:t>
      </w:r>
      <w:r w:rsidR="00E93204">
        <w:rPr>
          <w:lang w:val="en-GB"/>
        </w:rPr>
        <w:t>the reporting year</w:t>
      </w:r>
      <w:r w:rsidR="004F2C38">
        <w:rPr>
          <w:lang w:val="en-GB"/>
        </w:rPr>
        <w:t>.</w:t>
      </w:r>
    </w:p>
    <w:p w14:paraId="3BE59589" w14:textId="5D770A4F" w:rsidR="008E147C" w:rsidRPr="009A191E" w:rsidRDefault="008E147C" w:rsidP="003212C0">
      <w:pPr>
        <w:pStyle w:val="Sectionsub-heading"/>
        <w:rPr>
          <w:lang w:val="en-GB"/>
        </w:rPr>
      </w:pPr>
      <w:r w:rsidRPr="009A191E">
        <w:rPr>
          <w:lang w:val="en-GB"/>
        </w:rPr>
        <w:t xml:space="preserve">Guidance to </w:t>
      </w:r>
      <w:r w:rsidR="00832BC2">
        <w:rPr>
          <w:lang w:val="en-GB"/>
        </w:rPr>
        <w:t xml:space="preserve">the </w:t>
      </w:r>
      <w:r w:rsidR="002E6A73">
        <w:rPr>
          <w:lang w:val="en-GB"/>
        </w:rPr>
        <w:t>Local</w:t>
      </w:r>
      <w:r w:rsidR="00832BC2">
        <w:rPr>
          <w:lang w:val="en-GB"/>
        </w:rPr>
        <w:t xml:space="preserve"> Authority</w:t>
      </w:r>
    </w:p>
    <w:p w14:paraId="381A0861" w14:textId="6A358EF8" w:rsidR="00D70C3E" w:rsidRDefault="008E147C" w:rsidP="000B5EDE">
      <w:pPr>
        <w:pStyle w:val="Bodynumbercopy"/>
        <w:rPr>
          <w:lang w:val="en-GB"/>
        </w:rPr>
      </w:pPr>
      <w:r w:rsidRPr="00D70C3E">
        <w:rPr>
          <w:lang w:val="en-GB"/>
        </w:rPr>
        <w:t xml:space="preserve">The </w:t>
      </w:r>
      <w:r w:rsidR="002E6A73" w:rsidRPr="00D70C3E">
        <w:rPr>
          <w:lang w:val="en-GB"/>
        </w:rPr>
        <w:t>Local</w:t>
      </w:r>
      <w:r w:rsidR="00B47509" w:rsidRPr="00D70C3E">
        <w:rPr>
          <w:lang w:val="en-GB"/>
        </w:rPr>
        <w:t xml:space="preserve"> Authority</w:t>
      </w:r>
      <w:r w:rsidR="00832BC2" w:rsidRPr="00D70C3E">
        <w:rPr>
          <w:lang w:val="en-GB"/>
        </w:rPr>
        <w:t xml:space="preserve"> </w:t>
      </w:r>
      <w:r w:rsidRPr="00D70C3E">
        <w:rPr>
          <w:lang w:val="en-GB"/>
        </w:rPr>
        <w:t xml:space="preserve">must reveal any assumptions made in completing this table. The </w:t>
      </w:r>
      <w:r w:rsidR="002E6A73" w:rsidRPr="00D70C3E">
        <w:rPr>
          <w:lang w:val="en-GB"/>
        </w:rPr>
        <w:t>Local</w:t>
      </w:r>
      <w:r w:rsidR="00B47509" w:rsidRPr="00D70C3E">
        <w:rPr>
          <w:lang w:val="en-GB"/>
        </w:rPr>
        <w:t xml:space="preserve"> Authority</w:t>
      </w:r>
      <w:r w:rsidRPr="00D70C3E">
        <w:rPr>
          <w:lang w:val="en-GB"/>
        </w:rPr>
        <w:t xml:space="preserve"> must also state in the commentaries any COD to BOD conversion factor that they have used in completing the table.</w:t>
      </w:r>
    </w:p>
    <w:p w14:paraId="5DC8FCF2" w14:textId="00617EF3" w:rsidR="00D70C3E" w:rsidRDefault="00F1159A" w:rsidP="000B5EDE">
      <w:pPr>
        <w:pStyle w:val="Bodynumbercopy"/>
      </w:pPr>
      <w:r w:rsidRPr="00D70C3E">
        <w:rPr>
          <w:lang w:val="en-GB"/>
        </w:rPr>
        <w:t>For the avoidance of doubt, Table A4 refers to the whole Local Authority area. In the event that a Local Authority has several discrete schemes, the total across the Local Authority area should be reported.</w:t>
      </w:r>
    </w:p>
    <w:p w14:paraId="5A592F60" w14:textId="4BFA304C" w:rsidR="00F1159A" w:rsidRPr="000B5EDE" w:rsidRDefault="00D70C3E" w:rsidP="000B5EDE">
      <w:pPr>
        <w:pStyle w:val="Bodynumbercopy"/>
        <w:rPr>
          <w:lang w:val="en-GB"/>
        </w:rPr>
      </w:pPr>
      <w:r w:rsidRPr="000A68A6">
        <w:t>In the event of a joint venture of assets serving two or more Local Authority areas</w:t>
      </w:r>
      <w:r>
        <w:t xml:space="preserve">, Local Authorities should report their own share of </w:t>
      </w:r>
      <w:r>
        <w:lastRenderedPageBreak/>
        <w:t xml:space="preserve">the </w:t>
      </w:r>
      <w:r w:rsidR="00D83A83">
        <w:t>loads or volumes received</w:t>
      </w:r>
      <w:r>
        <w:t>. If allocated, t</w:t>
      </w:r>
      <w:r w:rsidRPr="00EC5783">
        <w:t>he Local Authority is expected to explain the allocation</w:t>
      </w:r>
      <w:r>
        <w:t xml:space="preserve"> method</w:t>
      </w:r>
      <w:r w:rsidRPr="00EC5783">
        <w:t xml:space="preserve"> used in the commentary cells. </w:t>
      </w:r>
    </w:p>
    <w:p w14:paraId="3774F999" w14:textId="3189239D" w:rsidR="008E147C" w:rsidRPr="009A191E" w:rsidRDefault="008E147C" w:rsidP="003212C0">
      <w:pPr>
        <w:pStyle w:val="Sectionsub-heading"/>
        <w:rPr>
          <w:lang w:val="en-GB"/>
        </w:rPr>
      </w:pPr>
      <w:r w:rsidRPr="009A191E">
        <w:rPr>
          <w:lang w:val="en-GB"/>
        </w:rPr>
        <w:t xml:space="preserve">BLOCK 1: </w:t>
      </w:r>
      <w:r w:rsidR="002E6A73">
        <w:rPr>
          <w:lang w:val="en-GB"/>
        </w:rPr>
        <w:t>WASTEWATER</w:t>
      </w:r>
      <w:r w:rsidRPr="009A191E">
        <w:rPr>
          <w:lang w:val="en-GB"/>
        </w:rPr>
        <w:t xml:space="preserve"> VOLUMES</w:t>
      </w:r>
    </w:p>
    <w:tbl>
      <w:tblPr>
        <w:tblStyle w:val="TableGrid3"/>
        <w:tblW w:w="0" w:type="auto"/>
        <w:tblLook w:val="04A0" w:firstRow="1" w:lastRow="0" w:firstColumn="1" w:lastColumn="0" w:noHBand="0" w:noVBand="1"/>
      </w:tblPr>
      <w:tblGrid>
        <w:gridCol w:w="974"/>
        <w:gridCol w:w="1008"/>
        <w:gridCol w:w="4424"/>
        <w:gridCol w:w="1152"/>
      </w:tblGrid>
      <w:tr w:rsidR="008E147C" w:rsidRPr="009A191E" w14:paraId="6D0474D3" w14:textId="77777777" w:rsidTr="00CD5E6D">
        <w:tc>
          <w:tcPr>
            <w:tcW w:w="974" w:type="dxa"/>
          </w:tcPr>
          <w:p w14:paraId="1D984664" w14:textId="77777777" w:rsidR="008E147C" w:rsidRPr="003212C0" w:rsidRDefault="008E147C" w:rsidP="003212C0">
            <w:pPr>
              <w:pStyle w:val="Bodyromannumerals"/>
              <w:rPr>
                <w:b/>
                <w:bCs/>
                <w:lang w:val="en-US"/>
              </w:rPr>
            </w:pPr>
            <w:r w:rsidRPr="003212C0">
              <w:rPr>
                <w:b/>
                <w:bCs/>
                <w:lang w:val="en-US"/>
              </w:rPr>
              <w:t>A4.1</w:t>
            </w:r>
          </w:p>
        </w:tc>
        <w:tc>
          <w:tcPr>
            <w:tcW w:w="5432" w:type="dxa"/>
            <w:gridSpan w:val="2"/>
          </w:tcPr>
          <w:p w14:paraId="75D11BB4" w14:textId="4079C6BF" w:rsidR="008E147C" w:rsidRPr="003212C0" w:rsidRDefault="008E147C" w:rsidP="003212C0">
            <w:pPr>
              <w:pStyle w:val="Bodyromannumerals"/>
              <w:rPr>
                <w:b/>
                <w:bCs/>
                <w:lang w:val="en-US"/>
              </w:rPr>
            </w:pPr>
            <w:r w:rsidRPr="003212C0">
              <w:rPr>
                <w:b/>
                <w:bCs/>
                <w:lang w:val="en-US"/>
              </w:rPr>
              <w:t xml:space="preserve">Volume unmeasured </w:t>
            </w:r>
            <w:r w:rsidR="00BB5A05">
              <w:rPr>
                <w:b/>
                <w:bCs/>
                <w:lang w:val="en-US"/>
              </w:rPr>
              <w:t>household</w:t>
            </w:r>
            <w:r w:rsidRPr="003212C0">
              <w:rPr>
                <w:b/>
                <w:bCs/>
                <w:lang w:val="en-US"/>
              </w:rPr>
              <w:t xml:space="preserve"> </w:t>
            </w:r>
            <w:r w:rsidR="00733D15">
              <w:rPr>
                <w:b/>
                <w:bCs/>
                <w:lang w:val="en-US"/>
              </w:rPr>
              <w:t>wastewater</w:t>
            </w:r>
          </w:p>
        </w:tc>
        <w:tc>
          <w:tcPr>
            <w:tcW w:w="1152" w:type="dxa"/>
          </w:tcPr>
          <w:p w14:paraId="7220BD20" w14:textId="77777777" w:rsidR="008E147C" w:rsidRPr="003212C0" w:rsidRDefault="008E147C" w:rsidP="003212C0">
            <w:pPr>
              <w:pStyle w:val="Bodyromannumerals"/>
              <w:rPr>
                <w:b/>
                <w:bCs/>
                <w:lang w:val="en-US"/>
              </w:rPr>
            </w:pPr>
            <w:r w:rsidRPr="003212C0">
              <w:rPr>
                <w:b/>
                <w:bCs/>
                <w:lang w:val="en-US"/>
              </w:rPr>
              <w:t>000 m3/d</w:t>
            </w:r>
          </w:p>
        </w:tc>
      </w:tr>
      <w:tr w:rsidR="008E147C" w:rsidRPr="009A191E" w14:paraId="1B8E6D81" w14:textId="77777777" w:rsidTr="00CD5E6D">
        <w:tc>
          <w:tcPr>
            <w:tcW w:w="1982" w:type="dxa"/>
            <w:gridSpan w:val="2"/>
            <w:tcBorders>
              <w:left w:val="single" w:sz="4" w:space="0" w:color="FFFFFF"/>
              <w:bottom w:val="single" w:sz="4" w:space="0" w:color="FFFFFF"/>
              <w:right w:val="single" w:sz="4" w:space="0" w:color="FFFFFF"/>
            </w:tcBorders>
          </w:tcPr>
          <w:p w14:paraId="5F02BAC3" w14:textId="77777777" w:rsidR="008E147C" w:rsidRPr="009A191E" w:rsidRDefault="008E147C" w:rsidP="003212C0">
            <w:pPr>
              <w:pStyle w:val="Bodyromannumerals"/>
              <w:rPr>
                <w:i/>
                <w:lang w:val="en-US"/>
              </w:rPr>
            </w:pPr>
            <w:r w:rsidRPr="009A191E">
              <w:rPr>
                <w:i/>
                <w:lang w:val="en-US"/>
              </w:rPr>
              <w:t>Definition:</w:t>
            </w:r>
          </w:p>
        </w:tc>
        <w:tc>
          <w:tcPr>
            <w:tcW w:w="5576" w:type="dxa"/>
            <w:gridSpan w:val="2"/>
            <w:tcBorders>
              <w:left w:val="single" w:sz="4" w:space="0" w:color="FFFFFF"/>
              <w:bottom w:val="single" w:sz="4" w:space="0" w:color="FFFFFF"/>
              <w:right w:val="single" w:sz="4" w:space="0" w:color="FFFFFF"/>
            </w:tcBorders>
          </w:tcPr>
          <w:p w14:paraId="06C3AB47" w14:textId="6CD1CE5F" w:rsidR="008E147C" w:rsidRPr="003025A4" w:rsidRDefault="008E147C" w:rsidP="00C64549">
            <w:pPr>
              <w:rPr>
                <w:rFonts w:ascii="Calibri" w:hAnsi="Calibri" w:cs="Calibri"/>
                <w:sz w:val="21"/>
                <w:szCs w:val="21"/>
                <w:lang w:val="en-US"/>
              </w:rPr>
            </w:pPr>
            <w:r w:rsidRPr="003025A4">
              <w:rPr>
                <w:rFonts w:ascii="Calibri" w:hAnsi="Calibri" w:cs="Calibri"/>
                <w:sz w:val="21"/>
                <w:szCs w:val="21"/>
                <w:lang w:val="en-US"/>
              </w:rPr>
              <w:t xml:space="preserve">Volume of water delivered to </w:t>
            </w:r>
            <w:r w:rsidR="00BB5A05" w:rsidRPr="003025A4">
              <w:rPr>
                <w:rFonts w:ascii="Calibri" w:hAnsi="Calibri" w:cs="Calibri"/>
                <w:sz w:val="21"/>
                <w:szCs w:val="21"/>
                <w:lang w:val="en-US"/>
              </w:rPr>
              <w:t>household</w:t>
            </w:r>
            <w:r w:rsidRPr="003025A4">
              <w:rPr>
                <w:rFonts w:ascii="Calibri" w:hAnsi="Calibri" w:cs="Calibri"/>
                <w:sz w:val="21"/>
                <w:szCs w:val="21"/>
                <w:lang w:val="en-US"/>
              </w:rPr>
              <w:t xml:space="preserve"> properties for unmeasured water that is returned to the </w:t>
            </w:r>
            <w:r w:rsidR="000157EF" w:rsidRPr="003025A4">
              <w:rPr>
                <w:rFonts w:ascii="Calibri" w:hAnsi="Calibri" w:cs="Calibri"/>
                <w:sz w:val="21"/>
                <w:szCs w:val="21"/>
                <w:lang w:val="en-US"/>
              </w:rPr>
              <w:t>wastewater</w:t>
            </w:r>
            <w:r w:rsidRPr="003025A4">
              <w:rPr>
                <w:rFonts w:ascii="Calibri" w:hAnsi="Calibri" w:cs="Calibri"/>
                <w:sz w:val="21"/>
                <w:szCs w:val="21"/>
                <w:lang w:val="en-US"/>
              </w:rPr>
              <w:t xml:space="preserve"> system. </w:t>
            </w:r>
          </w:p>
        </w:tc>
      </w:tr>
      <w:tr w:rsidR="008E147C" w:rsidRPr="009A191E" w14:paraId="6159CB39" w14:textId="77777777" w:rsidTr="00CD5E6D">
        <w:tc>
          <w:tcPr>
            <w:tcW w:w="1982" w:type="dxa"/>
            <w:gridSpan w:val="2"/>
            <w:tcBorders>
              <w:top w:val="single" w:sz="4" w:space="0" w:color="FFFFFF"/>
              <w:left w:val="single" w:sz="4" w:space="0" w:color="FFFFFF"/>
              <w:bottom w:val="single" w:sz="4" w:space="0" w:color="FFFFFF"/>
              <w:right w:val="single" w:sz="4" w:space="0" w:color="FFFFFF"/>
            </w:tcBorders>
          </w:tcPr>
          <w:p w14:paraId="420BB5DF" w14:textId="77777777" w:rsidR="008E147C" w:rsidRPr="009A191E" w:rsidRDefault="008E147C" w:rsidP="003212C0">
            <w:pPr>
              <w:pStyle w:val="Bodyromannumerals"/>
              <w:rPr>
                <w:i/>
                <w:lang w:val="en-US"/>
              </w:rPr>
            </w:pPr>
            <w:r w:rsidRPr="009A191E">
              <w:rPr>
                <w:i/>
                <w:lang w:val="en-US"/>
              </w:rPr>
              <w:t>Processing Rules:</w:t>
            </w:r>
          </w:p>
        </w:tc>
        <w:tc>
          <w:tcPr>
            <w:tcW w:w="5576" w:type="dxa"/>
            <w:gridSpan w:val="2"/>
            <w:tcBorders>
              <w:top w:val="single" w:sz="4" w:space="0" w:color="FFFFFF"/>
              <w:left w:val="single" w:sz="4" w:space="0" w:color="FFFFFF"/>
              <w:bottom w:val="single" w:sz="4" w:space="0" w:color="FFFFFF"/>
              <w:right w:val="single" w:sz="4" w:space="0" w:color="FFFFFF"/>
            </w:tcBorders>
          </w:tcPr>
          <w:p w14:paraId="564CF4D7" w14:textId="77777777" w:rsidR="008E147C" w:rsidRPr="009A191E" w:rsidRDefault="008E147C" w:rsidP="003212C0">
            <w:pPr>
              <w:pStyle w:val="Bodyromannumerals"/>
              <w:rPr>
                <w:lang w:val="en-US"/>
              </w:rPr>
            </w:pPr>
            <w:r w:rsidRPr="009A191E">
              <w:rPr>
                <w:lang w:val="en-US"/>
              </w:rPr>
              <w:t>Input field</w:t>
            </w:r>
          </w:p>
        </w:tc>
      </w:tr>
    </w:tbl>
    <w:p w14:paraId="7EF48F20" w14:textId="62314FB8" w:rsidR="003C6FCE" w:rsidRDefault="003C6FCE"/>
    <w:tbl>
      <w:tblPr>
        <w:tblStyle w:val="TableGrid3"/>
        <w:tblW w:w="0" w:type="auto"/>
        <w:tblLook w:val="04A0" w:firstRow="1" w:lastRow="0" w:firstColumn="1" w:lastColumn="0" w:noHBand="0" w:noVBand="1"/>
      </w:tblPr>
      <w:tblGrid>
        <w:gridCol w:w="974"/>
        <w:gridCol w:w="1008"/>
        <w:gridCol w:w="4424"/>
        <w:gridCol w:w="1152"/>
      </w:tblGrid>
      <w:tr w:rsidR="008E147C" w:rsidRPr="009A191E" w14:paraId="7475240F" w14:textId="77777777" w:rsidTr="00CD5E6D">
        <w:tc>
          <w:tcPr>
            <w:tcW w:w="974" w:type="dxa"/>
          </w:tcPr>
          <w:p w14:paraId="4CD631DB" w14:textId="01348D67" w:rsidR="008E147C" w:rsidRPr="003212C0" w:rsidRDefault="008E147C" w:rsidP="003212C0">
            <w:pPr>
              <w:pStyle w:val="Bodyromannumerals"/>
              <w:rPr>
                <w:b/>
                <w:bCs/>
                <w:lang w:val="en-US"/>
              </w:rPr>
            </w:pPr>
            <w:r w:rsidRPr="003212C0">
              <w:rPr>
                <w:b/>
                <w:bCs/>
                <w:lang w:val="en-US"/>
              </w:rPr>
              <w:t>A4.2</w:t>
            </w:r>
          </w:p>
        </w:tc>
        <w:tc>
          <w:tcPr>
            <w:tcW w:w="5432" w:type="dxa"/>
            <w:gridSpan w:val="2"/>
          </w:tcPr>
          <w:p w14:paraId="50438AD4" w14:textId="024C2EC6" w:rsidR="008E147C" w:rsidRPr="003212C0" w:rsidRDefault="008E147C" w:rsidP="003212C0">
            <w:pPr>
              <w:pStyle w:val="Bodyromannumerals"/>
              <w:rPr>
                <w:b/>
                <w:bCs/>
                <w:lang w:val="en-US"/>
              </w:rPr>
            </w:pPr>
            <w:r w:rsidRPr="003212C0">
              <w:rPr>
                <w:b/>
                <w:bCs/>
                <w:lang w:val="en-US"/>
              </w:rPr>
              <w:t>Volume unmeasured non-</w:t>
            </w:r>
            <w:r w:rsidR="00BB5A05">
              <w:rPr>
                <w:b/>
                <w:bCs/>
                <w:lang w:val="en-US"/>
              </w:rPr>
              <w:t>household</w:t>
            </w:r>
            <w:r w:rsidRPr="003212C0">
              <w:rPr>
                <w:b/>
                <w:bCs/>
                <w:lang w:val="en-US"/>
              </w:rPr>
              <w:t xml:space="preserve"> </w:t>
            </w:r>
            <w:r w:rsidR="00BC6636">
              <w:rPr>
                <w:b/>
                <w:bCs/>
                <w:lang w:val="en-US"/>
              </w:rPr>
              <w:t>wastewater</w:t>
            </w:r>
            <w:r w:rsidR="00BC6636" w:rsidRPr="003212C0">
              <w:rPr>
                <w:b/>
                <w:bCs/>
                <w:lang w:val="en-US"/>
              </w:rPr>
              <w:t xml:space="preserve"> </w:t>
            </w:r>
            <w:r w:rsidRPr="003212C0">
              <w:rPr>
                <w:b/>
                <w:bCs/>
                <w:lang w:val="en-US"/>
              </w:rPr>
              <w:t>at standard tariff</w:t>
            </w:r>
            <w:r w:rsidR="005365DC">
              <w:rPr>
                <w:b/>
                <w:bCs/>
                <w:lang w:val="en-US"/>
              </w:rPr>
              <w:t>s</w:t>
            </w:r>
          </w:p>
        </w:tc>
        <w:tc>
          <w:tcPr>
            <w:tcW w:w="1152" w:type="dxa"/>
          </w:tcPr>
          <w:p w14:paraId="4A31D2E9" w14:textId="00EBD7EA" w:rsidR="008E147C" w:rsidRPr="003212C0" w:rsidRDefault="008E147C" w:rsidP="003212C0">
            <w:pPr>
              <w:pStyle w:val="Bodyromannumerals"/>
              <w:rPr>
                <w:b/>
                <w:bCs/>
                <w:lang w:val="en-US"/>
              </w:rPr>
            </w:pPr>
            <w:r w:rsidRPr="003212C0">
              <w:rPr>
                <w:b/>
                <w:bCs/>
                <w:lang w:val="en-US"/>
              </w:rPr>
              <w:t>000 m3/d</w:t>
            </w:r>
          </w:p>
        </w:tc>
      </w:tr>
      <w:tr w:rsidR="008E147C" w:rsidRPr="009A191E" w14:paraId="4BB82422" w14:textId="77777777" w:rsidTr="00CD5E6D">
        <w:tc>
          <w:tcPr>
            <w:tcW w:w="1982" w:type="dxa"/>
            <w:gridSpan w:val="2"/>
            <w:tcBorders>
              <w:left w:val="single" w:sz="4" w:space="0" w:color="FFFFFF"/>
              <w:bottom w:val="single" w:sz="4" w:space="0" w:color="FFFFFF"/>
              <w:right w:val="single" w:sz="4" w:space="0" w:color="FFFFFF"/>
            </w:tcBorders>
          </w:tcPr>
          <w:p w14:paraId="4CF55779" w14:textId="55C84128" w:rsidR="008E147C" w:rsidRPr="009A191E" w:rsidRDefault="008E147C" w:rsidP="003212C0">
            <w:pPr>
              <w:pStyle w:val="Bodyromannumerals"/>
              <w:rPr>
                <w:i/>
                <w:lang w:val="en-US"/>
              </w:rPr>
            </w:pPr>
            <w:r w:rsidRPr="009A191E">
              <w:rPr>
                <w:i/>
                <w:lang w:val="en-US"/>
              </w:rPr>
              <w:t>Definition:</w:t>
            </w:r>
          </w:p>
        </w:tc>
        <w:tc>
          <w:tcPr>
            <w:tcW w:w="5576" w:type="dxa"/>
            <w:gridSpan w:val="2"/>
            <w:tcBorders>
              <w:left w:val="single" w:sz="4" w:space="0" w:color="FFFFFF"/>
              <w:bottom w:val="single" w:sz="4" w:space="0" w:color="FFFFFF"/>
              <w:right w:val="single" w:sz="4" w:space="0" w:color="FFFFFF"/>
            </w:tcBorders>
          </w:tcPr>
          <w:p w14:paraId="05DB5E2A" w14:textId="0C86CED1" w:rsidR="008E147C" w:rsidRPr="009A191E" w:rsidRDefault="008E147C" w:rsidP="003212C0">
            <w:pPr>
              <w:pStyle w:val="Bodyromannumerals"/>
              <w:rPr>
                <w:lang w:val="en-US"/>
              </w:rPr>
            </w:pPr>
            <w:r w:rsidRPr="009A191E">
              <w:rPr>
                <w:lang w:val="en-US"/>
              </w:rPr>
              <w:t xml:space="preserve">Volume of unmeasured water that is returned to the </w:t>
            </w:r>
            <w:r w:rsidR="000157EF">
              <w:rPr>
                <w:lang w:val="en-US"/>
              </w:rPr>
              <w:t>wastewater</w:t>
            </w:r>
            <w:r w:rsidRPr="009A191E">
              <w:rPr>
                <w:lang w:val="en-US"/>
              </w:rPr>
              <w:t xml:space="preserve"> system. Non-</w:t>
            </w:r>
            <w:r w:rsidR="00BB5A05">
              <w:rPr>
                <w:lang w:val="en-US"/>
              </w:rPr>
              <w:t>household</w:t>
            </w:r>
            <w:r w:rsidRPr="009A191E">
              <w:rPr>
                <w:lang w:val="en-US"/>
              </w:rPr>
              <w:t xml:space="preserve"> is defined as properties whose </w:t>
            </w:r>
            <w:r w:rsidR="002A381F">
              <w:rPr>
                <w:lang w:val="en-US"/>
              </w:rPr>
              <w:t>wastewater</w:t>
            </w:r>
            <w:r w:rsidR="002A381F" w:rsidRPr="009A191E">
              <w:rPr>
                <w:lang w:val="en-US"/>
              </w:rPr>
              <w:t xml:space="preserve"> </w:t>
            </w:r>
            <w:r w:rsidRPr="009A191E">
              <w:rPr>
                <w:lang w:val="en-US"/>
              </w:rPr>
              <w:t xml:space="preserve">is collected but are not occupied as </w:t>
            </w:r>
            <w:r w:rsidR="00BB5A05">
              <w:rPr>
                <w:lang w:val="en-US"/>
              </w:rPr>
              <w:t>household</w:t>
            </w:r>
            <w:r w:rsidRPr="009A191E">
              <w:rPr>
                <w:lang w:val="en-US"/>
              </w:rPr>
              <w:t xml:space="preserve"> properties, i.e. domestic supplies to factories, offices and commercial premises, cattle troughs. </w:t>
            </w:r>
          </w:p>
        </w:tc>
      </w:tr>
      <w:tr w:rsidR="008E147C" w:rsidRPr="009A191E" w14:paraId="2A0A51BA" w14:textId="77777777" w:rsidTr="00CD5E6D">
        <w:tc>
          <w:tcPr>
            <w:tcW w:w="1982" w:type="dxa"/>
            <w:gridSpan w:val="2"/>
            <w:tcBorders>
              <w:top w:val="single" w:sz="4" w:space="0" w:color="FFFFFF"/>
              <w:left w:val="single" w:sz="4" w:space="0" w:color="FFFFFF"/>
              <w:bottom w:val="single" w:sz="4" w:space="0" w:color="FFFFFF"/>
              <w:right w:val="single" w:sz="4" w:space="0" w:color="FFFFFF"/>
            </w:tcBorders>
          </w:tcPr>
          <w:p w14:paraId="724F1300" w14:textId="6F919FCB" w:rsidR="008E147C" w:rsidRPr="009A191E" w:rsidRDefault="008E147C" w:rsidP="003212C0">
            <w:pPr>
              <w:pStyle w:val="Bodyromannumerals"/>
              <w:rPr>
                <w:i/>
                <w:lang w:val="en-US"/>
              </w:rPr>
            </w:pPr>
            <w:r w:rsidRPr="009A191E">
              <w:rPr>
                <w:i/>
                <w:lang w:val="en-US"/>
              </w:rPr>
              <w:t>Processing Rules:</w:t>
            </w:r>
          </w:p>
        </w:tc>
        <w:tc>
          <w:tcPr>
            <w:tcW w:w="5576" w:type="dxa"/>
            <w:gridSpan w:val="2"/>
            <w:tcBorders>
              <w:top w:val="single" w:sz="4" w:space="0" w:color="FFFFFF"/>
              <w:left w:val="single" w:sz="4" w:space="0" w:color="FFFFFF"/>
              <w:bottom w:val="single" w:sz="4" w:space="0" w:color="FFFFFF"/>
              <w:right w:val="single" w:sz="4" w:space="0" w:color="FFFFFF"/>
            </w:tcBorders>
          </w:tcPr>
          <w:p w14:paraId="5E98E15B" w14:textId="7E787E49" w:rsidR="008E147C" w:rsidRPr="009A191E" w:rsidRDefault="008E147C" w:rsidP="003212C0">
            <w:pPr>
              <w:pStyle w:val="Bodyromannumerals"/>
              <w:rPr>
                <w:lang w:val="en-US"/>
              </w:rPr>
            </w:pPr>
            <w:r w:rsidRPr="009A191E">
              <w:rPr>
                <w:lang w:val="en-US"/>
              </w:rPr>
              <w:t>Input field</w:t>
            </w:r>
          </w:p>
        </w:tc>
      </w:tr>
      <w:tr w:rsidR="008E147C" w:rsidRPr="009A191E" w14:paraId="39F29CAF" w14:textId="77777777" w:rsidTr="00CD5E6D">
        <w:tc>
          <w:tcPr>
            <w:tcW w:w="974" w:type="dxa"/>
          </w:tcPr>
          <w:p w14:paraId="026C5E8E" w14:textId="1E52C0EE" w:rsidR="008E147C" w:rsidRPr="000A25EF" w:rsidRDefault="008E147C" w:rsidP="000A25EF">
            <w:pPr>
              <w:pStyle w:val="Bodyromannumerals"/>
              <w:rPr>
                <w:b/>
                <w:bCs/>
                <w:lang w:val="en-US"/>
              </w:rPr>
            </w:pPr>
            <w:r w:rsidRPr="000A25EF">
              <w:rPr>
                <w:b/>
                <w:bCs/>
                <w:lang w:val="en-US"/>
              </w:rPr>
              <w:t>A4.4</w:t>
            </w:r>
          </w:p>
        </w:tc>
        <w:tc>
          <w:tcPr>
            <w:tcW w:w="5432" w:type="dxa"/>
            <w:gridSpan w:val="2"/>
          </w:tcPr>
          <w:p w14:paraId="127413E1" w14:textId="76058398" w:rsidR="008E147C" w:rsidRPr="000A25EF" w:rsidRDefault="008E147C" w:rsidP="000A25EF">
            <w:pPr>
              <w:pStyle w:val="Bodyromannumerals"/>
              <w:rPr>
                <w:b/>
                <w:bCs/>
                <w:lang w:val="en-US"/>
              </w:rPr>
            </w:pPr>
            <w:r w:rsidRPr="000A25EF">
              <w:rPr>
                <w:b/>
                <w:bCs/>
                <w:lang w:val="en-US"/>
              </w:rPr>
              <w:t>Volume unmeasured non-</w:t>
            </w:r>
            <w:r w:rsidR="00BB5A05">
              <w:rPr>
                <w:b/>
                <w:bCs/>
                <w:lang w:val="en-US"/>
              </w:rPr>
              <w:t>household</w:t>
            </w:r>
            <w:r w:rsidRPr="000A25EF">
              <w:rPr>
                <w:b/>
                <w:bCs/>
                <w:lang w:val="en-US"/>
              </w:rPr>
              <w:t xml:space="preserve"> </w:t>
            </w:r>
            <w:r w:rsidR="00BC6636">
              <w:rPr>
                <w:b/>
                <w:bCs/>
                <w:lang w:val="en-US"/>
              </w:rPr>
              <w:t>wastewater</w:t>
            </w:r>
            <w:r w:rsidR="00BC6636" w:rsidRPr="000A25EF">
              <w:rPr>
                <w:b/>
                <w:bCs/>
                <w:lang w:val="en-US"/>
              </w:rPr>
              <w:t xml:space="preserve"> </w:t>
            </w:r>
            <w:r w:rsidRPr="000A25EF">
              <w:rPr>
                <w:b/>
                <w:bCs/>
                <w:lang w:val="en-US"/>
              </w:rPr>
              <w:t>with charitable relief</w:t>
            </w:r>
          </w:p>
        </w:tc>
        <w:tc>
          <w:tcPr>
            <w:tcW w:w="1152" w:type="dxa"/>
          </w:tcPr>
          <w:p w14:paraId="0A2B4B40" w14:textId="40AC1087" w:rsidR="008E147C" w:rsidRPr="000A25EF" w:rsidRDefault="008E147C" w:rsidP="000A25EF">
            <w:pPr>
              <w:pStyle w:val="Bodyromannumerals"/>
              <w:rPr>
                <w:b/>
                <w:bCs/>
                <w:lang w:val="en-US"/>
              </w:rPr>
            </w:pPr>
            <w:r w:rsidRPr="000A25EF">
              <w:rPr>
                <w:b/>
                <w:bCs/>
                <w:lang w:val="en-US"/>
              </w:rPr>
              <w:t>000 m3/d</w:t>
            </w:r>
          </w:p>
        </w:tc>
      </w:tr>
      <w:tr w:rsidR="008E147C" w:rsidRPr="009A191E" w14:paraId="15F56DE8" w14:textId="77777777" w:rsidTr="00CD5E6D">
        <w:tc>
          <w:tcPr>
            <w:tcW w:w="1982" w:type="dxa"/>
            <w:gridSpan w:val="2"/>
            <w:tcBorders>
              <w:left w:val="single" w:sz="4" w:space="0" w:color="FFFFFF"/>
              <w:bottom w:val="single" w:sz="4" w:space="0" w:color="FFFFFF"/>
              <w:right w:val="single" w:sz="4" w:space="0" w:color="FFFFFF"/>
            </w:tcBorders>
          </w:tcPr>
          <w:p w14:paraId="2B71B586" w14:textId="2E67AD9A" w:rsidR="008E147C" w:rsidRPr="009A191E" w:rsidRDefault="008E147C" w:rsidP="000A25EF">
            <w:pPr>
              <w:pStyle w:val="Bodyromannumerals"/>
              <w:rPr>
                <w:i/>
                <w:lang w:val="en-US"/>
              </w:rPr>
            </w:pPr>
            <w:r w:rsidRPr="009A191E">
              <w:rPr>
                <w:i/>
                <w:lang w:val="en-US"/>
              </w:rPr>
              <w:t>Definition:</w:t>
            </w:r>
          </w:p>
        </w:tc>
        <w:tc>
          <w:tcPr>
            <w:tcW w:w="5576" w:type="dxa"/>
            <w:gridSpan w:val="2"/>
            <w:tcBorders>
              <w:left w:val="single" w:sz="4" w:space="0" w:color="FFFFFF"/>
              <w:bottom w:val="single" w:sz="4" w:space="0" w:color="FFFFFF"/>
              <w:right w:val="single" w:sz="4" w:space="0" w:color="FFFFFF"/>
            </w:tcBorders>
          </w:tcPr>
          <w:p w14:paraId="723C7F88" w14:textId="1A701D46" w:rsidR="008E147C" w:rsidRPr="009A191E" w:rsidRDefault="008E147C" w:rsidP="000A25EF">
            <w:pPr>
              <w:pStyle w:val="Bodyromannumerals"/>
              <w:rPr>
                <w:lang w:val="en-US"/>
              </w:rPr>
            </w:pPr>
            <w:r w:rsidRPr="009A191E">
              <w:rPr>
                <w:lang w:val="en-US"/>
              </w:rPr>
              <w:t xml:space="preserve">Volume of unmeasured water that is returned to the </w:t>
            </w:r>
            <w:r w:rsidR="000157EF">
              <w:rPr>
                <w:lang w:val="en-US"/>
              </w:rPr>
              <w:t>wastewater</w:t>
            </w:r>
            <w:r w:rsidRPr="009A191E">
              <w:rPr>
                <w:lang w:val="en-US"/>
              </w:rPr>
              <w:t xml:space="preserve"> system that is subject to charitable relief.</w:t>
            </w:r>
            <w:r w:rsidRPr="009A191E">
              <w:t xml:space="preserve"> </w:t>
            </w:r>
            <w:r w:rsidRPr="009A191E">
              <w:rPr>
                <w:lang w:val="en-US"/>
              </w:rPr>
              <w:t>Non-</w:t>
            </w:r>
            <w:r w:rsidR="00BB5A05">
              <w:rPr>
                <w:lang w:val="en-US"/>
              </w:rPr>
              <w:t>household</w:t>
            </w:r>
            <w:r w:rsidRPr="009A191E">
              <w:rPr>
                <w:lang w:val="en-US"/>
              </w:rPr>
              <w:t xml:space="preserve"> is defined as properties whose </w:t>
            </w:r>
            <w:r w:rsidR="000B3DED">
              <w:rPr>
                <w:lang w:val="en-US"/>
              </w:rPr>
              <w:t>w</w:t>
            </w:r>
            <w:r w:rsidR="002E6A73">
              <w:rPr>
                <w:lang w:val="en-US"/>
              </w:rPr>
              <w:t>astewater</w:t>
            </w:r>
            <w:r w:rsidRPr="009A191E">
              <w:rPr>
                <w:lang w:val="en-US"/>
              </w:rPr>
              <w:t xml:space="preserve"> is collected but are not </w:t>
            </w:r>
            <w:r w:rsidR="00230A33" w:rsidRPr="009A191E">
              <w:rPr>
                <w:lang w:val="en-US"/>
              </w:rPr>
              <w:t>occupied as</w:t>
            </w:r>
            <w:r w:rsidRPr="009A191E">
              <w:rPr>
                <w:lang w:val="en-US"/>
              </w:rPr>
              <w:t xml:space="preserve"> </w:t>
            </w:r>
            <w:r w:rsidR="00BB5A05">
              <w:rPr>
                <w:lang w:val="en-US"/>
              </w:rPr>
              <w:t>household</w:t>
            </w:r>
            <w:r w:rsidRPr="009A191E">
              <w:rPr>
                <w:lang w:val="en-US"/>
              </w:rPr>
              <w:t xml:space="preserve"> properties, i.e. domestic supplies to factories, offices and commercial premises, cattle troughs. </w:t>
            </w:r>
          </w:p>
        </w:tc>
      </w:tr>
      <w:tr w:rsidR="008E147C" w:rsidRPr="009A191E" w14:paraId="48D3C535" w14:textId="77777777" w:rsidTr="00CD5E6D">
        <w:tc>
          <w:tcPr>
            <w:tcW w:w="1982" w:type="dxa"/>
            <w:gridSpan w:val="2"/>
            <w:tcBorders>
              <w:top w:val="single" w:sz="4" w:space="0" w:color="FFFFFF"/>
              <w:left w:val="single" w:sz="4" w:space="0" w:color="FFFFFF"/>
              <w:bottom w:val="single" w:sz="4" w:space="0" w:color="FFFFFF"/>
              <w:right w:val="single" w:sz="4" w:space="0" w:color="FFFFFF"/>
            </w:tcBorders>
          </w:tcPr>
          <w:p w14:paraId="03862D89" w14:textId="58216EBA" w:rsidR="008E147C" w:rsidRPr="009A191E" w:rsidRDefault="008E147C" w:rsidP="000A25EF">
            <w:pPr>
              <w:pStyle w:val="Bodyromannumerals"/>
              <w:rPr>
                <w:i/>
                <w:lang w:val="en-US"/>
              </w:rPr>
            </w:pPr>
            <w:r w:rsidRPr="009A191E">
              <w:rPr>
                <w:i/>
                <w:lang w:val="en-US"/>
              </w:rPr>
              <w:t>Processing Rules:</w:t>
            </w:r>
          </w:p>
        </w:tc>
        <w:tc>
          <w:tcPr>
            <w:tcW w:w="5576" w:type="dxa"/>
            <w:gridSpan w:val="2"/>
            <w:tcBorders>
              <w:top w:val="single" w:sz="4" w:space="0" w:color="FFFFFF"/>
              <w:left w:val="single" w:sz="4" w:space="0" w:color="FFFFFF"/>
              <w:bottom w:val="single" w:sz="4" w:space="0" w:color="FFFFFF"/>
              <w:right w:val="single" w:sz="4" w:space="0" w:color="FFFFFF"/>
            </w:tcBorders>
          </w:tcPr>
          <w:p w14:paraId="4D8D827D" w14:textId="5A7BBD7E" w:rsidR="008E147C" w:rsidRPr="009A191E" w:rsidRDefault="008E147C" w:rsidP="000A25EF">
            <w:pPr>
              <w:pStyle w:val="Bodyromannumerals"/>
              <w:rPr>
                <w:lang w:val="en-US"/>
              </w:rPr>
            </w:pPr>
            <w:r w:rsidRPr="009A191E">
              <w:rPr>
                <w:lang w:val="en-US"/>
              </w:rPr>
              <w:t>Input field</w:t>
            </w:r>
          </w:p>
        </w:tc>
      </w:tr>
      <w:tr w:rsidR="008E147C" w:rsidRPr="009A191E" w14:paraId="5D75665F" w14:textId="77777777" w:rsidTr="00CD5E6D">
        <w:tc>
          <w:tcPr>
            <w:tcW w:w="974" w:type="dxa"/>
          </w:tcPr>
          <w:p w14:paraId="7F416D3F" w14:textId="1C0430C4" w:rsidR="008E147C" w:rsidRPr="000A25EF" w:rsidRDefault="008E147C" w:rsidP="000A25EF">
            <w:pPr>
              <w:pStyle w:val="Bodyromannumerals"/>
              <w:rPr>
                <w:b/>
                <w:bCs/>
                <w:lang w:val="en-US"/>
              </w:rPr>
            </w:pPr>
            <w:r w:rsidRPr="000A25EF">
              <w:rPr>
                <w:b/>
                <w:bCs/>
                <w:lang w:val="en-US"/>
              </w:rPr>
              <w:t>A4.5</w:t>
            </w:r>
          </w:p>
        </w:tc>
        <w:tc>
          <w:tcPr>
            <w:tcW w:w="5432" w:type="dxa"/>
            <w:gridSpan w:val="2"/>
          </w:tcPr>
          <w:p w14:paraId="0C0918C7" w14:textId="1F051499" w:rsidR="008E147C" w:rsidRPr="000A25EF" w:rsidRDefault="008E147C" w:rsidP="000A25EF">
            <w:pPr>
              <w:pStyle w:val="Bodyromannumerals"/>
              <w:rPr>
                <w:b/>
                <w:bCs/>
                <w:lang w:val="en-US"/>
              </w:rPr>
            </w:pPr>
            <w:r w:rsidRPr="000A25EF">
              <w:rPr>
                <w:b/>
                <w:bCs/>
                <w:lang w:val="en-US"/>
              </w:rPr>
              <w:t>Volume unmeasured non-</w:t>
            </w:r>
            <w:r w:rsidR="00BB5A05">
              <w:rPr>
                <w:b/>
                <w:bCs/>
                <w:lang w:val="en-US"/>
              </w:rPr>
              <w:t>household</w:t>
            </w:r>
            <w:r w:rsidRPr="000A25EF">
              <w:rPr>
                <w:b/>
                <w:bCs/>
                <w:lang w:val="en-US"/>
              </w:rPr>
              <w:t xml:space="preserve"> </w:t>
            </w:r>
            <w:r w:rsidR="00013779">
              <w:rPr>
                <w:b/>
                <w:bCs/>
                <w:lang w:val="en-US"/>
              </w:rPr>
              <w:t>wastewater</w:t>
            </w:r>
            <w:r w:rsidR="00013779" w:rsidRPr="000A25EF">
              <w:rPr>
                <w:b/>
                <w:bCs/>
                <w:lang w:val="en-US"/>
              </w:rPr>
              <w:t xml:space="preserve"> </w:t>
            </w:r>
            <w:r w:rsidRPr="000A25EF">
              <w:rPr>
                <w:b/>
                <w:bCs/>
                <w:lang w:val="en-US"/>
              </w:rPr>
              <w:t>with other relief of charges</w:t>
            </w:r>
          </w:p>
        </w:tc>
        <w:tc>
          <w:tcPr>
            <w:tcW w:w="1152" w:type="dxa"/>
          </w:tcPr>
          <w:p w14:paraId="54084CC1" w14:textId="15A1BB40" w:rsidR="008E147C" w:rsidRPr="000A25EF" w:rsidRDefault="008E147C" w:rsidP="000A25EF">
            <w:pPr>
              <w:pStyle w:val="Bodyromannumerals"/>
              <w:rPr>
                <w:b/>
                <w:bCs/>
                <w:lang w:val="en-US"/>
              </w:rPr>
            </w:pPr>
            <w:r w:rsidRPr="000A25EF">
              <w:rPr>
                <w:b/>
                <w:bCs/>
                <w:lang w:val="en-US"/>
              </w:rPr>
              <w:t>000 m3/d</w:t>
            </w:r>
          </w:p>
        </w:tc>
      </w:tr>
      <w:tr w:rsidR="008E147C" w:rsidRPr="009A191E" w14:paraId="472415AC" w14:textId="77777777" w:rsidTr="00CD5E6D">
        <w:tc>
          <w:tcPr>
            <w:tcW w:w="1982" w:type="dxa"/>
            <w:gridSpan w:val="2"/>
            <w:tcBorders>
              <w:left w:val="single" w:sz="4" w:space="0" w:color="FFFFFF"/>
              <w:bottom w:val="single" w:sz="4" w:space="0" w:color="FFFFFF"/>
              <w:right w:val="single" w:sz="4" w:space="0" w:color="FFFFFF"/>
            </w:tcBorders>
          </w:tcPr>
          <w:p w14:paraId="7BE537AE" w14:textId="36CFDBB1" w:rsidR="008E147C" w:rsidRPr="009A191E" w:rsidRDefault="008E147C" w:rsidP="000A25EF">
            <w:pPr>
              <w:pStyle w:val="Bodyromannumerals"/>
              <w:rPr>
                <w:i/>
                <w:lang w:val="en-US"/>
              </w:rPr>
            </w:pPr>
            <w:r w:rsidRPr="009A191E">
              <w:rPr>
                <w:i/>
                <w:lang w:val="en-US"/>
              </w:rPr>
              <w:t>Definition:</w:t>
            </w:r>
          </w:p>
        </w:tc>
        <w:tc>
          <w:tcPr>
            <w:tcW w:w="5576" w:type="dxa"/>
            <w:gridSpan w:val="2"/>
            <w:tcBorders>
              <w:left w:val="single" w:sz="4" w:space="0" w:color="FFFFFF"/>
              <w:bottom w:val="single" w:sz="4" w:space="0" w:color="FFFFFF"/>
              <w:right w:val="single" w:sz="4" w:space="0" w:color="FFFFFF"/>
            </w:tcBorders>
          </w:tcPr>
          <w:p w14:paraId="4CB14154" w14:textId="060C49F6" w:rsidR="008E147C" w:rsidRPr="009A191E" w:rsidRDefault="008E147C" w:rsidP="000A25EF">
            <w:pPr>
              <w:pStyle w:val="Bodyromannumerals"/>
              <w:rPr>
                <w:lang w:val="en-US"/>
              </w:rPr>
            </w:pPr>
            <w:r w:rsidRPr="009A191E">
              <w:rPr>
                <w:lang w:val="en-US"/>
              </w:rPr>
              <w:t xml:space="preserve">Volume of unmeasured water that is returned to the </w:t>
            </w:r>
            <w:r w:rsidR="000157EF">
              <w:rPr>
                <w:lang w:val="en-US"/>
              </w:rPr>
              <w:t>wastewater</w:t>
            </w:r>
            <w:r w:rsidRPr="009A191E">
              <w:rPr>
                <w:lang w:val="en-US"/>
              </w:rPr>
              <w:t xml:space="preserve"> system subject to other relief of charges. Non-</w:t>
            </w:r>
            <w:r w:rsidR="00BB5A05">
              <w:rPr>
                <w:lang w:val="en-US"/>
              </w:rPr>
              <w:t>household</w:t>
            </w:r>
            <w:r w:rsidRPr="009A191E">
              <w:rPr>
                <w:lang w:val="en-US"/>
              </w:rPr>
              <w:t xml:space="preserve"> is defined as properties whose </w:t>
            </w:r>
            <w:r w:rsidR="000B3DED">
              <w:rPr>
                <w:lang w:val="en-US"/>
              </w:rPr>
              <w:t>w</w:t>
            </w:r>
            <w:r w:rsidR="002E6A73">
              <w:rPr>
                <w:lang w:val="en-US"/>
              </w:rPr>
              <w:t>astewater</w:t>
            </w:r>
            <w:r w:rsidRPr="009A191E">
              <w:rPr>
                <w:lang w:val="en-US"/>
              </w:rPr>
              <w:t xml:space="preserve"> is collected but are not occupied as </w:t>
            </w:r>
            <w:r w:rsidR="00BB5A05">
              <w:rPr>
                <w:lang w:val="en-US"/>
              </w:rPr>
              <w:t>household</w:t>
            </w:r>
            <w:r w:rsidRPr="009A191E">
              <w:rPr>
                <w:lang w:val="en-US"/>
              </w:rPr>
              <w:t xml:space="preserve"> properties, i.e. domestic supplies to factories, offices and commercial premises, cattle troughs. </w:t>
            </w:r>
          </w:p>
        </w:tc>
      </w:tr>
      <w:tr w:rsidR="008E147C" w:rsidRPr="009A191E" w14:paraId="18685CE3" w14:textId="77777777" w:rsidTr="00CD5E6D">
        <w:tc>
          <w:tcPr>
            <w:tcW w:w="1982" w:type="dxa"/>
            <w:gridSpan w:val="2"/>
            <w:tcBorders>
              <w:top w:val="single" w:sz="4" w:space="0" w:color="FFFFFF"/>
              <w:left w:val="single" w:sz="4" w:space="0" w:color="FFFFFF"/>
              <w:bottom w:val="single" w:sz="4" w:space="0" w:color="FFFFFF"/>
              <w:right w:val="single" w:sz="4" w:space="0" w:color="FFFFFF"/>
            </w:tcBorders>
          </w:tcPr>
          <w:p w14:paraId="4E603F60" w14:textId="3118058E" w:rsidR="008E147C" w:rsidRPr="009A191E" w:rsidRDefault="008E147C" w:rsidP="000A25EF">
            <w:pPr>
              <w:pStyle w:val="Bodyromannumerals"/>
              <w:rPr>
                <w:i/>
                <w:lang w:val="en-US"/>
              </w:rPr>
            </w:pPr>
            <w:r w:rsidRPr="009A191E">
              <w:rPr>
                <w:i/>
                <w:lang w:val="en-US"/>
              </w:rPr>
              <w:t>Processing Rules:</w:t>
            </w:r>
          </w:p>
        </w:tc>
        <w:tc>
          <w:tcPr>
            <w:tcW w:w="5576" w:type="dxa"/>
            <w:gridSpan w:val="2"/>
            <w:tcBorders>
              <w:top w:val="single" w:sz="4" w:space="0" w:color="FFFFFF"/>
              <w:left w:val="single" w:sz="4" w:space="0" w:color="FFFFFF"/>
              <w:bottom w:val="single" w:sz="4" w:space="0" w:color="FFFFFF"/>
              <w:right w:val="single" w:sz="4" w:space="0" w:color="FFFFFF"/>
            </w:tcBorders>
          </w:tcPr>
          <w:p w14:paraId="5D6C222F" w14:textId="5F2BDF07" w:rsidR="008E147C" w:rsidRPr="009A191E" w:rsidRDefault="008E147C" w:rsidP="000A25EF">
            <w:pPr>
              <w:pStyle w:val="Bodyromannumerals"/>
              <w:rPr>
                <w:lang w:val="en-US"/>
              </w:rPr>
            </w:pPr>
            <w:r w:rsidRPr="009A191E">
              <w:rPr>
                <w:lang w:val="en-US"/>
              </w:rPr>
              <w:t>Input field</w:t>
            </w:r>
          </w:p>
        </w:tc>
      </w:tr>
    </w:tbl>
    <w:p w14:paraId="02EC2ADD" w14:textId="6100D7B9" w:rsidR="003C6FCE" w:rsidRDefault="003C6FCE"/>
    <w:p w14:paraId="69EF0BA1" w14:textId="77777777" w:rsidR="006427A4" w:rsidRDefault="006427A4">
      <w:r>
        <w:br w:type="page"/>
      </w:r>
    </w:p>
    <w:tbl>
      <w:tblPr>
        <w:tblStyle w:val="TableGrid3"/>
        <w:tblW w:w="0" w:type="auto"/>
        <w:tblLook w:val="04A0" w:firstRow="1" w:lastRow="0" w:firstColumn="1" w:lastColumn="0" w:noHBand="0" w:noVBand="1"/>
      </w:tblPr>
      <w:tblGrid>
        <w:gridCol w:w="974"/>
        <w:gridCol w:w="1008"/>
        <w:gridCol w:w="4424"/>
        <w:gridCol w:w="1152"/>
      </w:tblGrid>
      <w:tr w:rsidR="008E147C" w:rsidRPr="009A191E" w14:paraId="1C533535" w14:textId="77777777" w:rsidTr="00CD5E6D">
        <w:tc>
          <w:tcPr>
            <w:tcW w:w="974" w:type="dxa"/>
          </w:tcPr>
          <w:p w14:paraId="76C034F2" w14:textId="215F8E9E" w:rsidR="008E147C" w:rsidRPr="000A25EF" w:rsidRDefault="008E147C" w:rsidP="000A25EF">
            <w:pPr>
              <w:pStyle w:val="Bodyromannumerals"/>
              <w:rPr>
                <w:b/>
                <w:bCs/>
                <w:lang w:val="en-US"/>
              </w:rPr>
            </w:pPr>
            <w:r w:rsidRPr="000A25EF">
              <w:rPr>
                <w:b/>
                <w:bCs/>
                <w:lang w:val="en-US"/>
              </w:rPr>
              <w:lastRenderedPageBreak/>
              <w:t>A4.6</w:t>
            </w:r>
          </w:p>
        </w:tc>
        <w:tc>
          <w:tcPr>
            <w:tcW w:w="5432" w:type="dxa"/>
            <w:gridSpan w:val="2"/>
          </w:tcPr>
          <w:p w14:paraId="46BC28DE" w14:textId="0889FECB" w:rsidR="008E147C" w:rsidRPr="000A25EF" w:rsidRDefault="008E147C" w:rsidP="000A25EF">
            <w:pPr>
              <w:pStyle w:val="Bodyromannumerals"/>
              <w:rPr>
                <w:b/>
                <w:bCs/>
                <w:lang w:val="en-US"/>
              </w:rPr>
            </w:pPr>
            <w:r w:rsidRPr="000A25EF">
              <w:rPr>
                <w:b/>
                <w:bCs/>
                <w:lang w:val="en-US"/>
              </w:rPr>
              <w:t>Volume unmeasured non-</w:t>
            </w:r>
            <w:r w:rsidR="00BB5A05">
              <w:rPr>
                <w:b/>
                <w:bCs/>
                <w:lang w:val="en-US"/>
              </w:rPr>
              <w:t>household</w:t>
            </w:r>
            <w:r w:rsidRPr="000A25EF">
              <w:rPr>
                <w:b/>
                <w:bCs/>
                <w:lang w:val="en-US"/>
              </w:rPr>
              <w:t xml:space="preserve"> </w:t>
            </w:r>
            <w:r w:rsidR="00013779">
              <w:rPr>
                <w:b/>
                <w:bCs/>
                <w:lang w:val="en-US"/>
              </w:rPr>
              <w:t>wastewater</w:t>
            </w:r>
            <w:r w:rsidR="00013779" w:rsidRPr="000A25EF">
              <w:rPr>
                <w:b/>
                <w:bCs/>
                <w:lang w:val="en-US"/>
              </w:rPr>
              <w:t xml:space="preserve"> </w:t>
            </w:r>
            <w:r w:rsidRPr="000A25EF">
              <w:rPr>
                <w:b/>
                <w:bCs/>
                <w:lang w:val="en-US"/>
              </w:rPr>
              <w:t>with no charge</w:t>
            </w:r>
          </w:p>
        </w:tc>
        <w:tc>
          <w:tcPr>
            <w:tcW w:w="1152" w:type="dxa"/>
          </w:tcPr>
          <w:p w14:paraId="3B78975A" w14:textId="0199F5A7" w:rsidR="008E147C" w:rsidRPr="000A25EF" w:rsidRDefault="008E147C" w:rsidP="000A25EF">
            <w:pPr>
              <w:pStyle w:val="Bodyromannumerals"/>
              <w:rPr>
                <w:b/>
                <w:bCs/>
                <w:lang w:val="en-US"/>
              </w:rPr>
            </w:pPr>
            <w:r w:rsidRPr="000A25EF">
              <w:rPr>
                <w:b/>
                <w:bCs/>
                <w:lang w:val="en-US"/>
              </w:rPr>
              <w:t>000 m3/d</w:t>
            </w:r>
          </w:p>
        </w:tc>
      </w:tr>
      <w:tr w:rsidR="008E147C" w:rsidRPr="009A191E" w14:paraId="4B9717A0" w14:textId="77777777" w:rsidTr="00CD5E6D">
        <w:tc>
          <w:tcPr>
            <w:tcW w:w="1982" w:type="dxa"/>
            <w:gridSpan w:val="2"/>
            <w:tcBorders>
              <w:left w:val="single" w:sz="4" w:space="0" w:color="FFFFFF"/>
              <w:bottom w:val="single" w:sz="4" w:space="0" w:color="FFFFFF"/>
              <w:right w:val="single" w:sz="4" w:space="0" w:color="FFFFFF"/>
            </w:tcBorders>
          </w:tcPr>
          <w:p w14:paraId="3F2D001B" w14:textId="0D3A4A2E" w:rsidR="008E147C" w:rsidRPr="009A191E" w:rsidRDefault="008E147C" w:rsidP="000A25EF">
            <w:pPr>
              <w:pStyle w:val="Bodyromannumerals"/>
              <w:rPr>
                <w:i/>
                <w:lang w:val="en-US"/>
              </w:rPr>
            </w:pPr>
            <w:r w:rsidRPr="009A191E">
              <w:rPr>
                <w:i/>
                <w:lang w:val="en-US"/>
              </w:rPr>
              <w:t>Definition:</w:t>
            </w:r>
          </w:p>
        </w:tc>
        <w:tc>
          <w:tcPr>
            <w:tcW w:w="5576" w:type="dxa"/>
            <w:gridSpan w:val="2"/>
            <w:tcBorders>
              <w:left w:val="single" w:sz="4" w:space="0" w:color="FFFFFF"/>
              <w:bottom w:val="single" w:sz="4" w:space="0" w:color="FFFFFF"/>
              <w:right w:val="single" w:sz="4" w:space="0" w:color="FFFFFF"/>
            </w:tcBorders>
          </w:tcPr>
          <w:p w14:paraId="44069536" w14:textId="1910D402" w:rsidR="008E147C" w:rsidRPr="009A191E" w:rsidRDefault="008E147C" w:rsidP="000A25EF">
            <w:pPr>
              <w:pStyle w:val="Bodyromannumerals"/>
              <w:rPr>
                <w:lang w:val="en-US"/>
              </w:rPr>
            </w:pPr>
            <w:r w:rsidRPr="009A191E">
              <w:rPr>
                <w:lang w:val="en-US"/>
              </w:rPr>
              <w:t xml:space="preserve">Volume of unmeasured water that is returned to the </w:t>
            </w:r>
            <w:r w:rsidR="000157EF">
              <w:rPr>
                <w:lang w:val="en-US"/>
              </w:rPr>
              <w:t>wastewater</w:t>
            </w:r>
            <w:r w:rsidRPr="009A191E">
              <w:rPr>
                <w:lang w:val="en-US"/>
              </w:rPr>
              <w:t xml:space="preserve"> system with no charge</w:t>
            </w:r>
            <w:r w:rsidR="00CF142B">
              <w:rPr>
                <w:lang w:val="en-US"/>
              </w:rPr>
              <w:t xml:space="preserve"> </w:t>
            </w:r>
            <w:r w:rsidRPr="009A191E">
              <w:rPr>
                <w:lang w:val="en-US"/>
              </w:rPr>
              <w:t>Non-</w:t>
            </w:r>
            <w:r w:rsidR="00BB5A05">
              <w:rPr>
                <w:lang w:val="en-US"/>
              </w:rPr>
              <w:t>household</w:t>
            </w:r>
            <w:r w:rsidRPr="009A191E">
              <w:rPr>
                <w:lang w:val="en-US"/>
              </w:rPr>
              <w:t xml:space="preserve"> is defined as properties whose </w:t>
            </w:r>
            <w:r w:rsidR="00CF142B">
              <w:rPr>
                <w:lang w:val="en-US"/>
              </w:rPr>
              <w:t>wastewater</w:t>
            </w:r>
            <w:r w:rsidR="00CF142B" w:rsidRPr="009A191E">
              <w:rPr>
                <w:lang w:val="en-US"/>
              </w:rPr>
              <w:t xml:space="preserve"> </w:t>
            </w:r>
            <w:r w:rsidRPr="009A191E">
              <w:rPr>
                <w:lang w:val="en-US"/>
              </w:rPr>
              <w:t xml:space="preserve">is collected but are not occupied as </w:t>
            </w:r>
            <w:r w:rsidR="00BB5A05">
              <w:rPr>
                <w:lang w:val="en-US"/>
              </w:rPr>
              <w:t>household</w:t>
            </w:r>
            <w:r w:rsidRPr="009A191E">
              <w:rPr>
                <w:lang w:val="en-US"/>
              </w:rPr>
              <w:t xml:space="preserve"> properties, i.e. domestic supplies to factories, offices and commercial premises, cattle troughs. </w:t>
            </w:r>
          </w:p>
        </w:tc>
      </w:tr>
      <w:tr w:rsidR="008E147C" w:rsidRPr="009A191E" w14:paraId="6C8C9E06" w14:textId="77777777" w:rsidTr="00CD5E6D">
        <w:tc>
          <w:tcPr>
            <w:tcW w:w="1982" w:type="dxa"/>
            <w:gridSpan w:val="2"/>
            <w:tcBorders>
              <w:top w:val="single" w:sz="4" w:space="0" w:color="FFFFFF"/>
              <w:left w:val="single" w:sz="4" w:space="0" w:color="FFFFFF"/>
              <w:bottom w:val="single" w:sz="4" w:space="0" w:color="FFFFFF"/>
              <w:right w:val="single" w:sz="4" w:space="0" w:color="FFFFFF"/>
            </w:tcBorders>
          </w:tcPr>
          <w:p w14:paraId="7E723B40" w14:textId="79A166B2" w:rsidR="008E147C" w:rsidRPr="009A191E" w:rsidRDefault="008E147C" w:rsidP="000A25EF">
            <w:pPr>
              <w:pStyle w:val="Bodyromannumerals"/>
              <w:rPr>
                <w:lang w:val="en-US"/>
              </w:rPr>
            </w:pPr>
            <w:r w:rsidRPr="009A191E">
              <w:rPr>
                <w:lang w:val="en-US"/>
              </w:rPr>
              <w:t>Processing Rules:</w:t>
            </w:r>
          </w:p>
        </w:tc>
        <w:tc>
          <w:tcPr>
            <w:tcW w:w="5576" w:type="dxa"/>
            <w:gridSpan w:val="2"/>
            <w:tcBorders>
              <w:top w:val="single" w:sz="4" w:space="0" w:color="FFFFFF"/>
              <w:left w:val="single" w:sz="4" w:space="0" w:color="FFFFFF"/>
              <w:bottom w:val="single" w:sz="4" w:space="0" w:color="FFFFFF"/>
              <w:right w:val="single" w:sz="4" w:space="0" w:color="FFFFFF"/>
            </w:tcBorders>
          </w:tcPr>
          <w:p w14:paraId="7F57F630" w14:textId="103C7000" w:rsidR="008E147C" w:rsidRPr="009A191E" w:rsidRDefault="008E147C" w:rsidP="000A25EF">
            <w:pPr>
              <w:pStyle w:val="Bodyromannumerals"/>
              <w:rPr>
                <w:lang w:val="en-US"/>
              </w:rPr>
            </w:pPr>
            <w:r w:rsidRPr="009A191E">
              <w:rPr>
                <w:lang w:val="en-US"/>
              </w:rPr>
              <w:t>Input field</w:t>
            </w:r>
          </w:p>
        </w:tc>
      </w:tr>
      <w:tr w:rsidR="008E147C" w:rsidRPr="009A191E" w14:paraId="5D94D087" w14:textId="77777777" w:rsidTr="00CD5E6D">
        <w:tc>
          <w:tcPr>
            <w:tcW w:w="974" w:type="dxa"/>
          </w:tcPr>
          <w:p w14:paraId="69973F7E" w14:textId="03A73210" w:rsidR="008E147C" w:rsidRPr="000A25EF" w:rsidRDefault="008E147C" w:rsidP="000A25EF">
            <w:pPr>
              <w:pStyle w:val="Bodyromannumerals"/>
              <w:rPr>
                <w:b/>
                <w:bCs/>
                <w:lang w:val="en-US"/>
              </w:rPr>
            </w:pPr>
            <w:r w:rsidRPr="000A25EF">
              <w:rPr>
                <w:b/>
                <w:bCs/>
                <w:lang w:val="en-US"/>
              </w:rPr>
              <w:t>A4.7</w:t>
            </w:r>
          </w:p>
        </w:tc>
        <w:tc>
          <w:tcPr>
            <w:tcW w:w="5432" w:type="dxa"/>
            <w:gridSpan w:val="2"/>
          </w:tcPr>
          <w:p w14:paraId="6A6BB397" w14:textId="39180307" w:rsidR="008E147C" w:rsidRPr="000A25EF" w:rsidRDefault="008E147C" w:rsidP="000A25EF">
            <w:pPr>
              <w:pStyle w:val="Bodyromannumerals"/>
              <w:rPr>
                <w:b/>
                <w:bCs/>
                <w:lang w:val="en-US"/>
              </w:rPr>
            </w:pPr>
            <w:r w:rsidRPr="000A25EF">
              <w:rPr>
                <w:b/>
                <w:bCs/>
                <w:lang w:val="en-US"/>
              </w:rPr>
              <w:t xml:space="preserve">Volume unmeasured </w:t>
            </w:r>
            <w:r w:rsidR="00013779">
              <w:rPr>
                <w:b/>
                <w:bCs/>
                <w:lang w:val="en-US"/>
              </w:rPr>
              <w:t>wastewater</w:t>
            </w:r>
          </w:p>
        </w:tc>
        <w:tc>
          <w:tcPr>
            <w:tcW w:w="1152" w:type="dxa"/>
          </w:tcPr>
          <w:p w14:paraId="40D59A7F" w14:textId="3FEDAB6E" w:rsidR="008E147C" w:rsidRPr="000A25EF" w:rsidRDefault="008E147C" w:rsidP="000A25EF">
            <w:pPr>
              <w:pStyle w:val="Bodyromannumerals"/>
              <w:rPr>
                <w:b/>
                <w:bCs/>
                <w:lang w:val="en-US"/>
              </w:rPr>
            </w:pPr>
            <w:r w:rsidRPr="000A25EF">
              <w:rPr>
                <w:b/>
                <w:bCs/>
                <w:lang w:val="en-US"/>
              </w:rPr>
              <w:t>000 m3/d</w:t>
            </w:r>
          </w:p>
        </w:tc>
      </w:tr>
      <w:tr w:rsidR="008E147C" w:rsidRPr="009A191E" w14:paraId="47084628" w14:textId="77777777" w:rsidTr="00CD5E6D">
        <w:tc>
          <w:tcPr>
            <w:tcW w:w="1982" w:type="dxa"/>
            <w:gridSpan w:val="2"/>
            <w:tcBorders>
              <w:left w:val="single" w:sz="4" w:space="0" w:color="FFFFFF"/>
              <w:bottom w:val="single" w:sz="4" w:space="0" w:color="FFFFFF"/>
              <w:right w:val="single" w:sz="4" w:space="0" w:color="FFFFFF"/>
            </w:tcBorders>
          </w:tcPr>
          <w:p w14:paraId="3110B571" w14:textId="46E7FD2C" w:rsidR="008E147C" w:rsidRPr="00871522" w:rsidRDefault="008E147C" w:rsidP="000A25EF">
            <w:pPr>
              <w:pStyle w:val="Bodyromannumerals"/>
              <w:rPr>
                <w:i/>
                <w:iCs/>
                <w:lang w:val="en-US"/>
              </w:rPr>
            </w:pPr>
            <w:r w:rsidRPr="00871522">
              <w:rPr>
                <w:i/>
                <w:iCs/>
                <w:lang w:val="en-US"/>
              </w:rPr>
              <w:t>Definition:</w:t>
            </w:r>
          </w:p>
        </w:tc>
        <w:tc>
          <w:tcPr>
            <w:tcW w:w="5576" w:type="dxa"/>
            <w:gridSpan w:val="2"/>
            <w:tcBorders>
              <w:left w:val="single" w:sz="4" w:space="0" w:color="FFFFFF"/>
              <w:bottom w:val="single" w:sz="4" w:space="0" w:color="FFFFFF"/>
              <w:right w:val="single" w:sz="4" w:space="0" w:color="FFFFFF"/>
            </w:tcBorders>
          </w:tcPr>
          <w:p w14:paraId="690D8731" w14:textId="559B738C" w:rsidR="008E147C" w:rsidRPr="009A191E" w:rsidRDefault="008E147C" w:rsidP="000A25EF">
            <w:pPr>
              <w:pStyle w:val="Bodyromannumerals"/>
              <w:rPr>
                <w:lang w:val="en-US"/>
              </w:rPr>
            </w:pPr>
            <w:r w:rsidRPr="009A191E">
              <w:rPr>
                <w:lang w:val="en-US"/>
              </w:rPr>
              <w:t xml:space="preserve">Volume of water delivered to unmeasured water supplies that is returned to the </w:t>
            </w:r>
            <w:r w:rsidR="000157EF">
              <w:rPr>
                <w:lang w:val="en-US"/>
              </w:rPr>
              <w:t>wastewater</w:t>
            </w:r>
            <w:r w:rsidRPr="009A191E">
              <w:rPr>
                <w:lang w:val="en-US"/>
              </w:rPr>
              <w:t xml:space="preserve"> system.</w:t>
            </w:r>
          </w:p>
        </w:tc>
      </w:tr>
      <w:tr w:rsidR="008E147C" w:rsidRPr="009A191E" w14:paraId="76BE548D" w14:textId="77777777" w:rsidTr="00CD5E6D">
        <w:tc>
          <w:tcPr>
            <w:tcW w:w="1982" w:type="dxa"/>
            <w:gridSpan w:val="2"/>
            <w:tcBorders>
              <w:top w:val="single" w:sz="4" w:space="0" w:color="FFFFFF"/>
              <w:left w:val="single" w:sz="4" w:space="0" w:color="FFFFFF"/>
              <w:bottom w:val="single" w:sz="4" w:space="0" w:color="FFFFFF"/>
              <w:right w:val="single" w:sz="4" w:space="0" w:color="FFFFFF"/>
            </w:tcBorders>
          </w:tcPr>
          <w:p w14:paraId="237840D4" w14:textId="06929D9E" w:rsidR="008E147C" w:rsidRPr="00871522" w:rsidRDefault="008E147C" w:rsidP="000A25EF">
            <w:pPr>
              <w:pStyle w:val="Bodyromannumerals"/>
              <w:rPr>
                <w:i/>
                <w:iCs/>
                <w:lang w:val="en-US"/>
              </w:rPr>
            </w:pPr>
            <w:r w:rsidRPr="00871522">
              <w:rPr>
                <w:i/>
                <w:iCs/>
                <w:lang w:val="en-US"/>
              </w:rPr>
              <w:t>Processing Rules:</w:t>
            </w:r>
          </w:p>
        </w:tc>
        <w:tc>
          <w:tcPr>
            <w:tcW w:w="5576" w:type="dxa"/>
            <w:gridSpan w:val="2"/>
            <w:tcBorders>
              <w:top w:val="single" w:sz="4" w:space="0" w:color="FFFFFF"/>
              <w:left w:val="single" w:sz="4" w:space="0" w:color="FFFFFF"/>
              <w:bottom w:val="single" w:sz="4" w:space="0" w:color="FFFFFF"/>
              <w:right w:val="single" w:sz="4" w:space="0" w:color="FFFFFF"/>
            </w:tcBorders>
          </w:tcPr>
          <w:p w14:paraId="575BC5C1" w14:textId="4CE84B03" w:rsidR="008E147C" w:rsidRPr="009A191E" w:rsidRDefault="008E147C" w:rsidP="000A25EF">
            <w:pPr>
              <w:pStyle w:val="Bodyromannumerals"/>
              <w:rPr>
                <w:lang w:val="en-US"/>
              </w:rPr>
            </w:pPr>
            <w:r w:rsidRPr="009A191E">
              <w:rPr>
                <w:lang w:val="en-US"/>
              </w:rPr>
              <w:t>Calculated field: the sum of A4.1 to A4.6.</w:t>
            </w:r>
          </w:p>
        </w:tc>
      </w:tr>
      <w:tr w:rsidR="008E147C" w:rsidRPr="009A191E" w14:paraId="67AA3FD1" w14:textId="77777777" w:rsidTr="00CD5E6D">
        <w:tc>
          <w:tcPr>
            <w:tcW w:w="974" w:type="dxa"/>
          </w:tcPr>
          <w:p w14:paraId="7EBEA473" w14:textId="7BDFD719" w:rsidR="008E147C" w:rsidRPr="000A25EF" w:rsidRDefault="008E147C" w:rsidP="000A25EF">
            <w:pPr>
              <w:pStyle w:val="Bodyromannumerals"/>
              <w:rPr>
                <w:b/>
                <w:bCs/>
                <w:lang w:val="en-US"/>
              </w:rPr>
            </w:pPr>
            <w:r w:rsidRPr="000A25EF">
              <w:rPr>
                <w:b/>
                <w:bCs/>
                <w:lang w:val="en-US"/>
              </w:rPr>
              <w:t>A4.8</w:t>
            </w:r>
          </w:p>
        </w:tc>
        <w:tc>
          <w:tcPr>
            <w:tcW w:w="5432" w:type="dxa"/>
            <w:gridSpan w:val="2"/>
          </w:tcPr>
          <w:p w14:paraId="72B7BA19" w14:textId="542857E6" w:rsidR="008E147C" w:rsidRPr="000A25EF" w:rsidRDefault="008E147C" w:rsidP="000A25EF">
            <w:pPr>
              <w:pStyle w:val="Bodyromannumerals"/>
              <w:rPr>
                <w:b/>
                <w:bCs/>
                <w:lang w:val="en-US"/>
              </w:rPr>
            </w:pPr>
            <w:r w:rsidRPr="000A25EF">
              <w:rPr>
                <w:b/>
                <w:bCs/>
                <w:lang w:val="en-US"/>
              </w:rPr>
              <w:t xml:space="preserve">Volume measured </w:t>
            </w:r>
            <w:r w:rsidR="00BB5A05">
              <w:rPr>
                <w:b/>
                <w:bCs/>
                <w:lang w:val="en-US"/>
              </w:rPr>
              <w:t>household</w:t>
            </w:r>
            <w:r w:rsidRPr="000A25EF">
              <w:rPr>
                <w:b/>
                <w:bCs/>
                <w:lang w:val="en-US"/>
              </w:rPr>
              <w:t xml:space="preserve"> </w:t>
            </w:r>
            <w:r w:rsidR="00013779">
              <w:rPr>
                <w:b/>
                <w:bCs/>
                <w:lang w:val="en-US"/>
              </w:rPr>
              <w:t>wastewater</w:t>
            </w:r>
          </w:p>
        </w:tc>
        <w:tc>
          <w:tcPr>
            <w:tcW w:w="1152" w:type="dxa"/>
          </w:tcPr>
          <w:p w14:paraId="0D6B47B2" w14:textId="41B55C9D" w:rsidR="008E147C" w:rsidRPr="000A25EF" w:rsidRDefault="008E147C" w:rsidP="000A25EF">
            <w:pPr>
              <w:pStyle w:val="Bodyromannumerals"/>
              <w:rPr>
                <w:b/>
                <w:bCs/>
                <w:lang w:val="en-US"/>
              </w:rPr>
            </w:pPr>
            <w:r w:rsidRPr="000A25EF">
              <w:rPr>
                <w:b/>
                <w:bCs/>
                <w:lang w:val="en-US"/>
              </w:rPr>
              <w:t>000 m3/d</w:t>
            </w:r>
          </w:p>
        </w:tc>
      </w:tr>
      <w:tr w:rsidR="008E147C" w:rsidRPr="009A191E" w14:paraId="358534EF" w14:textId="77777777" w:rsidTr="00CD5E6D">
        <w:tc>
          <w:tcPr>
            <w:tcW w:w="1982" w:type="dxa"/>
            <w:gridSpan w:val="2"/>
            <w:tcBorders>
              <w:left w:val="single" w:sz="4" w:space="0" w:color="FFFFFF"/>
              <w:bottom w:val="single" w:sz="4" w:space="0" w:color="FFFFFF"/>
              <w:right w:val="single" w:sz="4" w:space="0" w:color="FFFFFF"/>
            </w:tcBorders>
          </w:tcPr>
          <w:p w14:paraId="095F320F" w14:textId="52DDEDAC" w:rsidR="008E147C" w:rsidRPr="00871522" w:rsidRDefault="008E147C" w:rsidP="000A25EF">
            <w:pPr>
              <w:pStyle w:val="Bodyromannumerals"/>
              <w:rPr>
                <w:i/>
                <w:iCs/>
                <w:lang w:val="en-US"/>
              </w:rPr>
            </w:pPr>
            <w:r w:rsidRPr="00871522">
              <w:rPr>
                <w:i/>
                <w:iCs/>
                <w:lang w:val="en-US"/>
              </w:rPr>
              <w:t>Definition:</w:t>
            </w:r>
          </w:p>
        </w:tc>
        <w:tc>
          <w:tcPr>
            <w:tcW w:w="5576" w:type="dxa"/>
            <w:gridSpan w:val="2"/>
            <w:tcBorders>
              <w:left w:val="single" w:sz="4" w:space="0" w:color="FFFFFF"/>
              <w:bottom w:val="single" w:sz="4" w:space="0" w:color="FFFFFF"/>
              <w:right w:val="single" w:sz="4" w:space="0" w:color="FFFFFF"/>
            </w:tcBorders>
          </w:tcPr>
          <w:p w14:paraId="241029F7" w14:textId="269BAD21" w:rsidR="008E147C" w:rsidRPr="009A191E" w:rsidRDefault="008E147C" w:rsidP="000A25EF">
            <w:pPr>
              <w:pStyle w:val="Bodyromannumerals"/>
              <w:rPr>
                <w:lang w:val="en-US"/>
              </w:rPr>
            </w:pPr>
            <w:r w:rsidRPr="009A191E">
              <w:rPr>
                <w:lang w:val="en-US"/>
              </w:rPr>
              <w:t xml:space="preserve">Volume of measured </w:t>
            </w:r>
            <w:r w:rsidR="00BB5A05">
              <w:rPr>
                <w:lang w:val="en-US"/>
              </w:rPr>
              <w:t>household</w:t>
            </w:r>
            <w:r w:rsidRPr="009A191E">
              <w:rPr>
                <w:lang w:val="en-US"/>
              </w:rPr>
              <w:t xml:space="preserve"> </w:t>
            </w:r>
            <w:r w:rsidR="00D83187">
              <w:rPr>
                <w:lang w:val="en-US"/>
              </w:rPr>
              <w:t>wastewater</w:t>
            </w:r>
            <w:r w:rsidR="00D83187" w:rsidRPr="009A191E">
              <w:rPr>
                <w:lang w:val="en-US"/>
              </w:rPr>
              <w:t xml:space="preserve"> </w:t>
            </w:r>
            <w:r w:rsidRPr="009A191E">
              <w:rPr>
                <w:lang w:val="en-US"/>
              </w:rPr>
              <w:t xml:space="preserve">effluent discharged to the </w:t>
            </w:r>
            <w:r w:rsidR="000157EF">
              <w:rPr>
                <w:lang w:val="en-US"/>
              </w:rPr>
              <w:t>wastewater</w:t>
            </w:r>
            <w:r w:rsidRPr="009A191E">
              <w:rPr>
                <w:lang w:val="en-US"/>
              </w:rPr>
              <w:t xml:space="preserve"> system.</w:t>
            </w:r>
            <w:r w:rsidR="00D83187">
              <w:rPr>
                <w:lang w:val="en-US"/>
              </w:rPr>
              <w:t xml:space="preserve"> </w:t>
            </w:r>
            <w:r w:rsidR="009B5D7D">
              <w:rPr>
                <w:lang w:val="en-US"/>
              </w:rPr>
              <w:t xml:space="preserve">If </w:t>
            </w:r>
            <w:r w:rsidR="00153D2C">
              <w:rPr>
                <w:lang w:val="en-US"/>
              </w:rPr>
              <w:t>applicable</w:t>
            </w:r>
            <w:r w:rsidR="009B5D7D">
              <w:rPr>
                <w:lang w:val="en-US"/>
              </w:rPr>
              <w:t xml:space="preserve">, please provide the return to sewer assumption in the commentary (e.g. in the UK, a return to sewer assumption </w:t>
            </w:r>
            <w:r w:rsidR="00EC3D6D">
              <w:rPr>
                <w:lang w:val="en-US"/>
              </w:rPr>
              <w:t xml:space="preserve">of 95% is used). </w:t>
            </w:r>
          </w:p>
          <w:p w14:paraId="1B26AB45" w14:textId="31FD3DBC" w:rsidR="008E147C" w:rsidRPr="009A191E" w:rsidRDefault="008E147C" w:rsidP="000A25EF">
            <w:pPr>
              <w:pStyle w:val="Bodyromannumerals"/>
              <w:rPr>
                <w:lang w:val="en-US"/>
              </w:rPr>
            </w:pPr>
          </w:p>
        </w:tc>
      </w:tr>
      <w:tr w:rsidR="008E147C" w:rsidRPr="009A191E" w14:paraId="211C4223" w14:textId="77777777" w:rsidTr="00CD5E6D">
        <w:tc>
          <w:tcPr>
            <w:tcW w:w="1982" w:type="dxa"/>
            <w:gridSpan w:val="2"/>
            <w:tcBorders>
              <w:top w:val="single" w:sz="4" w:space="0" w:color="FFFFFF"/>
              <w:left w:val="single" w:sz="4" w:space="0" w:color="FFFFFF"/>
              <w:bottom w:val="single" w:sz="4" w:space="0" w:color="FFFFFF"/>
              <w:right w:val="single" w:sz="4" w:space="0" w:color="FFFFFF"/>
            </w:tcBorders>
          </w:tcPr>
          <w:p w14:paraId="524C7782" w14:textId="4C9DE9CF" w:rsidR="008E147C" w:rsidRPr="00871522" w:rsidRDefault="008E147C" w:rsidP="000A25EF">
            <w:pPr>
              <w:pStyle w:val="Bodyromannumerals"/>
              <w:rPr>
                <w:i/>
                <w:iCs/>
                <w:lang w:val="en-US"/>
              </w:rPr>
            </w:pPr>
            <w:r w:rsidRPr="00871522">
              <w:rPr>
                <w:i/>
                <w:iCs/>
                <w:lang w:val="en-US"/>
              </w:rPr>
              <w:t>Processing Rules:</w:t>
            </w:r>
          </w:p>
        </w:tc>
        <w:tc>
          <w:tcPr>
            <w:tcW w:w="5576" w:type="dxa"/>
            <w:gridSpan w:val="2"/>
            <w:tcBorders>
              <w:top w:val="single" w:sz="4" w:space="0" w:color="FFFFFF"/>
              <w:left w:val="single" w:sz="4" w:space="0" w:color="FFFFFF"/>
              <w:bottom w:val="single" w:sz="4" w:space="0" w:color="FFFFFF"/>
              <w:right w:val="single" w:sz="4" w:space="0" w:color="FFFFFF"/>
            </w:tcBorders>
          </w:tcPr>
          <w:p w14:paraId="5A91A964" w14:textId="6FBD4F73" w:rsidR="008E147C" w:rsidRPr="009A191E" w:rsidRDefault="008E147C" w:rsidP="000A25EF">
            <w:pPr>
              <w:pStyle w:val="Bodyromannumerals"/>
              <w:rPr>
                <w:lang w:val="en-US"/>
              </w:rPr>
            </w:pPr>
            <w:r w:rsidRPr="009A191E">
              <w:rPr>
                <w:lang w:val="en-US"/>
              </w:rPr>
              <w:t>Input field</w:t>
            </w:r>
          </w:p>
        </w:tc>
      </w:tr>
      <w:tr w:rsidR="008E147C" w:rsidRPr="009A191E" w14:paraId="6F7D271E" w14:textId="77777777" w:rsidTr="00CD5E6D">
        <w:tc>
          <w:tcPr>
            <w:tcW w:w="974" w:type="dxa"/>
          </w:tcPr>
          <w:p w14:paraId="54220644" w14:textId="6DD3344A" w:rsidR="008E147C" w:rsidRPr="000A25EF" w:rsidRDefault="008E147C" w:rsidP="000A25EF">
            <w:pPr>
              <w:pStyle w:val="Bodyromannumerals"/>
              <w:rPr>
                <w:b/>
                <w:bCs/>
                <w:lang w:val="en-US"/>
              </w:rPr>
            </w:pPr>
            <w:r w:rsidRPr="000A25EF">
              <w:rPr>
                <w:b/>
                <w:bCs/>
                <w:lang w:val="en-US"/>
              </w:rPr>
              <w:t>A4.8a</w:t>
            </w:r>
          </w:p>
        </w:tc>
        <w:tc>
          <w:tcPr>
            <w:tcW w:w="5432" w:type="dxa"/>
            <w:gridSpan w:val="2"/>
          </w:tcPr>
          <w:p w14:paraId="38573878" w14:textId="08D251D6" w:rsidR="008E147C" w:rsidRPr="000A25EF" w:rsidRDefault="008E147C" w:rsidP="000A25EF">
            <w:pPr>
              <w:pStyle w:val="Bodyromannumerals"/>
              <w:rPr>
                <w:b/>
                <w:bCs/>
                <w:lang w:val="en-US"/>
              </w:rPr>
            </w:pPr>
            <w:bookmarkStart w:id="6" w:name="_Hlk522265772"/>
            <w:r w:rsidRPr="000A25EF">
              <w:rPr>
                <w:b/>
                <w:bCs/>
                <w:lang w:val="en-US"/>
              </w:rPr>
              <w:t>Volume measured non-</w:t>
            </w:r>
            <w:r w:rsidR="00BB5A05">
              <w:rPr>
                <w:b/>
                <w:bCs/>
                <w:lang w:val="en-US"/>
              </w:rPr>
              <w:t>household</w:t>
            </w:r>
            <w:r w:rsidRPr="000A25EF">
              <w:rPr>
                <w:b/>
                <w:bCs/>
                <w:lang w:val="en-US"/>
              </w:rPr>
              <w:t xml:space="preserve"> </w:t>
            </w:r>
            <w:bookmarkEnd w:id="6"/>
            <w:r w:rsidR="00013779">
              <w:rPr>
                <w:b/>
                <w:bCs/>
                <w:lang w:val="en-US"/>
              </w:rPr>
              <w:t>wastewater</w:t>
            </w:r>
          </w:p>
        </w:tc>
        <w:tc>
          <w:tcPr>
            <w:tcW w:w="1152" w:type="dxa"/>
          </w:tcPr>
          <w:p w14:paraId="051E1E4D" w14:textId="611F8DED" w:rsidR="008E147C" w:rsidRPr="000A25EF" w:rsidRDefault="008E147C" w:rsidP="000A25EF">
            <w:pPr>
              <w:pStyle w:val="Bodyromannumerals"/>
              <w:rPr>
                <w:b/>
                <w:bCs/>
                <w:lang w:val="en-US"/>
              </w:rPr>
            </w:pPr>
            <w:r w:rsidRPr="000A25EF">
              <w:rPr>
                <w:b/>
                <w:bCs/>
                <w:lang w:val="en-US"/>
              </w:rPr>
              <w:t>000 m3/d</w:t>
            </w:r>
          </w:p>
        </w:tc>
      </w:tr>
      <w:tr w:rsidR="008E147C" w:rsidRPr="009A191E" w14:paraId="04B7FEA8" w14:textId="77777777" w:rsidTr="00CD5E6D">
        <w:tc>
          <w:tcPr>
            <w:tcW w:w="1982" w:type="dxa"/>
            <w:gridSpan w:val="2"/>
            <w:tcBorders>
              <w:left w:val="single" w:sz="4" w:space="0" w:color="FFFFFF"/>
              <w:bottom w:val="single" w:sz="4" w:space="0" w:color="FFFFFF"/>
              <w:right w:val="single" w:sz="4" w:space="0" w:color="FFFFFF"/>
            </w:tcBorders>
          </w:tcPr>
          <w:p w14:paraId="2F529E1D" w14:textId="7A5E2D91" w:rsidR="008E147C" w:rsidRPr="009A191E" w:rsidRDefault="008E147C" w:rsidP="000A25EF">
            <w:pPr>
              <w:pStyle w:val="Bodyromannumerals"/>
              <w:rPr>
                <w:i/>
                <w:lang w:val="en-US"/>
              </w:rPr>
            </w:pPr>
            <w:r w:rsidRPr="009A191E">
              <w:rPr>
                <w:i/>
                <w:lang w:val="en-US"/>
              </w:rPr>
              <w:t>Definition:</w:t>
            </w:r>
          </w:p>
        </w:tc>
        <w:tc>
          <w:tcPr>
            <w:tcW w:w="5576" w:type="dxa"/>
            <w:gridSpan w:val="2"/>
            <w:tcBorders>
              <w:left w:val="single" w:sz="4" w:space="0" w:color="FFFFFF"/>
              <w:bottom w:val="single" w:sz="4" w:space="0" w:color="FFFFFF"/>
              <w:right w:val="single" w:sz="4" w:space="0" w:color="FFFFFF"/>
            </w:tcBorders>
          </w:tcPr>
          <w:p w14:paraId="0F888DE3" w14:textId="32963E9F" w:rsidR="008E147C" w:rsidRPr="009A191E" w:rsidRDefault="008E147C" w:rsidP="000A25EF">
            <w:pPr>
              <w:pStyle w:val="Bodyromannumerals"/>
              <w:rPr>
                <w:lang w:val="en-US"/>
              </w:rPr>
            </w:pPr>
            <w:bookmarkStart w:id="7" w:name="_Hlk522265783"/>
            <w:r w:rsidRPr="009A191E">
              <w:rPr>
                <w:lang w:val="en-US"/>
              </w:rPr>
              <w:t>Volume of measured non-</w:t>
            </w:r>
            <w:r w:rsidR="00BB5A05">
              <w:rPr>
                <w:lang w:val="en-US"/>
              </w:rPr>
              <w:t>household</w:t>
            </w:r>
            <w:r w:rsidRPr="009A191E">
              <w:rPr>
                <w:lang w:val="en-US"/>
              </w:rPr>
              <w:t xml:space="preserve"> </w:t>
            </w:r>
            <w:r w:rsidR="00EC3D6D">
              <w:rPr>
                <w:lang w:val="en-US"/>
              </w:rPr>
              <w:t>wastewater</w:t>
            </w:r>
            <w:r w:rsidR="00EC3D6D" w:rsidRPr="009A191E">
              <w:rPr>
                <w:lang w:val="en-US"/>
              </w:rPr>
              <w:t xml:space="preserve"> </w:t>
            </w:r>
            <w:r w:rsidRPr="009A191E">
              <w:rPr>
                <w:lang w:val="en-US"/>
              </w:rPr>
              <w:t xml:space="preserve">effluent discharged to the </w:t>
            </w:r>
            <w:r w:rsidR="000157EF">
              <w:rPr>
                <w:lang w:val="en-US"/>
              </w:rPr>
              <w:t>wastewater</w:t>
            </w:r>
            <w:r w:rsidRPr="009A191E">
              <w:rPr>
                <w:lang w:val="en-US"/>
              </w:rPr>
              <w:t xml:space="preserve"> system.</w:t>
            </w:r>
            <w:bookmarkEnd w:id="7"/>
            <w:r w:rsidR="00EC3D6D">
              <w:rPr>
                <w:lang w:val="en-US"/>
              </w:rPr>
              <w:t xml:space="preserve"> If </w:t>
            </w:r>
            <w:r w:rsidR="00153D2C">
              <w:rPr>
                <w:lang w:val="en-US"/>
              </w:rPr>
              <w:t>applicable</w:t>
            </w:r>
            <w:r w:rsidR="00EC3D6D">
              <w:rPr>
                <w:lang w:val="en-US"/>
              </w:rPr>
              <w:t>, please provide the return to sewer assumption in the commentary (e.g. in the UK, a return to sewer assumption of 95% is used).</w:t>
            </w:r>
          </w:p>
        </w:tc>
      </w:tr>
      <w:tr w:rsidR="008E147C" w:rsidRPr="009A191E" w14:paraId="60318D69" w14:textId="77777777" w:rsidTr="00CD5E6D">
        <w:tc>
          <w:tcPr>
            <w:tcW w:w="1982" w:type="dxa"/>
            <w:gridSpan w:val="2"/>
            <w:tcBorders>
              <w:top w:val="single" w:sz="4" w:space="0" w:color="FFFFFF"/>
              <w:left w:val="single" w:sz="4" w:space="0" w:color="FFFFFF"/>
              <w:bottom w:val="single" w:sz="4" w:space="0" w:color="FFFFFF"/>
              <w:right w:val="single" w:sz="4" w:space="0" w:color="FFFFFF"/>
            </w:tcBorders>
          </w:tcPr>
          <w:p w14:paraId="21B1278F" w14:textId="6C91847C" w:rsidR="008E147C" w:rsidRPr="009A191E" w:rsidRDefault="008E147C" w:rsidP="000A25EF">
            <w:pPr>
              <w:pStyle w:val="Bodyromannumerals"/>
              <w:rPr>
                <w:i/>
                <w:lang w:val="en-US"/>
              </w:rPr>
            </w:pPr>
            <w:r w:rsidRPr="009A191E">
              <w:rPr>
                <w:i/>
                <w:lang w:val="en-US"/>
              </w:rPr>
              <w:t>Processing Rules:</w:t>
            </w:r>
          </w:p>
        </w:tc>
        <w:tc>
          <w:tcPr>
            <w:tcW w:w="5576" w:type="dxa"/>
            <w:gridSpan w:val="2"/>
            <w:tcBorders>
              <w:top w:val="single" w:sz="4" w:space="0" w:color="FFFFFF"/>
              <w:left w:val="single" w:sz="4" w:space="0" w:color="FFFFFF"/>
              <w:bottom w:val="single" w:sz="4" w:space="0" w:color="FFFFFF"/>
              <w:right w:val="single" w:sz="4" w:space="0" w:color="FFFFFF"/>
            </w:tcBorders>
          </w:tcPr>
          <w:p w14:paraId="24475917" w14:textId="42C3CCB8" w:rsidR="008E147C" w:rsidRPr="009A191E" w:rsidRDefault="008E147C" w:rsidP="000A25EF">
            <w:pPr>
              <w:pStyle w:val="Bodyromannumerals"/>
              <w:rPr>
                <w:lang w:val="en-US"/>
              </w:rPr>
            </w:pPr>
            <w:r w:rsidRPr="009A191E">
              <w:rPr>
                <w:lang w:val="en-US"/>
              </w:rPr>
              <w:t>Input field</w:t>
            </w:r>
          </w:p>
        </w:tc>
      </w:tr>
      <w:tr w:rsidR="008E147C" w:rsidRPr="009A191E" w14:paraId="3A15ED1B" w14:textId="77777777" w:rsidTr="00CD5E6D">
        <w:tc>
          <w:tcPr>
            <w:tcW w:w="974" w:type="dxa"/>
          </w:tcPr>
          <w:p w14:paraId="680AEEFA" w14:textId="0FE105B1" w:rsidR="008E147C" w:rsidRPr="000A25EF" w:rsidRDefault="008E147C" w:rsidP="000A25EF">
            <w:pPr>
              <w:pStyle w:val="Bodyromannumerals"/>
              <w:rPr>
                <w:b/>
                <w:bCs/>
                <w:lang w:val="en-US"/>
              </w:rPr>
            </w:pPr>
            <w:r w:rsidRPr="000A25EF">
              <w:rPr>
                <w:b/>
                <w:bCs/>
                <w:lang w:val="en-US"/>
              </w:rPr>
              <w:t>A4.9</w:t>
            </w:r>
          </w:p>
        </w:tc>
        <w:tc>
          <w:tcPr>
            <w:tcW w:w="5432" w:type="dxa"/>
            <w:gridSpan w:val="2"/>
          </w:tcPr>
          <w:p w14:paraId="067ED400" w14:textId="40492E3E" w:rsidR="008E147C" w:rsidRPr="000A25EF" w:rsidRDefault="008E147C" w:rsidP="000A25EF">
            <w:pPr>
              <w:pStyle w:val="Bodyromannumerals"/>
              <w:rPr>
                <w:b/>
                <w:bCs/>
                <w:lang w:val="en-US"/>
              </w:rPr>
            </w:pPr>
            <w:r w:rsidRPr="000A25EF">
              <w:rPr>
                <w:b/>
                <w:bCs/>
                <w:lang w:val="en-US"/>
              </w:rPr>
              <w:t>Volume measured non-</w:t>
            </w:r>
            <w:r w:rsidR="00BB5A05">
              <w:rPr>
                <w:b/>
                <w:bCs/>
                <w:lang w:val="en-US"/>
              </w:rPr>
              <w:t>household</w:t>
            </w:r>
            <w:r w:rsidRPr="000A25EF">
              <w:rPr>
                <w:b/>
                <w:bCs/>
                <w:lang w:val="en-US"/>
              </w:rPr>
              <w:t xml:space="preserve"> </w:t>
            </w:r>
            <w:r w:rsidR="00013779">
              <w:rPr>
                <w:b/>
                <w:bCs/>
                <w:lang w:val="en-US"/>
              </w:rPr>
              <w:t>wastewater</w:t>
            </w:r>
            <w:r w:rsidR="00013779" w:rsidRPr="000A25EF">
              <w:rPr>
                <w:b/>
                <w:bCs/>
                <w:lang w:val="en-US"/>
              </w:rPr>
              <w:t xml:space="preserve"> </w:t>
            </w:r>
            <w:r w:rsidRPr="000A25EF">
              <w:rPr>
                <w:b/>
                <w:bCs/>
                <w:lang w:val="en-US"/>
              </w:rPr>
              <w:t>– relief of charges</w:t>
            </w:r>
          </w:p>
        </w:tc>
        <w:tc>
          <w:tcPr>
            <w:tcW w:w="1152" w:type="dxa"/>
          </w:tcPr>
          <w:p w14:paraId="4A97BC0C" w14:textId="4C2BE78C" w:rsidR="008E147C" w:rsidRPr="000A25EF" w:rsidRDefault="008E147C" w:rsidP="000A25EF">
            <w:pPr>
              <w:pStyle w:val="Bodyromannumerals"/>
              <w:rPr>
                <w:b/>
                <w:bCs/>
                <w:lang w:val="en-US"/>
              </w:rPr>
            </w:pPr>
            <w:r w:rsidRPr="000A25EF">
              <w:rPr>
                <w:b/>
                <w:bCs/>
                <w:lang w:val="en-US"/>
              </w:rPr>
              <w:t>000 m3/d</w:t>
            </w:r>
          </w:p>
        </w:tc>
      </w:tr>
      <w:tr w:rsidR="008E147C" w:rsidRPr="009A191E" w14:paraId="419680E2" w14:textId="77777777" w:rsidTr="00CD5E6D">
        <w:tc>
          <w:tcPr>
            <w:tcW w:w="1982" w:type="dxa"/>
            <w:gridSpan w:val="2"/>
            <w:tcBorders>
              <w:left w:val="single" w:sz="4" w:space="0" w:color="FFFFFF"/>
              <w:bottom w:val="single" w:sz="4" w:space="0" w:color="FFFFFF"/>
              <w:right w:val="single" w:sz="4" w:space="0" w:color="FFFFFF"/>
            </w:tcBorders>
          </w:tcPr>
          <w:p w14:paraId="7635E8FE" w14:textId="1CBA376D" w:rsidR="008E147C" w:rsidRPr="009A191E" w:rsidRDefault="008E147C" w:rsidP="000A25EF">
            <w:pPr>
              <w:pStyle w:val="Bodyromannumerals"/>
              <w:rPr>
                <w:i/>
                <w:lang w:val="en-US"/>
              </w:rPr>
            </w:pPr>
            <w:r w:rsidRPr="009A191E">
              <w:rPr>
                <w:i/>
                <w:lang w:val="en-US"/>
              </w:rPr>
              <w:t>Definition:</w:t>
            </w:r>
          </w:p>
        </w:tc>
        <w:tc>
          <w:tcPr>
            <w:tcW w:w="5576" w:type="dxa"/>
            <w:gridSpan w:val="2"/>
            <w:tcBorders>
              <w:left w:val="single" w:sz="4" w:space="0" w:color="FFFFFF"/>
              <w:bottom w:val="single" w:sz="4" w:space="0" w:color="FFFFFF"/>
              <w:right w:val="single" w:sz="4" w:space="0" w:color="FFFFFF"/>
            </w:tcBorders>
          </w:tcPr>
          <w:p w14:paraId="0D383D5B" w14:textId="66096765" w:rsidR="008E147C" w:rsidRPr="009A191E" w:rsidRDefault="008E147C" w:rsidP="000A25EF">
            <w:pPr>
              <w:pStyle w:val="Bodyromannumerals"/>
              <w:rPr>
                <w:lang w:val="en-US"/>
              </w:rPr>
            </w:pPr>
            <w:r w:rsidRPr="009A191E">
              <w:rPr>
                <w:lang w:val="en-US"/>
              </w:rPr>
              <w:t>Volume of measured non-</w:t>
            </w:r>
            <w:r w:rsidR="00BB5A05">
              <w:rPr>
                <w:lang w:val="en-US"/>
              </w:rPr>
              <w:t>household</w:t>
            </w:r>
            <w:r w:rsidRPr="009A191E">
              <w:rPr>
                <w:lang w:val="en-US"/>
              </w:rPr>
              <w:t xml:space="preserve"> </w:t>
            </w:r>
            <w:r w:rsidR="00EC3D6D">
              <w:rPr>
                <w:lang w:val="en-US"/>
              </w:rPr>
              <w:t>wastewater</w:t>
            </w:r>
            <w:r w:rsidR="00EC3D6D" w:rsidRPr="009A191E">
              <w:rPr>
                <w:lang w:val="en-US"/>
              </w:rPr>
              <w:t xml:space="preserve"> </w:t>
            </w:r>
            <w:r w:rsidRPr="009A191E">
              <w:rPr>
                <w:lang w:val="en-US"/>
              </w:rPr>
              <w:t xml:space="preserve">discharged to </w:t>
            </w:r>
            <w:r w:rsidR="000157EF">
              <w:rPr>
                <w:lang w:val="en-US"/>
              </w:rPr>
              <w:t>wastewater</w:t>
            </w:r>
            <w:r w:rsidRPr="009A191E">
              <w:rPr>
                <w:lang w:val="en-US"/>
              </w:rPr>
              <w:t xml:space="preserve"> system by customers with relief of charges.</w:t>
            </w:r>
            <w:r w:rsidR="00AC7243">
              <w:rPr>
                <w:lang w:val="en-US"/>
              </w:rPr>
              <w:t xml:space="preserve"> If applicable, please provide the return to sewer assumption in the commentary (e.g. in the UK, a return to sewer assumption of 95% is used).</w:t>
            </w:r>
            <w:r w:rsidRPr="009A191E">
              <w:rPr>
                <w:lang w:val="en-US"/>
              </w:rPr>
              <w:t xml:space="preserve"> </w:t>
            </w:r>
          </w:p>
        </w:tc>
      </w:tr>
      <w:tr w:rsidR="008E147C" w:rsidRPr="009A191E" w14:paraId="770964EC" w14:textId="77777777" w:rsidTr="00CD5E6D">
        <w:tc>
          <w:tcPr>
            <w:tcW w:w="1982" w:type="dxa"/>
            <w:gridSpan w:val="2"/>
            <w:tcBorders>
              <w:top w:val="single" w:sz="4" w:space="0" w:color="FFFFFF"/>
              <w:left w:val="single" w:sz="4" w:space="0" w:color="FFFFFF"/>
              <w:bottom w:val="single" w:sz="4" w:space="0" w:color="FFFFFF"/>
              <w:right w:val="single" w:sz="4" w:space="0" w:color="FFFFFF"/>
            </w:tcBorders>
          </w:tcPr>
          <w:p w14:paraId="45DB3A1D" w14:textId="32259959" w:rsidR="008E147C" w:rsidRPr="009A191E" w:rsidRDefault="008E147C" w:rsidP="000A25EF">
            <w:pPr>
              <w:pStyle w:val="Bodyromannumerals"/>
              <w:rPr>
                <w:i/>
                <w:lang w:val="en-US"/>
              </w:rPr>
            </w:pPr>
            <w:r w:rsidRPr="009A191E">
              <w:rPr>
                <w:i/>
                <w:lang w:val="en-US"/>
              </w:rPr>
              <w:t>Processing Rules:</w:t>
            </w:r>
          </w:p>
        </w:tc>
        <w:tc>
          <w:tcPr>
            <w:tcW w:w="5576" w:type="dxa"/>
            <w:gridSpan w:val="2"/>
            <w:tcBorders>
              <w:top w:val="single" w:sz="4" w:space="0" w:color="FFFFFF"/>
              <w:left w:val="single" w:sz="4" w:space="0" w:color="FFFFFF"/>
              <w:bottom w:val="single" w:sz="4" w:space="0" w:color="FFFFFF"/>
              <w:right w:val="single" w:sz="4" w:space="0" w:color="FFFFFF"/>
            </w:tcBorders>
          </w:tcPr>
          <w:p w14:paraId="0651467A" w14:textId="2EED16E2" w:rsidR="008E147C" w:rsidRPr="009A191E" w:rsidRDefault="008E147C" w:rsidP="000A25EF">
            <w:pPr>
              <w:pStyle w:val="Bodyromannumerals"/>
              <w:rPr>
                <w:lang w:val="en-US"/>
              </w:rPr>
            </w:pPr>
            <w:r w:rsidRPr="009A191E">
              <w:rPr>
                <w:lang w:val="en-US"/>
              </w:rPr>
              <w:t>Input field</w:t>
            </w:r>
          </w:p>
        </w:tc>
      </w:tr>
    </w:tbl>
    <w:p w14:paraId="46ADF5B5" w14:textId="7860C5CC" w:rsidR="003C6FCE" w:rsidRDefault="003C6FCE"/>
    <w:tbl>
      <w:tblPr>
        <w:tblStyle w:val="TableGrid3"/>
        <w:tblW w:w="0" w:type="auto"/>
        <w:tblLook w:val="04A0" w:firstRow="1" w:lastRow="0" w:firstColumn="1" w:lastColumn="0" w:noHBand="0" w:noVBand="1"/>
      </w:tblPr>
      <w:tblGrid>
        <w:gridCol w:w="974"/>
        <w:gridCol w:w="1008"/>
        <w:gridCol w:w="4424"/>
        <w:gridCol w:w="1152"/>
      </w:tblGrid>
      <w:tr w:rsidR="008E147C" w:rsidRPr="009A191E" w14:paraId="17847D27" w14:textId="77777777" w:rsidTr="00CD5E6D">
        <w:tc>
          <w:tcPr>
            <w:tcW w:w="974" w:type="dxa"/>
          </w:tcPr>
          <w:p w14:paraId="3E71B130" w14:textId="393523DF" w:rsidR="008E147C" w:rsidRPr="000A25EF" w:rsidRDefault="008E147C" w:rsidP="000A25EF">
            <w:pPr>
              <w:pStyle w:val="Bodyromannumerals"/>
              <w:rPr>
                <w:b/>
                <w:bCs/>
                <w:lang w:val="en-US"/>
              </w:rPr>
            </w:pPr>
            <w:r w:rsidRPr="000A25EF">
              <w:rPr>
                <w:b/>
                <w:bCs/>
                <w:lang w:val="en-US"/>
              </w:rPr>
              <w:lastRenderedPageBreak/>
              <w:t>A4.10</w:t>
            </w:r>
          </w:p>
        </w:tc>
        <w:tc>
          <w:tcPr>
            <w:tcW w:w="5432" w:type="dxa"/>
            <w:gridSpan w:val="2"/>
          </w:tcPr>
          <w:p w14:paraId="2AA7573B" w14:textId="294F4BD4" w:rsidR="008E147C" w:rsidRPr="000A25EF" w:rsidRDefault="008E147C" w:rsidP="000A25EF">
            <w:pPr>
              <w:pStyle w:val="Bodyromannumerals"/>
              <w:rPr>
                <w:b/>
                <w:bCs/>
                <w:lang w:val="en-US"/>
              </w:rPr>
            </w:pPr>
            <w:r w:rsidRPr="000A25EF">
              <w:rPr>
                <w:b/>
                <w:bCs/>
                <w:lang w:val="en-US"/>
              </w:rPr>
              <w:t>Volume measured non-</w:t>
            </w:r>
            <w:r w:rsidR="00BB5A05">
              <w:rPr>
                <w:b/>
                <w:bCs/>
                <w:lang w:val="en-US"/>
              </w:rPr>
              <w:t>household</w:t>
            </w:r>
            <w:r w:rsidRPr="000A25EF">
              <w:rPr>
                <w:b/>
                <w:bCs/>
                <w:lang w:val="en-US"/>
              </w:rPr>
              <w:t xml:space="preserve"> </w:t>
            </w:r>
            <w:r w:rsidR="00013779">
              <w:rPr>
                <w:b/>
                <w:bCs/>
                <w:lang w:val="en-US"/>
              </w:rPr>
              <w:t>wastewater</w:t>
            </w:r>
            <w:r w:rsidR="00013779" w:rsidRPr="000A25EF">
              <w:rPr>
                <w:b/>
                <w:bCs/>
                <w:lang w:val="en-US"/>
              </w:rPr>
              <w:t xml:space="preserve"> </w:t>
            </w:r>
            <w:r w:rsidRPr="000A25EF">
              <w:rPr>
                <w:b/>
                <w:bCs/>
                <w:lang w:val="en-US"/>
              </w:rPr>
              <w:t>– no charge</w:t>
            </w:r>
          </w:p>
        </w:tc>
        <w:tc>
          <w:tcPr>
            <w:tcW w:w="1152" w:type="dxa"/>
          </w:tcPr>
          <w:p w14:paraId="70CA2F46" w14:textId="6778CADD" w:rsidR="008E147C" w:rsidRPr="000A25EF" w:rsidRDefault="008E147C" w:rsidP="000A25EF">
            <w:pPr>
              <w:pStyle w:val="Bodyromannumerals"/>
              <w:rPr>
                <w:b/>
                <w:bCs/>
                <w:lang w:val="en-US"/>
              </w:rPr>
            </w:pPr>
            <w:r w:rsidRPr="000A25EF">
              <w:rPr>
                <w:b/>
                <w:bCs/>
                <w:lang w:val="en-US"/>
              </w:rPr>
              <w:t>000 m3/d</w:t>
            </w:r>
          </w:p>
        </w:tc>
      </w:tr>
      <w:tr w:rsidR="008E147C" w:rsidRPr="009A191E" w14:paraId="3F0D93F0" w14:textId="77777777" w:rsidTr="00CD5E6D">
        <w:tc>
          <w:tcPr>
            <w:tcW w:w="1982" w:type="dxa"/>
            <w:gridSpan w:val="2"/>
            <w:tcBorders>
              <w:left w:val="single" w:sz="4" w:space="0" w:color="FFFFFF"/>
              <w:bottom w:val="single" w:sz="4" w:space="0" w:color="FFFFFF"/>
              <w:right w:val="single" w:sz="4" w:space="0" w:color="FFFFFF"/>
            </w:tcBorders>
          </w:tcPr>
          <w:p w14:paraId="50C20A39" w14:textId="073AABA2" w:rsidR="008E147C" w:rsidRPr="009A191E" w:rsidRDefault="008E147C" w:rsidP="000A25EF">
            <w:pPr>
              <w:pStyle w:val="Bodyromannumerals"/>
              <w:rPr>
                <w:i/>
                <w:lang w:val="en-US"/>
              </w:rPr>
            </w:pPr>
            <w:r w:rsidRPr="009A191E">
              <w:rPr>
                <w:i/>
                <w:lang w:val="en-US"/>
              </w:rPr>
              <w:t>Definition:</w:t>
            </w:r>
          </w:p>
        </w:tc>
        <w:tc>
          <w:tcPr>
            <w:tcW w:w="5576" w:type="dxa"/>
            <w:gridSpan w:val="2"/>
            <w:tcBorders>
              <w:left w:val="single" w:sz="4" w:space="0" w:color="FFFFFF"/>
              <w:bottom w:val="single" w:sz="4" w:space="0" w:color="FFFFFF"/>
              <w:right w:val="single" w:sz="4" w:space="0" w:color="FFFFFF"/>
            </w:tcBorders>
          </w:tcPr>
          <w:p w14:paraId="3F0F0A5E" w14:textId="3ABD20C7" w:rsidR="008E147C" w:rsidRPr="009A191E" w:rsidRDefault="008E147C" w:rsidP="000A25EF">
            <w:pPr>
              <w:pStyle w:val="Bodyromannumerals"/>
              <w:rPr>
                <w:lang w:val="en-US"/>
              </w:rPr>
            </w:pPr>
            <w:r w:rsidRPr="009A191E">
              <w:rPr>
                <w:lang w:val="en-US"/>
              </w:rPr>
              <w:t>Volume of measured non-</w:t>
            </w:r>
            <w:r w:rsidR="00BB5A05">
              <w:rPr>
                <w:lang w:val="en-US"/>
              </w:rPr>
              <w:t>household</w:t>
            </w:r>
            <w:r w:rsidRPr="009A191E">
              <w:rPr>
                <w:lang w:val="en-US"/>
              </w:rPr>
              <w:t xml:space="preserve"> </w:t>
            </w:r>
            <w:r w:rsidR="00AC7243">
              <w:rPr>
                <w:lang w:val="en-US"/>
              </w:rPr>
              <w:t>wastewater</w:t>
            </w:r>
            <w:r w:rsidR="00AC7243" w:rsidRPr="009A191E">
              <w:rPr>
                <w:lang w:val="en-US"/>
              </w:rPr>
              <w:t xml:space="preserve"> </w:t>
            </w:r>
            <w:r w:rsidRPr="009A191E">
              <w:rPr>
                <w:lang w:val="en-US"/>
              </w:rPr>
              <w:t xml:space="preserve">discharged to the </w:t>
            </w:r>
            <w:r w:rsidR="000157EF">
              <w:rPr>
                <w:lang w:val="en-US"/>
              </w:rPr>
              <w:t>wastewater</w:t>
            </w:r>
            <w:r w:rsidRPr="009A191E">
              <w:rPr>
                <w:lang w:val="en-US"/>
              </w:rPr>
              <w:t xml:space="preserve"> system by customers who have received the service but have not been charged. </w:t>
            </w:r>
            <w:r w:rsidR="007844AA">
              <w:rPr>
                <w:lang w:val="en-US"/>
              </w:rPr>
              <w:t xml:space="preserve"> If applicable, please provide the return to sewer assumption in the commentary (e.g. in the UK, a return to sewer assumption of 95% is used).</w:t>
            </w:r>
          </w:p>
        </w:tc>
      </w:tr>
      <w:tr w:rsidR="008E147C" w:rsidRPr="009A191E" w14:paraId="30C5E2D1" w14:textId="77777777" w:rsidTr="00CD5E6D">
        <w:tc>
          <w:tcPr>
            <w:tcW w:w="1982" w:type="dxa"/>
            <w:gridSpan w:val="2"/>
            <w:tcBorders>
              <w:top w:val="single" w:sz="4" w:space="0" w:color="FFFFFF"/>
              <w:left w:val="single" w:sz="4" w:space="0" w:color="FFFFFF"/>
              <w:bottom w:val="single" w:sz="4" w:space="0" w:color="FFFFFF"/>
              <w:right w:val="single" w:sz="4" w:space="0" w:color="FFFFFF"/>
            </w:tcBorders>
          </w:tcPr>
          <w:p w14:paraId="06F12539" w14:textId="0658442D" w:rsidR="008E147C" w:rsidRPr="009A191E" w:rsidRDefault="008E147C" w:rsidP="000A25EF">
            <w:pPr>
              <w:pStyle w:val="Bodyromannumerals"/>
              <w:rPr>
                <w:i/>
                <w:lang w:val="en-US"/>
              </w:rPr>
            </w:pPr>
            <w:r w:rsidRPr="009A191E">
              <w:rPr>
                <w:i/>
                <w:lang w:val="en-US"/>
              </w:rPr>
              <w:t>Processing Rules:</w:t>
            </w:r>
          </w:p>
        </w:tc>
        <w:tc>
          <w:tcPr>
            <w:tcW w:w="5576" w:type="dxa"/>
            <w:gridSpan w:val="2"/>
            <w:tcBorders>
              <w:top w:val="single" w:sz="4" w:space="0" w:color="FFFFFF"/>
              <w:left w:val="single" w:sz="4" w:space="0" w:color="FFFFFF"/>
              <w:bottom w:val="single" w:sz="4" w:space="0" w:color="FFFFFF"/>
              <w:right w:val="single" w:sz="4" w:space="0" w:color="FFFFFF"/>
            </w:tcBorders>
          </w:tcPr>
          <w:p w14:paraId="6C2DB6AC" w14:textId="70D71547" w:rsidR="008E147C" w:rsidRPr="009A191E" w:rsidRDefault="008E147C" w:rsidP="000A25EF">
            <w:pPr>
              <w:pStyle w:val="Bodyromannumerals"/>
              <w:rPr>
                <w:lang w:val="en-US"/>
              </w:rPr>
            </w:pPr>
            <w:r w:rsidRPr="009A191E">
              <w:rPr>
                <w:lang w:val="en-US"/>
              </w:rPr>
              <w:t>Input field</w:t>
            </w:r>
          </w:p>
        </w:tc>
      </w:tr>
      <w:tr w:rsidR="008E147C" w:rsidRPr="009A191E" w14:paraId="5FCA6A90" w14:textId="77777777" w:rsidTr="00CD5E6D">
        <w:tc>
          <w:tcPr>
            <w:tcW w:w="974" w:type="dxa"/>
          </w:tcPr>
          <w:p w14:paraId="329B28FE" w14:textId="77777777" w:rsidR="008E147C" w:rsidRPr="00D75976" w:rsidRDefault="008E147C" w:rsidP="00D107F8">
            <w:pPr>
              <w:pStyle w:val="Bodyromannumerals"/>
              <w:rPr>
                <w:b/>
                <w:bCs/>
                <w:lang w:val="en-US"/>
              </w:rPr>
            </w:pPr>
            <w:r w:rsidRPr="00D75976">
              <w:rPr>
                <w:b/>
                <w:bCs/>
                <w:lang w:val="en-US"/>
              </w:rPr>
              <w:t>A4.11</w:t>
            </w:r>
          </w:p>
        </w:tc>
        <w:tc>
          <w:tcPr>
            <w:tcW w:w="5432" w:type="dxa"/>
            <w:gridSpan w:val="2"/>
          </w:tcPr>
          <w:p w14:paraId="0580738A" w14:textId="7D0860A6" w:rsidR="008E147C" w:rsidRPr="00D75976" w:rsidRDefault="008E147C" w:rsidP="00D107F8">
            <w:pPr>
              <w:pStyle w:val="Bodyromannumerals"/>
              <w:rPr>
                <w:b/>
                <w:bCs/>
                <w:lang w:val="en-US"/>
              </w:rPr>
            </w:pPr>
            <w:r w:rsidRPr="00D75976">
              <w:rPr>
                <w:b/>
                <w:bCs/>
                <w:lang w:val="en-US"/>
              </w:rPr>
              <w:t xml:space="preserve">Volume </w:t>
            </w:r>
            <w:proofErr w:type="spellStart"/>
            <w:r w:rsidRPr="00D75976">
              <w:rPr>
                <w:b/>
                <w:bCs/>
                <w:lang w:val="en-US"/>
              </w:rPr>
              <w:t>trade</w:t>
            </w:r>
            <w:r w:rsidR="002E6A73">
              <w:rPr>
                <w:b/>
                <w:bCs/>
                <w:lang w:val="en-US"/>
              </w:rPr>
              <w:t>waste</w:t>
            </w:r>
            <w:proofErr w:type="spellEnd"/>
          </w:p>
        </w:tc>
        <w:tc>
          <w:tcPr>
            <w:tcW w:w="1152" w:type="dxa"/>
          </w:tcPr>
          <w:p w14:paraId="2BDD31C0" w14:textId="77777777" w:rsidR="008E147C" w:rsidRPr="00D75976" w:rsidRDefault="008E147C" w:rsidP="00D107F8">
            <w:pPr>
              <w:pStyle w:val="Bodyromannumerals"/>
              <w:rPr>
                <w:b/>
                <w:bCs/>
                <w:lang w:val="en-US"/>
              </w:rPr>
            </w:pPr>
            <w:r w:rsidRPr="00D75976">
              <w:rPr>
                <w:b/>
                <w:bCs/>
                <w:lang w:val="en-US"/>
              </w:rPr>
              <w:t>000 m3/d</w:t>
            </w:r>
          </w:p>
        </w:tc>
      </w:tr>
      <w:tr w:rsidR="008E147C" w:rsidRPr="009A191E" w14:paraId="19B6BFC2" w14:textId="77777777" w:rsidTr="00CD5E6D">
        <w:tc>
          <w:tcPr>
            <w:tcW w:w="1982" w:type="dxa"/>
            <w:gridSpan w:val="2"/>
            <w:tcBorders>
              <w:left w:val="single" w:sz="4" w:space="0" w:color="FFFFFF"/>
              <w:bottom w:val="single" w:sz="4" w:space="0" w:color="FFFFFF"/>
              <w:right w:val="single" w:sz="4" w:space="0" w:color="FFFFFF"/>
            </w:tcBorders>
          </w:tcPr>
          <w:p w14:paraId="73671204" w14:textId="77777777" w:rsidR="008E147C" w:rsidRPr="009A191E" w:rsidRDefault="008E147C" w:rsidP="00D107F8">
            <w:pPr>
              <w:pStyle w:val="Bodyromannumerals"/>
              <w:rPr>
                <w:i/>
                <w:lang w:val="en-US"/>
              </w:rPr>
            </w:pPr>
            <w:r w:rsidRPr="009A191E">
              <w:rPr>
                <w:i/>
                <w:lang w:val="en-US"/>
              </w:rPr>
              <w:t>Definition:</w:t>
            </w:r>
          </w:p>
        </w:tc>
        <w:tc>
          <w:tcPr>
            <w:tcW w:w="5576" w:type="dxa"/>
            <w:gridSpan w:val="2"/>
            <w:tcBorders>
              <w:left w:val="single" w:sz="4" w:space="0" w:color="FFFFFF"/>
              <w:bottom w:val="single" w:sz="4" w:space="0" w:color="FFFFFF"/>
              <w:right w:val="single" w:sz="4" w:space="0" w:color="FFFFFF"/>
            </w:tcBorders>
          </w:tcPr>
          <w:p w14:paraId="155FDD3A" w14:textId="20D36DC0" w:rsidR="008E147C" w:rsidRPr="009A191E" w:rsidRDefault="008E147C" w:rsidP="00D107F8">
            <w:pPr>
              <w:pStyle w:val="Bodyromannumerals"/>
              <w:rPr>
                <w:lang w:val="en-US"/>
              </w:rPr>
            </w:pPr>
            <w:r w:rsidRPr="009A191E">
              <w:rPr>
                <w:lang w:val="en-US"/>
              </w:rPr>
              <w:t xml:space="preserve">Volume of </w:t>
            </w:r>
            <w:proofErr w:type="spellStart"/>
            <w:r w:rsidRPr="009A191E">
              <w:rPr>
                <w:lang w:val="en-US"/>
              </w:rPr>
              <w:t>trade</w:t>
            </w:r>
            <w:r w:rsidR="002E6A73">
              <w:rPr>
                <w:lang w:val="en-US"/>
              </w:rPr>
              <w:t>waste</w:t>
            </w:r>
            <w:proofErr w:type="spellEnd"/>
            <w:r w:rsidRPr="009A191E">
              <w:rPr>
                <w:lang w:val="en-US"/>
              </w:rPr>
              <w:t xml:space="preserve"> discharged to </w:t>
            </w:r>
            <w:r w:rsidR="000157EF">
              <w:rPr>
                <w:lang w:val="en-US"/>
              </w:rPr>
              <w:t>wastewater</w:t>
            </w:r>
            <w:r w:rsidRPr="009A191E">
              <w:rPr>
                <w:lang w:val="en-US"/>
              </w:rPr>
              <w:t xml:space="preserve"> system.</w:t>
            </w:r>
          </w:p>
        </w:tc>
      </w:tr>
      <w:tr w:rsidR="008E147C" w:rsidRPr="009A191E" w14:paraId="4A28209B" w14:textId="77777777" w:rsidTr="00CD5E6D">
        <w:tc>
          <w:tcPr>
            <w:tcW w:w="1982" w:type="dxa"/>
            <w:gridSpan w:val="2"/>
            <w:tcBorders>
              <w:top w:val="single" w:sz="4" w:space="0" w:color="FFFFFF"/>
              <w:left w:val="single" w:sz="4" w:space="0" w:color="FFFFFF"/>
              <w:bottom w:val="single" w:sz="4" w:space="0" w:color="FFFFFF"/>
              <w:right w:val="single" w:sz="4" w:space="0" w:color="FFFFFF"/>
            </w:tcBorders>
          </w:tcPr>
          <w:p w14:paraId="12E7261C" w14:textId="77777777" w:rsidR="008E147C" w:rsidRPr="009A191E" w:rsidRDefault="008E147C" w:rsidP="00D107F8">
            <w:pPr>
              <w:pStyle w:val="Bodyromannumerals"/>
              <w:rPr>
                <w:i/>
                <w:lang w:val="en-US"/>
              </w:rPr>
            </w:pPr>
            <w:r w:rsidRPr="009A191E">
              <w:rPr>
                <w:i/>
                <w:lang w:val="en-US"/>
              </w:rPr>
              <w:t>Processing Rules:</w:t>
            </w:r>
          </w:p>
        </w:tc>
        <w:tc>
          <w:tcPr>
            <w:tcW w:w="5576" w:type="dxa"/>
            <w:gridSpan w:val="2"/>
            <w:tcBorders>
              <w:top w:val="single" w:sz="4" w:space="0" w:color="FFFFFF"/>
              <w:left w:val="single" w:sz="4" w:space="0" w:color="FFFFFF"/>
              <w:bottom w:val="single" w:sz="4" w:space="0" w:color="FFFFFF"/>
              <w:right w:val="single" w:sz="4" w:space="0" w:color="FFFFFF"/>
            </w:tcBorders>
          </w:tcPr>
          <w:p w14:paraId="48ADAF3A" w14:textId="77777777" w:rsidR="008E147C" w:rsidRPr="009A191E" w:rsidRDefault="008E147C" w:rsidP="00D107F8">
            <w:pPr>
              <w:pStyle w:val="Bodyromannumerals"/>
              <w:rPr>
                <w:lang w:val="en-US"/>
              </w:rPr>
            </w:pPr>
            <w:r w:rsidRPr="009A191E">
              <w:rPr>
                <w:lang w:val="en-US"/>
              </w:rPr>
              <w:t>Input field</w:t>
            </w:r>
          </w:p>
        </w:tc>
      </w:tr>
      <w:tr w:rsidR="008E147C" w:rsidRPr="009A191E" w14:paraId="475BCDB5" w14:textId="77777777" w:rsidTr="00CD5E6D">
        <w:tc>
          <w:tcPr>
            <w:tcW w:w="974" w:type="dxa"/>
          </w:tcPr>
          <w:p w14:paraId="0077C0AA" w14:textId="19B35A5B" w:rsidR="008E147C" w:rsidRPr="00D75976" w:rsidRDefault="008E147C" w:rsidP="00D107F8">
            <w:pPr>
              <w:pStyle w:val="Bodyromannumerals"/>
              <w:rPr>
                <w:b/>
                <w:bCs/>
                <w:lang w:val="en-US"/>
              </w:rPr>
            </w:pPr>
            <w:r w:rsidRPr="00D75976">
              <w:rPr>
                <w:b/>
                <w:bCs/>
                <w:lang w:val="en-US"/>
              </w:rPr>
              <w:t>A4.12</w:t>
            </w:r>
          </w:p>
        </w:tc>
        <w:tc>
          <w:tcPr>
            <w:tcW w:w="5432" w:type="dxa"/>
            <w:gridSpan w:val="2"/>
          </w:tcPr>
          <w:p w14:paraId="0D26F1E2" w14:textId="0B943E87" w:rsidR="008E147C" w:rsidRPr="00D75976" w:rsidRDefault="008E147C" w:rsidP="00D107F8">
            <w:pPr>
              <w:pStyle w:val="Bodyromannumerals"/>
              <w:rPr>
                <w:b/>
                <w:bCs/>
                <w:lang w:val="en-US"/>
              </w:rPr>
            </w:pPr>
            <w:r w:rsidRPr="00D75976">
              <w:rPr>
                <w:b/>
                <w:bCs/>
                <w:lang w:val="en-US"/>
              </w:rPr>
              <w:t xml:space="preserve">Volume of measured </w:t>
            </w:r>
            <w:r w:rsidR="00013779">
              <w:rPr>
                <w:b/>
                <w:bCs/>
                <w:lang w:val="en-US"/>
              </w:rPr>
              <w:t>wastewater</w:t>
            </w:r>
          </w:p>
        </w:tc>
        <w:tc>
          <w:tcPr>
            <w:tcW w:w="1152" w:type="dxa"/>
          </w:tcPr>
          <w:p w14:paraId="2A1A2074" w14:textId="033C1DBC" w:rsidR="008E147C" w:rsidRPr="00D75976" w:rsidRDefault="008E147C" w:rsidP="00D107F8">
            <w:pPr>
              <w:pStyle w:val="Bodyromannumerals"/>
              <w:rPr>
                <w:b/>
                <w:bCs/>
                <w:lang w:val="en-US"/>
              </w:rPr>
            </w:pPr>
            <w:r w:rsidRPr="00D75976">
              <w:rPr>
                <w:b/>
                <w:bCs/>
                <w:lang w:val="en-US"/>
              </w:rPr>
              <w:t>000 m3/d</w:t>
            </w:r>
          </w:p>
        </w:tc>
      </w:tr>
      <w:tr w:rsidR="008E147C" w:rsidRPr="009A191E" w14:paraId="5E6A80F0" w14:textId="77777777" w:rsidTr="00CD5E6D">
        <w:tc>
          <w:tcPr>
            <w:tcW w:w="1982" w:type="dxa"/>
            <w:gridSpan w:val="2"/>
            <w:tcBorders>
              <w:left w:val="single" w:sz="4" w:space="0" w:color="FFFFFF"/>
              <w:bottom w:val="single" w:sz="4" w:space="0" w:color="FFFFFF"/>
              <w:right w:val="single" w:sz="4" w:space="0" w:color="FFFFFF"/>
            </w:tcBorders>
          </w:tcPr>
          <w:p w14:paraId="27EF667E" w14:textId="1B1EB168" w:rsidR="008E147C" w:rsidRPr="008B4ACD" w:rsidRDefault="008E147C" w:rsidP="00D107F8">
            <w:pPr>
              <w:pStyle w:val="Bodyromannumerals"/>
              <w:rPr>
                <w:i/>
                <w:iCs/>
                <w:lang w:val="en-US"/>
              </w:rPr>
            </w:pPr>
            <w:r w:rsidRPr="008B4ACD">
              <w:rPr>
                <w:i/>
                <w:iCs/>
                <w:lang w:val="en-US"/>
              </w:rPr>
              <w:t>Definition:</w:t>
            </w:r>
          </w:p>
        </w:tc>
        <w:tc>
          <w:tcPr>
            <w:tcW w:w="5576" w:type="dxa"/>
            <w:gridSpan w:val="2"/>
            <w:tcBorders>
              <w:left w:val="single" w:sz="4" w:space="0" w:color="FFFFFF"/>
              <w:bottom w:val="single" w:sz="4" w:space="0" w:color="FFFFFF"/>
              <w:right w:val="single" w:sz="4" w:space="0" w:color="FFFFFF"/>
            </w:tcBorders>
          </w:tcPr>
          <w:p w14:paraId="263BC7BE" w14:textId="581B9ED6" w:rsidR="008E147C" w:rsidRPr="008B4ACD" w:rsidRDefault="008E147C" w:rsidP="00C64549">
            <w:pPr>
              <w:rPr>
                <w:rFonts w:ascii="Calibri" w:hAnsi="Calibri" w:cs="Calibri"/>
                <w:sz w:val="21"/>
                <w:szCs w:val="21"/>
                <w:lang w:val="en-US"/>
              </w:rPr>
            </w:pPr>
            <w:r w:rsidRPr="008B4ACD">
              <w:rPr>
                <w:rFonts w:ascii="Calibri" w:hAnsi="Calibri" w:cs="Calibri"/>
                <w:sz w:val="21"/>
                <w:szCs w:val="21"/>
                <w:lang w:val="en-US"/>
              </w:rPr>
              <w:t xml:space="preserve">Volume of measured </w:t>
            </w:r>
            <w:r w:rsidR="00814B1E">
              <w:rPr>
                <w:rFonts w:ascii="Calibri" w:hAnsi="Calibri" w:cs="Calibri"/>
                <w:sz w:val="21"/>
                <w:szCs w:val="21"/>
                <w:lang w:val="en-US"/>
              </w:rPr>
              <w:t>w</w:t>
            </w:r>
            <w:r w:rsidR="002E6A73" w:rsidRPr="008B4ACD">
              <w:rPr>
                <w:rFonts w:ascii="Calibri" w:hAnsi="Calibri" w:cs="Calibri"/>
                <w:sz w:val="21"/>
                <w:szCs w:val="21"/>
                <w:lang w:val="en-US"/>
              </w:rPr>
              <w:t>astewater</w:t>
            </w:r>
            <w:r w:rsidRPr="008B4ACD">
              <w:rPr>
                <w:rFonts w:ascii="Calibri" w:hAnsi="Calibri" w:cs="Calibri"/>
                <w:sz w:val="21"/>
                <w:szCs w:val="21"/>
                <w:lang w:val="en-US"/>
              </w:rPr>
              <w:t xml:space="preserve"> discharged to the </w:t>
            </w:r>
            <w:r w:rsidR="00C64549" w:rsidRPr="008B4ACD">
              <w:rPr>
                <w:rFonts w:ascii="Calibri" w:hAnsi="Calibri" w:cs="Calibri"/>
                <w:sz w:val="21"/>
                <w:szCs w:val="21"/>
                <w:lang w:val="en-US"/>
              </w:rPr>
              <w:t>sewer</w:t>
            </w:r>
            <w:r w:rsidRPr="008B4ACD">
              <w:rPr>
                <w:rFonts w:ascii="Calibri" w:hAnsi="Calibri" w:cs="Calibri"/>
                <w:sz w:val="21"/>
                <w:szCs w:val="21"/>
                <w:lang w:val="en-US"/>
              </w:rPr>
              <w:t>.</w:t>
            </w:r>
          </w:p>
        </w:tc>
      </w:tr>
      <w:tr w:rsidR="008E147C" w:rsidRPr="009A191E" w14:paraId="79AD0AA5" w14:textId="77777777" w:rsidTr="00CD5E6D">
        <w:tc>
          <w:tcPr>
            <w:tcW w:w="1982" w:type="dxa"/>
            <w:gridSpan w:val="2"/>
            <w:tcBorders>
              <w:top w:val="single" w:sz="4" w:space="0" w:color="FFFFFF"/>
              <w:left w:val="single" w:sz="4" w:space="0" w:color="FFFFFF"/>
              <w:bottom w:val="single" w:sz="4" w:space="0" w:color="FFFFFF"/>
              <w:right w:val="single" w:sz="4" w:space="0" w:color="FFFFFF"/>
            </w:tcBorders>
          </w:tcPr>
          <w:p w14:paraId="36E16AE1" w14:textId="2A50B74D" w:rsidR="008E147C" w:rsidRPr="009A191E" w:rsidRDefault="008E147C" w:rsidP="00D107F8">
            <w:pPr>
              <w:pStyle w:val="Bodyromannumerals"/>
              <w:rPr>
                <w:i/>
                <w:lang w:val="en-US"/>
              </w:rPr>
            </w:pPr>
            <w:r w:rsidRPr="009A191E">
              <w:rPr>
                <w:i/>
                <w:lang w:val="en-US"/>
              </w:rPr>
              <w:t>Processing Rules:</w:t>
            </w:r>
          </w:p>
        </w:tc>
        <w:tc>
          <w:tcPr>
            <w:tcW w:w="5576" w:type="dxa"/>
            <w:gridSpan w:val="2"/>
            <w:tcBorders>
              <w:top w:val="single" w:sz="4" w:space="0" w:color="FFFFFF"/>
              <w:left w:val="single" w:sz="4" w:space="0" w:color="FFFFFF"/>
              <w:bottom w:val="single" w:sz="4" w:space="0" w:color="FFFFFF"/>
              <w:right w:val="single" w:sz="4" w:space="0" w:color="FFFFFF"/>
            </w:tcBorders>
          </w:tcPr>
          <w:p w14:paraId="00CDFE9A" w14:textId="2DD0476C" w:rsidR="008E147C" w:rsidRPr="009A191E" w:rsidRDefault="008E147C" w:rsidP="00D107F8">
            <w:pPr>
              <w:pStyle w:val="Bodyromannumerals"/>
              <w:rPr>
                <w:lang w:val="en-US"/>
              </w:rPr>
            </w:pPr>
            <w:r w:rsidRPr="009A191E">
              <w:rPr>
                <w:lang w:val="en-US"/>
              </w:rPr>
              <w:t>Calculated field: the sum of A4.8 to A4.11.</w:t>
            </w:r>
          </w:p>
        </w:tc>
      </w:tr>
      <w:tr w:rsidR="008E147C" w:rsidRPr="009A191E" w14:paraId="69E89423" w14:textId="77777777" w:rsidTr="00CD5E6D">
        <w:tc>
          <w:tcPr>
            <w:tcW w:w="974" w:type="dxa"/>
          </w:tcPr>
          <w:p w14:paraId="7E7E5EB0" w14:textId="32BD2C49" w:rsidR="008E147C" w:rsidRPr="00D75976" w:rsidRDefault="008E147C" w:rsidP="00D107F8">
            <w:pPr>
              <w:pStyle w:val="Bodyromannumerals"/>
              <w:rPr>
                <w:b/>
                <w:bCs/>
                <w:lang w:val="en-US"/>
              </w:rPr>
            </w:pPr>
            <w:r w:rsidRPr="00D75976">
              <w:rPr>
                <w:b/>
                <w:bCs/>
                <w:lang w:val="en-US"/>
              </w:rPr>
              <w:t>A4.13</w:t>
            </w:r>
          </w:p>
        </w:tc>
        <w:tc>
          <w:tcPr>
            <w:tcW w:w="5432" w:type="dxa"/>
            <w:gridSpan w:val="2"/>
          </w:tcPr>
          <w:p w14:paraId="51039054" w14:textId="1444E977" w:rsidR="008E147C" w:rsidRPr="00D75976" w:rsidRDefault="008E147C" w:rsidP="00D107F8">
            <w:pPr>
              <w:pStyle w:val="Bodyromannumerals"/>
              <w:rPr>
                <w:b/>
                <w:bCs/>
                <w:lang w:val="en-US"/>
              </w:rPr>
            </w:pPr>
            <w:r w:rsidRPr="00D75976">
              <w:rPr>
                <w:b/>
                <w:bCs/>
                <w:lang w:val="en-US"/>
              </w:rPr>
              <w:t xml:space="preserve">Volume </w:t>
            </w:r>
            <w:r w:rsidR="007E0360" w:rsidRPr="00D75976">
              <w:rPr>
                <w:b/>
                <w:bCs/>
                <w:lang w:val="en-US"/>
              </w:rPr>
              <w:t>wastewater</w:t>
            </w:r>
            <w:r w:rsidRPr="00D75976">
              <w:rPr>
                <w:b/>
                <w:bCs/>
                <w:lang w:val="en-US"/>
              </w:rPr>
              <w:t xml:space="preserve"> returned</w:t>
            </w:r>
          </w:p>
        </w:tc>
        <w:tc>
          <w:tcPr>
            <w:tcW w:w="1152" w:type="dxa"/>
          </w:tcPr>
          <w:p w14:paraId="10C4D33D" w14:textId="7594E03B" w:rsidR="008E147C" w:rsidRPr="00D75976" w:rsidRDefault="008E147C" w:rsidP="00D107F8">
            <w:pPr>
              <w:pStyle w:val="Bodyromannumerals"/>
              <w:rPr>
                <w:b/>
                <w:bCs/>
                <w:lang w:val="en-US"/>
              </w:rPr>
            </w:pPr>
            <w:r w:rsidRPr="00D75976">
              <w:rPr>
                <w:b/>
                <w:bCs/>
                <w:lang w:val="en-US"/>
              </w:rPr>
              <w:t>000 m3/d</w:t>
            </w:r>
          </w:p>
        </w:tc>
      </w:tr>
      <w:tr w:rsidR="008E147C" w:rsidRPr="009A191E" w14:paraId="418DF6FA" w14:textId="77777777" w:rsidTr="00CD5E6D">
        <w:tc>
          <w:tcPr>
            <w:tcW w:w="1982" w:type="dxa"/>
            <w:gridSpan w:val="2"/>
            <w:tcBorders>
              <w:left w:val="single" w:sz="4" w:space="0" w:color="FFFFFF"/>
              <w:bottom w:val="single" w:sz="4" w:space="0" w:color="FFFFFF"/>
              <w:right w:val="single" w:sz="4" w:space="0" w:color="FFFFFF"/>
            </w:tcBorders>
          </w:tcPr>
          <w:p w14:paraId="1A87FFC6" w14:textId="4AED3510" w:rsidR="008E147C" w:rsidRPr="009A191E" w:rsidRDefault="008E147C" w:rsidP="00D107F8">
            <w:pPr>
              <w:pStyle w:val="Bodyromannumerals"/>
              <w:rPr>
                <w:i/>
                <w:lang w:val="en-US"/>
              </w:rPr>
            </w:pPr>
            <w:r w:rsidRPr="009A191E">
              <w:rPr>
                <w:i/>
                <w:lang w:val="en-US"/>
              </w:rPr>
              <w:t>Definition:</w:t>
            </w:r>
          </w:p>
        </w:tc>
        <w:tc>
          <w:tcPr>
            <w:tcW w:w="5576" w:type="dxa"/>
            <w:gridSpan w:val="2"/>
            <w:tcBorders>
              <w:left w:val="single" w:sz="4" w:space="0" w:color="FFFFFF"/>
              <w:bottom w:val="single" w:sz="4" w:space="0" w:color="FFFFFF"/>
              <w:right w:val="single" w:sz="4" w:space="0" w:color="FFFFFF"/>
            </w:tcBorders>
          </w:tcPr>
          <w:p w14:paraId="6E6C0879" w14:textId="443E8810" w:rsidR="008E147C" w:rsidRPr="009A191E" w:rsidRDefault="008E147C" w:rsidP="00D107F8">
            <w:pPr>
              <w:pStyle w:val="Bodyromannumerals"/>
              <w:rPr>
                <w:lang w:val="en-US"/>
              </w:rPr>
            </w:pPr>
            <w:r w:rsidRPr="009A191E">
              <w:rPr>
                <w:lang w:val="en-US"/>
              </w:rPr>
              <w:t xml:space="preserve">Volume of water delivered to measured and unmeasured water supplies that is returned to the </w:t>
            </w:r>
            <w:r w:rsidR="000157EF">
              <w:rPr>
                <w:lang w:val="en-US"/>
              </w:rPr>
              <w:t>wastewater</w:t>
            </w:r>
            <w:r w:rsidRPr="009A191E">
              <w:rPr>
                <w:lang w:val="en-US"/>
              </w:rPr>
              <w:t xml:space="preserve"> system.</w:t>
            </w:r>
          </w:p>
        </w:tc>
      </w:tr>
      <w:tr w:rsidR="008E147C" w:rsidRPr="009A191E" w14:paraId="03A4AC8A" w14:textId="77777777" w:rsidTr="00CD5E6D">
        <w:tc>
          <w:tcPr>
            <w:tcW w:w="1982" w:type="dxa"/>
            <w:gridSpan w:val="2"/>
            <w:tcBorders>
              <w:top w:val="single" w:sz="4" w:space="0" w:color="FFFFFF"/>
              <w:left w:val="single" w:sz="4" w:space="0" w:color="FFFFFF"/>
              <w:bottom w:val="single" w:sz="4" w:space="0" w:color="FFFFFF"/>
              <w:right w:val="single" w:sz="4" w:space="0" w:color="FFFFFF"/>
            </w:tcBorders>
          </w:tcPr>
          <w:p w14:paraId="7E48B9BF" w14:textId="6A7F3A59" w:rsidR="008E147C" w:rsidRPr="009A191E" w:rsidRDefault="008E147C" w:rsidP="00D107F8">
            <w:pPr>
              <w:pStyle w:val="Bodyromannumerals"/>
              <w:rPr>
                <w:i/>
                <w:lang w:val="en-US"/>
              </w:rPr>
            </w:pPr>
            <w:r w:rsidRPr="009A191E">
              <w:rPr>
                <w:i/>
                <w:lang w:val="en-US"/>
              </w:rPr>
              <w:t>Processing Rules:</w:t>
            </w:r>
          </w:p>
        </w:tc>
        <w:tc>
          <w:tcPr>
            <w:tcW w:w="5576" w:type="dxa"/>
            <w:gridSpan w:val="2"/>
            <w:tcBorders>
              <w:top w:val="single" w:sz="4" w:space="0" w:color="FFFFFF"/>
              <w:left w:val="single" w:sz="4" w:space="0" w:color="FFFFFF"/>
              <w:bottom w:val="single" w:sz="4" w:space="0" w:color="FFFFFF"/>
              <w:right w:val="single" w:sz="4" w:space="0" w:color="FFFFFF"/>
            </w:tcBorders>
          </w:tcPr>
          <w:p w14:paraId="470AC7ED" w14:textId="355A7675" w:rsidR="008E147C" w:rsidRPr="009A191E" w:rsidRDefault="008E147C" w:rsidP="00D107F8">
            <w:pPr>
              <w:pStyle w:val="Bodyromannumerals"/>
              <w:rPr>
                <w:lang w:val="en-US"/>
              </w:rPr>
            </w:pPr>
            <w:r w:rsidRPr="009A191E">
              <w:rPr>
                <w:lang w:val="en-US"/>
              </w:rPr>
              <w:t>Calculated field: the sum of A4.7+A4.12</w:t>
            </w:r>
          </w:p>
        </w:tc>
      </w:tr>
      <w:tr w:rsidR="008E147C" w:rsidRPr="009A191E" w14:paraId="2DE32C59" w14:textId="77777777" w:rsidTr="00CD5E6D">
        <w:tc>
          <w:tcPr>
            <w:tcW w:w="974" w:type="dxa"/>
          </w:tcPr>
          <w:p w14:paraId="5F7BCAA6" w14:textId="759D2D18" w:rsidR="008E147C" w:rsidRPr="00D75976" w:rsidRDefault="008E147C" w:rsidP="00D107F8">
            <w:pPr>
              <w:pStyle w:val="Bodyromannumerals"/>
              <w:rPr>
                <w:b/>
                <w:bCs/>
                <w:lang w:val="en-US"/>
              </w:rPr>
            </w:pPr>
            <w:r w:rsidRPr="00D75976">
              <w:rPr>
                <w:b/>
                <w:bCs/>
                <w:lang w:val="en-US"/>
              </w:rPr>
              <w:t>A4.14</w:t>
            </w:r>
          </w:p>
        </w:tc>
        <w:tc>
          <w:tcPr>
            <w:tcW w:w="5432" w:type="dxa"/>
            <w:gridSpan w:val="2"/>
          </w:tcPr>
          <w:p w14:paraId="2B1A3C11" w14:textId="29E5F2B7" w:rsidR="008E147C" w:rsidRPr="00D75976" w:rsidRDefault="008E147C" w:rsidP="00D107F8">
            <w:pPr>
              <w:pStyle w:val="Bodyromannumerals"/>
              <w:rPr>
                <w:b/>
                <w:bCs/>
                <w:lang w:val="en-US"/>
              </w:rPr>
            </w:pPr>
            <w:r w:rsidRPr="00D75976">
              <w:rPr>
                <w:b/>
                <w:bCs/>
                <w:lang w:val="en-US"/>
              </w:rPr>
              <w:t>Volume septic tank waste</w:t>
            </w:r>
          </w:p>
        </w:tc>
        <w:tc>
          <w:tcPr>
            <w:tcW w:w="1152" w:type="dxa"/>
          </w:tcPr>
          <w:p w14:paraId="287F1206" w14:textId="2DEE4BFD" w:rsidR="008E147C" w:rsidRPr="00D75976" w:rsidRDefault="008E147C" w:rsidP="00D107F8">
            <w:pPr>
              <w:pStyle w:val="Bodyromannumerals"/>
              <w:rPr>
                <w:b/>
                <w:bCs/>
                <w:lang w:val="en-US"/>
              </w:rPr>
            </w:pPr>
            <w:r w:rsidRPr="00D75976">
              <w:rPr>
                <w:b/>
                <w:bCs/>
                <w:lang w:val="en-US"/>
              </w:rPr>
              <w:t>000 m3</w:t>
            </w:r>
          </w:p>
        </w:tc>
      </w:tr>
      <w:tr w:rsidR="008E147C" w:rsidRPr="009A191E" w14:paraId="71848579" w14:textId="77777777" w:rsidTr="00CD5E6D">
        <w:tc>
          <w:tcPr>
            <w:tcW w:w="1982" w:type="dxa"/>
            <w:gridSpan w:val="2"/>
            <w:tcBorders>
              <w:left w:val="single" w:sz="4" w:space="0" w:color="FFFFFF"/>
              <w:bottom w:val="single" w:sz="4" w:space="0" w:color="FFFFFF"/>
              <w:right w:val="single" w:sz="4" w:space="0" w:color="FFFFFF"/>
            </w:tcBorders>
          </w:tcPr>
          <w:p w14:paraId="7F2926B3" w14:textId="5C463E08" w:rsidR="008E147C" w:rsidRPr="009A191E" w:rsidRDefault="008E147C" w:rsidP="00D107F8">
            <w:pPr>
              <w:pStyle w:val="Bodyromannumerals"/>
              <w:rPr>
                <w:i/>
                <w:lang w:val="en-US"/>
              </w:rPr>
            </w:pPr>
            <w:r w:rsidRPr="009A191E">
              <w:rPr>
                <w:i/>
                <w:lang w:val="en-US"/>
              </w:rPr>
              <w:t>Definition:</w:t>
            </w:r>
          </w:p>
        </w:tc>
        <w:tc>
          <w:tcPr>
            <w:tcW w:w="5576" w:type="dxa"/>
            <w:gridSpan w:val="2"/>
            <w:tcBorders>
              <w:left w:val="single" w:sz="4" w:space="0" w:color="FFFFFF"/>
              <w:bottom w:val="single" w:sz="4" w:space="0" w:color="FFFFFF"/>
              <w:right w:val="single" w:sz="4" w:space="0" w:color="FFFFFF"/>
            </w:tcBorders>
          </w:tcPr>
          <w:p w14:paraId="68BE8F18" w14:textId="656CA820" w:rsidR="008E147C" w:rsidRPr="009A191E" w:rsidRDefault="008E147C" w:rsidP="00D107F8">
            <w:pPr>
              <w:pStyle w:val="Bodyromannumerals"/>
              <w:rPr>
                <w:lang w:val="en-US"/>
              </w:rPr>
            </w:pPr>
            <w:r w:rsidRPr="009A191E">
              <w:rPr>
                <w:lang w:val="en-US"/>
              </w:rPr>
              <w:t>The total volume of private and public septic tank waste received at</w:t>
            </w:r>
            <w:r w:rsidR="00FF6124">
              <w:rPr>
                <w:lang w:val="en-US"/>
              </w:rPr>
              <w:t xml:space="preserve"> </w:t>
            </w:r>
            <w:r w:rsidR="008A388F">
              <w:rPr>
                <w:lang w:val="en-US"/>
              </w:rPr>
              <w:t>wastewater</w:t>
            </w:r>
            <w:r w:rsidR="008A388F" w:rsidRPr="009A191E">
              <w:rPr>
                <w:lang w:val="en-US"/>
              </w:rPr>
              <w:t xml:space="preserve"> </w:t>
            </w:r>
            <w:r w:rsidRPr="009A191E">
              <w:rPr>
                <w:lang w:val="en-US"/>
              </w:rPr>
              <w:t>treatment</w:t>
            </w:r>
            <w:r w:rsidR="00FF6124">
              <w:rPr>
                <w:lang w:val="en-US"/>
              </w:rPr>
              <w:t xml:space="preserve"> </w:t>
            </w:r>
            <w:r w:rsidR="00871522">
              <w:rPr>
                <w:lang w:val="en-US"/>
              </w:rPr>
              <w:t>plants</w:t>
            </w:r>
            <w:r w:rsidRPr="009A191E">
              <w:rPr>
                <w:lang w:val="en-US"/>
              </w:rPr>
              <w:t>.</w:t>
            </w:r>
          </w:p>
        </w:tc>
      </w:tr>
      <w:tr w:rsidR="008E147C" w:rsidRPr="009A191E" w14:paraId="62F565C5" w14:textId="77777777" w:rsidTr="00CD5E6D">
        <w:tc>
          <w:tcPr>
            <w:tcW w:w="1982" w:type="dxa"/>
            <w:gridSpan w:val="2"/>
            <w:tcBorders>
              <w:top w:val="single" w:sz="4" w:space="0" w:color="FFFFFF"/>
              <w:left w:val="single" w:sz="4" w:space="0" w:color="FFFFFF"/>
              <w:bottom w:val="single" w:sz="4" w:space="0" w:color="FFFFFF"/>
              <w:right w:val="single" w:sz="4" w:space="0" w:color="FFFFFF"/>
            </w:tcBorders>
          </w:tcPr>
          <w:p w14:paraId="04017988" w14:textId="189BFCAB" w:rsidR="008E147C" w:rsidRPr="009A191E" w:rsidRDefault="008E147C" w:rsidP="00D107F8">
            <w:pPr>
              <w:pStyle w:val="Bodyromannumerals"/>
              <w:rPr>
                <w:i/>
                <w:lang w:val="en-US"/>
              </w:rPr>
            </w:pPr>
            <w:r w:rsidRPr="009A191E">
              <w:rPr>
                <w:i/>
                <w:lang w:val="en-US"/>
              </w:rPr>
              <w:t>Processing Rules:</w:t>
            </w:r>
          </w:p>
        </w:tc>
        <w:tc>
          <w:tcPr>
            <w:tcW w:w="5576" w:type="dxa"/>
            <w:gridSpan w:val="2"/>
            <w:tcBorders>
              <w:top w:val="single" w:sz="4" w:space="0" w:color="FFFFFF"/>
              <w:left w:val="single" w:sz="4" w:space="0" w:color="FFFFFF"/>
              <w:bottom w:val="single" w:sz="4" w:space="0" w:color="FFFFFF"/>
              <w:right w:val="single" w:sz="4" w:space="0" w:color="FFFFFF"/>
            </w:tcBorders>
          </w:tcPr>
          <w:p w14:paraId="47A01293" w14:textId="0DC6A45B" w:rsidR="008E147C" w:rsidRPr="009A191E" w:rsidRDefault="008E147C" w:rsidP="00D107F8">
            <w:pPr>
              <w:pStyle w:val="Bodyromannumerals"/>
              <w:rPr>
                <w:lang w:val="en-US"/>
              </w:rPr>
            </w:pPr>
            <w:r w:rsidRPr="009A191E">
              <w:rPr>
                <w:lang w:val="en-US"/>
              </w:rPr>
              <w:t>Input field</w:t>
            </w:r>
          </w:p>
        </w:tc>
      </w:tr>
    </w:tbl>
    <w:p w14:paraId="7B4E24A2" w14:textId="37EACF81" w:rsidR="003C6FCE" w:rsidRDefault="003C6FCE" w:rsidP="008E147C">
      <w:pPr>
        <w:spacing w:after="160" w:line="259" w:lineRule="auto"/>
        <w:rPr>
          <w:rFonts w:eastAsia="Calibri"/>
          <w:color w:val="000000" w:themeColor="text1"/>
          <w:lang w:val="en-GB"/>
        </w:rPr>
      </w:pPr>
    </w:p>
    <w:p w14:paraId="5C3D54CB" w14:textId="718E733B" w:rsidR="008E147C" w:rsidRPr="009A191E" w:rsidRDefault="003C6FCE" w:rsidP="008E147C">
      <w:pPr>
        <w:spacing w:after="160" w:line="259" w:lineRule="auto"/>
        <w:rPr>
          <w:rFonts w:eastAsia="Calibri"/>
          <w:color w:val="000000" w:themeColor="text1"/>
          <w:lang w:val="en-GB"/>
        </w:rPr>
      </w:pPr>
      <w:r>
        <w:rPr>
          <w:rFonts w:eastAsia="Calibri"/>
          <w:color w:val="000000" w:themeColor="text1"/>
          <w:lang w:val="en-GB"/>
        </w:rPr>
        <w:br w:type="page"/>
      </w:r>
    </w:p>
    <w:p w14:paraId="7FE05488" w14:textId="513351C9" w:rsidR="008E147C" w:rsidRPr="009A191E" w:rsidRDefault="008E147C" w:rsidP="00D75976">
      <w:pPr>
        <w:pStyle w:val="Sectionsub-heading"/>
        <w:rPr>
          <w:lang w:val="en-GB"/>
        </w:rPr>
      </w:pPr>
      <w:r w:rsidRPr="009A191E">
        <w:rPr>
          <w:lang w:val="en-GB"/>
        </w:rPr>
        <w:lastRenderedPageBreak/>
        <w:t xml:space="preserve">BLOCK 2: </w:t>
      </w:r>
      <w:r w:rsidR="002E6A73">
        <w:rPr>
          <w:lang w:val="en-GB"/>
        </w:rPr>
        <w:t>WASTEWATER</w:t>
      </w:r>
      <w:r w:rsidRPr="009A191E">
        <w:rPr>
          <w:lang w:val="en-GB"/>
        </w:rPr>
        <w:t xml:space="preserve"> – LOADS</w:t>
      </w:r>
    </w:p>
    <w:tbl>
      <w:tblPr>
        <w:tblStyle w:val="TableGrid3"/>
        <w:tblW w:w="7558" w:type="dxa"/>
        <w:tblLook w:val="04A0" w:firstRow="1" w:lastRow="0" w:firstColumn="1" w:lastColumn="0" w:noHBand="0" w:noVBand="1"/>
      </w:tblPr>
      <w:tblGrid>
        <w:gridCol w:w="1137"/>
        <w:gridCol w:w="717"/>
        <w:gridCol w:w="4127"/>
        <w:gridCol w:w="1577"/>
      </w:tblGrid>
      <w:tr w:rsidR="008E147C" w:rsidRPr="009A191E" w14:paraId="317E7FEB" w14:textId="77777777" w:rsidTr="00234A46">
        <w:tc>
          <w:tcPr>
            <w:tcW w:w="1137" w:type="dxa"/>
          </w:tcPr>
          <w:p w14:paraId="5C17E502" w14:textId="77777777" w:rsidR="008E147C" w:rsidRPr="00943DAA" w:rsidRDefault="008E147C" w:rsidP="00943DAA">
            <w:pPr>
              <w:pStyle w:val="Bodyromannumerals"/>
              <w:rPr>
                <w:b/>
                <w:bCs/>
                <w:lang w:val="en-US"/>
              </w:rPr>
            </w:pPr>
            <w:r w:rsidRPr="00943DAA">
              <w:rPr>
                <w:b/>
                <w:bCs/>
                <w:lang w:val="en-US"/>
              </w:rPr>
              <w:t>A4.15</w:t>
            </w:r>
          </w:p>
        </w:tc>
        <w:tc>
          <w:tcPr>
            <w:tcW w:w="4844" w:type="dxa"/>
            <w:gridSpan w:val="2"/>
          </w:tcPr>
          <w:p w14:paraId="1BB96475" w14:textId="77777777" w:rsidR="008E147C" w:rsidRPr="00943DAA" w:rsidRDefault="008E147C" w:rsidP="00943DAA">
            <w:pPr>
              <w:pStyle w:val="Bodyromannumerals"/>
              <w:rPr>
                <w:b/>
                <w:bCs/>
                <w:lang w:val="en-US"/>
              </w:rPr>
            </w:pPr>
            <w:r w:rsidRPr="00943DAA">
              <w:rPr>
                <w:b/>
                <w:bCs/>
                <w:lang w:val="en-US"/>
              </w:rPr>
              <w:t>Total connected population</w:t>
            </w:r>
          </w:p>
        </w:tc>
        <w:tc>
          <w:tcPr>
            <w:tcW w:w="1577" w:type="dxa"/>
          </w:tcPr>
          <w:p w14:paraId="324F911B" w14:textId="77777777" w:rsidR="008E147C" w:rsidRPr="00943DAA" w:rsidRDefault="008E147C" w:rsidP="00943DAA">
            <w:pPr>
              <w:pStyle w:val="Bodyromannumerals"/>
              <w:rPr>
                <w:b/>
                <w:bCs/>
                <w:lang w:val="en-US"/>
              </w:rPr>
            </w:pPr>
            <w:r w:rsidRPr="00943DAA">
              <w:rPr>
                <w:b/>
                <w:bCs/>
                <w:lang w:val="en-US"/>
              </w:rPr>
              <w:t>000</w:t>
            </w:r>
          </w:p>
        </w:tc>
      </w:tr>
      <w:tr w:rsidR="008E147C" w:rsidRPr="009A191E" w14:paraId="1E837627" w14:textId="77777777" w:rsidTr="00234A46">
        <w:tc>
          <w:tcPr>
            <w:tcW w:w="1854" w:type="dxa"/>
            <w:gridSpan w:val="2"/>
            <w:tcBorders>
              <w:left w:val="single" w:sz="4" w:space="0" w:color="FFFFFF" w:themeColor="background2"/>
              <w:bottom w:val="single" w:sz="4" w:space="0" w:color="FFFFFF" w:themeColor="background2"/>
              <w:right w:val="single" w:sz="4" w:space="0" w:color="FFFFFF" w:themeColor="background2"/>
            </w:tcBorders>
          </w:tcPr>
          <w:p w14:paraId="5CFE1C4E" w14:textId="77777777" w:rsidR="008E147C" w:rsidRPr="009A191E" w:rsidRDefault="008E147C" w:rsidP="00943DAA">
            <w:pPr>
              <w:pStyle w:val="Bodyromannumerals"/>
              <w:rPr>
                <w:i/>
                <w:lang w:val="en-US"/>
              </w:rPr>
            </w:pPr>
            <w:r w:rsidRPr="009A191E">
              <w:rPr>
                <w:i/>
                <w:lang w:val="en-US"/>
              </w:rPr>
              <w:t>Definition:</w:t>
            </w:r>
          </w:p>
        </w:tc>
        <w:tc>
          <w:tcPr>
            <w:tcW w:w="5704" w:type="dxa"/>
            <w:gridSpan w:val="2"/>
            <w:tcBorders>
              <w:left w:val="single" w:sz="4" w:space="0" w:color="FFFFFF" w:themeColor="background2"/>
              <w:bottom w:val="single" w:sz="4" w:space="0" w:color="FFFFFF" w:themeColor="background2"/>
              <w:right w:val="single" w:sz="4" w:space="0" w:color="FFFFFF" w:themeColor="background2"/>
            </w:tcBorders>
          </w:tcPr>
          <w:p w14:paraId="1B90D68C" w14:textId="5025B59A" w:rsidR="008E147C" w:rsidRPr="009A191E" w:rsidRDefault="008E147C" w:rsidP="00943DAA">
            <w:pPr>
              <w:pStyle w:val="Bodyromannumerals"/>
              <w:rPr>
                <w:lang w:val="en-US"/>
              </w:rPr>
            </w:pPr>
            <w:r w:rsidRPr="009A191E">
              <w:rPr>
                <w:lang w:val="en-US"/>
              </w:rPr>
              <w:t xml:space="preserve">Total </w:t>
            </w:r>
            <w:r w:rsidR="00914FFE">
              <w:rPr>
                <w:lang w:val="en-US"/>
              </w:rPr>
              <w:t xml:space="preserve">winter </w:t>
            </w:r>
            <w:r w:rsidRPr="009A191E">
              <w:rPr>
                <w:lang w:val="en-US"/>
              </w:rPr>
              <w:t xml:space="preserve">population connected to the </w:t>
            </w:r>
            <w:r w:rsidR="000157EF">
              <w:rPr>
                <w:lang w:val="en-US"/>
              </w:rPr>
              <w:t>wastewater</w:t>
            </w:r>
            <w:r w:rsidRPr="009A191E">
              <w:rPr>
                <w:lang w:val="en-US"/>
              </w:rPr>
              <w:t xml:space="preserve"> system.</w:t>
            </w:r>
          </w:p>
        </w:tc>
      </w:tr>
      <w:tr w:rsidR="008E147C" w:rsidRPr="009A191E" w14:paraId="1E5093D8" w14:textId="77777777" w:rsidTr="00234A46">
        <w:tc>
          <w:tcPr>
            <w:tcW w:w="1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4587FF9" w14:textId="77777777" w:rsidR="008E147C" w:rsidRPr="00C85121" w:rsidRDefault="008E147C" w:rsidP="00943DAA">
            <w:pPr>
              <w:pStyle w:val="Bodyromannumerals"/>
              <w:rPr>
                <w:i/>
                <w:lang w:val="en-US"/>
              </w:rPr>
            </w:pPr>
            <w:r w:rsidRPr="00C85121">
              <w:rPr>
                <w:i/>
                <w:lang w:val="en-US"/>
              </w:rPr>
              <w:t>Processing Rules:</w:t>
            </w:r>
          </w:p>
        </w:tc>
        <w:tc>
          <w:tcPr>
            <w:tcW w:w="570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2324A13" w14:textId="51B4B47A" w:rsidR="008E147C" w:rsidRPr="00914FFE" w:rsidRDefault="008E147C" w:rsidP="00943DAA">
            <w:pPr>
              <w:pStyle w:val="Bodyromannumerals"/>
              <w:rPr>
                <w:lang w:val="en-US"/>
              </w:rPr>
            </w:pPr>
            <w:r w:rsidRPr="00B74AE0">
              <w:rPr>
                <w:lang w:val="en-US"/>
              </w:rPr>
              <w:t xml:space="preserve">Brought forward field: Line </w:t>
            </w:r>
            <w:r w:rsidR="00C85121" w:rsidRPr="00C85121">
              <w:rPr>
                <w:lang w:val="en-US"/>
              </w:rPr>
              <w:t>A3.58</w:t>
            </w:r>
          </w:p>
        </w:tc>
      </w:tr>
      <w:tr w:rsidR="008E147C" w:rsidRPr="009A191E" w14:paraId="432C1763" w14:textId="77777777" w:rsidTr="00234A46">
        <w:tc>
          <w:tcPr>
            <w:tcW w:w="1137" w:type="dxa"/>
          </w:tcPr>
          <w:p w14:paraId="14449040" w14:textId="532E8969" w:rsidR="008E147C" w:rsidRPr="00943DAA" w:rsidRDefault="008E147C" w:rsidP="00943DAA">
            <w:pPr>
              <w:pStyle w:val="Bodyromannumerals"/>
              <w:rPr>
                <w:b/>
                <w:bCs/>
                <w:lang w:val="en-US"/>
              </w:rPr>
            </w:pPr>
            <w:r w:rsidRPr="00943DAA">
              <w:rPr>
                <w:b/>
                <w:bCs/>
                <w:lang w:val="en-US"/>
              </w:rPr>
              <w:t>A4.16</w:t>
            </w:r>
          </w:p>
        </w:tc>
        <w:tc>
          <w:tcPr>
            <w:tcW w:w="4844" w:type="dxa"/>
            <w:gridSpan w:val="2"/>
          </w:tcPr>
          <w:p w14:paraId="255EA55E" w14:textId="17D14AC8" w:rsidR="008E147C" w:rsidRPr="00943DAA" w:rsidRDefault="008E147C" w:rsidP="00943DAA">
            <w:pPr>
              <w:pStyle w:val="Bodyromannumerals"/>
              <w:rPr>
                <w:b/>
                <w:bCs/>
                <w:lang w:val="en-US"/>
              </w:rPr>
            </w:pPr>
            <w:r w:rsidRPr="00943DAA">
              <w:rPr>
                <w:b/>
                <w:bCs/>
                <w:lang w:val="en-US"/>
              </w:rPr>
              <w:t>Population with effluent receiving primary treatment</w:t>
            </w:r>
          </w:p>
        </w:tc>
        <w:tc>
          <w:tcPr>
            <w:tcW w:w="1577" w:type="dxa"/>
          </w:tcPr>
          <w:p w14:paraId="3AFAD0E1" w14:textId="233EB004" w:rsidR="008E147C" w:rsidRPr="00943DAA" w:rsidRDefault="008E147C" w:rsidP="00943DAA">
            <w:pPr>
              <w:pStyle w:val="Bodyromannumerals"/>
              <w:rPr>
                <w:b/>
                <w:bCs/>
                <w:lang w:val="en-US"/>
              </w:rPr>
            </w:pPr>
            <w:r w:rsidRPr="00943DAA">
              <w:rPr>
                <w:b/>
                <w:bCs/>
                <w:lang w:val="en-US"/>
              </w:rPr>
              <w:t>000</w:t>
            </w:r>
          </w:p>
        </w:tc>
      </w:tr>
      <w:tr w:rsidR="008E147C" w:rsidRPr="009A191E" w14:paraId="66242FD1" w14:textId="77777777" w:rsidTr="00234A46">
        <w:tc>
          <w:tcPr>
            <w:tcW w:w="1854" w:type="dxa"/>
            <w:gridSpan w:val="2"/>
            <w:tcBorders>
              <w:left w:val="single" w:sz="4" w:space="0" w:color="FFFFFF" w:themeColor="background2"/>
              <w:bottom w:val="single" w:sz="4" w:space="0" w:color="FFFFFF" w:themeColor="background2"/>
              <w:right w:val="single" w:sz="4" w:space="0" w:color="FFFFFF" w:themeColor="background2"/>
            </w:tcBorders>
          </w:tcPr>
          <w:p w14:paraId="0D8A0E07" w14:textId="0F3A0A4A" w:rsidR="008E147C" w:rsidRPr="009A191E" w:rsidRDefault="008E147C" w:rsidP="00943DAA">
            <w:pPr>
              <w:pStyle w:val="Bodyromannumerals"/>
              <w:rPr>
                <w:i/>
                <w:lang w:val="en-US"/>
              </w:rPr>
            </w:pPr>
            <w:r w:rsidRPr="009A191E">
              <w:rPr>
                <w:i/>
                <w:lang w:val="en-US"/>
              </w:rPr>
              <w:t>Definition:</w:t>
            </w:r>
          </w:p>
        </w:tc>
        <w:tc>
          <w:tcPr>
            <w:tcW w:w="5704" w:type="dxa"/>
            <w:gridSpan w:val="2"/>
            <w:tcBorders>
              <w:left w:val="single" w:sz="4" w:space="0" w:color="FFFFFF" w:themeColor="background2"/>
              <w:bottom w:val="single" w:sz="4" w:space="0" w:color="FFFFFF" w:themeColor="background2"/>
              <w:right w:val="single" w:sz="4" w:space="0" w:color="FFFFFF" w:themeColor="background2"/>
            </w:tcBorders>
          </w:tcPr>
          <w:p w14:paraId="0448ECF3" w14:textId="514834B8" w:rsidR="008E147C" w:rsidRPr="009A191E" w:rsidRDefault="008E147C" w:rsidP="00943DAA">
            <w:pPr>
              <w:pStyle w:val="Bodyromannumerals"/>
              <w:rPr>
                <w:lang w:val="en-US"/>
              </w:rPr>
            </w:pPr>
            <w:r w:rsidRPr="009A191E">
              <w:rPr>
                <w:lang w:val="en-US"/>
              </w:rPr>
              <w:t xml:space="preserve">The population connected to the </w:t>
            </w:r>
            <w:r w:rsidR="000157EF">
              <w:rPr>
                <w:lang w:val="en-US"/>
              </w:rPr>
              <w:t>wastewater</w:t>
            </w:r>
            <w:r w:rsidRPr="009A191E">
              <w:rPr>
                <w:lang w:val="en-US"/>
              </w:rPr>
              <w:t xml:space="preserve"> system whose effluent receives at least primary treatment.</w:t>
            </w:r>
            <w:r w:rsidR="00412D0E">
              <w:rPr>
                <w:lang w:val="en-US"/>
              </w:rPr>
              <w:t xml:space="preserve"> “Primary Treatment” is defined as a combination of screening, grit removal, and primary sedimentation processes. It may include chemical assisted sedimentation (CAS) – i.e. advanced primary treatment (APT). Some WWTPs </w:t>
            </w:r>
            <w:r w:rsidR="00B617F6">
              <w:rPr>
                <w:lang w:val="en-US"/>
              </w:rPr>
              <w:t xml:space="preserve">in New Zealand </w:t>
            </w:r>
            <w:r w:rsidR="00412D0E">
              <w:rPr>
                <w:lang w:val="en-US"/>
              </w:rPr>
              <w:t>do not have primary sedimentation between preliminary treatment processes (screening and grit) and secondary treatment but should be included in this treatment category.</w:t>
            </w:r>
          </w:p>
          <w:p w14:paraId="7CB6E7E9" w14:textId="61D5BC54" w:rsidR="008E147C" w:rsidRPr="00412D0E" w:rsidRDefault="008E147C" w:rsidP="00943DAA">
            <w:pPr>
              <w:pStyle w:val="Bodyromannumerals"/>
            </w:pPr>
            <w:r w:rsidRPr="009A191E">
              <w:rPr>
                <w:lang w:val="en-US"/>
              </w:rPr>
              <w:t>Connected population, including an allowance for domestic effluent from non-resident population whose effluent received at least primary treatment.</w:t>
            </w:r>
            <w:r w:rsidR="00C64549">
              <w:rPr>
                <w:lang w:val="en-US"/>
              </w:rPr>
              <w:t xml:space="preserve"> </w:t>
            </w:r>
          </w:p>
          <w:p w14:paraId="0FEBDA59" w14:textId="14C2C631" w:rsidR="008E147C" w:rsidRPr="009A191E" w:rsidRDefault="008E147C" w:rsidP="00943DAA">
            <w:pPr>
              <w:pStyle w:val="Bodyromannumerals"/>
              <w:rPr>
                <w:lang w:val="en-US"/>
              </w:rPr>
            </w:pPr>
            <w:r w:rsidRPr="009A191E">
              <w:rPr>
                <w:lang w:val="en-US"/>
              </w:rPr>
              <w:t>Please advise in the Commentary the split between resident and non-resident population.</w:t>
            </w:r>
          </w:p>
        </w:tc>
      </w:tr>
      <w:tr w:rsidR="008E147C" w:rsidRPr="009A191E" w14:paraId="1386FE34" w14:textId="77777777" w:rsidTr="00234A46">
        <w:tc>
          <w:tcPr>
            <w:tcW w:w="1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54B5A91" w14:textId="3ECB95CD" w:rsidR="008E147C" w:rsidRPr="009A191E" w:rsidRDefault="008E147C" w:rsidP="00943DAA">
            <w:pPr>
              <w:pStyle w:val="Bodyromannumerals"/>
              <w:rPr>
                <w:i/>
                <w:lang w:val="en-US"/>
              </w:rPr>
            </w:pPr>
            <w:r w:rsidRPr="009A191E">
              <w:rPr>
                <w:i/>
                <w:lang w:val="en-US"/>
              </w:rPr>
              <w:t>Processing Rules:</w:t>
            </w:r>
          </w:p>
        </w:tc>
        <w:tc>
          <w:tcPr>
            <w:tcW w:w="570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6DE26E6" w14:textId="40A96D1C" w:rsidR="008E147C" w:rsidRPr="009A191E" w:rsidRDefault="008E147C" w:rsidP="00943DAA">
            <w:pPr>
              <w:pStyle w:val="Bodyromannumerals"/>
              <w:rPr>
                <w:lang w:val="en-US"/>
              </w:rPr>
            </w:pPr>
            <w:r w:rsidRPr="009A191E">
              <w:rPr>
                <w:lang w:val="en-US"/>
              </w:rPr>
              <w:t>Input field</w:t>
            </w:r>
          </w:p>
        </w:tc>
      </w:tr>
      <w:tr w:rsidR="008E147C" w:rsidRPr="009A191E" w14:paraId="0E11E2C5" w14:textId="77777777" w:rsidTr="00234A46">
        <w:tc>
          <w:tcPr>
            <w:tcW w:w="1137" w:type="dxa"/>
          </w:tcPr>
          <w:p w14:paraId="3CD2D0A8" w14:textId="7C4F733D" w:rsidR="008E147C" w:rsidRPr="00943DAA" w:rsidRDefault="008E147C" w:rsidP="00943DAA">
            <w:pPr>
              <w:pStyle w:val="Bodyromannumerals"/>
              <w:rPr>
                <w:b/>
                <w:bCs/>
                <w:lang w:val="en-US"/>
              </w:rPr>
            </w:pPr>
            <w:r w:rsidRPr="00943DAA">
              <w:rPr>
                <w:b/>
                <w:bCs/>
                <w:lang w:val="en-US"/>
              </w:rPr>
              <w:t>A4.17</w:t>
            </w:r>
          </w:p>
        </w:tc>
        <w:tc>
          <w:tcPr>
            <w:tcW w:w="4844" w:type="dxa"/>
            <w:gridSpan w:val="2"/>
          </w:tcPr>
          <w:p w14:paraId="7E9B869B" w14:textId="3EFCE958" w:rsidR="008E147C" w:rsidRPr="00412D0E" w:rsidRDefault="008E147C" w:rsidP="00412D0E">
            <w:r w:rsidRPr="00412D0E">
              <w:rPr>
                <w:rFonts w:ascii="Calibri" w:hAnsi="Calibri" w:cs="Calibri"/>
                <w:b/>
                <w:bCs/>
                <w:sz w:val="21"/>
                <w:szCs w:val="21"/>
                <w:lang w:val="en-US"/>
              </w:rPr>
              <w:t xml:space="preserve">Population with effluent receiving secondary </w:t>
            </w:r>
            <w:r w:rsidR="00776338">
              <w:rPr>
                <w:rFonts w:ascii="Calibri" w:hAnsi="Calibri" w:cs="Calibri"/>
                <w:b/>
                <w:bCs/>
                <w:sz w:val="21"/>
                <w:szCs w:val="21"/>
                <w:lang w:val="en-US"/>
              </w:rPr>
              <w:t xml:space="preserve">or tertiary </w:t>
            </w:r>
            <w:r w:rsidR="00412D0E" w:rsidRPr="00412D0E">
              <w:rPr>
                <w:rFonts w:ascii="Calibri" w:hAnsi="Calibri" w:cs="Calibri"/>
                <w:b/>
                <w:bCs/>
                <w:sz w:val="21"/>
                <w:szCs w:val="21"/>
                <w:lang w:val="en-US"/>
              </w:rPr>
              <w:t>treatment</w:t>
            </w:r>
          </w:p>
        </w:tc>
        <w:tc>
          <w:tcPr>
            <w:tcW w:w="1577" w:type="dxa"/>
          </w:tcPr>
          <w:p w14:paraId="2F87F6C0" w14:textId="36F35B6D" w:rsidR="008E147C" w:rsidRPr="00943DAA" w:rsidRDefault="008E147C" w:rsidP="00943DAA">
            <w:pPr>
              <w:pStyle w:val="Bodyromannumerals"/>
              <w:rPr>
                <w:b/>
                <w:bCs/>
                <w:lang w:val="en-US"/>
              </w:rPr>
            </w:pPr>
            <w:r w:rsidRPr="00943DAA">
              <w:rPr>
                <w:b/>
                <w:bCs/>
                <w:lang w:val="en-US"/>
              </w:rPr>
              <w:t>000</w:t>
            </w:r>
          </w:p>
        </w:tc>
      </w:tr>
      <w:tr w:rsidR="008E147C" w:rsidRPr="009A191E" w14:paraId="3B7EE9E0" w14:textId="77777777" w:rsidTr="00234A46">
        <w:tc>
          <w:tcPr>
            <w:tcW w:w="1854" w:type="dxa"/>
            <w:gridSpan w:val="2"/>
            <w:tcBorders>
              <w:left w:val="single" w:sz="4" w:space="0" w:color="FFFFFF" w:themeColor="background2"/>
              <w:bottom w:val="single" w:sz="4" w:space="0" w:color="FFFFFF" w:themeColor="background2"/>
              <w:right w:val="single" w:sz="4" w:space="0" w:color="FFFFFF" w:themeColor="background2"/>
            </w:tcBorders>
          </w:tcPr>
          <w:p w14:paraId="5F3549D3" w14:textId="59E9DAD5" w:rsidR="008E147C" w:rsidRPr="009A191E" w:rsidRDefault="008E147C" w:rsidP="00943DAA">
            <w:pPr>
              <w:pStyle w:val="Bodyromannumerals"/>
              <w:rPr>
                <w:i/>
                <w:lang w:val="en-US"/>
              </w:rPr>
            </w:pPr>
            <w:r w:rsidRPr="009A191E">
              <w:rPr>
                <w:i/>
                <w:lang w:val="en-US"/>
              </w:rPr>
              <w:t>Definition:</w:t>
            </w:r>
          </w:p>
        </w:tc>
        <w:tc>
          <w:tcPr>
            <w:tcW w:w="5704" w:type="dxa"/>
            <w:gridSpan w:val="2"/>
            <w:tcBorders>
              <w:left w:val="single" w:sz="4" w:space="0" w:color="FFFFFF" w:themeColor="background2"/>
              <w:bottom w:val="single" w:sz="4" w:space="0" w:color="FFFFFF" w:themeColor="background2"/>
              <w:right w:val="single" w:sz="4" w:space="0" w:color="FFFFFF" w:themeColor="background2"/>
            </w:tcBorders>
          </w:tcPr>
          <w:p w14:paraId="1A5E0E94" w14:textId="04E15F50" w:rsidR="008E147C" w:rsidRPr="009A191E" w:rsidRDefault="008E147C" w:rsidP="00943DAA">
            <w:pPr>
              <w:pStyle w:val="Bodyromannumerals"/>
              <w:rPr>
                <w:lang w:val="en-US"/>
              </w:rPr>
            </w:pPr>
            <w:r w:rsidRPr="009A191E">
              <w:rPr>
                <w:lang w:val="en-US"/>
              </w:rPr>
              <w:t>Connected population, including an allowance for domestic effluent from non-resident population whose effluent received at least secondary treatment - Exclude those receiving only primary or preliminary treatment (or no treatment at all) but include those receiving secondary treatment or better.</w:t>
            </w:r>
            <w:r w:rsidR="00412D0E">
              <w:rPr>
                <w:lang w:val="en-US"/>
              </w:rPr>
              <w:t xml:space="preserve"> “Secondary Treatment” is defined as including a biological treatment process (biological trickling filters, activated sludge, pond systems, SBRs, MBRs, </w:t>
            </w:r>
            <w:proofErr w:type="spellStart"/>
            <w:r w:rsidR="00412D0E">
              <w:rPr>
                <w:lang w:val="en-US"/>
              </w:rPr>
              <w:t>etc</w:t>
            </w:r>
            <w:proofErr w:type="spellEnd"/>
            <w:r w:rsidR="00412D0E">
              <w:rPr>
                <w:lang w:val="en-US"/>
              </w:rPr>
              <w:t>) followed by secondary clarification/settling. Some WWTPs</w:t>
            </w:r>
            <w:r w:rsidR="00B617F6">
              <w:rPr>
                <w:lang w:val="en-US"/>
              </w:rPr>
              <w:t xml:space="preserve"> in New Zealand</w:t>
            </w:r>
            <w:r w:rsidR="00412D0E">
              <w:rPr>
                <w:lang w:val="en-US"/>
              </w:rPr>
              <w:t xml:space="preserve"> do not have a secondary clarification stage but should still be included in this treatment category. WWTPs may include tertiary treatment processes such as membrane or mixed media or cloth filtration and disinfection (UV or chlorination)</w:t>
            </w:r>
            <w:r w:rsidR="007E3169">
              <w:rPr>
                <w:lang w:val="en-US"/>
              </w:rPr>
              <w:t xml:space="preserve">. </w:t>
            </w:r>
          </w:p>
          <w:p w14:paraId="2561FEF6" w14:textId="16FF443F" w:rsidR="008E147C" w:rsidRPr="009A191E" w:rsidRDefault="008E147C" w:rsidP="00943DAA">
            <w:pPr>
              <w:pStyle w:val="Bodyromannumerals"/>
              <w:rPr>
                <w:lang w:val="en-US"/>
              </w:rPr>
            </w:pPr>
            <w:r w:rsidRPr="009A191E">
              <w:rPr>
                <w:lang w:val="en-US"/>
              </w:rPr>
              <w:t>Please advise in the Commentary the split between resident and non-resident population.</w:t>
            </w:r>
          </w:p>
        </w:tc>
      </w:tr>
      <w:tr w:rsidR="008E147C" w:rsidRPr="009A191E" w14:paraId="113FC153" w14:textId="77777777" w:rsidTr="00234A46">
        <w:tc>
          <w:tcPr>
            <w:tcW w:w="1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EDF0D4C" w14:textId="08A2BD4A" w:rsidR="008E147C" w:rsidRPr="009A191E" w:rsidRDefault="008E147C" w:rsidP="00943DAA">
            <w:pPr>
              <w:pStyle w:val="Bodyromannumerals"/>
              <w:rPr>
                <w:i/>
                <w:lang w:val="en-US"/>
              </w:rPr>
            </w:pPr>
            <w:r w:rsidRPr="009A191E">
              <w:rPr>
                <w:i/>
                <w:lang w:val="en-US"/>
              </w:rPr>
              <w:lastRenderedPageBreak/>
              <w:t>Processing Rules:</w:t>
            </w:r>
          </w:p>
        </w:tc>
        <w:tc>
          <w:tcPr>
            <w:tcW w:w="570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E0DC4B3" w14:textId="7B7D1530" w:rsidR="008E147C" w:rsidRPr="009A191E" w:rsidRDefault="008E147C" w:rsidP="00943DAA">
            <w:pPr>
              <w:pStyle w:val="Bodyromannumerals"/>
              <w:rPr>
                <w:lang w:val="en-US"/>
              </w:rPr>
            </w:pPr>
            <w:r w:rsidRPr="009A191E">
              <w:rPr>
                <w:lang w:val="en-US"/>
              </w:rPr>
              <w:t>Input field</w:t>
            </w:r>
          </w:p>
        </w:tc>
      </w:tr>
      <w:tr w:rsidR="008E147C" w:rsidRPr="009A191E" w14:paraId="5D320797" w14:textId="77777777" w:rsidTr="00234A46">
        <w:tc>
          <w:tcPr>
            <w:tcW w:w="1137" w:type="dxa"/>
          </w:tcPr>
          <w:p w14:paraId="55E84CC4" w14:textId="33AF02CC" w:rsidR="008E147C" w:rsidRPr="00943DAA" w:rsidRDefault="008E147C" w:rsidP="00943DAA">
            <w:pPr>
              <w:pStyle w:val="Bodyromannumerals"/>
              <w:rPr>
                <w:b/>
                <w:bCs/>
                <w:lang w:val="en-US"/>
              </w:rPr>
            </w:pPr>
            <w:r w:rsidRPr="00943DAA">
              <w:rPr>
                <w:b/>
                <w:bCs/>
                <w:lang w:val="en-US"/>
              </w:rPr>
              <w:t>A4.18</w:t>
            </w:r>
          </w:p>
        </w:tc>
        <w:tc>
          <w:tcPr>
            <w:tcW w:w="4844" w:type="dxa"/>
            <w:gridSpan w:val="2"/>
          </w:tcPr>
          <w:p w14:paraId="4BD5DD35" w14:textId="725BAC07" w:rsidR="008E147C" w:rsidRPr="00943DAA" w:rsidRDefault="008E147C" w:rsidP="00943DAA">
            <w:pPr>
              <w:pStyle w:val="Bodyromannumerals"/>
              <w:rPr>
                <w:b/>
                <w:bCs/>
                <w:lang w:val="en-US"/>
              </w:rPr>
            </w:pPr>
            <w:r w:rsidRPr="00943DAA">
              <w:rPr>
                <w:b/>
                <w:bCs/>
                <w:lang w:val="en-US"/>
              </w:rPr>
              <w:t xml:space="preserve">Domestic load receiving secondary </w:t>
            </w:r>
            <w:r w:rsidR="00C731D2">
              <w:rPr>
                <w:b/>
                <w:bCs/>
                <w:lang w:val="en-US"/>
              </w:rPr>
              <w:t xml:space="preserve">or tertiary </w:t>
            </w:r>
            <w:r w:rsidRPr="00943DAA">
              <w:rPr>
                <w:b/>
                <w:bCs/>
                <w:lang w:val="en-US"/>
              </w:rPr>
              <w:t>treatment (BOD/</w:t>
            </w:r>
            <w:proofErr w:type="spellStart"/>
            <w:r w:rsidRPr="00943DAA">
              <w:rPr>
                <w:b/>
                <w:bCs/>
                <w:lang w:val="en-US"/>
              </w:rPr>
              <w:t>yr</w:t>
            </w:r>
            <w:proofErr w:type="spellEnd"/>
            <w:r w:rsidRPr="00943DAA">
              <w:rPr>
                <w:b/>
                <w:bCs/>
                <w:lang w:val="en-US"/>
              </w:rPr>
              <w:t>)</w:t>
            </w:r>
          </w:p>
        </w:tc>
        <w:tc>
          <w:tcPr>
            <w:tcW w:w="1577" w:type="dxa"/>
          </w:tcPr>
          <w:p w14:paraId="66942A92" w14:textId="1F9B6947" w:rsidR="008E147C" w:rsidRPr="00943DAA" w:rsidRDefault="008E147C" w:rsidP="00943DAA">
            <w:pPr>
              <w:pStyle w:val="Bodyromannumerals"/>
              <w:rPr>
                <w:b/>
                <w:bCs/>
                <w:lang w:val="en-US"/>
              </w:rPr>
            </w:pPr>
            <w:proofErr w:type="spellStart"/>
            <w:r w:rsidRPr="00943DAA">
              <w:rPr>
                <w:b/>
                <w:bCs/>
                <w:lang w:val="en-US"/>
              </w:rPr>
              <w:t>Tonnes</w:t>
            </w:r>
            <w:proofErr w:type="spellEnd"/>
            <w:r w:rsidR="00B549B4">
              <w:rPr>
                <w:b/>
                <w:bCs/>
                <w:lang w:val="en-US"/>
              </w:rPr>
              <w:t>/year</w:t>
            </w:r>
          </w:p>
        </w:tc>
      </w:tr>
      <w:tr w:rsidR="008E147C" w:rsidRPr="009A191E" w14:paraId="2B5A9728" w14:textId="77777777" w:rsidTr="00234A46">
        <w:tc>
          <w:tcPr>
            <w:tcW w:w="1854" w:type="dxa"/>
            <w:gridSpan w:val="2"/>
            <w:tcBorders>
              <w:left w:val="single" w:sz="4" w:space="0" w:color="FFFFFF" w:themeColor="background2"/>
              <w:bottom w:val="single" w:sz="4" w:space="0" w:color="FFFFFF" w:themeColor="background2"/>
              <w:right w:val="single" w:sz="4" w:space="0" w:color="FFFFFF" w:themeColor="background2"/>
            </w:tcBorders>
          </w:tcPr>
          <w:p w14:paraId="635A22EA" w14:textId="5283FA66" w:rsidR="008E147C" w:rsidRPr="009A191E" w:rsidRDefault="008E147C" w:rsidP="00943DAA">
            <w:pPr>
              <w:pStyle w:val="Bodyromannumerals"/>
              <w:rPr>
                <w:i/>
                <w:lang w:val="en-US"/>
              </w:rPr>
            </w:pPr>
            <w:r w:rsidRPr="009A191E">
              <w:rPr>
                <w:i/>
                <w:lang w:val="en-US"/>
              </w:rPr>
              <w:t>Definition:</w:t>
            </w:r>
          </w:p>
        </w:tc>
        <w:tc>
          <w:tcPr>
            <w:tcW w:w="5704" w:type="dxa"/>
            <w:gridSpan w:val="2"/>
            <w:tcBorders>
              <w:left w:val="single" w:sz="4" w:space="0" w:color="FFFFFF" w:themeColor="background2"/>
              <w:bottom w:val="single" w:sz="4" w:space="0" w:color="FFFFFF" w:themeColor="background2"/>
              <w:right w:val="single" w:sz="4" w:space="0" w:color="FFFFFF" w:themeColor="background2"/>
            </w:tcBorders>
          </w:tcPr>
          <w:p w14:paraId="13FA5CE7" w14:textId="49984A00" w:rsidR="008E147C" w:rsidRPr="009A191E" w:rsidRDefault="008E147C" w:rsidP="00943DAA">
            <w:pPr>
              <w:pStyle w:val="Bodyromannumerals"/>
              <w:rPr>
                <w:lang w:val="en-US"/>
              </w:rPr>
            </w:pPr>
            <w:r w:rsidRPr="009A191E">
              <w:rPr>
                <w:lang w:val="en-US"/>
              </w:rPr>
              <w:t>Total BOD load per year (</w:t>
            </w:r>
            <w:proofErr w:type="spellStart"/>
            <w:r w:rsidRPr="009A191E">
              <w:rPr>
                <w:lang w:val="en-US"/>
              </w:rPr>
              <w:t>tonnes</w:t>
            </w:r>
            <w:proofErr w:type="spellEnd"/>
            <w:r w:rsidRPr="009A191E">
              <w:rPr>
                <w:lang w:val="en-US"/>
              </w:rPr>
              <w:t>) from domestic effluent, calculated from a modified population figure (line A4.17) which includes an allowance for non-resident population.  Exclude septic tank waste.</w:t>
            </w:r>
          </w:p>
          <w:p w14:paraId="06CAC0FE" w14:textId="575840E8" w:rsidR="008E147C" w:rsidRPr="00412D0E" w:rsidRDefault="008E147C" w:rsidP="00412D0E">
            <w:pPr>
              <w:rPr>
                <w:rFonts w:ascii="Calibri" w:hAnsi="Calibri" w:cs="Calibri"/>
                <w:sz w:val="21"/>
                <w:szCs w:val="21"/>
                <w:lang w:val="en-US"/>
              </w:rPr>
            </w:pPr>
            <w:r w:rsidRPr="00412D0E">
              <w:rPr>
                <w:rFonts w:ascii="Calibri" w:hAnsi="Calibri" w:cs="Calibri"/>
                <w:sz w:val="21"/>
                <w:szCs w:val="21"/>
                <w:lang w:val="en-US"/>
              </w:rPr>
              <w:t>This is</w:t>
            </w:r>
            <w:r w:rsidR="00B549B4">
              <w:rPr>
                <w:rFonts w:ascii="Calibri" w:hAnsi="Calibri" w:cs="Calibri"/>
                <w:sz w:val="21"/>
                <w:szCs w:val="21"/>
                <w:lang w:val="en-US"/>
              </w:rPr>
              <w:t xml:space="preserve"> calculated from A4.17</w:t>
            </w:r>
            <w:r w:rsidRPr="00412D0E">
              <w:rPr>
                <w:rFonts w:ascii="Calibri" w:hAnsi="Calibri" w:cs="Calibri"/>
                <w:sz w:val="21"/>
                <w:szCs w:val="21"/>
                <w:lang w:val="en-US"/>
              </w:rPr>
              <w:t xml:space="preserve"> based on a figure </w:t>
            </w:r>
            <w:r w:rsidRPr="002207E0">
              <w:rPr>
                <w:rFonts w:ascii="Calibri" w:hAnsi="Calibri" w:cs="Calibri"/>
                <w:sz w:val="21"/>
                <w:szCs w:val="21"/>
                <w:lang w:val="en-US"/>
              </w:rPr>
              <w:t xml:space="preserve">of </w:t>
            </w:r>
            <w:r w:rsidR="00412D0E" w:rsidRPr="002207E0">
              <w:rPr>
                <w:rFonts w:ascii="Calibri" w:hAnsi="Calibri" w:cs="Calibri"/>
                <w:sz w:val="21"/>
                <w:szCs w:val="21"/>
                <w:lang w:val="en-US"/>
              </w:rPr>
              <w:t>60g/</w:t>
            </w:r>
            <w:r w:rsidR="005F72AB" w:rsidRPr="002207E0">
              <w:rPr>
                <w:rFonts w:ascii="Calibri" w:hAnsi="Calibri" w:cs="Calibri"/>
                <w:sz w:val="21"/>
                <w:szCs w:val="21"/>
                <w:lang w:val="en-US"/>
              </w:rPr>
              <w:t>head</w:t>
            </w:r>
            <w:r w:rsidR="005F72AB">
              <w:rPr>
                <w:rFonts w:ascii="Calibri" w:hAnsi="Calibri" w:cs="Calibri"/>
                <w:sz w:val="21"/>
                <w:szCs w:val="21"/>
                <w:lang w:val="en-US"/>
              </w:rPr>
              <w:t>/</w:t>
            </w:r>
            <w:r w:rsidR="00412D0E" w:rsidRPr="00412D0E">
              <w:rPr>
                <w:rFonts w:ascii="Calibri" w:hAnsi="Calibri" w:cs="Calibri"/>
                <w:sz w:val="21"/>
                <w:szCs w:val="21"/>
                <w:lang w:val="en-US"/>
              </w:rPr>
              <w:t xml:space="preserve">day </w:t>
            </w:r>
            <w:r w:rsidRPr="00412D0E">
              <w:rPr>
                <w:rStyle w:val="BodyromannumeralsChar"/>
              </w:rPr>
              <w:t>BOD</w:t>
            </w:r>
            <w:r w:rsidRPr="009A191E">
              <w:rPr>
                <w:lang w:val="en-US"/>
              </w:rPr>
              <w:t>.</w:t>
            </w:r>
          </w:p>
        </w:tc>
      </w:tr>
      <w:tr w:rsidR="008E147C" w:rsidRPr="009A191E" w14:paraId="5354F2DE" w14:textId="77777777" w:rsidTr="00234A46">
        <w:tc>
          <w:tcPr>
            <w:tcW w:w="1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D65ACED" w14:textId="2942594E" w:rsidR="008E147C" w:rsidRPr="009A191E" w:rsidRDefault="008E147C" w:rsidP="00943DAA">
            <w:pPr>
              <w:pStyle w:val="Bodyromannumerals"/>
              <w:rPr>
                <w:i/>
                <w:lang w:val="en-US"/>
              </w:rPr>
            </w:pPr>
            <w:r w:rsidRPr="009A191E">
              <w:rPr>
                <w:i/>
                <w:lang w:val="en-US"/>
              </w:rPr>
              <w:t>Processing Rules:</w:t>
            </w:r>
          </w:p>
        </w:tc>
        <w:tc>
          <w:tcPr>
            <w:tcW w:w="570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0A7E04E" w14:textId="1A6ED732" w:rsidR="008E147C" w:rsidRPr="009A191E" w:rsidRDefault="008E147C" w:rsidP="00943DAA">
            <w:pPr>
              <w:pStyle w:val="Bodyromannumerals"/>
              <w:rPr>
                <w:lang w:val="en-US"/>
              </w:rPr>
            </w:pPr>
            <w:r w:rsidRPr="009A191E">
              <w:rPr>
                <w:lang w:val="en-US"/>
              </w:rPr>
              <w:t xml:space="preserve">Calculated field: </w:t>
            </w:r>
            <m:oMath>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A4.17*60*365</m:t>
                  </m:r>
                </m:num>
                <m:den>
                  <m:r>
                    <w:rPr>
                      <w:rFonts w:ascii="Cambria Math" w:hAnsi="Cambria Math"/>
                      <w:lang w:val="en-US"/>
                    </w:rPr>
                    <m:t>1,000</m:t>
                  </m:r>
                </m:den>
              </m:f>
            </m:oMath>
          </w:p>
        </w:tc>
      </w:tr>
      <w:tr w:rsidR="008E147C" w:rsidRPr="009A191E" w14:paraId="67E40F1C" w14:textId="77777777" w:rsidTr="00234A46">
        <w:tc>
          <w:tcPr>
            <w:tcW w:w="1137" w:type="dxa"/>
          </w:tcPr>
          <w:p w14:paraId="7CF60304" w14:textId="70A53F02" w:rsidR="008E147C" w:rsidRPr="00943DAA" w:rsidRDefault="008E147C" w:rsidP="00943DAA">
            <w:pPr>
              <w:pStyle w:val="Bodyromannumerals"/>
              <w:rPr>
                <w:b/>
                <w:bCs/>
                <w:lang w:val="en-US"/>
              </w:rPr>
            </w:pPr>
            <w:r w:rsidRPr="00943DAA">
              <w:rPr>
                <w:b/>
                <w:bCs/>
                <w:lang w:val="en-US"/>
              </w:rPr>
              <w:t>A4.19</w:t>
            </w:r>
          </w:p>
        </w:tc>
        <w:tc>
          <w:tcPr>
            <w:tcW w:w="4844" w:type="dxa"/>
            <w:gridSpan w:val="2"/>
          </w:tcPr>
          <w:p w14:paraId="04DE9E87" w14:textId="739A9D61" w:rsidR="008E147C" w:rsidRPr="00943DAA" w:rsidRDefault="008E147C" w:rsidP="00943DAA">
            <w:pPr>
              <w:pStyle w:val="Bodyromannumerals"/>
              <w:rPr>
                <w:b/>
                <w:bCs/>
                <w:lang w:val="en-US"/>
              </w:rPr>
            </w:pPr>
            <w:r w:rsidRPr="00943DAA">
              <w:rPr>
                <w:b/>
                <w:bCs/>
                <w:lang w:val="en-US"/>
              </w:rPr>
              <w:t>Non-</w:t>
            </w:r>
            <w:r w:rsidR="001E4B41">
              <w:rPr>
                <w:b/>
                <w:bCs/>
                <w:lang w:val="en-US"/>
              </w:rPr>
              <w:t>domestic</w:t>
            </w:r>
            <w:r w:rsidR="001E4B41" w:rsidRPr="00943DAA">
              <w:rPr>
                <w:b/>
                <w:bCs/>
                <w:lang w:val="en-US"/>
              </w:rPr>
              <w:t xml:space="preserve"> </w:t>
            </w:r>
            <w:r w:rsidRPr="00943DAA">
              <w:rPr>
                <w:b/>
                <w:bCs/>
                <w:lang w:val="en-US"/>
              </w:rPr>
              <w:t xml:space="preserve">load receiving secondary </w:t>
            </w:r>
            <w:r w:rsidR="001F3491" w:rsidRPr="001F3491">
              <w:rPr>
                <w:b/>
                <w:bCs/>
                <w:lang w:val="en-US"/>
              </w:rPr>
              <w:t xml:space="preserve">or tertiary </w:t>
            </w:r>
            <w:r w:rsidRPr="00943DAA">
              <w:rPr>
                <w:b/>
                <w:bCs/>
                <w:lang w:val="en-US"/>
              </w:rPr>
              <w:t>treatment (BOD/</w:t>
            </w:r>
            <w:proofErr w:type="spellStart"/>
            <w:r w:rsidRPr="00943DAA">
              <w:rPr>
                <w:b/>
                <w:bCs/>
                <w:lang w:val="en-US"/>
              </w:rPr>
              <w:t>yr</w:t>
            </w:r>
            <w:proofErr w:type="spellEnd"/>
            <w:r w:rsidRPr="00943DAA">
              <w:rPr>
                <w:b/>
                <w:bCs/>
                <w:lang w:val="en-US"/>
              </w:rPr>
              <w:t>)</w:t>
            </w:r>
            <w:r w:rsidR="00512014">
              <w:rPr>
                <w:rStyle w:val="CommentReference"/>
                <w:rFonts w:ascii="Arial" w:hAnsi="Arial" w:cstheme="minorBidi"/>
                <w:lang w:val="en-NZ"/>
              </w:rPr>
              <w:t xml:space="preserve"> </w:t>
            </w:r>
          </w:p>
        </w:tc>
        <w:tc>
          <w:tcPr>
            <w:tcW w:w="1577" w:type="dxa"/>
          </w:tcPr>
          <w:p w14:paraId="6B744E13" w14:textId="16739163" w:rsidR="008E147C" w:rsidRPr="00943DAA" w:rsidRDefault="008E147C" w:rsidP="00943DAA">
            <w:pPr>
              <w:pStyle w:val="Bodyromannumerals"/>
              <w:rPr>
                <w:b/>
                <w:bCs/>
                <w:lang w:val="en-US"/>
              </w:rPr>
            </w:pPr>
            <w:proofErr w:type="spellStart"/>
            <w:r w:rsidRPr="00943DAA">
              <w:rPr>
                <w:b/>
                <w:bCs/>
                <w:lang w:val="en-US"/>
              </w:rPr>
              <w:t>Tonnes</w:t>
            </w:r>
            <w:proofErr w:type="spellEnd"/>
            <w:r w:rsidR="001E4B41">
              <w:rPr>
                <w:b/>
                <w:bCs/>
                <w:lang w:val="en-US"/>
              </w:rPr>
              <w:t>/year</w:t>
            </w:r>
          </w:p>
        </w:tc>
      </w:tr>
      <w:tr w:rsidR="008E147C" w:rsidRPr="009A191E" w14:paraId="3966788C" w14:textId="77777777" w:rsidTr="00234A46">
        <w:tc>
          <w:tcPr>
            <w:tcW w:w="1854" w:type="dxa"/>
            <w:gridSpan w:val="2"/>
            <w:tcBorders>
              <w:left w:val="single" w:sz="4" w:space="0" w:color="FFFFFF" w:themeColor="background2"/>
              <w:bottom w:val="single" w:sz="4" w:space="0" w:color="FFFFFF" w:themeColor="background2"/>
              <w:right w:val="single" w:sz="4" w:space="0" w:color="FFFFFF" w:themeColor="background2"/>
            </w:tcBorders>
          </w:tcPr>
          <w:p w14:paraId="332487B4" w14:textId="5A16FE83" w:rsidR="008E147C" w:rsidRPr="009A191E" w:rsidRDefault="008E147C" w:rsidP="00943DAA">
            <w:pPr>
              <w:pStyle w:val="Bodyromannumerals"/>
              <w:rPr>
                <w:i/>
                <w:lang w:val="en-US"/>
              </w:rPr>
            </w:pPr>
            <w:r w:rsidRPr="009A191E">
              <w:rPr>
                <w:i/>
                <w:lang w:val="en-US"/>
              </w:rPr>
              <w:t>Definition:</w:t>
            </w:r>
          </w:p>
        </w:tc>
        <w:tc>
          <w:tcPr>
            <w:tcW w:w="5704" w:type="dxa"/>
            <w:gridSpan w:val="2"/>
            <w:tcBorders>
              <w:left w:val="single" w:sz="4" w:space="0" w:color="FFFFFF" w:themeColor="background2"/>
              <w:bottom w:val="single" w:sz="4" w:space="0" w:color="FFFFFF" w:themeColor="background2"/>
              <w:right w:val="single" w:sz="4" w:space="0" w:color="FFFFFF" w:themeColor="background2"/>
            </w:tcBorders>
          </w:tcPr>
          <w:p w14:paraId="1B76D8C3" w14:textId="65045A78" w:rsidR="008E147C" w:rsidRPr="009A191E" w:rsidRDefault="008E147C" w:rsidP="00943DAA">
            <w:pPr>
              <w:pStyle w:val="Bodyromannumerals"/>
              <w:rPr>
                <w:lang w:val="en-US"/>
              </w:rPr>
            </w:pPr>
            <w:r w:rsidRPr="009A191E">
              <w:rPr>
                <w:lang w:val="en-US"/>
              </w:rPr>
              <w:t xml:space="preserve">This is the total Non-domestic BOD pollution load receiving secondary treatment (or better) in </w:t>
            </w:r>
            <w:proofErr w:type="spellStart"/>
            <w:r w:rsidRPr="009A191E">
              <w:rPr>
                <w:lang w:val="en-US"/>
              </w:rPr>
              <w:t>tonnes</w:t>
            </w:r>
            <w:proofErr w:type="spellEnd"/>
            <w:r w:rsidRPr="009A191E">
              <w:rPr>
                <w:lang w:val="en-US"/>
              </w:rPr>
              <w:t xml:space="preserve"> BOD/year. </w:t>
            </w:r>
          </w:p>
        </w:tc>
      </w:tr>
      <w:tr w:rsidR="008E147C" w:rsidRPr="009A191E" w14:paraId="68CC0FED" w14:textId="77777777" w:rsidTr="00234A46">
        <w:tc>
          <w:tcPr>
            <w:tcW w:w="1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B2B662E" w14:textId="7F24319D" w:rsidR="008E147C" w:rsidRPr="009A191E" w:rsidRDefault="008E147C" w:rsidP="00943DAA">
            <w:pPr>
              <w:pStyle w:val="Bodyromannumerals"/>
              <w:rPr>
                <w:i/>
                <w:lang w:val="en-US"/>
              </w:rPr>
            </w:pPr>
            <w:r w:rsidRPr="009A191E">
              <w:rPr>
                <w:i/>
                <w:lang w:val="en-US"/>
              </w:rPr>
              <w:t>Processing Rules:</w:t>
            </w:r>
          </w:p>
        </w:tc>
        <w:tc>
          <w:tcPr>
            <w:tcW w:w="570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AFBCBF3" w14:textId="3F2EBD62" w:rsidR="008E147C" w:rsidRPr="009A191E" w:rsidRDefault="008E147C" w:rsidP="00943DAA">
            <w:pPr>
              <w:pStyle w:val="Bodyromannumerals"/>
              <w:rPr>
                <w:lang w:val="en-US"/>
              </w:rPr>
            </w:pPr>
            <w:r w:rsidRPr="009A191E">
              <w:rPr>
                <w:lang w:val="en-US"/>
              </w:rPr>
              <w:t>Input field</w:t>
            </w:r>
          </w:p>
        </w:tc>
      </w:tr>
      <w:tr w:rsidR="008E147C" w:rsidRPr="009A191E" w14:paraId="7453C849" w14:textId="77777777" w:rsidTr="00234A46">
        <w:tc>
          <w:tcPr>
            <w:tcW w:w="1137" w:type="dxa"/>
          </w:tcPr>
          <w:p w14:paraId="778BF174" w14:textId="5428ED72" w:rsidR="008E147C" w:rsidRPr="00943DAA" w:rsidRDefault="008E147C" w:rsidP="00943DAA">
            <w:pPr>
              <w:pStyle w:val="Bodyromannumerals"/>
              <w:rPr>
                <w:b/>
                <w:bCs/>
                <w:lang w:val="en-US"/>
              </w:rPr>
            </w:pPr>
            <w:r w:rsidRPr="00943DAA">
              <w:rPr>
                <w:b/>
                <w:bCs/>
                <w:lang w:val="en-US"/>
              </w:rPr>
              <w:t>A4.20</w:t>
            </w:r>
          </w:p>
        </w:tc>
        <w:tc>
          <w:tcPr>
            <w:tcW w:w="4844" w:type="dxa"/>
            <w:gridSpan w:val="2"/>
          </w:tcPr>
          <w:p w14:paraId="4EBAE0BB" w14:textId="6DE9AC0F" w:rsidR="008E147C" w:rsidRPr="00943DAA" w:rsidRDefault="008E147C" w:rsidP="00943DAA">
            <w:pPr>
              <w:pStyle w:val="Bodyromannumerals"/>
              <w:rPr>
                <w:b/>
                <w:bCs/>
                <w:lang w:val="en-US"/>
              </w:rPr>
            </w:pPr>
            <w:proofErr w:type="spellStart"/>
            <w:r w:rsidRPr="00943DAA">
              <w:rPr>
                <w:b/>
                <w:bCs/>
                <w:lang w:val="en-US"/>
              </w:rPr>
              <w:t>Trade</w:t>
            </w:r>
            <w:r w:rsidR="000A4D69">
              <w:rPr>
                <w:b/>
                <w:bCs/>
                <w:lang w:val="en-US"/>
              </w:rPr>
              <w:t>waste</w:t>
            </w:r>
            <w:proofErr w:type="spellEnd"/>
            <w:r w:rsidRPr="00943DAA">
              <w:rPr>
                <w:b/>
                <w:bCs/>
                <w:lang w:val="en-US"/>
              </w:rPr>
              <w:t xml:space="preserve"> load receiving secondary </w:t>
            </w:r>
            <w:r w:rsidR="00272DB4">
              <w:rPr>
                <w:b/>
                <w:bCs/>
                <w:lang w:val="en-US"/>
              </w:rPr>
              <w:t>or</w:t>
            </w:r>
            <w:r w:rsidR="00224EDB">
              <w:rPr>
                <w:b/>
                <w:bCs/>
                <w:lang w:val="en-US"/>
              </w:rPr>
              <w:t xml:space="preserve"> tertiary </w:t>
            </w:r>
            <w:r w:rsidRPr="00943DAA">
              <w:rPr>
                <w:b/>
                <w:bCs/>
                <w:lang w:val="en-US"/>
              </w:rPr>
              <w:t>treatment (BOD/</w:t>
            </w:r>
            <w:proofErr w:type="spellStart"/>
            <w:r w:rsidRPr="00943DAA">
              <w:rPr>
                <w:b/>
                <w:bCs/>
                <w:lang w:val="en-US"/>
              </w:rPr>
              <w:t>yr</w:t>
            </w:r>
            <w:proofErr w:type="spellEnd"/>
            <w:r w:rsidRPr="00943DAA">
              <w:rPr>
                <w:b/>
                <w:bCs/>
                <w:lang w:val="en-US"/>
              </w:rPr>
              <w:t>)</w:t>
            </w:r>
            <w:r w:rsidR="00512014">
              <w:rPr>
                <w:rStyle w:val="CommentReference"/>
                <w:rFonts w:ascii="Arial" w:hAnsi="Arial" w:cstheme="minorBidi"/>
                <w:lang w:val="en-NZ"/>
              </w:rPr>
              <w:t xml:space="preserve"> </w:t>
            </w:r>
          </w:p>
        </w:tc>
        <w:tc>
          <w:tcPr>
            <w:tcW w:w="1577" w:type="dxa"/>
          </w:tcPr>
          <w:p w14:paraId="724C4DDB" w14:textId="34FB6CD6" w:rsidR="008E147C" w:rsidRPr="00943DAA" w:rsidRDefault="008E147C" w:rsidP="00943DAA">
            <w:pPr>
              <w:pStyle w:val="Bodyromannumerals"/>
              <w:rPr>
                <w:b/>
                <w:bCs/>
                <w:lang w:val="en-US"/>
              </w:rPr>
            </w:pPr>
            <w:proofErr w:type="spellStart"/>
            <w:r w:rsidRPr="00943DAA">
              <w:rPr>
                <w:b/>
                <w:bCs/>
                <w:lang w:val="en-US"/>
              </w:rPr>
              <w:t>Tonnes</w:t>
            </w:r>
            <w:proofErr w:type="spellEnd"/>
            <w:r w:rsidR="001E4B41">
              <w:rPr>
                <w:b/>
                <w:bCs/>
                <w:lang w:val="en-US"/>
              </w:rPr>
              <w:t>/year</w:t>
            </w:r>
          </w:p>
        </w:tc>
      </w:tr>
      <w:tr w:rsidR="008E147C" w:rsidRPr="009A191E" w14:paraId="44AAE65F" w14:textId="77777777" w:rsidTr="00234A46">
        <w:tc>
          <w:tcPr>
            <w:tcW w:w="1854" w:type="dxa"/>
            <w:gridSpan w:val="2"/>
            <w:tcBorders>
              <w:left w:val="single" w:sz="4" w:space="0" w:color="FFFFFF" w:themeColor="background2"/>
              <w:bottom w:val="single" w:sz="4" w:space="0" w:color="FFFFFF" w:themeColor="background2"/>
              <w:right w:val="single" w:sz="4" w:space="0" w:color="FFFFFF" w:themeColor="background2"/>
            </w:tcBorders>
          </w:tcPr>
          <w:p w14:paraId="4D3790EE" w14:textId="07A4D398" w:rsidR="008E147C" w:rsidRPr="009A191E" w:rsidRDefault="008E147C" w:rsidP="00943DAA">
            <w:pPr>
              <w:pStyle w:val="Bodyromannumerals"/>
              <w:rPr>
                <w:i/>
                <w:lang w:val="en-US"/>
              </w:rPr>
            </w:pPr>
            <w:r w:rsidRPr="009A191E">
              <w:rPr>
                <w:i/>
                <w:lang w:val="en-US"/>
              </w:rPr>
              <w:t>Definition:</w:t>
            </w:r>
          </w:p>
        </w:tc>
        <w:tc>
          <w:tcPr>
            <w:tcW w:w="5704" w:type="dxa"/>
            <w:gridSpan w:val="2"/>
            <w:tcBorders>
              <w:left w:val="single" w:sz="4" w:space="0" w:color="FFFFFF" w:themeColor="background2"/>
              <w:bottom w:val="single" w:sz="4" w:space="0" w:color="FFFFFF" w:themeColor="background2"/>
              <w:right w:val="single" w:sz="4" w:space="0" w:color="FFFFFF" w:themeColor="background2"/>
            </w:tcBorders>
          </w:tcPr>
          <w:p w14:paraId="67BFD067" w14:textId="730F949E" w:rsidR="008E147C" w:rsidRPr="009A191E" w:rsidRDefault="008E147C" w:rsidP="00943DAA">
            <w:pPr>
              <w:pStyle w:val="Bodyromannumerals"/>
              <w:rPr>
                <w:lang w:val="en-US"/>
              </w:rPr>
            </w:pPr>
            <w:r w:rsidRPr="009A191E">
              <w:rPr>
                <w:lang w:val="en-US"/>
              </w:rPr>
              <w:t xml:space="preserve">This is the total </w:t>
            </w:r>
            <w:proofErr w:type="spellStart"/>
            <w:r w:rsidRPr="009A191E">
              <w:rPr>
                <w:lang w:val="en-US"/>
              </w:rPr>
              <w:t>trade</w:t>
            </w:r>
            <w:r w:rsidR="000A4D69">
              <w:rPr>
                <w:lang w:val="en-US"/>
              </w:rPr>
              <w:t>waste</w:t>
            </w:r>
            <w:proofErr w:type="spellEnd"/>
            <w:r w:rsidRPr="009A191E">
              <w:rPr>
                <w:lang w:val="en-US"/>
              </w:rPr>
              <w:t xml:space="preserve"> BOD pollution load receiving secondary treatment (or better) in </w:t>
            </w:r>
            <w:proofErr w:type="spellStart"/>
            <w:r w:rsidRPr="009A191E">
              <w:rPr>
                <w:lang w:val="en-US"/>
              </w:rPr>
              <w:t>tonnes</w:t>
            </w:r>
            <w:proofErr w:type="spellEnd"/>
            <w:r w:rsidRPr="009A191E">
              <w:rPr>
                <w:lang w:val="en-US"/>
              </w:rPr>
              <w:t xml:space="preserve"> BOD/year.</w:t>
            </w:r>
          </w:p>
        </w:tc>
      </w:tr>
      <w:tr w:rsidR="008E147C" w:rsidRPr="009A191E" w14:paraId="11CFDD60" w14:textId="77777777" w:rsidTr="00234A46">
        <w:tc>
          <w:tcPr>
            <w:tcW w:w="1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B549404" w14:textId="5A4BA4D5" w:rsidR="008E147C" w:rsidRPr="009A191E" w:rsidRDefault="008E147C" w:rsidP="00943DAA">
            <w:pPr>
              <w:pStyle w:val="Bodyromannumerals"/>
              <w:rPr>
                <w:i/>
                <w:lang w:val="en-US"/>
              </w:rPr>
            </w:pPr>
            <w:r w:rsidRPr="009A191E">
              <w:rPr>
                <w:i/>
                <w:lang w:val="en-US"/>
              </w:rPr>
              <w:t>Processing Rules:</w:t>
            </w:r>
          </w:p>
        </w:tc>
        <w:tc>
          <w:tcPr>
            <w:tcW w:w="570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6BF3E90" w14:textId="59562EBB" w:rsidR="008E147C" w:rsidRPr="009A191E" w:rsidRDefault="008E147C" w:rsidP="00943DAA">
            <w:pPr>
              <w:pStyle w:val="Bodyromannumerals"/>
              <w:rPr>
                <w:lang w:val="en-US"/>
              </w:rPr>
            </w:pPr>
            <w:r w:rsidRPr="009A191E">
              <w:rPr>
                <w:lang w:val="en-US"/>
              </w:rPr>
              <w:t>Input field</w:t>
            </w:r>
          </w:p>
        </w:tc>
      </w:tr>
      <w:tr w:rsidR="008E147C" w:rsidRPr="009A191E" w14:paraId="37B9733C" w14:textId="77777777" w:rsidTr="00234A46">
        <w:tc>
          <w:tcPr>
            <w:tcW w:w="1137" w:type="dxa"/>
          </w:tcPr>
          <w:p w14:paraId="6E6C7527" w14:textId="77C6D138" w:rsidR="008E147C" w:rsidRPr="00943DAA" w:rsidRDefault="008E147C" w:rsidP="00943DAA">
            <w:pPr>
              <w:pStyle w:val="Bodyromannumerals"/>
              <w:rPr>
                <w:b/>
                <w:bCs/>
                <w:lang w:val="en-US"/>
              </w:rPr>
            </w:pPr>
            <w:r w:rsidRPr="00943DAA">
              <w:rPr>
                <w:b/>
                <w:bCs/>
                <w:lang w:val="en-US"/>
              </w:rPr>
              <w:t>A4.21</w:t>
            </w:r>
          </w:p>
        </w:tc>
        <w:tc>
          <w:tcPr>
            <w:tcW w:w="4844" w:type="dxa"/>
            <w:gridSpan w:val="2"/>
          </w:tcPr>
          <w:p w14:paraId="51D74BBC" w14:textId="61835D5D" w:rsidR="008E147C" w:rsidRPr="00943DAA" w:rsidRDefault="008E147C" w:rsidP="00943DAA">
            <w:pPr>
              <w:pStyle w:val="Bodyromannumerals"/>
              <w:rPr>
                <w:b/>
                <w:bCs/>
                <w:lang w:val="en-US"/>
              </w:rPr>
            </w:pPr>
            <w:proofErr w:type="spellStart"/>
            <w:r w:rsidRPr="00943DAA">
              <w:rPr>
                <w:b/>
                <w:bCs/>
                <w:lang w:val="en-US"/>
              </w:rPr>
              <w:t>Trade</w:t>
            </w:r>
            <w:r w:rsidR="000A4D69">
              <w:rPr>
                <w:b/>
                <w:bCs/>
                <w:lang w:val="en-US"/>
              </w:rPr>
              <w:t>waste</w:t>
            </w:r>
            <w:proofErr w:type="spellEnd"/>
            <w:r w:rsidRPr="00943DAA">
              <w:rPr>
                <w:b/>
                <w:bCs/>
                <w:lang w:val="en-US"/>
              </w:rPr>
              <w:t xml:space="preserve"> load receiving secondary</w:t>
            </w:r>
            <w:r w:rsidR="001F3491" w:rsidRPr="001F3491">
              <w:rPr>
                <w:b/>
                <w:bCs/>
                <w:lang w:val="en-US"/>
              </w:rPr>
              <w:t xml:space="preserve"> or tertiary </w:t>
            </w:r>
            <w:r w:rsidRPr="00943DAA">
              <w:rPr>
                <w:b/>
                <w:bCs/>
                <w:lang w:val="en-US"/>
              </w:rPr>
              <w:t>treatment (COD/</w:t>
            </w:r>
            <w:proofErr w:type="spellStart"/>
            <w:r w:rsidRPr="00943DAA">
              <w:rPr>
                <w:b/>
                <w:bCs/>
                <w:lang w:val="en-US"/>
              </w:rPr>
              <w:t>yr</w:t>
            </w:r>
            <w:proofErr w:type="spellEnd"/>
            <w:r w:rsidRPr="00943DAA">
              <w:rPr>
                <w:b/>
                <w:bCs/>
                <w:lang w:val="en-US"/>
              </w:rPr>
              <w:t>)</w:t>
            </w:r>
          </w:p>
        </w:tc>
        <w:tc>
          <w:tcPr>
            <w:tcW w:w="1577" w:type="dxa"/>
          </w:tcPr>
          <w:p w14:paraId="4B813ACC" w14:textId="7853F2D9" w:rsidR="008E147C" w:rsidRPr="00943DAA" w:rsidRDefault="008E147C" w:rsidP="00943DAA">
            <w:pPr>
              <w:pStyle w:val="Bodyromannumerals"/>
              <w:rPr>
                <w:b/>
                <w:bCs/>
                <w:lang w:val="en-US"/>
              </w:rPr>
            </w:pPr>
            <w:proofErr w:type="spellStart"/>
            <w:r w:rsidRPr="00943DAA">
              <w:rPr>
                <w:b/>
                <w:bCs/>
                <w:lang w:val="en-US"/>
              </w:rPr>
              <w:t>Tonnes</w:t>
            </w:r>
            <w:proofErr w:type="spellEnd"/>
            <w:r w:rsidR="001E4B41">
              <w:rPr>
                <w:b/>
                <w:bCs/>
                <w:lang w:val="en-US"/>
              </w:rPr>
              <w:t>/year</w:t>
            </w:r>
          </w:p>
        </w:tc>
      </w:tr>
      <w:tr w:rsidR="008E147C" w:rsidRPr="009A191E" w14:paraId="32DABC5A" w14:textId="77777777" w:rsidTr="00234A46">
        <w:tc>
          <w:tcPr>
            <w:tcW w:w="1854" w:type="dxa"/>
            <w:gridSpan w:val="2"/>
            <w:tcBorders>
              <w:left w:val="single" w:sz="4" w:space="0" w:color="FFFFFF" w:themeColor="background2"/>
              <w:bottom w:val="single" w:sz="4" w:space="0" w:color="FFFFFF" w:themeColor="background2"/>
              <w:right w:val="single" w:sz="4" w:space="0" w:color="FFFFFF" w:themeColor="background2"/>
            </w:tcBorders>
          </w:tcPr>
          <w:p w14:paraId="60869771" w14:textId="62318D81" w:rsidR="008E147C" w:rsidRPr="009A191E" w:rsidRDefault="008E147C" w:rsidP="00943DAA">
            <w:pPr>
              <w:pStyle w:val="Bodyromannumerals"/>
              <w:rPr>
                <w:i/>
                <w:lang w:val="en-US"/>
              </w:rPr>
            </w:pPr>
            <w:r w:rsidRPr="009A191E">
              <w:rPr>
                <w:i/>
                <w:lang w:val="en-US"/>
              </w:rPr>
              <w:t>Definition:</w:t>
            </w:r>
          </w:p>
        </w:tc>
        <w:tc>
          <w:tcPr>
            <w:tcW w:w="5704" w:type="dxa"/>
            <w:gridSpan w:val="2"/>
            <w:tcBorders>
              <w:left w:val="single" w:sz="4" w:space="0" w:color="FFFFFF" w:themeColor="background2"/>
              <w:bottom w:val="single" w:sz="4" w:space="0" w:color="FFFFFF" w:themeColor="background2"/>
              <w:right w:val="single" w:sz="4" w:space="0" w:color="FFFFFF" w:themeColor="background2"/>
            </w:tcBorders>
          </w:tcPr>
          <w:p w14:paraId="266CB14E" w14:textId="2B3CA2EF" w:rsidR="008E147C" w:rsidRPr="00412D0E" w:rsidRDefault="008E147C" w:rsidP="00412D0E">
            <w:pPr>
              <w:pStyle w:val="Bodyromannumerals"/>
            </w:pPr>
            <w:r w:rsidRPr="009A191E">
              <w:rPr>
                <w:lang w:val="en-US"/>
              </w:rPr>
              <w:t xml:space="preserve">This is the total trade effluent COD pollution load receiving secondary treatment (or better) in </w:t>
            </w:r>
            <w:proofErr w:type="spellStart"/>
            <w:r w:rsidRPr="009A191E">
              <w:rPr>
                <w:lang w:val="en-US"/>
              </w:rPr>
              <w:t>tonnes</w:t>
            </w:r>
            <w:proofErr w:type="spellEnd"/>
            <w:r w:rsidRPr="009A191E">
              <w:rPr>
                <w:lang w:val="en-US"/>
              </w:rPr>
              <w:t xml:space="preserve"> COD/year.  </w:t>
            </w:r>
          </w:p>
        </w:tc>
      </w:tr>
      <w:tr w:rsidR="008E147C" w:rsidRPr="009A191E" w14:paraId="25ED6EE4" w14:textId="77777777" w:rsidTr="00234A46">
        <w:tc>
          <w:tcPr>
            <w:tcW w:w="1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C789952" w14:textId="1DAA5632" w:rsidR="008E147C" w:rsidRPr="009A191E" w:rsidRDefault="008E147C" w:rsidP="00943DAA">
            <w:pPr>
              <w:pStyle w:val="Bodyromannumerals"/>
              <w:rPr>
                <w:i/>
                <w:lang w:val="en-US"/>
              </w:rPr>
            </w:pPr>
            <w:r w:rsidRPr="009A191E">
              <w:rPr>
                <w:i/>
                <w:lang w:val="en-US"/>
              </w:rPr>
              <w:t>Processing Rules:</w:t>
            </w:r>
          </w:p>
        </w:tc>
        <w:tc>
          <w:tcPr>
            <w:tcW w:w="570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99EA35A" w14:textId="220E67A1" w:rsidR="008E147C" w:rsidRPr="009A191E" w:rsidRDefault="008E147C" w:rsidP="00943DAA">
            <w:pPr>
              <w:pStyle w:val="Bodyromannumerals"/>
              <w:rPr>
                <w:lang w:val="en-US"/>
              </w:rPr>
            </w:pPr>
            <w:r w:rsidRPr="009A191E">
              <w:rPr>
                <w:lang w:val="en-US"/>
              </w:rPr>
              <w:t>Input field</w:t>
            </w:r>
          </w:p>
        </w:tc>
      </w:tr>
      <w:tr w:rsidR="008E147C" w:rsidRPr="009A191E" w14:paraId="61DEE4A0" w14:textId="77777777" w:rsidTr="00234A46">
        <w:tc>
          <w:tcPr>
            <w:tcW w:w="1137" w:type="dxa"/>
          </w:tcPr>
          <w:p w14:paraId="20C3E756" w14:textId="60CBE3BD" w:rsidR="008E147C" w:rsidRPr="00943DAA" w:rsidRDefault="008E147C" w:rsidP="00943DAA">
            <w:pPr>
              <w:pStyle w:val="Bodyromannumerals"/>
              <w:rPr>
                <w:b/>
                <w:bCs/>
                <w:lang w:val="en-US"/>
              </w:rPr>
            </w:pPr>
            <w:r w:rsidRPr="00943DAA">
              <w:rPr>
                <w:b/>
                <w:bCs/>
                <w:lang w:val="en-US"/>
              </w:rPr>
              <w:t>A4.22</w:t>
            </w:r>
          </w:p>
        </w:tc>
        <w:tc>
          <w:tcPr>
            <w:tcW w:w="4844" w:type="dxa"/>
            <w:gridSpan w:val="2"/>
          </w:tcPr>
          <w:p w14:paraId="168EA529" w14:textId="0F18BE71" w:rsidR="008E147C" w:rsidRPr="00943DAA" w:rsidRDefault="008E147C" w:rsidP="00943DAA">
            <w:pPr>
              <w:pStyle w:val="Bodyromannumerals"/>
              <w:rPr>
                <w:b/>
                <w:bCs/>
                <w:lang w:val="en-US"/>
              </w:rPr>
            </w:pPr>
            <w:r w:rsidRPr="00943DAA">
              <w:rPr>
                <w:b/>
                <w:bCs/>
                <w:lang w:val="en-US"/>
              </w:rPr>
              <w:t xml:space="preserve">Private septic tank load receiving secondary </w:t>
            </w:r>
            <w:r w:rsidR="001F3491" w:rsidRPr="001F3491">
              <w:rPr>
                <w:b/>
                <w:bCs/>
                <w:lang w:val="en-US"/>
              </w:rPr>
              <w:t xml:space="preserve">or tertiary </w:t>
            </w:r>
            <w:r w:rsidRPr="00943DAA">
              <w:rPr>
                <w:b/>
                <w:bCs/>
                <w:lang w:val="en-US"/>
              </w:rPr>
              <w:t>treatment (BOD/</w:t>
            </w:r>
            <w:proofErr w:type="spellStart"/>
            <w:r w:rsidRPr="00943DAA">
              <w:rPr>
                <w:b/>
                <w:bCs/>
                <w:lang w:val="en-US"/>
              </w:rPr>
              <w:t>yr</w:t>
            </w:r>
            <w:proofErr w:type="spellEnd"/>
            <w:r w:rsidRPr="00943DAA">
              <w:rPr>
                <w:b/>
                <w:bCs/>
                <w:lang w:val="en-US"/>
              </w:rPr>
              <w:t>)</w:t>
            </w:r>
          </w:p>
        </w:tc>
        <w:tc>
          <w:tcPr>
            <w:tcW w:w="1577" w:type="dxa"/>
          </w:tcPr>
          <w:p w14:paraId="7962E457" w14:textId="3E70D78B" w:rsidR="008E147C" w:rsidRPr="00943DAA" w:rsidRDefault="008E147C" w:rsidP="00943DAA">
            <w:pPr>
              <w:pStyle w:val="Bodyromannumerals"/>
              <w:rPr>
                <w:b/>
                <w:bCs/>
                <w:lang w:val="en-US"/>
              </w:rPr>
            </w:pPr>
            <w:proofErr w:type="spellStart"/>
            <w:r w:rsidRPr="00943DAA">
              <w:rPr>
                <w:b/>
                <w:bCs/>
                <w:lang w:val="en-US"/>
              </w:rPr>
              <w:t>Tonnes</w:t>
            </w:r>
            <w:proofErr w:type="spellEnd"/>
            <w:r w:rsidR="001E4B41">
              <w:rPr>
                <w:b/>
                <w:bCs/>
                <w:lang w:val="en-US"/>
              </w:rPr>
              <w:t>/year</w:t>
            </w:r>
          </w:p>
        </w:tc>
      </w:tr>
      <w:tr w:rsidR="008E147C" w:rsidRPr="009A191E" w14:paraId="1DAADCC1" w14:textId="77777777" w:rsidTr="00234A46">
        <w:tc>
          <w:tcPr>
            <w:tcW w:w="1854" w:type="dxa"/>
            <w:gridSpan w:val="2"/>
            <w:tcBorders>
              <w:left w:val="single" w:sz="4" w:space="0" w:color="FFFFFF" w:themeColor="background2"/>
              <w:bottom w:val="single" w:sz="4" w:space="0" w:color="FFFFFF" w:themeColor="background2"/>
              <w:right w:val="single" w:sz="4" w:space="0" w:color="FFFFFF" w:themeColor="background2"/>
            </w:tcBorders>
          </w:tcPr>
          <w:p w14:paraId="3EF5B441" w14:textId="089A0B3F" w:rsidR="008E147C" w:rsidRPr="009A191E" w:rsidRDefault="008E147C" w:rsidP="00943DAA">
            <w:pPr>
              <w:pStyle w:val="Bodyromannumerals"/>
              <w:rPr>
                <w:i/>
                <w:lang w:val="en-US"/>
              </w:rPr>
            </w:pPr>
            <w:r w:rsidRPr="009A191E">
              <w:rPr>
                <w:i/>
                <w:lang w:val="en-US"/>
              </w:rPr>
              <w:t>Definition:</w:t>
            </w:r>
          </w:p>
        </w:tc>
        <w:tc>
          <w:tcPr>
            <w:tcW w:w="5704" w:type="dxa"/>
            <w:gridSpan w:val="2"/>
            <w:tcBorders>
              <w:left w:val="single" w:sz="4" w:space="0" w:color="FFFFFF" w:themeColor="background2"/>
              <w:bottom w:val="single" w:sz="4" w:space="0" w:color="FFFFFF" w:themeColor="background2"/>
              <w:right w:val="single" w:sz="4" w:space="0" w:color="FFFFFF" w:themeColor="background2"/>
            </w:tcBorders>
          </w:tcPr>
          <w:p w14:paraId="7310EB31" w14:textId="71061005" w:rsidR="008E147C" w:rsidRPr="009A191E" w:rsidRDefault="008E147C" w:rsidP="00943DAA">
            <w:pPr>
              <w:pStyle w:val="Bodyromannumerals"/>
              <w:rPr>
                <w:lang w:val="en-US"/>
              </w:rPr>
            </w:pPr>
            <w:r w:rsidRPr="009A191E">
              <w:rPr>
                <w:lang w:val="en-US"/>
              </w:rPr>
              <w:t xml:space="preserve">Private septic tank pollutant load received at </w:t>
            </w:r>
            <w:r w:rsidR="002E6A73">
              <w:rPr>
                <w:lang w:val="en-US"/>
              </w:rPr>
              <w:t>Wastewater</w:t>
            </w:r>
            <w:r w:rsidRPr="009A191E">
              <w:rPr>
                <w:lang w:val="en-US"/>
              </w:rPr>
              <w:t xml:space="preserve"> treatment </w:t>
            </w:r>
            <w:r w:rsidR="00871522">
              <w:rPr>
                <w:lang w:val="en-US"/>
              </w:rPr>
              <w:t>plants</w:t>
            </w:r>
            <w:r w:rsidRPr="009A191E">
              <w:rPr>
                <w:lang w:val="en-US"/>
              </w:rPr>
              <w:t xml:space="preserve"> (</w:t>
            </w:r>
            <w:proofErr w:type="spellStart"/>
            <w:r w:rsidRPr="009A191E">
              <w:rPr>
                <w:lang w:val="en-US"/>
              </w:rPr>
              <w:t>tonnes</w:t>
            </w:r>
            <w:proofErr w:type="spellEnd"/>
            <w:r w:rsidRPr="009A191E">
              <w:rPr>
                <w:lang w:val="en-US"/>
              </w:rPr>
              <w:t xml:space="preserve"> BOD/year).</w:t>
            </w:r>
          </w:p>
          <w:p w14:paraId="6B1B9EE0" w14:textId="50437C32" w:rsidR="008E147C" w:rsidRPr="009A191E" w:rsidRDefault="008E147C" w:rsidP="00943DAA">
            <w:pPr>
              <w:pStyle w:val="Bodyromannumerals"/>
              <w:rPr>
                <w:lang w:val="en-US"/>
              </w:rPr>
            </w:pPr>
          </w:p>
        </w:tc>
      </w:tr>
      <w:tr w:rsidR="008E147C" w:rsidRPr="009A191E" w14:paraId="4C79F2CA" w14:textId="77777777" w:rsidTr="00234A46">
        <w:tc>
          <w:tcPr>
            <w:tcW w:w="1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EE3A8D0" w14:textId="699E2ED4" w:rsidR="008E147C" w:rsidRPr="009A191E" w:rsidRDefault="008E147C" w:rsidP="00943DAA">
            <w:pPr>
              <w:pStyle w:val="Bodyromannumerals"/>
              <w:rPr>
                <w:i/>
                <w:lang w:val="en-US"/>
              </w:rPr>
            </w:pPr>
            <w:r w:rsidRPr="009A191E">
              <w:rPr>
                <w:i/>
                <w:lang w:val="en-US"/>
              </w:rPr>
              <w:t>Processing Rules:</w:t>
            </w:r>
          </w:p>
        </w:tc>
        <w:tc>
          <w:tcPr>
            <w:tcW w:w="570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ECFFF17" w14:textId="18AE1667" w:rsidR="008E147C" w:rsidRPr="009A191E" w:rsidRDefault="008E147C" w:rsidP="00943DAA">
            <w:pPr>
              <w:pStyle w:val="Bodyromannumerals"/>
              <w:rPr>
                <w:lang w:val="en-US"/>
              </w:rPr>
            </w:pPr>
            <w:r w:rsidRPr="009A191E">
              <w:rPr>
                <w:lang w:val="en-US"/>
              </w:rPr>
              <w:t>Input field</w:t>
            </w:r>
          </w:p>
        </w:tc>
      </w:tr>
    </w:tbl>
    <w:p w14:paraId="53C3B3A7" w14:textId="77777777" w:rsidR="00234A46" w:rsidRDefault="00234A46">
      <w:r>
        <w:br w:type="page"/>
      </w:r>
    </w:p>
    <w:tbl>
      <w:tblPr>
        <w:tblStyle w:val="TableGrid3"/>
        <w:tblW w:w="7558" w:type="dxa"/>
        <w:tblLook w:val="04A0" w:firstRow="1" w:lastRow="0" w:firstColumn="1" w:lastColumn="0" w:noHBand="0" w:noVBand="1"/>
      </w:tblPr>
      <w:tblGrid>
        <w:gridCol w:w="1136"/>
        <w:gridCol w:w="691"/>
        <w:gridCol w:w="18"/>
        <w:gridCol w:w="4014"/>
        <w:gridCol w:w="122"/>
        <w:gridCol w:w="1577"/>
      </w:tblGrid>
      <w:tr w:rsidR="008E147C" w:rsidRPr="009A191E" w14:paraId="0C88F61B" w14:textId="77777777" w:rsidTr="00234A46">
        <w:tc>
          <w:tcPr>
            <w:tcW w:w="1137" w:type="dxa"/>
          </w:tcPr>
          <w:p w14:paraId="7D641CA0" w14:textId="6A2620C2" w:rsidR="008E147C" w:rsidRPr="00943DAA" w:rsidRDefault="008E147C" w:rsidP="00943DAA">
            <w:pPr>
              <w:pStyle w:val="Bodyromannumerals"/>
              <w:rPr>
                <w:b/>
                <w:bCs/>
                <w:lang w:val="en-US"/>
              </w:rPr>
            </w:pPr>
            <w:r w:rsidRPr="00943DAA">
              <w:rPr>
                <w:b/>
                <w:bCs/>
                <w:lang w:val="en-US"/>
              </w:rPr>
              <w:lastRenderedPageBreak/>
              <w:t>A4.23</w:t>
            </w:r>
          </w:p>
        </w:tc>
        <w:tc>
          <w:tcPr>
            <w:tcW w:w="4844" w:type="dxa"/>
            <w:gridSpan w:val="3"/>
          </w:tcPr>
          <w:p w14:paraId="04AB1FE3" w14:textId="53C32DEB" w:rsidR="008E147C" w:rsidRPr="00943DAA" w:rsidRDefault="008E147C" w:rsidP="00943DAA">
            <w:pPr>
              <w:pStyle w:val="Bodyromannumerals"/>
              <w:rPr>
                <w:b/>
                <w:bCs/>
                <w:lang w:val="en-US"/>
              </w:rPr>
            </w:pPr>
            <w:r w:rsidRPr="00943DAA">
              <w:rPr>
                <w:b/>
                <w:bCs/>
                <w:lang w:val="en-US"/>
              </w:rPr>
              <w:t xml:space="preserve">Public septic tank load receiving secondary </w:t>
            </w:r>
            <w:r w:rsidR="001F3491" w:rsidRPr="001F3491">
              <w:rPr>
                <w:b/>
                <w:bCs/>
                <w:lang w:val="en-US"/>
              </w:rPr>
              <w:t xml:space="preserve">or tertiary </w:t>
            </w:r>
            <w:r w:rsidRPr="00943DAA">
              <w:rPr>
                <w:b/>
                <w:bCs/>
                <w:lang w:val="en-US"/>
              </w:rPr>
              <w:t>treatment (BOD/</w:t>
            </w:r>
            <w:proofErr w:type="spellStart"/>
            <w:r w:rsidRPr="00943DAA">
              <w:rPr>
                <w:b/>
                <w:bCs/>
                <w:lang w:val="en-US"/>
              </w:rPr>
              <w:t>yr</w:t>
            </w:r>
            <w:proofErr w:type="spellEnd"/>
            <w:r w:rsidRPr="00943DAA">
              <w:rPr>
                <w:b/>
                <w:bCs/>
                <w:lang w:val="en-US"/>
              </w:rPr>
              <w:t>)</w:t>
            </w:r>
          </w:p>
        </w:tc>
        <w:tc>
          <w:tcPr>
            <w:tcW w:w="1577" w:type="dxa"/>
            <w:gridSpan w:val="2"/>
          </w:tcPr>
          <w:p w14:paraId="33F30163" w14:textId="096342F0" w:rsidR="008E147C" w:rsidRPr="00943DAA" w:rsidRDefault="008E147C" w:rsidP="00943DAA">
            <w:pPr>
              <w:pStyle w:val="Bodyromannumerals"/>
              <w:rPr>
                <w:b/>
                <w:bCs/>
                <w:lang w:val="en-US"/>
              </w:rPr>
            </w:pPr>
            <w:proofErr w:type="spellStart"/>
            <w:r w:rsidRPr="00943DAA">
              <w:rPr>
                <w:b/>
                <w:bCs/>
                <w:lang w:val="en-US"/>
              </w:rPr>
              <w:t>Tonnes</w:t>
            </w:r>
            <w:proofErr w:type="spellEnd"/>
            <w:r w:rsidR="001E4B41">
              <w:rPr>
                <w:b/>
                <w:bCs/>
                <w:lang w:val="en-US"/>
              </w:rPr>
              <w:t>/year</w:t>
            </w:r>
          </w:p>
        </w:tc>
      </w:tr>
      <w:tr w:rsidR="008E147C" w:rsidRPr="009A191E" w14:paraId="78C57BCF" w14:textId="77777777" w:rsidTr="00234A46">
        <w:tc>
          <w:tcPr>
            <w:tcW w:w="1854" w:type="dxa"/>
            <w:gridSpan w:val="2"/>
            <w:tcBorders>
              <w:left w:val="single" w:sz="4" w:space="0" w:color="FFFFFF" w:themeColor="background2"/>
              <w:bottom w:val="single" w:sz="4" w:space="0" w:color="FFFFFF" w:themeColor="background2"/>
              <w:right w:val="single" w:sz="4" w:space="0" w:color="FFFFFF" w:themeColor="background2"/>
            </w:tcBorders>
          </w:tcPr>
          <w:p w14:paraId="7D5613B1" w14:textId="6CC0E5D2" w:rsidR="008E147C" w:rsidRPr="009A191E" w:rsidRDefault="008E147C" w:rsidP="00943DAA">
            <w:pPr>
              <w:pStyle w:val="Bodyromannumerals"/>
              <w:rPr>
                <w:i/>
                <w:lang w:val="en-US"/>
              </w:rPr>
            </w:pPr>
            <w:r w:rsidRPr="009A191E">
              <w:rPr>
                <w:i/>
                <w:lang w:val="en-US"/>
              </w:rPr>
              <w:t>Definition:</w:t>
            </w:r>
          </w:p>
        </w:tc>
        <w:tc>
          <w:tcPr>
            <w:tcW w:w="5704" w:type="dxa"/>
            <w:gridSpan w:val="4"/>
            <w:tcBorders>
              <w:left w:val="single" w:sz="4" w:space="0" w:color="FFFFFF" w:themeColor="background2"/>
              <w:bottom w:val="single" w:sz="4" w:space="0" w:color="FFFFFF" w:themeColor="background2"/>
              <w:right w:val="single" w:sz="4" w:space="0" w:color="FFFFFF" w:themeColor="background2"/>
            </w:tcBorders>
          </w:tcPr>
          <w:p w14:paraId="6A3E5BBE" w14:textId="1DA3C9A8" w:rsidR="008E147C" w:rsidRPr="009A191E" w:rsidRDefault="008E147C" w:rsidP="00943DAA">
            <w:pPr>
              <w:pStyle w:val="Bodyromannumerals"/>
              <w:rPr>
                <w:lang w:val="en-US"/>
              </w:rPr>
            </w:pPr>
            <w:r w:rsidRPr="009A191E">
              <w:rPr>
                <w:lang w:val="en-US"/>
              </w:rPr>
              <w:t xml:space="preserve">Public septic tank pollutant load received at </w:t>
            </w:r>
            <w:r w:rsidR="002E6A73">
              <w:rPr>
                <w:lang w:val="en-US"/>
              </w:rPr>
              <w:t>Wastewater</w:t>
            </w:r>
            <w:r w:rsidRPr="009A191E">
              <w:rPr>
                <w:lang w:val="en-US"/>
              </w:rPr>
              <w:t xml:space="preserve"> treatment </w:t>
            </w:r>
            <w:r w:rsidR="00871522">
              <w:rPr>
                <w:lang w:val="en-US"/>
              </w:rPr>
              <w:t>plants</w:t>
            </w:r>
            <w:r w:rsidRPr="009A191E">
              <w:rPr>
                <w:lang w:val="en-US"/>
              </w:rPr>
              <w:t xml:space="preserve"> (BOD) (</w:t>
            </w:r>
            <w:proofErr w:type="spellStart"/>
            <w:r w:rsidRPr="009A191E">
              <w:rPr>
                <w:lang w:val="en-US"/>
              </w:rPr>
              <w:t>tonnes</w:t>
            </w:r>
            <w:proofErr w:type="spellEnd"/>
            <w:r w:rsidRPr="009A191E">
              <w:rPr>
                <w:lang w:val="en-US"/>
              </w:rPr>
              <w:t>/year).</w:t>
            </w:r>
          </w:p>
          <w:p w14:paraId="75527E55" w14:textId="48006E0B" w:rsidR="008E147C" w:rsidRPr="009A191E" w:rsidRDefault="008E147C" w:rsidP="00943DAA">
            <w:pPr>
              <w:pStyle w:val="Bodyromannumerals"/>
              <w:rPr>
                <w:lang w:val="en-US"/>
              </w:rPr>
            </w:pPr>
          </w:p>
        </w:tc>
      </w:tr>
      <w:tr w:rsidR="008E147C" w:rsidRPr="009A191E" w14:paraId="236582FF" w14:textId="77777777" w:rsidTr="00234A46">
        <w:tc>
          <w:tcPr>
            <w:tcW w:w="1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B2BBAFF" w14:textId="3757C9AA" w:rsidR="008E147C" w:rsidRPr="009A191E" w:rsidRDefault="008E147C" w:rsidP="00943DAA">
            <w:pPr>
              <w:pStyle w:val="Bodyromannumerals"/>
              <w:rPr>
                <w:i/>
                <w:lang w:val="en-US"/>
              </w:rPr>
            </w:pPr>
            <w:r w:rsidRPr="009A191E">
              <w:rPr>
                <w:i/>
                <w:lang w:val="en-US"/>
              </w:rPr>
              <w:t>Processing Rules:</w:t>
            </w:r>
          </w:p>
        </w:tc>
        <w:tc>
          <w:tcPr>
            <w:tcW w:w="5704" w:type="dxa"/>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7B199C8" w14:textId="3F3D8D05" w:rsidR="008E147C" w:rsidRPr="009A191E" w:rsidRDefault="008E147C" w:rsidP="00943DAA">
            <w:pPr>
              <w:pStyle w:val="Bodyromannumerals"/>
              <w:rPr>
                <w:lang w:val="en-US"/>
              </w:rPr>
            </w:pPr>
            <w:r w:rsidRPr="009A191E">
              <w:rPr>
                <w:lang w:val="en-US"/>
              </w:rPr>
              <w:t>Input field</w:t>
            </w:r>
          </w:p>
        </w:tc>
      </w:tr>
      <w:tr w:rsidR="008E147C" w:rsidRPr="009A191E" w14:paraId="6AB6A6CD" w14:textId="77777777" w:rsidTr="01C192FA">
        <w:tc>
          <w:tcPr>
            <w:tcW w:w="1140" w:type="dxa"/>
          </w:tcPr>
          <w:p w14:paraId="085F355A" w14:textId="5780B262" w:rsidR="008E147C" w:rsidRPr="00943DAA" w:rsidRDefault="008E147C" w:rsidP="00943DAA">
            <w:pPr>
              <w:pStyle w:val="Bodyromannumerals"/>
              <w:rPr>
                <w:b/>
                <w:bCs/>
                <w:lang w:val="en-US"/>
              </w:rPr>
            </w:pPr>
            <w:r w:rsidRPr="00943DAA">
              <w:rPr>
                <w:b/>
                <w:bCs/>
                <w:lang w:val="en-US"/>
              </w:rPr>
              <w:t>A4.24</w:t>
            </w:r>
          </w:p>
        </w:tc>
        <w:tc>
          <w:tcPr>
            <w:tcW w:w="4972" w:type="dxa"/>
            <w:gridSpan w:val="4"/>
          </w:tcPr>
          <w:p w14:paraId="478E6076" w14:textId="07A1B612" w:rsidR="008E147C" w:rsidRPr="00943DAA" w:rsidRDefault="008E147C" w:rsidP="00943DAA">
            <w:pPr>
              <w:pStyle w:val="Bodyromannumerals"/>
              <w:rPr>
                <w:b/>
                <w:bCs/>
                <w:lang w:val="en-US"/>
              </w:rPr>
            </w:pPr>
            <w:r w:rsidRPr="00943DAA">
              <w:rPr>
                <w:b/>
                <w:bCs/>
                <w:lang w:val="en-US"/>
              </w:rPr>
              <w:t>Other tanker load receiving secondary</w:t>
            </w:r>
            <w:r w:rsidR="001F3491" w:rsidRPr="001F3491">
              <w:rPr>
                <w:b/>
                <w:bCs/>
                <w:lang w:val="en-US"/>
              </w:rPr>
              <w:t xml:space="preserve"> or tertiary </w:t>
            </w:r>
            <w:r w:rsidR="001F3491" w:rsidRPr="00943DAA">
              <w:rPr>
                <w:b/>
                <w:bCs/>
                <w:lang w:val="en-US"/>
              </w:rPr>
              <w:t>treatment</w:t>
            </w:r>
            <w:r w:rsidRPr="00943DAA">
              <w:rPr>
                <w:b/>
                <w:bCs/>
                <w:lang w:val="en-US"/>
              </w:rPr>
              <w:t xml:space="preserve"> (COD/</w:t>
            </w:r>
            <w:proofErr w:type="spellStart"/>
            <w:r w:rsidRPr="00943DAA">
              <w:rPr>
                <w:b/>
                <w:bCs/>
                <w:lang w:val="en-US"/>
              </w:rPr>
              <w:t>yr</w:t>
            </w:r>
            <w:proofErr w:type="spellEnd"/>
            <w:r w:rsidRPr="00943DAA">
              <w:rPr>
                <w:b/>
                <w:bCs/>
                <w:lang w:val="en-US"/>
              </w:rPr>
              <w:t>)</w:t>
            </w:r>
          </w:p>
        </w:tc>
        <w:tc>
          <w:tcPr>
            <w:tcW w:w="1446" w:type="dxa"/>
          </w:tcPr>
          <w:p w14:paraId="3C17737F" w14:textId="065712CB" w:rsidR="008E147C" w:rsidRPr="00943DAA" w:rsidRDefault="008E147C" w:rsidP="00943DAA">
            <w:pPr>
              <w:pStyle w:val="Bodyromannumerals"/>
              <w:rPr>
                <w:b/>
                <w:bCs/>
                <w:lang w:val="en-US"/>
              </w:rPr>
            </w:pPr>
            <w:proofErr w:type="spellStart"/>
            <w:r w:rsidRPr="00943DAA">
              <w:rPr>
                <w:b/>
                <w:bCs/>
                <w:lang w:val="en-US"/>
              </w:rPr>
              <w:t>Tonnes</w:t>
            </w:r>
            <w:proofErr w:type="spellEnd"/>
            <w:r w:rsidR="001E4B41">
              <w:rPr>
                <w:b/>
                <w:bCs/>
                <w:lang w:val="en-US"/>
              </w:rPr>
              <w:t>/year</w:t>
            </w:r>
          </w:p>
        </w:tc>
      </w:tr>
      <w:tr w:rsidR="008E147C" w:rsidRPr="009A191E" w14:paraId="3E2AC29A" w14:textId="77777777" w:rsidTr="01C192FA">
        <w:tc>
          <w:tcPr>
            <w:tcW w:w="1872" w:type="dxa"/>
            <w:gridSpan w:val="3"/>
            <w:tcBorders>
              <w:left w:val="single" w:sz="4" w:space="0" w:color="FFFFFF" w:themeColor="background2"/>
              <w:bottom w:val="single" w:sz="4" w:space="0" w:color="FFFFFF" w:themeColor="background2"/>
              <w:right w:val="single" w:sz="4" w:space="0" w:color="FFFFFF" w:themeColor="background2"/>
            </w:tcBorders>
          </w:tcPr>
          <w:p w14:paraId="7C29F43D" w14:textId="7916883F" w:rsidR="008E147C" w:rsidRPr="009A191E" w:rsidRDefault="008E147C" w:rsidP="00943DAA">
            <w:pPr>
              <w:pStyle w:val="Bodyromannumerals"/>
              <w:rPr>
                <w:i/>
                <w:lang w:val="en-US"/>
              </w:rPr>
            </w:pPr>
            <w:r w:rsidRPr="009A191E">
              <w:rPr>
                <w:i/>
                <w:lang w:val="en-US"/>
              </w:rPr>
              <w:t>Definition:</w:t>
            </w:r>
          </w:p>
        </w:tc>
        <w:tc>
          <w:tcPr>
            <w:tcW w:w="5686" w:type="dxa"/>
            <w:gridSpan w:val="3"/>
            <w:tcBorders>
              <w:left w:val="single" w:sz="4" w:space="0" w:color="FFFFFF" w:themeColor="background2"/>
              <w:bottom w:val="single" w:sz="4" w:space="0" w:color="FFFFFF" w:themeColor="background2"/>
              <w:right w:val="single" w:sz="4" w:space="0" w:color="FFFFFF" w:themeColor="background2"/>
            </w:tcBorders>
          </w:tcPr>
          <w:p w14:paraId="708BCC55" w14:textId="5F96BFD4" w:rsidR="008E147C" w:rsidRPr="00605253" w:rsidRDefault="008E147C" w:rsidP="00605253">
            <w:r w:rsidRPr="00605253">
              <w:rPr>
                <w:rFonts w:ascii="Calibri" w:hAnsi="Calibri" w:cs="Calibri"/>
                <w:sz w:val="21"/>
                <w:szCs w:val="21"/>
                <w:lang w:val="en-US"/>
              </w:rPr>
              <w:t xml:space="preserve">Total tanker load (COD) from other sources receiving secondary </w:t>
            </w:r>
            <w:r w:rsidR="001F3491">
              <w:rPr>
                <w:rFonts w:ascii="Calibri" w:hAnsi="Calibri" w:cs="Calibri"/>
                <w:sz w:val="21"/>
                <w:szCs w:val="21"/>
                <w:lang w:val="en-US"/>
              </w:rPr>
              <w:t xml:space="preserve">(or better) </w:t>
            </w:r>
            <w:r w:rsidRPr="00605253">
              <w:rPr>
                <w:rFonts w:ascii="Calibri" w:hAnsi="Calibri" w:cs="Calibri"/>
                <w:sz w:val="21"/>
                <w:szCs w:val="21"/>
                <w:lang w:val="en-US"/>
              </w:rPr>
              <w:t xml:space="preserve">treatment.  This includes </w:t>
            </w:r>
            <w:proofErr w:type="spellStart"/>
            <w:r w:rsidRPr="00605253">
              <w:rPr>
                <w:rFonts w:ascii="Calibri" w:hAnsi="Calibri" w:cs="Calibri"/>
                <w:sz w:val="21"/>
                <w:szCs w:val="21"/>
                <w:lang w:val="en-US"/>
              </w:rPr>
              <w:t>tankered</w:t>
            </w:r>
            <w:proofErr w:type="spellEnd"/>
            <w:r w:rsidRPr="00605253">
              <w:rPr>
                <w:rFonts w:ascii="Calibri" w:hAnsi="Calibri" w:cs="Calibri"/>
                <w:sz w:val="21"/>
                <w:szCs w:val="21"/>
                <w:lang w:val="en-US"/>
              </w:rPr>
              <w:t xml:space="preserve"> liquid waste from industry and any other non-core activities which is treated at </w:t>
            </w:r>
            <w:r w:rsidR="002E6A73" w:rsidRPr="00605253">
              <w:rPr>
                <w:rFonts w:ascii="Calibri" w:hAnsi="Calibri" w:cs="Calibri"/>
                <w:sz w:val="21"/>
                <w:szCs w:val="21"/>
                <w:lang w:val="en-US"/>
              </w:rPr>
              <w:t>Wastewater</w:t>
            </w:r>
            <w:r w:rsidRPr="00605253">
              <w:rPr>
                <w:rFonts w:ascii="Calibri" w:hAnsi="Calibri" w:cs="Calibri"/>
                <w:sz w:val="21"/>
                <w:szCs w:val="21"/>
                <w:lang w:val="en-US"/>
              </w:rPr>
              <w:t xml:space="preserve"> treatment </w:t>
            </w:r>
            <w:r w:rsidR="00871522" w:rsidRPr="00605253">
              <w:rPr>
                <w:rFonts w:ascii="Calibri" w:hAnsi="Calibri" w:cs="Calibri"/>
                <w:sz w:val="21"/>
                <w:szCs w:val="21"/>
                <w:lang w:val="en-US"/>
              </w:rPr>
              <w:t>plants</w:t>
            </w:r>
            <w:r w:rsidRPr="00605253">
              <w:rPr>
                <w:rFonts w:ascii="Calibri" w:hAnsi="Calibri" w:cs="Calibri"/>
                <w:sz w:val="21"/>
                <w:szCs w:val="21"/>
                <w:lang w:val="en-US"/>
              </w:rPr>
              <w:t xml:space="preserve"> providing secondary treatment or better. Exclude septic tank </w:t>
            </w:r>
            <w:r w:rsidR="00605253" w:rsidRPr="00605253">
              <w:rPr>
                <w:rFonts w:ascii="Calibri" w:hAnsi="Calibri" w:cs="Calibri"/>
                <w:sz w:val="21"/>
                <w:szCs w:val="21"/>
                <w:lang w:val="en-US"/>
              </w:rPr>
              <w:t>waste.</w:t>
            </w:r>
          </w:p>
        </w:tc>
      </w:tr>
      <w:tr w:rsidR="008E147C" w:rsidRPr="009A191E" w14:paraId="7FC34E11" w14:textId="77777777" w:rsidTr="01C192FA">
        <w:tc>
          <w:tcPr>
            <w:tcW w:w="1872"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978732D" w14:textId="7577A944" w:rsidR="008E147C" w:rsidRPr="009A191E" w:rsidRDefault="008E147C" w:rsidP="00943DAA">
            <w:pPr>
              <w:pStyle w:val="Bodyromannumerals"/>
              <w:rPr>
                <w:i/>
                <w:lang w:val="en-US"/>
              </w:rPr>
            </w:pPr>
            <w:r w:rsidRPr="009A191E">
              <w:rPr>
                <w:i/>
                <w:lang w:val="en-US"/>
              </w:rPr>
              <w:t>Processing Rules:</w:t>
            </w:r>
          </w:p>
        </w:tc>
        <w:tc>
          <w:tcPr>
            <w:tcW w:w="5686"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CE74808" w14:textId="7075E24D" w:rsidR="008E147C" w:rsidRPr="009A191E" w:rsidRDefault="008E147C" w:rsidP="00943DAA">
            <w:pPr>
              <w:pStyle w:val="Bodyromannumerals"/>
              <w:rPr>
                <w:lang w:val="en-US"/>
              </w:rPr>
            </w:pPr>
            <w:r w:rsidRPr="009A191E">
              <w:rPr>
                <w:lang w:val="en-US"/>
              </w:rPr>
              <w:t>Input field</w:t>
            </w:r>
          </w:p>
        </w:tc>
      </w:tr>
      <w:tr w:rsidR="008E147C" w:rsidRPr="009A191E" w14:paraId="0A3A6387" w14:textId="77777777" w:rsidTr="01C192FA">
        <w:tc>
          <w:tcPr>
            <w:tcW w:w="1140" w:type="dxa"/>
          </w:tcPr>
          <w:p w14:paraId="0296E96D" w14:textId="556C3007" w:rsidR="008E147C" w:rsidRPr="00943DAA" w:rsidRDefault="008E147C" w:rsidP="00943DAA">
            <w:pPr>
              <w:pStyle w:val="Bodyromannumerals"/>
              <w:rPr>
                <w:b/>
                <w:bCs/>
                <w:lang w:val="en-US"/>
              </w:rPr>
            </w:pPr>
            <w:r w:rsidRPr="00943DAA">
              <w:rPr>
                <w:b/>
                <w:bCs/>
                <w:lang w:val="en-US"/>
              </w:rPr>
              <w:t>A4.25</w:t>
            </w:r>
          </w:p>
        </w:tc>
        <w:tc>
          <w:tcPr>
            <w:tcW w:w="4972" w:type="dxa"/>
            <w:gridSpan w:val="4"/>
          </w:tcPr>
          <w:p w14:paraId="7285A8D3" w14:textId="61D278A0" w:rsidR="008E147C" w:rsidRPr="00943DAA" w:rsidRDefault="008E147C" w:rsidP="00943DAA">
            <w:pPr>
              <w:pStyle w:val="Bodyromannumerals"/>
              <w:rPr>
                <w:b/>
                <w:bCs/>
                <w:lang w:val="en-US"/>
              </w:rPr>
            </w:pPr>
            <w:r w:rsidRPr="00943DAA">
              <w:rPr>
                <w:b/>
                <w:bCs/>
                <w:lang w:val="en-US"/>
              </w:rPr>
              <w:t>Other tanker load receiving secondary</w:t>
            </w:r>
            <w:r w:rsidR="001F3491" w:rsidRPr="001F3491">
              <w:rPr>
                <w:b/>
                <w:bCs/>
                <w:lang w:val="en-US"/>
              </w:rPr>
              <w:t xml:space="preserve"> or tertiary </w:t>
            </w:r>
            <w:r w:rsidRPr="00943DAA">
              <w:rPr>
                <w:b/>
                <w:bCs/>
                <w:lang w:val="en-US"/>
              </w:rPr>
              <w:t>treatment (BOD/</w:t>
            </w:r>
            <w:proofErr w:type="spellStart"/>
            <w:r w:rsidRPr="00943DAA">
              <w:rPr>
                <w:b/>
                <w:bCs/>
                <w:lang w:val="en-US"/>
              </w:rPr>
              <w:t>yr</w:t>
            </w:r>
            <w:proofErr w:type="spellEnd"/>
            <w:r w:rsidRPr="00943DAA">
              <w:rPr>
                <w:b/>
                <w:bCs/>
                <w:lang w:val="en-US"/>
              </w:rPr>
              <w:t>)</w:t>
            </w:r>
          </w:p>
        </w:tc>
        <w:tc>
          <w:tcPr>
            <w:tcW w:w="1446" w:type="dxa"/>
          </w:tcPr>
          <w:p w14:paraId="0CAAA9A2" w14:textId="765B69F6" w:rsidR="008E147C" w:rsidRPr="00943DAA" w:rsidRDefault="008E147C" w:rsidP="00943DAA">
            <w:pPr>
              <w:pStyle w:val="Bodyromannumerals"/>
              <w:rPr>
                <w:b/>
                <w:bCs/>
                <w:lang w:val="en-US"/>
              </w:rPr>
            </w:pPr>
            <w:proofErr w:type="spellStart"/>
            <w:r w:rsidRPr="00943DAA">
              <w:rPr>
                <w:b/>
                <w:bCs/>
                <w:lang w:val="en-US"/>
              </w:rPr>
              <w:t>Tonnes</w:t>
            </w:r>
            <w:proofErr w:type="spellEnd"/>
            <w:r w:rsidR="001E4B41">
              <w:rPr>
                <w:b/>
                <w:bCs/>
                <w:lang w:val="en-US"/>
              </w:rPr>
              <w:t>/year</w:t>
            </w:r>
          </w:p>
        </w:tc>
      </w:tr>
      <w:tr w:rsidR="008E147C" w:rsidRPr="009A191E" w14:paraId="5E08EACF" w14:textId="77777777" w:rsidTr="01C192FA">
        <w:tc>
          <w:tcPr>
            <w:tcW w:w="1872" w:type="dxa"/>
            <w:gridSpan w:val="3"/>
            <w:tcBorders>
              <w:left w:val="single" w:sz="4" w:space="0" w:color="FFFFFF" w:themeColor="background2"/>
              <w:bottom w:val="single" w:sz="4" w:space="0" w:color="FFFFFF" w:themeColor="background2"/>
              <w:right w:val="single" w:sz="4" w:space="0" w:color="FFFFFF" w:themeColor="background2"/>
            </w:tcBorders>
          </w:tcPr>
          <w:p w14:paraId="7D08E3F1" w14:textId="06457410" w:rsidR="008E147C" w:rsidRPr="009A191E" w:rsidRDefault="008E147C" w:rsidP="00943DAA">
            <w:pPr>
              <w:pStyle w:val="Bodyromannumerals"/>
              <w:rPr>
                <w:i/>
                <w:lang w:val="en-US"/>
              </w:rPr>
            </w:pPr>
            <w:r w:rsidRPr="009A191E">
              <w:rPr>
                <w:i/>
                <w:lang w:val="en-US"/>
              </w:rPr>
              <w:t>Definition:</w:t>
            </w:r>
          </w:p>
        </w:tc>
        <w:tc>
          <w:tcPr>
            <w:tcW w:w="5686" w:type="dxa"/>
            <w:gridSpan w:val="3"/>
            <w:tcBorders>
              <w:left w:val="single" w:sz="4" w:space="0" w:color="FFFFFF" w:themeColor="background2"/>
              <w:bottom w:val="single" w:sz="4" w:space="0" w:color="FFFFFF" w:themeColor="background2"/>
              <w:right w:val="single" w:sz="4" w:space="0" w:color="FFFFFF" w:themeColor="background2"/>
            </w:tcBorders>
          </w:tcPr>
          <w:p w14:paraId="591D93B4" w14:textId="3D2AE343" w:rsidR="008E147C" w:rsidRPr="009A191E" w:rsidRDefault="008E147C" w:rsidP="00943DAA">
            <w:pPr>
              <w:pStyle w:val="Bodyromannumerals"/>
              <w:rPr>
                <w:lang w:val="en-US"/>
              </w:rPr>
            </w:pPr>
            <w:r w:rsidRPr="009A191E">
              <w:rPr>
                <w:lang w:val="en-US"/>
              </w:rPr>
              <w:t>Total tanker load (BOD) from other sources receiving secondary treatment</w:t>
            </w:r>
            <w:r w:rsidR="001F3491">
              <w:rPr>
                <w:lang w:val="en-US"/>
              </w:rPr>
              <w:t xml:space="preserve"> (or better)</w:t>
            </w:r>
            <w:r w:rsidRPr="009A191E">
              <w:rPr>
                <w:lang w:val="en-US"/>
              </w:rPr>
              <w:t>.</w:t>
            </w:r>
          </w:p>
          <w:p w14:paraId="5EB843AB" w14:textId="02923C03" w:rsidR="008E147C" w:rsidRPr="009A191E" w:rsidRDefault="008E147C" w:rsidP="00943DAA">
            <w:pPr>
              <w:pStyle w:val="Bodyromannumerals"/>
              <w:rPr>
                <w:lang w:val="en-US"/>
              </w:rPr>
            </w:pPr>
            <w:r w:rsidRPr="009A191E">
              <w:rPr>
                <w:lang w:val="en-US"/>
              </w:rPr>
              <w:t xml:space="preserve">This includes </w:t>
            </w:r>
            <w:proofErr w:type="spellStart"/>
            <w:r w:rsidRPr="009A191E">
              <w:rPr>
                <w:lang w:val="en-US"/>
              </w:rPr>
              <w:t>tankered</w:t>
            </w:r>
            <w:proofErr w:type="spellEnd"/>
            <w:r w:rsidRPr="009A191E">
              <w:rPr>
                <w:lang w:val="en-US"/>
              </w:rPr>
              <w:t xml:space="preserve"> liquid waste from industry and any other non-core activities which is treated at </w:t>
            </w:r>
            <w:r w:rsidR="00A327DF">
              <w:rPr>
                <w:lang w:val="en-US"/>
              </w:rPr>
              <w:t>wastewater</w:t>
            </w:r>
            <w:r w:rsidR="00A327DF" w:rsidRPr="009A191E">
              <w:rPr>
                <w:lang w:val="en-US"/>
              </w:rPr>
              <w:t xml:space="preserve"> </w:t>
            </w:r>
            <w:r w:rsidRPr="009A191E">
              <w:rPr>
                <w:lang w:val="en-US"/>
              </w:rPr>
              <w:t xml:space="preserve">treatment </w:t>
            </w:r>
            <w:r w:rsidR="00871522">
              <w:rPr>
                <w:lang w:val="en-US"/>
              </w:rPr>
              <w:t>plants</w:t>
            </w:r>
            <w:r w:rsidRPr="009A191E">
              <w:rPr>
                <w:lang w:val="en-US"/>
              </w:rPr>
              <w:t xml:space="preserve"> providing secondary treatment or better. Exclude septic tank waste from </w:t>
            </w:r>
            <w:r w:rsidR="00BB5A05">
              <w:rPr>
                <w:lang w:val="en-US"/>
              </w:rPr>
              <w:t>household</w:t>
            </w:r>
            <w:r w:rsidRPr="009A191E">
              <w:rPr>
                <w:lang w:val="en-US"/>
              </w:rPr>
              <w:t xml:space="preserve"> sources which must be reported in lines A4.22 and A4.23 above.</w:t>
            </w:r>
          </w:p>
        </w:tc>
      </w:tr>
      <w:tr w:rsidR="008E147C" w:rsidRPr="009A191E" w14:paraId="4433965C" w14:textId="77777777" w:rsidTr="01C192FA">
        <w:tc>
          <w:tcPr>
            <w:tcW w:w="1872"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724F26D" w14:textId="6A932747" w:rsidR="008E147C" w:rsidRPr="009A191E" w:rsidRDefault="008E147C" w:rsidP="00943DAA">
            <w:pPr>
              <w:pStyle w:val="Bodyromannumerals"/>
              <w:rPr>
                <w:i/>
                <w:lang w:val="en-US"/>
              </w:rPr>
            </w:pPr>
            <w:r w:rsidRPr="009A191E">
              <w:rPr>
                <w:i/>
                <w:lang w:val="en-US"/>
              </w:rPr>
              <w:t>Processing Rules:</w:t>
            </w:r>
          </w:p>
        </w:tc>
        <w:tc>
          <w:tcPr>
            <w:tcW w:w="5686"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F74F04C" w14:textId="318230B4" w:rsidR="008E147C" w:rsidRPr="009A191E" w:rsidRDefault="008E147C" w:rsidP="00943DAA">
            <w:pPr>
              <w:pStyle w:val="Bodyromannumerals"/>
              <w:rPr>
                <w:lang w:val="en-US"/>
              </w:rPr>
            </w:pPr>
            <w:r w:rsidRPr="009A191E">
              <w:rPr>
                <w:lang w:val="en-US"/>
              </w:rPr>
              <w:t>Input field</w:t>
            </w:r>
          </w:p>
        </w:tc>
      </w:tr>
      <w:tr w:rsidR="008E147C" w:rsidRPr="009A191E" w14:paraId="55919655" w14:textId="77777777" w:rsidTr="01C192FA">
        <w:tc>
          <w:tcPr>
            <w:tcW w:w="1140" w:type="dxa"/>
          </w:tcPr>
          <w:p w14:paraId="0A1C1FEA" w14:textId="5703C81F" w:rsidR="008E147C" w:rsidRPr="003B31B6" w:rsidRDefault="008E147C" w:rsidP="003B31B6">
            <w:pPr>
              <w:pStyle w:val="Bodyromannumerals"/>
              <w:rPr>
                <w:b/>
                <w:bCs/>
                <w:lang w:val="en-US"/>
              </w:rPr>
            </w:pPr>
            <w:r w:rsidRPr="003B31B6">
              <w:rPr>
                <w:b/>
                <w:bCs/>
                <w:lang w:val="en-US"/>
              </w:rPr>
              <w:t>A4.26</w:t>
            </w:r>
          </w:p>
        </w:tc>
        <w:tc>
          <w:tcPr>
            <w:tcW w:w="4972" w:type="dxa"/>
            <w:gridSpan w:val="4"/>
          </w:tcPr>
          <w:p w14:paraId="74011B56" w14:textId="28C248A3" w:rsidR="008E147C" w:rsidRPr="003B31B6" w:rsidRDefault="008E147C" w:rsidP="003B31B6">
            <w:pPr>
              <w:pStyle w:val="Bodyromannumerals"/>
              <w:rPr>
                <w:b/>
                <w:bCs/>
                <w:lang w:val="en-US"/>
              </w:rPr>
            </w:pPr>
            <w:r w:rsidRPr="003B31B6">
              <w:rPr>
                <w:b/>
                <w:bCs/>
                <w:lang w:val="en-US"/>
              </w:rPr>
              <w:t>Total load receiving secondary</w:t>
            </w:r>
            <w:r w:rsidR="001F3491" w:rsidRPr="001F3491">
              <w:rPr>
                <w:b/>
                <w:bCs/>
                <w:lang w:val="en-US"/>
              </w:rPr>
              <w:t xml:space="preserve"> or tertiary </w:t>
            </w:r>
            <w:r w:rsidRPr="003B31B6">
              <w:rPr>
                <w:b/>
                <w:bCs/>
                <w:lang w:val="en-US"/>
              </w:rPr>
              <w:t>treatment (BOD/</w:t>
            </w:r>
            <w:proofErr w:type="spellStart"/>
            <w:r w:rsidRPr="003B31B6">
              <w:rPr>
                <w:b/>
                <w:bCs/>
                <w:lang w:val="en-US"/>
              </w:rPr>
              <w:t>yr</w:t>
            </w:r>
            <w:proofErr w:type="spellEnd"/>
            <w:r w:rsidRPr="003B31B6">
              <w:rPr>
                <w:b/>
                <w:bCs/>
                <w:lang w:val="en-US"/>
              </w:rPr>
              <w:t>)</w:t>
            </w:r>
          </w:p>
        </w:tc>
        <w:tc>
          <w:tcPr>
            <w:tcW w:w="1446" w:type="dxa"/>
          </w:tcPr>
          <w:p w14:paraId="6982AF72" w14:textId="3FAB9654" w:rsidR="008E147C" w:rsidRPr="003B31B6" w:rsidRDefault="008E147C" w:rsidP="003B31B6">
            <w:pPr>
              <w:pStyle w:val="Bodyromannumerals"/>
              <w:rPr>
                <w:b/>
                <w:bCs/>
                <w:lang w:val="en-US"/>
              </w:rPr>
            </w:pPr>
            <w:proofErr w:type="spellStart"/>
            <w:r w:rsidRPr="003B31B6">
              <w:rPr>
                <w:b/>
                <w:bCs/>
                <w:lang w:val="en-US"/>
              </w:rPr>
              <w:t>Tonnes</w:t>
            </w:r>
            <w:proofErr w:type="spellEnd"/>
            <w:r w:rsidR="001E4B41">
              <w:rPr>
                <w:b/>
                <w:bCs/>
                <w:lang w:val="en-US"/>
              </w:rPr>
              <w:t>/year</w:t>
            </w:r>
          </w:p>
        </w:tc>
      </w:tr>
      <w:tr w:rsidR="008E147C" w:rsidRPr="009A191E" w14:paraId="0B3E8537" w14:textId="77777777" w:rsidTr="01C192FA">
        <w:tc>
          <w:tcPr>
            <w:tcW w:w="1872" w:type="dxa"/>
            <w:gridSpan w:val="3"/>
            <w:tcBorders>
              <w:left w:val="single" w:sz="4" w:space="0" w:color="FFFFFF" w:themeColor="background2"/>
              <w:bottom w:val="single" w:sz="4" w:space="0" w:color="FFFFFF" w:themeColor="background2"/>
              <w:right w:val="single" w:sz="4" w:space="0" w:color="FFFFFF" w:themeColor="background2"/>
            </w:tcBorders>
          </w:tcPr>
          <w:p w14:paraId="4D4126A0" w14:textId="573F8F65" w:rsidR="008E147C" w:rsidRPr="009A191E" w:rsidRDefault="008E147C" w:rsidP="003B31B6">
            <w:pPr>
              <w:pStyle w:val="Bodyromannumerals"/>
              <w:rPr>
                <w:i/>
                <w:lang w:val="en-US"/>
              </w:rPr>
            </w:pPr>
            <w:r w:rsidRPr="009A191E">
              <w:rPr>
                <w:i/>
                <w:lang w:val="en-US"/>
              </w:rPr>
              <w:t>Definition:</w:t>
            </w:r>
          </w:p>
        </w:tc>
        <w:tc>
          <w:tcPr>
            <w:tcW w:w="5686" w:type="dxa"/>
            <w:gridSpan w:val="3"/>
            <w:tcBorders>
              <w:left w:val="single" w:sz="4" w:space="0" w:color="FFFFFF" w:themeColor="background2"/>
              <w:bottom w:val="single" w:sz="4" w:space="0" w:color="FFFFFF" w:themeColor="background2"/>
              <w:right w:val="single" w:sz="4" w:space="0" w:color="FFFFFF" w:themeColor="background2"/>
            </w:tcBorders>
          </w:tcPr>
          <w:p w14:paraId="5773A99B" w14:textId="7CBA9AA5" w:rsidR="008E147C" w:rsidRPr="009A191E" w:rsidRDefault="008E147C" w:rsidP="003B31B6">
            <w:pPr>
              <w:pStyle w:val="Bodyromannumerals"/>
              <w:rPr>
                <w:lang w:val="en-US"/>
              </w:rPr>
            </w:pPr>
            <w:r w:rsidRPr="009A191E">
              <w:rPr>
                <w:lang w:val="en-US"/>
              </w:rPr>
              <w:t xml:space="preserve">This is the total load in </w:t>
            </w:r>
            <w:proofErr w:type="spellStart"/>
            <w:r w:rsidRPr="009A191E">
              <w:rPr>
                <w:lang w:val="en-US"/>
              </w:rPr>
              <w:t>tonnes</w:t>
            </w:r>
            <w:proofErr w:type="spellEnd"/>
            <w:r w:rsidRPr="009A191E">
              <w:rPr>
                <w:lang w:val="en-US"/>
              </w:rPr>
              <w:t xml:space="preserve"> BOD/year which receives treatment at secondary</w:t>
            </w:r>
            <w:r w:rsidR="001F3491">
              <w:rPr>
                <w:lang w:val="en-US"/>
              </w:rPr>
              <w:t xml:space="preserve"> (or better)</w:t>
            </w:r>
            <w:r w:rsidRPr="009A191E">
              <w:rPr>
                <w:lang w:val="en-US"/>
              </w:rPr>
              <w:t xml:space="preserve"> treatment </w:t>
            </w:r>
            <w:r w:rsidR="00871522">
              <w:rPr>
                <w:lang w:val="en-US"/>
              </w:rPr>
              <w:t>plants</w:t>
            </w:r>
            <w:r w:rsidRPr="009A191E">
              <w:rPr>
                <w:lang w:val="en-US"/>
              </w:rPr>
              <w:t>.</w:t>
            </w:r>
          </w:p>
        </w:tc>
      </w:tr>
      <w:tr w:rsidR="008E147C" w:rsidRPr="009A191E" w14:paraId="125BBA24" w14:textId="77777777" w:rsidTr="01C192FA">
        <w:tc>
          <w:tcPr>
            <w:tcW w:w="1872"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88943A7" w14:textId="3A8A01F1" w:rsidR="008E147C" w:rsidRPr="009A191E" w:rsidRDefault="008E147C" w:rsidP="003B31B6">
            <w:pPr>
              <w:pStyle w:val="Bodyromannumerals"/>
              <w:rPr>
                <w:i/>
                <w:lang w:val="en-US"/>
              </w:rPr>
            </w:pPr>
            <w:r w:rsidRPr="009A191E">
              <w:rPr>
                <w:i/>
                <w:lang w:val="en-US"/>
              </w:rPr>
              <w:t>Processing Rules:</w:t>
            </w:r>
          </w:p>
        </w:tc>
        <w:tc>
          <w:tcPr>
            <w:tcW w:w="5686"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4F5521B" w14:textId="3C6CF1EE" w:rsidR="008E147C" w:rsidRPr="009A191E" w:rsidRDefault="008E147C" w:rsidP="003B31B6">
            <w:pPr>
              <w:pStyle w:val="Bodyromannumerals"/>
              <w:rPr>
                <w:lang w:val="en-US"/>
              </w:rPr>
            </w:pPr>
            <w:r w:rsidRPr="009A191E">
              <w:rPr>
                <w:lang w:val="en-US"/>
              </w:rPr>
              <w:t>Calculated field: A4.18+A4.19+A4.20+A4.22+A4.23+A4.25</w:t>
            </w:r>
          </w:p>
        </w:tc>
      </w:tr>
      <w:tr w:rsidR="008E147C" w:rsidRPr="009A191E" w14:paraId="789046E1" w14:textId="77777777" w:rsidTr="01C192FA">
        <w:tc>
          <w:tcPr>
            <w:tcW w:w="1140" w:type="dxa"/>
          </w:tcPr>
          <w:p w14:paraId="6400B2DE" w14:textId="12BE808A" w:rsidR="008E147C" w:rsidRPr="003B31B6" w:rsidRDefault="008E147C" w:rsidP="003B31B6">
            <w:pPr>
              <w:pStyle w:val="Bodyromannumerals"/>
              <w:rPr>
                <w:b/>
                <w:bCs/>
                <w:lang w:val="en-US"/>
              </w:rPr>
            </w:pPr>
            <w:r w:rsidRPr="003B31B6">
              <w:rPr>
                <w:b/>
                <w:bCs/>
                <w:lang w:val="en-US"/>
              </w:rPr>
              <w:t>A4.27</w:t>
            </w:r>
          </w:p>
        </w:tc>
        <w:tc>
          <w:tcPr>
            <w:tcW w:w="4972" w:type="dxa"/>
            <w:gridSpan w:val="4"/>
          </w:tcPr>
          <w:p w14:paraId="09DAECE8" w14:textId="56122FBE" w:rsidR="008E147C" w:rsidRPr="003B31B6" w:rsidRDefault="008E147C" w:rsidP="003B31B6">
            <w:pPr>
              <w:pStyle w:val="Bodyromannumerals"/>
              <w:rPr>
                <w:b/>
                <w:bCs/>
                <w:lang w:val="en-US"/>
              </w:rPr>
            </w:pPr>
            <w:r w:rsidRPr="003B31B6">
              <w:rPr>
                <w:b/>
                <w:bCs/>
                <w:lang w:val="en-US"/>
              </w:rPr>
              <w:t>Total load receiving primary treatment only (BOD/</w:t>
            </w:r>
            <w:proofErr w:type="spellStart"/>
            <w:r w:rsidRPr="003B31B6">
              <w:rPr>
                <w:b/>
                <w:bCs/>
                <w:lang w:val="en-US"/>
              </w:rPr>
              <w:t>yr</w:t>
            </w:r>
            <w:proofErr w:type="spellEnd"/>
            <w:r w:rsidRPr="003B31B6">
              <w:rPr>
                <w:b/>
                <w:bCs/>
                <w:lang w:val="en-US"/>
              </w:rPr>
              <w:t>)</w:t>
            </w:r>
          </w:p>
        </w:tc>
        <w:tc>
          <w:tcPr>
            <w:tcW w:w="1446" w:type="dxa"/>
          </w:tcPr>
          <w:p w14:paraId="2EBF363B" w14:textId="62764EE6" w:rsidR="008E147C" w:rsidRPr="003B31B6" w:rsidRDefault="008E147C" w:rsidP="003B31B6">
            <w:pPr>
              <w:pStyle w:val="Bodyromannumerals"/>
              <w:rPr>
                <w:b/>
                <w:bCs/>
                <w:lang w:val="en-US"/>
              </w:rPr>
            </w:pPr>
            <w:proofErr w:type="spellStart"/>
            <w:r w:rsidRPr="003B31B6">
              <w:rPr>
                <w:b/>
                <w:bCs/>
                <w:lang w:val="en-US"/>
              </w:rPr>
              <w:t>Tonnes</w:t>
            </w:r>
            <w:proofErr w:type="spellEnd"/>
            <w:r w:rsidR="001E4B41">
              <w:rPr>
                <w:b/>
                <w:bCs/>
                <w:lang w:val="en-US"/>
              </w:rPr>
              <w:t>/year</w:t>
            </w:r>
          </w:p>
        </w:tc>
      </w:tr>
      <w:tr w:rsidR="008E147C" w:rsidRPr="009A191E" w14:paraId="1C422100" w14:textId="77777777" w:rsidTr="01C192FA">
        <w:tc>
          <w:tcPr>
            <w:tcW w:w="1872" w:type="dxa"/>
            <w:gridSpan w:val="3"/>
            <w:tcBorders>
              <w:left w:val="single" w:sz="4" w:space="0" w:color="FFFFFF" w:themeColor="background2"/>
              <w:bottom w:val="single" w:sz="4" w:space="0" w:color="FFFFFF" w:themeColor="background2"/>
              <w:right w:val="single" w:sz="4" w:space="0" w:color="FFFFFF" w:themeColor="background2"/>
            </w:tcBorders>
          </w:tcPr>
          <w:p w14:paraId="51FC1096" w14:textId="4954F178" w:rsidR="008E147C" w:rsidRPr="009A191E" w:rsidRDefault="008E147C" w:rsidP="003B31B6">
            <w:pPr>
              <w:pStyle w:val="Bodyromannumerals"/>
              <w:rPr>
                <w:i/>
                <w:lang w:val="en-US"/>
              </w:rPr>
            </w:pPr>
            <w:r w:rsidRPr="009A191E">
              <w:rPr>
                <w:i/>
                <w:lang w:val="en-US"/>
              </w:rPr>
              <w:t>Definition:</w:t>
            </w:r>
          </w:p>
        </w:tc>
        <w:tc>
          <w:tcPr>
            <w:tcW w:w="5686" w:type="dxa"/>
            <w:gridSpan w:val="3"/>
            <w:tcBorders>
              <w:left w:val="single" w:sz="4" w:space="0" w:color="FFFFFF" w:themeColor="background2"/>
              <w:bottom w:val="single" w:sz="4" w:space="0" w:color="FFFFFF" w:themeColor="background2"/>
              <w:right w:val="single" w:sz="4" w:space="0" w:color="FFFFFF" w:themeColor="background2"/>
            </w:tcBorders>
          </w:tcPr>
          <w:p w14:paraId="4E15253B" w14:textId="3155F2EB" w:rsidR="008E147C" w:rsidRPr="009A191E" w:rsidRDefault="008E147C" w:rsidP="003B31B6">
            <w:pPr>
              <w:pStyle w:val="Bodyromannumerals"/>
              <w:rPr>
                <w:lang w:val="en-US"/>
              </w:rPr>
            </w:pPr>
            <w:r w:rsidRPr="009A191E">
              <w:rPr>
                <w:lang w:val="en-US"/>
              </w:rPr>
              <w:t xml:space="preserve">This is the total pollution load in </w:t>
            </w:r>
            <w:proofErr w:type="spellStart"/>
            <w:r w:rsidRPr="009A191E">
              <w:rPr>
                <w:lang w:val="en-US"/>
              </w:rPr>
              <w:t>tonnes</w:t>
            </w:r>
            <w:proofErr w:type="spellEnd"/>
            <w:r w:rsidRPr="009A191E">
              <w:rPr>
                <w:lang w:val="en-US"/>
              </w:rPr>
              <w:t xml:space="preserve"> BOD/year which receives primary treatment. Exclude any effluent receiving only preliminary treatment and any load which receives secondary treatment or better.</w:t>
            </w:r>
          </w:p>
        </w:tc>
      </w:tr>
      <w:tr w:rsidR="008E147C" w:rsidRPr="009A191E" w14:paraId="5DDF4385" w14:textId="77777777" w:rsidTr="01C192FA">
        <w:tc>
          <w:tcPr>
            <w:tcW w:w="1872"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FF8CB4D" w14:textId="228CE27D" w:rsidR="008E147C" w:rsidRPr="009A191E" w:rsidRDefault="008E147C" w:rsidP="003B31B6">
            <w:pPr>
              <w:pStyle w:val="Bodyromannumerals"/>
              <w:rPr>
                <w:i/>
                <w:lang w:val="en-US"/>
              </w:rPr>
            </w:pPr>
            <w:r w:rsidRPr="009A191E">
              <w:rPr>
                <w:i/>
                <w:lang w:val="en-US"/>
              </w:rPr>
              <w:t>Processing Rules:</w:t>
            </w:r>
          </w:p>
        </w:tc>
        <w:tc>
          <w:tcPr>
            <w:tcW w:w="5686"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69C1BB1" w14:textId="5AC0691A" w:rsidR="008E147C" w:rsidRPr="009A191E" w:rsidRDefault="008E147C" w:rsidP="003B31B6">
            <w:pPr>
              <w:pStyle w:val="Bodyromannumerals"/>
              <w:rPr>
                <w:lang w:val="en-US"/>
              </w:rPr>
            </w:pPr>
            <w:r w:rsidRPr="009A191E">
              <w:rPr>
                <w:lang w:val="en-US"/>
              </w:rPr>
              <w:t>Input field</w:t>
            </w:r>
          </w:p>
        </w:tc>
      </w:tr>
      <w:tr w:rsidR="008E147C" w:rsidRPr="009A191E" w14:paraId="74326BA8" w14:textId="77777777" w:rsidTr="01C192FA">
        <w:tc>
          <w:tcPr>
            <w:tcW w:w="1140" w:type="dxa"/>
          </w:tcPr>
          <w:p w14:paraId="592E26A6" w14:textId="6BBFDC70" w:rsidR="008E147C" w:rsidRPr="003B31B6" w:rsidRDefault="008E147C" w:rsidP="003B31B6">
            <w:pPr>
              <w:pStyle w:val="Bodyromannumerals"/>
              <w:rPr>
                <w:b/>
                <w:bCs/>
                <w:lang w:val="en-US"/>
              </w:rPr>
            </w:pPr>
            <w:r w:rsidRPr="003B31B6">
              <w:rPr>
                <w:b/>
                <w:bCs/>
                <w:lang w:val="en-US"/>
              </w:rPr>
              <w:lastRenderedPageBreak/>
              <w:t>A4.28</w:t>
            </w:r>
          </w:p>
        </w:tc>
        <w:tc>
          <w:tcPr>
            <w:tcW w:w="4972" w:type="dxa"/>
            <w:gridSpan w:val="4"/>
          </w:tcPr>
          <w:p w14:paraId="5A8D8645" w14:textId="5A4A3429" w:rsidR="008E147C" w:rsidRPr="003B31B6" w:rsidRDefault="008E147C" w:rsidP="003B31B6">
            <w:pPr>
              <w:pStyle w:val="Bodyromannumerals"/>
              <w:rPr>
                <w:b/>
                <w:bCs/>
                <w:lang w:val="en-US"/>
              </w:rPr>
            </w:pPr>
            <w:r w:rsidRPr="003B31B6">
              <w:rPr>
                <w:b/>
                <w:bCs/>
                <w:lang w:val="en-US"/>
              </w:rPr>
              <w:t>Total load receiving preliminary treatment only (BOD/</w:t>
            </w:r>
            <w:proofErr w:type="spellStart"/>
            <w:r w:rsidRPr="003B31B6">
              <w:rPr>
                <w:b/>
                <w:bCs/>
                <w:lang w:val="en-US"/>
              </w:rPr>
              <w:t>yr</w:t>
            </w:r>
            <w:proofErr w:type="spellEnd"/>
            <w:r w:rsidRPr="003B31B6">
              <w:rPr>
                <w:b/>
                <w:bCs/>
                <w:lang w:val="en-US"/>
              </w:rPr>
              <w:t>)</w:t>
            </w:r>
          </w:p>
        </w:tc>
        <w:tc>
          <w:tcPr>
            <w:tcW w:w="1446" w:type="dxa"/>
          </w:tcPr>
          <w:p w14:paraId="0264E85A" w14:textId="3AF23196" w:rsidR="008E147C" w:rsidRPr="003B31B6" w:rsidRDefault="008E147C" w:rsidP="003B31B6">
            <w:pPr>
              <w:pStyle w:val="Bodyromannumerals"/>
              <w:rPr>
                <w:b/>
                <w:bCs/>
                <w:lang w:val="en-US"/>
              </w:rPr>
            </w:pPr>
            <w:proofErr w:type="spellStart"/>
            <w:r w:rsidRPr="003B31B6">
              <w:rPr>
                <w:b/>
                <w:bCs/>
                <w:lang w:val="en-US"/>
              </w:rPr>
              <w:t>Tonnes</w:t>
            </w:r>
            <w:proofErr w:type="spellEnd"/>
            <w:r w:rsidR="001E4B41">
              <w:rPr>
                <w:b/>
                <w:bCs/>
                <w:lang w:val="en-US"/>
              </w:rPr>
              <w:t>/year</w:t>
            </w:r>
          </w:p>
        </w:tc>
      </w:tr>
      <w:tr w:rsidR="008E147C" w:rsidRPr="009A191E" w14:paraId="01FA1AE6" w14:textId="77777777" w:rsidTr="01C192FA">
        <w:tc>
          <w:tcPr>
            <w:tcW w:w="1872" w:type="dxa"/>
            <w:gridSpan w:val="3"/>
            <w:tcBorders>
              <w:left w:val="single" w:sz="4" w:space="0" w:color="FFFFFF" w:themeColor="background2"/>
              <w:bottom w:val="single" w:sz="4" w:space="0" w:color="FFFFFF" w:themeColor="background2"/>
              <w:right w:val="single" w:sz="4" w:space="0" w:color="FFFFFF" w:themeColor="background2"/>
            </w:tcBorders>
          </w:tcPr>
          <w:p w14:paraId="4D58F741" w14:textId="75FEF7FA" w:rsidR="008E147C" w:rsidRPr="009A191E" w:rsidRDefault="008E147C" w:rsidP="003B31B6">
            <w:pPr>
              <w:pStyle w:val="Bodyromannumerals"/>
              <w:rPr>
                <w:i/>
                <w:lang w:val="en-US"/>
              </w:rPr>
            </w:pPr>
            <w:r w:rsidRPr="009A191E">
              <w:rPr>
                <w:i/>
                <w:lang w:val="en-US"/>
              </w:rPr>
              <w:t>Definition:</w:t>
            </w:r>
          </w:p>
        </w:tc>
        <w:tc>
          <w:tcPr>
            <w:tcW w:w="5686" w:type="dxa"/>
            <w:gridSpan w:val="3"/>
            <w:tcBorders>
              <w:left w:val="single" w:sz="4" w:space="0" w:color="FFFFFF" w:themeColor="background2"/>
              <w:bottom w:val="single" w:sz="4" w:space="0" w:color="FFFFFF" w:themeColor="background2"/>
              <w:right w:val="single" w:sz="4" w:space="0" w:color="FFFFFF" w:themeColor="background2"/>
            </w:tcBorders>
          </w:tcPr>
          <w:p w14:paraId="691266AE" w14:textId="410B9FD1" w:rsidR="008E147C" w:rsidRPr="009A191E" w:rsidRDefault="008E147C" w:rsidP="003B31B6">
            <w:pPr>
              <w:pStyle w:val="Bodyromannumerals"/>
              <w:rPr>
                <w:lang w:val="en-US"/>
              </w:rPr>
            </w:pPr>
            <w:r w:rsidRPr="009A191E">
              <w:rPr>
                <w:lang w:val="en-US"/>
              </w:rPr>
              <w:t xml:space="preserve">This is the total pollution load in </w:t>
            </w:r>
            <w:proofErr w:type="spellStart"/>
            <w:r w:rsidRPr="009A191E">
              <w:rPr>
                <w:lang w:val="en-US"/>
              </w:rPr>
              <w:t>tonnes</w:t>
            </w:r>
            <w:proofErr w:type="spellEnd"/>
            <w:r w:rsidRPr="009A191E">
              <w:rPr>
                <w:lang w:val="en-US"/>
              </w:rPr>
              <w:t xml:space="preserve"> BOD/year which received only preliminary treatment. Exclude any effluent which receives no treatment, or which receives primary treatment or better.</w:t>
            </w:r>
          </w:p>
        </w:tc>
      </w:tr>
      <w:tr w:rsidR="008E147C" w:rsidRPr="009A191E" w14:paraId="2D99881C" w14:textId="77777777" w:rsidTr="01C192FA">
        <w:tc>
          <w:tcPr>
            <w:tcW w:w="1872"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2E69C6E" w14:textId="25559965" w:rsidR="008E147C" w:rsidRPr="009A191E" w:rsidRDefault="008E147C" w:rsidP="003B31B6">
            <w:pPr>
              <w:pStyle w:val="Bodyromannumerals"/>
              <w:rPr>
                <w:i/>
                <w:lang w:val="en-US"/>
              </w:rPr>
            </w:pPr>
            <w:r w:rsidRPr="009A191E">
              <w:rPr>
                <w:i/>
                <w:lang w:val="en-US"/>
              </w:rPr>
              <w:t>Processing Rules:</w:t>
            </w:r>
          </w:p>
        </w:tc>
        <w:tc>
          <w:tcPr>
            <w:tcW w:w="5686"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40C0E9E" w14:textId="517C36F8" w:rsidR="008E147C" w:rsidRPr="009A191E" w:rsidRDefault="008E147C" w:rsidP="003B31B6">
            <w:pPr>
              <w:pStyle w:val="Bodyromannumerals"/>
              <w:rPr>
                <w:lang w:val="en-US"/>
              </w:rPr>
            </w:pPr>
            <w:r w:rsidRPr="009A191E">
              <w:rPr>
                <w:lang w:val="en-US"/>
              </w:rPr>
              <w:t>Input field</w:t>
            </w:r>
          </w:p>
        </w:tc>
      </w:tr>
      <w:tr w:rsidR="008E147C" w:rsidRPr="009A191E" w14:paraId="59F6DA50" w14:textId="77777777" w:rsidTr="01C192FA">
        <w:tc>
          <w:tcPr>
            <w:tcW w:w="1140" w:type="dxa"/>
          </w:tcPr>
          <w:p w14:paraId="7607634D" w14:textId="2B5D6628" w:rsidR="008E147C" w:rsidRPr="003B31B6" w:rsidRDefault="008E147C" w:rsidP="003B31B6">
            <w:pPr>
              <w:pStyle w:val="Bodyromannumerals"/>
              <w:rPr>
                <w:b/>
                <w:bCs/>
                <w:lang w:val="en-US"/>
              </w:rPr>
            </w:pPr>
            <w:r w:rsidRPr="003B31B6">
              <w:rPr>
                <w:b/>
                <w:bCs/>
                <w:lang w:val="en-US"/>
              </w:rPr>
              <w:t>A4.29</w:t>
            </w:r>
          </w:p>
        </w:tc>
        <w:tc>
          <w:tcPr>
            <w:tcW w:w="4972" w:type="dxa"/>
            <w:gridSpan w:val="4"/>
          </w:tcPr>
          <w:p w14:paraId="1479659B" w14:textId="1ED6D1F9" w:rsidR="008E147C" w:rsidRPr="003B31B6" w:rsidRDefault="008E147C" w:rsidP="003B31B6">
            <w:pPr>
              <w:pStyle w:val="Bodyromannumerals"/>
              <w:rPr>
                <w:b/>
                <w:bCs/>
                <w:lang w:val="en-US"/>
              </w:rPr>
            </w:pPr>
            <w:r w:rsidRPr="003B31B6">
              <w:rPr>
                <w:b/>
                <w:bCs/>
                <w:lang w:val="en-US"/>
              </w:rPr>
              <w:t xml:space="preserve">Total load entering </w:t>
            </w:r>
            <w:r w:rsidR="000157EF">
              <w:rPr>
                <w:b/>
                <w:bCs/>
                <w:lang w:val="en-US"/>
              </w:rPr>
              <w:t>wastewater</w:t>
            </w:r>
            <w:r w:rsidRPr="003B31B6">
              <w:rPr>
                <w:b/>
                <w:bCs/>
                <w:lang w:val="en-US"/>
              </w:rPr>
              <w:t xml:space="preserve"> system (BOD/</w:t>
            </w:r>
            <w:proofErr w:type="spellStart"/>
            <w:r w:rsidRPr="003B31B6">
              <w:rPr>
                <w:b/>
                <w:bCs/>
                <w:lang w:val="en-US"/>
              </w:rPr>
              <w:t>yr</w:t>
            </w:r>
            <w:proofErr w:type="spellEnd"/>
            <w:r w:rsidRPr="003B31B6">
              <w:rPr>
                <w:b/>
                <w:bCs/>
                <w:lang w:val="en-US"/>
              </w:rPr>
              <w:t>)</w:t>
            </w:r>
          </w:p>
        </w:tc>
        <w:tc>
          <w:tcPr>
            <w:tcW w:w="1446" w:type="dxa"/>
          </w:tcPr>
          <w:p w14:paraId="103B9CB1" w14:textId="47626F41" w:rsidR="008E147C" w:rsidRPr="003B31B6" w:rsidRDefault="008E147C" w:rsidP="003B31B6">
            <w:pPr>
              <w:pStyle w:val="Bodyromannumerals"/>
              <w:rPr>
                <w:b/>
                <w:bCs/>
                <w:lang w:val="en-US"/>
              </w:rPr>
            </w:pPr>
            <w:proofErr w:type="spellStart"/>
            <w:r w:rsidRPr="003B31B6">
              <w:rPr>
                <w:b/>
                <w:bCs/>
                <w:lang w:val="en-US"/>
              </w:rPr>
              <w:t>Tonnes</w:t>
            </w:r>
            <w:proofErr w:type="spellEnd"/>
            <w:r w:rsidR="001E4B41">
              <w:rPr>
                <w:b/>
                <w:bCs/>
                <w:lang w:val="en-US"/>
              </w:rPr>
              <w:t>/year</w:t>
            </w:r>
          </w:p>
        </w:tc>
      </w:tr>
      <w:tr w:rsidR="008E147C" w:rsidRPr="009A191E" w14:paraId="39EC4177" w14:textId="77777777" w:rsidTr="01C192FA">
        <w:tc>
          <w:tcPr>
            <w:tcW w:w="1872" w:type="dxa"/>
            <w:gridSpan w:val="3"/>
            <w:tcBorders>
              <w:left w:val="single" w:sz="4" w:space="0" w:color="FFFFFF" w:themeColor="background2"/>
              <w:bottom w:val="single" w:sz="4" w:space="0" w:color="FFFFFF" w:themeColor="background2"/>
              <w:right w:val="single" w:sz="4" w:space="0" w:color="FFFFFF" w:themeColor="background2"/>
            </w:tcBorders>
          </w:tcPr>
          <w:p w14:paraId="6E2208C0" w14:textId="527697EE" w:rsidR="008E147C" w:rsidRPr="009A191E" w:rsidRDefault="008E147C" w:rsidP="003B31B6">
            <w:pPr>
              <w:pStyle w:val="Bodyromannumerals"/>
              <w:rPr>
                <w:i/>
                <w:lang w:val="en-US"/>
              </w:rPr>
            </w:pPr>
            <w:r w:rsidRPr="009A191E">
              <w:rPr>
                <w:i/>
                <w:lang w:val="en-US"/>
              </w:rPr>
              <w:t>Definition:</w:t>
            </w:r>
          </w:p>
        </w:tc>
        <w:tc>
          <w:tcPr>
            <w:tcW w:w="5686" w:type="dxa"/>
            <w:gridSpan w:val="3"/>
            <w:tcBorders>
              <w:left w:val="single" w:sz="4" w:space="0" w:color="FFFFFF" w:themeColor="background2"/>
              <w:bottom w:val="single" w:sz="4" w:space="0" w:color="FFFFFF" w:themeColor="background2"/>
              <w:right w:val="single" w:sz="4" w:space="0" w:color="FFFFFF" w:themeColor="background2"/>
            </w:tcBorders>
          </w:tcPr>
          <w:p w14:paraId="2AB697DA" w14:textId="32420E15" w:rsidR="008E147C" w:rsidRPr="009A191E" w:rsidRDefault="008E147C" w:rsidP="003B31B6">
            <w:pPr>
              <w:pStyle w:val="Bodyromannumerals"/>
              <w:rPr>
                <w:lang w:val="en-US"/>
              </w:rPr>
            </w:pPr>
            <w:r w:rsidRPr="009A191E">
              <w:rPr>
                <w:lang w:val="en-US"/>
              </w:rPr>
              <w:t xml:space="preserve">This is the total pollution load in </w:t>
            </w:r>
            <w:proofErr w:type="spellStart"/>
            <w:r w:rsidRPr="009A191E">
              <w:rPr>
                <w:lang w:val="en-US"/>
              </w:rPr>
              <w:t>tonnes</w:t>
            </w:r>
            <w:proofErr w:type="spellEnd"/>
            <w:r w:rsidRPr="009A191E">
              <w:rPr>
                <w:lang w:val="en-US"/>
              </w:rPr>
              <w:t xml:space="preserve"> BOD/year which is discharged to the </w:t>
            </w:r>
            <w:r w:rsidR="000157EF">
              <w:rPr>
                <w:lang w:val="en-US"/>
              </w:rPr>
              <w:t>wastewater</w:t>
            </w:r>
            <w:r w:rsidRPr="009A191E">
              <w:rPr>
                <w:lang w:val="en-US"/>
              </w:rPr>
              <w:t xml:space="preserve"> system.</w:t>
            </w:r>
          </w:p>
        </w:tc>
      </w:tr>
      <w:tr w:rsidR="008E147C" w:rsidRPr="009A191E" w14:paraId="749D510B" w14:textId="77777777" w:rsidTr="01C192FA">
        <w:tc>
          <w:tcPr>
            <w:tcW w:w="1872"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7983FB5" w14:textId="287435C7" w:rsidR="008E147C" w:rsidRPr="009A191E" w:rsidRDefault="008E147C" w:rsidP="003B31B6">
            <w:pPr>
              <w:pStyle w:val="Bodyromannumerals"/>
              <w:rPr>
                <w:i/>
                <w:lang w:val="en-US"/>
              </w:rPr>
            </w:pPr>
            <w:r w:rsidRPr="009A191E">
              <w:rPr>
                <w:i/>
                <w:lang w:val="en-US"/>
              </w:rPr>
              <w:t>Processing Rules:</w:t>
            </w:r>
          </w:p>
        </w:tc>
        <w:tc>
          <w:tcPr>
            <w:tcW w:w="5686"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6D0D58C" w14:textId="2AAF76FB" w:rsidR="008E147C" w:rsidRPr="009A191E" w:rsidRDefault="008E147C" w:rsidP="003B31B6">
            <w:pPr>
              <w:pStyle w:val="Bodyromannumerals"/>
              <w:rPr>
                <w:lang w:val="en-US"/>
              </w:rPr>
            </w:pPr>
            <w:r w:rsidRPr="009A191E">
              <w:rPr>
                <w:lang w:val="en-US"/>
              </w:rPr>
              <w:t>Input field</w:t>
            </w:r>
          </w:p>
        </w:tc>
      </w:tr>
      <w:tr w:rsidR="008E147C" w:rsidRPr="009A191E" w14:paraId="4EC1A668" w14:textId="77777777" w:rsidTr="01C192FA">
        <w:tc>
          <w:tcPr>
            <w:tcW w:w="1140" w:type="dxa"/>
          </w:tcPr>
          <w:p w14:paraId="523B167F" w14:textId="7F82F029" w:rsidR="008E147C" w:rsidRPr="003B31B6" w:rsidRDefault="008E147C" w:rsidP="003B31B6">
            <w:pPr>
              <w:pStyle w:val="Bodyromannumerals"/>
              <w:rPr>
                <w:b/>
                <w:bCs/>
                <w:lang w:val="en-US"/>
              </w:rPr>
            </w:pPr>
            <w:r w:rsidRPr="003B31B6">
              <w:rPr>
                <w:b/>
                <w:bCs/>
                <w:lang w:val="en-US"/>
              </w:rPr>
              <w:t>A4.30</w:t>
            </w:r>
          </w:p>
        </w:tc>
        <w:tc>
          <w:tcPr>
            <w:tcW w:w="4972" w:type="dxa"/>
            <w:gridSpan w:val="4"/>
          </w:tcPr>
          <w:p w14:paraId="3FDAD796" w14:textId="68B8402D" w:rsidR="008E147C" w:rsidRPr="003B31B6" w:rsidRDefault="008E147C" w:rsidP="003B31B6">
            <w:pPr>
              <w:pStyle w:val="Bodyromannumerals"/>
              <w:rPr>
                <w:b/>
                <w:bCs/>
                <w:lang w:val="en-US"/>
              </w:rPr>
            </w:pPr>
            <w:r w:rsidRPr="003B31B6">
              <w:rPr>
                <w:b/>
                <w:bCs/>
                <w:lang w:val="en-US"/>
              </w:rPr>
              <w:t>Average COD concentration</w:t>
            </w:r>
          </w:p>
        </w:tc>
        <w:tc>
          <w:tcPr>
            <w:tcW w:w="1446" w:type="dxa"/>
          </w:tcPr>
          <w:p w14:paraId="498D59FA" w14:textId="0D3FEEC9" w:rsidR="008E147C" w:rsidRPr="003B31B6" w:rsidRDefault="008E147C" w:rsidP="003B31B6">
            <w:pPr>
              <w:pStyle w:val="Bodyromannumerals"/>
              <w:rPr>
                <w:b/>
                <w:bCs/>
                <w:lang w:val="en-US"/>
              </w:rPr>
            </w:pPr>
            <w:r w:rsidRPr="003B31B6">
              <w:rPr>
                <w:b/>
                <w:bCs/>
                <w:lang w:val="en-US"/>
              </w:rPr>
              <w:t>mg/l</w:t>
            </w:r>
          </w:p>
        </w:tc>
      </w:tr>
      <w:tr w:rsidR="008E147C" w:rsidRPr="009A191E" w14:paraId="40A7A201" w14:textId="77777777" w:rsidTr="01C192FA">
        <w:tc>
          <w:tcPr>
            <w:tcW w:w="1872" w:type="dxa"/>
            <w:gridSpan w:val="3"/>
            <w:tcBorders>
              <w:left w:val="single" w:sz="4" w:space="0" w:color="FFFFFF" w:themeColor="background2"/>
              <w:bottom w:val="single" w:sz="4" w:space="0" w:color="FFFFFF" w:themeColor="background2"/>
              <w:right w:val="single" w:sz="4" w:space="0" w:color="FFFFFF" w:themeColor="background2"/>
            </w:tcBorders>
          </w:tcPr>
          <w:p w14:paraId="7619D4C5" w14:textId="1B9AF52B" w:rsidR="008E147C" w:rsidRPr="009A191E" w:rsidRDefault="008E147C" w:rsidP="003B31B6">
            <w:pPr>
              <w:pStyle w:val="Bodyromannumerals"/>
              <w:rPr>
                <w:i/>
                <w:lang w:val="en-US"/>
              </w:rPr>
            </w:pPr>
            <w:r w:rsidRPr="009A191E">
              <w:rPr>
                <w:i/>
                <w:lang w:val="en-US"/>
              </w:rPr>
              <w:t>Definition:</w:t>
            </w:r>
          </w:p>
        </w:tc>
        <w:tc>
          <w:tcPr>
            <w:tcW w:w="5686" w:type="dxa"/>
            <w:gridSpan w:val="3"/>
            <w:tcBorders>
              <w:left w:val="single" w:sz="4" w:space="0" w:color="FFFFFF" w:themeColor="background2"/>
              <w:bottom w:val="single" w:sz="4" w:space="0" w:color="FFFFFF" w:themeColor="background2"/>
              <w:right w:val="single" w:sz="4" w:space="0" w:color="FFFFFF" w:themeColor="background2"/>
            </w:tcBorders>
          </w:tcPr>
          <w:p w14:paraId="58048679" w14:textId="35F1A957" w:rsidR="008E147C" w:rsidRPr="009A191E" w:rsidRDefault="008E147C" w:rsidP="003B31B6">
            <w:pPr>
              <w:pStyle w:val="Bodyromannumerals"/>
              <w:rPr>
                <w:lang w:val="en-US"/>
              </w:rPr>
            </w:pPr>
            <w:r w:rsidRPr="009A191E">
              <w:rPr>
                <w:lang w:val="en-US"/>
              </w:rPr>
              <w:t xml:space="preserve">Average COD concentration in </w:t>
            </w:r>
            <w:r w:rsidR="000157EF">
              <w:rPr>
                <w:lang w:val="en-US"/>
              </w:rPr>
              <w:t>wastewater</w:t>
            </w:r>
            <w:r w:rsidRPr="009A191E">
              <w:rPr>
                <w:lang w:val="en-US"/>
              </w:rPr>
              <w:t xml:space="preserve"> area.  This should be for the region as a whole and not just for </w:t>
            </w:r>
            <w:proofErr w:type="spellStart"/>
            <w:r w:rsidRPr="009A191E">
              <w:rPr>
                <w:lang w:val="en-US"/>
              </w:rPr>
              <w:t>trade</w:t>
            </w:r>
            <w:r w:rsidR="000A4D69">
              <w:rPr>
                <w:lang w:val="en-US"/>
              </w:rPr>
              <w:t>waste</w:t>
            </w:r>
            <w:proofErr w:type="spellEnd"/>
            <w:r w:rsidRPr="009A191E">
              <w:rPr>
                <w:lang w:val="en-US"/>
              </w:rPr>
              <w:t>.</w:t>
            </w:r>
          </w:p>
        </w:tc>
      </w:tr>
      <w:tr w:rsidR="008E147C" w:rsidRPr="009A191E" w14:paraId="423E5792" w14:textId="77777777" w:rsidTr="01C192FA">
        <w:tc>
          <w:tcPr>
            <w:tcW w:w="1872"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9FED63A" w14:textId="274D9BE9" w:rsidR="008E147C" w:rsidRPr="009A191E" w:rsidRDefault="008E147C" w:rsidP="003B31B6">
            <w:pPr>
              <w:pStyle w:val="Bodyromannumerals"/>
              <w:rPr>
                <w:i/>
                <w:lang w:val="en-US"/>
              </w:rPr>
            </w:pPr>
            <w:r w:rsidRPr="009A191E">
              <w:rPr>
                <w:i/>
                <w:lang w:val="en-US"/>
              </w:rPr>
              <w:t>Processing Rules:</w:t>
            </w:r>
          </w:p>
        </w:tc>
        <w:tc>
          <w:tcPr>
            <w:tcW w:w="5686"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06D756B" w14:textId="22BC27BF" w:rsidR="008E147C" w:rsidRPr="009A191E" w:rsidRDefault="008E147C" w:rsidP="003B31B6">
            <w:pPr>
              <w:pStyle w:val="Bodyromannumerals"/>
              <w:rPr>
                <w:lang w:val="en-US"/>
              </w:rPr>
            </w:pPr>
            <w:r w:rsidRPr="009A191E">
              <w:rPr>
                <w:lang w:val="en-US"/>
              </w:rPr>
              <w:t>Input field</w:t>
            </w:r>
          </w:p>
        </w:tc>
      </w:tr>
      <w:tr w:rsidR="008E147C" w:rsidRPr="009A191E" w14:paraId="7F5C8660" w14:textId="77777777" w:rsidTr="01C192FA">
        <w:tc>
          <w:tcPr>
            <w:tcW w:w="1140" w:type="dxa"/>
          </w:tcPr>
          <w:p w14:paraId="6CB263BD" w14:textId="68B5FA39" w:rsidR="008E147C" w:rsidRPr="003B31B6" w:rsidRDefault="008E147C" w:rsidP="003B31B6">
            <w:pPr>
              <w:pStyle w:val="Bodyromannumerals"/>
              <w:rPr>
                <w:b/>
                <w:bCs/>
                <w:lang w:val="en-US"/>
              </w:rPr>
            </w:pPr>
            <w:r w:rsidRPr="003B31B6">
              <w:rPr>
                <w:b/>
                <w:bCs/>
                <w:lang w:val="en-US"/>
              </w:rPr>
              <w:t>A4.31</w:t>
            </w:r>
          </w:p>
        </w:tc>
        <w:tc>
          <w:tcPr>
            <w:tcW w:w="4972" w:type="dxa"/>
            <w:gridSpan w:val="4"/>
          </w:tcPr>
          <w:p w14:paraId="12A9327D" w14:textId="5CC7668C" w:rsidR="008E147C" w:rsidRPr="003B31B6" w:rsidRDefault="008E147C" w:rsidP="003B31B6">
            <w:pPr>
              <w:pStyle w:val="Bodyromannumerals"/>
              <w:rPr>
                <w:b/>
                <w:bCs/>
                <w:lang w:val="en-US"/>
              </w:rPr>
            </w:pPr>
            <w:r w:rsidRPr="003B31B6">
              <w:rPr>
                <w:b/>
                <w:bCs/>
                <w:lang w:val="en-US"/>
              </w:rPr>
              <w:t>Average suspended solids concentration</w:t>
            </w:r>
          </w:p>
        </w:tc>
        <w:tc>
          <w:tcPr>
            <w:tcW w:w="1446" w:type="dxa"/>
          </w:tcPr>
          <w:p w14:paraId="00029D63" w14:textId="67630518" w:rsidR="008E147C" w:rsidRPr="003B31B6" w:rsidRDefault="008E147C" w:rsidP="003B31B6">
            <w:pPr>
              <w:pStyle w:val="Bodyromannumerals"/>
              <w:rPr>
                <w:b/>
                <w:bCs/>
                <w:lang w:val="en-US"/>
              </w:rPr>
            </w:pPr>
            <w:r w:rsidRPr="003B31B6">
              <w:rPr>
                <w:b/>
                <w:bCs/>
                <w:lang w:val="en-US"/>
              </w:rPr>
              <w:t>mg/l</w:t>
            </w:r>
          </w:p>
        </w:tc>
      </w:tr>
      <w:tr w:rsidR="008E147C" w:rsidRPr="009A191E" w14:paraId="139CB73D" w14:textId="77777777" w:rsidTr="01C192FA">
        <w:tc>
          <w:tcPr>
            <w:tcW w:w="1872" w:type="dxa"/>
            <w:gridSpan w:val="3"/>
            <w:tcBorders>
              <w:left w:val="single" w:sz="4" w:space="0" w:color="FFFFFF" w:themeColor="background2"/>
              <w:bottom w:val="single" w:sz="4" w:space="0" w:color="FFFFFF" w:themeColor="background2"/>
              <w:right w:val="single" w:sz="4" w:space="0" w:color="FFFFFF" w:themeColor="background2"/>
            </w:tcBorders>
          </w:tcPr>
          <w:p w14:paraId="1B9BFF8C" w14:textId="43F9E0C4" w:rsidR="008E147C" w:rsidRPr="009A191E" w:rsidRDefault="008E147C" w:rsidP="003B31B6">
            <w:pPr>
              <w:pStyle w:val="Bodyromannumerals"/>
              <w:rPr>
                <w:i/>
                <w:lang w:val="en-US"/>
              </w:rPr>
            </w:pPr>
            <w:r w:rsidRPr="009A191E">
              <w:rPr>
                <w:i/>
                <w:lang w:val="en-US"/>
              </w:rPr>
              <w:t>Definition:</w:t>
            </w:r>
          </w:p>
        </w:tc>
        <w:tc>
          <w:tcPr>
            <w:tcW w:w="5686" w:type="dxa"/>
            <w:gridSpan w:val="3"/>
            <w:tcBorders>
              <w:left w:val="single" w:sz="4" w:space="0" w:color="FFFFFF" w:themeColor="background2"/>
              <w:bottom w:val="single" w:sz="4" w:space="0" w:color="FFFFFF" w:themeColor="background2"/>
              <w:right w:val="single" w:sz="4" w:space="0" w:color="FFFFFF" w:themeColor="background2"/>
            </w:tcBorders>
          </w:tcPr>
          <w:p w14:paraId="4AA76A10" w14:textId="396CB5C1" w:rsidR="008E147C" w:rsidRPr="009A191E" w:rsidRDefault="008E147C" w:rsidP="003B31B6">
            <w:pPr>
              <w:pStyle w:val="Bodyromannumerals"/>
              <w:rPr>
                <w:lang w:val="en-US"/>
              </w:rPr>
            </w:pPr>
            <w:r w:rsidRPr="009A191E">
              <w:rPr>
                <w:lang w:val="en-US"/>
              </w:rPr>
              <w:t xml:space="preserve">Average concentration of suspended solids in </w:t>
            </w:r>
            <w:r w:rsidR="000157EF">
              <w:rPr>
                <w:lang w:val="en-US"/>
              </w:rPr>
              <w:t>wastewater</w:t>
            </w:r>
            <w:r w:rsidRPr="009A191E">
              <w:rPr>
                <w:lang w:val="en-US"/>
              </w:rPr>
              <w:t xml:space="preserve"> area. This should be for the region's effluent as a whole and not just for </w:t>
            </w:r>
            <w:proofErr w:type="spellStart"/>
            <w:r w:rsidRPr="009A191E">
              <w:rPr>
                <w:lang w:val="en-US"/>
              </w:rPr>
              <w:t>trade</w:t>
            </w:r>
            <w:r w:rsidR="000A4D69">
              <w:rPr>
                <w:lang w:val="en-US"/>
              </w:rPr>
              <w:t>waste</w:t>
            </w:r>
            <w:proofErr w:type="spellEnd"/>
            <w:r w:rsidRPr="009A191E">
              <w:rPr>
                <w:lang w:val="en-US"/>
              </w:rPr>
              <w:t>.</w:t>
            </w:r>
          </w:p>
        </w:tc>
      </w:tr>
      <w:tr w:rsidR="008E147C" w:rsidRPr="009A191E" w14:paraId="55BCEFD4" w14:textId="77777777" w:rsidTr="01C192FA">
        <w:tc>
          <w:tcPr>
            <w:tcW w:w="1872"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E2E6750" w14:textId="36525958" w:rsidR="008E147C" w:rsidRPr="009A191E" w:rsidRDefault="008E147C" w:rsidP="003B31B6">
            <w:pPr>
              <w:pStyle w:val="Bodyromannumerals"/>
              <w:rPr>
                <w:i/>
                <w:lang w:val="en-US"/>
              </w:rPr>
            </w:pPr>
            <w:r w:rsidRPr="009A191E">
              <w:rPr>
                <w:i/>
                <w:lang w:val="en-US"/>
              </w:rPr>
              <w:t>Processing Rules:</w:t>
            </w:r>
          </w:p>
        </w:tc>
        <w:tc>
          <w:tcPr>
            <w:tcW w:w="5686"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53E6531" w14:textId="643091B3" w:rsidR="008E147C" w:rsidRPr="009A191E" w:rsidRDefault="008E147C" w:rsidP="003B31B6">
            <w:pPr>
              <w:pStyle w:val="Bodyromannumerals"/>
              <w:rPr>
                <w:lang w:val="en-US"/>
              </w:rPr>
            </w:pPr>
            <w:r w:rsidRPr="009A191E">
              <w:rPr>
                <w:lang w:val="en-US"/>
              </w:rPr>
              <w:t>Input field</w:t>
            </w:r>
          </w:p>
        </w:tc>
      </w:tr>
      <w:tr w:rsidR="008E147C" w:rsidRPr="009A191E" w14:paraId="33CD6388" w14:textId="77777777" w:rsidTr="01C192FA">
        <w:tc>
          <w:tcPr>
            <w:tcW w:w="1140" w:type="dxa"/>
          </w:tcPr>
          <w:p w14:paraId="4C49687D" w14:textId="1EE23B85" w:rsidR="008E147C" w:rsidRPr="00C9181A" w:rsidRDefault="008E147C" w:rsidP="00C9181A">
            <w:pPr>
              <w:pStyle w:val="Bodyromannumerals"/>
              <w:rPr>
                <w:b/>
                <w:bCs/>
                <w:lang w:val="en-US"/>
              </w:rPr>
            </w:pPr>
            <w:r w:rsidRPr="00C9181A">
              <w:rPr>
                <w:b/>
                <w:bCs/>
                <w:lang w:val="en-US"/>
              </w:rPr>
              <w:t>A4.32</w:t>
            </w:r>
          </w:p>
        </w:tc>
        <w:tc>
          <w:tcPr>
            <w:tcW w:w="4972" w:type="dxa"/>
            <w:gridSpan w:val="4"/>
          </w:tcPr>
          <w:p w14:paraId="373A6066" w14:textId="278B1CF2" w:rsidR="008E147C" w:rsidRPr="00C9181A" w:rsidRDefault="008E147C" w:rsidP="00C9181A">
            <w:pPr>
              <w:pStyle w:val="Bodyromannumerals"/>
              <w:rPr>
                <w:b/>
                <w:bCs/>
                <w:lang w:val="en-US"/>
              </w:rPr>
            </w:pPr>
            <w:r w:rsidRPr="00C9181A">
              <w:rPr>
                <w:b/>
                <w:bCs/>
                <w:lang w:val="en-US"/>
              </w:rPr>
              <w:t>Equivalent population served (resident)</w:t>
            </w:r>
          </w:p>
        </w:tc>
        <w:tc>
          <w:tcPr>
            <w:tcW w:w="1446" w:type="dxa"/>
          </w:tcPr>
          <w:p w14:paraId="5590EC7D" w14:textId="103A4C3B" w:rsidR="008E147C" w:rsidRPr="00C9181A" w:rsidRDefault="008E147C" w:rsidP="00C9181A">
            <w:pPr>
              <w:pStyle w:val="Bodyromannumerals"/>
              <w:rPr>
                <w:b/>
                <w:bCs/>
                <w:lang w:val="en-US"/>
              </w:rPr>
            </w:pPr>
            <w:r w:rsidRPr="00C9181A">
              <w:rPr>
                <w:b/>
                <w:bCs/>
                <w:lang w:val="en-US"/>
              </w:rPr>
              <w:t>000</w:t>
            </w:r>
          </w:p>
        </w:tc>
      </w:tr>
      <w:tr w:rsidR="008E147C" w:rsidRPr="009A191E" w14:paraId="5D264353" w14:textId="77777777" w:rsidTr="01C192FA">
        <w:tc>
          <w:tcPr>
            <w:tcW w:w="1872" w:type="dxa"/>
            <w:gridSpan w:val="3"/>
            <w:tcBorders>
              <w:left w:val="single" w:sz="4" w:space="0" w:color="FFFFFF" w:themeColor="background2"/>
              <w:bottom w:val="single" w:sz="4" w:space="0" w:color="FFFFFF" w:themeColor="background2"/>
              <w:right w:val="single" w:sz="4" w:space="0" w:color="FFFFFF" w:themeColor="background2"/>
            </w:tcBorders>
          </w:tcPr>
          <w:p w14:paraId="6970365D" w14:textId="1DA6EDD9" w:rsidR="008E147C" w:rsidRPr="009A191E" w:rsidRDefault="008E147C" w:rsidP="00C9181A">
            <w:pPr>
              <w:pStyle w:val="Bodyromannumerals"/>
              <w:rPr>
                <w:i/>
                <w:lang w:val="en-US"/>
              </w:rPr>
            </w:pPr>
            <w:r w:rsidRPr="009A191E">
              <w:rPr>
                <w:i/>
                <w:lang w:val="en-US"/>
              </w:rPr>
              <w:t>Definition:</w:t>
            </w:r>
          </w:p>
        </w:tc>
        <w:tc>
          <w:tcPr>
            <w:tcW w:w="5686" w:type="dxa"/>
            <w:gridSpan w:val="3"/>
            <w:tcBorders>
              <w:left w:val="single" w:sz="4" w:space="0" w:color="FFFFFF" w:themeColor="background2"/>
              <w:bottom w:val="single" w:sz="4" w:space="0" w:color="FFFFFF" w:themeColor="background2"/>
              <w:right w:val="single" w:sz="4" w:space="0" w:color="FFFFFF" w:themeColor="background2"/>
            </w:tcBorders>
          </w:tcPr>
          <w:p w14:paraId="10E28573" w14:textId="3FF65449" w:rsidR="008E147C" w:rsidRPr="00605253" w:rsidRDefault="008E147C" w:rsidP="00605253">
            <w:r w:rsidRPr="00605253">
              <w:rPr>
                <w:rFonts w:ascii="Calibri" w:hAnsi="Calibri" w:cs="Calibri"/>
                <w:sz w:val="21"/>
                <w:szCs w:val="21"/>
                <w:lang w:val="en-US"/>
              </w:rPr>
              <w:t xml:space="preserve">Equivalent population should be calculated on the basis of </w:t>
            </w:r>
            <w:r w:rsidR="00605253" w:rsidRPr="008B4ACD">
              <w:rPr>
                <w:rFonts w:ascii="Calibri" w:hAnsi="Calibri" w:cs="Calibri"/>
                <w:sz w:val="21"/>
                <w:szCs w:val="21"/>
                <w:lang w:val="en-US"/>
              </w:rPr>
              <w:t xml:space="preserve">60g BOD5 </w:t>
            </w:r>
            <w:r w:rsidRPr="00605253">
              <w:rPr>
                <w:rFonts w:ascii="Calibri" w:hAnsi="Calibri" w:cs="Calibri"/>
                <w:sz w:val="21"/>
                <w:szCs w:val="21"/>
                <w:lang w:val="en-US"/>
              </w:rPr>
              <w:t>per capita per day. Imported effluents should be included in calculation. No account should be taken of holiday population.</w:t>
            </w:r>
          </w:p>
        </w:tc>
      </w:tr>
      <w:tr w:rsidR="008E147C" w:rsidRPr="009A191E" w14:paraId="12EB1D30" w14:textId="77777777" w:rsidTr="01C192FA">
        <w:tc>
          <w:tcPr>
            <w:tcW w:w="1872"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FF1A9FC" w14:textId="094C5076" w:rsidR="008E147C" w:rsidRPr="009A191E" w:rsidRDefault="008E147C" w:rsidP="00C9181A">
            <w:pPr>
              <w:pStyle w:val="Bodyromannumerals"/>
              <w:rPr>
                <w:i/>
                <w:lang w:val="en-US"/>
              </w:rPr>
            </w:pPr>
            <w:r w:rsidRPr="009A191E">
              <w:rPr>
                <w:i/>
                <w:lang w:val="en-US"/>
              </w:rPr>
              <w:t>Processing Rules:</w:t>
            </w:r>
          </w:p>
        </w:tc>
        <w:tc>
          <w:tcPr>
            <w:tcW w:w="5686"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512F26E" w14:textId="27FF5428" w:rsidR="008E147C" w:rsidRPr="009A191E" w:rsidRDefault="008E147C" w:rsidP="00C9181A">
            <w:pPr>
              <w:pStyle w:val="Bodyromannumerals"/>
              <w:rPr>
                <w:lang w:val="en-US"/>
              </w:rPr>
            </w:pPr>
            <w:r w:rsidRPr="009A191E">
              <w:rPr>
                <w:lang w:val="en-US"/>
              </w:rPr>
              <w:t>Input field</w:t>
            </w:r>
          </w:p>
        </w:tc>
      </w:tr>
      <w:tr w:rsidR="008E147C" w:rsidRPr="009A191E" w14:paraId="5AEA33BC" w14:textId="77777777" w:rsidTr="01C192FA">
        <w:tc>
          <w:tcPr>
            <w:tcW w:w="1140" w:type="dxa"/>
          </w:tcPr>
          <w:p w14:paraId="60CB68E4" w14:textId="36BC7137" w:rsidR="008E147C" w:rsidRPr="00C9181A" w:rsidRDefault="008E147C" w:rsidP="00C9181A">
            <w:pPr>
              <w:pStyle w:val="Bodyromannumerals"/>
              <w:rPr>
                <w:b/>
                <w:bCs/>
                <w:lang w:val="en-US"/>
              </w:rPr>
            </w:pPr>
            <w:r w:rsidRPr="00C9181A">
              <w:rPr>
                <w:b/>
                <w:bCs/>
                <w:lang w:val="en-US"/>
              </w:rPr>
              <w:t>A4.33</w:t>
            </w:r>
          </w:p>
        </w:tc>
        <w:tc>
          <w:tcPr>
            <w:tcW w:w="4972" w:type="dxa"/>
            <w:gridSpan w:val="4"/>
          </w:tcPr>
          <w:p w14:paraId="7683E457" w14:textId="4B2071D9" w:rsidR="008E147C" w:rsidRPr="00C9181A" w:rsidRDefault="008E147C" w:rsidP="00C9181A">
            <w:pPr>
              <w:pStyle w:val="Bodyromannumerals"/>
              <w:rPr>
                <w:b/>
                <w:bCs/>
                <w:lang w:val="en-US"/>
              </w:rPr>
            </w:pPr>
            <w:r w:rsidRPr="00C9181A">
              <w:rPr>
                <w:b/>
                <w:bCs/>
                <w:lang w:val="en-US"/>
              </w:rPr>
              <w:t>Equivalent population served (resident) (numerical consents)</w:t>
            </w:r>
          </w:p>
        </w:tc>
        <w:tc>
          <w:tcPr>
            <w:tcW w:w="1446" w:type="dxa"/>
          </w:tcPr>
          <w:p w14:paraId="3CDBE4ED" w14:textId="4FB76EBF" w:rsidR="008E147C" w:rsidRPr="00C9181A" w:rsidRDefault="008E147C" w:rsidP="00C9181A">
            <w:pPr>
              <w:pStyle w:val="Bodyromannumerals"/>
              <w:rPr>
                <w:b/>
                <w:bCs/>
                <w:lang w:val="en-US"/>
              </w:rPr>
            </w:pPr>
            <w:r w:rsidRPr="00C9181A">
              <w:rPr>
                <w:b/>
                <w:bCs/>
                <w:lang w:val="en-US"/>
              </w:rPr>
              <w:t>000</w:t>
            </w:r>
          </w:p>
        </w:tc>
      </w:tr>
      <w:tr w:rsidR="008E147C" w:rsidRPr="009A191E" w14:paraId="4BBB3A27" w14:textId="77777777" w:rsidTr="01C192FA">
        <w:tc>
          <w:tcPr>
            <w:tcW w:w="1872" w:type="dxa"/>
            <w:gridSpan w:val="3"/>
            <w:tcBorders>
              <w:left w:val="single" w:sz="4" w:space="0" w:color="FFFFFF" w:themeColor="background2"/>
              <w:bottom w:val="single" w:sz="4" w:space="0" w:color="FFFFFF" w:themeColor="background2"/>
              <w:right w:val="single" w:sz="4" w:space="0" w:color="FFFFFF" w:themeColor="background2"/>
            </w:tcBorders>
          </w:tcPr>
          <w:p w14:paraId="65CF92C1" w14:textId="7CF1AED4" w:rsidR="008E147C" w:rsidRPr="009A191E" w:rsidRDefault="008E147C" w:rsidP="00C9181A">
            <w:pPr>
              <w:pStyle w:val="Bodyromannumerals"/>
              <w:rPr>
                <w:i/>
                <w:lang w:val="en-US"/>
              </w:rPr>
            </w:pPr>
            <w:r w:rsidRPr="009A191E">
              <w:rPr>
                <w:i/>
                <w:lang w:val="en-US"/>
              </w:rPr>
              <w:t>Definition:</w:t>
            </w:r>
          </w:p>
        </w:tc>
        <w:tc>
          <w:tcPr>
            <w:tcW w:w="5686" w:type="dxa"/>
            <w:gridSpan w:val="3"/>
            <w:tcBorders>
              <w:left w:val="single" w:sz="4" w:space="0" w:color="FFFFFF" w:themeColor="background2"/>
              <w:bottom w:val="single" w:sz="4" w:space="0" w:color="FFFFFF" w:themeColor="background2"/>
              <w:right w:val="single" w:sz="4" w:space="0" w:color="FFFFFF" w:themeColor="background2"/>
            </w:tcBorders>
          </w:tcPr>
          <w:p w14:paraId="673DDFAF" w14:textId="4A073B44" w:rsidR="008E147C" w:rsidRPr="00605253" w:rsidRDefault="008E147C" w:rsidP="00605253">
            <w:r w:rsidRPr="00605253">
              <w:rPr>
                <w:rFonts w:ascii="Calibri" w:hAnsi="Calibri" w:cs="Calibri"/>
                <w:sz w:val="21"/>
                <w:szCs w:val="21"/>
                <w:lang w:val="en-US"/>
              </w:rPr>
              <w:t>Equivalent population</w:t>
            </w:r>
            <w:r w:rsidR="00254D5B" w:rsidRPr="00605253">
              <w:rPr>
                <w:rFonts w:ascii="Calibri" w:hAnsi="Calibri" w:cs="Calibri"/>
                <w:sz w:val="21"/>
                <w:szCs w:val="21"/>
                <w:lang w:val="en-US"/>
              </w:rPr>
              <w:t xml:space="preserve"> subject to numerical consents</w:t>
            </w:r>
            <w:r w:rsidRPr="00605253">
              <w:rPr>
                <w:rFonts w:ascii="Calibri" w:hAnsi="Calibri" w:cs="Calibri"/>
                <w:sz w:val="21"/>
                <w:szCs w:val="21"/>
                <w:lang w:val="en-US"/>
              </w:rPr>
              <w:t xml:space="preserve"> should be calculated on the basis of </w:t>
            </w:r>
            <w:r w:rsidR="00605253" w:rsidRPr="00605253">
              <w:rPr>
                <w:rFonts w:ascii="Calibri" w:hAnsi="Calibri" w:cs="Calibri"/>
                <w:sz w:val="21"/>
                <w:szCs w:val="21"/>
                <w:lang w:val="en-US"/>
              </w:rPr>
              <w:t xml:space="preserve">60g BOD5 </w:t>
            </w:r>
            <w:r w:rsidRPr="00605253">
              <w:rPr>
                <w:rFonts w:ascii="Calibri" w:hAnsi="Calibri" w:cs="Calibri"/>
                <w:sz w:val="21"/>
                <w:szCs w:val="21"/>
                <w:lang w:val="en-US"/>
              </w:rPr>
              <w:t>per capita per day. Imported effluents should be included in calculation. No account should be taken of holiday population.</w:t>
            </w:r>
          </w:p>
        </w:tc>
      </w:tr>
      <w:tr w:rsidR="008E147C" w:rsidRPr="009A191E" w14:paraId="10E6EC65" w14:textId="77777777" w:rsidTr="01C192FA">
        <w:tc>
          <w:tcPr>
            <w:tcW w:w="1872"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8B2D47D" w14:textId="757B8B5E" w:rsidR="008E147C" w:rsidRPr="009A191E" w:rsidRDefault="008E147C" w:rsidP="00C9181A">
            <w:pPr>
              <w:pStyle w:val="Bodyromannumerals"/>
              <w:rPr>
                <w:i/>
                <w:lang w:val="en-US"/>
              </w:rPr>
            </w:pPr>
            <w:r w:rsidRPr="009A191E">
              <w:rPr>
                <w:i/>
                <w:lang w:val="en-US"/>
              </w:rPr>
              <w:t>Processing Rules:</w:t>
            </w:r>
          </w:p>
        </w:tc>
        <w:tc>
          <w:tcPr>
            <w:tcW w:w="5686"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F8EB5F3" w14:textId="5ECCE50A" w:rsidR="008E147C" w:rsidRPr="009A191E" w:rsidRDefault="008E147C" w:rsidP="00C9181A">
            <w:pPr>
              <w:pStyle w:val="Bodyromannumerals"/>
              <w:rPr>
                <w:lang w:val="en-US"/>
              </w:rPr>
            </w:pPr>
            <w:r w:rsidRPr="009A191E">
              <w:rPr>
                <w:lang w:val="en-US"/>
              </w:rPr>
              <w:t>Input field</w:t>
            </w:r>
          </w:p>
        </w:tc>
      </w:tr>
    </w:tbl>
    <w:p w14:paraId="3A93D754" w14:textId="77777777" w:rsidR="00871522" w:rsidRDefault="00871522">
      <w:pPr>
        <w:spacing w:after="160" w:line="259" w:lineRule="auto"/>
        <w:rPr>
          <w:rFonts w:ascii="Calibri" w:hAnsi="Calibri" w:cs="Calibri"/>
          <w:b/>
          <w:color w:val="182B46"/>
          <w:sz w:val="26"/>
          <w:lang w:val="en-GB"/>
        </w:rPr>
      </w:pPr>
      <w:r>
        <w:rPr>
          <w:lang w:val="en-GB"/>
        </w:rPr>
        <w:br w:type="page"/>
      </w:r>
    </w:p>
    <w:p w14:paraId="7D1F7F4C" w14:textId="1EA85364" w:rsidR="008E147C" w:rsidRPr="009A191E" w:rsidRDefault="008E147C" w:rsidP="00C9181A">
      <w:pPr>
        <w:pStyle w:val="Sectionsub-heading"/>
        <w:rPr>
          <w:lang w:val="en-GB"/>
        </w:rPr>
      </w:pPr>
      <w:r w:rsidRPr="009A191E">
        <w:rPr>
          <w:lang w:val="en-GB"/>
        </w:rPr>
        <w:lastRenderedPageBreak/>
        <w:t xml:space="preserve">BLOCK 3: </w:t>
      </w:r>
      <w:r w:rsidR="002E6A73">
        <w:rPr>
          <w:lang w:val="en-GB"/>
        </w:rPr>
        <w:t>WASTEWATER</w:t>
      </w:r>
      <w:r w:rsidRPr="009A191E">
        <w:rPr>
          <w:lang w:val="en-GB"/>
        </w:rPr>
        <w:t xml:space="preserve"> – FACILITIES</w:t>
      </w:r>
    </w:p>
    <w:tbl>
      <w:tblPr>
        <w:tblStyle w:val="TableGrid3"/>
        <w:tblW w:w="7558" w:type="dxa"/>
        <w:tblLook w:val="04A0" w:firstRow="1" w:lastRow="0" w:firstColumn="1" w:lastColumn="0" w:noHBand="0" w:noVBand="1"/>
      </w:tblPr>
      <w:tblGrid>
        <w:gridCol w:w="1095"/>
        <w:gridCol w:w="280"/>
        <w:gridCol w:w="618"/>
        <w:gridCol w:w="249"/>
        <w:gridCol w:w="3921"/>
        <w:gridCol w:w="25"/>
        <w:gridCol w:w="1370"/>
      </w:tblGrid>
      <w:tr w:rsidR="008E147C" w:rsidRPr="009A191E" w14:paraId="3CA81219" w14:textId="77777777" w:rsidTr="00257DBA">
        <w:tc>
          <w:tcPr>
            <w:tcW w:w="1375" w:type="dxa"/>
            <w:gridSpan w:val="2"/>
          </w:tcPr>
          <w:p w14:paraId="3C638AB5" w14:textId="77777777" w:rsidR="008E147C" w:rsidRPr="003C2A40" w:rsidRDefault="008E147C" w:rsidP="003C2A40">
            <w:pPr>
              <w:pStyle w:val="Bodyromannumerals"/>
              <w:rPr>
                <w:b/>
                <w:bCs/>
                <w:lang w:val="en-US"/>
              </w:rPr>
            </w:pPr>
            <w:r w:rsidRPr="003C2A40">
              <w:rPr>
                <w:b/>
                <w:bCs/>
                <w:lang w:val="en-US"/>
              </w:rPr>
              <w:t>A4.35</w:t>
            </w:r>
          </w:p>
        </w:tc>
        <w:tc>
          <w:tcPr>
            <w:tcW w:w="4813" w:type="dxa"/>
            <w:gridSpan w:val="4"/>
          </w:tcPr>
          <w:p w14:paraId="51CD2495" w14:textId="0CD52B71" w:rsidR="008E147C" w:rsidRPr="003C2A40" w:rsidRDefault="008E147C" w:rsidP="003C2A40">
            <w:pPr>
              <w:pStyle w:val="Bodyromannumerals"/>
              <w:rPr>
                <w:b/>
                <w:bCs/>
                <w:lang w:val="en-US"/>
              </w:rPr>
            </w:pPr>
            <w:r w:rsidRPr="003C2A40">
              <w:rPr>
                <w:b/>
                <w:bCs/>
                <w:lang w:val="en-US"/>
              </w:rPr>
              <w:t xml:space="preserve">Number of </w:t>
            </w:r>
            <w:r w:rsidR="006058C5">
              <w:rPr>
                <w:b/>
                <w:bCs/>
                <w:lang w:val="en-US"/>
              </w:rPr>
              <w:t>wastewater</w:t>
            </w:r>
            <w:r w:rsidR="006058C5" w:rsidRPr="003C2A40">
              <w:rPr>
                <w:b/>
                <w:bCs/>
                <w:lang w:val="en-US"/>
              </w:rPr>
              <w:t xml:space="preserve"> </w:t>
            </w:r>
            <w:r w:rsidRPr="003C2A40">
              <w:rPr>
                <w:b/>
                <w:bCs/>
                <w:lang w:val="en-US"/>
              </w:rPr>
              <w:t xml:space="preserve">treatment </w:t>
            </w:r>
            <w:r w:rsidR="00FF6124">
              <w:rPr>
                <w:b/>
                <w:bCs/>
                <w:lang w:val="en-US"/>
              </w:rPr>
              <w:t>plants</w:t>
            </w:r>
          </w:p>
        </w:tc>
        <w:tc>
          <w:tcPr>
            <w:tcW w:w="1370" w:type="dxa"/>
          </w:tcPr>
          <w:p w14:paraId="4601585F" w14:textId="77777777" w:rsidR="008E147C" w:rsidRPr="003C2A40" w:rsidRDefault="008E147C" w:rsidP="003C2A40">
            <w:pPr>
              <w:pStyle w:val="Bodyromannumerals"/>
              <w:rPr>
                <w:b/>
                <w:bCs/>
                <w:lang w:val="en-US"/>
              </w:rPr>
            </w:pPr>
            <w:r w:rsidRPr="003C2A40">
              <w:rPr>
                <w:b/>
                <w:bCs/>
                <w:lang w:val="en-US"/>
              </w:rPr>
              <w:t>Nr.</w:t>
            </w:r>
          </w:p>
        </w:tc>
      </w:tr>
      <w:tr w:rsidR="008E147C" w:rsidRPr="009A191E" w14:paraId="01C17D80" w14:textId="77777777" w:rsidTr="00257DBA">
        <w:tc>
          <w:tcPr>
            <w:tcW w:w="2242" w:type="dxa"/>
            <w:gridSpan w:val="4"/>
            <w:tcBorders>
              <w:left w:val="single" w:sz="4" w:space="0" w:color="FFFFFF" w:themeColor="background2"/>
              <w:bottom w:val="single" w:sz="4" w:space="0" w:color="FFFFFF" w:themeColor="background2"/>
              <w:right w:val="single" w:sz="4" w:space="0" w:color="FFFFFF" w:themeColor="background2"/>
            </w:tcBorders>
          </w:tcPr>
          <w:p w14:paraId="16CB1DE7" w14:textId="77777777" w:rsidR="008E147C" w:rsidRPr="009A191E" w:rsidRDefault="008E147C" w:rsidP="003C2A40">
            <w:pPr>
              <w:pStyle w:val="Bodyromannumerals"/>
              <w:rPr>
                <w:i/>
                <w:lang w:val="en-US"/>
              </w:rPr>
            </w:pPr>
            <w:r w:rsidRPr="009A191E">
              <w:rPr>
                <w:i/>
                <w:lang w:val="en-US"/>
              </w:rPr>
              <w:t>Definition:</w:t>
            </w:r>
          </w:p>
        </w:tc>
        <w:tc>
          <w:tcPr>
            <w:tcW w:w="5316" w:type="dxa"/>
            <w:gridSpan w:val="3"/>
            <w:tcBorders>
              <w:left w:val="single" w:sz="4" w:space="0" w:color="FFFFFF" w:themeColor="background2"/>
              <w:bottom w:val="single" w:sz="4" w:space="0" w:color="FFFFFF" w:themeColor="background2"/>
              <w:right w:val="single" w:sz="4" w:space="0" w:color="FFFFFF" w:themeColor="background2"/>
            </w:tcBorders>
          </w:tcPr>
          <w:p w14:paraId="0946F213" w14:textId="3CFF258F" w:rsidR="008E147C" w:rsidRPr="009A191E" w:rsidRDefault="008E147C" w:rsidP="003C2A40">
            <w:pPr>
              <w:pStyle w:val="Bodyromannumerals"/>
              <w:rPr>
                <w:lang w:val="en-US"/>
              </w:rPr>
            </w:pPr>
            <w:r w:rsidRPr="009A191E">
              <w:rPr>
                <w:lang w:val="en-US"/>
              </w:rPr>
              <w:t xml:space="preserve">Total number of </w:t>
            </w:r>
            <w:r w:rsidR="004C592B">
              <w:rPr>
                <w:lang w:val="en-US"/>
              </w:rPr>
              <w:t>Waste</w:t>
            </w:r>
            <w:r w:rsidR="002E6A73">
              <w:rPr>
                <w:lang w:val="en-US"/>
              </w:rPr>
              <w:t>water</w:t>
            </w:r>
            <w:r w:rsidRPr="009A191E">
              <w:rPr>
                <w:lang w:val="en-US"/>
              </w:rPr>
              <w:t xml:space="preserve"> treatment </w:t>
            </w:r>
            <w:r w:rsidR="00FF6124">
              <w:rPr>
                <w:lang w:val="en-US"/>
              </w:rPr>
              <w:t>plants</w:t>
            </w:r>
            <w:r w:rsidRPr="009A191E">
              <w:rPr>
                <w:lang w:val="en-US"/>
              </w:rPr>
              <w:t>.</w:t>
            </w:r>
          </w:p>
        </w:tc>
      </w:tr>
      <w:tr w:rsidR="008E147C" w:rsidRPr="009A191E" w14:paraId="5AB52DD6" w14:textId="77777777" w:rsidTr="00257DBA">
        <w:tc>
          <w:tcPr>
            <w:tcW w:w="2242" w:type="dxa"/>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6F84C9F" w14:textId="77777777" w:rsidR="008E147C" w:rsidRPr="009A191E" w:rsidRDefault="008E147C" w:rsidP="003C2A40">
            <w:pPr>
              <w:pStyle w:val="Bodyromannumerals"/>
              <w:rPr>
                <w:i/>
                <w:lang w:val="en-US"/>
              </w:rPr>
            </w:pPr>
            <w:r w:rsidRPr="009A191E">
              <w:rPr>
                <w:i/>
                <w:lang w:val="en-US"/>
              </w:rPr>
              <w:t>Processing Rules:</w:t>
            </w:r>
          </w:p>
        </w:tc>
        <w:tc>
          <w:tcPr>
            <w:tcW w:w="5316"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EA067A7" w14:textId="77777777" w:rsidR="008E147C" w:rsidRPr="009A191E" w:rsidRDefault="008E147C" w:rsidP="003C2A40">
            <w:pPr>
              <w:pStyle w:val="Bodyromannumerals"/>
              <w:rPr>
                <w:lang w:val="en-US"/>
              </w:rPr>
            </w:pPr>
            <w:r w:rsidRPr="009A191E">
              <w:rPr>
                <w:lang w:val="en-US"/>
              </w:rPr>
              <w:t>Input field</w:t>
            </w:r>
          </w:p>
        </w:tc>
      </w:tr>
      <w:tr w:rsidR="008E147C" w:rsidRPr="009A191E" w14:paraId="402DFB94" w14:textId="77777777" w:rsidTr="00257DBA">
        <w:tc>
          <w:tcPr>
            <w:tcW w:w="1375" w:type="dxa"/>
            <w:gridSpan w:val="2"/>
          </w:tcPr>
          <w:p w14:paraId="73AC3F1C" w14:textId="77777777" w:rsidR="008E147C" w:rsidRPr="003C2A40" w:rsidRDefault="008E147C" w:rsidP="003C2A40">
            <w:pPr>
              <w:pStyle w:val="Bodyromannumerals"/>
              <w:rPr>
                <w:b/>
                <w:bCs/>
                <w:lang w:val="en-US"/>
              </w:rPr>
            </w:pPr>
            <w:r w:rsidRPr="003C2A40">
              <w:rPr>
                <w:b/>
                <w:bCs/>
                <w:lang w:val="en-US"/>
              </w:rPr>
              <w:t>A4.36</w:t>
            </w:r>
          </w:p>
        </w:tc>
        <w:tc>
          <w:tcPr>
            <w:tcW w:w="4813" w:type="dxa"/>
            <w:gridSpan w:val="4"/>
          </w:tcPr>
          <w:p w14:paraId="31FE033E" w14:textId="77777777" w:rsidR="008E147C" w:rsidRPr="003C2A40" w:rsidRDefault="008E147C" w:rsidP="003C2A40">
            <w:pPr>
              <w:pStyle w:val="Bodyromannumerals"/>
              <w:rPr>
                <w:b/>
                <w:bCs/>
                <w:lang w:val="en-US"/>
              </w:rPr>
            </w:pPr>
            <w:r w:rsidRPr="003C2A40">
              <w:rPr>
                <w:b/>
                <w:bCs/>
                <w:lang w:val="en-US"/>
              </w:rPr>
              <w:t>Number of sea outfalls</w:t>
            </w:r>
          </w:p>
        </w:tc>
        <w:tc>
          <w:tcPr>
            <w:tcW w:w="1370" w:type="dxa"/>
          </w:tcPr>
          <w:p w14:paraId="78CF34EA" w14:textId="77777777" w:rsidR="008E147C" w:rsidRPr="003C2A40" w:rsidRDefault="008E147C" w:rsidP="003C2A40">
            <w:pPr>
              <w:pStyle w:val="Bodyromannumerals"/>
              <w:rPr>
                <w:b/>
                <w:bCs/>
                <w:lang w:val="en-US"/>
              </w:rPr>
            </w:pPr>
            <w:r w:rsidRPr="003C2A40">
              <w:rPr>
                <w:b/>
                <w:bCs/>
                <w:lang w:val="en-US"/>
              </w:rPr>
              <w:t>Nr.</w:t>
            </w:r>
          </w:p>
        </w:tc>
      </w:tr>
      <w:tr w:rsidR="008E147C" w:rsidRPr="009A191E" w14:paraId="08A9BC27" w14:textId="77777777" w:rsidTr="00257DBA">
        <w:tc>
          <w:tcPr>
            <w:tcW w:w="2242" w:type="dxa"/>
            <w:gridSpan w:val="4"/>
            <w:tcBorders>
              <w:left w:val="single" w:sz="4" w:space="0" w:color="FFFFFF" w:themeColor="background2"/>
              <w:bottom w:val="single" w:sz="4" w:space="0" w:color="FFFFFF" w:themeColor="background2"/>
              <w:right w:val="single" w:sz="4" w:space="0" w:color="FFFFFF" w:themeColor="background2"/>
            </w:tcBorders>
          </w:tcPr>
          <w:p w14:paraId="3F193F4C" w14:textId="77777777" w:rsidR="008E147C" w:rsidRPr="009A191E" w:rsidRDefault="008E147C" w:rsidP="003C2A40">
            <w:pPr>
              <w:pStyle w:val="Bodyromannumerals"/>
              <w:rPr>
                <w:i/>
                <w:lang w:val="en-US"/>
              </w:rPr>
            </w:pPr>
            <w:r w:rsidRPr="009A191E">
              <w:rPr>
                <w:i/>
                <w:lang w:val="en-US"/>
              </w:rPr>
              <w:t>Definition:</w:t>
            </w:r>
          </w:p>
        </w:tc>
        <w:tc>
          <w:tcPr>
            <w:tcW w:w="5316" w:type="dxa"/>
            <w:gridSpan w:val="3"/>
            <w:tcBorders>
              <w:left w:val="single" w:sz="4" w:space="0" w:color="FFFFFF" w:themeColor="background2"/>
              <w:bottom w:val="single" w:sz="4" w:space="0" w:color="FFFFFF" w:themeColor="background2"/>
              <w:right w:val="single" w:sz="4" w:space="0" w:color="FFFFFF" w:themeColor="background2"/>
            </w:tcBorders>
          </w:tcPr>
          <w:p w14:paraId="469E1AFB" w14:textId="77777777" w:rsidR="008E147C" w:rsidRPr="009A191E" w:rsidRDefault="008E147C" w:rsidP="003C2A40">
            <w:pPr>
              <w:pStyle w:val="Bodyromannumerals"/>
              <w:rPr>
                <w:lang w:val="en-US"/>
              </w:rPr>
            </w:pPr>
            <w:r w:rsidRPr="009A191E">
              <w:rPr>
                <w:lang w:val="en-US"/>
              </w:rPr>
              <w:t>Number of sea outfalls.</w:t>
            </w:r>
          </w:p>
          <w:p w14:paraId="3A7DD6E4" w14:textId="0C75DEF5" w:rsidR="008E147C" w:rsidRPr="009A191E" w:rsidRDefault="008E147C" w:rsidP="003C2A40">
            <w:pPr>
              <w:pStyle w:val="Bodyromannumerals"/>
              <w:rPr>
                <w:lang w:val="en-US"/>
              </w:rPr>
            </w:pPr>
            <w:r w:rsidRPr="009A191E">
              <w:rPr>
                <w:lang w:val="en-US"/>
              </w:rPr>
              <w:t xml:space="preserve">Do not include intermittent discharges, such as storm overflows. Include outfalls discharging </w:t>
            </w:r>
            <w:r w:rsidR="00230A33" w:rsidRPr="009A191E">
              <w:rPr>
                <w:lang w:val="en-US"/>
              </w:rPr>
              <w:t>wastewater</w:t>
            </w:r>
            <w:r w:rsidRPr="009A191E">
              <w:rPr>
                <w:lang w:val="en-US"/>
              </w:rPr>
              <w:t xml:space="preserve"> which receives only a maximum of preliminary treatment (e.g. screening or grit removal).</w:t>
            </w:r>
          </w:p>
        </w:tc>
      </w:tr>
      <w:tr w:rsidR="008E147C" w:rsidRPr="009A191E" w14:paraId="79955F72" w14:textId="77777777" w:rsidTr="00257DBA">
        <w:tc>
          <w:tcPr>
            <w:tcW w:w="2242" w:type="dxa"/>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2A3D70B" w14:textId="77777777" w:rsidR="008E147C" w:rsidRPr="009A191E" w:rsidRDefault="008E147C" w:rsidP="003C2A40">
            <w:pPr>
              <w:pStyle w:val="Bodyromannumerals"/>
              <w:rPr>
                <w:i/>
                <w:lang w:val="en-US"/>
              </w:rPr>
            </w:pPr>
            <w:r w:rsidRPr="009A191E">
              <w:rPr>
                <w:i/>
                <w:lang w:val="en-US"/>
              </w:rPr>
              <w:t>Processing Rules:</w:t>
            </w:r>
          </w:p>
        </w:tc>
        <w:tc>
          <w:tcPr>
            <w:tcW w:w="5316"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86757C2" w14:textId="77777777" w:rsidR="008E147C" w:rsidRDefault="008E147C" w:rsidP="003C2A40">
            <w:pPr>
              <w:pStyle w:val="Bodyromannumerals"/>
              <w:rPr>
                <w:lang w:val="en-US"/>
              </w:rPr>
            </w:pPr>
            <w:r w:rsidRPr="009A191E">
              <w:rPr>
                <w:lang w:val="en-US"/>
              </w:rPr>
              <w:t>Input field</w:t>
            </w:r>
          </w:p>
          <w:p w14:paraId="127DA7A7" w14:textId="28CFD692" w:rsidR="00733D15" w:rsidRPr="009A191E" w:rsidRDefault="00733D15" w:rsidP="003C2A40">
            <w:pPr>
              <w:pStyle w:val="Bodyromannumerals"/>
              <w:rPr>
                <w:lang w:val="en-US"/>
              </w:rPr>
            </w:pPr>
          </w:p>
        </w:tc>
      </w:tr>
      <w:tr w:rsidR="00733D15" w:rsidRPr="003C2A40" w14:paraId="0DE59C30" w14:textId="77777777" w:rsidTr="00257DBA">
        <w:tc>
          <w:tcPr>
            <w:tcW w:w="1375" w:type="dxa"/>
            <w:gridSpan w:val="2"/>
          </w:tcPr>
          <w:p w14:paraId="7BA9E54C" w14:textId="72F5A8CD" w:rsidR="00733D15" w:rsidRPr="003C2A40" w:rsidRDefault="00733D15" w:rsidP="00733D15">
            <w:pPr>
              <w:pStyle w:val="Bodyromannumerals"/>
              <w:rPr>
                <w:b/>
                <w:bCs/>
                <w:lang w:val="en-US"/>
              </w:rPr>
            </w:pPr>
            <w:r w:rsidRPr="003C2A40">
              <w:rPr>
                <w:b/>
                <w:bCs/>
                <w:lang w:val="en-US"/>
              </w:rPr>
              <w:t>A4.3</w:t>
            </w:r>
            <w:r>
              <w:rPr>
                <w:b/>
                <w:bCs/>
                <w:lang w:val="en-US"/>
              </w:rPr>
              <w:t>7</w:t>
            </w:r>
          </w:p>
        </w:tc>
        <w:tc>
          <w:tcPr>
            <w:tcW w:w="4813" w:type="dxa"/>
            <w:gridSpan w:val="4"/>
          </w:tcPr>
          <w:p w14:paraId="3FCE9A35" w14:textId="730E26ED" w:rsidR="00733D15" w:rsidRPr="003C2A40" w:rsidRDefault="00733D15" w:rsidP="00733D15">
            <w:pPr>
              <w:pStyle w:val="Bodyromannumerals"/>
              <w:rPr>
                <w:b/>
                <w:bCs/>
                <w:lang w:val="en-US"/>
              </w:rPr>
            </w:pPr>
            <w:r w:rsidRPr="003C2A40">
              <w:rPr>
                <w:b/>
                <w:bCs/>
                <w:lang w:val="en-US"/>
              </w:rPr>
              <w:t xml:space="preserve">Number of </w:t>
            </w:r>
            <w:r>
              <w:rPr>
                <w:b/>
                <w:bCs/>
                <w:lang w:val="en-US"/>
              </w:rPr>
              <w:t>other</w:t>
            </w:r>
            <w:r w:rsidRPr="003C2A40">
              <w:rPr>
                <w:b/>
                <w:bCs/>
                <w:lang w:val="en-US"/>
              </w:rPr>
              <w:t xml:space="preserve"> outfalls</w:t>
            </w:r>
          </w:p>
        </w:tc>
        <w:tc>
          <w:tcPr>
            <w:tcW w:w="1370" w:type="dxa"/>
          </w:tcPr>
          <w:p w14:paraId="73FEB7FF" w14:textId="77777777" w:rsidR="00733D15" w:rsidRPr="003C2A40" w:rsidRDefault="00733D15" w:rsidP="00733D15">
            <w:pPr>
              <w:pStyle w:val="Bodyromannumerals"/>
              <w:rPr>
                <w:b/>
                <w:bCs/>
                <w:lang w:val="en-US"/>
              </w:rPr>
            </w:pPr>
            <w:r w:rsidRPr="003C2A40">
              <w:rPr>
                <w:b/>
                <w:bCs/>
                <w:lang w:val="en-US"/>
              </w:rPr>
              <w:t>Nr.</w:t>
            </w:r>
          </w:p>
        </w:tc>
      </w:tr>
      <w:tr w:rsidR="00733D15" w:rsidRPr="009A191E" w14:paraId="3CCD7EFE" w14:textId="77777777" w:rsidTr="00257DBA">
        <w:tc>
          <w:tcPr>
            <w:tcW w:w="2242" w:type="dxa"/>
            <w:gridSpan w:val="4"/>
            <w:tcBorders>
              <w:left w:val="single" w:sz="4" w:space="0" w:color="FFFFFF" w:themeColor="background2"/>
              <w:bottom w:val="single" w:sz="4" w:space="0" w:color="FFFFFF" w:themeColor="background2"/>
              <w:right w:val="single" w:sz="4" w:space="0" w:color="FFFFFF" w:themeColor="background2"/>
            </w:tcBorders>
          </w:tcPr>
          <w:p w14:paraId="3CA59C4E" w14:textId="77777777" w:rsidR="00733D15" w:rsidRPr="009A191E" w:rsidRDefault="00733D15" w:rsidP="00733D15">
            <w:pPr>
              <w:pStyle w:val="Bodyromannumerals"/>
              <w:rPr>
                <w:i/>
                <w:lang w:val="en-US"/>
              </w:rPr>
            </w:pPr>
            <w:r w:rsidRPr="009A191E">
              <w:rPr>
                <w:i/>
                <w:lang w:val="en-US"/>
              </w:rPr>
              <w:t>Definition:</w:t>
            </w:r>
          </w:p>
        </w:tc>
        <w:tc>
          <w:tcPr>
            <w:tcW w:w="5316" w:type="dxa"/>
            <w:gridSpan w:val="3"/>
            <w:tcBorders>
              <w:left w:val="single" w:sz="4" w:space="0" w:color="FFFFFF" w:themeColor="background2"/>
              <w:bottom w:val="single" w:sz="4" w:space="0" w:color="FFFFFF" w:themeColor="background2"/>
              <w:right w:val="single" w:sz="4" w:space="0" w:color="FFFFFF" w:themeColor="background2"/>
            </w:tcBorders>
          </w:tcPr>
          <w:p w14:paraId="386A1F06" w14:textId="22261C5E" w:rsidR="00733D15" w:rsidRDefault="00733D15" w:rsidP="00733D15">
            <w:pPr>
              <w:pStyle w:val="Bodyromannumerals"/>
              <w:rPr>
                <w:lang w:val="en-US"/>
              </w:rPr>
            </w:pPr>
            <w:r w:rsidRPr="009A191E">
              <w:rPr>
                <w:lang w:val="en-US"/>
              </w:rPr>
              <w:t xml:space="preserve">Number of </w:t>
            </w:r>
            <w:r>
              <w:rPr>
                <w:lang w:val="en-US"/>
              </w:rPr>
              <w:t>other</w:t>
            </w:r>
            <w:r w:rsidRPr="009A191E">
              <w:rPr>
                <w:lang w:val="en-US"/>
              </w:rPr>
              <w:t xml:space="preserve"> outfalls.</w:t>
            </w:r>
          </w:p>
          <w:p w14:paraId="5A34F5FB" w14:textId="4C562C05" w:rsidR="00733D15" w:rsidRPr="00605253" w:rsidRDefault="00605253" w:rsidP="00605253">
            <w:r w:rsidRPr="00605253">
              <w:rPr>
                <w:rFonts w:ascii="Calibri" w:hAnsi="Calibri" w:cs="Calibri"/>
                <w:sz w:val="21"/>
                <w:szCs w:val="21"/>
                <w:lang w:val="en-US"/>
              </w:rPr>
              <w:t>This should refer to river outfalls, freshwater lake outfalls, and any other forms of treated effluent discharge such as wetlands, ground injection or irrigation to land.</w:t>
            </w:r>
          </w:p>
        </w:tc>
      </w:tr>
      <w:tr w:rsidR="00733D15" w:rsidRPr="009A191E" w14:paraId="73A06692" w14:textId="77777777" w:rsidTr="00257DBA">
        <w:tc>
          <w:tcPr>
            <w:tcW w:w="2242" w:type="dxa"/>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28DA3D3" w14:textId="77777777" w:rsidR="00733D15" w:rsidRPr="009A191E" w:rsidRDefault="00733D15" w:rsidP="00733D15">
            <w:pPr>
              <w:pStyle w:val="Bodyromannumerals"/>
              <w:rPr>
                <w:i/>
                <w:lang w:val="en-US"/>
              </w:rPr>
            </w:pPr>
            <w:r w:rsidRPr="009A191E">
              <w:rPr>
                <w:i/>
                <w:lang w:val="en-US"/>
              </w:rPr>
              <w:t>Processing Rules:</w:t>
            </w:r>
          </w:p>
        </w:tc>
        <w:tc>
          <w:tcPr>
            <w:tcW w:w="5316"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ED2AF6A" w14:textId="77777777" w:rsidR="00733D15" w:rsidRPr="009A191E" w:rsidRDefault="00733D15" w:rsidP="00733D15">
            <w:pPr>
              <w:pStyle w:val="Bodyromannumerals"/>
              <w:rPr>
                <w:lang w:val="en-US"/>
              </w:rPr>
            </w:pPr>
            <w:r w:rsidRPr="009A191E">
              <w:rPr>
                <w:lang w:val="en-US"/>
              </w:rPr>
              <w:t>Input field</w:t>
            </w:r>
          </w:p>
        </w:tc>
      </w:tr>
      <w:tr w:rsidR="008E147C" w:rsidRPr="009A191E" w14:paraId="12ED8884" w14:textId="77777777" w:rsidTr="00257DBA">
        <w:tc>
          <w:tcPr>
            <w:tcW w:w="1375" w:type="dxa"/>
            <w:gridSpan w:val="2"/>
          </w:tcPr>
          <w:p w14:paraId="727B97F0" w14:textId="2350C54E" w:rsidR="008E147C" w:rsidRPr="003C2A40" w:rsidRDefault="008E147C" w:rsidP="003C2A40">
            <w:pPr>
              <w:pStyle w:val="Bodyromannumerals"/>
              <w:rPr>
                <w:b/>
                <w:bCs/>
                <w:lang w:val="en-US"/>
              </w:rPr>
            </w:pPr>
            <w:r w:rsidRPr="003C2A40">
              <w:rPr>
                <w:b/>
                <w:bCs/>
                <w:lang w:val="en-US"/>
              </w:rPr>
              <w:t>A4.3</w:t>
            </w:r>
            <w:r w:rsidR="00733D15">
              <w:rPr>
                <w:b/>
                <w:bCs/>
                <w:lang w:val="en-US"/>
              </w:rPr>
              <w:t>8</w:t>
            </w:r>
          </w:p>
        </w:tc>
        <w:tc>
          <w:tcPr>
            <w:tcW w:w="4813" w:type="dxa"/>
            <w:gridSpan w:val="4"/>
          </w:tcPr>
          <w:p w14:paraId="0A80D863" w14:textId="77777777" w:rsidR="008E147C" w:rsidRPr="003C2A40" w:rsidRDefault="008E147C" w:rsidP="003C2A40">
            <w:pPr>
              <w:pStyle w:val="Bodyromannumerals"/>
              <w:rPr>
                <w:b/>
                <w:bCs/>
                <w:lang w:val="en-US"/>
              </w:rPr>
            </w:pPr>
            <w:r w:rsidRPr="003C2A40">
              <w:rPr>
                <w:b/>
                <w:bCs/>
                <w:lang w:val="en-US"/>
              </w:rPr>
              <w:t>Treatment capacity available (BOD5/day)</w:t>
            </w:r>
          </w:p>
        </w:tc>
        <w:tc>
          <w:tcPr>
            <w:tcW w:w="1370" w:type="dxa"/>
          </w:tcPr>
          <w:p w14:paraId="0BFA0DBB" w14:textId="77777777" w:rsidR="008E147C" w:rsidRPr="003C2A40" w:rsidRDefault="008E147C" w:rsidP="003C2A40">
            <w:pPr>
              <w:pStyle w:val="Bodyromannumerals"/>
              <w:rPr>
                <w:b/>
                <w:bCs/>
                <w:lang w:val="en-US"/>
              </w:rPr>
            </w:pPr>
            <w:proofErr w:type="spellStart"/>
            <w:r w:rsidRPr="003C2A40">
              <w:rPr>
                <w:b/>
                <w:bCs/>
                <w:lang w:val="en-US"/>
              </w:rPr>
              <w:t>Tonnes</w:t>
            </w:r>
            <w:proofErr w:type="spellEnd"/>
          </w:p>
        </w:tc>
      </w:tr>
      <w:tr w:rsidR="008E147C" w:rsidRPr="009A191E" w14:paraId="3BADEB78" w14:textId="77777777" w:rsidTr="00257DBA">
        <w:tc>
          <w:tcPr>
            <w:tcW w:w="2242" w:type="dxa"/>
            <w:gridSpan w:val="4"/>
            <w:tcBorders>
              <w:left w:val="single" w:sz="4" w:space="0" w:color="FFFFFF" w:themeColor="background2"/>
              <w:bottom w:val="single" w:sz="4" w:space="0" w:color="FFFFFF" w:themeColor="background2"/>
              <w:right w:val="single" w:sz="4" w:space="0" w:color="FFFFFF" w:themeColor="background2"/>
            </w:tcBorders>
          </w:tcPr>
          <w:p w14:paraId="3D9AF1AA" w14:textId="77777777" w:rsidR="008E147C" w:rsidRPr="009A191E" w:rsidRDefault="008E147C" w:rsidP="003C2A40">
            <w:pPr>
              <w:pStyle w:val="Bodyromannumerals"/>
              <w:rPr>
                <w:i/>
                <w:lang w:val="en-US"/>
              </w:rPr>
            </w:pPr>
            <w:r w:rsidRPr="009A191E">
              <w:rPr>
                <w:i/>
                <w:lang w:val="en-US"/>
              </w:rPr>
              <w:t>Definition:</w:t>
            </w:r>
          </w:p>
        </w:tc>
        <w:tc>
          <w:tcPr>
            <w:tcW w:w="5316" w:type="dxa"/>
            <w:gridSpan w:val="3"/>
            <w:tcBorders>
              <w:left w:val="single" w:sz="4" w:space="0" w:color="FFFFFF" w:themeColor="background2"/>
              <w:bottom w:val="single" w:sz="4" w:space="0" w:color="FFFFFF" w:themeColor="background2"/>
              <w:right w:val="single" w:sz="4" w:space="0" w:color="FFFFFF" w:themeColor="background2"/>
            </w:tcBorders>
          </w:tcPr>
          <w:p w14:paraId="7C35EC0F" w14:textId="7736CD14" w:rsidR="008E147C" w:rsidRPr="009A191E" w:rsidRDefault="008E147C" w:rsidP="003C2A40">
            <w:pPr>
              <w:pStyle w:val="Bodyromannumerals"/>
              <w:rPr>
                <w:lang w:val="en-US"/>
              </w:rPr>
            </w:pPr>
            <w:r w:rsidRPr="009A191E">
              <w:rPr>
                <w:lang w:val="en-US"/>
              </w:rPr>
              <w:t xml:space="preserve">The average annual total treatment capacity available in BOD5/day within </w:t>
            </w:r>
            <w:r w:rsidR="00BC0E1F">
              <w:rPr>
                <w:lang w:val="en-US"/>
              </w:rPr>
              <w:t xml:space="preserve">the </w:t>
            </w:r>
            <w:r w:rsidR="002E6A73">
              <w:rPr>
                <w:lang w:val="en-US"/>
              </w:rPr>
              <w:t>Local</w:t>
            </w:r>
            <w:r w:rsidR="00BC0E1F">
              <w:rPr>
                <w:lang w:val="en-US"/>
              </w:rPr>
              <w:t xml:space="preserve"> Authority’s</w:t>
            </w:r>
            <w:r w:rsidRPr="009A191E">
              <w:rPr>
                <w:lang w:val="en-US"/>
              </w:rPr>
              <w:t xml:space="preserve"> area of supply.</w:t>
            </w:r>
          </w:p>
        </w:tc>
      </w:tr>
      <w:tr w:rsidR="008E147C" w:rsidRPr="009A191E" w14:paraId="51B55BF4" w14:textId="77777777" w:rsidTr="00257DBA">
        <w:tc>
          <w:tcPr>
            <w:tcW w:w="2242" w:type="dxa"/>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A2F235A" w14:textId="77777777" w:rsidR="008E147C" w:rsidRPr="009A191E" w:rsidRDefault="008E147C" w:rsidP="003C2A40">
            <w:pPr>
              <w:pStyle w:val="Bodyromannumerals"/>
              <w:rPr>
                <w:i/>
                <w:lang w:val="en-US"/>
              </w:rPr>
            </w:pPr>
            <w:r w:rsidRPr="009A191E">
              <w:rPr>
                <w:i/>
                <w:lang w:val="en-US"/>
              </w:rPr>
              <w:t>Processing Rules:</w:t>
            </w:r>
          </w:p>
        </w:tc>
        <w:tc>
          <w:tcPr>
            <w:tcW w:w="5316"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D6BF57C" w14:textId="77777777" w:rsidR="008E147C" w:rsidRPr="009A191E" w:rsidRDefault="008E147C" w:rsidP="003C2A40">
            <w:pPr>
              <w:pStyle w:val="Bodyromannumerals"/>
              <w:rPr>
                <w:lang w:val="en-US"/>
              </w:rPr>
            </w:pPr>
            <w:r w:rsidRPr="009A191E">
              <w:rPr>
                <w:lang w:val="en-US"/>
              </w:rPr>
              <w:t>Input field</w:t>
            </w:r>
          </w:p>
        </w:tc>
      </w:tr>
      <w:tr w:rsidR="008E147C" w:rsidRPr="009A191E" w14:paraId="283933DF" w14:textId="77777777" w:rsidTr="00257DBA">
        <w:tc>
          <w:tcPr>
            <w:tcW w:w="1375" w:type="dxa"/>
            <w:gridSpan w:val="2"/>
          </w:tcPr>
          <w:p w14:paraId="35958B8A" w14:textId="6CADF974" w:rsidR="008E147C" w:rsidRPr="003C2A40" w:rsidRDefault="008E147C" w:rsidP="003C2A40">
            <w:pPr>
              <w:pStyle w:val="Bodyromannumerals"/>
              <w:rPr>
                <w:b/>
                <w:bCs/>
                <w:lang w:val="en-US"/>
              </w:rPr>
            </w:pPr>
            <w:r w:rsidRPr="003C2A40">
              <w:rPr>
                <w:b/>
                <w:bCs/>
                <w:lang w:val="en-US"/>
              </w:rPr>
              <w:t>A4.3</w:t>
            </w:r>
            <w:r w:rsidR="00733D15">
              <w:rPr>
                <w:b/>
                <w:bCs/>
                <w:lang w:val="en-US"/>
              </w:rPr>
              <w:t>9</w:t>
            </w:r>
          </w:p>
        </w:tc>
        <w:tc>
          <w:tcPr>
            <w:tcW w:w="4813" w:type="dxa"/>
            <w:gridSpan w:val="4"/>
          </w:tcPr>
          <w:p w14:paraId="4516F630" w14:textId="7696C1BF" w:rsidR="008E147C" w:rsidRPr="00605253" w:rsidRDefault="008E147C" w:rsidP="00605253">
            <w:pPr>
              <w:rPr>
                <w:rFonts w:ascii="Calibri" w:hAnsi="Calibri" w:cs="Calibri"/>
                <w:b/>
                <w:bCs/>
                <w:sz w:val="21"/>
                <w:szCs w:val="21"/>
                <w:lang w:val="en-US"/>
              </w:rPr>
            </w:pPr>
            <w:r w:rsidRPr="00605253">
              <w:rPr>
                <w:rFonts w:ascii="Calibri" w:hAnsi="Calibri" w:cs="Calibri"/>
                <w:b/>
                <w:bCs/>
                <w:sz w:val="21"/>
                <w:szCs w:val="21"/>
                <w:lang w:val="en-US"/>
              </w:rPr>
              <w:t xml:space="preserve">Equivalent population served by sea </w:t>
            </w:r>
            <w:r w:rsidR="00605253" w:rsidRPr="00605253">
              <w:rPr>
                <w:rFonts w:ascii="Calibri" w:hAnsi="Calibri" w:cs="Calibri"/>
                <w:b/>
                <w:bCs/>
                <w:sz w:val="21"/>
                <w:szCs w:val="21"/>
                <w:lang w:val="en-US"/>
              </w:rPr>
              <w:t xml:space="preserve">outfalls </w:t>
            </w:r>
          </w:p>
        </w:tc>
        <w:tc>
          <w:tcPr>
            <w:tcW w:w="1370" w:type="dxa"/>
          </w:tcPr>
          <w:p w14:paraId="1CEF6D1A" w14:textId="77777777" w:rsidR="008E147C" w:rsidRPr="003C2A40" w:rsidRDefault="008E147C" w:rsidP="003C2A40">
            <w:pPr>
              <w:pStyle w:val="Bodyromannumerals"/>
              <w:rPr>
                <w:b/>
                <w:bCs/>
                <w:lang w:val="en-US"/>
              </w:rPr>
            </w:pPr>
            <w:r w:rsidRPr="003C2A40">
              <w:rPr>
                <w:b/>
                <w:bCs/>
                <w:lang w:val="en-US"/>
              </w:rPr>
              <w:t>000</w:t>
            </w:r>
          </w:p>
        </w:tc>
      </w:tr>
      <w:tr w:rsidR="008E147C" w:rsidRPr="009A191E" w14:paraId="598FBA7B" w14:textId="77777777" w:rsidTr="00257DBA">
        <w:tc>
          <w:tcPr>
            <w:tcW w:w="2242" w:type="dxa"/>
            <w:gridSpan w:val="4"/>
            <w:tcBorders>
              <w:left w:val="single" w:sz="4" w:space="0" w:color="FFFFFF" w:themeColor="background2"/>
              <w:bottom w:val="single" w:sz="4" w:space="0" w:color="FFFFFF" w:themeColor="background2"/>
              <w:right w:val="single" w:sz="4" w:space="0" w:color="FFFFFF" w:themeColor="background2"/>
            </w:tcBorders>
          </w:tcPr>
          <w:p w14:paraId="3587B90B" w14:textId="77777777" w:rsidR="008E147C" w:rsidRPr="009A191E" w:rsidRDefault="008E147C" w:rsidP="003C2A40">
            <w:pPr>
              <w:pStyle w:val="Bodyromannumerals"/>
              <w:rPr>
                <w:i/>
                <w:lang w:val="en-US"/>
              </w:rPr>
            </w:pPr>
            <w:r w:rsidRPr="009A191E">
              <w:rPr>
                <w:i/>
                <w:lang w:val="en-US"/>
              </w:rPr>
              <w:t>Definition:</w:t>
            </w:r>
          </w:p>
        </w:tc>
        <w:tc>
          <w:tcPr>
            <w:tcW w:w="5316" w:type="dxa"/>
            <w:gridSpan w:val="3"/>
            <w:tcBorders>
              <w:left w:val="single" w:sz="4" w:space="0" w:color="FFFFFF" w:themeColor="background2"/>
              <w:bottom w:val="single" w:sz="4" w:space="0" w:color="FFFFFF" w:themeColor="background2"/>
              <w:right w:val="single" w:sz="4" w:space="0" w:color="FFFFFF" w:themeColor="background2"/>
            </w:tcBorders>
          </w:tcPr>
          <w:p w14:paraId="32D2BC54" w14:textId="77777777" w:rsidR="008E147C" w:rsidRPr="009A191E" w:rsidRDefault="008E147C" w:rsidP="003C2A40">
            <w:pPr>
              <w:pStyle w:val="Bodyromannumerals"/>
              <w:rPr>
                <w:lang w:val="en-US"/>
              </w:rPr>
            </w:pPr>
            <w:r w:rsidRPr="009A191E">
              <w:rPr>
                <w:lang w:val="en-US"/>
              </w:rPr>
              <w:t>The equivalent population (resident) connected to the sea outfalls recorded in line A4.36. Equivalent population should be calculated on the basis of 60g BOD5 per capita per day. No account should be taken of holiday population.</w:t>
            </w:r>
          </w:p>
        </w:tc>
      </w:tr>
      <w:tr w:rsidR="008E147C" w:rsidRPr="009A191E" w14:paraId="11B02C50" w14:textId="77777777" w:rsidTr="00A61C15">
        <w:tc>
          <w:tcPr>
            <w:tcW w:w="2242" w:type="dxa"/>
            <w:gridSpan w:val="4"/>
            <w:tcBorders>
              <w:top w:val="single" w:sz="4" w:space="0" w:color="FFFFFF" w:themeColor="background2"/>
              <w:left w:val="single" w:sz="4" w:space="0" w:color="FFFFFF" w:themeColor="background2"/>
              <w:bottom w:val="single" w:sz="4" w:space="0" w:color="auto"/>
              <w:right w:val="single" w:sz="4" w:space="0" w:color="FFFFFF" w:themeColor="background2"/>
            </w:tcBorders>
          </w:tcPr>
          <w:p w14:paraId="79F1E3F6" w14:textId="77777777" w:rsidR="008E147C" w:rsidRPr="009A191E" w:rsidRDefault="008E147C" w:rsidP="003C2A40">
            <w:pPr>
              <w:pStyle w:val="Bodyromannumerals"/>
              <w:rPr>
                <w:i/>
                <w:lang w:val="en-US"/>
              </w:rPr>
            </w:pPr>
            <w:r w:rsidRPr="009A191E">
              <w:rPr>
                <w:i/>
                <w:lang w:val="en-US"/>
              </w:rPr>
              <w:t>Processing Rules:</w:t>
            </w:r>
          </w:p>
        </w:tc>
        <w:tc>
          <w:tcPr>
            <w:tcW w:w="5316" w:type="dxa"/>
            <w:gridSpan w:val="3"/>
            <w:tcBorders>
              <w:top w:val="single" w:sz="4" w:space="0" w:color="FFFFFF" w:themeColor="background2"/>
              <w:left w:val="single" w:sz="4" w:space="0" w:color="FFFFFF" w:themeColor="background2"/>
              <w:bottom w:val="single" w:sz="4" w:space="0" w:color="auto"/>
              <w:right w:val="single" w:sz="4" w:space="0" w:color="FFFFFF" w:themeColor="background2"/>
            </w:tcBorders>
          </w:tcPr>
          <w:p w14:paraId="4FC3480E" w14:textId="77777777" w:rsidR="008E147C" w:rsidRPr="009A191E" w:rsidRDefault="008E147C" w:rsidP="003C2A40">
            <w:pPr>
              <w:pStyle w:val="Bodyromannumerals"/>
              <w:rPr>
                <w:lang w:val="en-US"/>
              </w:rPr>
            </w:pPr>
            <w:r w:rsidRPr="009A191E">
              <w:rPr>
                <w:lang w:val="en-US"/>
              </w:rPr>
              <w:t>Input field</w:t>
            </w:r>
          </w:p>
        </w:tc>
      </w:tr>
      <w:tr w:rsidR="00BC3C28" w:rsidRPr="009A191E" w14:paraId="316A669A" w14:textId="77777777" w:rsidTr="00A61C15">
        <w:tc>
          <w:tcPr>
            <w:tcW w:w="1375" w:type="dxa"/>
            <w:gridSpan w:val="2"/>
            <w:tcBorders>
              <w:bottom w:val="single" w:sz="4" w:space="0" w:color="auto"/>
            </w:tcBorders>
          </w:tcPr>
          <w:p w14:paraId="272A1307" w14:textId="0A599A9F" w:rsidR="00BC3C28" w:rsidRPr="0031741A" w:rsidRDefault="00BC3C28" w:rsidP="00BC3C28">
            <w:pPr>
              <w:pStyle w:val="Bodyromannumerals"/>
              <w:rPr>
                <w:b/>
                <w:bCs/>
                <w:lang w:val="en-US"/>
              </w:rPr>
            </w:pPr>
            <w:r w:rsidRPr="003C2A40">
              <w:rPr>
                <w:b/>
                <w:bCs/>
                <w:lang w:val="en-US"/>
              </w:rPr>
              <w:t>A4.</w:t>
            </w:r>
            <w:r w:rsidR="00257DBA">
              <w:rPr>
                <w:b/>
                <w:bCs/>
                <w:lang w:val="en-US"/>
              </w:rPr>
              <w:t>40</w:t>
            </w:r>
          </w:p>
        </w:tc>
        <w:tc>
          <w:tcPr>
            <w:tcW w:w="4813" w:type="dxa"/>
            <w:gridSpan w:val="4"/>
            <w:tcBorders>
              <w:bottom w:val="single" w:sz="4" w:space="0" w:color="auto"/>
            </w:tcBorders>
          </w:tcPr>
          <w:p w14:paraId="1428ACA4" w14:textId="6725FB09" w:rsidR="00BC3C28" w:rsidRPr="00605253" w:rsidRDefault="00BC3C28" w:rsidP="00BC3C28">
            <w:pPr>
              <w:rPr>
                <w:rFonts w:ascii="Calibri" w:hAnsi="Calibri" w:cs="Calibri"/>
                <w:b/>
                <w:bCs/>
                <w:sz w:val="21"/>
                <w:szCs w:val="21"/>
                <w:lang w:val="en-US"/>
              </w:rPr>
            </w:pPr>
            <w:r w:rsidRPr="00605253">
              <w:rPr>
                <w:rFonts w:ascii="Calibri" w:hAnsi="Calibri" w:cs="Calibri"/>
                <w:b/>
                <w:bCs/>
                <w:sz w:val="21"/>
                <w:szCs w:val="21"/>
                <w:lang w:val="en-US"/>
              </w:rPr>
              <w:t xml:space="preserve">Equivalent population served by </w:t>
            </w:r>
            <w:r>
              <w:rPr>
                <w:rFonts w:ascii="Calibri" w:hAnsi="Calibri" w:cs="Calibri"/>
                <w:b/>
                <w:bCs/>
                <w:sz w:val="21"/>
                <w:szCs w:val="21"/>
                <w:lang w:val="en-US"/>
              </w:rPr>
              <w:t>other</w:t>
            </w:r>
            <w:r w:rsidRPr="00605253">
              <w:rPr>
                <w:rFonts w:ascii="Calibri" w:hAnsi="Calibri" w:cs="Calibri"/>
                <w:b/>
                <w:bCs/>
                <w:sz w:val="21"/>
                <w:szCs w:val="21"/>
                <w:lang w:val="en-US"/>
              </w:rPr>
              <w:t xml:space="preserve"> outfalls </w:t>
            </w:r>
          </w:p>
        </w:tc>
        <w:tc>
          <w:tcPr>
            <w:tcW w:w="1370" w:type="dxa"/>
            <w:tcBorders>
              <w:bottom w:val="single" w:sz="4" w:space="0" w:color="auto"/>
            </w:tcBorders>
          </w:tcPr>
          <w:p w14:paraId="7773D2C9" w14:textId="06302789" w:rsidR="00BC3C28" w:rsidRPr="0031741A" w:rsidRDefault="00BC3C28" w:rsidP="00BC3C28">
            <w:pPr>
              <w:pStyle w:val="Bodyromannumerals"/>
              <w:rPr>
                <w:b/>
                <w:bCs/>
                <w:lang w:val="en-US"/>
              </w:rPr>
            </w:pPr>
            <w:r w:rsidRPr="003C2A40">
              <w:rPr>
                <w:b/>
                <w:bCs/>
                <w:lang w:val="en-US"/>
              </w:rPr>
              <w:t>000</w:t>
            </w:r>
          </w:p>
        </w:tc>
      </w:tr>
      <w:tr w:rsidR="00BC3C28" w:rsidRPr="009A191E" w14:paraId="7C2CB351" w14:textId="77777777" w:rsidTr="00A61C15">
        <w:tc>
          <w:tcPr>
            <w:tcW w:w="1375" w:type="dxa"/>
            <w:gridSpan w:val="2"/>
            <w:tcBorders>
              <w:top w:val="single" w:sz="4" w:space="0" w:color="auto"/>
              <w:left w:val="nil"/>
              <w:bottom w:val="nil"/>
              <w:right w:val="nil"/>
            </w:tcBorders>
          </w:tcPr>
          <w:p w14:paraId="59EEE5E7" w14:textId="00695BE9" w:rsidR="00BC3C28" w:rsidRPr="0031741A" w:rsidRDefault="00BC3C28" w:rsidP="00BC3C28">
            <w:pPr>
              <w:pStyle w:val="Bodyromannumerals"/>
              <w:rPr>
                <w:b/>
                <w:bCs/>
                <w:lang w:val="en-US"/>
              </w:rPr>
            </w:pPr>
            <w:r w:rsidRPr="009A191E">
              <w:rPr>
                <w:i/>
                <w:lang w:val="en-US"/>
              </w:rPr>
              <w:t>Definition:</w:t>
            </w:r>
          </w:p>
        </w:tc>
        <w:tc>
          <w:tcPr>
            <w:tcW w:w="4813" w:type="dxa"/>
            <w:gridSpan w:val="4"/>
            <w:tcBorders>
              <w:top w:val="single" w:sz="4" w:space="0" w:color="auto"/>
              <w:left w:val="nil"/>
              <w:bottom w:val="nil"/>
              <w:right w:val="nil"/>
            </w:tcBorders>
          </w:tcPr>
          <w:p w14:paraId="3CF6C574" w14:textId="30D0E663" w:rsidR="00BC3C28" w:rsidRPr="00605253" w:rsidRDefault="00BC3C28" w:rsidP="00BC3C28">
            <w:pPr>
              <w:rPr>
                <w:rFonts w:ascii="Calibri" w:hAnsi="Calibri" w:cs="Calibri"/>
                <w:b/>
                <w:bCs/>
                <w:sz w:val="21"/>
                <w:szCs w:val="21"/>
                <w:lang w:val="en-US"/>
              </w:rPr>
            </w:pPr>
            <w:r w:rsidRPr="008B4ACD">
              <w:rPr>
                <w:rFonts w:ascii="Calibri" w:hAnsi="Calibri" w:cs="Calibri"/>
                <w:sz w:val="21"/>
                <w:szCs w:val="21"/>
                <w:lang w:val="en-US"/>
              </w:rPr>
              <w:t>The equivalent population (resident) connected to the other outfalls recorded in line A4.37. Equivalent population should be calculated on the basis of 60g BOD5 per capita per day. No account should be taken of holiday population.</w:t>
            </w:r>
          </w:p>
        </w:tc>
        <w:tc>
          <w:tcPr>
            <w:tcW w:w="1370" w:type="dxa"/>
            <w:tcBorders>
              <w:top w:val="single" w:sz="4" w:space="0" w:color="auto"/>
              <w:left w:val="nil"/>
              <w:bottom w:val="nil"/>
              <w:right w:val="nil"/>
            </w:tcBorders>
          </w:tcPr>
          <w:p w14:paraId="6201DA9D" w14:textId="77777777" w:rsidR="00BC3C28" w:rsidRPr="0031741A" w:rsidRDefault="00BC3C28" w:rsidP="00BC3C28">
            <w:pPr>
              <w:pStyle w:val="Bodyromannumerals"/>
              <w:rPr>
                <w:b/>
                <w:bCs/>
                <w:lang w:val="en-US"/>
              </w:rPr>
            </w:pPr>
          </w:p>
        </w:tc>
      </w:tr>
      <w:tr w:rsidR="00BC3C28" w:rsidRPr="009A191E" w14:paraId="6023083D" w14:textId="77777777" w:rsidTr="008B4ACD">
        <w:tc>
          <w:tcPr>
            <w:tcW w:w="1375" w:type="dxa"/>
            <w:gridSpan w:val="2"/>
            <w:tcBorders>
              <w:top w:val="nil"/>
              <w:left w:val="nil"/>
              <w:bottom w:val="single" w:sz="4" w:space="0" w:color="auto"/>
              <w:right w:val="nil"/>
            </w:tcBorders>
          </w:tcPr>
          <w:p w14:paraId="59E8150C" w14:textId="0B1E426F" w:rsidR="00BC3C28" w:rsidRPr="0031741A" w:rsidRDefault="00BC3C28" w:rsidP="00BC3C28">
            <w:pPr>
              <w:pStyle w:val="Bodyromannumerals"/>
              <w:rPr>
                <w:b/>
                <w:bCs/>
                <w:lang w:val="en-US"/>
              </w:rPr>
            </w:pPr>
            <w:r w:rsidRPr="009A191E">
              <w:rPr>
                <w:i/>
                <w:lang w:val="en-US"/>
              </w:rPr>
              <w:t>Processing Rules:</w:t>
            </w:r>
          </w:p>
        </w:tc>
        <w:tc>
          <w:tcPr>
            <w:tcW w:w="4813" w:type="dxa"/>
            <w:gridSpan w:val="4"/>
            <w:tcBorders>
              <w:top w:val="nil"/>
              <w:left w:val="nil"/>
              <w:bottom w:val="single" w:sz="4" w:space="0" w:color="auto"/>
              <w:right w:val="nil"/>
            </w:tcBorders>
          </w:tcPr>
          <w:p w14:paraId="377C597B" w14:textId="22E7453D" w:rsidR="00BC3C28" w:rsidRPr="00605253" w:rsidRDefault="00BC3C28" w:rsidP="00BC3C28">
            <w:pPr>
              <w:rPr>
                <w:rFonts w:ascii="Calibri" w:hAnsi="Calibri" w:cs="Calibri"/>
                <w:b/>
                <w:bCs/>
                <w:sz w:val="21"/>
                <w:szCs w:val="21"/>
                <w:lang w:val="en-US"/>
              </w:rPr>
            </w:pPr>
            <w:r w:rsidRPr="009A191E">
              <w:rPr>
                <w:lang w:val="en-US"/>
              </w:rPr>
              <w:t>Input field</w:t>
            </w:r>
          </w:p>
        </w:tc>
        <w:tc>
          <w:tcPr>
            <w:tcW w:w="1370" w:type="dxa"/>
            <w:tcBorders>
              <w:top w:val="nil"/>
              <w:left w:val="nil"/>
              <w:bottom w:val="single" w:sz="4" w:space="0" w:color="auto"/>
              <w:right w:val="nil"/>
            </w:tcBorders>
          </w:tcPr>
          <w:p w14:paraId="3881A1A5" w14:textId="77777777" w:rsidR="00BC3C28" w:rsidRPr="0031741A" w:rsidRDefault="00BC3C28" w:rsidP="00BC3C28">
            <w:pPr>
              <w:pStyle w:val="Bodyromannumerals"/>
              <w:rPr>
                <w:b/>
                <w:bCs/>
                <w:lang w:val="en-US"/>
              </w:rPr>
            </w:pPr>
          </w:p>
        </w:tc>
      </w:tr>
      <w:tr w:rsidR="00BC3C28" w:rsidRPr="009A191E" w14:paraId="79D2D2CA" w14:textId="77777777" w:rsidTr="008B4ACD">
        <w:tc>
          <w:tcPr>
            <w:tcW w:w="1375" w:type="dxa"/>
            <w:gridSpan w:val="2"/>
            <w:tcBorders>
              <w:top w:val="single" w:sz="4" w:space="0" w:color="auto"/>
            </w:tcBorders>
          </w:tcPr>
          <w:p w14:paraId="2EA0A9C4" w14:textId="26DB5220" w:rsidR="00BC3C28" w:rsidRPr="0031741A" w:rsidRDefault="00BC3C28" w:rsidP="00BC3C28">
            <w:pPr>
              <w:pStyle w:val="Bodyromannumerals"/>
              <w:rPr>
                <w:b/>
                <w:bCs/>
                <w:lang w:val="en-US"/>
              </w:rPr>
            </w:pPr>
            <w:r w:rsidRPr="0031741A">
              <w:rPr>
                <w:b/>
                <w:bCs/>
                <w:lang w:val="en-US"/>
              </w:rPr>
              <w:lastRenderedPageBreak/>
              <w:t>A4.</w:t>
            </w:r>
            <w:r>
              <w:rPr>
                <w:b/>
                <w:bCs/>
                <w:lang w:val="en-US"/>
              </w:rPr>
              <w:t>4</w:t>
            </w:r>
            <w:r w:rsidR="00257DBA">
              <w:rPr>
                <w:b/>
                <w:bCs/>
                <w:lang w:val="en-US"/>
              </w:rPr>
              <w:t>1</w:t>
            </w:r>
          </w:p>
        </w:tc>
        <w:tc>
          <w:tcPr>
            <w:tcW w:w="4813" w:type="dxa"/>
            <w:gridSpan w:val="4"/>
            <w:tcBorders>
              <w:top w:val="single" w:sz="4" w:space="0" w:color="auto"/>
            </w:tcBorders>
          </w:tcPr>
          <w:p w14:paraId="649DA096" w14:textId="5DD56B63" w:rsidR="00BC3C28" w:rsidRPr="00605253" w:rsidRDefault="00BC3C28" w:rsidP="00BC3C28">
            <w:pPr>
              <w:rPr>
                <w:rFonts w:ascii="Calibri" w:hAnsi="Calibri" w:cs="Calibri"/>
                <w:b/>
                <w:bCs/>
                <w:sz w:val="21"/>
                <w:szCs w:val="21"/>
                <w:lang w:val="en-US"/>
              </w:rPr>
            </w:pPr>
            <w:r w:rsidRPr="00605253">
              <w:rPr>
                <w:rFonts w:ascii="Calibri" w:hAnsi="Calibri" w:cs="Calibri"/>
                <w:b/>
                <w:bCs/>
                <w:sz w:val="21"/>
                <w:szCs w:val="21"/>
                <w:lang w:val="en-US"/>
              </w:rPr>
              <w:t xml:space="preserve">Number of unsatisfactory sea outfalls </w:t>
            </w:r>
          </w:p>
        </w:tc>
        <w:tc>
          <w:tcPr>
            <w:tcW w:w="1370" w:type="dxa"/>
            <w:tcBorders>
              <w:top w:val="single" w:sz="4" w:space="0" w:color="auto"/>
            </w:tcBorders>
          </w:tcPr>
          <w:p w14:paraId="0E269946" w14:textId="77777777" w:rsidR="00BC3C28" w:rsidRPr="0031741A" w:rsidRDefault="00BC3C28" w:rsidP="00BC3C28">
            <w:pPr>
              <w:pStyle w:val="Bodyromannumerals"/>
              <w:rPr>
                <w:b/>
                <w:bCs/>
                <w:lang w:val="en-US"/>
              </w:rPr>
            </w:pPr>
            <w:r w:rsidRPr="0031741A">
              <w:rPr>
                <w:b/>
                <w:bCs/>
                <w:lang w:val="en-US"/>
              </w:rPr>
              <w:t>Nr.</w:t>
            </w:r>
          </w:p>
        </w:tc>
      </w:tr>
      <w:tr w:rsidR="00BC3C28" w:rsidRPr="009A191E" w14:paraId="05D1211A" w14:textId="77777777" w:rsidTr="00257DBA">
        <w:tc>
          <w:tcPr>
            <w:tcW w:w="2242" w:type="dxa"/>
            <w:gridSpan w:val="4"/>
            <w:tcBorders>
              <w:left w:val="single" w:sz="4" w:space="0" w:color="FFFFFF" w:themeColor="background2"/>
              <w:bottom w:val="single" w:sz="4" w:space="0" w:color="FFFFFF" w:themeColor="background2"/>
              <w:right w:val="single" w:sz="4" w:space="0" w:color="FFFFFF" w:themeColor="background2"/>
            </w:tcBorders>
          </w:tcPr>
          <w:p w14:paraId="27ED90B6" w14:textId="77777777" w:rsidR="00BC3C28" w:rsidRPr="009A191E" w:rsidRDefault="00BC3C28" w:rsidP="00BC3C28">
            <w:pPr>
              <w:pStyle w:val="Bodyromannumerals"/>
              <w:rPr>
                <w:i/>
                <w:lang w:val="en-US"/>
              </w:rPr>
            </w:pPr>
            <w:r w:rsidRPr="009A191E">
              <w:rPr>
                <w:i/>
                <w:lang w:val="en-US"/>
              </w:rPr>
              <w:t>Definition:</w:t>
            </w:r>
          </w:p>
        </w:tc>
        <w:tc>
          <w:tcPr>
            <w:tcW w:w="5316" w:type="dxa"/>
            <w:gridSpan w:val="3"/>
            <w:tcBorders>
              <w:left w:val="single" w:sz="4" w:space="0" w:color="FFFFFF" w:themeColor="background2"/>
              <w:bottom w:val="single" w:sz="4" w:space="0" w:color="FFFFFF" w:themeColor="background2"/>
              <w:right w:val="single" w:sz="4" w:space="0" w:color="FFFFFF" w:themeColor="background2"/>
            </w:tcBorders>
          </w:tcPr>
          <w:p w14:paraId="176BFBC0" w14:textId="37AEE9B0" w:rsidR="00BC3C28" w:rsidRPr="009A191E" w:rsidRDefault="00BC3C28" w:rsidP="00BC3C28">
            <w:pPr>
              <w:pStyle w:val="Bodyromannumerals"/>
              <w:rPr>
                <w:lang w:val="en-US"/>
              </w:rPr>
            </w:pPr>
            <w:r w:rsidRPr="009A191E">
              <w:rPr>
                <w:lang w:val="en-US"/>
              </w:rPr>
              <w:t>A sea outfall will be considered unsatisfactory if</w:t>
            </w:r>
            <w:r>
              <w:rPr>
                <w:lang w:val="en-US"/>
              </w:rPr>
              <w:t xml:space="preserve"> </w:t>
            </w:r>
            <w:r w:rsidRPr="009A191E">
              <w:rPr>
                <w:lang w:val="en-US"/>
              </w:rPr>
              <w:t xml:space="preserve">the consent conditions </w:t>
            </w:r>
            <w:r>
              <w:rPr>
                <w:lang w:val="en-US"/>
              </w:rPr>
              <w:t>for the treatment plants</w:t>
            </w:r>
            <w:r w:rsidRPr="009A191E">
              <w:rPr>
                <w:lang w:val="en-US"/>
              </w:rPr>
              <w:t xml:space="preserve"> are breached</w:t>
            </w:r>
            <w:r>
              <w:rPr>
                <w:lang w:val="en-US"/>
              </w:rPr>
              <w:t>.</w:t>
            </w:r>
          </w:p>
          <w:p w14:paraId="24A5C05B" w14:textId="2D169D4E" w:rsidR="00BC3C28" w:rsidRPr="009A191E" w:rsidRDefault="00BC3C28" w:rsidP="00BC3C28">
            <w:pPr>
              <w:pStyle w:val="Bodyromannumerals"/>
              <w:rPr>
                <w:lang w:val="en-US"/>
              </w:rPr>
            </w:pPr>
          </w:p>
        </w:tc>
      </w:tr>
      <w:tr w:rsidR="00BC3C28" w:rsidRPr="009A191E" w14:paraId="1CD0E0DE" w14:textId="77777777" w:rsidTr="00257DBA">
        <w:tc>
          <w:tcPr>
            <w:tcW w:w="2242" w:type="dxa"/>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2EFA535" w14:textId="77777777" w:rsidR="00BC3C28" w:rsidRPr="009A191E" w:rsidRDefault="00BC3C28" w:rsidP="00BC3C28">
            <w:pPr>
              <w:pStyle w:val="Bodyromannumerals"/>
              <w:rPr>
                <w:i/>
                <w:lang w:val="en-US"/>
              </w:rPr>
            </w:pPr>
            <w:r w:rsidRPr="009A191E">
              <w:rPr>
                <w:i/>
                <w:lang w:val="en-US"/>
              </w:rPr>
              <w:t>Processing Rules:</w:t>
            </w:r>
          </w:p>
        </w:tc>
        <w:tc>
          <w:tcPr>
            <w:tcW w:w="5316"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EA1B605" w14:textId="77777777" w:rsidR="00BC3C28" w:rsidRPr="009A191E" w:rsidRDefault="00BC3C28" w:rsidP="00BC3C28">
            <w:pPr>
              <w:pStyle w:val="Bodyromannumerals"/>
              <w:rPr>
                <w:lang w:val="en-US"/>
              </w:rPr>
            </w:pPr>
            <w:r w:rsidRPr="009A191E">
              <w:rPr>
                <w:lang w:val="en-US"/>
              </w:rPr>
              <w:t>Input field</w:t>
            </w:r>
          </w:p>
        </w:tc>
      </w:tr>
      <w:tr w:rsidR="00257DBA" w:rsidRPr="0031741A" w14:paraId="09E7F450" w14:textId="77777777" w:rsidTr="00257DBA">
        <w:tc>
          <w:tcPr>
            <w:tcW w:w="1375" w:type="dxa"/>
            <w:gridSpan w:val="2"/>
          </w:tcPr>
          <w:p w14:paraId="3B7CB8D3" w14:textId="63E99B11" w:rsidR="00257DBA" w:rsidRPr="0031741A" w:rsidRDefault="00257DBA" w:rsidP="00BB5A05">
            <w:pPr>
              <w:pStyle w:val="Bodyromannumerals"/>
              <w:rPr>
                <w:b/>
                <w:bCs/>
                <w:lang w:val="en-US"/>
              </w:rPr>
            </w:pPr>
            <w:r w:rsidRPr="0031741A">
              <w:rPr>
                <w:b/>
                <w:bCs/>
                <w:lang w:val="en-US"/>
              </w:rPr>
              <w:t>A4.</w:t>
            </w:r>
            <w:r>
              <w:rPr>
                <w:b/>
                <w:bCs/>
                <w:lang w:val="en-US"/>
              </w:rPr>
              <w:t>42</w:t>
            </w:r>
          </w:p>
        </w:tc>
        <w:tc>
          <w:tcPr>
            <w:tcW w:w="4813" w:type="dxa"/>
            <w:gridSpan w:val="4"/>
          </w:tcPr>
          <w:p w14:paraId="3ACB5C7B" w14:textId="56615E71" w:rsidR="00257DBA" w:rsidRPr="00605253" w:rsidRDefault="00257DBA" w:rsidP="00BB5A05">
            <w:pPr>
              <w:rPr>
                <w:rFonts w:ascii="Calibri" w:hAnsi="Calibri" w:cs="Calibri"/>
                <w:b/>
                <w:bCs/>
                <w:sz w:val="21"/>
                <w:szCs w:val="21"/>
                <w:lang w:val="en-US"/>
              </w:rPr>
            </w:pPr>
            <w:r w:rsidRPr="00605253">
              <w:rPr>
                <w:rFonts w:ascii="Calibri" w:hAnsi="Calibri" w:cs="Calibri"/>
                <w:b/>
                <w:bCs/>
                <w:sz w:val="21"/>
                <w:szCs w:val="21"/>
                <w:lang w:val="en-US"/>
              </w:rPr>
              <w:t xml:space="preserve">Number of unsatisfactory </w:t>
            </w:r>
            <w:r>
              <w:rPr>
                <w:rFonts w:ascii="Calibri" w:hAnsi="Calibri" w:cs="Calibri"/>
                <w:b/>
                <w:bCs/>
                <w:sz w:val="21"/>
                <w:szCs w:val="21"/>
                <w:lang w:val="en-US"/>
              </w:rPr>
              <w:t>other</w:t>
            </w:r>
            <w:r w:rsidRPr="00605253">
              <w:rPr>
                <w:rFonts w:ascii="Calibri" w:hAnsi="Calibri" w:cs="Calibri"/>
                <w:b/>
                <w:bCs/>
                <w:sz w:val="21"/>
                <w:szCs w:val="21"/>
                <w:lang w:val="en-US"/>
              </w:rPr>
              <w:t xml:space="preserve"> outfalls </w:t>
            </w:r>
          </w:p>
        </w:tc>
        <w:tc>
          <w:tcPr>
            <w:tcW w:w="1370" w:type="dxa"/>
          </w:tcPr>
          <w:p w14:paraId="26A7AEC1" w14:textId="77777777" w:rsidR="00257DBA" w:rsidRPr="0031741A" w:rsidRDefault="00257DBA" w:rsidP="00BB5A05">
            <w:pPr>
              <w:pStyle w:val="Bodyromannumerals"/>
              <w:rPr>
                <w:b/>
                <w:bCs/>
                <w:lang w:val="en-US"/>
              </w:rPr>
            </w:pPr>
            <w:r w:rsidRPr="0031741A">
              <w:rPr>
                <w:b/>
                <w:bCs/>
                <w:lang w:val="en-US"/>
              </w:rPr>
              <w:t>Nr.</w:t>
            </w:r>
          </w:p>
        </w:tc>
      </w:tr>
      <w:tr w:rsidR="00257DBA" w:rsidRPr="009A191E" w14:paraId="41825D43" w14:textId="77777777" w:rsidTr="00257DBA">
        <w:tc>
          <w:tcPr>
            <w:tcW w:w="2242" w:type="dxa"/>
            <w:gridSpan w:val="4"/>
            <w:tcBorders>
              <w:left w:val="single" w:sz="4" w:space="0" w:color="FFFFFF" w:themeColor="background2"/>
              <w:bottom w:val="single" w:sz="4" w:space="0" w:color="FFFFFF" w:themeColor="background2"/>
              <w:right w:val="single" w:sz="4" w:space="0" w:color="FFFFFF" w:themeColor="background2"/>
            </w:tcBorders>
          </w:tcPr>
          <w:p w14:paraId="22945E81" w14:textId="77777777" w:rsidR="00257DBA" w:rsidRPr="009A191E" w:rsidRDefault="00257DBA" w:rsidP="00BB5A05">
            <w:pPr>
              <w:pStyle w:val="Bodyromannumerals"/>
              <w:rPr>
                <w:i/>
                <w:lang w:val="en-US"/>
              </w:rPr>
            </w:pPr>
            <w:r w:rsidRPr="009A191E">
              <w:rPr>
                <w:i/>
                <w:lang w:val="en-US"/>
              </w:rPr>
              <w:t>Definition:</w:t>
            </w:r>
          </w:p>
        </w:tc>
        <w:tc>
          <w:tcPr>
            <w:tcW w:w="5316" w:type="dxa"/>
            <w:gridSpan w:val="3"/>
            <w:tcBorders>
              <w:left w:val="single" w:sz="4" w:space="0" w:color="FFFFFF" w:themeColor="background2"/>
              <w:bottom w:val="single" w:sz="4" w:space="0" w:color="FFFFFF" w:themeColor="background2"/>
              <w:right w:val="single" w:sz="4" w:space="0" w:color="FFFFFF" w:themeColor="background2"/>
            </w:tcBorders>
          </w:tcPr>
          <w:p w14:paraId="30FA529B" w14:textId="3EAB234E" w:rsidR="00257DBA" w:rsidRPr="009A191E" w:rsidRDefault="00257DBA" w:rsidP="00BB5A05">
            <w:pPr>
              <w:pStyle w:val="Bodyromannumerals"/>
              <w:rPr>
                <w:lang w:val="en-US"/>
              </w:rPr>
            </w:pPr>
            <w:r>
              <w:rPr>
                <w:lang w:val="en-US"/>
              </w:rPr>
              <w:t>Other</w:t>
            </w:r>
            <w:r w:rsidRPr="009A191E">
              <w:rPr>
                <w:lang w:val="en-US"/>
              </w:rPr>
              <w:t xml:space="preserve"> </w:t>
            </w:r>
            <w:r>
              <w:rPr>
                <w:lang w:val="en-US"/>
              </w:rPr>
              <w:t xml:space="preserve">categories of </w:t>
            </w:r>
            <w:r w:rsidRPr="009A191E">
              <w:rPr>
                <w:lang w:val="en-US"/>
              </w:rPr>
              <w:t xml:space="preserve">outfall </w:t>
            </w:r>
            <w:r>
              <w:rPr>
                <w:lang w:val="en-US"/>
              </w:rPr>
              <w:t xml:space="preserve">(e.g. </w:t>
            </w:r>
            <w:r w:rsidRPr="00605253">
              <w:rPr>
                <w:lang w:val="en-US"/>
              </w:rPr>
              <w:t>river outfalls</w:t>
            </w:r>
            <w:r>
              <w:rPr>
                <w:lang w:val="en-US"/>
              </w:rPr>
              <w:t xml:space="preserve"> and</w:t>
            </w:r>
            <w:r w:rsidRPr="00605253">
              <w:rPr>
                <w:lang w:val="en-US"/>
              </w:rPr>
              <w:t xml:space="preserve"> freshwater lake outfalls</w:t>
            </w:r>
            <w:r>
              <w:rPr>
                <w:lang w:val="en-US"/>
              </w:rPr>
              <w:t>)</w:t>
            </w:r>
            <w:r w:rsidRPr="009A191E">
              <w:rPr>
                <w:lang w:val="en-US"/>
              </w:rPr>
              <w:t xml:space="preserve"> will be considered unsatisfactory if</w:t>
            </w:r>
            <w:r>
              <w:rPr>
                <w:lang w:val="en-US"/>
              </w:rPr>
              <w:t xml:space="preserve"> </w:t>
            </w:r>
            <w:r w:rsidRPr="009A191E">
              <w:rPr>
                <w:lang w:val="en-US"/>
              </w:rPr>
              <w:t xml:space="preserve">the consent conditions </w:t>
            </w:r>
            <w:r>
              <w:rPr>
                <w:lang w:val="en-US"/>
              </w:rPr>
              <w:t>for the treatment plants</w:t>
            </w:r>
            <w:r w:rsidRPr="009A191E">
              <w:rPr>
                <w:lang w:val="en-US"/>
              </w:rPr>
              <w:t xml:space="preserve"> are breached</w:t>
            </w:r>
            <w:r>
              <w:rPr>
                <w:lang w:val="en-US"/>
              </w:rPr>
              <w:t>.</w:t>
            </w:r>
          </w:p>
          <w:p w14:paraId="0E3FD2B0" w14:textId="77777777" w:rsidR="00257DBA" w:rsidRPr="009A191E" w:rsidRDefault="00257DBA" w:rsidP="00BB5A05">
            <w:pPr>
              <w:pStyle w:val="Bodyromannumerals"/>
              <w:rPr>
                <w:lang w:val="en-US"/>
              </w:rPr>
            </w:pPr>
          </w:p>
        </w:tc>
      </w:tr>
      <w:tr w:rsidR="00257DBA" w:rsidRPr="009A191E" w14:paraId="66793E43" w14:textId="77777777" w:rsidTr="00257DBA">
        <w:tc>
          <w:tcPr>
            <w:tcW w:w="2242" w:type="dxa"/>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140BD70" w14:textId="77777777" w:rsidR="00257DBA" w:rsidRPr="009A191E" w:rsidRDefault="00257DBA" w:rsidP="00BB5A05">
            <w:pPr>
              <w:pStyle w:val="Bodyromannumerals"/>
              <w:rPr>
                <w:i/>
                <w:lang w:val="en-US"/>
              </w:rPr>
            </w:pPr>
            <w:r w:rsidRPr="009A191E">
              <w:rPr>
                <w:i/>
                <w:lang w:val="en-US"/>
              </w:rPr>
              <w:t>Processing Rules:</w:t>
            </w:r>
          </w:p>
        </w:tc>
        <w:tc>
          <w:tcPr>
            <w:tcW w:w="5316"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BB05351" w14:textId="77777777" w:rsidR="00257DBA" w:rsidRPr="009A191E" w:rsidRDefault="00257DBA" w:rsidP="00BB5A05">
            <w:pPr>
              <w:pStyle w:val="Bodyromannumerals"/>
              <w:rPr>
                <w:lang w:val="en-US"/>
              </w:rPr>
            </w:pPr>
            <w:r w:rsidRPr="009A191E">
              <w:rPr>
                <w:lang w:val="en-US"/>
              </w:rPr>
              <w:t>Input field</w:t>
            </w:r>
          </w:p>
        </w:tc>
      </w:tr>
      <w:tr w:rsidR="008E147C" w:rsidRPr="009A191E" w14:paraId="6A79DC01" w14:textId="77777777" w:rsidTr="01C192FA">
        <w:tc>
          <w:tcPr>
            <w:tcW w:w="1095" w:type="dxa"/>
          </w:tcPr>
          <w:p w14:paraId="144F72A7" w14:textId="1A85792B" w:rsidR="008E147C" w:rsidRPr="0031741A" w:rsidRDefault="008E147C" w:rsidP="0031741A">
            <w:pPr>
              <w:pStyle w:val="Bodyromannumerals"/>
              <w:rPr>
                <w:b/>
                <w:bCs/>
                <w:lang w:val="en-US"/>
              </w:rPr>
            </w:pPr>
            <w:r w:rsidRPr="0031741A">
              <w:rPr>
                <w:b/>
                <w:bCs/>
                <w:lang w:val="en-US"/>
              </w:rPr>
              <w:t>A4.4</w:t>
            </w:r>
            <w:r w:rsidR="00641130">
              <w:rPr>
                <w:b/>
                <w:bCs/>
                <w:lang w:val="en-US"/>
              </w:rPr>
              <w:t>3</w:t>
            </w:r>
          </w:p>
        </w:tc>
        <w:tc>
          <w:tcPr>
            <w:tcW w:w="5068" w:type="dxa"/>
            <w:gridSpan w:val="4"/>
          </w:tcPr>
          <w:p w14:paraId="46EE2784" w14:textId="58B589BA" w:rsidR="008E147C" w:rsidRPr="0031741A" w:rsidRDefault="008E147C" w:rsidP="0031741A">
            <w:pPr>
              <w:pStyle w:val="Bodyromannumerals"/>
              <w:rPr>
                <w:b/>
                <w:bCs/>
                <w:lang w:val="en-US"/>
              </w:rPr>
            </w:pPr>
            <w:r w:rsidRPr="0031741A">
              <w:rPr>
                <w:b/>
                <w:bCs/>
                <w:lang w:val="en-US"/>
              </w:rPr>
              <w:t>Equivalent population served by unsatisfactory sea outfalls</w:t>
            </w:r>
            <w:r w:rsidR="001F7485">
              <w:rPr>
                <w:b/>
                <w:bCs/>
                <w:lang w:val="en-US"/>
              </w:rPr>
              <w:t xml:space="preserve"> </w:t>
            </w:r>
          </w:p>
        </w:tc>
        <w:tc>
          <w:tcPr>
            <w:tcW w:w="1395" w:type="dxa"/>
            <w:gridSpan w:val="2"/>
          </w:tcPr>
          <w:p w14:paraId="396ECB4B" w14:textId="77777777" w:rsidR="008E147C" w:rsidRPr="0031741A" w:rsidRDefault="008E147C" w:rsidP="0031741A">
            <w:pPr>
              <w:pStyle w:val="Bodyromannumerals"/>
              <w:rPr>
                <w:b/>
                <w:bCs/>
                <w:lang w:val="en-US"/>
              </w:rPr>
            </w:pPr>
            <w:r w:rsidRPr="0031741A">
              <w:rPr>
                <w:b/>
                <w:bCs/>
                <w:lang w:val="en-US"/>
              </w:rPr>
              <w:t>000</w:t>
            </w:r>
          </w:p>
        </w:tc>
      </w:tr>
      <w:tr w:rsidR="008E147C" w:rsidRPr="009A191E" w14:paraId="1A7E5A0D" w14:textId="77777777" w:rsidTr="01C192FA">
        <w:tc>
          <w:tcPr>
            <w:tcW w:w="1993" w:type="dxa"/>
            <w:gridSpan w:val="3"/>
            <w:tcBorders>
              <w:left w:val="single" w:sz="4" w:space="0" w:color="FFFFFF" w:themeColor="background2"/>
              <w:bottom w:val="single" w:sz="4" w:space="0" w:color="FFFFFF" w:themeColor="background2"/>
              <w:right w:val="single" w:sz="4" w:space="0" w:color="FFFFFF" w:themeColor="background2"/>
            </w:tcBorders>
          </w:tcPr>
          <w:p w14:paraId="5FF9F172" w14:textId="77777777" w:rsidR="008E147C" w:rsidRPr="009A191E" w:rsidRDefault="008E147C" w:rsidP="0031741A">
            <w:pPr>
              <w:pStyle w:val="Bodyromannumerals"/>
              <w:rPr>
                <w:i/>
                <w:lang w:val="en-US"/>
              </w:rPr>
            </w:pPr>
            <w:r w:rsidRPr="009A191E">
              <w:rPr>
                <w:i/>
                <w:lang w:val="en-US"/>
              </w:rPr>
              <w:t>Definition:</w:t>
            </w:r>
          </w:p>
        </w:tc>
        <w:tc>
          <w:tcPr>
            <w:tcW w:w="5565" w:type="dxa"/>
            <w:gridSpan w:val="4"/>
            <w:tcBorders>
              <w:left w:val="single" w:sz="4" w:space="0" w:color="FFFFFF" w:themeColor="background2"/>
              <w:bottom w:val="single" w:sz="4" w:space="0" w:color="FFFFFF" w:themeColor="background2"/>
              <w:right w:val="single" w:sz="4" w:space="0" w:color="FFFFFF" w:themeColor="background2"/>
            </w:tcBorders>
          </w:tcPr>
          <w:p w14:paraId="12B08F83" w14:textId="0D86281D" w:rsidR="008E147C" w:rsidRPr="009A191E" w:rsidRDefault="008E147C" w:rsidP="0031741A">
            <w:pPr>
              <w:pStyle w:val="Bodyromannumerals"/>
              <w:rPr>
                <w:lang w:val="en-US"/>
              </w:rPr>
            </w:pPr>
            <w:r w:rsidRPr="009A191E">
              <w:rPr>
                <w:lang w:val="en-US"/>
              </w:rPr>
              <w:t>The equivalent population (resident) connected to the unsatisfactory sea outfalls recorded in line A4.</w:t>
            </w:r>
            <w:r w:rsidR="00641130">
              <w:rPr>
                <w:lang w:val="en-US"/>
              </w:rPr>
              <w:t>41</w:t>
            </w:r>
            <w:r w:rsidRPr="009A191E">
              <w:rPr>
                <w:lang w:val="en-US"/>
              </w:rPr>
              <w:t>. Equivalent population should be calculated on the basis of 60g BOD5 per capita per day. No account should be taken of holiday population.</w:t>
            </w:r>
          </w:p>
        </w:tc>
      </w:tr>
      <w:tr w:rsidR="008E147C" w:rsidRPr="009A191E" w14:paraId="4C801CAC" w14:textId="77777777" w:rsidTr="01C192FA">
        <w:tc>
          <w:tcPr>
            <w:tcW w:w="1993"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C5166CE" w14:textId="77777777" w:rsidR="008E147C" w:rsidRPr="009A191E" w:rsidRDefault="008E147C" w:rsidP="0031741A">
            <w:pPr>
              <w:pStyle w:val="Bodyromannumerals"/>
              <w:rPr>
                <w:i/>
                <w:lang w:val="en-US"/>
              </w:rPr>
            </w:pPr>
            <w:r w:rsidRPr="009A191E">
              <w:rPr>
                <w:i/>
                <w:lang w:val="en-US"/>
              </w:rPr>
              <w:t>Processing Rules:</w:t>
            </w:r>
          </w:p>
        </w:tc>
        <w:tc>
          <w:tcPr>
            <w:tcW w:w="5565" w:type="dxa"/>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9E1F4FB" w14:textId="77777777" w:rsidR="008E147C" w:rsidRPr="009A191E" w:rsidRDefault="008E147C" w:rsidP="0031741A">
            <w:pPr>
              <w:pStyle w:val="Bodyromannumerals"/>
              <w:rPr>
                <w:lang w:val="en-US"/>
              </w:rPr>
            </w:pPr>
            <w:r w:rsidRPr="009A191E">
              <w:rPr>
                <w:lang w:val="en-US"/>
              </w:rPr>
              <w:t>Input field</w:t>
            </w:r>
          </w:p>
        </w:tc>
      </w:tr>
      <w:tr w:rsidR="00641130" w:rsidRPr="0031741A" w14:paraId="5F4D5383" w14:textId="77777777" w:rsidTr="009F0A88">
        <w:tc>
          <w:tcPr>
            <w:tcW w:w="1095" w:type="dxa"/>
          </w:tcPr>
          <w:p w14:paraId="33BBF916" w14:textId="06B3A619" w:rsidR="00641130" w:rsidRPr="0031741A" w:rsidRDefault="00641130" w:rsidP="009F0A88">
            <w:pPr>
              <w:pStyle w:val="Bodyromannumerals"/>
              <w:rPr>
                <w:b/>
                <w:bCs/>
                <w:lang w:val="en-US"/>
              </w:rPr>
            </w:pPr>
            <w:r w:rsidRPr="0031741A">
              <w:rPr>
                <w:b/>
                <w:bCs/>
                <w:lang w:val="en-US"/>
              </w:rPr>
              <w:t>A4.4</w:t>
            </w:r>
            <w:r>
              <w:rPr>
                <w:b/>
                <w:bCs/>
                <w:lang w:val="en-US"/>
              </w:rPr>
              <w:t>4</w:t>
            </w:r>
          </w:p>
        </w:tc>
        <w:tc>
          <w:tcPr>
            <w:tcW w:w="5068" w:type="dxa"/>
            <w:gridSpan w:val="4"/>
          </w:tcPr>
          <w:p w14:paraId="4D4F8F97" w14:textId="2D9125EF" w:rsidR="00641130" w:rsidRPr="0031741A" w:rsidRDefault="00641130" w:rsidP="009F0A88">
            <w:pPr>
              <w:pStyle w:val="Bodyromannumerals"/>
              <w:rPr>
                <w:b/>
                <w:bCs/>
                <w:lang w:val="en-US"/>
              </w:rPr>
            </w:pPr>
            <w:r w:rsidRPr="0031741A">
              <w:rPr>
                <w:b/>
                <w:bCs/>
                <w:lang w:val="en-US"/>
              </w:rPr>
              <w:t xml:space="preserve">Equivalent population served by unsatisfactory </w:t>
            </w:r>
            <w:r>
              <w:rPr>
                <w:b/>
                <w:bCs/>
                <w:lang w:val="en-US"/>
              </w:rPr>
              <w:t>other</w:t>
            </w:r>
            <w:r w:rsidRPr="0031741A">
              <w:rPr>
                <w:b/>
                <w:bCs/>
                <w:lang w:val="en-US"/>
              </w:rPr>
              <w:t xml:space="preserve"> outfalls</w:t>
            </w:r>
            <w:r>
              <w:rPr>
                <w:b/>
                <w:bCs/>
                <w:lang w:val="en-US"/>
              </w:rPr>
              <w:t xml:space="preserve"> </w:t>
            </w:r>
          </w:p>
        </w:tc>
        <w:tc>
          <w:tcPr>
            <w:tcW w:w="1395" w:type="dxa"/>
            <w:gridSpan w:val="2"/>
          </w:tcPr>
          <w:p w14:paraId="00448274" w14:textId="77777777" w:rsidR="00641130" w:rsidRPr="0031741A" w:rsidRDefault="00641130" w:rsidP="009F0A88">
            <w:pPr>
              <w:pStyle w:val="Bodyromannumerals"/>
              <w:rPr>
                <w:b/>
                <w:bCs/>
                <w:lang w:val="en-US"/>
              </w:rPr>
            </w:pPr>
            <w:r w:rsidRPr="0031741A">
              <w:rPr>
                <w:b/>
                <w:bCs/>
                <w:lang w:val="en-US"/>
              </w:rPr>
              <w:t>000</w:t>
            </w:r>
          </w:p>
        </w:tc>
      </w:tr>
      <w:tr w:rsidR="00641130" w:rsidRPr="009A191E" w14:paraId="4DC56B66" w14:textId="77777777" w:rsidTr="009F0A88">
        <w:tc>
          <w:tcPr>
            <w:tcW w:w="1993" w:type="dxa"/>
            <w:gridSpan w:val="3"/>
            <w:tcBorders>
              <w:left w:val="single" w:sz="4" w:space="0" w:color="FFFFFF" w:themeColor="background2"/>
              <w:bottom w:val="single" w:sz="4" w:space="0" w:color="FFFFFF" w:themeColor="background2"/>
              <w:right w:val="single" w:sz="4" w:space="0" w:color="FFFFFF" w:themeColor="background2"/>
            </w:tcBorders>
          </w:tcPr>
          <w:p w14:paraId="3489AB59" w14:textId="77777777" w:rsidR="00641130" w:rsidRPr="009A191E" w:rsidRDefault="00641130" w:rsidP="009F0A88">
            <w:pPr>
              <w:pStyle w:val="Bodyromannumerals"/>
              <w:rPr>
                <w:i/>
                <w:lang w:val="en-US"/>
              </w:rPr>
            </w:pPr>
            <w:r w:rsidRPr="009A191E">
              <w:rPr>
                <w:i/>
                <w:lang w:val="en-US"/>
              </w:rPr>
              <w:t>Definition:</w:t>
            </w:r>
          </w:p>
        </w:tc>
        <w:tc>
          <w:tcPr>
            <w:tcW w:w="5565" w:type="dxa"/>
            <w:gridSpan w:val="4"/>
            <w:tcBorders>
              <w:left w:val="single" w:sz="4" w:space="0" w:color="FFFFFF" w:themeColor="background2"/>
              <w:bottom w:val="single" w:sz="4" w:space="0" w:color="FFFFFF" w:themeColor="background2"/>
              <w:right w:val="single" w:sz="4" w:space="0" w:color="FFFFFF" w:themeColor="background2"/>
            </w:tcBorders>
          </w:tcPr>
          <w:p w14:paraId="207F46A2" w14:textId="1FDF9ADB" w:rsidR="00641130" w:rsidRPr="009A191E" w:rsidRDefault="00641130" w:rsidP="009F0A88">
            <w:pPr>
              <w:pStyle w:val="Bodyromannumerals"/>
              <w:rPr>
                <w:lang w:val="en-US"/>
              </w:rPr>
            </w:pPr>
            <w:r w:rsidRPr="009A191E">
              <w:rPr>
                <w:lang w:val="en-US"/>
              </w:rPr>
              <w:t xml:space="preserve">The equivalent population (resident) connected to the unsatisfactory </w:t>
            </w:r>
            <w:r>
              <w:rPr>
                <w:lang w:val="en-US"/>
              </w:rPr>
              <w:t>other</w:t>
            </w:r>
            <w:r w:rsidRPr="009A191E">
              <w:rPr>
                <w:lang w:val="en-US"/>
              </w:rPr>
              <w:t xml:space="preserve"> outfalls recorded in line A4.</w:t>
            </w:r>
            <w:r>
              <w:rPr>
                <w:lang w:val="en-US"/>
              </w:rPr>
              <w:t>42</w:t>
            </w:r>
            <w:r w:rsidRPr="009A191E">
              <w:rPr>
                <w:lang w:val="en-US"/>
              </w:rPr>
              <w:t>. Equivalent population should be calculated on the basis of 60g BOD5 per capita per day. No account should be taken of holiday population.</w:t>
            </w:r>
          </w:p>
        </w:tc>
      </w:tr>
      <w:tr w:rsidR="00641130" w:rsidRPr="009A191E" w14:paraId="08FEBD8F" w14:textId="77777777" w:rsidTr="009F0A88">
        <w:tc>
          <w:tcPr>
            <w:tcW w:w="1993" w:type="dxa"/>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9B60AE3" w14:textId="77777777" w:rsidR="00641130" w:rsidRPr="009A191E" w:rsidRDefault="00641130" w:rsidP="009F0A88">
            <w:pPr>
              <w:pStyle w:val="Bodyromannumerals"/>
              <w:rPr>
                <w:i/>
                <w:lang w:val="en-US"/>
              </w:rPr>
            </w:pPr>
            <w:r w:rsidRPr="009A191E">
              <w:rPr>
                <w:i/>
                <w:lang w:val="en-US"/>
              </w:rPr>
              <w:t>Processing Rules:</w:t>
            </w:r>
          </w:p>
        </w:tc>
        <w:tc>
          <w:tcPr>
            <w:tcW w:w="5565" w:type="dxa"/>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7CC7058" w14:textId="77777777" w:rsidR="00641130" w:rsidRPr="009A191E" w:rsidRDefault="00641130" w:rsidP="009F0A88">
            <w:pPr>
              <w:pStyle w:val="Bodyromannumerals"/>
              <w:rPr>
                <w:lang w:val="en-US"/>
              </w:rPr>
            </w:pPr>
            <w:r w:rsidRPr="009A191E">
              <w:rPr>
                <w:lang w:val="en-US"/>
              </w:rPr>
              <w:t>Input field</w:t>
            </w:r>
          </w:p>
        </w:tc>
      </w:tr>
    </w:tbl>
    <w:p w14:paraId="69D8C401" w14:textId="74E1BBA2" w:rsidR="00234A46" w:rsidRDefault="00234A46" w:rsidP="008E147C">
      <w:pPr>
        <w:spacing w:after="160" w:line="259" w:lineRule="auto"/>
        <w:rPr>
          <w:rFonts w:eastAsia="Calibri"/>
          <w:color w:val="000000" w:themeColor="text1"/>
          <w:lang w:val="en-GB"/>
        </w:rPr>
      </w:pPr>
      <w:r>
        <w:rPr>
          <w:rFonts w:eastAsia="Calibri"/>
          <w:color w:val="000000" w:themeColor="text1"/>
          <w:lang w:val="en-GB"/>
        </w:rPr>
        <w:br w:type="page"/>
      </w:r>
    </w:p>
    <w:p w14:paraId="3BE44C2E" w14:textId="3CD100D1" w:rsidR="008E147C" w:rsidRPr="009A191E" w:rsidRDefault="008E147C" w:rsidP="00420BD6">
      <w:pPr>
        <w:pStyle w:val="Sectionsub-heading"/>
        <w:rPr>
          <w:lang w:val="en-GB"/>
        </w:rPr>
      </w:pPr>
      <w:r w:rsidRPr="009A191E">
        <w:rPr>
          <w:lang w:val="en-GB"/>
        </w:rPr>
        <w:lastRenderedPageBreak/>
        <w:t xml:space="preserve">BLOCK 4: </w:t>
      </w:r>
      <w:r w:rsidR="002E6A73">
        <w:rPr>
          <w:lang w:val="en-GB"/>
        </w:rPr>
        <w:t>WASTEWATER</w:t>
      </w:r>
      <w:r w:rsidRPr="009A191E">
        <w:rPr>
          <w:lang w:val="en-GB"/>
        </w:rPr>
        <w:t xml:space="preserve"> SLUDGE DISPOSAL</w:t>
      </w:r>
    </w:p>
    <w:tbl>
      <w:tblPr>
        <w:tblStyle w:val="TableGrid3"/>
        <w:tblW w:w="7558" w:type="dxa"/>
        <w:tblLook w:val="04A0" w:firstRow="1" w:lastRow="0" w:firstColumn="1" w:lastColumn="0" w:noHBand="0" w:noVBand="1"/>
      </w:tblPr>
      <w:tblGrid>
        <w:gridCol w:w="1035"/>
        <w:gridCol w:w="964"/>
        <w:gridCol w:w="4235"/>
        <w:gridCol w:w="1324"/>
      </w:tblGrid>
      <w:tr w:rsidR="008E147C" w:rsidRPr="009A191E" w14:paraId="20310F3B" w14:textId="77777777" w:rsidTr="01C192FA">
        <w:tc>
          <w:tcPr>
            <w:tcW w:w="1035" w:type="dxa"/>
          </w:tcPr>
          <w:p w14:paraId="404B572E" w14:textId="24116E24" w:rsidR="008E147C" w:rsidRPr="00420BD6" w:rsidRDefault="008E147C" w:rsidP="00420BD6">
            <w:pPr>
              <w:pStyle w:val="Bodyromannumerals"/>
              <w:rPr>
                <w:b/>
                <w:bCs/>
                <w:lang w:val="en-US"/>
              </w:rPr>
            </w:pPr>
            <w:r w:rsidRPr="00420BD6">
              <w:rPr>
                <w:b/>
                <w:bCs/>
                <w:lang w:val="en-US"/>
              </w:rPr>
              <w:t>A4.4</w:t>
            </w:r>
            <w:r w:rsidR="005D4875">
              <w:rPr>
                <w:b/>
                <w:bCs/>
                <w:lang w:val="en-US"/>
              </w:rPr>
              <w:t>5</w:t>
            </w:r>
          </w:p>
        </w:tc>
        <w:tc>
          <w:tcPr>
            <w:tcW w:w="5199" w:type="dxa"/>
            <w:gridSpan w:val="2"/>
          </w:tcPr>
          <w:p w14:paraId="255C4AB7" w14:textId="2F35E33D" w:rsidR="008E147C" w:rsidRPr="00420BD6" w:rsidRDefault="008E147C" w:rsidP="00420BD6">
            <w:pPr>
              <w:pStyle w:val="Bodyromannumerals"/>
              <w:rPr>
                <w:b/>
                <w:bCs/>
                <w:lang w:val="en-US"/>
              </w:rPr>
            </w:pPr>
            <w:r w:rsidRPr="00420BD6">
              <w:rPr>
                <w:b/>
                <w:bCs/>
                <w:lang w:val="en-US"/>
              </w:rPr>
              <w:t xml:space="preserve">Percentage </w:t>
            </w:r>
            <w:r w:rsidR="0050345B">
              <w:rPr>
                <w:b/>
                <w:bCs/>
                <w:lang w:val="en-US"/>
              </w:rPr>
              <w:t>wastewater</w:t>
            </w:r>
            <w:r w:rsidR="0050345B" w:rsidRPr="00420BD6">
              <w:rPr>
                <w:b/>
                <w:bCs/>
                <w:lang w:val="en-US"/>
              </w:rPr>
              <w:t xml:space="preserve"> </w:t>
            </w:r>
            <w:r w:rsidRPr="00420BD6">
              <w:rPr>
                <w:b/>
                <w:bCs/>
                <w:lang w:val="en-US"/>
              </w:rPr>
              <w:t xml:space="preserve">sludge to </w:t>
            </w:r>
            <w:r w:rsidRPr="00420BD6" w:rsidDel="00512014">
              <w:rPr>
                <w:b/>
                <w:bCs/>
                <w:lang w:val="en-US"/>
              </w:rPr>
              <w:t>farm</w:t>
            </w:r>
            <w:r w:rsidRPr="00420BD6">
              <w:rPr>
                <w:b/>
                <w:bCs/>
                <w:lang w:val="en-US"/>
              </w:rPr>
              <w:t>land - untreated</w:t>
            </w:r>
          </w:p>
        </w:tc>
        <w:tc>
          <w:tcPr>
            <w:tcW w:w="1324" w:type="dxa"/>
          </w:tcPr>
          <w:p w14:paraId="60AB2180" w14:textId="77777777" w:rsidR="008E147C" w:rsidRPr="00420BD6" w:rsidRDefault="008E147C" w:rsidP="00420BD6">
            <w:pPr>
              <w:pStyle w:val="Bodyromannumerals"/>
              <w:rPr>
                <w:b/>
                <w:bCs/>
                <w:lang w:val="en-US"/>
              </w:rPr>
            </w:pPr>
            <w:r w:rsidRPr="00420BD6">
              <w:rPr>
                <w:b/>
                <w:bCs/>
                <w:lang w:val="en-US"/>
              </w:rPr>
              <w:t>%</w:t>
            </w:r>
          </w:p>
        </w:tc>
      </w:tr>
      <w:tr w:rsidR="008E147C" w:rsidRPr="009A191E" w14:paraId="715CA910" w14:textId="77777777" w:rsidTr="01C192FA">
        <w:tc>
          <w:tcPr>
            <w:tcW w:w="1999" w:type="dxa"/>
            <w:gridSpan w:val="2"/>
            <w:tcBorders>
              <w:left w:val="single" w:sz="4" w:space="0" w:color="FFFFFF" w:themeColor="background2"/>
              <w:bottom w:val="single" w:sz="4" w:space="0" w:color="FFFFFF" w:themeColor="background2"/>
              <w:right w:val="single" w:sz="4" w:space="0" w:color="FFFFFF" w:themeColor="background2"/>
            </w:tcBorders>
          </w:tcPr>
          <w:p w14:paraId="15221B36" w14:textId="77777777" w:rsidR="008E147C" w:rsidRPr="009A191E" w:rsidRDefault="008E147C" w:rsidP="00420BD6">
            <w:pPr>
              <w:pStyle w:val="Bodyromannumerals"/>
              <w:rPr>
                <w:i/>
                <w:lang w:val="en-US"/>
              </w:rPr>
            </w:pPr>
            <w:r w:rsidRPr="009A191E">
              <w:rPr>
                <w:i/>
                <w:lang w:val="en-US"/>
              </w:rPr>
              <w:t>Definition:</w:t>
            </w:r>
          </w:p>
        </w:tc>
        <w:tc>
          <w:tcPr>
            <w:tcW w:w="5559" w:type="dxa"/>
            <w:gridSpan w:val="2"/>
            <w:tcBorders>
              <w:left w:val="single" w:sz="4" w:space="0" w:color="FFFFFF" w:themeColor="background2"/>
              <w:bottom w:val="single" w:sz="4" w:space="0" w:color="FFFFFF" w:themeColor="background2"/>
              <w:right w:val="single" w:sz="4" w:space="0" w:color="FFFFFF" w:themeColor="background2"/>
            </w:tcBorders>
          </w:tcPr>
          <w:p w14:paraId="7F4D5528" w14:textId="77777777" w:rsidR="008E147C" w:rsidRDefault="008E147C" w:rsidP="00420BD6">
            <w:pPr>
              <w:pStyle w:val="Bodyromannumerals"/>
            </w:pPr>
            <w:r w:rsidRPr="009A191E">
              <w:rPr>
                <w:lang w:val="en-US"/>
              </w:rPr>
              <w:t xml:space="preserve">Percentage of the total </w:t>
            </w:r>
            <w:r w:rsidR="0050345B">
              <w:rPr>
                <w:lang w:val="en-US"/>
              </w:rPr>
              <w:t>wastewater</w:t>
            </w:r>
            <w:r w:rsidR="0050345B" w:rsidRPr="009A191E">
              <w:rPr>
                <w:lang w:val="en-US"/>
              </w:rPr>
              <w:t xml:space="preserve"> </w:t>
            </w:r>
            <w:r w:rsidRPr="009A191E">
              <w:rPr>
                <w:lang w:val="en-US"/>
              </w:rPr>
              <w:t>sludge disposal to farmland which is raw.</w:t>
            </w:r>
            <w:r w:rsidR="00433DAB">
              <w:rPr>
                <w:lang w:val="en-US"/>
              </w:rPr>
              <w:t xml:space="preserve"> </w:t>
            </w:r>
            <w:r w:rsidR="00433DAB">
              <w:t xml:space="preserve">This excludes incinerated sludge reported in A4.48.  </w:t>
            </w:r>
          </w:p>
          <w:p w14:paraId="587A92C0" w14:textId="33049F18" w:rsidR="007C7F31" w:rsidRPr="009A191E" w:rsidRDefault="007C7F31" w:rsidP="00420BD6">
            <w:pPr>
              <w:pStyle w:val="Bodyromannumerals"/>
              <w:rPr>
                <w:lang w:val="en-US"/>
              </w:rPr>
            </w:pPr>
            <w:r>
              <w:t xml:space="preserve">The quantity of sludge disposed </w:t>
            </w:r>
            <w:r w:rsidR="00895B55">
              <w:t xml:space="preserve">to which the percentages </w:t>
            </w:r>
            <w:r>
              <w:t xml:space="preserve">in lines A4.45 to </w:t>
            </w:r>
            <w:r w:rsidR="00A5742E">
              <w:t>A4.</w:t>
            </w:r>
            <w:r w:rsidR="00844A9C">
              <w:t xml:space="preserve">52 inclusive </w:t>
            </w:r>
            <w:r w:rsidR="003653BE">
              <w:t>apply should be that reported in line A</w:t>
            </w:r>
            <w:r w:rsidR="0014179C">
              <w:t>4.53.</w:t>
            </w:r>
          </w:p>
        </w:tc>
      </w:tr>
      <w:tr w:rsidR="008E147C" w:rsidRPr="009A191E" w14:paraId="35DC3200" w14:textId="77777777" w:rsidTr="01C192FA">
        <w:tc>
          <w:tcPr>
            <w:tcW w:w="199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ACEB870" w14:textId="77777777" w:rsidR="008E147C" w:rsidRPr="009A191E" w:rsidRDefault="008E147C" w:rsidP="00420BD6">
            <w:pPr>
              <w:pStyle w:val="Bodyromannumerals"/>
              <w:rPr>
                <w:i/>
                <w:lang w:val="en-US"/>
              </w:rPr>
            </w:pPr>
            <w:r w:rsidRPr="009A191E">
              <w:rPr>
                <w:i/>
                <w:lang w:val="en-US"/>
              </w:rPr>
              <w:t>Processing Rules:</w:t>
            </w:r>
          </w:p>
        </w:tc>
        <w:tc>
          <w:tcPr>
            <w:tcW w:w="555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7864A46" w14:textId="77777777" w:rsidR="008E147C" w:rsidRPr="009A191E" w:rsidRDefault="008E147C" w:rsidP="00420BD6">
            <w:pPr>
              <w:pStyle w:val="Bodyromannumerals"/>
              <w:rPr>
                <w:lang w:val="en-US"/>
              </w:rPr>
            </w:pPr>
            <w:r w:rsidRPr="009A191E">
              <w:rPr>
                <w:lang w:val="en-US"/>
              </w:rPr>
              <w:t>Input field</w:t>
            </w:r>
          </w:p>
        </w:tc>
      </w:tr>
      <w:tr w:rsidR="008E147C" w:rsidRPr="009A191E" w14:paraId="7458383C" w14:textId="77777777" w:rsidTr="01C192FA">
        <w:tc>
          <w:tcPr>
            <w:tcW w:w="1035" w:type="dxa"/>
          </w:tcPr>
          <w:p w14:paraId="5B770A48" w14:textId="4BBB0F01" w:rsidR="008E147C" w:rsidRPr="00420BD6" w:rsidRDefault="008E147C" w:rsidP="00420BD6">
            <w:pPr>
              <w:pStyle w:val="Bodyromannumerals"/>
              <w:rPr>
                <w:b/>
                <w:bCs/>
                <w:lang w:val="en-US"/>
              </w:rPr>
            </w:pPr>
            <w:r w:rsidRPr="00420BD6">
              <w:rPr>
                <w:b/>
                <w:bCs/>
                <w:lang w:val="en-US"/>
              </w:rPr>
              <w:t>A4.4</w:t>
            </w:r>
            <w:r w:rsidR="005D4875">
              <w:rPr>
                <w:b/>
                <w:bCs/>
                <w:lang w:val="en-US"/>
              </w:rPr>
              <w:t>6</w:t>
            </w:r>
          </w:p>
        </w:tc>
        <w:tc>
          <w:tcPr>
            <w:tcW w:w="5199" w:type="dxa"/>
            <w:gridSpan w:val="2"/>
          </w:tcPr>
          <w:p w14:paraId="00D255A9" w14:textId="5A25B7C2" w:rsidR="008E147C" w:rsidRPr="00420BD6" w:rsidRDefault="008E147C" w:rsidP="00420BD6">
            <w:pPr>
              <w:pStyle w:val="Bodyromannumerals"/>
              <w:rPr>
                <w:b/>
                <w:bCs/>
                <w:lang w:val="en-US"/>
              </w:rPr>
            </w:pPr>
            <w:r w:rsidRPr="00420BD6">
              <w:rPr>
                <w:b/>
                <w:bCs/>
                <w:lang w:val="en-US"/>
              </w:rPr>
              <w:t xml:space="preserve">Percentage </w:t>
            </w:r>
            <w:r w:rsidR="0050345B">
              <w:rPr>
                <w:b/>
                <w:bCs/>
                <w:lang w:val="en-US"/>
              </w:rPr>
              <w:t>wastewater</w:t>
            </w:r>
            <w:r w:rsidR="0050345B" w:rsidRPr="00420BD6">
              <w:rPr>
                <w:b/>
                <w:bCs/>
                <w:lang w:val="en-US"/>
              </w:rPr>
              <w:t xml:space="preserve"> </w:t>
            </w:r>
            <w:r w:rsidRPr="00420BD6">
              <w:rPr>
                <w:b/>
                <w:bCs/>
                <w:lang w:val="en-US"/>
              </w:rPr>
              <w:t>sludge to farmland - conventional</w:t>
            </w:r>
          </w:p>
        </w:tc>
        <w:tc>
          <w:tcPr>
            <w:tcW w:w="1324" w:type="dxa"/>
          </w:tcPr>
          <w:p w14:paraId="202CDE48" w14:textId="77777777" w:rsidR="008E147C" w:rsidRPr="00420BD6" w:rsidRDefault="008E147C" w:rsidP="00420BD6">
            <w:pPr>
              <w:pStyle w:val="Bodyromannumerals"/>
              <w:rPr>
                <w:b/>
                <w:bCs/>
                <w:lang w:val="en-US"/>
              </w:rPr>
            </w:pPr>
            <w:r w:rsidRPr="00420BD6">
              <w:rPr>
                <w:b/>
                <w:bCs/>
                <w:lang w:val="en-US"/>
              </w:rPr>
              <w:t>%</w:t>
            </w:r>
          </w:p>
        </w:tc>
      </w:tr>
      <w:tr w:rsidR="008E147C" w:rsidRPr="009A191E" w14:paraId="187973A0" w14:textId="77777777" w:rsidTr="01C192FA">
        <w:tc>
          <w:tcPr>
            <w:tcW w:w="1999" w:type="dxa"/>
            <w:gridSpan w:val="2"/>
            <w:tcBorders>
              <w:left w:val="single" w:sz="4" w:space="0" w:color="FFFFFF" w:themeColor="background2"/>
              <w:bottom w:val="single" w:sz="4" w:space="0" w:color="FFFFFF" w:themeColor="background2"/>
              <w:right w:val="single" w:sz="4" w:space="0" w:color="FFFFFF" w:themeColor="background2"/>
            </w:tcBorders>
          </w:tcPr>
          <w:p w14:paraId="77725775" w14:textId="77777777" w:rsidR="008E147C" w:rsidRPr="009A191E" w:rsidRDefault="008E147C" w:rsidP="00420BD6">
            <w:pPr>
              <w:pStyle w:val="Bodyromannumerals"/>
              <w:rPr>
                <w:i/>
                <w:lang w:val="en-US"/>
              </w:rPr>
            </w:pPr>
            <w:r w:rsidRPr="009A191E">
              <w:rPr>
                <w:i/>
                <w:lang w:val="en-US"/>
              </w:rPr>
              <w:t>Definition:</w:t>
            </w:r>
          </w:p>
        </w:tc>
        <w:tc>
          <w:tcPr>
            <w:tcW w:w="5559" w:type="dxa"/>
            <w:gridSpan w:val="2"/>
            <w:tcBorders>
              <w:left w:val="single" w:sz="4" w:space="0" w:color="FFFFFF" w:themeColor="background2"/>
              <w:bottom w:val="single" w:sz="4" w:space="0" w:color="FFFFFF" w:themeColor="background2"/>
              <w:right w:val="single" w:sz="4" w:space="0" w:color="FFFFFF" w:themeColor="background2"/>
            </w:tcBorders>
          </w:tcPr>
          <w:p w14:paraId="071DF3DA" w14:textId="77777777" w:rsidR="008E147C" w:rsidRDefault="008E147C" w:rsidP="00605253">
            <w:pPr>
              <w:rPr>
                <w:rFonts w:ascii="Calibri" w:hAnsi="Calibri" w:cs="Calibri"/>
                <w:sz w:val="21"/>
                <w:szCs w:val="21"/>
              </w:rPr>
            </w:pPr>
            <w:r w:rsidRPr="008B4ACD">
              <w:rPr>
                <w:rFonts w:ascii="Calibri" w:hAnsi="Calibri" w:cs="Calibri"/>
                <w:sz w:val="21"/>
                <w:szCs w:val="21"/>
                <w:lang w:val="en-NZ"/>
              </w:rPr>
              <w:t xml:space="preserve">Percentage of the total </w:t>
            </w:r>
            <w:r w:rsidR="0050345B" w:rsidRPr="008B4ACD">
              <w:rPr>
                <w:rFonts w:ascii="Calibri" w:hAnsi="Calibri" w:cs="Calibri"/>
                <w:sz w:val="21"/>
                <w:szCs w:val="21"/>
                <w:lang w:val="en-NZ"/>
              </w:rPr>
              <w:t xml:space="preserve">wastewater </w:t>
            </w:r>
            <w:r w:rsidRPr="008B4ACD">
              <w:rPr>
                <w:rFonts w:ascii="Calibri" w:hAnsi="Calibri" w:cs="Calibri"/>
                <w:sz w:val="21"/>
                <w:szCs w:val="21"/>
                <w:lang w:val="en-NZ"/>
              </w:rPr>
              <w:t xml:space="preserve">sludge disposal to farmland which is </w:t>
            </w:r>
            <w:r w:rsidR="00DF3A5B" w:rsidRPr="008B4ACD">
              <w:rPr>
                <w:rFonts w:ascii="Calibri" w:hAnsi="Calibri" w:cs="Calibri"/>
                <w:sz w:val="21"/>
                <w:szCs w:val="21"/>
                <w:lang w:val="en-NZ"/>
              </w:rPr>
              <w:t>subject to</w:t>
            </w:r>
            <w:r w:rsidRPr="008B4ACD">
              <w:rPr>
                <w:rFonts w:ascii="Calibri" w:hAnsi="Calibri" w:cs="Calibri"/>
                <w:sz w:val="21"/>
                <w:szCs w:val="21"/>
                <w:lang w:val="en-NZ"/>
              </w:rPr>
              <w:t xml:space="preserve"> </w:t>
            </w:r>
            <w:r w:rsidR="00605253" w:rsidRPr="008B4ACD">
              <w:rPr>
                <w:rFonts w:ascii="Calibri" w:hAnsi="Calibri" w:cs="Calibri"/>
                <w:sz w:val="21"/>
                <w:szCs w:val="21"/>
                <w:lang w:val="en-NZ"/>
              </w:rPr>
              <w:t>conventional</w:t>
            </w:r>
            <w:r w:rsidR="00DF3A5B" w:rsidRPr="008B4ACD">
              <w:rPr>
                <w:rFonts w:ascii="Calibri" w:hAnsi="Calibri" w:cs="Calibri"/>
                <w:sz w:val="21"/>
                <w:szCs w:val="21"/>
                <w:lang w:val="en-NZ"/>
              </w:rPr>
              <w:t xml:space="preserve"> treatment as per N</w:t>
            </w:r>
            <w:r w:rsidR="003C473A" w:rsidRPr="008B4ACD">
              <w:rPr>
                <w:rFonts w:ascii="Calibri" w:hAnsi="Calibri" w:cs="Calibri"/>
                <w:sz w:val="21"/>
                <w:szCs w:val="21"/>
                <w:lang w:val="en-NZ"/>
              </w:rPr>
              <w:t xml:space="preserve">ew </w:t>
            </w:r>
            <w:r w:rsidR="00DF3A5B" w:rsidRPr="008B4ACD">
              <w:rPr>
                <w:rFonts w:ascii="Calibri" w:hAnsi="Calibri" w:cs="Calibri"/>
                <w:sz w:val="21"/>
                <w:szCs w:val="21"/>
                <w:lang w:val="en-NZ"/>
              </w:rPr>
              <w:t>Z</w:t>
            </w:r>
            <w:r w:rsidR="003C473A" w:rsidRPr="008B4ACD">
              <w:rPr>
                <w:rFonts w:ascii="Calibri" w:hAnsi="Calibri" w:cs="Calibri"/>
                <w:sz w:val="21"/>
                <w:szCs w:val="21"/>
                <w:lang w:val="en-NZ"/>
              </w:rPr>
              <w:t>ealand</w:t>
            </w:r>
            <w:r w:rsidR="00DF3A5B" w:rsidRPr="008B4ACD">
              <w:rPr>
                <w:rFonts w:ascii="Calibri" w:hAnsi="Calibri" w:cs="Calibri"/>
                <w:sz w:val="21"/>
                <w:szCs w:val="21"/>
                <w:lang w:val="en-NZ"/>
              </w:rPr>
              <w:t xml:space="preserve"> guidelines or regional rules</w:t>
            </w:r>
            <w:r w:rsidR="00605253" w:rsidRPr="008B4ACD">
              <w:rPr>
                <w:rFonts w:ascii="Calibri" w:hAnsi="Calibri" w:cs="Calibri"/>
                <w:sz w:val="21"/>
                <w:szCs w:val="21"/>
                <w:lang w:val="en-NZ"/>
              </w:rPr>
              <w:t>.</w:t>
            </w:r>
            <w:r w:rsidR="00433DAB" w:rsidRPr="008B4ACD">
              <w:rPr>
                <w:rFonts w:ascii="Calibri" w:hAnsi="Calibri" w:cs="Calibri"/>
                <w:sz w:val="21"/>
                <w:szCs w:val="21"/>
                <w:lang w:val="en-NZ"/>
              </w:rPr>
              <w:t xml:space="preserve"> </w:t>
            </w:r>
            <w:r w:rsidR="00433DAB">
              <w:rPr>
                <w:rFonts w:ascii="Calibri" w:hAnsi="Calibri" w:cs="Calibri"/>
                <w:sz w:val="21"/>
                <w:szCs w:val="21"/>
              </w:rPr>
              <w:t xml:space="preserve">This excludes incinerated sludge reported in A4.48.  </w:t>
            </w:r>
          </w:p>
          <w:p w14:paraId="78921D42" w14:textId="0989F67A" w:rsidR="00406CBD" w:rsidRPr="008B4ACD" w:rsidRDefault="00406CBD" w:rsidP="00605253">
            <w:pPr>
              <w:rPr>
                <w:rFonts w:ascii="Calibri" w:hAnsi="Calibri" w:cs="Calibri"/>
                <w:sz w:val="21"/>
                <w:szCs w:val="21"/>
              </w:rPr>
            </w:pPr>
            <w:r w:rsidRPr="008B4ACD">
              <w:rPr>
                <w:rFonts w:ascii="Calibri" w:hAnsi="Calibri" w:cs="Calibri"/>
                <w:sz w:val="21"/>
                <w:szCs w:val="21"/>
              </w:rPr>
              <w:t>The quantity of sludge disposed to which the percentages in lines A4.45 to A4.52 inclusive apply should be that reported in line A4.53.</w:t>
            </w:r>
          </w:p>
        </w:tc>
      </w:tr>
      <w:tr w:rsidR="008E147C" w:rsidRPr="009A191E" w14:paraId="5CABA8D3" w14:textId="77777777" w:rsidTr="01C192FA">
        <w:tc>
          <w:tcPr>
            <w:tcW w:w="199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6558457" w14:textId="77777777" w:rsidR="008E147C" w:rsidRPr="009A191E" w:rsidRDefault="008E147C" w:rsidP="00420BD6">
            <w:pPr>
              <w:pStyle w:val="Bodyromannumerals"/>
              <w:rPr>
                <w:i/>
                <w:lang w:val="en-US"/>
              </w:rPr>
            </w:pPr>
            <w:r w:rsidRPr="009A191E">
              <w:rPr>
                <w:i/>
                <w:lang w:val="en-US"/>
              </w:rPr>
              <w:t>Processing Rules:</w:t>
            </w:r>
          </w:p>
        </w:tc>
        <w:tc>
          <w:tcPr>
            <w:tcW w:w="555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9C2AE76" w14:textId="12F70B9B" w:rsidR="00A61C15" w:rsidRPr="009A191E" w:rsidRDefault="008E147C" w:rsidP="00420BD6">
            <w:pPr>
              <w:pStyle w:val="Bodyromannumerals"/>
              <w:rPr>
                <w:lang w:val="en-US"/>
              </w:rPr>
            </w:pPr>
            <w:r w:rsidRPr="009A191E">
              <w:rPr>
                <w:lang w:val="en-US"/>
              </w:rPr>
              <w:t>Input field</w:t>
            </w:r>
          </w:p>
        </w:tc>
      </w:tr>
      <w:tr w:rsidR="008E147C" w:rsidRPr="009A191E" w14:paraId="7BF02BB8" w14:textId="77777777" w:rsidTr="01C192FA">
        <w:tc>
          <w:tcPr>
            <w:tcW w:w="1035" w:type="dxa"/>
          </w:tcPr>
          <w:p w14:paraId="40789D30" w14:textId="623B6E7B" w:rsidR="008E147C" w:rsidRPr="00420BD6" w:rsidRDefault="008E147C" w:rsidP="00420BD6">
            <w:pPr>
              <w:pStyle w:val="Bodyromannumerals"/>
              <w:rPr>
                <w:b/>
                <w:bCs/>
                <w:lang w:val="en-US"/>
              </w:rPr>
            </w:pPr>
            <w:r w:rsidRPr="00420BD6">
              <w:rPr>
                <w:b/>
                <w:bCs/>
                <w:lang w:val="en-US"/>
              </w:rPr>
              <w:t>A4.4</w:t>
            </w:r>
            <w:r w:rsidR="005D4875">
              <w:rPr>
                <w:b/>
                <w:bCs/>
                <w:lang w:val="en-US"/>
              </w:rPr>
              <w:t>7</w:t>
            </w:r>
          </w:p>
        </w:tc>
        <w:tc>
          <w:tcPr>
            <w:tcW w:w="5199" w:type="dxa"/>
            <w:gridSpan w:val="2"/>
          </w:tcPr>
          <w:p w14:paraId="6E3321E9" w14:textId="305BC6EE" w:rsidR="008E147C" w:rsidRPr="00420BD6" w:rsidRDefault="008E147C" w:rsidP="00420BD6">
            <w:pPr>
              <w:pStyle w:val="Bodyromannumerals"/>
              <w:rPr>
                <w:b/>
                <w:bCs/>
                <w:lang w:val="en-US"/>
              </w:rPr>
            </w:pPr>
            <w:r w:rsidRPr="00420BD6">
              <w:rPr>
                <w:b/>
                <w:bCs/>
                <w:lang w:val="en-US"/>
              </w:rPr>
              <w:t xml:space="preserve">Percentage </w:t>
            </w:r>
            <w:r w:rsidR="0050345B">
              <w:rPr>
                <w:b/>
                <w:bCs/>
                <w:lang w:val="en-US"/>
              </w:rPr>
              <w:t>wastewater</w:t>
            </w:r>
            <w:r w:rsidR="0050345B" w:rsidRPr="00420BD6">
              <w:rPr>
                <w:b/>
                <w:bCs/>
                <w:lang w:val="en-US"/>
              </w:rPr>
              <w:t xml:space="preserve"> </w:t>
            </w:r>
            <w:r w:rsidRPr="00420BD6">
              <w:rPr>
                <w:b/>
                <w:bCs/>
                <w:lang w:val="en-US"/>
              </w:rPr>
              <w:t>sludge to farmland - advanced</w:t>
            </w:r>
          </w:p>
        </w:tc>
        <w:tc>
          <w:tcPr>
            <w:tcW w:w="1324" w:type="dxa"/>
          </w:tcPr>
          <w:p w14:paraId="3AA8E1EE" w14:textId="77777777" w:rsidR="008E147C" w:rsidRPr="00420BD6" w:rsidRDefault="008E147C" w:rsidP="00420BD6">
            <w:pPr>
              <w:pStyle w:val="Bodyromannumerals"/>
              <w:rPr>
                <w:b/>
                <w:bCs/>
                <w:lang w:val="en-US"/>
              </w:rPr>
            </w:pPr>
            <w:r w:rsidRPr="00420BD6">
              <w:rPr>
                <w:b/>
                <w:bCs/>
                <w:lang w:val="en-US"/>
              </w:rPr>
              <w:t>%</w:t>
            </w:r>
          </w:p>
        </w:tc>
      </w:tr>
      <w:tr w:rsidR="008E147C" w:rsidRPr="009A191E" w14:paraId="2D852F73" w14:textId="77777777" w:rsidTr="01C192FA">
        <w:tc>
          <w:tcPr>
            <w:tcW w:w="1999" w:type="dxa"/>
            <w:gridSpan w:val="2"/>
            <w:tcBorders>
              <w:left w:val="single" w:sz="4" w:space="0" w:color="FFFFFF" w:themeColor="background2"/>
              <w:bottom w:val="single" w:sz="4" w:space="0" w:color="FFFFFF" w:themeColor="background2"/>
              <w:right w:val="single" w:sz="4" w:space="0" w:color="FFFFFF" w:themeColor="background2"/>
            </w:tcBorders>
          </w:tcPr>
          <w:p w14:paraId="47CA1DE4" w14:textId="77777777" w:rsidR="008E147C" w:rsidRPr="009A191E" w:rsidRDefault="008E147C" w:rsidP="00420BD6">
            <w:pPr>
              <w:pStyle w:val="Bodyromannumerals"/>
              <w:rPr>
                <w:i/>
                <w:lang w:val="en-US"/>
              </w:rPr>
            </w:pPr>
            <w:r w:rsidRPr="009A191E">
              <w:rPr>
                <w:i/>
                <w:lang w:val="en-US"/>
              </w:rPr>
              <w:t>Definition:</w:t>
            </w:r>
          </w:p>
        </w:tc>
        <w:tc>
          <w:tcPr>
            <w:tcW w:w="5559" w:type="dxa"/>
            <w:gridSpan w:val="2"/>
            <w:tcBorders>
              <w:left w:val="single" w:sz="4" w:space="0" w:color="FFFFFF" w:themeColor="background2"/>
              <w:bottom w:val="single" w:sz="4" w:space="0" w:color="FFFFFF" w:themeColor="background2"/>
              <w:right w:val="single" w:sz="4" w:space="0" w:color="FFFFFF" w:themeColor="background2"/>
            </w:tcBorders>
          </w:tcPr>
          <w:p w14:paraId="73A1161E" w14:textId="77777777" w:rsidR="008E147C" w:rsidRDefault="008E147C" w:rsidP="00605253">
            <w:pPr>
              <w:rPr>
                <w:rFonts w:ascii="Calibri" w:hAnsi="Calibri" w:cs="Calibri"/>
                <w:sz w:val="21"/>
                <w:szCs w:val="21"/>
              </w:rPr>
            </w:pPr>
            <w:r w:rsidRPr="00605253">
              <w:rPr>
                <w:rFonts w:ascii="Calibri" w:hAnsi="Calibri" w:cs="Calibri"/>
                <w:sz w:val="21"/>
                <w:szCs w:val="21"/>
                <w:lang w:val="en-US"/>
              </w:rPr>
              <w:t xml:space="preserve">Percentage of the total </w:t>
            </w:r>
            <w:r w:rsidR="0050345B" w:rsidRPr="00605253">
              <w:rPr>
                <w:rFonts w:ascii="Calibri" w:hAnsi="Calibri" w:cs="Calibri"/>
                <w:sz w:val="21"/>
                <w:szCs w:val="21"/>
                <w:lang w:val="en-US"/>
              </w:rPr>
              <w:t xml:space="preserve">wastewater </w:t>
            </w:r>
            <w:r w:rsidRPr="00605253">
              <w:rPr>
                <w:rFonts w:ascii="Calibri" w:hAnsi="Calibri" w:cs="Calibri"/>
                <w:sz w:val="21"/>
                <w:szCs w:val="21"/>
                <w:lang w:val="en-US"/>
              </w:rPr>
              <w:t xml:space="preserve">disposal to farmland which is </w:t>
            </w:r>
            <w:r w:rsidR="00DF3A5B">
              <w:rPr>
                <w:rFonts w:ascii="Calibri" w:hAnsi="Calibri" w:cs="Calibri"/>
                <w:sz w:val="21"/>
                <w:szCs w:val="21"/>
                <w:lang w:val="en-US"/>
              </w:rPr>
              <w:t xml:space="preserve">subject to </w:t>
            </w:r>
            <w:r w:rsidR="00605253" w:rsidRPr="00605253">
              <w:rPr>
                <w:rFonts w:ascii="Calibri" w:hAnsi="Calibri" w:cs="Calibri"/>
                <w:sz w:val="21"/>
                <w:szCs w:val="21"/>
                <w:lang w:val="en-US"/>
              </w:rPr>
              <w:t>advanced</w:t>
            </w:r>
            <w:r w:rsidR="00DF3A5B">
              <w:rPr>
                <w:rFonts w:ascii="Calibri" w:hAnsi="Calibri" w:cs="Calibri"/>
                <w:sz w:val="21"/>
                <w:szCs w:val="21"/>
                <w:lang w:val="en-US"/>
              </w:rPr>
              <w:t xml:space="preserve"> treatment as per N</w:t>
            </w:r>
            <w:r w:rsidR="003C473A">
              <w:rPr>
                <w:rFonts w:ascii="Calibri" w:hAnsi="Calibri" w:cs="Calibri"/>
                <w:sz w:val="21"/>
                <w:szCs w:val="21"/>
                <w:lang w:val="en-US"/>
              </w:rPr>
              <w:t xml:space="preserve">ew </w:t>
            </w:r>
            <w:r w:rsidR="00DF3A5B">
              <w:rPr>
                <w:rFonts w:ascii="Calibri" w:hAnsi="Calibri" w:cs="Calibri"/>
                <w:sz w:val="21"/>
                <w:szCs w:val="21"/>
                <w:lang w:val="en-US"/>
              </w:rPr>
              <w:t>Z</w:t>
            </w:r>
            <w:r w:rsidR="003C473A">
              <w:rPr>
                <w:rFonts w:ascii="Calibri" w:hAnsi="Calibri" w:cs="Calibri"/>
                <w:sz w:val="21"/>
                <w:szCs w:val="21"/>
                <w:lang w:val="en-US"/>
              </w:rPr>
              <w:t>ealand</w:t>
            </w:r>
            <w:r w:rsidR="00DF3A5B">
              <w:rPr>
                <w:rFonts w:ascii="Calibri" w:hAnsi="Calibri" w:cs="Calibri"/>
                <w:sz w:val="21"/>
                <w:szCs w:val="21"/>
                <w:lang w:val="en-US"/>
              </w:rPr>
              <w:t xml:space="preserve"> guidelines or region</w:t>
            </w:r>
            <w:r w:rsidR="009A097B">
              <w:rPr>
                <w:rFonts w:ascii="Calibri" w:hAnsi="Calibri" w:cs="Calibri"/>
                <w:sz w:val="21"/>
                <w:szCs w:val="21"/>
                <w:lang w:val="en-US"/>
              </w:rPr>
              <w:t>a</w:t>
            </w:r>
            <w:r w:rsidR="00DF3A5B">
              <w:rPr>
                <w:rFonts w:ascii="Calibri" w:hAnsi="Calibri" w:cs="Calibri"/>
                <w:sz w:val="21"/>
                <w:szCs w:val="21"/>
                <w:lang w:val="en-US"/>
              </w:rPr>
              <w:t>l rules</w:t>
            </w:r>
            <w:r w:rsidRPr="00605253">
              <w:rPr>
                <w:rFonts w:ascii="Calibri" w:hAnsi="Calibri" w:cs="Calibri"/>
                <w:sz w:val="21"/>
                <w:szCs w:val="21"/>
                <w:lang w:val="en-US"/>
              </w:rPr>
              <w:t>.</w:t>
            </w:r>
            <w:r w:rsidR="00433DAB">
              <w:rPr>
                <w:rFonts w:ascii="Calibri" w:hAnsi="Calibri" w:cs="Calibri"/>
                <w:sz w:val="21"/>
                <w:szCs w:val="21"/>
                <w:lang w:val="en-US"/>
              </w:rPr>
              <w:t xml:space="preserve"> </w:t>
            </w:r>
            <w:r w:rsidR="00433DAB">
              <w:rPr>
                <w:rFonts w:ascii="Calibri" w:hAnsi="Calibri" w:cs="Calibri"/>
                <w:sz w:val="21"/>
                <w:szCs w:val="21"/>
              </w:rPr>
              <w:t xml:space="preserve">This excludes incinerated sludge reported in A4.48.  </w:t>
            </w:r>
          </w:p>
          <w:p w14:paraId="2FE98AF9" w14:textId="05DA84BF" w:rsidR="00406CBD" w:rsidRPr="00605253" w:rsidRDefault="00406CBD" w:rsidP="00605253">
            <w:r w:rsidRPr="008B4ACD">
              <w:rPr>
                <w:rFonts w:ascii="Calibri" w:hAnsi="Calibri" w:cs="Calibri"/>
                <w:sz w:val="21"/>
                <w:szCs w:val="21"/>
              </w:rPr>
              <w:t>The quantity of sludge disposed to which the percentages in lines A4.45 to A4.52 inclusive apply should be that reported in line A4.53.</w:t>
            </w:r>
          </w:p>
        </w:tc>
      </w:tr>
      <w:tr w:rsidR="008E147C" w:rsidRPr="009A191E" w14:paraId="5A427B05" w14:textId="77777777" w:rsidTr="01C192FA">
        <w:tc>
          <w:tcPr>
            <w:tcW w:w="199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97A2312" w14:textId="77777777" w:rsidR="008E147C" w:rsidRPr="00420BD6" w:rsidRDefault="008E147C" w:rsidP="00420BD6">
            <w:pPr>
              <w:pStyle w:val="Bodyromannumerals"/>
            </w:pPr>
            <w:r w:rsidRPr="00420BD6">
              <w:rPr>
                <w:i/>
                <w:iCs/>
              </w:rPr>
              <w:t>Processing Rules</w:t>
            </w:r>
            <w:r w:rsidRPr="00420BD6">
              <w:t>:</w:t>
            </w:r>
          </w:p>
        </w:tc>
        <w:tc>
          <w:tcPr>
            <w:tcW w:w="555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DA050A5" w14:textId="77777777" w:rsidR="008E147C" w:rsidRPr="00420BD6" w:rsidRDefault="008E147C" w:rsidP="00420BD6">
            <w:pPr>
              <w:pStyle w:val="Bodyromannumerals"/>
            </w:pPr>
            <w:r w:rsidRPr="00420BD6">
              <w:t>Input field</w:t>
            </w:r>
          </w:p>
        </w:tc>
      </w:tr>
      <w:tr w:rsidR="008E147C" w:rsidRPr="009A191E" w14:paraId="27D7D43F" w14:textId="77777777" w:rsidTr="01C192FA">
        <w:tc>
          <w:tcPr>
            <w:tcW w:w="1035" w:type="dxa"/>
          </w:tcPr>
          <w:p w14:paraId="437647AE" w14:textId="1D0A4BB6" w:rsidR="008E147C" w:rsidRPr="00420BD6" w:rsidRDefault="008E147C" w:rsidP="00420BD6">
            <w:pPr>
              <w:pStyle w:val="Bodyromannumerals"/>
              <w:rPr>
                <w:b/>
                <w:bCs/>
              </w:rPr>
            </w:pPr>
            <w:r w:rsidRPr="00420BD6">
              <w:rPr>
                <w:b/>
                <w:bCs/>
              </w:rPr>
              <w:t>A4.4</w:t>
            </w:r>
            <w:r w:rsidR="005D4875">
              <w:rPr>
                <w:b/>
                <w:bCs/>
              </w:rPr>
              <w:t>8</w:t>
            </w:r>
          </w:p>
        </w:tc>
        <w:tc>
          <w:tcPr>
            <w:tcW w:w="5199" w:type="dxa"/>
            <w:gridSpan w:val="2"/>
          </w:tcPr>
          <w:p w14:paraId="2BA8C863" w14:textId="481A950F" w:rsidR="008E147C" w:rsidRPr="00605253" w:rsidRDefault="008E147C" w:rsidP="00605253">
            <w:r w:rsidRPr="003818D7">
              <w:rPr>
                <w:rFonts w:ascii="Calibri" w:hAnsi="Calibri" w:cs="Calibri"/>
                <w:b/>
                <w:bCs/>
                <w:sz w:val="21"/>
                <w:szCs w:val="21"/>
                <w:lang w:val="en-US"/>
              </w:rPr>
              <w:t xml:space="preserve">Percentage </w:t>
            </w:r>
            <w:r w:rsidR="0050345B" w:rsidRPr="003818D7">
              <w:rPr>
                <w:rFonts w:ascii="Calibri" w:hAnsi="Calibri" w:cs="Calibri"/>
                <w:b/>
                <w:bCs/>
                <w:sz w:val="21"/>
                <w:szCs w:val="21"/>
                <w:lang w:val="en-US"/>
              </w:rPr>
              <w:t xml:space="preserve">wastewater </w:t>
            </w:r>
            <w:r w:rsidRPr="003818D7">
              <w:rPr>
                <w:rFonts w:ascii="Calibri" w:hAnsi="Calibri" w:cs="Calibri"/>
                <w:b/>
                <w:bCs/>
                <w:sz w:val="21"/>
                <w:szCs w:val="21"/>
                <w:lang w:val="en-US"/>
              </w:rPr>
              <w:t xml:space="preserve">sludge to </w:t>
            </w:r>
            <w:r w:rsidR="00605253" w:rsidRPr="003818D7">
              <w:rPr>
                <w:rFonts w:ascii="Calibri" w:hAnsi="Calibri" w:cs="Calibri"/>
                <w:b/>
                <w:bCs/>
                <w:sz w:val="21"/>
                <w:szCs w:val="21"/>
                <w:lang w:val="en-US"/>
              </w:rPr>
              <w:t>incineration</w:t>
            </w:r>
          </w:p>
        </w:tc>
        <w:tc>
          <w:tcPr>
            <w:tcW w:w="1324" w:type="dxa"/>
          </w:tcPr>
          <w:p w14:paraId="051C4035" w14:textId="77777777" w:rsidR="008E147C" w:rsidRPr="00420BD6" w:rsidRDefault="008E147C" w:rsidP="00420BD6">
            <w:pPr>
              <w:pStyle w:val="Bodyromannumerals"/>
              <w:rPr>
                <w:b/>
                <w:bCs/>
              </w:rPr>
            </w:pPr>
            <w:r w:rsidRPr="00420BD6">
              <w:rPr>
                <w:b/>
                <w:bCs/>
              </w:rPr>
              <w:t>%</w:t>
            </w:r>
          </w:p>
        </w:tc>
      </w:tr>
      <w:tr w:rsidR="008E147C" w:rsidRPr="009A191E" w14:paraId="3CA2DEA5" w14:textId="77777777" w:rsidTr="01C192FA">
        <w:tc>
          <w:tcPr>
            <w:tcW w:w="1999" w:type="dxa"/>
            <w:gridSpan w:val="2"/>
            <w:tcBorders>
              <w:left w:val="single" w:sz="4" w:space="0" w:color="FFFFFF" w:themeColor="background2"/>
              <w:bottom w:val="single" w:sz="4" w:space="0" w:color="FFFFFF" w:themeColor="background2"/>
              <w:right w:val="single" w:sz="4" w:space="0" w:color="FFFFFF" w:themeColor="background2"/>
            </w:tcBorders>
          </w:tcPr>
          <w:p w14:paraId="1DF6480F" w14:textId="77777777" w:rsidR="008E147C" w:rsidRPr="00420BD6" w:rsidRDefault="008E147C" w:rsidP="00420BD6">
            <w:pPr>
              <w:pStyle w:val="Bodyromannumerals"/>
            </w:pPr>
            <w:r w:rsidRPr="00420BD6">
              <w:rPr>
                <w:i/>
                <w:iCs/>
              </w:rPr>
              <w:t>Definition</w:t>
            </w:r>
            <w:r w:rsidRPr="00420BD6">
              <w:t>:</w:t>
            </w:r>
          </w:p>
        </w:tc>
        <w:tc>
          <w:tcPr>
            <w:tcW w:w="5559" w:type="dxa"/>
            <w:gridSpan w:val="2"/>
            <w:tcBorders>
              <w:left w:val="single" w:sz="4" w:space="0" w:color="FFFFFF" w:themeColor="background2"/>
              <w:bottom w:val="single" w:sz="4" w:space="0" w:color="FFFFFF" w:themeColor="background2"/>
              <w:right w:val="single" w:sz="4" w:space="0" w:color="FFFFFF" w:themeColor="background2"/>
            </w:tcBorders>
          </w:tcPr>
          <w:p w14:paraId="05340903" w14:textId="77777777" w:rsidR="008E147C" w:rsidRDefault="008E147C" w:rsidP="00420BD6">
            <w:pPr>
              <w:pStyle w:val="Bodyromannumerals"/>
            </w:pPr>
            <w:r w:rsidRPr="00420BD6">
              <w:t xml:space="preserve">Percentage of the total </w:t>
            </w:r>
            <w:r w:rsidR="0050345B">
              <w:t>wastewater</w:t>
            </w:r>
            <w:r w:rsidR="0050345B" w:rsidRPr="00420BD6">
              <w:t xml:space="preserve"> </w:t>
            </w:r>
            <w:r w:rsidRPr="00420BD6">
              <w:t xml:space="preserve">sludge disposal </w:t>
            </w:r>
            <w:r w:rsidR="00074F6E">
              <w:t>subject</w:t>
            </w:r>
            <w:r w:rsidRPr="00420BD6">
              <w:t xml:space="preserve"> to incineration.</w:t>
            </w:r>
          </w:p>
          <w:p w14:paraId="0C3732C1" w14:textId="384A5BAE" w:rsidR="00406CBD" w:rsidRPr="00420BD6" w:rsidRDefault="00406CBD" w:rsidP="00420BD6">
            <w:pPr>
              <w:pStyle w:val="Bodyromannumerals"/>
            </w:pPr>
            <w:r>
              <w:t>The quantity of sludge disposed to which the percentages in lines A4.45 to A4.52 inclusive apply should be that reported in line A4.53.</w:t>
            </w:r>
          </w:p>
        </w:tc>
      </w:tr>
      <w:tr w:rsidR="008E147C" w:rsidRPr="009A191E" w14:paraId="0D122C88" w14:textId="77777777" w:rsidTr="01C192FA">
        <w:tc>
          <w:tcPr>
            <w:tcW w:w="199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F443330" w14:textId="77777777" w:rsidR="008E147C" w:rsidRPr="00420BD6" w:rsidRDefault="008E147C" w:rsidP="00420BD6">
            <w:pPr>
              <w:pStyle w:val="Bodyromannumerals"/>
            </w:pPr>
            <w:r w:rsidRPr="00420BD6">
              <w:rPr>
                <w:i/>
                <w:iCs/>
              </w:rPr>
              <w:t>Processing Rules</w:t>
            </w:r>
            <w:r w:rsidRPr="00420BD6">
              <w:t>:</w:t>
            </w:r>
          </w:p>
        </w:tc>
        <w:tc>
          <w:tcPr>
            <w:tcW w:w="555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66C8AB6" w14:textId="77777777" w:rsidR="008E147C" w:rsidRPr="00420BD6" w:rsidRDefault="008E147C" w:rsidP="00420BD6">
            <w:pPr>
              <w:pStyle w:val="Bodyromannumerals"/>
            </w:pPr>
            <w:r w:rsidRPr="00420BD6">
              <w:t>Input field</w:t>
            </w:r>
          </w:p>
        </w:tc>
      </w:tr>
    </w:tbl>
    <w:p w14:paraId="4793D72B" w14:textId="77777777" w:rsidR="006333CB" w:rsidRDefault="006333CB">
      <w:r>
        <w:br w:type="page"/>
      </w:r>
    </w:p>
    <w:tbl>
      <w:tblPr>
        <w:tblStyle w:val="TableGrid3"/>
        <w:tblW w:w="7558" w:type="dxa"/>
        <w:tblLook w:val="04A0" w:firstRow="1" w:lastRow="0" w:firstColumn="1" w:lastColumn="0" w:noHBand="0" w:noVBand="1"/>
      </w:tblPr>
      <w:tblGrid>
        <w:gridCol w:w="1035"/>
        <w:gridCol w:w="964"/>
        <w:gridCol w:w="4235"/>
        <w:gridCol w:w="1324"/>
      </w:tblGrid>
      <w:tr w:rsidR="008E147C" w:rsidRPr="009A191E" w14:paraId="6E351F2F" w14:textId="77777777" w:rsidTr="01C192FA">
        <w:tc>
          <w:tcPr>
            <w:tcW w:w="1035" w:type="dxa"/>
          </w:tcPr>
          <w:p w14:paraId="0D430AAB" w14:textId="2A84E6B7" w:rsidR="008E147C" w:rsidRPr="00420BD6" w:rsidRDefault="008E147C" w:rsidP="00420BD6">
            <w:pPr>
              <w:pStyle w:val="Bodyromannumerals"/>
              <w:rPr>
                <w:b/>
                <w:bCs/>
              </w:rPr>
            </w:pPr>
            <w:r w:rsidRPr="00420BD6">
              <w:rPr>
                <w:b/>
                <w:bCs/>
              </w:rPr>
              <w:lastRenderedPageBreak/>
              <w:t>A4.4</w:t>
            </w:r>
            <w:r w:rsidR="005D4875">
              <w:rPr>
                <w:b/>
                <w:bCs/>
              </w:rPr>
              <w:t>9</w:t>
            </w:r>
          </w:p>
        </w:tc>
        <w:tc>
          <w:tcPr>
            <w:tcW w:w="5199" w:type="dxa"/>
            <w:gridSpan w:val="2"/>
          </w:tcPr>
          <w:p w14:paraId="5FFCEA81" w14:textId="3E030CFC" w:rsidR="008E147C" w:rsidRPr="00420BD6" w:rsidRDefault="008E147C" w:rsidP="00420BD6">
            <w:pPr>
              <w:pStyle w:val="Bodyromannumerals"/>
              <w:rPr>
                <w:b/>
                <w:bCs/>
              </w:rPr>
            </w:pPr>
            <w:r w:rsidRPr="00420BD6">
              <w:rPr>
                <w:b/>
                <w:bCs/>
              </w:rPr>
              <w:t xml:space="preserve">Percentage </w:t>
            </w:r>
            <w:r w:rsidR="0050345B">
              <w:rPr>
                <w:b/>
                <w:bCs/>
              </w:rPr>
              <w:t>wastewater</w:t>
            </w:r>
            <w:r w:rsidR="0050345B" w:rsidRPr="00420BD6">
              <w:rPr>
                <w:b/>
                <w:bCs/>
              </w:rPr>
              <w:t xml:space="preserve"> </w:t>
            </w:r>
            <w:r w:rsidRPr="00420BD6">
              <w:rPr>
                <w:b/>
                <w:bCs/>
              </w:rPr>
              <w:t>sludge to landfill</w:t>
            </w:r>
          </w:p>
        </w:tc>
        <w:tc>
          <w:tcPr>
            <w:tcW w:w="1324" w:type="dxa"/>
          </w:tcPr>
          <w:p w14:paraId="04BD5366" w14:textId="77777777" w:rsidR="008E147C" w:rsidRPr="00420BD6" w:rsidRDefault="008E147C" w:rsidP="00420BD6">
            <w:pPr>
              <w:pStyle w:val="Bodyromannumerals"/>
              <w:rPr>
                <w:b/>
                <w:bCs/>
              </w:rPr>
            </w:pPr>
            <w:r w:rsidRPr="00420BD6">
              <w:rPr>
                <w:b/>
                <w:bCs/>
              </w:rPr>
              <w:t>%</w:t>
            </w:r>
          </w:p>
        </w:tc>
      </w:tr>
      <w:tr w:rsidR="008E147C" w:rsidRPr="009A191E" w14:paraId="6AC7017E" w14:textId="77777777" w:rsidTr="01C192FA">
        <w:tc>
          <w:tcPr>
            <w:tcW w:w="1999" w:type="dxa"/>
            <w:gridSpan w:val="2"/>
            <w:tcBorders>
              <w:left w:val="single" w:sz="4" w:space="0" w:color="FFFFFF" w:themeColor="background2"/>
              <w:bottom w:val="single" w:sz="4" w:space="0" w:color="FFFFFF" w:themeColor="background2"/>
              <w:right w:val="single" w:sz="4" w:space="0" w:color="FFFFFF" w:themeColor="background2"/>
            </w:tcBorders>
          </w:tcPr>
          <w:p w14:paraId="06FA3195" w14:textId="77777777" w:rsidR="008E147C" w:rsidRPr="00420BD6" w:rsidRDefault="008E147C" w:rsidP="00420BD6">
            <w:pPr>
              <w:pStyle w:val="Bodyromannumerals"/>
            </w:pPr>
            <w:r w:rsidRPr="00420BD6">
              <w:rPr>
                <w:i/>
                <w:iCs/>
              </w:rPr>
              <w:t>Definition</w:t>
            </w:r>
            <w:r w:rsidRPr="00420BD6">
              <w:t>:</w:t>
            </w:r>
          </w:p>
        </w:tc>
        <w:tc>
          <w:tcPr>
            <w:tcW w:w="5559" w:type="dxa"/>
            <w:gridSpan w:val="2"/>
            <w:tcBorders>
              <w:left w:val="single" w:sz="4" w:space="0" w:color="FFFFFF" w:themeColor="background2"/>
              <w:bottom w:val="single" w:sz="4" w:space="0" w:color="FFFFFF" w:themeColor="background2"/>
              <w:right w:val="single" w:sz="4" w:space="0" w:color="FFFFFF" w:themeColor="background2"/>
            </w:tcBorders>
          </w:tcPr>
          <w:p w14:paraId="3D8C5DE7" w14:textId="77777777" w:rsidR="008E147C" w:rsidRDefault="008E147C" w:rsidP="00605253">
            <w:pPr>
              <w:rPr>
                <w:rFonts w:ascii="Calibri" w:hAnsi="Calibri" w:cs="Calibri"/>
                <w:sz w:val="21"/>
                <w:szCs w:val="21"/>
              </w:rPr>
            </w:pPr>
            <w:r w:rsidRPr="003818D7">
              <w:rPr>
                <w:rFonts w:ascii="Calibri" w:hAnsi="Calibri" w:cs="Calibri"/>
                <w:sz w:val="21"/>
                <w:szCs w:val="21"/>
              </w:rPr>
              <w:t xml:space="preserve">Percentage of the total </w:t>
            </w:r>
            <w:r w:rsidR="0050345B" w:rsidRPr="003818D7">
              <w:rPr>
                <w:rFonts w:ascii="Calibri" w:hAnsi="Calibri" w:cs="Calibri"/>
                <w:sz w:val="21"/>
                <w:szCs w:val="21"/>
              </w:rPr>
              <w:t xml:space="preserve">wastewater </w:t>
            </w:r>
            <w:r w:rsidRPr="003818D7">
              <w:rPr>
                <w:rFonts w:ascii="Calibri" w:hAnsi="Calibri" w:cs="Calibri"/>
                <w:sz w:val="21"/>
                <w:szCs w:val="21"/>
              </w:rPr>
              <w:t xml:space="preserve">sludge disposal to </w:t>
            </w:r>
            <w:r w:rsidR="00605253" w:rsidRPr="003818D7">
              <w:rPr>
                <w:rFonts w:ascii="Calibri" w:hAnsi="Calibri" w:cs="Calibri"/>
                <w:sz w:val="21"/>
                <w:szCs w:val="21"/>
              </w:rPr>
              <w:t>landfill</w:t>
            </w:r>
            <w:r w:rsidR="008A49E4">
              <w:rPr>
                <w:rFonts w:ascii="Calibri" w:hAnsi="Calibri" w:cs="Calibri"/>
                <w:sz w:val="21"/>
                <w:szCs w:val="21"/>
              </w:rPr>
              <w:t xml:space="preserve"> in various forms</w:t>
            </w:r>
            <w:r w:rsidR="00E955F9">
              <w:rPr>
                <w:rFonts w:ascii="Calibri" w:hAnsi="Calibri" w:cs="Calibri"/>
                <w:sz w:val="21"/>
                <w:szCs w:val="21"/>
              </w:rPr>
              <w:t xml:space="preserve"> (e.g. raw and partly treated)</w:t>
            </w:r>
            <w:r w:rsidRPr="003818D7">
              <w:rPr>
                <w:rFonts w:ascii="Calibri" w:hAnsi="Calibri" w:cs="Calibri"/>
                <w:sz w:val="21"/>
                <w:szCs w:val="21"/>
              </w:rPr>
              <w:t>.</w:t>
            </w:r>
            <w:r w:rsidR="008A49E4">
              <w:rPr>
                <w:rFonts w:ascii="Calibri" w:hAnsi="Calibri" w:cs="Calibri"/>
                <w:sz w:val="21"/>
                <w:szCs w:val="21"/>
              </w:rPr>
              <w:t xml:space="preserve"> This </w:t>
            </w:r>
            <w:r w:rsidR="00E955F9">
              <w:rPr>
                <w:rFonts w:ascii="Calibri" w:hAnsi="Calibri" w:cs="Calibri"/>
                <w:sz w:val="21"/>
                <w:szCs w:val="21"/>
              </w:rPr>
              <w:t xml:space="preserve">excludes </w:t>
            </w:r>
            <w:r w:rsidR="008C6265">
              <w:rPr>
                <w:rFonts w:ascii="Calibri" w:hAnsi="Calibri" w:cs="Calibri"/>
                <w:sz w:val="21"/>
                <w:szCs w:val="21"/>
              </w:rPr>
              <w:t>incinerated slud</w:t>
            </w:r>
            <w:r w:rsidR="0044436C">
              <w:rPr>
                <w:rFonts w:ascii="Calibri" w:hAnsi="Calibri" w:cs="Calibri"/>
                <w:sz w:val="21"/>
                <w:szCs w:val="21"/>
              </w:rPr>
              <w:t xml:space="preserve">ge reported in A4.48. </w:t>
            </w:r>
            <w:r w:rsidR="00D76757">
              <w:rPr>
                <w:rFonts w:ascii="Calibri" w:hAnsi="Calibri" w:cs="Calibri"/>
                <w:sz w:val="21"/>
                <w:szCs w:val="21"/>
              </w:rPr>
              <w:t xml:space="preserve"> </w:t>
            </w:r>
          </w:p>
          <w:p w14:paraId="474CDCFF" w14:textId="4CFB3272" w:rsidR="00406CBD" w:rsidRPr="00420BD6" w:rsidRDefault="00406CBD" w:rsidP="008B4ACD">
            <w:pPr>
              <w:pStyle w:val="Bodyromannumerals"/>
            </w:pPr>
            <w:r>
              <w:t>The quantity of sludge disposed to which the percentages in lines A4.45 to A4.52 inclusive apply should be that reported in line A4.53.</w:t>
            </w:r>
          </w:p>
        </w:tc>
      </w:tr>
      <w:tr w:rsidR="008E147C" w:rsidRPr="009A191E" w14:paraId="0ED95784" w14:textId="77777777" w:rsidTr="01C192FA">
        <w:tc>
          <w:tcPr>
            <w:tcW w:w="199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F913D53" w14:textId="77777777" w:rsidR="008E147C" w:rsidRPr="00420BD6" w:rsidRDefault="008E147C" w:rsidP="00420BD6">
            <w:pPr>
              <w:pStyle w:val="Bodyromannumerals"/>
            </w:pPr>
            <w:r w:rsidRPr="00420BD6">
              <w:rPr>
                <w:i/>
                <w:iCs/>
              </w:rPr>
              <w:t>Processing Rules</w:t>
            </w:r>
            <w:r w:rsidRPr="00420BD6">
              <w:t>:</w:t>
            </w:r>
          </w:p>
        </w:tc>
        <w:tc>
          <w:tcPr>
            <w:tcW w:w="555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1EA916A" w14:textId="77777777" w:rsidR="008E147C" w:rsidRPr="00420BD6" w:rsidRDefault="008E147C" w:rsidP="00420BD6">
            <w:pPr>
              <w:pStyle w:val="Bodyromannumerals"/>
            </w:pPr>
            <w:r w:rsidRPr="00420BD6">
              <w:t>Input field</w:t>
            </w:r>
          </w:p>
        </w:tc>
      </w:tr>
      <w:tr w:rsidR="008E147C" w:rsidRPr="009A191E" w14:paraId="3F4DE58A" w14:textId="77777777" w:rsidTr="01C192FA">
        <w:tc>
          <w:tcPr>
            <w:tcW w:w="1035" w:type="dxa"/>
          </w:tcPr>
          <w:p w14:paraId="42FF2BC9" w14:textId="7D2247E7" w:rsidR="008E147C" w:rsidRPr="00420BD6" w:rsidRDefault="008E147C" w:rsidP="00420BD6">
            <w:pPr>
              <w:pStyle w:val="Bodyromannumerals"/>
              <w:rPr>
                <w:b/>
                <w:bCs/>
              </w:rPr>
            </w:pPr>
            <w:r w:rsidRPr="00420BD6">
              <w:rPr>
                <w:b/>
                <w:bCs/>
              </w:rPr>
              <w:t>A4.</w:t>
            </w:r>
            <w:r w:rsidR="005D4875">
              <w:rPr>
                <w:b/>
                <w:bCs/>
              </w:rPr>
              <w:t>50</w:t>
            </w:r>
          </w:p>
        </w:tc>
        <w:tc>
          <w:tcPr>
            <w:tcW w:w="5199" w:type="dxa"/>
            <w:gridSpan w:val="2"/>
          </w:tcPr>
          <w:p w14:paraId="523F86C6" w14:textId="2FB11D3A" w:rsidR="008E147C" w:rsidRPr="00420BD6" w:rsidRDefault="008E147C" w:rsidP="00420BD6">
            <w:pPr>
              <w:pStyle w:val="Bodyromannumerals"/>
              <w:rPr>
                <w:b/>
                <w:bCs/>
              </w:rPr>
            </w:pPr>
            <w:r w:rsidRPr="00420BD6">
              <w:rPr>
                <w:b/>
                <w:bCs/>
              </w:rPr>
              <w:t xml:space="preserve">Percentage </w:t>
            </w:r>
            <w:r w:rsidR="0050345B">
              <w:rPr>
                <w:b/>
                <w:bCs/>
              </w:rPr>
              <w:t>wastewater</w:t>
            </w:r>
            <w:r w:rsidR="0050345B" w:rsidRPr="00420BD6">
              <w:rPr>
                <w:b/>
                <w:bCs/>
              </w:rPr>
              <w:t xml:space="preserve"> </w:t>
            </w:r>
            <w:r w:rsidRPr="00420BD6">
              <w:rPr>
                <w:b/>
                <w:bCs/>
              </w:rPr>
              <w:t>sludge composted</w:t>
            </w:r>
          </w:p>
        </w:tc>
        <w:tc>
          <w:tcPr>
            <w:tcW w:w="1324" w:type="dxa"/>
          </w:tcPr>
          <w:p w14:paraId="6A224214" w14:textId="77777777" w:rsidR="008E147C" w:rsidRPr="00420BD6" w:rsidRDefault="008E147C" w:rsidP="00420BD6">
            <w:pPr>
              <w:pStyle w:val="Bodyromannumerals"/>
              <w:rPr>
                <w:b/>
                <w:bCs/>
              </w:rPr>
            </w:pPr>
            <w:r w:rsidRPr="00420BD6">
              <w:rPr>
                <w:b/>
                <w:bCs/>
              </w:rPr>
              <w:t>%</w:t>
            </w:r>
          </w:p>
        </w:tc>
      </w:tr>
      <w:tr w:rsidR="008E147C" w:rsidRPr="009A191E" w14:paraId="4E358502" w14:textId="77777777" w:rsidTr="01C192FA">
        <w:tc>
          <w:tcPr>
            <w:tcW w:w="1999" w:type="dxa"/>
            <w:gridSpan w:val="2"/>
            <w:tcBorders>
              <w:left w:val="single" w:sz="4" w:space="0" w:color="FFFFFF" w:themeColor="background2"/>
              <w:bottom w:val="single" w:sz="4" w:space="0" w:color="FFFFFF" w:themeColor="background2"/>
              <w:right w:val="single" w:sz="4" w:space="0" w:color="FFFFFF" w:themeColor="background2"/>
            </w:tcBorders>
          </w:tcPr>
          <w:p w14:paraId="2A6BA4AB" w14:textId="77777777" w:rsidR="008E147C" w:rsidRPr="00420BD6" w:rsidRDefault="008E147C" w:rsidP="00420BD6">
            <w:pPr>
              <w:pStyle w:val="Bodyromannumerals"/>
            </w:pPr>
            <w:r w:rsidRPr="00420BD6">
              <w:rPr>
                <w:i/>
                <w:iCs/>
              </w:rPr>
              <w:t>Definition</w:t>
            </w:r>
            <w:r w:rsidRPr="00420BD6">
              <w:t>:</w:t>
            </w:r>
          </w:p>
        </w:tc>
        <w:tc>
          <w:tcPr>
            <w:tcW w:w="5559" w:type="dxa"/>
            <w:gridSpan w:val="2"/>
            <w:tcBorders>
              <w:left w:val="single" w:sz="4" w:space="0" w:color="FFFFFF" w:themeColor="background2"/>
              <w:bottom w:val="single" w:sz="4" w:space="0" w:color="FFFFFF" w:themeColor="background2"/>
              <w:right w:val="single" w:sz="4" w:space="0" w:color="FFFFFF" w:themeColor="background2"/>
            </w:tcBorders>
          </w:tcPr>
          <w:p w14:paraId="1A1E9E15" w14:textId="77777777" w:rsidR="008E147C" w:rsidRDefault="008E147C" w:rsidP="00420BD6">
            <w:pPr>
              <w:pStyle w:val="Bodyromannumerals"/>
            </w:pPr>
            <w:r w:rsidRPr="00420BD6">
              <w:t xml:space="preserve">Percentage of the total </w:t>
            </w:r>
            <w:r w:rsidR="0050345B">
              <w:t>wastewater</w:t>
            </w:r>
            <w:r w:rsidR="0050345B" w:rsidRPr="00420BD6">
              <w:t xml:space="preserve"> </w:t>
            </w:r>
            <w:r w:rsidRPr="00420BD6">
              <w:t>sludge disposed of by means of composting.</w:t>
            </w:r>
            <w:r w:rsidR="005A4A45">
              <w:t xml:space="preserve"> </w:t>
            </w:r>
            <w:r w:rsidR="007A2BEC">
              <w:t xml:space="preserve">This excludes incinerated sludge reported in A4.48.  </w:t>
            </w:r>
          </w:p>
          <w:p w14:paraId="7E98FD2C" w14:textId="23A338AA" w:rsidR="00406CBD" w:rsidRPr="00420BD6" w:rsidRDefault="00406CBD" w:rsidP="00420BD6">
            <w:pPr>
              <w:pStyle w:val="Bodyromannumerals"/>
            </w:pPr>
            <w:r>
              <w:t>The quantity of sludge disposed to which the percentages in lines A4.45 to A4.52 inclusive apply should be that reported in line A4.53.</w:t>
            </w:r>
          </w:p>
        </w:tc>
      </w:tr>
      <w:tr w:rsidR="008E147C" w:rsidRPr="009A191E" w14:paraId="69770FCF" w14:textId="77777777" w:rsidTr="01C192FA">
        <w:tc>
          <w:tcPr>
            <w:tcW w:w="199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63C79A9" w14:textId="77777777" w:rsidR="008E147C" w:rsidRPr="00420BD6" w:rsidRDefault="008E147C" w:rsidP="00420BD6">
            <w:pPr>
              <w:pStyle w:val="Bodyromannumerals"/>
              <w:rPr>
                <w:i/>
                <w:iCs/>
              </w:rPr>
            </w:pPr>
            <w:r w:rsidRPr="00420BD6">
              <w:rPr>
                <w:i/>
                <w:iCs/>
              </w:rPr>
              <w:t>Processing Rules:</w:t>
            </w:r>
          </w:p>
        </w:tc>
        <w:tc>
          <w:tcPr>
            <w:tcW w:w="555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91443BB" w14:textId="77777777" w:rsidR="008E147C" w:rsidRPr="00420BD6" w:rsidRDefault="008E147C" w:rsidP="00420BD6">
            <w:pPr>
              <w:pStyle w:val="Bodyromannumerals"/>
            </w:pPr>
            <w:r w:rsidRPr="00420BD6">
              <w:t>Input field</w:t>
            </w:r>
          </w:p>
        </w:tc>
      </w:tr>
      <w:tr w:rsidR="008E147C" w:rsidRPr="009A191E" w14:paraId="06BC3879" w14:textId="77777777" w:rsidTr="01C192FA">
        <w:tc>
          <w:tcPr>
            <w:tcW w:w="1035" w:type="dxa"/>
          </w:tcPr>
          <w:p w14:paraId="17A65EDB" w14:textId="11243EAC" w:rsidR="008E147C" w:rsidRPr="00420BD6" w:rsidRDefault="008E147C" w:rsidP="00420BD6">
            <w:pPr>
              <w:pStyle w:val="Bodyromannumerals"/>
              <w:rPr>
                <w:b/>
                <w:bCs/>
              </w:rPr>
            </w:pPr>
            <w:r w:rsidRPr="00420BD6">
              <w:rPr>
                <w:b/>
                <w:bCs/>
              </w:rPr>
              <w:t>A4.</w:t>
            </w:r>
            <w:r w:rsidR="005D4875">
              <w:rPr>
                <w:b/>
                <w:bCs/>
              </w:rPr>
              <w:t>51</w:t>
            </w:r>
          </w:p>
        </w:tc>
        <w:tc>
          <w:tcPr>
            <w:tcW w:w="5199" w:type="dxa"/>
            <w:gridSpan w:val="2"/>
          </w:tcPr>
          <w:p w14:paraId="6491A530" w14:textId="4F2CB84B" w:rsidR="008E147C" w:rsidRPr="00420BD6" w:rsidRDefault="008E147C" w:rsidP="00420BD6">
            <w:pPr>
              <w:pStyle w:val="Bodyromannumerals"/>
              <w:rPr>
                <w:b/>
                <w:bCs/>
              </w:rPr>
            </w:pPr>
            <w:r w:rsidRPr="00420BD6">
              <w:rPr>
                <w:b/>
                <w:bCs/>
              </w:rPr>
              <w:t xml:space="preserve">Percentage </w:t>
            </w:r>
            <w:r w:rsidR="0050345B">
              <w:rPr>
                <w:b/>
                <w:bCs/>
              </w:rPr>
              <w:t>wastewater</w:t>
            </w:r>
            <w:r w:rsidR="0050345B" w:rsidRPr="00420BD6">
              <w:rPr>
                <w:b/>
                <w:bCs/>
              </w:rPr>
              <w:t xml:space="preserve"> </w:t>
            </w:r>
            <w:r w:rsidRPr="00420BD6">
              <w:rPr>
                <w:b/>
                <w:bCs/>
              </w:rPr>
              <w:t>sludge to land reclamation</w:t>
            </w:r>
          </w:p>
        </w:tc>
        <w:tc>
          <w:tcPr>
            <w:tcW w:w="1324" w:type="dxa"/>
          </w:tcPr>
          <w:p w14:paraId="427B1407" w14:textId="77777777" w:rsidR="008E147C" w:rsidRPr="00420BD6" w:rsidRDefault="008E147C" w:rsidP="00420BD6">
            <w:pPr>
              <w:pStyle w:val="Bodyromannumerals"/>
              <w:rPr>
                <w:b/>
                <w:bCs/>
              </w:rPr>
            </w:pPr>
            <w:r w:rsidRPr="00420BD6">
              <w:rPr>
                <w:b/>
                <w:bCs/>
              </w:rPr>
              <w:t>%</w:t>
            </w:r>
          </w:p>
        </w:tc>
      </w:tr>
      <w:tr w:rsidR="008E147C" w:rsidRPr="009A191E" w14:paraId="6BC785B5" w14:textId="77777777" w:rsidTr="01C192FA">
        <w:tc>
          <w:tcPr>
            <w:tcW w:w="1999" w:type="dxa"/>
            <w:gridSpan w:val="2"/>
            <w:tcBorders>
              <w:left w:val="single" w:sz="4" w:space="0" w:color="FFFFFF" w:themeColor="background2"/>
              <w:bottom w:val="single" w:sz="4" w:space="0" w:color="FFFFFF" w:themeColor="background2"/>
              <w:right w:val="single" w:sz="4" w:space="0" w:color="FFFFFF" w:themeColor="background2"/>
            </w:tcBorders>
          </w:tcPr>
          <w:p w14:paraId="7DCF2AF5" w14:textId="77777777" w:rsidR="008E147C" w:rsidRPr="00420BD6" w:rsidRDefault="008E147C" w:rsidP="00420BD6">
            <w:pPr>
              <w:pStyle w:val="Bodyromannumerals"/>
            </w:pPr>
            <w:r w:rsidRPr="00420BD6">
              <w:rPr>
                <w:i/>
                <w:iCs/>
              </w:rPr>
              <w:t>Definition</w:t>
            </w:r>
            <w:r w:rsidRPr="00420BD6">
              <w:t>:</w:t>
            </w:r>
          </w:p>
        </w:tc>
        <w:tc>
          <w:tcPr>
            <w:tcW w:w="5559" w:type="dxa"/>
            <w:gridSpan w:val="2"/>
            <w:tcBorders>
              <w:left w:val="single" w:sz="4" w:space="0" w:color="FFFFFF" w:themeColor="background2"/>
              <w:bottom w:val="single" w:sz="4" w:space="0" w:color="FFFFFF" w:themeColor="background2"/>
              <w:right w:val="single" w:sz="4" w:space="0" w:color="FFFFFF" w:themeColor="background2"/>
            </w:tcBorders>
          </w:tcPr>
          <w:p w14:paraId="67157579" w14:textId="77777777" w:rsidR="008E147C" w:rsidRDefault="008E147C" w:rsidP="00605253">
            <w:pPr>
              <w:rPr>
                <w:rFonts w:ascii="Calibri" w:hAnsi="Calibri" w:cs="Calibri"/>
                <w:sz w:val="21"/>
                <w:szCs w:val="21"/>
              </w:rPr>
            </w:pPr>
            <w:r w:rsidRPr="003818D7">
              <w:rPr>
                <w:rFonts w:ascii="Calibri" w:hAnsi="Calibri" w:cs="Calibri"/>
                <w:sz w:val="21"/>
                <w:szCs w:val="21"/>
              </w:rPr>
              <w:t xml:space="preserve">Percentage of the total </w:t>
            </w:r>
            <w:r w:rsidR="0050345B" w:rsidRPr="003818D7">
              <w:rPr>
                <w:rFonts w:ascii="Calibri" w:hAnsi="Calibri" w:cs="Calibri"/>
                <w:sz w:val="21"/>
                <w:szCs w:val="21"/>
              </w:rPr>
              <w:t xml:space="preserve">wastewater </w:t>
            </w:r>
            <w:r w:rsidRPr="003818D7">
              <w:rPr>
                <w:rFonts w:ascii="Calibri" w:hAnsi="Calibri" w:cs="Calibri"/>
                <w:sz w:val="21"/>
                <w:szCs w:val="21"/>
              </w:rPr>
              <w:t xml:space="preserve">sludge disposed to </w:t>
            </w:r>
            <w:r w:rsidR="00605253" w:rsidRPr="003818D7">
              <w:rPr>
                <w:rFonts w:ascii="Calibri" w:hAnsi="Calibri" w:cs="Calibri"/>
                <w:sz w:val="21"/>
                <w:szCs w:val="21"/>
              </w:rPr>
              <w:t>land reclamation</w:t>
            </w:r>
            <w:r w:rsidRPr="003818D7">
              <w:rPr>
                <w:rFonts w:ascii="Calibri" w:hAnsi="Calibri" w:cs="Calibri"/>
                <w:sz w:val="21"/>
                <w:szCs w:val="21"/>
              </w:rPr>
              <w:t>.</w:t>
            </w:r>
            <w:r w:rsidR="00DF172E">
              <w:rPr>
                <w:rFonts w:ascii="Calibri" w:hAnsi="Calibri" w:cs="Calibri"/>
                <w:sz w:val="21"/>
                <w:szCs w:val="21"/>
              </w:rPr>
              <w:t xml:space="preserve"> This excludes incinerated sludge reported in A4.48.  </w:t>
            </w:r>
          </w:p>
          <w:p w14:paraId="0FAFF144" w14:textId="4D5438BB" w:rsidR="00406CBD" w:rsidRPr="00420BD6" w:rsidRDefault="00406CBD" w:rsidP="008B4ACD">
            <w:pPr>
              <w:pStyle w:val="Bodyromannumerals"/>
            </w:pPr>
            <w:r>
              <w:t xml:space="preserve">The quantity of sludge disposed to which the percentages in lines A4.45 to A4.52 </w:t>
            </w:r>
            <w:r w:rsidR="0095344A">
              <w:t>(</w:t>
            </w:r>
            <w:r>
              <w:t>inclusive</w:t>
            </w:r>
            <w:r w:rsidR="0095344A">
              <w:t>)</w:t>
            </w:r>
            <w:r>
              <w:t xml:space="preserve"> apply should be that reported in line A4.53.</w:t>
            </w:r>
          </w:p>
        </w:tc>
      </w:tr>
      <w:tr w:rsidR="008E147C" w:rsidRPr="009A191E" w14:paraId="3A16390F" w14:textId="77777777" w:rsidTr="01C192FA">
        <w:tc>
          <w:tcPr>
            <w:tcW w:w="199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0615FF2" w14:textId="77777777" w:rsidR="008E147C" w:rsidRPr="00420BD6" w:rsidRDefault="008E147C" w:rsidP="00420BD6">
            <w:pPr>
              <w:pStyle w:val="Bodyromannumerals"/>
            </w:pPr>
            <w:r w:rsidRPr="00420BD6">
              <w:rPr>
                <w:i/>
                <w:iCs/>
              </w:rPr>
              <w:t>Processing Rules</w:t>
            </w:r>
            <w:r w:rsidRPr="00420BD6">
              <w:t>:</w:t>
            </w:r>
          </w:p>
        </w:tc>
        <w:tc>
          <w:tcPr>
            <w:tcW w:w="555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2AAB609" w14:textId="77777777" w:rsidR="008E147C" w:rsidRPr="00420BD6" w:rsidRDefault="008E147C" w:rsidP="00420BD6">
            <w:pPr>
              <w:pStyle w:val="Bodyromannumerals"/>
            </w:pPr>
            <w:r w:rsidRPr="00420BD6">
              <w:t>Input field</w:t>
            </w:r>
          </w:p>
        </w:tc>
      </w:tr>
      <w:tr w:rsidR="00305DA2" w:rsidRPr="009A191E" w14:paraId="5C1B0684" w14:textId="77777777" w:rsidTr="00305DA2">
        <w:tc>
          <w:tcPr>
            <w:tcW w:w="1035" w:type="dxa"/>
          </w:tcPr>
          <w:p w14:paraId="136DE8ED" w14:textId="30465AD0" w:rsidR="00305DA2" w:rsidRPr="00EE66BC" w:rsidRDefault="00305DA2" w:rsidP="00305DA2">
            <w:pPr>
              <w:pStyle w:val="Bodyromannumerals"/>
              <w:rPr>
                <w:b/>
                <w:bCs/>
              </w:rPr>
            </w:pPr>
            <w:r w:rsidRPr="00EE66BC">
              <w:rPr>
                <w:b/>
                <w:bCs/>
              </w:rPr>
              <w:t>A4.</w:t>
            </w:r>
            <w:r w:rsidR="005D4875">
              <w:rPr>
                <w:b/>
                <w:bCs/>
              </w:rPr>
              <w:t>52</w:t>
            </w:r>
          </w:p>
        </w:tc>
        <w:tc>
          <w:tcPr>
            <w:tcW w:w="5199" w:type="dxa"/>
            <w:gridSpan w:val="2"/>
          </w:tcPr>
          <w:p w14:paraId="7A8D9573" w14:textId="3D36877E" w:rsidR="00305DA2" w:rsidRPr="00EE66BC" w:rsidRDefault="00305DA2" w:rsidP="00305DA2">
            <w:pPr>
              <w:pStyle w:val="Bodyromannumerals"/>
              <w:rPr>
                <w:b/>
                <w:bCs/>
              </w:rPr>
            </w:pPr>
            <w:r w:rsidRPr="00EE66BC">
              <w:rPr>
                <w:b/>
                <w:bCs/>
              </w:rPr>
              <w:t xml:space="preserve">Percentage other </w:t>
            </w:r>
            <w:r w:rsidR="00E21F8C">
              <w:rPr>
                <w:b/>
                <w:bCs/>
              </w:rPr>
              <w:t>wastewater</w:t>
            </w:r>
            <w:r w:rsidR="00E21F8C" w:rsidRPr="00EE66BC">
              <w:rPr>
                <w:b/>
                <w:bCs/>
              </w:rPr>
              <w:t xml:space="preserve"> </w:t>
            </w:r>
            <w:r w:rsidRPr="00EE66BC">
              <w:rPr>
                <w:b/>
                <w:bCs/>
              </w:rPr>
              <w:t>sludge disposal</w:t>
            </w:r>
          </w:p>
        </w:tc>
        <w:tc>
          <w:tcPr>
            <w:tcW w:w="1324" w:type="dxa"/>
          </w:tcPr>
          <w:p w14:paraId="24AB5650" w14:textId="77777777" w:rsidR="00305DA2" w:rsidRPr="00EE66BC" w:rsidRDefault="00305DA2" w:rsidP="00305DA2">
            <w:pPr>
              <w:pStyle w:val="Bodyromannumerals"/>
              <w:rPr>
                <w:b/>
                <w:bCs/>
              </w:rPr>
            </w:pPr>
            <w:r w:rsidRPr="00EE66BC">
              <w:rPr>
                <w:b/>
                <w:bCs/>
              </w:rPr>
              <w:t>%</w:t>
            </w:r>
          </w:p>
        </w:tc>
      </w:tr>
      <w:tr w:rsidR="00305DA2" w:rsidRPr="009A191E" w14:paraId="6031F52E" w14:textId="77777777" w:rsidTr="00305DA2">
        <w:tc>
          <w:tcPr>
            <w:tcW w:w="1999" w:type="dxa"/>
            <w:gridSpan w:val="2"/>
            <w:tcBorders>
              <w:left w:val="single" w:sz="4" w:space="0" w:color="FFFFFF" w:themeColor="background2"/>
              <w:bottom w:val="single" w:sz="4" w:space="0" w:color="FFFFFF" w:themeColor="background2"/>
              <w:right w:val="single" w:sz="4" w:space="0" w:color="FFFFFF" w:themeColor="background2"/>
            </w:tcBorders>
          </w:tcPr>
          <w:p w14:paraId="13D5CC6C" w14:textId="77777777" w:rsidR="00305DA2" w:rsidRPr="00420BD6" w:rsidRDefault="00305DA2" w:rsidP="00305DA2">
            <w:pPr>
              <w:pStyle w:val="Bodyromannumerals"/>
            </w:pPr>
            <w:r w:rsidRPr="00420BD6">
              <w:rPr>
                <w:i/>
                <w:iCs/>
              </w:rPr>
              <w:t>Definition</w:t>
            </w:r>
            <w:r w:rsidRPr="00420BD6">
              <w:t>:</w:t>
            </w:r>
          </w:p>
        </w:tc>
        <w:tc>
          <w:tcPr>
            <w:tcW w:w="5559" w:type="dxa"/>
            <w:gridSpan w:val="2"/>
            <w:tcBorders>
              <w:left w:val="single" w:sz="4" w:space="0" w:color="FFFFFF" w:themeColor="background2"/>
              <w:bottom w:val="single" w:sz="4" w:space="0" w:color="FFFFFF" w:themeColor="background2"/>
              <w:right w:val="single" w:sz="4" w:space="0" w:color="FFFFFF" w:themeColor="background2"/>
            </w:tcBorders>
          </w:tcPr>
          <w:p w14:paraId="0C10163E" w14:textId="69D6790B" w:rsidR="00305DA2" w:rsidRPr="00420BD6" w:rsidRDefault="00305DA2" w:rsidP="00305DA2">
            <w:pPr>
              <w:pStyle w:val="Bodyromannumerals"/>
            </w:pPr>
            <w:r w:rsidRPr="00420BD6">
              <w:t xml:space="preserve">Percentage of total </w:t>
            </w:r>
            <w:r w:rsidR="00E21F8C">
              <w:t>wastewater</w:t>
            </w:r>
            <w:r w:rsidR="00E21F8C" w:rsidRPr="00420BD6">
              <w:t xml:space="preserve"> </w:t>
            </w:r>
            <w:r w:rsidRPr="00420BD6">
              <w:t>sludge disposal not included in other categories (farmland, landfill, incinerator and sea). Give methods of disposal in the commentary, and the percentage disposed of by each method.</w:t>
            </w:r>
          </w:p>
        </w:tc>
      </w:tr>
      <w:tr w:rsidR="00305DA2" w:rsidRPr="009A191E" w14:paraId="4BE6A54C" w14:textId="77777777" w:rsidTr="00305DA2">
        <w:tc>
          <w:tcPr>
            <w:tcW w:w="199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797C970" w14:textId="77777777" w:rsidR="00305DA2" w:rsidRPr="00420BD6" w:rsidRDefault="00305DA2" w:rsidP="00305DA2">
            <w:pPr>
              <w:pStyle w:val="Bodyromannumerals"/>
            </w:pPr>
            <w:r w:rsidRPr="00420BD6">
              <w:rPr>
                <w:i/>
                <w:iCs/>
              </w:rPr>
              <w:t>Processing Rules</w:t>
            </w:r>
            <w:r w:rsidRPr="00420BD6">
              <w:t>:</w:t>
            </w:r>
          </w:p>
        </w:tc>
        <w:tc>
          <w:tcPr>
            <w:tcW w:w="555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517C4D4" w14:textId="77777777" w:rsidR="00305DA2" w:rsidRPr="00420BD6" w:rsidRDefault="00305DA2" w:rsidP="00305DA2">
            <w:pPr>
              <w:pStyle w:val="Bodyromannumerals"/>
            </w:pPr>
            <w:r w:rsidRPr="00420BD6">
              <w:t>Input field</w:t>
            </w:r>
          </w:p>
        </w:tc>
      </w:tr>
      <w:tr w:rsidR="00305DA2" w:rsidRPr="009A191E" w14:paraId="097D1025" w14:textId="77777777" w:rsidTr="00305DA2">
        <w:tc>
          <w:tcPr>
            <w:tcW w:w="1035" w:type="dxa"/>
          </w:tcPr>
          <w:p w14:paraId="6A603BDC" w14:textId="1616B5FB" w:rsidR="00305DA2" w:rsidRPr="00EE66BC" w:rsidRDefault="00305DA2" w:rsidP="00305DA2">
            <w:pPr>
              <w:pStyle w:val="Bodyromannumerals"/>
              <w:rPr>
                <w:b/>
                <w:bCs/>
              </w:rPr>
            </w:pPr>
            <w:r w:rsidRPr="00EE66BC">
              <w:rPr>
                <w:b/>
                <w:bCs/>
              </w:rPr>
              <w:t>A4.</w:t>
            </w:r>
            <w:r w:rsidR="005D4875">
              <w:rPr>
                <w:b/>
                <w:bCs/>
              </w:rPr>
              <w:t>53</w:t>
            </w:r>
          </w:p>
        </w:tc>
        <w:tc>
          <w:tcPr>
            <w:tcW w:w="5199" w:type="dxa"/>
            <w:gridSpan w:val="2"/>
          </w:tcPr>
          <w:p w14:paraId="08E54C4E" w14:textId="37228324" w:rsidR="00305DA2" w:rsidRPr="003818D7" w:rsidRDefault="00305DA2" w:rsidP="008C01EF">
            <w:r w:rsidRPr="003818D7">
              <w:rPr>
                <w:rFonts w:ascii="Calibri" w:hAnsi="Calibri" w:cs="Calibri"/>
                <w:b/>
                <w:bCs/>
                <w:sz w:val="21"/>
                <w:szCs w:val="21"/>
              </w:rPr>
              <w:t xml:space="preserve">Total </w:t>
            </w:r>
            <w:r w:rsidR="00E21F8C" w:rsidRPr="003818D7">
              <w:rPr>
                <w:rFonts w:ascii="Calibri" w:hAnsi="Calibri" w:cs="Calibri"/>
                <w:b/>
                <w:bCs/>
                <w:sz w:val="21"/>
                <w:szCs w:val="21"/>
              </w:rPr>
              <w:t xml:space="preserve">wastewater </w:t>
            </w:r>
            <w:r w:rsidRPr="003818D7">
              <w:rPr>
                <w:rFonts w:ascii="Calibri" w:hAnsi="Calibri" w:cs="Calibri"/>
                <w:b/>
                <w:bCs/>
                <w:sz w:val="21"/>
                <w:szCs w:val="21"/>
              </w:rPr>
              <w:t xml:space="preserve">sludge </w:t>
            </w:r>
            <w:r w:rsidR="003818D7" w:rsidRPr="003818D7">
              <w:rPr>
                <w:rFonts w:ascii="Calibri" w:hAnsi="Calibri" w:cs="Calibri"/>
                <w:b/>
                <w:bCs/>
                <w:sz w:val="21"/>
                <w:szCs w:val="21"/>
              </w:rPr>
              <w:t>disposal</w:t>
            </w:r>
          </w:p>
        </w:tc>
        <w:tc>
          <w:tcPr>
            <w:tcW w:w="1324" w:type="dxa"/>
          </w:tcPr>
          <w:p w14:paraId="5FACF698" w14:textId="7879D90E" w:rsidR="00305DA2" w:rsidRPr="00EE66BC" w:rsidRDefault="008C01EF" w:rsidP="008C01EF">
            <w:pPr>
              <w:pStyle w:val="Bodyromannumerals"/>
              <w:rPr>
                <w:b/>
                <w:bCs/>
              </w:rPr>
            </w:pPr>
            <w:r>
              <w:rPr>
                <w:b/>
                <w:bCs/>
              </w:rPr>
              <w:t>T</w:t>
            </w:r>
            <w:r w:rsidR="00A5389E">
              <w:rPr>
                <w:b/>
                <w:bCs/>
              </w:rPr>
              <w:t>hou</w:t>
            </w:r>
            <w:r>
              <w:rPr>
                <w:b/>
                <w:bCs/>
              </w:rPr>
              <w:t xml:space="preserve"> </w:t>
            </w:r>
            <w:r w:rsidR="00A5389E">
              <w:rPr>
                <w:b/>
                <w:bCs/>
              </w:rPr>
              <w:t>sand tonnes dry solid</w:t>
            </w:r>
            <w:r>
              <w:rPr>
                <w:b/>
                <w:bCs/>
              </w:rPr>
              <w:t xml:space="preserve"> </w:t>
            </w:r>
          </w:p>
        </w:tc>
      </w:tr>
      <w:tr w:rsidR="00305DA2" w:rsidRPr="009A191E" w14:paraId="0A365D21" w14:textId="77777777" w:rsidTr="00305DA2">
        <w:tc>
          <w:tcPr>
            <w:tcW w:w="1999" w:type="dxa"/>
            <w:gridSpan w:val="2"/>
            <w:tcBorders>
              <w:left w:val="single" w:sz="4" w:space="0" w:color="FFFFFF" w:themeColor="background2"/>
              <w:bottom w:val="single" w:sz="4" w:space="0" w:color="FFFFFF" w:themeColor="background2"/>
              <w:right w:val="single" w:sz="4" w:space="0" w:color="FFFFFF" w:themeColor="background2"/>
            </w:tcBorders>
          </w:tcPr>
          <w:p w14:paraId="1DE116A3" w14:textId="77777777" w:rsidR="00305DA2" w:rsidRPr="00420BD6" w:rsidRDefault="00305DA2" w:rsidP="00305DA2">
            <w:pPr>
              <w:pStyle w:val="Bodyromannumerals"/>
            </w:pPr>
            <w:r w:rsidRPr="00420BD6">
              <w:rPr>
                <w:i/>
                <w:iCs/>
              </w:rPr>
              <w:t>Definition</w:t>
            </w:r>
            <w:r w:rsidRPr="00420BD6">
              <w:t>:</w:t>
            </w:r>
          </w:p>
        </w:tc>
        <w:tc>
          <w:tcPr>
            <w:tcW w:w="5559" w:type="dxa"/>
            <w:gridSpan w:val="2"/>
            <w:tcBorders>
              <w:left w:val="single" w:sz="4" w:space="0" w:color="FFFFFF" w:themeColor="background2"/>
              <w:bottom w:val="single" w:sz="4" w:space="0" w:color="FFFFFF" w:themeColor="background2"/>
              <w:right w:val="single" w:sz="4" w:space="0" w:color="FFFFFF" w:themeColor="background2"/>
            </w:tcBorders>
          </w:tcPr>
          <w:p w14:paraId="5F2E31B9" w14:textId="04E049EB" w:rsidR="00360BE6" w:rsidRPr="00420BD6" w:rsidRDefault="00305DA2" w:rsidP="00305DA2">
            <w:pPr>
              <w:pStyle w:val="Bodyromannumerals"/>
            </w:pPr>
            <w:r w:rsidRPr="00420BD6">
              <w:t xml:space="preserve">Total for all </w:t>
            </w:r>
            <w:r w:rsidR="00E21F8C">
              <w:t>wastewater</w:t>
            </w:r>
            <w:r w:rsidR="00E21F8C" w:rsidRPr="00420BD6">
              <w:t xml:space="preserve"> </w:t>
            </w:r>
            <w:r w:rsidRPr="00420BD6">
              <w:t>sludge disposal</w:t>
            </w:r>
            <w:r w:rsidR="008C01EF">
              <w:t xml:space="preserve"> for the reporting year</w:t>
            </w:r>
            <w:r w:rsidRPr="00420BD6">
              <w:t>. This should include disposal to farmland, landfill, incineration, composted, land reclamation, and other as reported in lines A4.</w:t>
            </w:r>
            <w:r w:rsidR="00A14A4E" w:rsidRPr="00420BD6">
              <w:t>4</w:t>
            </w:r>
            <w:r w:rsidR="00A14A4E">
              <w:t>5</w:t>
            </w:r>
            <w:r w:rsidR="00A14A4E" w:rsidRPr="00420BD6">
              <w:t xml:space="preserve"> </w:t>
            </w:r>
            <w:r w:rsidRPr="00420BD6">
              <w:t>to A4.</w:t>
            </w:r>
            <w:r w:rsidR="00A14A4E">
              <w:t>52</w:t>
            </w:r>
            <w:r w:rsidR="00A14A4E" w:rsidRPr="00420BD6">
              <w:t xml:space="preserve"> </w:t>
            </w:r>
            <w:r w:rsidRPr="00420BD6">
              <w:t>respectively.</w:t>
            </w:r>
          </w:p>
        </w:tc>
      </w:tr>
      <w:tr w:rsidR="00305DA2" w:rsidRPr="009A191E" w14:paraId="3D8A43ED" w14:textId="77777777" w:rsidTr="00305DA2">
        <w:tc>
          <w:tcPr>
            <w:tcW w:w="199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29F6313" w14:textId="77777777" w:rsidR="00305DA2" w:rsidRPr="00420BD6" w:rsidRDefault="00305DA2" w:rsidP="00305DA2">
            <w:pPr>
              <w:pStyle w:val="Bodyromannumerals"/>
            </w:pPr>
            <w:r w:rsidRPr="00420BD6">
              <w:rPr>
                <w:i/>
                <w:iCs/>
              </w:rPr>
              <w:t>Processing Rules</w:t>
            </w:r>
            <w:r w:rsidRPr="00420BD6">
              <w:t>:</w:t>
            </w:r>
          </w:p>
        </w:tc>
        <w:tc>
          <w:tcPr>
            <w:tcW w:w="555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7A8B090" w14:textId="77777777" w:rsidR="00305DA2" w:rsidRPr="00420BD6" w:rsidRDefault="00305DA2" w:rsidP="00305DA2">
            <w:pPr>
              <w:pStyle w:val="Bodyromannumerals"/>
            </w:pPr>
            <w:r w:rsidRPr="00420BD6">
              <w:t>Input field</w:t>
            </w:r>
          </w:p>
        </w:tc>
      </w:tr>
    </w:tbl>
    <w:p w14:paraId="51C70F24" w14:textId="77777777" w:rsidR="007F2B48" w:rsidRDefault="007F2B48">
      <w:r>
        <w:br w:type="page"/>
      </w:r>
    </w:p>
    <w:tbl>
      <w:tblPr>
        <w:tblStyle w:val="TableGrid3"/>
        <w:tblW w:w="7558" w:type="dxa"/>
        <w:tblLook w:val="04A0" w:firstRow="1" w:lastRow="0" w:firstColumn="1" w:lastColumn="0" w:noHBand="0" w:noVBand="1"/>
      </w:tblPr>
      <w:tblGrid>
        <w:gridCol w:w="1035"/>
        <w:gridCol w:w="964"/>
        <w:gridCol w:w="4235"/>
        <w:gridCol w:w="1324"/>
      </w:tblGrid>
      <w:tr w:rsidR="00305DA2" w:rsidRPr="009A191E" w14:paraId="7AA94A42" w14:textId="77777777" w:rsidTr="00305DA2">
        <w:tc>
          <w:tcPr>
            <w:tcW w:w="1035" w:type="dxa"/>
          </w:tcPr>
          <w:p w14:paraId="7C5CBD1A" w14:textId="1A0520C6" w:rsidR="00305DA2" w:rsidRPr="00EE66BC" w:rsidRDefault="00305DA2" w:rsidP="00305DA2">
            <w:pPr>
              <w:pStyle w:val="Bodyromannumerals"/>
              <w:rPr>
                <w:b/>
                <w:bCs/>
              </w:rPr>
            </w:pPr>
            <w:r w:rsidRPr="00EE66BC">
              <w:rPr>
                <w:b/>
                <w:bCs/>
              </w:rPr>
              <w:lastRenderedPageBreak/>
              <w:t>A4.5</w:t>
            </w:r>
            <w:r w:rsidR="005D4875">
              <w:rPr>
                <w:b/>
                <w:bCs/>
              </w:rPr>
              <w:t>4</w:t>
            </w:r>
          </w:p>
        </w:tc>
        <w:tc>
          <w:tcPr>
            <w:tcW w:w="5199" w:type="dxa"/>
            <w:gridSpan w:val="2"/>
          </w:tcPr>
          <w:p w14:paraId="0CCF7EC4" w14:textId="6E56279D" w:rsidR="00305DA2" w:rsidRPr="00EE66BC" w:rsidRDefault="00305DA2" w:rsidP="00305DA2">
            <w:pPr>
              <w:pStyle w:val="Bodyromannumerals"/>
              <w:rPr>
                <w:b/>
                <w:bCs/>
              </w:rPr>
            </w:pPr>
            <w:r w:rsidRPr="00EE66BC">
              <w:rPr>
                <w:b/>
                <w:bCs/>
              </w:rPr>
              <w:t>Percentage unsatisfactory sludge disposal</w:t>
            </w:r>
          </w:p>
        </w:tc>
        <w:tc>
          <w:tcPr>
            <w:tcW w:w="1324" w:type="dxa"/>
          </w:tcPr>
          <w:p w14:paraId="0F3EE379" w14:textId="77777777" w:rsidR="00305DA2" w:rsidRPr="00EE66BC" w:rsidRDefault="00305DA2" w:rsidP="00305DA2">
            <w:pPr>
              <w:pStyle w:val="Bodyromannumerals"/>
              <w:rPr>
                <w:b/>
                <w:bCs/>
              </w:rPr>
            </w:pPr>
            <w:r w:rsidRPr="00EE66BC">
              <w:rPr>
                <w:b/>
                <w:bCs/>
              </w:rPr>
              <w:t>%</w:t>
            </w:r>
          </w:p>
        </w:tc>
      </w:tr>
      <w:tr w:rsidR="00305DA2" w:rsidRPr="009A191E" w14:paraId="530D3BC2" w14:textId="77777777" w:rsidTr="00305DA2">
        <w:tc>
          <w:tcPr>
            <w:tcW w:w="1999" w:type="dxa"/>
            <w:gridSpan w:val="2"/>
            <w:tcBorders>
              <w:left w:val="single" w:sz="4" w:space="0" w:color="FFFFFF" w:themeColor="background2"/>
              <w:bottom w:val="single" w:sz="4" w:space="0" w:color="FFFFFF" w:themeColor="background2"/>
              <w:right w:val="single" w:sz="4" w:space="0" w:color="FFFFFF" w:themeColor="background2"/>
            </w:tcBorders>
          </w:tcPr>
          <w:p w14:paraId="4B92B3BF" w14:textId="77777777" w:rsidR="00305DA2" w:rsidRPr="00420BD6" w:rsidRDefault="00305DA2" w:rsidP="00305DA2">
            <w:pPr>
              <w:pStyle w:val="Bodyromannumerals"/>
            </w:pPr>
            <w:r w:rsidRPr="00EE66BC">
              <w:rPr>
                <w:i/>
                <w:iCs/>
              </w:rPr>
              <w:t>Definition</w:t>
            </w:r>
            <w:r w:rsidRPr="00420BD6">
              <w:t>:</w:t>
            </w:r>
          </w:p>
        </w:tc>
        <w:tc>
          <w:tcPr>
            <w:tcW w:w="5559" w:type="dxa"/>
            <w:gridSpan w:val="2"/>
            <w:tcBorders>
              <w:left w:val="single" w:sz="4" w:space="0" w:color="FFFFFF" w:themeColor="background2"/>
              <w:bottom w:val="single" w:sz="4" w:space="0" w:color="FFFFFF" w:themeColor="background2"/>
              <w:right w:val="single" w:sz="4" w:space="0" w:color="FFFFFF" w:themeColor="background2"/>
            </w:tcBorders>
          </w:tcPr>
          <w:p w14:paraId="56068445" w14:textId="71B5B4E3" w:rsidR="00305DA2" w:rsidRPr="00420BD6" w:rsidRDefault="00305DA2" w:rsidP="00305DA2">
            <w:pPr>
              <w:pStyle w:val="Bodyromannumerals"/>
            </w:pPr>
            <w:r w:rsidRPr="00420BD6">
              <w:t>Percentage of total sludge disposal that is unsatisfactory</w:t>
            </w:r>
            <w:r w:rsidR="00D71AFC">
              <w:t xml:space="preserve"> given the sludge regulations in New Zealand</w:t>
            </w:r>
            <w:r w:rsidRPr="00420BD6">
              <w:t>. Give reasons for unsatisfactory disposal in the commentary and the percentages affected.</w:t>
            </w:r>
          </w:p>
        </w:tc>
      </w:tr>
      <w:tr w:rsidR="00305DA2" w:rsidRPr="009A191E" w14:paraId="7367C1F9" w14:textId="77777777" w:rsidTr="00305DA2">
        <w:tc>
          <w:tcPr>
            <w:tcW w:w="199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DBA6282" w14:textId="77777777" w:rsidR="00305DA2" w:rsidRPr="00EE66BC" w:rsidRDefault="00305DA2" w:rsidP="00305DA2">
            <w:pPr>
              <w:pStyle w:val="Bodyromannumerals"/>
              <w:rPr>
                <w:i/>
                <w:iCs/>
              </w:rPr>
            </w:pPr>
            <w:r w:rsidRPr="00EE66BC">
              <w:rPr>
                <w:i/>
                <w:iCs/>
              </w:rPr>
              <w:t>Processing Rules:</w:t>
            </w:r>
          </w:p>
        </w:tc>
        <w:tc>
          <w:tcPr>
            <w:tcW w:w="555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261F7AF" w14:textId="77777777" w:rsidR="00305DA2" w:rsidRPr="00420BD6" w:rsidRDefault="00305DA2" w:rsidP="00305DA2">
            <w:pPr>
              <w:pStyle w:val="Bodyromannumerals"/>
            </w:pPr>
            <w:r w:rsidRPr="00420BD6">
              <w:t>Input field</w:t>
            </w:r>
          </w:p>
        </w:tc>
      </w:tr>
      <w:bookmarkEnd w:id="2"/>
    </w:tbl>
    <w:p w14:paraId="4C9768F2" w14:textId="6FACCB3D" w:rsidR="00475660" w:rsidRPr="003818D7" w:rsidRDefault="00475660" w:rsidP="003818D7"/>
    <w:sectPr w:rsidR="00475660" w:rsidRPr="003818D7" w:rsidSect="00796006">
      <w:headerReference w:type="even" r:id="rId17"/>
      <w:headerReference w:type="default" r:id="rId18"/>
      <w:footerReference w:type="even" r:id="rId19"/>
      <w:footerReference w:type="default" r:id="rId20"/>
      <w:headerReference w:type="first" r:id="rId21"/>
      <w:footerReference w:type="first" r:id="rId22"/>
      <w:pgSz w:w="11906" w:h="16838" w:code="9"/>
      <w:pgMar w:top="1871" w:right="3402" w:bottom="1077" w:left="936" w:header="567" w:footer="493"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F529E" w14:textId="77777777" w:rsidR="00AC2CB9" w:rsidRPr="00320436" w:rsidRDefault="00AC2CB9" w:rsidP="00776D39">
      <w:pPr>
        <w:spacing w:after="0" w:line="240" w:lineRule="auto"/>
      </w:pPr>
      <w:r w:rsidRPr="00320436">
        <w:separator/>
      </w:r>
    </w:p>
  </w:endnote>
  <w:endnote w:type="continuationSeparator" w:id="0">
    <w:p w14:paraId="48E460C3" w14:textId="77777777" w:rsidR="00AC2CB9" w:rsidRPr="00320436" w:rsidRDefault="00AC2CB9" w:rsidP="00776D39">
      <w:pPr>
        <w:spacing w:after="0" w:line="240" w:lineRule="auto"/>
      </w:pPr>
      <w:r w:rsidRPr="00320436">
        <w:continuationSeparator/>
      </w:r>
    </w:p>
  </w:endnote>
  <w:endnote w:type="continuationNotice" w:id="1">
    <w:p w14:paraId="2FDD3CC7" w14:textId="77777777" w:rsidR="00AC2CB9" w:rsidRDefault="00AC2C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YInterstate Light">
    <w:altName w:val="Franklin Gothic Medium Cond"/>
    <w:panose1 w:val="02000506000000020004"/>
    <w:charset w:val="00"/>
    <w:family w:val="auto"/>
    <w:pitch w:val="variable"/>
    <w:sig w:usb0="A00002AF" w:usb1="5000206A"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45AC" w14:textId="44EBC6ED" w:rsidR="00AC2CB9" w:rsidRDefault="00AC2CB9">
    <w:pPr>
      <w:pStyle w:val="Footer"/>
    </w:pPr>
    <w:r>
      <w:t xml:space="preserve"> </w:t>
    </w:r>
    <w:r w:rsidRPr="00F60163">
      <w:rPr>
        <w:noProof/>
      </w:rPr>
      <mc:AlternateContent>
        <mc:Choice Requires="wps">
          <w:drawing>
            <wp:anchor distT="0" distB="0" distL="114300" distR="114300" simplePos="0" relativeHeight="251658256" behindDoc="0" locked="0" layoutInCell="1" allowOverlap="1" wp14:anchorId="243B5D3F" wp14:editId="147509FD">
              <wp:simplePos x="0" y="0"/>
              <wp:positionH relativeFrom="margin">
                <wp:posOffset>-5715</wp:posOffset>
              </wp:positionH>
              <wp:positionV relativeFrom="margin">
                <wp:posOffset>9071610</wp:posOffset>
              </wp:positionV>
              <wp:extent cx="4572000" cy="0"/>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49615B76" id="_x0000_t32" coordsize="21600,21600" o:spt="32" o:oned="t" path="m,l21600,21600e" filled="f">
              <v:path arrowok="t" fillok="f" o:connecttype="none"/>
              <o:lock v:ext="edit" shapetype="t"/>
            </v:shapetype>
            <v:shape id="AutoShape 12" o:spid="_x0000_s1026" type="#_x0000_t32" style="position:absolute;margin-left:-.45pt;margin-top:714.3pt;width:5in;height:0;z-index:25165825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">
              <w10:wrap anchorx="margin" anchory="margin"/>
            </v:shape>
          </w:pict>
        </mc:Fallback>
      </mc:AlternateContent>
    </w:r>
    <w:r w:rsidRPr="00F60163">
      <w:rPr>
        <w:noProof/>
      </w:rPr>
      <mc:AlternateContent>
        <mc:Choice Requires="wps">
          <w:drawing>
            <wp:anchor distT="0" distB="0" distL="114300" distR="114300" simplePos="0" relativeHeight="251658257" behindDoc="0" locked="0" layoutInCell="1" allowOverlap="1" wp14:anchorId="690CE90D" wp14:editId="2F559621">
              <wp:simplePos x="0" y="0"/>
              <wp:positionH relativeFrom="margin">
                <wp:posOffset>0</wp:posOffset>
              </wp:positionH>
              <wp:positionV relativeFrom="margin">
                <wp:posOffset>9074150</wp:posOffset>
              </wp:positionV>
              <wp:extent cx="3749040" cy="213360"/>
              <wp:effectExtent l="0" t="0" r="3810" b="1524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61EAB" w14:textId="77777777" w:rsidR="00AC2CB9" w:rsidRPr="00F60163" w:rsidRDefault="00AC2CB9" w:rsidP="00F60163">
                          <w:pPr>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p w14:paraId="68F386D9" w14:textId="77777777" w:rsidR="00AC2CB9" w:rsidRPr="0078517D" w:rsidRDefault="00AC2CB9" w:rsidP="00F60163"/>
                        <w:p w14:paraId="61890F11" w14:textId="77777777" w:rsidR="00AC2CB9" w:rsidRDefault="00AC2CB9" w:rsidP="00F60163"/>
                        <w:p w14:paraId="6213F004" w14:textId="77777777" w:rsidR="00AC2CB9" w:rsidRPr="0078517D" w:rsidRDefault="00AC2CB9" w:rsidP="00F60163">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r>
                            <w:rPr>
                              <w:b/>
                            </w:rPr>
                            <w:t xml:space="preserve">   </w:t>
                          </w:r>
                          <w:r>
                            <w:t xml:space="preserve"> </w:t>
                          </w:r>
                          <w:r w:rsidRPr="00FD0E91">
                            <w:rPr>
                              <w:b/>
                            </w:rPr>
                            <w:t>|</w:t>
                          </w:r>
                          <w:r w:rsidRPr="00BB1898">
                            <w:t xml:space="preserve">   </w:t>
                          </w:r>
                          <w:r>
                            <w:t>Document Title – even page header</w:t>
                          </w:r>
                        </w:p>
                        <w:p w14:paraId="31EBB86C" w14:textId="77777777" w:rsidR="00AC2CB9" w:rsidRPr="0078517D" w:rsidRDefault="00AC2CB9" w:rsidP="00F60163"/>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0CE90D" id="_x0000_t202" coordsize="21600,21600" o:spt="202" path="m,l,21600r21600,l21600,xe">
              <v:stroke joinstyle="miter"/>
              <v:path gradientshapeok="t" o:connecttype="rect"/>
            </v:shapetype>
            <v:shape id="Text Box 23" o:spid="_x0000_s1026" type="#_x0000_t202" style="position:absolute;margin-left:0;margin-top:714.5pt;width:295.2pt;height:16.8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" filled="f" stroked="f">
              <v:textbox inset="0,0,0,0">
                <w:txbxContent>
                  <w:p w14:paraId="7DA61EAB" w14:textId="77777777" w:rsidR="00AC2CB9" w:rsidRPr="00F60163" w:rsidRDefault="00AC2CB9" w:rsidP="00F60163">
                    <w:pPr>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p w14:paraId="68F386D9" w14:textId="77777777" w:rsidR="00AC2CB9" w:rsidRPr="0078517D" w:rsidRDefault="00AC2CB9" w:rsidP="00F60163"/>
                  <w:p w14:paraId="61890F11" w14:textId="77777777" w:rsidR="00AC2CB9" w:rsidRDefault="00AC2CB9" w:rsidP="00F60163"/>
                  <w:p w14:paraId="6213F004" w14:textId="77777777" w:rsidR="00AC2CB9" w:rsidRPr="0078517D" w:rsidRDefault="00AC2CB9" w:rsidP="00F60163">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r>
                      <w:rPr>
                        <w:b/>
                      </w:rPr>
                      <w:t xml:space="preserve">   </w:t>
                    </w:r>
                    <w:r>
                      <w:t xml:space="preserve"> </w:t>
                    </w:r>
                    <w:r w:rsidRPr="00FD0E91">
                      <w:rPr>
                        <w:b/>
                      </w:rPr>
                      <w:t>|</w:t>
                    </w:r>
                    <w:r w:rsidRPr="00BB1898">
                      <w:t xml:space="preserve">   </w:t>
                    </w:r>
                    <w:r>
                      <w:t>Document Title – even page header</w:t>
                    </w:r>
                  </w:p>
                  <w:p w14:paraId="31EBB86C" w14:textId="77777777" w:rsidR="00AC2CB9" w:rsidRPr="0078517D" w:rsidRDefault="00AC2CB9" w:rsidP="00F60163"/>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D433" w14:textId="403CD514" w:rsidR="00AC2CB9" w:rsidRDefault="00AC2CB9">
    <w:pPr>
      <w:pStyle w:val="Footer"/>
    </w:pPr>
    <w:r w:rsidRPr="00F60163">
      <w:rPr>
        <w:noProof/>
      </w:rPr>
      <mc:AlternateContent>
        <mc:Choice Requires="wps">
          <w:drawing>
            <wp:anchor distT="0" distB="0" distL="114300" distR="114300" simplePos="0" relativeHeight="251658255" behindDoc="0" locked="0" layoutInCell="1" allowOverlap="1" wp14:anchorId="4025E5D0" wp14:editId="6E7B78A8">
              <wp:simplePos x="0" y="0"/>
              <wp:positionH relativeFrom="margin">
                <wp:posOffset>861695</wp:posOffset>
              </wp:positionH>
              <wp:positionV relativeFrom="margin">
                <wp:posOffset>9074150</wp:posOffset>
              </wp:positionV>
              <wp:extent cx="3749040" cy="213360"/>
              <wp:effectExtent l="0" t="0" r="3810" b="1524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86963" w14:textId="0D7C7C0A" w:rsidR="00AC2CB9" w:rsidRPr="00F60163" w:rsidRDefault="00AC2CB9" w:rsidP="00F60163">
                          <w:pPr>
                            <w:jc w:val="right"/>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25E5D0" id="_x0000_t202" coordsize="21600,21600" o:spt="202" path="m,l,21600r21600,l21600,xe">
              <v:stroke joinstyle="miter"/>
              <v:path gradientshapeok="t" o:connecttype="rect"/>
            </v:shapetype>
            <v:shape id="_x0000_s1027" type="#_x0000_t202" style="position:absolute;margin-left:67.85pt;margin-top:714.5pt;width:295.2pt;height:16.8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" filled="f" stroked="f">
              <v:textbox inset="0,0,0,0">
                <w:txbxContent>
                  <w:p w14:paraId="7CC86963" w14:textId="0D7C7C0A" w:rsidR="00AC2CB9" w:rsidRPr="00F60163" w:rsidRDefault="00AC2CB9" w:rsidP="00F60163">
                    <w:pPr>
                      <w:jc w:val="right"/>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txbxContent>
              </v:textbox>
              <w10:wrap anchorx="margin" anchory="margin"/>
            </v:shape>
          </w:pict>
        </mc:Fallback>
      </mc:AlternateContent>
    </w:r>
    <w:r w:rsidRPr="00F60163">
      <w:rPr>
        <w:noProof/>
      </w:rPr>
      <mc:AlternateContent>
        <mc:Choice Requires="wps">
          <w:drawing>
            <wp:anchor distT="0" distB="0" distL="114300" distR="114300" simplePos="0" relativeHeight="251658254" behindDoc="0" locked="0" layoutInCell="1" allowOverlap="1" wp14:anchorId="22A49D02" wp14:editId="63A2311F">
              <wp:simplePos x="0" y="0"/>
              <wp:positionH relativeFrom="margin">
                <wp:align>left</wp:align>
              </wp:positionH>
              <wp:positionV relativeFrom="margin">
                <wp:posOffset>9073514</wp:posOffset>
              </wp:positionV>
              <wp:extent cx="457200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21B091BB" id="_x0000_t32" coordsize="21600,21600" o:spt="32" o:oned="t" path="m,l21600,21600e" filled="f">
              <v:path arrowok="t" fillok="f" o:connecttype="none"/>
              <o:lock v:ext="edit" shapetype="t"/>
            </v:shapetype>
            <v:shape id="AutoShape 12" o:spid="_x0000_s1026" type="#_x0000_t32" style="position:absolute;margin-left:0;margin-top:714.45pt;width:5in;height:0;flip:y;z-index:25165825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">
              <w10:wrap anchorx="margin" anchory="margin"/>
            </v:shape>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E6A9" w14:textId="1A2D979C" w:rsidR="00AC2CB9" w:rsidRDefault="00AC2CB9">
    <w:pPr>
      <w:pStyle w:val="Footer"/>
    </w:pPr>
    <w:r w:rsidRPr="00F60163">
      <w:rPr>
        <w:noProof/>
      </w:rPr>
      <mc:AlternateContent>
        <mc:Choice Requires="wps">
          <w:drawing>
            <wp:anchor distT="0" distB="0" distL="114300" distR="114300" simplePos="0" relativeHeight="251658251" behindDoc="0" locked="0" layoutInCell="1" allowOverlap="1" wp14:anchorId="3BCA13D2" wp14:editId="0F25DAFE">
              <wp:simplePos x="0" y="0"/>
              <wp:positionH relativeFrom="margin">
                <wp:posOffset>13971</wp:posOffset>
              </wp:positionH>
              <wp:positionV relativeFrom="margin">
                <wp:posOffset>6153150</wp:posOffset>
              </wp:positionV>
              <wp:extent cx="3749040" cy="213360"/>
              <wp:effectExtent l="0" t="0" r="3810" b="1524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AF743" w14:textId="44B78942" w:rsidR="00AC2CB9" w:rsidRPr="00B67FBB" w:rsidRDefault="00AC2CB9" w:rsidP="00B67FBB">
                          <w:pPr>
                            <w:pStyle w:val="Footer"/>
                            <w:rPr>
                              <w:noProof/>
                            </w:rPr>
                          </w:pPr>
                          <w:r w:rsidRPr="00B67FBB">
                            <w:rPr>
                              <w:noProof/>
                            </w:rPr>
                            <w:fldChar w:fldCharType="begin"/>
                          </w:r>
                          <w:r w:rsidRPr="00B67FBB">
                            <w:rPr>
                              <w:noProof/>
                            </w:rPr>
                            <w:instrText xml:space="preserve"> PAGE   \* MERGEFORMAT </w:instrText>
                          </w:r>
                          <w:r w:rsidRPr="00B67FBB">
                            <w:rPr>
                              <w:noProof/>
                            </w:rPr>
                            <w:fldChar w:fldCharType="separate"/>
                          </w:r>
                          <w:r w:rsidRPr="00B67FBB">
                            <w:rPr>
                              <w:noProof/>
                            </w:rPr>
                            <w:t>1</w:t>
                          </w:r>
                          <w:r w:rsidRPr="00B67FBB">
                            <w:rPr>
                              <w:noProof/>
                            </w:rPr>
                            <w:fldChar w:fldCharType="end"/>
                          </w:r>
                        </w:p>
                        <w:p w14:paraId="3CCC6962" w14:textId="77777777" w:rsidR="00AC2CB9" w:rsidRPr="0078517D" w:rsidRDefault="00AC2CB9" w:rsidP="00F60163"/>
                        <w:p w14:paraId="08F3963E" w14:textId="77777777" w:rsidR="00AC2CB9" w:rsidRDefault="00AC2CB9" w:rsidP="00F60163"/>
                        <w:p w14:paraId="03D78EE3" w14:textId="77777777" w:rsidR="00AC2CB9" w:rsidRPr="0078517D" w:rsidRDefault="00AC2CB9" w:rsidP="00F60163">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r>
                            <w:rPr>
                              <w:b/>
                            </w:rPr>
                            <w:t xml:space="preserve">   </w:t>
                          </w:r>
                          <w:r>
                            <w:t xml:space="preserve"> </w:t>
                          </w:r>
                          <w:r w:rsidRPr="00FD0E91">
                            <w:rPr>
                              <w:b/>
                            </w:rPr>
                            <w:t>|</w:t>
                          </w:r>
                          <w:r w:rsidRPr="00BB1898">
                            <w:t xml:space="preserve">   </w:t>
                          </w:r>
                          <w:r>
                            <w:t>Document Title – even page header</w:t>
                          </w:r>
                        </w:p>
                        <w:p w14:paraId="7F913D14" w14:textId="77777777" w:rsidR="00AC2CB9" w:rsidRPr="0078517D" w:rsidRDefault="00AC2CB9" w:rsidP="00F60163"/>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CA13D2" id="_x0000_t202" coordsize="21600,21600" o:spt="202" path="m,l,21600r21600,l21600,xe">
              <v:stroke joinstyle="miter"/>
              <v:path gradientshapeok="t" o:connecttype="rect"/>
            </v:shapetype>
            <v:shape id="_x0000_s1029" type="#_x0000_t202" style="position:absolute;margin-left:1.1pt;margin-top:484.5pt;width:295.2pt;height:16.8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" filled="f" stroked="f">
              <v:textbox inset="0,0,0,0">
                <w:txbxContent>
                  <w:p w14:paraId="005AF743" w14:textId="44B78942" w:rsidR="00AC2CB9" w:rsidRPr="00B67FBB" w:rsidRDefault="00AC2CB9" w:rsidP="00B67FBB">
                    <w:pPr>
                      <w:pStyle w:val="Footer"/>
                      <w:rPr>
                        <w:noProof/>
                      </w:rPr>
                    </w:pPr>
                    <w:r w:rsidRPr="00B67FBB">
                      <w:rPr>
                        <w:noProof/>
                      </w:rPr>
                      <w:fldChar w:fldCharType="begin"/>
                    </w:r>
                    <w:r w:rsidRPr="00B67FBB">
                      <w:rPr>
                        <w:noProof/>
                      </w:rPr>
                      <w:instrText xml:space="preserve"> PAGE   \* MERGEFORMAT </w:instrText>
                    </w:r>
                    <w:r w:rsidRPr="00B67FBB">
                      <w:rPr>
                        <w:noProof/>
                      </w:rPr>
                      <w:fldChar w:fldCharType="separate"/>
                    </w:r>
                    <w:r w:rsidRPr="00B67FBB">
                      <w:rPr>
                        <w:noProof/>
                      </w:rPr>
                      <w:t>1</w:t>
                    </w:r>
                    <w:r w:rsidRPr="00B67FBB">
                      <w:rPr>
                        <w:noProof/>
                      </w:rPr>
                      <w:fldChar w:fldCharType="end"/>
                    </w:r>
                  </w:p>
                  <w:p w14:paraId="3CCC6962" w14:textId="77777777" w:rsidR="00AC2CB9" w:rsidRPr="0078517D" w:rsidRDefault="00AC2CB9" w:rsidP="00F60163"/>
                  <w:p w14:paraId="08F3963E" w14:textId="77777777" w:rsidR="00AC2CB9" w:rsidRDefault="00AC2CB9" w:rsidP="00F60163"/>
                  <w:p w14:paraId="03D78EE3" w14:textId="77777777" w:rsidR="00AC2CB9" w:rsidRPr="0078517D" w:rsidRDefault="00AC2CB9" w:rsidP="00F60163">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r>
                      <w:rPr>
                        <w:b/>
                      </w:rPr>
                      <w:t xml:space="preserve">   </w:t>
                    </w:r>
                    <w:r>
                      <w:t xml:space="preserve"> </w:t>
                    </w:r>
                    <w:r w:rsidRPr="00FD0E91">
                      <w:rPr>
                        <w:b/>
                      </w:rPr>
                      <w:t>|</w:t>
                    </w:r>
                    <w:r w:rsidRPr="00BB1898">
                      <w:t xml:space="preserve">   </w:t>
                    </w:r>
                    <w:r>
                      <w:t>Document Title – even page header</w:t>
                    </w:r>
                  </w:p>
                  <w:p w14:paraId="7F913D14" w14:textId="77777777" w:rsidR="00AC2CB9" w:rsidRPr="0078517D" w:rsidRDefault="00AC2CB9" w:rsidP="00F60163"/>
                </w:txbxContent>
              </v:textbox>
              <w10:wrap anchorx="margin" anchory="margin"/>
            </v:shape>
          </w:pict>
        </mc:Fallback>
      </mc:AlternateContent>
    </w:r>
    <w:r w:rsidRPr="00F60163">
      <w:rPr>
        <w:noProof/>
      </w:rPr>
      <mc:AlternateContent>
        <mc:Choice Requires="wps">
          <w:drawing>
            <wp:anchor distT="0" distB="0" distL="114300" distR="114300" simplePos="0" relativeHeight="251658250" behindDoc="0" locked="0" layoutInCell="1" allowOverlap="1" wp14:anchorId="7C7B6B8E" wp14:editId="1485EFFF">
              <wp:simplePos x="0" y="0"/>
              <wp:positionH relativeFrom="margin">
                <wp:posOffset>8255</wp:posOffset>
              </wp:positionH>
              <wp:positionV relativeFrom="margin">
                <wp:posOffset>6150610</wp:posOffset>
              </wp:positionV>
              <wp:extent cx="4572000" cy="0"/>
              <wp:effectExtent l="0" t="0" r="0" b="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8AA65F2" id="_x0000_t32" coordsize="21600,21600" o:spt="32" o:oned="t" path="m,l21600,21600e" filled="f">
              <v:path arrowok="t" fillok="f" o:connecttype="none"/>
              <o:lock v:ext="edit" shapetype="t"/>
            </v:shapetype>
            <v:shape id="AutoShape 12" o:spid="_x0000_s1026" type="#_x0000_t32" style="position:absolute;margin-left:.65pt;margin-top:484.3pt;width:5in;height:0;z-index:25165825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">
              <w10:wrap anchorx="margin" anchory="margin"/>
            </v:shape>
          </w:pict>
        </mc:Fallback>
      </mc:AlternateContent>
    </w:r>
    <w:r w:rsidRPr="000A423D">
      <w:rPr>
        <w:rFonts w:ascii="Segoe UI" w:hAnsi="Segoe UI" w:cs="Segoe UI"/>
        <w:b/>
        <w:bCs/>
        <w:noProof/>
        <w:color w:val="03B2C4"/>
        <w:sz w:val="36"/>
        <w:szCs w:val="36"/>
      </w:rPr>
      <mc:AlternateContent>
        <mc:Choice Requires="wps">
          <w:drawing>
            <wp:anchor distT="0" distB="0" distL="114300" distR="114300" simplePos="0" relativeHeight="251658244" behindDoc="0" locked="0" layoutInCell="1" allowOverlap="1" wp14:anchorId="05B21048" wp14:editId="03E734F6">
              <wp:simplePos x="0" y="0"/>
              <wp:positionH relativeFrom="margin">
                <wp:posOffset>2988675</wp:posOffset>
              </wp:positionH>
              <wp:positionV relativeFrom="margin">
                <wp:posOffset>7403590</wp:posOffset>
              </wp:positionV>
              <wp:extent cx="3646805" cy="201295"/>
              <wp:effectExtent l="0" t="0" r="10795" b="8255"/>
              <wp:wrapNone/>
              <wp:docPr id="67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F624C" w14:textId="5A19E004" w:rsidR="00AC2CB9" w:rsidRPr="0078517D" w:rsidRDefault="00AC2CB9" w:rsidP="00194CC2">
                          <w:pPr>
                            <w:jc w:val="right"/>
                          </w:pPr>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p>
                        <w:p w14:paraId="00BAFA5F" w14:textId="77777777" w:rsidR="00AC2CB9" w:rsidRPr="0078517D" w:rsidRDefault="00AC2CB9" w:rsidP="000A423D"/>
                        <w:p w14:paraId="2023AC43" w14:textId="77777777" w:rsidR="00AC2CB9" w:rsidRDefault="00AC2CB9" w:rsidP="000A423D"/>
                        <w:p w14:paraId="13943E17" w14:textId="77777777" w:rsidR="00AC2CB9" w:rsidRPr="0078517D" w:rsidRDefault="00AC2CB9" w:rsidP="000A423D">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r>
                            <w:rPr>
                              <w:b/>
                            </w:rPr>
                            <w:t xml:space="preserve">   </w:t>
                          </w:r>
                          <w:r>
                            <w:t xml:space="preserve"> </w:t>
                          </w:r>
                          <w:r w:rsidRPr="00FD0E91">
                            <w:rPr>
                              <w:b/>
                            </w:rPr>
                            <w:t>|</w:t>
                          </w:r>
                          <w:r w:rsidRPr="00BB1898">
                            <w:t xml:space="preserve">   </w:t>
                          </w:r>
                          <w:r>
                            <w:t>Document Title – even page header</w:t>
                          </w:r>
                        </w:p>
                        <w:p w14:paraId="391EBCBA" w14:textId="77777777" w:rsidR="00AC2CB9" w:rsidRPr="0078517D" w:rsidRDefault="00AC2CB9" w:rsidP="000A423D"/>
                      </w:txbxContent>
                    </wps:txbx>
                    <wps:bodyPr rot="0" vert="horz" wrap="square" lIns="0" tIns="0" rIns="0" bIns="0" anchor="b" anchorCtr="0" upright="1">
                      <a:noAutofit/>
                    </wps:bodyPr>
                  </wps:wsp>
                </a:graphicData>
              </a:graphic>
              <wp14:sizeRelH relativeFrom="margin">
                <wp14:pctWidth>0</wp14:pctWidth>
              </wp14:sizeRelH>
            </wp:anchor>
          </w:drawing>
        </mc:Choice>
        <mc:Fallback>
          <w:pict>
            <v:shape w14:anchorId="05B21048" id="_x0000_s1030" type="#_x0000_t202" style="position:absolute;margin-left:235.35pt;margin-top:582.95pt;width:287.15pt;height:15.85pt;z-index:25165824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WBswIAALM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" filled="f" stroked="f">
              <v:textbox inset="0,0,0,0">
                <w:txbxContent>
                  <w:p w14:paraId="7D8F624C" w14:textId="5A19E004" w:rsidR="00AC2CB9" w:rsidRPr="0078517D" w:rsidRDefault="00AC2CB9" w:rsidP="00194CC2">
                    <w:pPr>
                      <w:jc w:val="right"/>
                    </w:pPr>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p>
                  <w:p w14:paraId="00BAFA5F" w14:textId="77777777" w:rsidR="00AC2CB9" w:rsidRPr="0078517D" w:rsidRDefault="00AC2CB9" w:rsidP="000A423D"/>
                  <w:p w14:paraId="2023AC43" w14:textId="77777777" w:rsidR="00AC2CB9" w:rsidRDefault="00AC2CB9" w:rsidP="000A423D"/>
                  <w:p w14:paraId="13943E17" w14:textId="77777777" w:rsidR="00AC2CB9" w:rsidRPr="0078517D" w:rsidRDefault="00AC2CB9" w:rsidP="000A423D">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r>
                      <w:rPr>
                        <w:b/>
                      </w:rPr>
                      <w:t xml:space="preserve">   </w:t>
                    </w:r>
                    <w:r>
                      <w:t xml:space="preserve"> </w:t>
                    </w:r>
                    <w:r w:rsidRPr="00FD0E91">
                      <w:rPr>
                        <w:b/>
                      </w:rPr>
                      <w:t>|</w:t>
                    </w:r>
                    <w:r w:rsidRPr="00BB1898">
                      <w:t xml:space="preserve">   </w:t>
                    </w:r>
                    <w:r>
                      <w:t>Document Title – even page header</w:t>
                    </w:r>
                  </w:p>
                  <w:p w14:paraId="391EBCBA" w14:textId="77777777" w:rsidR="00AC2CB9" w:rsidRPr="0078517D" w:rsidRDefault="00AC2CB9" w:rsidP="000A423D"/>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538006788"/>
      <w:docPartObj>
        <w:docPartGallery w:val="Page Numbers (Bottom of Page)"/>
        <w:docPartUnique/>
      </w:docPartObj>
    </w:sdtPr>
    <w:sdtContent>
      <w:p w14:paraId="4C0B66B6" w14:textId="29B09E5F" w:rsidR="00B67FBB" w:rsidRDefault="00B67FBB">
        <w:pPr>
          <w:pStyle w:val="Footer"/>
          <w:rPr>
            <w:noProof/>
          </w:rP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50A8B9D0" w14:textId="4F5874A1" w:rsidR="00AC2CB9" w:rsidRDefault="00AC2CB9" w:rsidP="2C985F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523"/>
      <w:gridCol w:w="2523"/>
      <w:gridCol w:w="2523"/>
    </w:tblGrid>
    <w:tr w:rsidR="00AC2CB9" w14:paraId="210A4F9D" w14:textId="77777777" w:rsidTr="2C985F9B">
      <w:tc>
        <w:tcPr>
          <w:tcW w:w="2523" w:type="dxa"/>
        </w:tcPr>
        <w:p w14:paraId="1B21B635" w14:textId="23E84934" w:rsidR="00AC2CB9" w:rsidRDefault="00AC2CB9" w:rsidP="2C985F9B">
          <w:pPr>
            <w:pStyle w:val="Header"/>
            <w:ind w:left="-115"/>
            <w:jc w:val="left"/>
          </w:pPr>
        </w:p>
      </w:tc>
      <w:tc>
        <w:tcPr>
          <w:tcW w:w="2523" w:type="dxa"/>
        </w:tcPr>
        <w:p w14:paraId="4C5472C8" w14:textId="7B9E5677" w:rsidR="00AC2CB9" w:rsidRDefault="00AC2CB9" w:rsidP="2C985F9B">
          <w:pPr>
            <w:pStyle w:val="Header"/>
            <w:jc w:val="center"/>
          </w:pPr>
        </w:p>
      </w:tc>
      <w:tc>
        <w:tcPr>
          <w:tcW w:w="2523" w:type="dxa"/>
        </w:tcPr>
        <w:p w14:paraId="623F5B97" w14:textId="2517AD2C" w:rsidR="00AC2CB9" w:rsidRDefault="00AC2CB9" w:rsidP="2C985F9B">
          <w:pPr>
            <w:pStyle w:val="Header"/>
            <w:ind w:right="-115"/>
          </w:pPr>
        </w:p>
      </w:tc>
    </w:tr>
  </w:tbl>
  <w:p w14:paraId="1F7B65F1" w14:textId="402A69BA" w:rsidR="00AC2CB9" w:rsidRDefault="00AC2CB9" w:rsidP="2C985F9B">
    <w:pPr>
      <w:pStyle w:val="Footer"/>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00E7" w14:textId="15AFAA52" w:rsidR="00AC2CB9" w:rsidRDefault="00AC2CB9">
    <w:pPr>
      <w:pStyle w:val="Footer"/>
    </w:pPr>
    <w:r w:rsidRPr="00F60163">
      <w:rPr>
        <w:noProof/>
      </w:rPr>
      <mc:AlternateContent>
        <mc:Choice Requires="wps">
          <w:drawing>
            <wp:anchor distT="0" distB="0" distL="114300" distR="114300" simplePos="0" relativeHeight="251658252" behindDoc="0" locked="0" layoutInCell="1" allowOverlap="1" wp14:anchorId="04C77BF8" wp14:editId="31BAD16E">
              <wp:simplePos x="0" y="0"/>
              <wp:positionH relativeFrom="margin">
                <wp:posOffset>4445</wp:posOffset>
              </wp:positionH>
              <wp:positionV relativeFrom="margin">
                <wp:posOffset>9030970</wp:posOffset>
              </wp:positionV>
              <wp:extent cx="4572000" cy="0"/>
              <wp:effectExtent l="0" t="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49BBCD04" id="_x0000_t32" coordsize="21600,21600" o:spt="32" o:oned="t" path="m,l21600,21600e" filled="f">
              <v:path arrowok="t" fillok="f" o:connecttype="none"/>
              <o:lock v:ext="edit" shapetype="t"/>
            </v:shapetype>
            <v:shape id="AutoShape 12" o:spid="_x0000_s1026" type="#_x0000_t32" style="position:absolute;margin-left:.35pt;margin-top:711.1pt;width:5in;height:0;z-index:25165825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">
              <w10:wrap anchorx="margin" anchory="margin"/>
            </v:shape>
          </w:pict>
        </mc:Fallback>
      </mc:AlternateContent>
    </w:r>
    <w:r w:rsidRPr="00F60163">
      <w:rPr>
        <w:noProof/>
      </w:rPr>
      <mc:AlternateContent>
        <mc:Choice Requires="wps">
          <w:drawing>
            <wp:anchor distT="0" distB="0" distL="114300" distR="114300" simplePos="0" relativeHeight="251658253" behindDoc="0" locked="0" layoutInCell="1" allowOverlap="1" wp14:anchorId="2E710F3B" wp14:editId="78F4CAD2">
              <wp:simplePos x="0" y="0"/>
              <wp:positionH relativeFrom="margin">
                <wp:posOffset>10160</wp:posOffset>
              </wp:positionH>
              <wp:positionV relativeFrom="margin">
                <wp:posOffset>9033510</wp:posOffset>
              </wp:positionV>
              <wp:extent cx="3749040" cy="213360"/>
              <wp:effectExtent l="0" t="0" r="3810" b="1524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C71E9" w14:textId="6767B6D9" w:rsidR="00AC2CB9" w:rsidRPr="00F60163" w:rsidRDefault="00AC2CB9" w:rsidP="00F60163">
                          <w:pPr>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p w14:paraId="1C0AD0D0" w14:textId="77777777" w:rsidR="00AC2CB9" w:rsidRPr="0078517D" w:rsidRDefault="00AC2CB9" w:rsidP="00F60163"/>
                        <w:p w14:paraId="65F974E1" w14:textId="77777777" w:rsidR="00AC2CB9" w:rsidRDefault="00AC2CB9" w:rsidP="00F60163"/>
                        <w:p w14:paraId="2E05DA38" w14:textId="77777777" w:rsidR="00AC2CB9" w:rsidRPr="0078517D" w:rsidRDefault="00AC2CB9" w:rsidP="00F60163">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r>
                            <w:rPr>
                              <w:b/>
                            </w:rPr>
                            <w:t xml:space="preserve">   </w:t>
                          </w:r>
                          <w:r>
                            <w:t xml:space="preserve"> </w:t>
                          </w:r>
                          <w:r w:rsidRPr="00FD0E91">
                            <w:rPr>
                              <w:b/>
                            </w:rPr>
                            <w:t>|</w:t>
                          </w:r>
                          <w:r w:rsidRPr="00BB1898">
                            <w:t xml:space="preserve">   </w:t>
                          </w:r>
                          <w:r>
                            <w:t>Document Title – even page header</w:t>
                          </w:r>
                        </w:p>
                        <w:p w14:paraId="31916133" w14:textId="77777777" w:rsidR="00AC2CB9" w:rsidRPr="0078517D" w:rsidRDefault="00AC2CB9" w:rsidP="00F60163"/>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10F3B" id="_x0000_t202" coordsize="21600,21600" o:spt="202" path="m,l,21600r21600,l21600,xe">
              <v:stroke joinstyle="miter"/>
              <v:path gradientshapeok="t" o:connecttype="rect"/>
            </v:shapetype>
            <v:shape id="_x0000_s1033" type="#_x0000_t202" style="position:absolute;margin-left:.8pt;margin-top:711.3pt;width:295.2pt;height:16.8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" filled="f" stroked="f">
              <v:textbox inset="0,0,0,0">
                <w:txbxContent>
                  <w:p w14:paraId="58DC71E9" w14:textId="6767B6D9" w:rsidR="00AC2CB9" w:rsidRPr="00F60163" w:rsidRDefault="00AC2CB9" w:rsidP="00F60163">
                    <w:pPr>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p w14:paraId="1C0AD0D0" w14:textId="77777777" w:rsidR="00AC2CB9" w:rsidRPr="0078517D" w:rsidRDefault="00AC2CB9" w:rsidP="00F60163"/>
                  <w:p w14:paraId="65F974E1" w14:textId="77777777" w:rsidR="00AC2CB9" w:rsidRDefault="00AC2CB9" w:rsidP="00F60163"/>
                  <w:p w14:paraId="2E05DA38" w14:textId="77777777" w:rsidR="00AC2CB9" w:rsidRPr="0078517D" w:rsidRDefault="00AC2CB9" w:rsidP="00F60163">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r>
                      <w:rPr>
                        <w:b/>
                      </w:rPr>
                      <w:t xml:space="preserve">   </w:t>
                    </w:r>
                    <w:r>
                      <w:t xml:space="preserve"> </w:t>
                    </w:r>
                    <w:r w:rsidRPr="00FD0E91">
                      <w:rPr>
                        <w:b/>
                      </w:rPr>
                      <w:t>|</w:t>
                    </w:r>
                    <w:r w:rsidRPr="00BB1898">
                      <w:t xml:space="preserve">   </w:t>
                    </w:r>
                    <w:r>
                      <w:t>Document Title – even page header</w:t>
                    </w:r>
                  </w:p>
                  <w:p w14:paraId="31916133" w14:textId="77777777" w:rsidR="00AC2CB9" w:rsidRPr="0078517D" w:rsidRDefault="00AC2CB9" w:rsidP="00F60163"/>
                </w:txbxContent>
              </v:textbox>
              <w10:wrap anchorx="margin" anchory="margin"/>
            </v:shape>
          </w:pict>
        </mc:Fallback>
      </mc:AlternateContent>
    </w:r>
    <w:r w:rsidRPr="000A423D">
      <w:rPr>
        <w:rFonts w:ascii="Segoe UI" w:hAnsi="Segoe UI" w:cs="Segoe UI"/>
        <w:b/>
        <w:bCs/>
        <w:noProof/>
        <w:color w:val="03B2C4"/>
        <w:sz w:val="36"/>
        <w:szCs w:val="36"/>
      </w:rPr>
      <mc:AlternateContent>
        <mc:Choice Requires="wps">
          <w:drawing>
            <wp:anchor distT="0" distB="0" distL="114300" distR="114300" simplePos="0" relativeHeight="251658246" behindDoc="0" locked="0" layoutInCell="1" allowOverlap="1" wp14:anchorId="1C1751FF" wp14:editId="45B16054">
              <wp:simplePos x="0" y="0"/>
              <wp:positionH relativeFrom="margin">
                <wp:posOffset>2988675</wp:posOffset>
              </wp:positionH>
              <wp:positionV relativeFrom="margin">
                <wp:posOffset>7403590</wp:posOffset>
              </wp:positionV>
              <wp:extent cx="3646805" cy="201295"/>
              <wp:effectExtent l="0" t="0" r="10795" b="8255"/>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574BF" w14:textId="77777777" w:rsidR="00AC2CB9" w:rsidRPr="0078517D" w:rsidRDefault="00AC2CB9" w:rsidP="00194CC2">
                          <w:pPr>
                            <w:jc w:val="right"/>
                          </w:pPr>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p>
                        <w:p w14:paraId="6D6CB07B" w14:textId="77777777" w:rsidR="00AC2CB9" w:rsidRPr="0078517D" w:rsidRDefault="00AC2CB9" w:rsidP="000A423D"/>
                        <w:p w14:paraId="7DBB4A81" w14:textId="77777777" w:rsidR="00AC2CB9" w:rsidRDefault="00AC2CB9" w:rsidP="000A423D"/>
                        <w:p w14:paraId="15261F64" w14:textId="77777777" w:rsidR="00AC2CB9" w:rsidRPr="0078517D" w:rsidRDefault="00AC2CB9" w:rsidP="000A423D">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r>
                            <w:rPr>
                              <w:b/>
                            </w:rPr>
                            <w:t xml:space="preserve">   </w:t>
                          </w:r>
                          <w:r>
                            <w:t xml:space="preserve"> </w:t>
                          </w:r>
                          <w:r w:rsidRPr="00FD0E91">
                            <w:rPr>
                              <w:b/>
                            </w:rPr>
                            <w:t>|</w:t>
                          </w:r>
                          <w:r w:rsidRPr="00BB1898">
                            <w:t xml:space="preserve">   </w:t>
                          </w:r>
                          <w:r>
                            <w:t>Document Title – even page header</w:t>
                          </w:r>
                        </w:p>
                        <w:p w14:paraId="728F01C9" w14:textId="77777777" w:rsidR="00AC2CB9" w:rsidRPr="0078517D" w:rsidRDefault="00AC2CB9" w:rsidP="000A423D"/>
                      </w:txbxContent>
                    </wps:txbx>
                    <wps:bodyPr rot="0" vert="horz" wrap="square" lIns="0" tIns="0" rIns="0" bIns="0" anchor="b" anchorCtr="0" upright="1">
                      <a:noAutofit/>
                    </wps:bodyPr>
                  </wps:wsp>
                </a:graphicData>
              </a:graphic>
              <wp14:sizeRelH relativeFrom="margin">
                <wp14:pctWidth>0</wp14:pctWidth>
              </wp14:sizeRelH>
            </wp:anchor>
          </w:drawing>
        </mc:Choice>
        <mc:Fallback>
          <w:pict>
            <v:shape w14:anchorId="1C1751FF" id="_x0000_s1034" type="#_x0000_t202" style="position:absolute;margin-left:235.35pt;margin-top:582.95pt;width:287.15pt;height:15.85pt;z-index:25165824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b1sg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" filled="f" stroked="f">
              <v:textbox inset="0,0,0,0">
                <w:txbxContent>
                  <w:p w14:paraId="545574BF" w14:textId="77777777" w:rsidR="00AC2CB9" w:rsidRPr="0078517D" w:rsidRDefault="00AC2CB9" w:rsidP="00194CC2">
                    <w:pPr>
                      <w:jc w:val="right"/>
                    </w:pPr>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p>
                  <w:p w14:paraId="6D6CB07B" w14:textId="77777777" w:rsidR="00AC2CB9" w:rsidRPr="0078517D" w:rsidRDefault="00AC2CB9" w:rsidP="000A423D"/>
                  <w:p w14:paraId="7DBB4A81" w14:textId="77777777" w:rsidR="00AC2CB9" w:rsidRDefault="00AC2CB9" w:rsidP="000A423D"/>
                  <w:p w14:paraId="15261F64" w14:textId="77777777" w:rsidR="00AC2CB9" w:rsidRPr="0078517D" w:rsidRDefault="00AC2CB9" w:rsidP="000A423D">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r>
                      <w:rPr>
                        <w:b/>
                      </w:rPr>
                      <w:t xml:space="preserve">   </w:t>
                    </w:r>
                    <w:r>
                      <w:t xml:space="preserve"> </w:t>
                    </w:r>
                    <w:r w:rsidRPr="00FD0E91">
                      <w:rPr>
                        <w:b/>
                      </w:rPr>
                      <w:t>|</w:t>
                    </w:r>
                    <w:r w:rsidRPr="00BB1898">
                      <w:t xml:space="preserve">   </w:t>
                    </w:r>
                    <w:r>
                      <w:t>Document Title – even page header</w:t>
                    </w:r>
                  </w:p>
                  <w:p w14:paraId="728F01C9" w14:textId="77777777" w:rsidR="00AC2CB9" w:rsidRPr="0078517D" w:rsidRDefault="00AC2CB9" w:rsidP="000A423D"/>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E581C" w14:textId="77777777" w:rsidR="00AC2CB9" w:rsidRPr="00320436" w:rsidRDefault="00AC2CB9" w:rsidP="00BD776F">
      <w:pPr>
        <w:pStyle w:val="Footer"/>
        <w:spacing w:before="200"/>
      </w:pPr>
      <w:bookmarkStart w:id="0" w:name="_Hlk51597396"/>
      <w:bookmarkEnd w:id="0"/>
    </w:p>
  </w:footnote>
  <w:footnote w:type="continuationSeparator" w:id="0">
    <w:p w14:paraId="586FE85A" w14:textId="77777777" w:rsidR="00AC2CB9" w:rsidRPr="00320436" w:rsidRDefault="00AC2CB9" w:rsidP="00BD776F">
      <w:pPr>
        <w:pStyle w:val="Footer"/>
        <w:spacing w:before="200"/>
      </w:pPr>
    </w:p>
  </w:footnote>
  <w:footnote w:type="continuationNotice" w:id="1">
    <w:p w14:paraId="059E1CC9" w14:textId="77777777" w:rsidR="00AC2CB9" w:rsidRPr="00320436" w:rsidRDefault="00AC2CB9" w:rsidP="00BD776F">
      <w:pPr>
        <w:spacing w:before="200" w:after="0" w:line="240" w:lineRule="aut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F79A" w14:textId="3C232FEA" w:rsidR="00AC2CB9" w:rsidRDefault="00AC2CB9" w:rsidP="00CD3AC8">
    <w:pPr>
      <w:pStyle w:val="Header"/>
      <w:ind w:left="-284" w:right="-142"/>
    </w:pPr>
    <w:r>
      <w:rPr>
        <w:noProof/>
      </w:rPr>
      <mc:AlternateContent>
        <mc:Choice Requires="wps">
          <w:drawing>
            <wp:anchor distT="0" distB="0" distL="114300" distR="114300" simplePos="0" relativeHeight="251658242" behindDoc="0" locked="0" layoutInCell="1" allowOverlap="1" wp14:anchorId="270EFEE3" wp14:editId="5B688967">
              <wp:simplePos x="0" y="0"/>
              <wp:positionH relativeFrom="page">
                <wp:posOffset>7346950</wp:posOffset>
              </wp:positionH>
              <wp:positionV relativeFrom="paragraph">
                <wp:posOffset>-1285787</wp:posOffset>
              </wp:positionV>
              <wp:extent cx="215900" cy="10728000"/>
              <wp:effectExtent l="0" t="0" r="0" b="0"/>
              <wp:wrapNone/>
              <wp:docPr id="15" name="Rectangle 15"/>
              <wp:cNvGraphicFramePr/>
              <a:graphic xmlns:a="http://schemas.openxmlformats.org/drawingml/2006/main">
                <a:graphicData uri="http://schemas.microsoft.com/office/word/2010/wordprocessingShape">
                  <wps:wsp>
                    <wps:cNvSpPr/>
                    <wps:spPr>
                      <a:xfrm>
                        <a:off x="0" y="0"/>
                        <a:ext cx="215900" cy="1072800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D3D876B" id="Rectangle 15" o:spid="_x0000_s1026" style="position:absolute;margin-left:578.5pt;margin-top:-101.25pt;width:17pt;height:844.7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" fillcolor="#03b2c4" stroked="f" strokeweight="1pt">
              <w10:wrap anchorx="page"/>
            </v:rect>
          </w:pict>
        </mc:Fallback>
      </mc:AlternateContent>
    </w:r>
    <w:r>
      <w:rPr>
        <w:noProof/>
      </w:rPr>
      <w:drawing>
        <wp:anchor distT="0" distB="0" distL="114300" distR="114300" simplePos="0" relativeHeight="251658247" behindDoc="0" locked="0" layoutInCell="1" allowOverlap="1" wp14:anchorId="0BDDB174" wp14:editId="6E3C6A70">
          <wp:simplePos x="0" y="0"/>
          <wp:positionH relativeFrom="leftMargin">
            <wp:posOffset>5769329</wp:posOffset>
          </wp:positionH>
          <wp:positionV relativeFrom="paragraph">
            <wp:posOffset>-925033</wp:posOffset>
          </wp:positionV>
          <wp:extent cx="1439545" cy="5276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276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F7A6" w14:textId="0469398A" w:rsidR="00AC2CB9" w:rsidRDefault="00AC2CB9" w:rsidP="00AD4F1E">
    <w:pPr>
      <w:pStyle w:val="USBodyText"/>
      <w:spacing w:before="0" w:after="0"/>
      <w:ind w:left="-851"/>
    </w:pPr>
    <w:r>
      <w:rPr>
        <w:noProof/>
      </w:rPr>
      <mc:AlternateContent>
        <mc:Choice Requires="wps">
          <w:drawing>
            <wp:anchor distT="0" distB="0" distL="114300" distR="114300" simplePos="0" relativeHeight="251658240" behindDoc="0" locked="0" layoutInCell="1" allowOverlap="1" wp14:anchorId="12F2D899" wp14:editId="3C1A24AA">
              <wp:simplePos x="0" y="0"/>
              <wp:positionH relativeFrom="page">
                <wp:posOffset>-5715</wp:posOffset>
              </wp:positionH>
              <wp:positionV relativeFrom="paragraph">
                <wp:posOffset>-418630</wp:posOffset>
              </wp:positionV>
              <wp:extent cx="215900" cy="10800000"/>
              <wp:effectExtent l="0" t="0" r="0" b="1905"/>
              <wp:wrapNone/>
              <wp:docPr id="2" name="Rectangle 2"/>
              <wp:cNvGraphicFramePr/>
              <a:graphic xmlns:a="http://schemas.openxmlformats.org/drawingml/2006/main">
                <a:graphicData uri="http://schemas.microsoft.com/office/word/2010/wordprocessingShape">
                  <wps:wsp>
                    <wps:cNvSpPr/>
                    <wps:spPr>
                      <a:xfrm>
                        <a:off x="0" y="0"/>
                        <a:ext cx="215900" cy="1080000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444E702" id="Rectangle 2" o:spid="_x0000_s1026" style="position:absolute;margin-left:-.45pt;margin-top:-32.95pt;width:17pt;height:8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" fillcolor="#03b2c4" stroked="f" strokeweight="1pt">
              <w10:wrap anchorx="page"/>
            </v:rect>
          </w:pict>
        </mc:Fallback>
      </mc:AlternateContent>
    </w:r>
    <w:r>
      <w:rPr>
        <w:noProof/>
      </w:rPr>
      <w:drawing>
        <wp:anchor distT="0" distB="0" distL="114300" distR="114300" simplePos="0" relativeHeight="251658243" behindDoc="0" locked="0" layoutInCell="1" allowOverlap="1" wp14:anchorId="4BEBEE7C" wp14:editId="22F2CEEB">
          <wp:simplePos x="0" y="0"/>
          <wp:positionH relativeFrom="rightMargin">
            <wp:posOffset>-6257726</wp:posOffset>
          </wp:positionH>
          <wp:positionV relativeFrom="paragraph">
            <wp:posOffset>-941373</wp:posOffset>
          </wp:positionV>
          <wp:extent cx="1439545" cy="5276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276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B2B4" w14:textId="4C6934C4" w:rsidR="00AC2CB9" w:rsidRDefault="00AC2CB9" w:rsidP="00A0003F">
    <w:pPr>
      <w:pStyle w:val="USBodyText"/>
      <w:tabs>
        <w:tab w:val="left" w:pos="6820"/>
        <w:tab w:val="right" w:pos="7568"/>
      </w:tabs>
    </w:pPr>
    <w:r>
      <w:rPr>
        <w:noProof/>
      </w:rPr>
      <w:drawing>
        <wp:anchor distT="0" distB="0" distL="114300" distR="114300" simplePos="0" relativeHeight="251658262" behindDoc="1" locked="0" layoutInCell="1" allowOverlap="1" wp14:anchorId="6FC214AE" wp14:editId="7B98016A">
          <wp:simplePos x="0" y="0"/>
          <wp:positionH relativeFrom="column">
            <wp:posOffset>3194050</wp:posOffset>
          </wp:positionH>
          <wp:positionV relativeFrom="paragraph">
            <wp:posOffset>69850</wp:posOffset>
          </wp:positionV>
          <wp:extent cx="1720850" cy="623945"/>
          <wp:effectExtent l="0" t="0" r="0" b="5080"/>
          <wp:wrapTight wrapText="bothSides">
            <wp:wrapPolygon edited="0">
              <wp:start x="0" y="0"/>
              <wp:lineTo x="0" y="21116"/>
              <wp:lineTo x="21281" y="21116"/>
              <wp:lineTo x="2128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50" cy="623945"/>
                  </a:xfrm>
                  <a:prstGeom prst="rect">
                    <a:avLst/>
                  </a:prstGeom>
                  <a:noFill/>
                  <a:ln>
                    <a:noFill/>
                  </a:ln>
                </pic:spPr>
              </pic:pic>
            </a:graphicData>
          </a:graphic>
        </wp:anchor>
      </w:drawing>
    </w:r>
    <w:r>
      <w:tab/>
    </w:r>
    <w:r>
      <w:tab/>
    </w:r>
    <w:r>
      <w:rPr>
        <w:noProof/>
      </w:rPr>
      <mc:AlternateContent>
        <mc:Choice Requires="wps">
          <w:drawing>
            <wp:anchor distT="0" distB="0" distL="114300" distR="114300" simplePos="0" relativeHeight="251658241" behindDoc="0" locked="0" layoutInCell="1" allowOverlap="1" wp14:anchorId="46AEA131" wp14:editId="5F22E2E6">
              <wp:simplePos x="0" y="0"/>
              <wp:positionH relativeFrom="page">
                <wp:align>left</wp:align>
              </wp:positionH>
              <wp:positionV relativeFrom="paragraph">
                <wp:posOffset>-461645</wp:posOffset>
              </wp:positionV>
              <wp:extent cx="216000" cy="10779760"/>
              <wp:effectExtent l="0" t="0" r="0" b="2540"/>
              <wp:wrapNone/>
              <wp:docPr id="13" name="Rectangle 13"/>
              <wp:cNvGraphicFramePr/>
              <a:graphic xmlns:a="http://schemas.openxmlformats.org/drawingml/2006/main">
                <a:graphicData uri="http://schemas.microsoft.com/office/word/2010/wordprocessingShape">
                  <wps:wsp>
                    <wps:cNvSpPr/>
                    <wps:spPr>
                      <a:xfrm>
                        <a:off x="0" y="0"/>
                        <a:ext cx="216000" cy="1077976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14057A" w14:textId="77777777" w:rsidR="00AC2CB9" w:rsidRDefault="00AC2CB9" w:rsidP="00025F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EA131" id="Rectangle 13" o:spid="_x0000_s1028" style="position:absolute;margin-left:0;margin-top:-36.35pt;width:17pt;height:848.8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" fillcolor="#03b2c4" stroked="f" strokeweight="1pt">
              <v:textbox>
                <w:txbxContent>
                  <w:p w14:paraId="1414057A" w14:textId="77777777" w:rsidR="00AC2CB9" w:rsidRDefault="00AC2CB9" w:rsidP="00025F27">
                    <w:pPr>
                      <w:jc w:val="center"/>
                    </w:pPr>
                  </w:p>
                </w:txbxContent>
              </v:textbox>
              <w10:wrap anchorx="page"/>
            </v:rect>
          </w:pict>
        </mc:Fallback>
      </mc:AlternateContent>
    </w:r>
  </w:p>
  <w:p w14:paraId="0A06807B" w14:textId="59B110FB" w:rsidR="00AC2CB9" w:rsidRPr="00194CC2" w:rsidRDefault="00AC2CB9" w:rsidP="00194CC2"/>
  <w:p w14:paraId="392AA731" w14:textId="23E6C906" w:rsidR="00AC2CB9" w:rsidRDefault="00AC2CB9" w:rsidP="00107AA8">
    <w:pPr>
      <w:pStyle w:val="USBodyText"/>
      <w:spacing w:before="1080" w:after="120" w:line="240" w:lineRule="auto"/>
      <w:rPr>
        <w:rStyle w:val="Title1Char"/>
        <w:sz w:val="40"/>
        <w:szCs w:val="40"/>
      </w:rPr>
    </w:pPr>
    <w:r w:rsidRPr="00194CC2">
      <w:rPr>
        <w:rFonts w:ascii="Segoe UI" w:hAnsi="Segoe UI" w:cs="Segoe UI"/>
        <w:b/>
        <w:bCs/>
        <w:color w:val="03B2C4"/>
        <w:sz w:val="40"/>
        <w:szCs w:val="40"/>
      </w:rPr>
      <w:t>Thre</w:t>
    </w:r>
    <w:r w:rsidRPr="00194CC2">
      <w:rPr>
        <w:rStyle w:val="Title1Char"/>
        <w:sz w:val="40"/>
        <w:szCs w:val="40"/>
      </w:rPr>
      <w:t xml:space="preserve">e Waters Reform Programme </w:t>
    </w:r>
    <w:r>
      <w:rPr>
        <w:rStyle w:val="Title1Char"/>
        <w:sz w:val="40"/>
        <w:szCs w:val="40"/>
      </w:rPr>
      <w:t>Request for Information</w:t>
    </w:r>
  </w:p>
  <w:p w14:paraId="0F934BDA" w14:textId="70BDCFCE" w:rsidR="00AC2CB9" w:rsidRPr="00194CC2" w:rsidRDefault="00AC2CB9" w:rsidP="00A4666D">
    <w:pPr>
      <w:pStyle w:val="USBodyText"/>
      <w:spacing w:before="0" w:after="120" w:line="240" w:lineRule="auto"/>
      <w:rPr>
        <w:rFonts w:ascii="Segoe UI" w:hAnsi="Segoe UI" w:cs="Segoe UI"/>
        <w:b/>
        <w:bCs/>
        <w:sz w:val="40"/>
        <w:szCs w:val="40"/>
      </w:rPr>
    </w:pPr>
    <w:r>
      <w:rPr>
        <w:rFonts w:ascii="Segoe UI" w:hAnsi="Segoe UI" w:cs="Segoe UI"/>
        <w:b/>
        <w:bCs/>
        <w:noProof/>
        <w:color w:val="03B2C4"/>
        <w:sz w:val="40"/>
        <w:szCs w:val="40"/>
      </w:rPr>
      <mc:AlternateContent>
        <mc:Choice Requires="wps">
          <w:drawing>
            <wp:anchor distT="0" distB="0" distL="114300" distR="114300" simplePos="0" relativeHeight="251658248" behindDoc="0" locked="0" layoutInCell="1" allowOverlap="1" wp14:anchorId="0EF35A77" wp14:editId="130471A0">
              <wp:simplePos x="0" y="0"/>
              <wp:positionH relativeFrom="column">
                <wp:posOffset>24130</wp:posOffset>
              </wp:positionH>
              <wp:positionV relativeFrom="paragraph">
                <wp:posOffset>178689</wp:posOffset>
              </wp:positionV>
              <wp:extent cx="4251960" cy="0"/>
              <wp:effectExtent l="19050" t="19050" r="34290" b="19050"/>
              <wp:wrapNone/>
              <wp:docPr id="677" name="Straight Connector 677"/>
              <wp:cNvGraphicFramePr/>
              <a:graphic xmlns:a="http://schemas.openxmlformats.org/drawingml/2006/main">
                <a:graphicData uri="http://schemas.microsoft.com/office/word/2010/wordprocessingShape">
                  <wps:wsp>
                    <wps:cNvCnPr/>
                    <wps:spPr>
                      <a:xfrm>
                        <a:off x="0" y="0"/>
                        <a:ext cx="4251960" cy="0"/>
                      </a:xfrm>
                      <a:prstGeom prst="line">
                        <a:avLst/>
                      </a:prstGeom>
                      <a:ln w="28575" cap="rnd">
                        <a:solidFill>
                          <a:srgbClr val="03B2C4"/>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08BAD6FF" id="Straight Connector 677" o:spid="_x0000_s1026" style="position:absolute;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4.05pt" to="336.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" strokecolor="#03b2c4" strokeweight="2.25pt">
              <v:stroke dashstyle="1 1" endcap="round"/>
            </v:line>
          </w:pict>
        </mc:Fallback>
      </mc:AlternateContent>
    </w:r>
  </w:p>
  <w:p w14:paraId="262FC239" w14:textId="5DB53B0B" w:rsidR="00AC2CB9" w:rsidRPr="005D2759" w:rsidRDefault="00AC2CB9" w:rsidP="00107AA8">
    <w:pPr>
      <w:pStyle w:val="USBodyText"/>
      <w:spacing w:before="0" w:after="120" w:line="240" w:lineRule="auto"/>
      <w:rPr>
        <w:rFonts w:ascii="Segoe UI" w:hAnsi="Segoe UI" w:cs="Segoe UI"/>
        <w:b/>
        <w:bCs/>
        <w:sz w:val="24"/>
        <w:szCs w:val="24"/>
      </w:rPr>
    </w:pPr>
    <w:r>
      <w:rPr>
        <w:rFonts w:ascii="Segoe UI" w:hAnsi="Segoe UI" w:cs="Segoe UI"/>
        <w:b/>
        <w:bCs/>
        <w:color w:val="182B46"/>
        <w:sz w:val="28"/>
        <w:szCs w:val="28"/>
      </w:rPr>
      <w:t>Supporting Schedules</w:t>
    </w:r>
  </w:p>
  <w:p w14:paraId="607C2AA6" w14:textId="4421E7EB" w:rsidR="00AC2CB9" w:rsidRDefault="00AC2CB9" w:rsidP="00107AA8">
    <w:pPr>
      <w:pStyle w:val="USBodyText"/>
      <w:spacing w:before="0" w:after="400" w:line="240" w:lineRule="auto"/>
      <w:rPr>
        <w:rFonts w:ascii="Segoe UI" w:hAnsi="Segoe UI" w:cs="Segoe UI"/>
        <w:i/>
        <w:iCs/>
        <w:color w:val="182B46"/>
        <w:sz w:val="24"/>
        <w:szCs w:val="24"/>
      </w:rPr>
    </w:pPr>
    <w:r>
      <w:rPr>
        <w:rFonts w:ascii="Segoe UI" w:hAnsi="Segoe UI" w:cs="Segoe UI"/>
        <w:b/>
        <w:bCs/>
        <w:noProof/>
        <w:color w:val="03B2C4"/>
        <w:sz w:val="40"/>
        <w:szCs w:val="40"/>
      </w:rPr>
      <mc:AlternateContent>
        <mc:Choice Requires="wps">
          <w:drawing>
            <wp:anchor distT="0" distB="0" distL="114300" distR="114300" simplePos="0" relativeHeight="251658249" behindDoc="0" locked="0" layoutInCell="1" allowOverlap="1" wp14:anchorId="0A3C5A1E" wp14:editId="43B22645">
              <wp:simplePos x="0" y="0"/>
              <wp:positionH relativeFrom="margin">
                <wp:posOffset>19050</wp:posOffset>
              </wp:positionH>
              <wp:positionV relativeFrom="paragraph">
                <wp:posOffset>457200</wp:posOffset>
              </wp:positionV>
              <wp:extent cx="4251960" cy="0"/>
              <wp:effectExtent l="19050" t="19050" r="34290" b="19050"/>
              <wp:wrapNone/>
              <wp:docPr id="1" name="Straight Connector 1"/>
              <wp:cNvGraphicFramePr/>
              <a:graphic xmlns:a="http://schemas.openxmlformats.org/drawingml/2006/main">
                <a:graphicData uri="http://schemas.microsoft.com/office/word/2010/wordprocessingShape">
                  <wps:wsp>
                    <wps:cNvCnPr/>
                    <wps:spPr>
                      <a:xfrm>
                        <a:off x="0" y="0"/>
                        <a:ext cx="4251960" cy="0"/>
                      </a:xfrm>
                      <a:prstGeom prst="line">
                        <a:avLst/>
                      </a:prstGeom>
                      <a:ln w="28575" cap="rnd">
                        <a:solidFill>
                          <a:srgbClr val="03B2C4"/>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324A26C3" id="Straight Connector 1" o:spid="_x0000_s1026" style="position:absolute;z-index:25165824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36pt" to="33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" strokecolor="#03b2c4" strokeweight="2.25pt">
              <v:stroke dashstyle="1 1" endcap="round"/>
              <w10:wrap anchorx="margin"/>
            </v:line>
          </w:pict>
        </mc:Fallback>
      </mc:AlternateContent>
    </w:r>
    <w:r>
      <w:rPr>
        <w:rFonts w:ascii="Segoe UI" w:hAnsi="Segoe UI" w:cs="Segoe UI"/>
        <w:i/>
        <w:iCs/>
        <w:color w:val="182B46"/>
        <w:sz w:val="24"/>
        <w:szCs w:val="24"/>
      </w:rPr>
      <w:t>SECTION A: BASE INFORMATION</w:t>
    </w:r>
  </w:p>
  <w:p w14:paraId="64C36E44" w14:textId="68229367" w:rsidR="00AC2CB9" w:rsidRDefault="00AC2CB9" w:rsidP="00107AA8">
    <w:pPr>
      <w:pStyle w:val="USBodyText"/>
      <w:spacing w:before="0" w:after="400" w:line="240" w:lineRule="auto"/>
      <w:rPr>
        <w:rFonts w:ascii="Segoe UI" w:hAnsi="Segoe UI" w:cs="Segoe UI"/>
        <w:i/>
        <w:iCs/>
        <w:sz w:val="24"/>
        <w:szCs w:val="24"/>
      </w:rPr>
    </w:pPr>
  </w:p>
  <w:p w14:paraId="117DC098" w14:textId="3FD99942" w:rsidR="004B529F" w:rsidRPr="004B529F" w:rsidRDefault="004B529F" w:rsidP="00107AA8">
    <w:pPr>
      <w:pStyle w:val="USBodyText"/>
      <w:spacing w:before="0" w:after="400" w:line="240" w:lineRule="auto"/>
      <w:rPr>
        <w:rFonts w:ascii="Segoe UI" w:hAnsi="Segoe UI" w:cs="Segoe UI"/>
        <w:i/>
        <w:iCs/>
        <w:szCs w:val="20"/>
      </w:rPr>
    </w:pPr>
    <w:bookmarkStart w:id="1" w:name="_GoBack"/>
    <w:r w:rsidRPr="004B529F">
      <w:rPr>
        <w:rFonts w:ascii="Segoe UI" w:hAnsi="Segoe UI" w:cs="Segoe UI"/>
        <w:i/>
        <w:iCs/>
        <w:szCs w:val="20"/>
      </w:rPr>
      <w:t>10 November 2020</w:t>
    </w:r>
  </w:p>
  <w:bookmarkEnd w:id="1"/>
  <w:p w14:paraId="0C6ED50F" w14:textId="684C77B2" w:rsidR="00AC2CB9" w:rsidRDefault="00AC2CB9" w:rsidP="00AD48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451D" w14:textId="344289F7" w:rsidR="00AC2CB9" w:rsidRDefault="00AC2CB9" w:rsidP="00CD3AC8">
    <w:pPr>
      <w:pStyle w:val="Header"/>
      <w:ind w:left="-284" w:right="-142"/>
    </w:pPr>
    <w:r>
      <w:rPr>
        <w:noProof/>
      </w:rPr>
      <w:drawing>
        <wp:anchor distT="0" distB="0" distL="114300" distR="114300" simplePos="0" relativeHeight="251658263" behindDoc="1" locked="0" layoutInCell="1" allowOverlap="1" wp14:anchorId="77B39C92" wp14:editId="0FCB456A">
          <wp:simplePos x="0" y="0"/>
          <wp:positionH relativeFrom="column">
            <wp:posOffset>-1638300</wp:posOffset>
          </wp:positionH>
          <wp:positionV relativeFrom="paragraph">
            <wp:posOffset>38100</wp:posOffset>
          </wp:positionV>
          <wp:extent cx="1720850" cy="623945"/>
          <wp:effectExtent l="0" t="0" r="0" b="5080"/>
          <wp:wrapTight wrapText="bothSides">
            <wp:wrapPolygon edited="0">
              <wp:start x="0" y="0"/>
              <wp:lineTo x="0" y="21116"/>
              <wp:lineTo x="21281" y="21116"/>
              <wp:lineTo x="2128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50" cy="623945"/>
                  </a:xfrm>
                  <a:prstGeom prst="rect">
                    <a:avLst/>
                  </a:prstGeom>
                  <a:noFill/>
                  <a:ln>
                    <a:noFill/>
                  </a:ln>
                </pic:spPr>
              </pic:pic>
            </a:graphicData>
          </a:graphic>
        </wp:anchor>
      </w:drawing>
    </w:r>
    <w:r>
      <w:rPr>
        <w:noProof/>
      </w:rPr>
      <mc:AlternateContent>
        <mc:Choice Requires="wps">
          <w:drawing>
            <wp:anchor distT="0" distB="0" distL="114300" distR="114300" simplePos="0" relativeHeight="251658258" behindDoc="0" locked="0" layoutInCell="1" allowOverlap="1" wp14:anchorId="32E54871" wp14:editId="7D932961">
              <wp:simplePos x="0" y="0"/>
              <wp:positionH relativeFrom="page">
                <wp:posOffset>10836</wp:posOffset>
              </wp:positionH>
              <wp:positionV relativeFrom="paragraph">
                <wp:posOffset>-398591</wp:posOffset>
              </wp:positionV>
              <wp:extent cx="216000" cy="10739120"/>
              <wp:effectExtent l="0" t="0" r="0" b="5080"/>
              <wp:wrapNone/>
              <wp:docPr id="26" name="Rectangle 26"/>
              <wp:cNvGraphicFramePr/>
              <a:graphic xmlns:a="http://schemas.openxmlformats.org/drawingml/2006/main">
                <a:graphicData uri="http://schemas.microsoft.com/office/word/2010/wordprocessingShape">
                  <wps:wsp>
                    <wps:cNvSpPr/>
                    <wps:spPr>
                      <a:xfrm>
                        <a:off x="0" y="0"/>
                        <a:ext cx="216000" cy="1073912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A1003F" w14:textId="77777777" w:rsidR="00AC2CB9" w:rsidRDefault="00AC2CB9" w:rsidP="00540F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54871" id="Rectangle 26" o:spid="_x0000_s1031" style="position:absolute;left:0;text-align:left;margin-left:.85pt;margin-top:-31.4pt;width:17pt;height:845.6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" fillcolor="#03b2c4" stroked="f" strokeweight="1pt">
              <v:textbox>
                <w:txbxContent>
                  <w:p w14:paraId="2AA1003F" w14:textId="77777777" w:rsidR="00AC2CB9" w:rsidRDefault="00AC2CB9" w:rsidP="00540F0C">
                    <w:pPr>
                      <w:jc w:val="center"/>
                    </w:pPr>
                  </w:p>
                </w:txbxContent>
              </v:textbox>
              <w10:wrap anchorx="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624B" w14:textId="59E0F461" w:rsidR="00AC2CB9" w:rsidRDefault="00AC2CB9" w:rsidP="00AD4F1E">
    <w:pPr>
      <w:pStyle w:val="USBodyText"/>
      <w:spacing w:before="0" w:after="0"/>
      <w:ind w:left="-851"/>
    </w:pPr>
    <w:r>
      <w:rPr>
        <w:noProof/>
      </w:rPr>
      <w:drawing>
        <wp:anchor distT="0" distB="0" distL="114300" distR="114300" simplePos="0" relativeHeight="251658261" behindDoc="1" locked="0" layoutInCell="1" allowOverlap="1" wp14:anchorId="4C04C850" wp14:editId="4413F1CE">
          <wp:simplePos x="0" y="0"/>
          <wp:positionH relativeFrom="column">
            <wp:posOffset>4672330</wp:posOffset>
          </wp:positionH>
          <wp:positionV relativeFrom="paragraph">
            <wp:posOffset>-55245</wp:posOffset>
          </wp:positionV>
          <wp:extent cx="1720850" cy="623945"/>
          <wp:effectExtent l="0" t="0" r="0" b="5080"/>
          <wp:wrapTight wrapText="bothSides">
            <wp:wrapPolygon edited="0">
              <wp:start x="0" y="0"/>
              <wp:lineTo x="0" y="21116"/>
              <wp:lineTo x="21281" y="21116"/>
              <wp:lineTo x="2128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50" cy="623945"/>
                  </a:xfrm>
                  <a:prstGeom prst="rect">
                    <a:avLst/>
                  </a:prstGeom>
                  <a:noFill/>
                  <a:ln>
                    <a:noFill/>
                  </a:ln>
                </pic:spPr>
              </pic:pic>
            </a:graphicData>
          </a:graphic>
        </wp:anchor>
      </w:drawing>
    </w:r>
    <w:r>
      <w:rPr>
        <w:noProof/>
      </w:rPr>
      <mc:AlternateContent>
        <mc:Choice Requires="wps">
          <w:drawing>
            <wp:anchor distT="0" distB="0" distL="114300" distR="114300" simplePos="0" relativeHeight="251658259" behindDoc="0" locked="0" layoutInCell="1" allowOverlap="1" wp14:anchorId="04A6CB64" wp14:editId="7F6FB21A">
              <wp:simplePos x="0" y="0"/>
              <wp:positionH relativeFrom="page">
                <wp:posOffset>7357110</wp:posOffset>
              </wp:positionH>
              <wp:positionV relativeFrom="paragraph">
                <wp:posOffset>-351790</wp:posOffset>
              </wp:positionV>
              <wp:extent cx="215900" cy="10800000"/>
              <wp:effectExtent l="0" t="0" r="0" b="1905"/>
              <wp:wrapNone/>
              <wp:docPr id="20" name="Rectangle 20"/>
              <wp:cNvGraphicFramePr/>
              <a:graphic xmlns:a="http://schemas.openxmlformats.org/drawingml/2006/main">
                <a:graphicData uri="http://schemas.microsoft.com/office/word/2010/wordprocessingShape">
                  <wps:wsp>
                    <wps:cNvSpPr/>
                    <wps:spPr>
                      <a:xfrm>
                        <a:off x="0" y="0"/>
                        <a:ext cx="215900" cy="1080000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F0570" w14:textId="77777777" w:rsidR="00AC2CB9" w:rsidRDefault="00AC2CB9" w:rsidP="007960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6CB64" id="Rectangle 20" o:spid="_x0000_s1032" style="position:absolute;left:0;text-align:left;margin-left:579.3pt;margin-top:-27.7pt;width:17pt;height:850.4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" fillcolor="#03b2c4" stroked="f" strokeweight="1pt">
              <v:textbox>
                <w:txbxContent>
                  <w:p w14:paraId="488F0570" w14:textId="77777777" w:rsidR="00AC2CB9" w:rsidRDefault="00AC2CB9" w:rsidP="00796006">
                    <w:pPr>
                      <w:jc w:val="center"/>
                    </w:pPr>
                  </w:p>
                </w:txbxContent>
              </v:textbox>
              <w10:wrap anchorx="page"/>
            </v:rect>
          </w:pict>
        </mc:Fallback>
      </mc:AlternateContent>
    </w:r>
    <w:r>
      <w:rPr>
        <w:noProof/>
      </w:rPr>
      <w:drawing>
        <wp:anchor distT="0" distB="0" distL="114300" distR="114300" simplePos="0" relativeHeight="251658260" behindDoc="0" locked="0" layoutInCell="1" allowOverlap="1" wp14:anchorId="4D6DC483" wp14:editId="0718ABFC">
          <wp:simplePos x="0" y="0"/>
          <wp:positionH relativeFrom="rightMargin">
            <wp:posOffset>-6257726</wp:posOffset>
          </wp:positionH>
          <wp:positionV relativeFrom="paragraph">
            <wp:posOffset>-941373</wp:posOffset>
          </wp:positionV>
          <wp:extent cx="1439545" cy="52768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545" cy="52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588B" w14:textId="036E78AE" w:rsidR="00AC2CB9" w:rsidRDefault="00AC2CB9" w:rsidP="000A423D">
    <w:pPr>
      <w:pStyle w:val="USBodyText"/>
      <w:jc w:val="right"/>
    </w:pPr>
    <w:r>
      <w:rPr>
        <w:noProof/>
      </w:rPr>
      <mc:AlternateContent>
        <mc:Choice Requires="wps">
          <w:drawing>
            <wp:anchor distT="0" distB="0" distL="114300" distR="114300" simplePos="0" relativeHeight="251658245" behindDoc="0" locked="0" layoutInCell="1" allowOverlap="1" wp14:anchorId="0CA7F1C7" wp14:editId="57E78134">
              <wp:simplePos x="0" y="0"/>
              <wp:positionH relativeFrom="page">
                <wp:align>left</wp:align>
              </wp:positionH>
              <wp:positionV relativeFrom="paragraph">
                <wp:posOffset>-421005</wp:posOffset>
              </wp:positionV>
              <wp:extent cx="216000" cy="10739120"/>
              <wp:effectExtent l="0" t="0" r="0" b="5080"/>
              <wp:wrapNone/>
              <wp:docPr id="27" name="Rectangle 27"/>
              <wp:cNvGraphicFramePr/>
              <a:graphic xmlns:a="http://schemas.openxmlformats.org/drawingml/2006/main">
                <a:graphicData uri="http://schemas.microsoft.com/office/word/2010/wordprocessingShape">
                  <wps:wsp>
                    <wps:cNvSpPr/>
                    <wps:spPr>
                      <a:xfrm>
                        <a:off x="0" y="0"/>
                        <a:ext cx="216000" cy="1073912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A141C59" id="Rectangle 27" o:spid="_x0000_s1026" style="position:absolute;margin-left:0;margin-top:-33.15pt;width:17pt;height:845.6pt;z-index:25165824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" fillcolor="#03b2c4"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B68"/>
    <w:multiLevelType w:val="hybridMultilevel"/>
    <w:tmpl w:val="C9729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7005DB"/>
    <w:multiLevelType w:val="multilevel"/>
    <w:tmpl w:val="976E0728"/>
    <w:lvl w:ilvl="0">
      <w:start w:val="1"/>
      <w:numFmt w:val="decimal"/>
      <w:pStyle w:val="TSNumber1"/>
      <w:lvlText w:val="%1"/>
      <w:lvlJc w:val="left"/>
      <w:pPr>
        <w:tabs>
          <w:tab w:val="num" w:pos="215"/>
        </w:tabs>
        <w:ind w:left="215" w:hanging="215"/>
      </w:pPr>
      <w:rPr>
        <w:rFonts w:hint="default"/>
      </w:rPr>
    </w:lvl>
    <w:lvl w:ilvl="1">
      <w:start w:val="1"/>
      <w:numFmt w:val="lowerLetter"/>
      <w:pStyle w:val="TSNumbera"/>
      <w:lvlText w:val="%2"/>
      <w:lvlJc w:val="left"/>
      <w:pPr>
        <w:tabs>
          <w:tab w:val="num" w:pos="425"/>
        </w:tabs>
        <w:ind w:left="425" w:hanging="210"/>
      </w:pPr>
      <w:rPr>
        <w:rFonts w:hint="default"/>
      </w:rPr>
    </w:lvl>
    <w:lvl w:ilvl="2">
      <w:start w:val="1"/>
      <w:numFmt w:val="lowerRoman"/>
      <w:pStyle w:val="TSNumberi"/>
      <w:lvlText w:val="%3"/>
      <w:lvlJc w:val="left"/>
      <w:pPr>
        <w:tabs>
          <w:tab w:val="num" w:pos="641"/>
        </w:tabs>
        <w:ind w:left="641" w:hanging="216"/>
      </w:pPr>
      <w:rPr>
        <w:rFont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none"/>
      <w:suff w:val="nothing"/>
      <w:lvlText w:val=""/>
      <w:lvlJc w:val="left"/>
      <w:pPr>
        <w:ind w:left="641" w:firstLine="0"/>
      </w:pPr>
      <w:rPr>
        <w:rFonts w:hint="default"/>
      </w:rPr>
    </w:lvl>
    <w:lvl w:ilvl="7">
      <w:start w:val="1"/>
      <w:numFmt w:val="none"/>
      <w:suff w:val="nothing"/>
      <w:lvlText w:val=""/>
      <w:lvlJc w:val="left"/>
      <w:pPr>
        <w:ind w:left="641" w:firstLine="0"/>
      </w:pPr>
      <w:rPr>
        <w:rFonts w:hint="default"/>
      </w:rPr>
    </w:lvl>
    <w:lvl w:ilvl="8">
      <w:start w:val="1"/>
      <w:numFmt w:val="none"/>
      <w:suff w:val="nothing"/>
      <w:lvlText w:val=""/>
      <w:lvlJc w:val="left"/>
      <w:pPr>
        <w:ind w:left="641" w:firstLine="0"/>
      </w:pPr>
      <w:rPr>
        <w:rFonts w:hint="default"/>
      </w:rPr>
    </w:lvl>
  </w:abstractNum>
  <w:abstractNum w:abstractNumId="2" w15:restartNumberingAfterBreak="0">
    <w:nsid w:val="01C91B9F"/>
    <w:multiLevelType w:val="hybridMultilevel"/>
    <w:tmpl w:val="FFFFFFFF"/>
    <w:lvl w:ilvl="0" w:tplc="8F4CC712">
      <w:start w:val="1"/>
      <w:numFmt w:val="decimal"/>
      <w:lvlText w:val="%1."/>
      <w:lvlJc w:val="left"/>
      <w:pPr>
        <w:ind w:left="720" w:hanging="360"/>
      </w:pPr>
    </w:lvl>
    <w:lvl w:ilvl="1" w:tplc="7398FD04">
      <w:start w:val="1"/>
      <w:numFmt w:val="lowerLetter"/>
      <w:lvlText w:val="%2."/>
      <w:lvlJc w:val="left"/>
      <w:pPr>
        <w:ind w:left="1440" w:hanging="360"/>
      </w:pPr>
    </w:lvl>
    <w:lvl w:ilvl="2" w:tplc="3C1A1602">
      <w:start w:val="1"/>
      <w:numFmt w:val="lowerRoman"/>
      <w:lvlText w:val="%3."/>
      <w:lvlJc w:val="right"/>
      <w:pPr>
        <w:ind w:left="2160" w:hanging="180"/>
      </w:pPr>
    </w:lvl>
    <w:lvl w:ilvl="3" w:tplc="9E4A22AC">
      <w:start w:val="1"/>
      <w:numFmt w:val="decimal"/>
      <w:lvlText w:val="%4."/>
      <w:lvlJc w:val="left"/>
      <w:pPr>
        <w:ind w:left="2880" w:hanging="360"/>
      </w:pPr>
    </w:lvl>
    <w:lvl w:ilvl="4" w:tplc="A3125E06">
      <w:start w:val="1"/>
      <w:numFmt w:val="lowerLetter"/>
      <w:lvlText w:val="%5."/>
      <w:lvlJc w:val="left"/>
      <w:pPr>
        <w:ind w:left="3600" w:hanging="360"/>
      </w:pPr>
    </w:lvl>
    <w:lvl w:ilvl="5" w:tplc="95EC0DBA">
      <w:start w:val="1"/>
      <w:numFmt w:val="lowerRoman"/>
      <w:lvlText w:val="%6."/>
      <w:lvlJc w:val="right"/>
      <w:pPr>
        <w:ind w:left="4320" w:hanging="180"/>
      </w:pPr>
    </w:lvl>
    <w:lvl w:ilvl="6" w:tplc="E07ECB46">
      <w:start w:val="1"/>
      <w:numFmt w:val="decimal"/>
      <w:lvlText w:val="%7."/>
      <w:lvlJc w:val="left"/>
      <w:pPr>
        <w:ind w:left="5040" w:hanging="360"/>
      </w:pPr>
    </w:lvl>
    <w:lvl w:ilvl="7" w:tplc="EE864CB2">
      <w:start w:val="1"/>
      <w:numFmt w:val="lowerLetter"/>
      <w:lvlText w:val="%8."/>
      <w:lvlJc w:val="left"/>
      <w:pPr>
        <w:ind w:left="5760" w:hanging="360"/>
      </w:pPr>
    </w:lvl>
    <w:lvl w:ilvl="8" w:tplc="B3FA35AA">
      <w:start w:val="1"/>
      <w:numFmt w:val="lowerRoman"/>
      <w:lvlText w:val="%9."/>
      <w:lvlJc w:val="right"/>
      <w:pPr>
        <w:ind w:left="6480" w:hanging="180"/>
      </w:pPr>
    </w:lvl>
  </w:abstractNum>
  <w:abstractNum w:abstractNumId="3" w15:restartNumberingAfterBreak="0">
    <w:nsid w:val="12A45D97"/>
    <w:multiLevelType w:val="hybridMultilevel"/>
    <w:tmpl w:val="0484AF42"/>
    <w:lvl w:ilvl="0" w:tplc="ACAEFDDA">
      <w:start w:val="1"/>
      <w:numFmt w:val="decimal"/>
      <w:pStyle w:val="Bodynumbercopy"/>
      <w:lvlText w:val="%1."/>
      <w:lvlJc w:val="left"/>
      <w:pPr>
        <w:ind w:left="1554"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89D010F"/>
    <w:multiLevelType w:val="hybridMultilevel"/>
    <w:tmpl w:val="CB4844D2"/>
    <w:lvl w:ilvl="0" w:tplc="8C506002">
      <w:start w:val="1"/>
      <w:numFmt w:val="bullet"/>
      <w:pStyle w:val="Bodybullet1"/>
      <w:lvlText w:val=""/>
      <w:lvlJc w:val="left"/>
      <w:pPr>
        <w:ind w:left="720" w:hanging="360"/>
      </w:pPr>
      <w:rPr>
        <w:rFonts w:ascii="Symbol" w:hAnsi="Symbol" w:hint="default"/>
        <w:color w:val="03B2C4"/>
        <w:u w:color="03B2C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7F10F8"/>
    <w:multiLevelType w:val="multilevel"/>
    <w:tmpl w:val="BDF4AC7E"/>
    <w:lvl w:ilvl="0">
      <w:start w:val="1"/>
      <w:numFmt w:val="decimal"/>
      <w:pStyle w:val="USNotes"/>
      <w:lvlText w:val="%1"/>
      <w:lvlJc w:val="left"/>
      <w:pPr>
        <w:tabs>
          <w:tab w:val="num" w:pos="215"/>
        </w:tabs>
        <w:ind w:left="215" w:hanging="215"/>
      </w:pPr>
      <w:rPr>
        <w:rFonts w:hint="default"/>
      </w:rPr>
    </w:lvl>
    <w:lvl w:ilvl="1">
      <w:start w:val="1"/>
      <w:numFmt w:val="none"/>
      <w:suff w:val="nothing"/>
      <w:lvlText w:val=""/>
      <w:lvlJc w:val="left"/>
      <w:pPr>
        <w:ind w:left="215"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AC4219"/>
    <w:multiLevelType w:val="hybridMultilevel"/>
    <w:tmpl w:val="6C8A6CAC"/>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7" w15:restartNumberingAfterBreak="0">
    <w:nsid w:val="204F3FD0"/>
    <w:multiLevelType w:val="hybridMultilevel"/>
    <w:tmpl w:val="7E6A1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4B5FEB"/>
    <w:multiLevelType w:val="hybridMultilevel"/>
    <w:tmpl w:val="117E773A"/>
    <w:lvl w:ilvl="0" w:tplc="6DDAE378">
      <w:start w:val="1"/>
      <w:numFmt w:val="decimal"/>
      <w:pStyle w:val="Number"/>
      <w:lvlText w:val="%1."/>
      <w:lvlJc w:val="left"/>
      <w:pPr>
        <w:ind w:left="780" w:hanging="42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6682CB9"/>
    <w:multiLevelType w:val="hybridMultilevel"/>
    <w:tmpl w:val="AC0CC330"/>
    <w:lvl w:ilvl="0" w:tplc="14090001">
      <w:start w:val="1"/>
      <w:numFmt w:val="bullet"/>
      <w:lvlText w:val=""/>
      <w:lvlJc w:val="left"/>
      <w:pPr>
        <w:ind w:left="2274" w:hanging="360"/>
      </w:pPr>
      <w:rPr>
        <w:rFonts w:ascii="Symbol" w:hAnsi="Symbol" w:hint="default"/>
      </w:rPr>
    </w:lvl>
    <w:lvl w:ilvl="1" w:tplc="14090003" w:tentative="1">
      <w:start w:val="1"/>
      <w:numFmt w:val="bullet"/>
      <w:lvlText w:val="o"/>
      <w:lvlJc w:val="left"/>
      <w:pPr>
        <w:ind w:left="2994" w:hanging="360"/>
      </w:pPr>
      <w:rPr>
        <w:rFonts w:ascii="Courier New" w:hAnsi="Courier New" w:cs="Courier New" w:hint="default"/>
      </w:rPr>
    </w:lvl>
    <w:lvl w:ilvl="2" w:tplc="14090005" w:tentative="1">
      <w:start w:val="1"/>
      <w:numFmt w:val="bullet"/>
      <w:lvlText w:val=""/>
      <w:lvlJc w:val="left"/>
      <w:pPr>
        <w:ind w:left="3714" w:hanging="360"/>
      </w:pPr>
      <w:rPr>
        <w:rFonts w:ascii="Wingdings" w:hAnsi="Wingdings" w:hint="default"/>
      </w:rPr>
    </w:lvl>
    <w:lvl w:ilvl="3" w:tplc="14090001" w:tentative="1">
      <w:start w:val="1"/>
      <w:numFmt w:val="bullet"/>
      <w:lvlText w:val=""/>
      <w:lvlJc w:val="left"/>
      <w:pPr>
        <w:ind w:left="4434" w:hanging="360"/>
      </w:pPr>
      <w:rPr>
        <w:rFonts w:ascii="Symbol" w:hAnsi="Symbol" w:hint="default"/>
      </w:rPr>
    </w:lvl>
    <w:lvl w:ilvl="4" w:tplc="14090003" w:tentative="1">
      <w:start w:val="1"/>
      <w:numFmt w:val="bullet"/>
      <w:lvlText w:val="o"/>
      <w:lvlJc w:val="left"/>
      <w:pPr>
        <w:ind w:left="5154" w:hanging="360"/>
      </w:pPr>
      <w:rPr>
        <w:rFonts w:ascii="Courier New" w:hAnsi="Courier New" w:cs="Courier New" w:hint="default"/>
      </w:rPr>
    </w:lvl>
    <w:lvl w:ilvl="5" w:tplc="14090005" w:tentative="1">
      <w:start w:val="1"/>
      <w:numFmt w:val="bullet"/>
      <w:lvlText w:val=""/>
      <w:lvlJc w:val="left"/>
      <w:pPr>
        <w:ind w:left="5874" w:hanging="360"/>
      </w:pPr>
      <w:rPr>
        <w:rFonts w:ascii="Wingdings" w:hAnsi="Wingdings" w:hint="default"/>
      </w:rPr>
    </w:lvl>
    <w:lvl w:ilvl="6" w:tplc="14090001" w:tentative="1">
      <w:start w:val="1"/>
      <w:numFmt w:val="bullet"/>
      <w:lvlText w:val=""/>
      <w:lvlJc w:val="left"/>
      <w:pPr>
        <w:ind w:left="6594" w:hanging="360"/>
      </w:pPr>
      <w:rPr>
        <w:rFonts w:ascii="Symbol" w:hAnsi="Symbol" w:hint="default"/>
      </w:rPr>
    </w:lvl>
    <w:lvl w:ilvl="7" w:tplc="14090003" w:tentative="1">
      <w:start w:val="1"/>
      <w:numFmt w:val="bullet"/>
      <w:lvlText w:val="o"/>
      <w:lvlJc w:val="left"/>
      <w:pPr>
        <w:ind w:left="7314" w:hanging="360"/>
      </w:pPr>
      <w:rPr>
        <w:rFonts w:ascii="Courier New" w:hAnsi="Courier New" w:cs="Courier New" w:hint="default"/>
      </w:rPr>
    </w:lvl>
    <w:lvl w:ilvl="8" w:tplc="14090005" w:tentative="1">
      <w:start w:val="1"/>
      <w:numFmt w:val="bullet"/>
      <w:lvlText w:val=""/>
      <w:lvlJc w:val="left"/>
      <w:pPr>
        <w:ind w:left="8034" w:hanging="360"/>
      </w:pPr>
      <w:rPr>
        <w:rFonts w:ascii="Wingdings" w:hAnsi="Wingdings" w:hint="default"/>
      </w:rPr>
    </w:lvl>
  </w:abstractNum>
  <w:abstractNum w:abstractNumId="10" w15:restartNumberingAfterBreak="0">
    <w:nsid w:val="28580201"/>
    <w:multiLevelType w:val="hybridMultilevel"/>
    <w:tmpl w:val="1960F602"/>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1" w15:restartNumberingAfterBreak="0">
    <w:nsid w:val="38833290"/>
    <w:multiLevelType w:val="multilevel"/>
    <w:tmpl w:val="6A860092"/>
    <w:lvl w:ilvl="0">
      <w:start w:val="1"/>
      <w:numFmt w:val="decimal"/>
      <w:pStyle w:val="NHHeading1"/>
      <w:lvlText w:val="%1"/>
      <w:lvlJc w:val="left"/>
      <w:pPr>
        <w:tabs>
          <w:tab w:val="num" w:pos="851"/>
        </w:tabs>
        <w:ind w:left="851" w:hanging="851"/>
      </w:pPr>
      <w:rPr>
        <w:rFonts w:hint="default"/>
      </w:rPr>
    </w:lvl>
    <w:lvl w:ilvl="1">
      <w:start w:val="1"/>
      <w:numFmt w:val="decimal"/>
      <w:pStyle w:val="NHHeading2"/>
      <w:lvlText w:val="%1.%2"/>
      <w:lvlJc w:val="left"/>
      <w:pPr>
        <w:tabs>
          <w:tab w:val="num" w:pos="851"/>
        </w:tabs>
        <w:ind w:left="851" w:hanging="851"/>
      </w:pPr>
      <w:rPr>
        <w:rFonts w:hint="default"/>
      </w:rPr>
    </w:lvl>
    <w:lvl w:ilvl="2">
      <w:start w:val="1"/>
      <w:numFmt w:val="decimal"/>
      <w:pStyle w:val="NHHeading3"/>
      <w:lvlText w:val="%1.%2.%3"/>
      <w:lvlJc w:val="left"/>
      <w:pPr>
        <w:tabs>
          <w:tab w:val="num" w:pos="851"/>
        </w:tabs>
        <w:ind w:left="851" w:hanging="851"/>
      </w:pPr>
      <w:rPr>
        <w:rFonts w:hint="default"/>
      </w:rPr>
    </w:lvl>
    <w:lvl w:ilvl="3">
      <w:start w:val="1"/>
      <w:numFmt w:val="none"/>
      <w:pStyle w:val="NHHeading4"/>
      <w:suff w:val="nothing"/>
      <w:lvlText w:val=""/>
      <w:lvlJc w:val="left"/>
      <w:pPr>
        <w:ind w:left="0" w:firstLine="0"/>
      </w:pPr>
      <w:rPr>
        <w:rFonts w:hint="default"/>
      </w:rPr>
    </w:lvl>
    <w:lvl w:ilvl="4">
      <w:start w:val="1"/>
      <w:numFmt w:val="none"/>
      <w:pStyle w:val="NH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CCC2705"/>
    <w:multiLevelType w:val="multilevel"/>
    <w:tmpl w:val="01848BE2"/>
    <w:lvl w:ilvl="0">
      <w:start w:val="1"/>
      <w:numFmt w:val="decimal"/>
      <w:pStyle w:val="ApxHeading1"/>
      <w:suff w:val="nothing"/>
      <w:lvlText w:val="Appendix %1"/>
      <w:lvlJc w:val="left"/>
      <w:pPr>
        <w:ind w:left="0" w:firstLine="0"/>
      </w:pPr>
      <w:rPr>
        <w:rFonts w:hint="default"/>
      </w:rPr>
    </w:lvl>
    <w:lvl w:ilvl="1">
      <w:start w:val="1"/>
      <w:numFmt w:val="none"/>
      <w:suff w:val="nothing"/>
      <w:lvlText w:val=""/>
      <w:lvlJc w:val="left"/>
      <w:pPr>
        <w:ind w:left="142" w:firstLine="0"/>
      </w:pPr>
      <w:rPr>
        <w:rFonts w:hint="default"/>
      </w:rPr>
    </w:lvl>
    <w:lvl w:ilvl="2">
      <w:start w:val="1"/>
      <w:numFmt w:val="none"/>
      <w:suff w:val="nothing"/>
      <w:lvlText w:val=""/>
      <w:lvlJc w:val="left"/>
      <w:pPr>
        <w:ind w:left="142" w:firstLine="0"/>
      </w:pPr>
      <w:rPr>
        <w:rFonts w:hint="default"/>
      </w:rPr>
    </w:lvl>
    <w:lvl w:ilvl="3">
      <w:start w:val="1"/>
      <w:numFmt w:val="none"/>
      <w:suff w:val="nothing"/>
      <w:lvlText w:val=""/>
      <w:lvlJc w:val="left"/>
      <w:pPr>
        <w:ind w:left="142" w:firstLine="0"/>
      </w:pPr>
      <w:rPr>
        <w:rFonts w:hint="default"/>
      </w:rPr>
    </w:lvl>
    <w:lvl w:ilvl="4">
      <w:start w:val="1"/>
      <w:numFmt w:val="none"/>
      <w:suff w:val="nothing"/>
      <w:lvlText w:val=""/>
      <w:lvlJc w:val="left"/>
      <w:pPr>
        <w:ind w:left="142" w:firstLine="0"/>
      </w:pPr>
      <w:rPr>
        <w:rFonts w:hint="default"/>
      </w:rPr>
    </w:lvl>
    <w:lvl w:ilvl="5">
      <w:start w:val="1"/>
      <w:numFmt w:val="none"/>
      <w:suff w:val="nothing"/>
      <w:lvlText w:val=""/>
      <w:lvlJc w:val="left"/>
      <w:pPr>
        <w:ind w:left="142" w:firstLine="0"/>
      </w:pPr>
      <w:rPr>
        <w:rFonts w:hint="default"/>
      </w:rPr>
    </w:lvl>
    <w:lvl w:ilvl="6">
      <w:start w:val="1"/>
      <w:numFmt w:val="none"/>
      <w:suff w:val="nothing"/>
      <w:lvlText w:val=""/>
      <w:lvlJc w:val="left"/>
      <w:pPr>
        <w:ind w:left="142" w:firstLine="0"/>
      </w:pPr>
      <w:rPr>
        <w:rFonts w:hint="default"/>
      </w:rPr>
    </w:lvl>
    <w:lvl w:ilvl="7">
      <w:start w:val="1"/>
      <w:numFmt w:val="none"/>
      <w:suff w:val="nothing"/>
      <w:lvlText w:val=""/>
      <w:lvlJc w:val="left"/>
      <w:pPr>
        <w:ind w:left="142" w:firstLine="0"/>
      </w:pPr>
      <w:rPr>
        <w:rFonts w:hint="default"/>
      </w:rPr>
    </w:lvl>
    <w:lvl w:ilvl="8">
      <w:start w:val="1"/>
      <w:numFmt w:val="none"/>
      <w:suff w:val="nothing"/>
      <w:lvlText w:val=""/>
      <w:lvlJc w:val="left"/>
      <w:pPr>
        <w:ind w:left="142" w:firstLine="0"/>
      </w:pPr>
      <w:rPr>
        <w:rFonts w:hint="default"/>
      </w:rPr>
    </w:lvl>
  </w:abstractNum>
  <w:abstractNum w:abstractNumId="13" w15:restartNumberingAfterBreak="0">
    <w:nsid w:val="3ED71013"/>
    <w:multiLevelType w:val="hybridMultilevel"/>
    <w:tmpl w:val="FFFFFFFF"/>
    <w:lvl w:ilvl="0" w:tplc="DC0C7A9C">
      <w:start w:val="1"/>
      <w:numFmt w:val="decimal"/>
      <w:lvlText w:val="%1."/>
      <w:lvlJc w:val="left"/>
      <w:pPr>
        <w:ind w:left="720" w:hanging="360"/>
      </w:pPr>
    </w:lvl>
    <w:lvl w:ilvl="1" w:tplc="0E681C54">
      <w:start w:val="1"/>
      <w:numFmt w:val="lowerLetter"/>
      <w:lvlText w:val="%2."/>
      <w:lvlJc w:val="left"/>
      <w:pPr>
        <w:ind w:left="1440" w:hanging="360"/>
      </w:pPr>
    </w:lvl>
    <w:lvl w:ilvl="2" w:tplc="2CAE63AA">
      <w:start w:val="1"/>
      <w:numFmt w:val="lowerRoman"/>
      <w:lvlText w:val="%3."/>
      <w:lvlJc w:val="right"/>
      <w:pPr>
        <w:ind w:left="2160" w:hanging="180"/>
      </w:pPr>
    </w:lvl>
    <w:lvl w:ilvl="3" w:tplc="FEDE0EB6">
      <w:start w:val="1"/>
      <w:numFmt w:val="decimal"/>
      <w:lvlText w:val="%4."/>
      <w:lvlJc w:val="left"/>
      <w:pPr>
        <w:ind w:left="2880" w:hanging="360"/>
      </w:pPr>
    </w:lvl>
    <w:lvl w:ilvl="4" w:tplc="BA3E8FBA">
      <w:start w:val="1"/>
      <w:numFmt w:val="lowerLetter"/>
      <w:lvlText w:val="%5."/>
      <w:lvlJc w:val="left"/>
      <w:pPr>
        <w:ind w:left="3600" w:hanging="360"/>
      </w:pPr>
    </w:lvl>
    <w:lvl w:ilvl="5" w:tplc="57467D12">
      <w:start w:val="1"/>
      <w:numFmt w:val="lowerRoman"/>
      <w:lvlText w:val="%6."/>
      <w:lvlJc w:val="right"/>
      <w:pPr>
        <w:ind w:left="4320" w:hanging="180"/>
      </w:pPr>
    </w:lvl>
    <w:lvl w:ilvl="6" w:tplc="7DE89BFE">
      <w:start w:val="1"/>
      <w:numFmt w:val="decimal"/>
      <w:lvlText w:val="%7."/>
      <w:lvlJc w:val="left"/>
      <w:pPr>
        <w:ind w:left="5040" w:hanging="360"/>
      </w:pPr>
    </w:lvl>
    <w:lvl w:ilvl="7" w:tplc="D69231E6">
      <w:start w:val="1"/>
      <w:numFmt w:val="lowerLetter"/>
      <w:lvlText w:val="%8."/>
      <w:lvlJc w:val="left"/>
      <w:pPr>
        <w:ind w:left="5760" w:hanging="360"/>
      </w:pPr>
    </w:lvl>
    <w:lvl w:ilvl="8" w:tplc="BB808FF4">
      <w:start w:val="1"/>
      <w:numFmt w:val="lowerRoman"/>
      <w:lvlText w:val="%9."/>
      <w:lvlJc w:val="right"/>
      <w:pPr>
        <w:ind w:left="6480" w:hanging="180"/>
      </w:pPr>
    </w:lvl>
  </w:abstractNum>
  <w:abstractNum w:abstractNumId="14" w15:restartNumberingAfterBreak="0">
    <w:nsid w:val="41227B13"/>
    <w:multiLevelType w:val="hybridMultilevel"/>
    <w:tmpl w:val="6D106928"/>
    <w:lvl w:ilvl="0" w:tplc="363E78DE">
      <w:start w:val="1"/>
      <w:numFmt w:val="bullet"/>
      <w:pStyle w:val="TSMixedB2"/>
      <w:lvlText w:val=""/>
      <w:lvlJc w:val="left"/>
      <w:pPr>
        <w:tabs>
          <w:tab w:val="num" w:pos="425"/>
        </w:tabs>
        <w:ind w:left="425" w:hanging="210"/>
      </w:pPr>
      <w:rPr>
        <w:rFonts w:ascii="Symbol" w:hAnsi="Symbol" w:hint="default"/>
        <w:color w:val="auto"/>
        <w:sz w:val="16"/>
      </w:rPr>
    </w:lvl>
    <w:lvl w:ilvl="1" w:tplc="4866BEDC">
      <w:start w:val="1"/>
      <w:numFmt w:val="bullet"/>
      <w:pStyle w:val="TSMixedB3"/>
      <w:lvlText w:val="-"/>
      <w:lvlJc w:val="left"/>
      <w:pPr>
        <w:tabs>
          <w:tab w:val="num" w:pos="641"/>
        </w:tabs>
        <w:ind w:left="641" w:hanging="216"/>
      </w:pPr>
      <w:rPr>
        <w:rFonts w:ascii="Courier New" w:hAnsi="Courier New" w:hint="default"/>
      </w:rPr>
    </w:lvl>
    <w:lvl w:ilvl="2" w:tplc="B41C4DAA">
      <w:start w:val="1"/>
      <w:numFmt w:val="none"/>
      <w:suff w:val="nothing"/>
      <w:lvlText w:val=""/>
      <w:lvlJc w:val="left"/>
      <w:pPr>
        <w:ind w:left="641" w:firstLine="0"/>
      </w:pPr>
      <w:rPr>
        <w:rFonts w:hint="default"/>
      </w:rPr>
    </w:lvl>
    <w:lvl w:ilvl="3" w:tplc="E312E56A">
      <w:start w:val="1"/>
      <w:numFmt w:val="none"/>
      <w:suff w:val="nothing"/>
      <w:lvlText w:val=""/>
      <w:lvlJc w:val="left"/>
      <w:pPr>
        <w:ind w:left="641" w:firstLine="0"/>
      </w:pPr>
      <w:rPr>
        <w:rFonts w:hint="default"/>
      </w:rPr>
    </w:lvl>
    <w:lvl w:ilvl="4" w:tplc="CCF8F44C">
      <w:start w:val="1"/>
      <w:numFmt w:val="none"/>
      <w:suff w:val="nothing"/>
      <w:lvlText w:val=""/>
      <w:lvlJc w:val="left"/>
      <w:pPr>
        <w:ind w:left="641" w:firstLine="0"/>
      </w:pPr>
      <w:rPr>
        <w:rFonts w:hint="default"/>
      </w:rPr>
    </w:lvl>
    <w:lvl w:ilvl="5" w:tplc="8C6EBD50">
      <w:start w:val="1"/>
      <w:numFmt w:val="none"/>
      <w:suff w:val="nothing"/>
      <w:lvlText w:val=""/>
      <w:lvlJc w:val="left"/>
      <w:pPr>
        <w:ind w:left="641" w:firstLine="0"/>
      </w:pPr>
      <w:rPr>
        <w:rFonts w:hint="default"/>
      </w:rPr>
    </w:lvl>
    <w:lvl w:ilvl="6" w:tplc="52D081E6">
      <w:start w:val="1"/>
      <w:numFmt w:val="none"/>
      <w:suff w:val="nothing"/>
      <w:lvlText w:val=""/>
      <w:lvlJc w:val="left"/>
      <w:pPr>
        <w:ind w:left="641" w:firstLine="0"/>
      </w:pPr>
      <w:rPr>
        <w:rFonts w:hint="default"/>
      </w:rPr>
    </w:lvl>
    <w:lvl w:ilvl="7" w:tplc="B93A57EC">
      <w:start w:val="1"/>
      <w:numFmt w:val="none"/>
      <w:suff w:val="nothing"/>
      <w:lvlText w:val=""/>
      <w:lvlJc w:val="left"/>
      <w:pPr>
        <w:ind w:left="641" w:firstLine="0"/>
      </w:pPr>
      <w:rPr>
        <w:rFonts w:hint="default"/>
      </w:rPr>
    </w:lvl>
    <w:lvl w:ilvl="8" w:tplc="7A72EA34">
      <w:start w:val="1"/>
      <w:numFmt w:val="none"/>
      <w:suff w:val="nothing"/>
      <w:lvlText w:val=""/>
      <w:lvlJc w:val="left"/>
      <w:pPr>
        <w:ind w:left="641" w:firstLine="0"/>
      </w:pPr>
      <w:rPr>
        <w:rFonts w:hint="default"/>
      </w:rPr>
    </w:lvl>
  </w:abstractNum>
  <w:abstractNum w:abstractNumId="15" w15:restartNumberingAfterBreak="0">
    <w:nsid w:val="419F3A96"/>
    <w:multiLevelType w:val="hybridMultilevel"/>
    <w:tmpl w:val="11D80C42"/>
    <w:lvl w:ilvl="0" w:tplc="82E87168">
      <w:start w:val="1"/>
      <w:numFmt w:val="bullet"/>
      <w:lvlText w:val=""/>
      <w:lvlJc w:val="left"/>
      <w:pPr>
        <w:ind w:left="720" w:hanging="360"/>
      </w:pPr>
      <w:rPr>
        <w:rFonts w:ascii="Symbol" w:hAnsi="Symbol" w:hint="default"/>
        <w:color w:val="03B2C4"/>
        <w:u w:color="03B2C4"/>
      </w:rPr>
    </w:lvl>
    <w:lvl w:ilvl="1" w:tplc="8F308CFE">
      <w:start w:val="1"/>
      <w:numFmt w:val="bullet"/>
      <w:pStyle w:val="Bodybullet2"/>
      <w:lvlText w:val="–"/>
      <w:lvlJc w:val="left"/>
      <w:pPr>
        <w:ind w:left="1440" w:hanging="360"/>
      </w:pPr>
      <w:rPr>
        <w:rFonts w:ascii="Arial" w:hAnsi="Arial" w:hint="default"/>
        <w:b/>
        <w:i w:val="0"/>
        <w:color w:val="03B2C4"/>
        <w:u w:color="6BBAD9" w:themeColor="accent6"/>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9452C05"/>
    <w:multiLevelType w:val="multilevel"/>
    <w:tmpl w:val="2D74469E"/>
    <w:lvl w:ilvl="0">
      <w:start w:val="1"/>
      <w:numFmt w:val="decimal"/>
      <w:pStyle w:val="LNHEADING1"/>
      <w:lvlText w:val="%1"/>
      <w:lvlJc w:val="left"/>
      <w:pPr>
        <w:tabs>
          <w:tab w:val="num" w:pos="851"/>
        </w:tabs>
        <w:ind w:left="851" w:hanging="851"/>
      </w:pPr>
      <w:rPr>
        <w:rFonts w:hint="default"/>
      </w:rPr>
    </w:lvl>
    <w:lvl w:ilvl="1">
      <w:start w:val="1"/>
      <w:numFmt w:val="decimal"/>
      <w:pStyle w:val="LNPara2"/>
      <w:lvlText w:val="%1.%2"/>
      <w:lvlJc w:val="left"/>
      <w:pPr>
        <w:tabs>
          <w:tab w:val="num" w:pos="851"/>
        </w:tabs>
        <w:ind w:left="851" w:hanging="851"/>
      </w:pPr>
      <w:rPr>
        <w:rFonts w:hint="default"/>
      </w:rPr>
    </w:lvl>
    <w:lvl w:ilvl="2">
      <w:start w:val="1"/>
      <w:numFmt w:val="decimal"/>
      <w:pStyle w:val="LNPara3"/>
      <w:lvlText w:val="%1.%2.%3"/>
      <w:lvlJc w:val="left"/>
      <w:pPr>
        <w:tabs>
          <w:tab w:val="num" w:pos="851"/>
        </w:tabs>
        <w:ind w:left="851" w:hanging="851"/>
      </w:pPr>
      <w:rPr>
        <w:rFonts w:hint="default"/>
      </w:rPr>
    </w:lvl>
    <w:lvl w:ilvl="3">
      <w:start w:val="1"/>
      <w:numFmt w:val="lowerLetter"/>
      <w:pStyle w:val="LNParaa"/>
      <w:lvlText w:val="%4"/>
      <w:lvlJc w:val="left"/>
      <w:pPr>
        <w:tabs>
          <w:tab w:val="num" w:pos="1276"/>
        </w:tabs>
        <w:ind w:left="1276" w:hanging="425"/>
      </w:pPr>
      <w:rPr>
        <w:rFonts w:hint="default"/>
      </w:rPr>
    </w:lvl>
    <w:lvl w:ilvl="4">
      <w:start w:val="1"/>
      <w:numFmt w:val="lowerRoman"/>
      <w:pStyle w:val="LNParai"/>
      <w:lvlText w:val="%5"/>
      <w:lvlJc w:val="left"/>
      <w:pPr>
        <w:tabs>
          <w:tab w:val="num" w:pos="1701"/>
        </w:tabs>
        <w:ind w:left="1701" w:hanging="425"/>
      </w:pPr>
      <w:rPr>
        <w:rFonts w:hint="default"/>
      </w:rPr>
    </w:lvl>
    <w:lvl w:ilvl="5">
      <w:start w:val="1"/>
      <w:numFmt w:val="bullet"/>
      <w:pStyle w:val="LNParaB1"/>
      <w:lvlText w:val=""/>
      <w:lvlJc w:val="left"/>
      <w:pPr>
        <w:tabs>
          <w:tab w:val="num" w:pos="1276"/>
        </w:tabs>
        <w:ind w:left="1276" w:hanging="425"/>
      </w:pPr>
      <w:rPr>
        <w:rFonts w:ascii="Symbol" w:hAnsi="Symbol" w:hint="default"/>
        <w:color w:val="auto"/>
      </w:rPr>
    </w:lvl>
    <w:lvl w:ilvl="6">
      <w:start w:val="1"/>
      <w:numFmt w:val="bullet"/>
      <w:pStyle w:val="LNParaB2"/>
      <w:lvlText w:val="-"/>
      <w:lvlJc w:val="left"/>
      <w:pPr>
        <w:tabs>
          <w:tab w:val="num" w:pos="1701"/>
        </w:tabs>
        <w:ind w:left="1701" w:hanging="425"/>
      </w:pPr>
      <w:rPr>
        <w:rFonts w:ascii="Courier New" w:hAnsi="Courier New" w:hint="default"/>
      </w:rPr>
    </w:lvl>
    <w:lvl w:ilvl="7">
      <w:start w:val="1"/>
      <w:numFmt w:val="bullet"/>
      <w:pStyle w:val="LNParaB3"/>
      <w:lvlText w:val=""/>
      <w:lvlJc w:val="left"/>
      <w:pPr>
        <w:tabs>
          <w:tab w:val="num" w:pos="2126"/>
        </w:tabs>
        <w:ind w:left="2126" w:hanging="425"/>
      </w:pPr>
      <w:rPr>
        <w:rFonts w:ascii="Wingdings" w:hAnsi="Wingdings" w:hint="default"/>
      </w:rPr>
    </w:lvl>
    <w:lvl w:ilvl="8">
      <w:start w:val="1"/>
      <w:numFmt w:val="none"/>
      <w:suff w:val="nothing"/>
      <w:lvlText w:val=""/>
      <w:lvlJc w:val="left"/>
      <w:pPr>
        <w:ind w:left="2126" w:firstLine="0"/>
      </w:pPr>
      <w:rPr>
        <w:rFonts w:hint="default"/>
      </w:rPr>
    </w:lvl>
  </w:abstractNum>
  <w:abstractNum w:abstractNumId="17" w15:restartNumberingAfterBreak="0">
    <w:nsid w:val="4C203B34"/>
    <w:multiLevelType w:val="hybridMultilevel"/>
    <w:tmpl w:val="E6BC8096"/>
    <w:lvl w:ilvl="0" w:tplc="106C4944">
      <w:start w:val="1"/>
      <w:numFmt w:val="decimal"/>
      <w:pStyle w:val="SNNumber1"/>
      <w:lvlText w:val="%1"/>
      <w:lvlJc w:val="left"/>
      <w:pPr>
        <w:tabs>
          <w:tab w:val="num" w:pos="851"/>
        </w:tabs>
        <w:ind w:left="851" w:hanging="851"/>
      </w:pPr>
      <w:rPr>
        <w:rFonts w:hint="default"/>
      </w:rPr>
    </w:lvl>
    <w:lvl w:ilvl="1" w:tplc="48D206D4">
      <w:start w:val="1"/>
      <w:numFmt w:val="lowerLetter"/>
      <w:pStyle w:val="SNParaa"/>
      <w:lvlText w:val="%2"/>
      <w:lvlJc w:val="left"/>
      <w:pPr>
        <w:tabs>
          <w:tab w:val="num" w:pos="1276"/>
        </w:tabs>
        <w:ind w:left="1276" w:hanging="425"/>
      </w:pPr>
      <w:rPr>
        <w:rFonts w:hint="default"/>
      </w:rPr>
    </w:lvl>
    <w:lvl w:ilvl="2" w:tplc="2EB88D96">
      <w:start w:val="1"/>
      <w:numFmt w:val="lowerRoman"/>
      <w:pStyle w:val="SNParai"/>
      <w:lvlText w:val="%3"/>
      <w:lvlJc w:val="left"/>
      <w:pPr>
        <w:tabs>
          <w:tab w:val="num" w:pos="1276"/>
        </w:tabs>
        <w:ind w:left="1276" w:hanging="425"/>
      </w:pPr>
      <w:rPr>
        <w:rFonts w:hint="default"/>
      </w:rPr>
    </w:lvl>
    <w:lvl w:ilvl="3" w:tplc="22BCDDEE">
      <w:start w:val="1"/>
      <w:numFmt w:val="decimal"/>
      <w:pStyle w:val="SNPara1"/>
      <w:lvlText w:val="%4"/>
      <w:lvlJc w:val="left"/>
      <w:pPr>
        <w:tabs>
          <w:tab w:val="num" w:pos="1276"/>
        </w:tabs>
        <w:ind w:left="1276" w:hanging="425"/>
      </w:pPr>
      <w:rPr>
        <w:rFonts w:hint="default"/>
      </w:rPr>
    </w:lvl>
    <w:lvl w:ilvl="4" w:tplc="AA587DE8">
      <w:start w:val="1"/>
      <w:numFmt w:val="bullet"/>
      <w:pStyle w:val="SNParaB1"/>
      <w:lvlText w:val=""/>
      <w:lvlJc w:val="left"/>
      <w:pPr>
        <w:tabs>
          <w:tab w:val="num" w:pos="1701"/>
        </w:tabs>
        <w:ind w:left="1701" w:hanging="425"/>
      </w:pPr>
      <w:rPr>
        <w:rFonts w:ascii="Symbol" w:hAnsi="Symbol" w:hint="default"/>
        <w:color w:val="auto"/>
      </w:rPr>
    </w:lvl>
    <w:lvl w:ilvl="5" w:tplc="A6885F9E">
      <w:start w:val="1"/>
      <w:numFmt w:val="bullet"/>
      <w:pStyle w:val="SNParaB2"/>
      <w:lvlText w:val="-"/>
      <w:lvlJc w:val="left"/>
      <w:pPr>
        <w:tabs>
          <w:tab w:val="num" w:pos="2126"/>
        </w:tabs>
        <w:ind w:left="2126" w:hanging="425"/>
      </w:pPr>
      <w:rPr>
        <w:rFonts w:ascii="Courier New" w:hAnsi="Courier New" w:hint="default"/>
      </w:rPr>
    </w:lvl>
    <w:lvl w:ilvl="6" w:tplc="918C3166">
      <w:start w:val="1"/>
      <w:numFmt w:val="none"/>
      <w:suff w:val="nothing"/>
      <w:lvlText w:val=""/>
      <w:lvlJc w:val="left"/>
      <w:pPr>
        <w:ind w:left="2126" w:firstLine="0"/>
      </w:pPr>
      <w:rPr>
        <w:rFonts w:hint="default"/>
      </w:rPr>
    </w:lvl>
    <w:lvl w:ilvl="7" w:tplc="8F68094C">
      <w:start w:val="1"/>
      <w:numFmt w:val="none"/>
      <w:suff w:val="nothing"/>
      <w:lvlText w:val=""/>
      <w:lvlJc w:val="left"/>
      <w:pPr>
        <w:ind w:left="2126" w:firstLine="0"/>
      </w:pPr>
      <w:rPr>
        <w:rFonts w:hint="default"/>
      </w:rPr>
    </w:lvl>
    <w:lvl w:ilvl="8" w:tplc="141E23A8">
      <w:start w:val="1"/>
      <w:numFmt w:val="none"/>
      <w:suff w:val="nothing"/>
      <w:lvlText w:val=""/>
      <w:lvlJc w:val="left"/>
      <w:pPr>
        <w:ind w:left="2126" w:firstLine="0"/>
      </w:pPr>
      <w:rPr>
        <w:rFonts w:hint="default"/>
      </w:rPr>
    </w:lvl>
  </w:abstractNum>
  <w:abstractNum w:abstractNumId="18" w15:restartNumberingAfterBreak="0">
    <w:nsid w:val="516F5E02"/>
    <w:multiLevelType w:val="hybridMultilevel"/>
    <w:tmpl w:val="B8D0B29C"/>
    <w:lvl w:ilvl="0" w:tplc="FFDE98F4">
      <w:start w:val="1"/>
      <w:numFmt w:val="bullet"/>
      <w:pStyle w:val="SNBullet1"/>
      <w:lvlText w:val=""/>
      <w:lvlJc w:val="left"/>
      <w:pPr>
        <w:tabs>
          <w:tab w:val="num" w:pos="1276"/>
        </w:tabs>
        <w:ind w:left="1276" w:hanging="425"/>
      </w:pPr>
      <w:rPr>
        <w:rFonts w:ascii="Symbol" w:hAnsi="Symbol" w:hint="default"/>
        <w:color w:val="auto"/>
      </w:rPr>
    </w:lvl>
    <w:lvl w:ilvl="1" w:tplc="310035DC">
      <w:start w:val="1"/>
      <w:numFmt w:val="bullet"/>
      <w:pStyle w:val="SNBullet2"/>
      <w:lvlText w:val="-"/>
      <w:lvlJc w:val="left"/>
      <w:pPr>
        <w:tabs>
          <w:tab w:val="num" w:pos="1701"/>
        </w:tabs>
        <w:ind w:left="1701" w:hanging="425"/>
      </w:pPr>
      <w:rPr>
        <w:rFonts w:ascii="Courier New" w:hAnsi="Courier New" w:hint="default"/>
        <w:color w:val="auto"/>
      </w:rPr>
    </w:lvl>
    <w:lvl w:ilvl="2" w:tplc="C6B6DB44">
      <w:start w:val="1"/>
      <w:numFmt w:val="bullet"/>
      <w:pStyle w:val="SNBullet3"/>
      <w:lvlText w:val=""/>
      <w:lvlJc w:val="left"/>
      <w:pPr>
        <w:tabs>
          <w:tab w:val="num" w:pos="2126"/>
        </w:tabs>
        <w:ind w:left="2126" w:hanging="425"/>
      </w:pPr>
      <w:rPr>
        <w:rFonts w:ascii="Wingdings" w:hAnsi="Wingdings" w:hint="default"/>
        <w:color w:val="423E3C"/>
      </w:rPr>
    </w:lvl>
    <w:lvl w:ilvl="3" w:tplc="55922C68">
      <w:start w:val="1"/>
      <w:numFmt w:val="none"/>
      <w:suff w:val="nothing"/>
      <w:lvlText w:val=""/>
      <w:lvlJc w:val="left"/>
      <w:pPr>
        <w:ind w:left="2126" w:firstLine="0"/>
      </w:pPr>
      <w:rPr>
        <w:rFonts w:hint="default"/>
      </w:rPr>
    </w:lvl>
    <w:lvl w:ilvl="4" w:tplc="FC90CAF2">
      <w:start w:val="1"/>
      <w:numFmt w:val="none"/>
      <w:suff w:val="nothing"/>
      <w:lvlText w:val=""/>
      <w:lvlJc w:val="left"/>
      <w:pPr>
        <w:ind w:left="2126" w:firstLine="0"/>
      </w:pPr>
      <w:rPr>
        <w:rFonts w:hint="default"/>
      </w:rPr>
    </w:lvl>
    <w:lvl w:ilvl="5" w:tplc="3A60C18E">
      <w:start w:val="1"/>
      <w:numFmt w:val="none"/>
      <w:suff w:val="nothing"/>
      <w:lvlText w:val=""/>
      <w:lvlJc w:val="left"/>
      <w:pPr>
        <w:ind w:left="2126" w:firstLine="0"/>
      </w:pPr>
      <w:rPr>
        <w:rFonts w:hint="default"/>
      </w:rPr>
    </w:lvl>
    <w:lvl w:ilvl="6" w:tplc="D6CA86EA">
      <w:start w:val="1"/>
      <w:numFmt w:val="none"/>
      <w:suff w:val="nothing"/>
      <w:lvlText w:val=""/>
      <w:lvlJc w:val="left"/>
      <w:pPr>
        <w:ind w:left="2126" w:firstLine="0"/>
      </w:pPr>
      <w:rPr>
        <w:rFonts w:hint="default"/>
      </w:rPr>
    </w:lvl>
    <w:lvl w:ilvl="7" w:tplc="31A4BFE2">
      <w:start w:val="1"/>
      <w:numFmt w:val="none"/>
      <w:suff w:val="nothing"/>
      <w:lvlText w:val=""/>
      <w:lvlJc w:val="left"/>
      <w:pPr>
        <w:ind w:left="2126" w:firstLine="0"/>
      </w:pPr>
      <w:rPr>
        <w:rFonts w:hint="default"/>
      </w:rPr>
    </w:lvl>
    <w:lvl w:ilvl="8" w:tplc="D1462B90">
      <w:start w:val="1"/>
      <w:numFmt w:val="none"/>
      <w:suff w:val="space"/>
      <w:lvlText w:val=""/>
      <w:lvlJc w:val="left"/>
      <w:pPr>
        <w:ind w:left="2126" w:firstLine="0"/>
      </w:pPr>
      <w:rPr>
        <w:rFonts w:hint="default"/>
      </w:rPr>
    </w:lvl>
  </w:abstractNum>
  <w:abstractNum w:abstractNumId="19" w15:restartNumberingAfterBreak="0">
    <w:nsid w:val="557D6C2D"/>
    <w:multiLevelType w:val="hybridMultilevel"/>
    <w:tmpl w:val="0EAADB04"/>
    <w:lvl w:ilvl="0" w:tplc="F74009B8">
      <w:start w:val="1"/>
      <w:numFmt w:val="bullet"/>
      <w:pStyle w:val="TSBullet1"/>
      <w:lvlText w:val=""/>
      <w:lvlJc w:val="left"/>
      <w:pPr>
        <w:tabs>
          <w:tab w:val="num" w:pos="215"/>
        </w:tabs>
        <w:ind w:left="215" w:hanging="215"/>
      </w:pPr>
      <w:rPr>
        <w:rFonts w:ascii="Symbol" w:hAnsi="Symbol" w:hint="default"/>
        <w:color w:val="auto"/>
      </w:rPr>
    </w:lvl>
    <w:lvl w:ilvl="1" w:tplc="4B9E6340">
      <w:start w:val="1"/>
      <w:numFmt w:val="bullet"/>
      <w:pStyle w:val="TSBullet2"/>
      <w:lvlText w:val="-"/>
      <w:lvlJc w:val="left"/>
      <w:pPr>
        <w:tabs>
          <w:tab w:val="num" w:pos="425"/>
        </w:tabs>
        <w:ind w:left="425" w:hanging="210"/>
      </w:pPr>
      <w:rPr>
        <w:rFonts w:ascii="Courier New" w:hAnsi="Courier New" w:hint="default"/>
      </w:rPr>
    </w:lvl>
    <w:lvl w:ilvl="2" w:tplc="F626BE38">
      <w:start w:val="1"/>
      <w:numFmt w:val="bullet"/>
      <w:pStyle w:val="TSBullet3"/>
      <w:lvlText w:val=""/>
      <w:lvlJc w:val="left"/>
      <w:pPr>
        <w:tabs>
          <w:tab w:val="num" w:pos="641"/>
        </w:tabs>
        <w:ind w:left="641" w:hanging="216"/>
      </w:pPr>
      <w:rPr>
        <w:rFonts w:ascii="Wingdings" w:hAnsi="Wingdings" w:hint="default"/>
      </w:rPr>
    </w:lvl>
    <w:lvl w:ilvl="3" w:tplc="1FF66CD2">
      <w:start w:val="1"/>
      <w:numFmt w:val="none"/>
      <w:suff w:val="nothing"/>
      <w:lvlText w:val=""/>
      <w:lvlJc w:val="left"/>
      <w:pPr>
        <w:ind w:left="641" w:firstLine="0"/>
      </w:pPr>
      <w:rPr>
        <w:rFonts w:hint="default"/>
      </w:rPr>
    </w:lvl>
    <w:lvl w:ilvl="4" w:tplc="56E62338">
      <w:start w:val="1"/>
      <w:numFmt w:val="none"/>
      <w:suff w:val="nothing"/>
      <w:lvlText w:val=""/>
      <w:lvlJc w:val="left"/>
      <w:pPr>
        <w:ind w:left="641" w:firstLine="0"/>
      </w:pPr>
      <w:rPr>
        <w:rFonts w:hint="default"/>
      </w:rPr>
    </w:lvl>
    <w:lvl w:ilvl="5" w:tplc="8C0C4928">
      <w:start w:val="1"/>
      <w:numFmt w:val="none"/>
      <w:suff w:val="nothing"/>
      <w:lvlText w:val=""/>
      <w:lvlJc w:val="left"/>
      <w:pPr>
        <w:ind w:left="641" w:firstLine="0"/>
      </w:pPr>
      <w:rPr>
        <w:rFonts w:hint="default"/>
      </w:rPr>
    </w:lvl>
    <w:lvl w:ilvl="6" w:tplc="0806089C">
      <w:start w:val="1"/>
      <w:numFmt w:val="none"/>
      <w:suff w:val="nothing"/>
      <w:lvlText w:val=""/>
      <w:lvlJc w:val="left"/>
      <w:pPr>
        <w:ind w:left="641" w:firstLine="0"/>
      </w:pPr>
      <w:rPr>
        <w:rFonts w:hint="default"/>
      </w:rPr>
    </w:lvl>
    <w:lvl w:ilvl="7" w:tplc="88A0E9E8">
      <w:start w:val="1"/>
      <w:numFmt w:val="none"/>
      <w:suff w:val="nothing"/>
      <w:lvlText w:val=""/>
      <w:lvlJc w:val="left"/>
      <w:pPr>
        <w:ind w:left="641" w:firstLine="0"/>
      </w:pPr>
      <w:rPr>
        <w:rFonts w:hint="default"/>
      </w:rPr>
    </w:lvl>
    <w:lvl w:ilvl="8" w:tplc="02C0ED32">
      <w:start w:val="1"/>
      <w:numFmt w:val="none"/>
      <w:suff w:val="nothing"/>
      <w:lvlText w:val=""/>
      <w:lvlJc w:val="left"/>
      <w:pPr>
        <w:ind w:left="641" w:firstLine="0"/>
      </w:pPr>
      <w:rPr>
        <w:rFonts w:hint="default"/>
      </w:rPr>
    </w:lvl>
  </w:abstractNum>
  <w:abstractNum w:abstractNumId="20" w15:restartNumberingAfterBreak="0">
    <w:nsid w:val="57E41EEF"/>
    <w:multiLevelType w:val="hybridMultilevel"/>
    <w:tmpl w:val="FB8CE90E"/>
    <w:lvl w:ilvl="0" w:tplc="10284A0E">
      <w:start w:val="1"/>
      <w:numFmt w:val="bullet"/>
      <w:pStyle w:val="USMixedB2"/>
      <w:lvlText w:val=""/>
      <w:lvlJc w:val="left"/>
      <w:pPr>
        <w:tabs>
          <w:tab w:val="num" w:pos="851"/>
        </w:tabs>
        <w:ind w:left="851" w:hanging="426"/>
      </w:pPr>
      <w:rPr>
        <w:rFonts w:ascii="Symbol" w:hAnsi="Symbol" w:hint="default"/>
        <w:color w:val="auto"/>
      </w:rPr>
    </w:lvl>
    <w:lvl w:ilvl="1" w:tplc="66007C22">
      <w:start w:val="1"/>
      <w:numFmt w:val="bullet"/>
      <w:pStyle w:val="USMixedB3"/>
      <w:lvlText w:val="-"/>
      <w:lvlJc w:val="left"/>
      <w:pPr>
        <w:tabs>
          <w:tab w:val="num" w:pos="1276"/>
        </w:tabs>
        <w:ind w:left="1276" w:hanging="425"/>
      </w:pPr>
      <w:rPr>
        <w:rFonts w:ascii="Courier New" w:hAnsi="Courier New" w:hint="default"/>
      </w:rPr>
    </w:lvl>
    <w:lvl w:ilvl="2" w:tplc="93EAE63E">
      <w:start w:val="1"/>
      <w:numFmt w:val="none"/>
      <w:suff w:val="nothing"/>
      <w:lvlText w:val=""/>
      <w:lvlJc w:val="left"/>
      <w:pPr>
        <w:ind w:left="1276" w:firstLine="0"/>
      </w:pPr>
      <w:rPr>
        <w:rFonts w:hint="default"/>
      </w:rPr>
    </w:lvl>
    <w:lvl w:ilvl="3" w:tplc="83F6DFEE">
      <w:start w:val="1"/>
      <w:numFmt w:val="none"/>
      <w:suff w:val="nothing"/>
      <w:lvlText w:val=""/>
      <w:lvlJc w:val="left"/>
      <w:pPr>
        <w:ind w:left="1276" w:firstLine="0"/>
      </w:pPr>
      <w:rPr>
        <w:rFonts w:hint="default"/>
      </w:rPr>
    </w:lvl>
    <w:lvl w:ilvl="4" w:tplc="4838049E">
      <w:start w:val="1"/>
      <w:numFmt w:val="none"/>
      <w:suff w:val="nothing"/>
      <w:lvlText w:val=""/>
      <w:lvlJc w:val="left"/>
      <w:pPr>
        <w:ind w:left="1276" w:firstLine="0"/>
      </w:pPr>
      <w:rPr>
        <w:rFonts w:hint="default"/>
      </w:rPr>
    </w:lvl>
    <w:lvl w:ilvl="5" w:tplc="7FDEC5FA">
      <w:start w:val="1"/>
      <w:numFmt w:val="none"/>
      <w:suff w:val="nothing"/>
      <w:lvlText w:val=""/>
      <w:lvlJc w:val="left"/>
      <w:pPr>
        <w:ind w:left="1276" w:firstLine="0"/>
      </w:pPr>
      <w:rPr>
        <w:rFonts w:hint="default"/>
      </w:rPr>
    </w:lvl>
    <w:lvl w:ilvl="6" w:tplc="9376B5B8">
      <w:start w:val="1"/>
      <w:numFmt w:val="none"/>
      <w:suff w:val="nothing"/>
      <w:lvlText w:val=""/>
      <w:lvlJc w:val="left"/>
      <w:pPr>
        <w:ind w:left="1276" w:firstLine="0"/>
      </w:pPr>
      <w:rPr>
        <w:rFonts w:hint="default"/>
      </w:rPr>
    </w:lvl>
    <w:lvl w:ilvl="7" w:tplc="EE8652BE">
      <w:start w:val="1"/>
      <w:numFmt w:val="none"/>
      <w:suff w:val="nothing"/>
      <w:lvlText w:val=""/>
      <w:lvlJc w:val="left"/>
      <w:pPr>
        <w:ind w:left="1276" w:firstLine="0"/>
      </w:pPr>
      <w:rPr>
        <w:rFonts w:hint="default"/>
      </w:rPr>
    </w:lvl>
    <w:lvl w:ilvl="8" w:tplc="A85A1366">
      <w:start w:val="1"/>
      <w:numFmt w:val="none"/>
      <w:suff w:val="nothing"/>
      <w:lvlText w:val=""/>
      <w:lvlJc w:val="left"/>
      <w:pPr>
        <w:ind w:left="1276" w:firstLine="0"/>
      </w:pPr>
      <w:rPr>
        <w:rFonts w:hint="default"/>
      </w:rPr>
    </w:lvl>
  </w:abstractNum>
  <w:abstractNum w:abstractNumId="21" w15:restartNumberingAfterBreak="0">
    <w:nsid w:val="5D1E011B"/>
    <w:multiLevelType w:val="hybridMultilevel"/>
    <w:tmpl w:val="341EC186"/>
    <w:lvl w:ilvl="0" w:tplc="9ED26E6A">
      <w:start w:val="1"/>
      <w:numFmt w:val="bullet"/>
      <w:pStyle w:val="USBullet1"/>
      <w:lvlText w:val=""/>
      <w:lvlJc w:val="left"/>
      <w:pPr>
        <w:tabs>
          <w:tab w:val="num" w:pos="425"/>
        </w:tabs>
        <w:ind w:left="425" w:hanging="425"/>
      </w:pPr>
      <w:rPr>
        <w:rFonts w:ascii="Symbol" w:hAnsi="Symbol" w:hint="default"/>
        <w:color w:val="auto"/>
      </w:rPr>
    </w:lvl>
    <w:lvl w:ilvl="1" w:tplc="30326492">
      <w:start w:val="1"/>
      <w:numFmt w:val="bullet"/>
      <w:pStyle w:val="USBullet2"/>
      <w:lvlText w:val="-"/>
      <w:lvlJc w:val="left"/>
      <w:pPr>
        <w:tabs>
          <w:tab w:val="num" w:pos="851"/>
        </w:tabs>
        <w:ind w:left="851" w:hanging="426"/>
      </w:pPr>
      <w:rPr>
        <w:rFonts w:ascii="Courier New" w:hAnsi="Courier New" w:hint="default"/>
      </w:rPr>
    </w:lvl>
    <w:lvl w:ilvl="2" w:tplc="AD4CB28C">
      <w:start w:val="1"/>
      <w:numFmt w:val="bullet"/>
      <w:pStyle w:val="USBullet3"/>
      <w:lvlText w:val=""/>
      <w:lvlJc w:val="left"/>
      <w:pPr>
        <w:tabs>
          <w:tab w:val="num" w:pos="1276"/>
        </w:tabs>
        <w:ind w:left="1276" w:hanging="425"/>
      </w:pPr>
      <w:rPr>
        <w:rFonts w:ascii="Wingdings" w:hAnsi="Wingdings" w:hint="default"/>
      </w:rPr>
    </w:lvl>
    <w:lvl w:ilvl="3" w:tplc="23B8CC26">
      <w:start w:val="1"/>
      <w:numFmt w:val="none"/>
      <w:suff w:val="nothing"/>
      <w:lvlText w:val=""/>
      <w:lvlJc w:val="left"/>
      <w:pPr>
        <w:ind w:left="1276" w:firstLine="0"/>
      </w:pPr>
      <w:rPr>
        <w:rFonts w:hint="default"/>
      </w:rPr>
    </w:lvl>
    <w:lvl w:ilvl="4" w:tplc="4D1C864E">
      <w:start w:val="1"/>
      <w:numFmt w:val="none"/>
      <w:suff w:val="nothing"/>
      <w:lvlText w:val=""/>
      <w:lvlJc w:val="left"/>
      <w:pPr>
        <w:ind w:left="1276" w:firstLine="0"/>
      </w:pPr>
      <w:rPr>
        <w:rFonts w:hint="default"/>
      </w:rPr>
    </w:lvl>
    <w:lvl w:ilvl="5" w:tplc="F0C65A5C">
      <w:start w:val="1"/>
      <w:numFmt w:val="none"/>
      <w:suff w:val="nothing"/>
      <w:lvlText w:val=""/>
      <w:lvlJc w:val="left"/>
      <w:pPr>
        <w:ind w:left="1276" w:firstLine="0"/>
      </w:pPr>
      <w:rPr>
        <w:rFonts w:hint="default"/>
      </w:rPr>
    </w:lvl>
    <w:lvl w:ilvl="6" w:tplc="0D5CEAF0">
      <w:start w:val="1"/>
      <w:numFmt w:val="none"/>
      <w:suff w:val="nothing"/>
      <w:lvlText w:val=""/>
      <w:lvlJc w:val="left"/>
      <w:pPr>
        <w:ind w:left="1276" w:firstLine="0"/>
      </w:pPr>
      <w:rPr>
        <w:rFonts w:hint="default"/>
      </w:rPr>
    </w:lvl>
    <w:lvl w:ilvl="7" w:tplc="C15464BA">
      <w:start w:val="1"/>
      <w:numFmt w:val="none"/>
      <w:suff w:val="nothing"/>
      <w:lvlText w:val=""/>
      <w:lvlJc w:val="left"/>
      <w:pPr>
        <w:ind w:left="1276" w:firstLine="0"/>
      </w:pPr>
      <w:rPr>
        <w:rFonts w:hint="default"/>
      </w:rPr>
    </w:lvl>
    <w:lvl w:ilvl="8" w:tplc="BB3C8626">
      <w:start w:val="1"/>
      <w:numFmt w:val="none"/>
      <w:suff w:val="nothing"/>
      <w:lvlText w:val=""/>
      <w:lvlJc w:val="left"/>
      <w:pPr>
        <w:ind w:left="1276" w:firstLine="0"/>
      </w:pPr>
      <w:rPr>
        <w:rFonts w:hint="default"/>
      </w:rPr>
    </w:lvl>
  </w:abstractNum>
  <w:abstractNum w:abstractNumId="22" w15:restartNumberingAfterBreak="0">
    <w:nsid w:val="5D844993"/>
    <w:multiLevelType w:val="hybridMultilevel"/>
    <w:tmpl w:val="7C94B762"/>
    <w:lvl w:ilvl="0" w:tplc="967A50FC">
      <w:start w:val="1"/>
      <w:numFmt w:val="decimal"/>
      <w:pStyle w:val="USNumber1"/>
      <w:lvlText w:val="%1"/>
      <w:lvlJc w:val="left"/>
      <w:pPr>
        <w:tabs>
          <w:tab w:val="num" w:pos="425"/>
        </w:tabs>
        <w:ind w:left="425" w:hanging="425"/>
      </w:pPr>
      <w:rPr>
        <w:rFonts w:hint="default"/>
      </w:rPr>
    </w:lvl>
    <w:lvl w:ilvl="1" w:tplc="27C41788">
      <w:start w:val="1"/>
      <w:numFmt w:val="lowerLetter"/>
      <w:pStyle w:val="USNumbera"/>
      <w:lvlText w:val="%2"/>
      <w:lvlJc w:val="left"/>
      <w:pPr>
        <w:tabs>
          <w:tab w:val="num" w:pos="851"/>
        </w:tabs>
        <w:ind w:left="851" w:hanging="426"/>
      </w:pPr>
      <w:rPr>
        <w:rFonts w:hint="default"/>
      </w:rPr>
    </w:lvl>
    <w:lvl w:ilvl="2" w:tplc="142AD800">
      <w:start w:val="1"/>
      <w:numFmt w:val="lowerRoman"/>
      <w:pStyle w:val="USNumberi"/>
      <w:lvlText w:val="%3"/>
      <w:lvlJc w:val="left"/>
      <w:pPr>
        <w:tabs>
          <w:tab w:val="num" w:pos="1276"/>
        </w:tabs>
        <w:ind w:left="1276" w:hanging="425"/>
      </w:pPr>
      <w:rPr>
        <w:rFonts w:hint="default"/>
      </w:rPr>
    </w:lvl>
    <w:lvl w:ilvl="3" w:tplc="EFBCBE72">
      <w:start w:val="1"/>
      <w:numFmt w:val="none"/>
      <w:suff w:val="nothing"/>
      <w:lvlText w:val=""/>
      <w:lvlJc w:val="left"/>
      <w:pPr>
        <w:ind w:left="1276" w:firstLine="0"/>
      </w:pPr>
      <w:rPr>
        <w:rFonts w:hint="default"/>
      </w:rPr>
    </w:lvl>
    <w:lvl w:ilvl="4" w:tplc="C040EA58">
      <w:start w:val="1"/>
      <w:numFmt w:val="none"/>
      <w:suff w:val="nothing"/>
      <w:lvlText w:val="%5"/>
      <w:lvlJc w:val="left"/>
      <w:pPr>
        <w:ind w:left="1276" w:firstLine="0"/>
      </w:pPr>
      <w:rPr>
        <w:rFonts w:hint="default"/>
      </w:rPr>
    </w:lvl>
    <w:lvl w:ilvl="5" w:tplc="C8FACAB8">
      <w:start w:val="1"/>
      <w:numFmt w:val="none"/>
      <w:suff w:val="nothing"/>
      <w:lvlText w:val="%6"/>
      <w:lvlJc w:val="right"/>
      <w:pPr>
        <w:ind w:left="1276" w:firstLine="0"/>
      </w:pPr>
      <w:rPr>
        <w:rFonts w:hint="default"/>
      </w:rPr>
    </w:lvl>
    <w:lvl w:ilvl="6" w:tplc="9B823BA6">
      <w:start w:val="1"/>
      <w:numFmt w:val="none"/>
      <w:suff w:val="nothing"/>
      <w:lvlText w:val=""/>
      <w:lvlJc w:val="left"/>
      <w:pPr>
        <w:ind w:left="1276" w:firstLine="0"/>
      </w:pPr>
      <w:rPr>
        <w:rFonts w:hint="default"/>
      </w:rPr>
    </w:lvl>
    <w:lvl w:ilvl="7" w:tplc="D31A2C9C">
      <w:start w:val="1"/>
      <w:numFmt w:val="none"/>
      <w:suff w:val="nothing"/>
      <w:lvlText w:val=""/>
      <w:lvlJc w:val="left"/>
      <w:pPr>
        <w:ind w:left="1276" w:firstLine="0"/>
      </w:pPr>
      <w:rPr>
        <w:rFonts w:hint="default"/>
      </w:rPr>
    </w:lvl>
    <w:lvl w:ilvl="8" w:tplc="D2525594">
      <w:start w:val="1"/>
      <w:numFmt w:val="none"/>
      <w:suff w:val="nothing"/>
      <w:lvlText w:val="%9"/>
      <w:lvlJc w:val="right"/>
      <w:pPr>
        <w:ind w:left="1276" w:firstLine="0"/>
      </w:pPr>
      <w:rPr>
        <w:rFonts w:hint="default"/>
      </w:rPr>
    </w:lvl>
  </w:abstractNum>
  <w:abstractNum w:abstractNumId="23" w15:restartNumberingAfterBreak="0">
    <w:nsid w:val="61943E55"/>
    <w:multiLevelType w:val="hybridMultilevel"/>
    <w:tmpl w:val="E284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CF3E49"/>
    <w:multiLevelType w:val="hybridMultilevel"/>
    <w:tmpl w:val="A1CECEA0"/>
    <w:lvl w:ilvl="0" w:tplc="4B988A16">
      <w:start w:val="1"/>
      <w:numFmt w:val="decimal"/>
      <w:pStyle w:val="SNHeading1"/>
      <w:lvlText w:val="%1"/>
      <w:lvlJc w:val="left"/>
      <w:pPr>
        <w:tabs>
          <w:tab w:val="num" w:pos="851"/>
        </w:tabs>
        <w:ind w:left="851" w:hanging="851"/>
      </w:pPr>
      <w:rPr>
        <w:rFonts w:hint="default"/>
      </w:rPr>
    </w:lvl>
    <w:lvl w:ilvl="1" w:tplc="F588F65C">
      <w:start w:val="1"/>
      <w:numFmt w:val="none"/>
      <w:suff w:val="nothing"/>
      <w:lvlText w:val=""/>
      <w:lvlJc w:val="left"/>
      <w:pPr>
        <w:ind w:left="0" w:firstLine="0"/>
      </w:pPr>
      <w:rPr>
        <w:rFonts w:hint="default"/>
      </w:rPr>
    </w:lvl>
    <w:lvl w:ilvl="2" w:tplc="C5307712">
      <w:start w:val="1"/>
      <w:numFmt w:val="decimal"/>
      <w:lvlText w:val="%3."/>
      <w:lvlJc w:val="left"/>
      <w:pPr>
        <w:ind w:left="1440" w:firstLine="0"/>
      </w:pPr>
      <w:rPr>
        <w:rFonts w:hint="default"/>
      </w:rPr>
    </w:lvl>
    <w:lvl w:ilvl="3" w:tplc="5FDAA0C2">
      <w:start w:val="1"/>
      <w:numFmt w:val="lowerLetter"/>
      <w:lvlText w:val="%4)"/>
      <w:lvlJc w:val="left"/>
      <w:pPr>
        <w:ind w:left="2160" w:firstLine="0"/>
      </w:pPr>
      <w:rPr>
        <w:rFonts w:hint="default"/>
      </w:rPr>
    </w:lvl>
    <w:lvl w:ilvl="4" w:tplc="D2940DCE">
      <w:start w:val="1"/>
      <w:numFmt w:val="decimal"/>
      <w:lvlText w:val="(%5)"/>
      <w:lvlJc w:val="left"/>
      <w:pPr>
        <w:ind w:left="2880" w:firstLine="0"/>
      </w:pPr>
      <w:rPr>
        <w:rFonts w:hint="default"/>
      </w:rPr>
    </w:lvl>
    <w:lvl w:ilvl="5" w:tplc="E30CD2DE">
      <w:start w:val="1"/>
      <w:numFmt w:val="lowerLetter"/>
      <w:lvlText w:val="(%6)"/>
      <w:lvlJc w:val="left"/>
      <w:pPr>
        <w:ind w:left="3600" w:firstLine="0"/>
      </w:pPr>
      <w:rPr>
        <w:rFonts w:hint="default"/>
      </w:rPr>
    </w:lvl>
    <w:lvl w:ilvl="6" w:tplc="04FA6444">
      <w:start w:val="1"/>
      <w:numFmt w:val="lowerRoman"/>
      <w:lvlText w:val="(%7)"/>
      <w:lvlJc w:val="left"/>
      <w:pPr>
        <w:ind w:left="4320" w:firstLine="0"/>
      </w:pPr>
      <w:rPr>
        <w:rFonts w:hint="default"/>
      </w:rPr>
    </w:lvl>
    <w:lvl w:ilvl="7" w:tplc="16202E0E">
      <w:start w:val="1"/>
      <w:numFmt w:val="lowerLetter"/>
      <w:lvlText w:val="(%8)"/>
      <w:lvlJc w:val="left"/>
      <w:pPr>
        <w:ind w:left="5040" w:firstLine="0"/>
      </w:pPr>
      <w:rPr>
        <w:rFonts w:hint="default"/>
      </w:rPr>
    </w:lvl>
    <w:lvl w:ilvl="8" w:tplc="3ED26756">
      <w:start w:val="1"/>
      <w:numFmt w:val="lowerRoman"/>
      <w:lvlText w:val="(%9)"/>
      <w:lvlJc w:val="left"/>
      <w:pPr>
        <w:ind w:left="5760" w:firstLine="0"/>
      </w:pPr>
      <w:rPr>
        <w:rFonts w:hint="default"/>
      </w:rPr>
    </w:lvl>
  </w:abstractNum>
  <w:abstractNum w:abstractNumId="25" w15:restartNumberingAfterBreak="0">
    <w:nsid w:val="7CEB294A"/>
    <w:multiLevelType w:val="hybridMultilevel"/>
    <w:tmpl w:val="A5265696"/>
    <w:lvl w:ilvl="0" w:tplc="2B26E032">
      <w:start w:val="1"/>
      <w:numFmt w:val="lowerRoman"/>
      <w:pStyle w:val="Romannumerals"/>
      <w:lvlText w:val="%1."/>
      <w:lvlJc w:val="right"/>
      <w:pPr>
        <w:ind w:left="780" w:hanging="42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16"/>
  </w:num>
  <w:num w:numId="5">
    <w:abstractNumId w:val="18"/>
  </w:num>
  <w:num w:numId="6">
    <w:abstractNumId w:val="24"/>
  </w:num>
  <w:num w:numId="7">
    <w:abstractNumId w:val="19"/>
  </w:num>
  <w:num w:numId="8">
    <w:abstractNumId w:val="14"/>
  </w:num>
  <w:num w:numId="9">
    <w:abstractNumId w:val="1"/>
  </w:num>
  <w:num w:numId="10">
    <w:abstractNumId w:val="21"/>
  </w:num>
  <w:num w:numId="11">
    <w:abstractNumId w:val="20"/>
  </w:num>
  <w:num w:numId="12">
    <w:abstractNumId w:val="22"/>
  </w:num>
  <w:num w:numId="13">
    <w:abstractNumId w:val="17"/>
  </w:num>
  <w:num w:numId="14">
    <w:abstractNumId w:val="8"/>
  </w:num>
  <w:num w:numId="15">
    <w:abstractNumId w:val="25"/>
  </w:num>
  <w:num w:numId="16">
    <w:abstractNumId w:val="3"/>
  </w:num>
  <w:num w:numId="17">
    <w:abstractNumId w:val="4"/>
  </w:num>
  <w:num w:numId="18">
    <w:abstractNumId w:val="15"/>
  </w:num>
  <w:num w:numId="19">
    <w:abstractNumId w:val="10"/>
  </w:num>
  <w:num w:numId="20">
    <w:abstractNumId w:val="7"/>
  </w:num>
  <w:num w:numId="21">
    <w:abstractNumId w:val="3"/>
    <w:lvlOverride w:ilvl="0">
      <w:startOverride w:val="1"/>
    </w:lvlOverride>
  </w:num>
  <w:num w:numId="22">
    <w:abstractNumId w:val="23"/>
  </w:num>
  <w:num w:numId="23">
    <w:abstractNumId w:val="2"/>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num>
  <w:num w:numId="28">
    <w:abstractNumId w:val="9"/>
  </w:num>
  <w:num w:numId="29">
    <w:abstractNumId w:val="6"/>
  </w:num>
  <w:num w:numId="30">
    <w:abstractNumId w:val="3"/>
    <w:lvlOverride w:ilvl="0">
      <w:startOverride w:val="1"/>
    </w:lvlOverride>
  </w:num>
  <w:num w:numId="31">
    <w:abstractNumId w:val="0"/>
  </w:num>
  <w:num w:numId="32">
    <w:abstractNumId w:val="3"/>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2MDa1NLE0sDQ2NTNS0lEKTi0uzszPAykwrwUABlaO9SwAAAA="/>
    <w:docVar w:name="ContentsAppendix" w:val="1"/>
    <w:docVar w:name="ContentsAppendixLevel" w:val="1"/>
    <w:docVar w:name="ContentsCreated" w:val="1"/>
    <w:docVar w:name="ContentsFigure" w:val="1"/>
    <w:docVar w:name="ContentsMain" w:val="1"/>
    <w:docVar w:name="ContentsMainLevel" w:val="1"/>
    <w:docVar w:name="ContentsTable" w:val="1"/>
    <w:docVar w:name="DocumentStatus" w:val="DRAFT"/>
    <w:docVar w:name="IsfirstTb" w:val="True"/>
    <w:docVar w:name="IsInTable" w:val="False"/>
    <w:docVar w:name="rptAddress" w:val=" "/>
    <w:docVar w:name="rptAttention" w:val=" "/>
    <w:docVar w:name="rptAttentionTitle" w:val=" "/>
    <w:docVar w:name="rptAuthorName" w:val=" "/>
    <w:docVar w:name="rptAuthorName2" w:val=" "/>
    <w:docVar w:name="rptAuthorTitle" w:val=" "/>
    <w:docVar w:name="rptAuthorTitle2" w:val=" "/>
    <w:docVar w:name="rptByEmail" w:val=" "/>
    <w:docVar w:name="rptCC" w:val=" "/>
    <w:docVar w:name="rptChkByEmail" w:val="True"/>
    <w:docVar w:name="rptClosing" w:val=" "/>
    <w:docVar w:name="rptClosing0" w:val=" "/>
    <w:docVar w:name="rptCommercialInConfidence" w:val="Commercial In Confidence"/>
    <w:docVar w:name="rptCoverImage" w:val=" "/>
    <w:docVar w:name="rptDate" w:val="10 March 2014"/>
    <w:docVar w:name="rptDDI" w:val=" "/>
    <w:docVar w:name="rptDDI2" w:val=" "/>
    <w:docVar w:name="rptEmail" w:val=" "/>
    <w:docVar w:name="rptEmail2" w:val=" "/>
    <w:docVar w:name="rptEnclosures" w:val=" "/>
    <w:docVar w:name="rptFax" w:val=" "/>
    <w:docVar w:name="rptFax2" w:val=" "/>
    <w:docVar w:name="rptGreeting" w:val=" "/>
    <w:docVar w:name="rptGreeting0" w:val=" "/>
    <w:docVar w:name="rptGreetingText" w:val=" "/>
    <w:docVar w:name="rptInsertSignature" w:val="True"/>
    <w:docVar w:name="rptLetterImageFile" w:val=" "/>
    <w:docVar w:name="rptLetterImageFile2" w:val=" "/>
    <w:docVar w:name="rptMobile" w:val=" "/>
    <w:docVar w:name="rptMobile2" w:val=" "/>
    <w:docVar w:name="rptOffice" w:val=" "/>
    <w:docVar w:name="rptOffice2" w:val=" "/>
    <w:docVar w:name="rptPrintPhysical" w:val="False"/>
    <w:docVar w:name="rptProposalDate" w:val=" "/>
    <w:docVar w:name="rptProposalSubtitle" w:val=" "/>
    <w:docVar w:name="rptProposalTitle" w:val=" "/>
    <w:docVar w:name="rptSalutation" w:val=" "/>
    <w:docVar w:name="rptSignOff" w:val=" "/>
    <w:docVar w:name="rptSignOff0" w:val=" "/>
    <w:docVar w:name="rptStatus" w:val=" "/>
    <w:docVar w:name="rptSubject" w:val=" "/>
    <w:docVar w:name="ShowDraft" w:val="True"/>
    <w:docVar w:name="ShowSaveDate" w:val="True"/>
  </w:docVars>
  <w:rsids>
    <w:rsidRoot w:val="00246BE2"/>
    <w:rsid w:val="0000031E"/>
    <w:rsid w:val="000007B4"/>
    <w:rsid w:val="00000F87"/>
    <w:rsid w:val="000010B6"/>
    <w:rsid w:val="0000158E"/>
    <w:rsid w:val="00001739"/>
    <w:rsid w:val="00002120"/>
    <w:rsid w:val="000028E0"/>
    <w:rsid w:val="0000319E"/>
    <w:rsid w:val="000038E8"/>
    <w:rsid w:val="0000687E"/>
    <w:rsid w:val="00006DC6"/>
    <w:rsid w:val="0000739E"/>
    <w:rsid w:val="00007816"/>
    <w:rsid w:val="00011C01"/>
    <w:rsid w:val="000131AA"/>
    <w:rsid w:val="0001373C"/>
    <w:rsid w:val="00013779"/>
    <w:rsid w:val="00013FA6"/>
    <w:rsid w:val="00014308"/>
    <w:rsid w:val="00014AD7"/>
    <w:rsid w:val="000157EF"/>
    <w:rsid w:val="000162A2"/>
    <w:rsid w:val="000163F7"/>
    <w:rsid w:val="00016CC3"/>
    <w:rsid w:val="00016D93"/>
    <w:rsid w:val="00017352"/>
    <w:rsid w:val="0001792B"/>
    <w:rsid w:val="0002162B"/>
    <w:rsid w:val="00021E29"/>
    <w:rsid w:val="00024A59"/>
    <w:rsid w:val="00025609"/>
    <w:rsid w:val="00025F27"/>
    <w:rsid w:val="000261F7"/>
    <w:rsid w:val="000262CE"/>
    <w:rsid w:val="0002635D"/>
    <w:rsid w:val="00026AE2"/>
    <w:rsid w:val="0002701A"/>
    <w:rsid w:val="0003015F"/>
    <w:rsid w:val="000302FE"/>
    <w:rsid w:val="000312D1"/>
    <w:rsid w:val="00034A71"/>
    <w:rsid w:val="000374ED"/>
    <w:rsid w:val="0004044B"/>
    <w:rsid w:val="00040694"/>
    <w:rsid w:val="000408E7"/>
    <w:rsid w:val="00040D91"/>
    <w:rsid w:val="00041336"/>
    <w:rsid w:val="00042072"/>
    <w:rsid w:val="00042A7F"/>
    <w:rsid w:val="00044E5F"/>
    <w:rsid w:val="00045FDF"/>
    <w:rsid w:val="000465B9"/>
    <w:rsid w:val="0004717B"/>
    <w:rsid w:val="00050840"/>
    <w:rsid w:val="000509E3"/>
    <w:rsid w:val="0005124A"/>
    <w:rsid w:val="000515ED"/>
    <w:rsid w:val="00055D9F"/>
    <w:rsid w:val="00056D8E"/>
    <w:rsid w:val="00057221"/>
    <w:rsid w:val="0006047A"/>
    <w:rsid w:val="00061478"/>
    <w:rsid w:val="000618B7"/>
    <w:rsid w:val="0006200D"/>
    <w:rsid w:val="000628B4"/>
    <w:rsid w:val="00062902"/>
    <w:rsid w:val="0006300A"/>
    <w:rsid w:val="000632B2"/>
    <w:rsid w:val="0006382C"/>
    <w:rsid w:val="00064E8C"/>
    <w:rsid w:val="00065320"/>
    <w:rsid w:val="00065432"/>
    <w:rsid w:val="00065D75"/>
    <w:rsid w:val="00066530"/>
    <w:rsid w:val="0006697C"/>
    <w:rsid w:val="00067CAE"/>
    <w:rsid w:val="00067D5D"/>
    <w:rsid w:val="00067F84"/>
    <w:rsid w:val="000706E2"/>
    <w:rsid w:val="00070F38"/>
    <w:rsid w:val="00071702"/>
    <w:rsid w:val="0007232B"/>
    <w:rsid w:val="0007288C"/>
    <w:rsid w:val="00072A56"/>
    <w:rsid w:val="00073459"/>
    <w:rsid w:val="000736E4"/>
    <w:rsid w:val="00074F6E"/>
    <w:rsid w:val="00074F80"/>
    <w:rsid w:val="00075E74"/>
    <w:rsid w:val="0007638D"/>
    <w:rsid w:val="00080418"/>
    <w:rsid w:val="000809C3"/>
    <w:rsid w:val="0008144E"/>
    <w:rsid w:val="00081960"/>
    <w:rsid w:val="00082006"/>
    <w:rsid w:val="00083295"/>
    <w:rsid w:val="000837A6"/>
    <w:rsid w:val="00083B08"/>
    <w:rsid w:val="00083EB5"/>
    <w:rsid w:val="00085291"/>
    <w:rsid w:val="00085373"/>
    <w:rsid w:val="000862A0"/>
    <w:rsid w:val="000867F2"/>
    <w:rsid w:val="00086D70"/>
    <w:rsid w:val="000902E1"/>
    <w:rsid w:val="0009078A"/>
    <w:rsid w:val="00091B7A"/>
    <w:rsid w:val="00091D09"/>
    <w:rsid w:val="00091F49"/>
    <w:rsid w:val="00093344"/>
    <w:rsid w:val="000936E9"/>
    <w:rsid w:val="000937AB"/>
    <w:rsid w:val="00093F4A"/>
    <w:rsid w:val="000954E0"/>
    <w:rsid w:val="00095759"/>
    <w:rsid w:val="000979C4"/>
    <w:rsid w:val="000A02A6"/>
    <w:rsid w:val="000A1544"/>
    <w:rsid w:val="000A1F7E"/>
    <w:rsid w:val="000A25EF"/>
    <w:rsid w:val="000A2E15"/>
    <w:rsid w:val="000A3293"/>
    <w:rsid w:val="000A3809"/>
    <w:rsid w:val="000A423D"/>
    <w:rsid w:val="000A425B"/>
    <w:rsid w:val="000A4D69"/>
    <w:rsid w:val="000B2011"/>
    <w:rsid w:val="000B3DED"/>
    <w:rsid w:val="000B46FE"/>
    <w:rsid w:val="000B5EDE"/>
    <w:rsid w:val="000B6302"/>
    <w:rsid w:val="000B66F4"/>
    <w:rsid w:val="000B6E0E"/>
    <w:rsid w:val="000B6FD9"/>
    <w:rsid w:val="000B741C"/>
    <w:rsid w:val="000C2DD7"/>
    <w:rsid w:val="000C300C"/>
    <w:rsid w:val="000C3D9A"/>
    <w:rsid w:val="000C46FC"/>
    <w:rsid w:val="000C4B65"/>
    <w:rsid w:val="000C5447"/>
    <w:rsid w:val="000C56B0"/>
    <w:rsid w:val="000C5E22"/>
    <w:rsid w:val="000C6655"/>
    <w:rsid w:val="000C798F"/>
    <w:rsid w:val="000C7E21"/>
    <w:rsid w:val="000D0AEB"/>
    <w:rsid w:val="000D11D3"/>
    <w:rsid w:val="000D1F70"/>
    <w:rsid w:val="000D3545"/>
    <w:rsid w:val="000D3802"/>
    <w:rsid w:val="000D39D4"/>
    <w:rsid w:val="000D5193"/>
    <w:rsid w:val="000D545E"/>
    <w:rsid w:val="000D6B16"/>
    <w:rsid w:val="000E02DE"/>
    <w:rsid w:val="000E0F4F"/>
    <w:rsid w:val="000E2710"/>
    <w:rsid w:val="000E2B2D"/>
    <w:rsid w:val="000E3006"/>
    <w:rsid w:val="000E43D7"/>
    <w:rsid w:val="000E503C"/>
    <w:rsid w:val="000E506B"/>
    <w:rsid w:val="000E5681"/>
    <w:rsid w:val="000E6748"/>
    <w:rsid w:val="000E6EC1"/>
    <w:rsid w:val="000E7259"/>
    <w:rsid w:val="000E74AE"/>
    <w:rsid w:val="000E7FB5"/>
    <w:rsid w:val="000F159F"/>
    <w:rsid w:val="000F2C7F"/>
    <w:rsid w:val="000F4C76"/>
    <w:rsid w:val="000F59B3"/>
    <w:rsid w:val="000F5B6F"/>
    <w:rsid w:val="000F6C28"/>
    <w:rsid w:val="000F6CF2"/>
    <w:rsid w:val="00101DA4"/>
    <w:rsid w:val="001035EF"/>
    <w:rsid w:val="00103CC1"/>
    <w:rsid w:val="00103CDD"/>
    <w:rsid w:val="0010445A"/>
    <w:rsid w:val="001062F5"/>
    <w:rsid w:val="001064B2"/>
    <w:rsid w:val="00107AA8"/>
    <w:rsid w:val="00111828"/>
    <w:rsid w:val="0011324F"/>
    <w:rsid w:val="0011465F"/>
    <w:rsid w:val="00114A87"/>
    <w:rsid w:val="00114BB0"/>
    <w:rsid w:val="001158D4"/>
    <w:rsid w:val="001211FC"/>
    <w:rsid w:val="001213D7"/>
    <w:rsid w:val="0012152B"/>
    <w:rsid w:val="0012181F"/>
    <w:rsid w:val="00121913"/>
    <w:rsid w:val="00121B1D"/>
    <w:rsid w:val="0012283F"/>
    <w:rsid w:val="001304E2"/>
    <w:rsid w:val="00132037"/>
    <w:rsid w:val="00132486"/>
    <w:rsid w:val="001332E9"/>
    <w:rsid w:val="00135060"/>
    <w:rsid w:val="00135902"/>
    <w:rsid w:val="00136297"/>
    <w:rsid w:val="0013636D"/>
    <w:rsid w:val="0013640C"/>
    <w:rsid w:val="0013713E"/>
    <w:rsid w:val="00137AF4"/>
    <w:rsid w:val="001405D4"/>
    <w:rsid w:val="00141529"/>
    <w:rsid w:val="0014179C"/>
    <w:rsid w:val="00142828"/>
    <w:rsid w:val="001461BB"/>
    <w:rsid w:val="001464CA"/>
    <w:rsid w:val="001464D5"/>
    <w:rsid w:val="00146817"/>
    <w:rsid w:val="0014709C"/>
    <w:rsid w:val="00147BC6"/>
    <w:rsid w:val="00147D02"/>
    <w:rsid w:val="00150501"/>
    <w:rsid w:val="001506B6"/>
    <w:rsid w:val="001512D4"/>
    <w:rsid w:val="001535D7"/>
    <w:rsid w:val="00153D2C"/>
    <w:rsid w:val="001544F1"/>
    <w:rsid w:val="00154B65"/>
    <w:rsid w:val="00154D0A"/>
    <w:rsid w:val="00156F81"/>
    <w:rsid w:val="00157095"/>
    <w:rsid w:val="00157578"/>
    <w:rsid w:val="00157D6F"/>
    <w:rsid w:val="00160F24"/>
    <w:rsid w:val="00161EC7"/>
    <w:rsid w:val="001650D5"/>
    <w:rsid w:val="001651C3"/>
    <w:rsid w:val="00166557"/>
    <w:rsid w:val="00166CE5"/>
    <w:rsid w:val="00170C82"/>
    <w:rsid w:val="00171069"/>
    <w:rsid w:val="00171D46"/>
    <w:rsid w:val="001727DA"/>
    <w:rsid w:val="00172C15"/>
    <w:rsid w:val="001730A4"/>
    <w:rsid w:val="001741BA"/>
    <w:rsid w:val="001749B4"/>
    <w:rsid w:val="001754F7"/>
    <w:rsid w:val="001763D5"/>
    <w:rsid w:val="00177CDA"/>
    <w:rsid w:val="00180B6B"/>
    <w:rsid w:val="0018165D"/>
    <w:rsid w:val="0018197E"/>
    <w:rsid w:val="00182EC5"/>
    <w:rsid w:val="00182EFA"/>
    <w:rsid w:val="00183DF7"/>
    <w:rsid w:val="00184336"/>
    <w:rsid w:val="0018496F"/>
    <w:rsid w:val="00184E24"/>
    <w:rsid w:val="00185268"/>
    <w:rsid w:val="00185908"/>
    <w:rsid w:val="00185909"/>
    <w:rsid w:val="0018706D"/>
    <w:rsid w:val="00187F64"/>
    <w:rsid w:val="00190F94"/>
    <w:rsid w:val="0019146D"/>
    <w:rsid w:val="00194CC2"/>
    <w:rsid w:val="001950CD"/>
    <w:rsid w:val="001959A3"/>
    <w:rsid w:val="001965B3"/>
    <w:rsid w:val="0019774B"/>
    <w:rsid w:val="001A0CB8"/>
    <w:rsid w:val="001A0FFD"/>
    <w:rsid w:val="001A14E3"/>
    <w:rsid w:val="001A1B65"/>
    <w:rsid w:val="001A249C"/>
    <w:rsid w:val="001A4912"/>
    <w:rsid w:val="001A6FB1"/>
    <w:rsid w:val="001A7F14"/>
    <w:rsid w:val="001B0287"/>
    <w:rsid w:val="001B192F"/>
    <w:rsid w:val="001B3134"/>
    <w:rsid w:val="001B3D7B"/>
    <w:rsid w:val="001B4D4B"/>
    <w:rsid w:val="001B5C1C"/>
    <w:rsid w:val="001B5EBB"/>
    <w:rsid w:val="001B6A4D"/>
    <w:rsid w:val="001B7EF4"/>
    <w:rsid w:val="001C1BE4"/>
    <w:rsid w:val="001C2999"/>
    <w:rsid w:val="001C2E9C"/>
    <w:rsid w:val="001C5646"/>
    <w:rsid w:val="001C7DC4"/>
    <w:rsid w:val="001D0130"/>
    <w:rsid w:val="001D18BA"/>
    <w:rsid w:val="001D219D"/>
    <w:rsid w:val="001D23FD"/>
    <w:rsid w:val="001D24BD"/>
    <w:rsid w:val="001D2A69"/>
    <w:rsid w:val="001D3098"/>
    <w:rsid w:val="001D3DE5"/>
    <w:rsid w:val="001D3FAA"/>
    <w:rsid w:val="001D5002"/>
    <w:rsid w:val="001D7531"/>
    <w:rsid w:val="001D7570"/>
    <w:rsid w:val="001D782D"/>
    <w:rsid w:val="001E0AA2"/>
    <w:rsid w:val="001E229F"/>
    <w:rsid w:val="001E2E13"/>
    <w:rsid w:val="001E4538"/>
    <w:rsid w:val="001E4B41"/>
    <w:rsid w:val="001E4FE7"/>
    <w:rsid w:val="001E667B"/>
    <w:rsid w:val="001E68D7"/>
    <w:rsid w:val="001E7C2C"/>
    <w:rsid w:val="001F0282"/>
    <w:rsid w:val="001F15B9"/>
    <w:rsid w:val="001F2140"/>
    <w:rsid w:val="001F3434"/>
    <w:rsid w:val="001F3491"/>
    <w:rsid w:val="001F56F7"/>
    <w:rsid w:val="001F7485"/>
    <w:rsid w:val="001F75EC"/>
    <w:rsid w:val="001F7861"/>
    <w:rsid w:val="002000D5"/>
    <w:rsid w:val="0020054D"/>
    <w:rsid w:val="00200811"/>
    <w:rsid w:val="002036E3"/>
    <w:rsid w:val="00204ED7"/>
    <w:rsid w:val="00205157"/>
    <w:rsid w:val="0020597D"/>
    <w:rsid w:val="00205C9E"/>
    <w:rsid w:val="00206BC2"/>
    <w:rsid w:val="00206FA8"/>
    <w:rsid w:val="002079AF"/>
    <w:rsid w:val="00210582"/>
    <w:rsid w:val="00213318"/>
    <w:rsid w:val="00214D3B"/>
    <w:rsid w:val="00214EDA"/>
    <w:rsid w:val="00215ECF"/>
    <w:rsid w:val="00216D2F"/>
    <w:rsid w:val="00217B78"/>
    <w:rsid w:val="002207E0"/>
    <w:rsid w:val="0022317E"/>
    <w:rsid w:val="00224EDB"/>
    <w:rsid w:val="00225247"/>
    <w:rsid w:val="0022559E"/>
    <w:rsid w:val="002261A9"/>
    <w:rsid w:val="002276BE"/>
    <w:rsid w:val="0023026F"/>
    <w:rsid w:val="00230A33"/>
    <w:rsid w:val="00231313"/>
    <w:rsid w:val="0023150C"/>
    <w:rsid w:val="002315B8"/>
    <w:rsid w:val="002315B9"/>
    <w:rsid w:val="00233162"/>
    <w:rsid w:val="002331C1"/>
    <w:rsid w:val="00233C8B"/>
    <w:rsid w:val="00234A46"/>
    <w:rsid w:val="00234B73"/>
    <w:rsid w:val="00234FDA"/>
    <w:rsid w:val="00237B20"/>
    <w:rsid w:val="00240904"/>
    <w:rsid w:val="00241370"/>
    <w:rsid w:val="00241801"/>
    <w:rsid w:val="00242E98"/>
    <w:rsid w:val="00242FAB"/>
    <w:rsid w:val="00243208"/>
    <w:rsid w:val="00243612"/>
    <w:rsid w:val="00243AF7"/>
    <w:rsid w:val="00244A8B"/>
    <w:rsid w:val="002459CF"/>
    <w:rsid w:val="00245AC5"/>
    <w:rsid w:val="00246BE2"/>
    <w:rsid w:val="0024791E"/>
    <w:rsid w:val="00251461"/>
    <w:rsid w:val="002516B4"/>
    <w:rsid w:val="00251970"/>
    <w:rsid w:val="00252CC7"/>
    <w:rsid w:val="00254780"/>
    <w:rsid w:val="00254838"/>
    <w:rsid w:val="00254D5B"/>
    <w:rsid w:val="00255540"/>
    <w:rsid w:val="0025599E"/>
    <w:rsid w:val="00257495"/>
    <w:rsid w:val="00257B2E"/>
    <w:rsid w:val="00257DBA"/>
    <w:rsid w:val="00260D7B"/>
    <w:rsid w:val="002627F1"/>
    <w:rsid w:val="00262CC7"/>
    <w:rsid w:val="00262F7F"/>
    <w:rsid w:val="002649B6"/>
    <w:rsid w:val="00264ED1"/>
    <w:rsid w:val="002650D3"/>
    <w:rsid w:val="00266A4E"/>
    <w:rsid w:val="00267BAF"/>
    <w:rsid w:val="0027009D"/>
    <w:rsid w:val="00271AA6"/>
    <w:rsid w:val="00271EF3"/>
    <w:rsid w:val="002721DD"/>
    <w:rsid w:val="00272DB4"/>
    <w:rsid w:val="00273E44"/>
    <w:rsid w:val="00276B51"/>
    <w:rsid w:val="00280AB2"/>
    <w:rsid w:val="00282267"/>
    <w:rsid w:val="00282DB5"/>
    <w:rsid w:val="00283ECD"/>
    <w:rsid w:val="0028546B"/>
    <w:rsid w:val="002864E5"/>
    <w:rsid w:val="002866AD"/>
    <w:rsid w:val="00286F00"/>
    <w:rsid w:val="00287176"/>
    <w:rsid w:val="00287461"/>
    <w:rsid w:val="0029192B"/>
    <w:rsid w:val="00292726"/>
    <w:rsid w:val="002928D9"/>
    <w:rsid w:val="0029326F"/>
    <w:rsid w:val="002936DC"/>
    <w:rsid w:val="0029493E"/>
    <w:rsid w:val="00295DD3"/>
    <w:rsid w:val="00296616"/>
    <w:rsid w:val="0029730F"/>
    <w:rsid w:val="002A0E75"/>
    <w:rsid w:val="002A1362"/>
    <w:rsid w:val="002A18C1"/>
    <w:rsid w:val="002A2422"/>
    <w:rsid w:val="002A2489"/>
    <w:rsid w:val="002A275A"/>
    <w:rsid w:val="002A30CE"/>
    <w:rsid w:val="002A3192"/>
    <w:rsid w:val="002A381F"/>
    <w:rsid w:val="002A3AF1"/>
    <w:rsid w:val="002A4492"/>
    <w:rsid w:val="002A501B"/>
    <w:rsid w:val="002A542F"/>
    <w:rsid w:val="002A59DA"/>
    <w:rsid w:val="002A6354"/>
    <w:rsid w:val="002A7C8B"/>
    <w:rsid w:val="002B0385"/>
    <w:rsid w:val="002B093C"/>
    <w:rsid w:val="002B16A2"/>
    <w:rsid w:val="002B1BF5"/>
    <w:rsid w:val="002B20EA"/>
    <w:rsid w:val="002B24DC"/>
    <w:rsid w:val="002B32FE"/>
    <w:rsid w:val="002B50E2"/>
    <w:rsid w:val="002B5158"/>
    <w:rsid w:val="002B52C2"/>
    <w:rsid w:val="002B7E74"/>
    <w:rsid w:val="002C0B43"/>
    <w:rsid w:val="002C0D36"/>
    <w:rsid w:val="002C1A0A"/>
    <w:rsid w:val="002C2268"/>
    <w:rsid w:val="002C22E6"/>
    <w:rsid w:val="002C2619"/>
    <w:rsid w:val="002C4688"/>
    <w:rsid w:val="002C6715"/>
    <w:rsid w:val="002C6FDC"/>
    <w:rsid w:val="002C7E8D"/>
    <w:rsid w:val="002C7FCA"/>
    <w:rsid w:val="002D101A"/>
    <w:rsid w:val="002D1415"/>
    <w:rsid w:val="002D17D7"/>
    <w:rsid w:val="002D1DDA"/>
    <w:rsid w:val="002D2902"/>
    <w:rsid w:val="002D2A38"/>
    <w:rsid w:val="002D333A"/>
    <w:rsid w:val="002D35BC"/>
    <w:rsid w:val="002D635D"/>
    <w:rsid w:val="002D6B3A"/>
    <w:rsid w:val="002D72FC"/>
    <w:rsid w:val="002E0CBA"/>
    <w:rsid w:val="002E0FB6"/>
    <w:rsid w:val="002E4A06"/>
    <w:rsid w:val="002E52E1"/>
    <w:rsid w:val="002E6619"/>
    <w:rsid w:val="002E6790"/>
    <w:rsid w:val="002E6A73"/>
    <w:rsid w:val="002E6F32"/>
    <w:rsid w:val="002E7559"/>
    <w:rsid w:val="002E7579"/>
    <w:rsid w:val="002F07D7"/>
    <w:rsid w:val="002F1B72"/>
    <w:rsid w:val="002F2531"/>
    <w:rsid w:val="002F3715"/>
    <w:rsid w:val="002F4FF7"/>
    <w:rsid w:val="002F5403"/>
    <w:rsid w:val="002F5723"/>
    <w:rsid w:val="002F58D5"/>
    <w:rsid w:val="002F6788"/>
    <w:rsid w:val="002F715D"/>
    <w:rsid w:val="002F7B6F"/>
    <w:rsid w:val="002F7CA3"/>
    <w:rsid w:val="00300439"/>
    <w:rsid w:val="00300909"/>
    <w:rsid w:val="003022EB"/>
    <w:rsid w:val="003025A4"/>
    <w:rsid w:val="00304125"/>
    <w:rsid w:val="00304562"/>
    <w:rsid w:val="00305DA2"/>
    <w:rsid w:val="003066E3"/>
    <w:rsid w:val="00306D66"/>
    <w:rsid w:val="00306F77"/>
    <w:rsid w:val="00307436"/>
    <w:rsid w:val="00307629"/>
    <w:rsid w:val="00310A35"/>
    <w:rsid w:val="0031201A"/>
    <w:rsid w:val="00312398"/>
    <w:rsid w:val="00314311"/>
    <w:rsid w:val="003154AF"/>
    <w:rsid w:val="00315FCF"/>
    <w:rsid w:val="0031741A"/>
    <w:rsid w:val="003175CD"/>
    <w:rsid w:val="0031799E"/>
    <w:rsid w:val="00320436"/>
    <w:rsid w:val="003212C0"/>
    <w:rsid w:val="00321380"/>
    <w:rsid w:val="00321686"/>
    <w:rsid w:val="00322D00"/>
    <w:rsid w:val="003233D2"/>
    <w:rsid w:val="003237FD"/>
    <w:rsid w:val="00323AD0"/>
    <w:rsid w:val="00324235"/>
    <w:rsid w:val="003248AD"/>
    <w:rsid w:val="0032499B"/>
    <w:rsid w:val="00326C1B"/>
    <w:rsid w:val="0033034B"/>
    <w:rsid w:val="003307D8"/>
    <w:rsid w:val="00331918"/>
    <w:rsid w:val="00331BC1"/>
    <w:rsid w:val="00332BB3"/>
    <w:rsid w:val="00333602"/>
    <w:rsid w:val="00333F40"/>
    <w:rsid w:val="003349F9"/>
    <w:rsid w:val="003352F4"/>
    <w:rsid w:val="0033534A"/>
    <w:rsid w:val="00336E61"/>
    <w:rsid w:val="0034046B"/>
    <w:rsid w:val="00341187"/>
    <w:rsid w:val="0034169C"/>
    <w:rsid w:val="00341874"/>
    <w:rsid w:val="003419FA"/>
    <w:rsid w:val="00341DA8"/>
    <w:rsid w:val="00342552"/>
    <w:rsid w:val="00343A36"/>
    <w:rsid w:val="003443C3"/>
    <w:rsid w:val="0034455D"/>
    <w:rsid w:val="003447CE"/>
    <w:rsid w:val="003447D2"/>
    <w:rsid w:val="00344B27"/>
    <w:rsid w:val="00344BFE"/>
    <w:rsid w:val="00345F47"/>
    <w:rsid w:val="003506B2"/>
    <w:rsid w:val="0035071B"/>
    <w:rsid w:val="00350FAA"/>
    <w:rsid w:val="00351CF7"/>
    <w:rsid w:val="00352F4D"/>
    <w:rsid w:val="003532F9"/>
    <w:rsid w:val="00353840"/>
    <w:rsid w:val="003538A4"/>
    <w:rsid w:val="00355049"/>
    <w:rsid w:val="0035509A"/>
    <w:rsid w:val="0035562C"/>
    <w:rsid w:val="00355EDB"/>
    <w:rsid w:val="003577C4"/>
    <w:rsid w:val="00360BE6"/>
    <w:rsid w:val="003611EF"/>
    <w:rsid w:val="003636AA"/>
    <w:rsid w:val="003642AB"/>
    <w:rsid w:val="00364809"/>
    <w:rsid w:val="00365195"/>
    <w:rsid w:val="003653BE"/>
    <w:rsid w:val="00365A46"/>
    <w:rsid w:val="0036752C"/>
    <w:rsid w:val="003704A2"/>
    <w:rsid w:val="0037228C"/>
    <w:rsid w:val="0037253E"/>
    <w:rsid w:val="003726FE"/>
    <w:rsid w:val="003727EE"/>
    <w:rsid w:val="00372AB0"/>
    <w:rsid w:val="00373CB0"/>
    <w:rsid w:val="0037523F"/>
    <w:rsid w:val="00375C6D"/>
    <w:rsid w:val="003760DF"/>
    <w:rsid w:val="00377E7D"/>
    <w:rsid w:val="0038021A"/>
    <w:rsid w:val="003809C5"/>
    <w:rsid w:val="00380AAF"/>
    <w:rsid w:val="00380E66"/>
    <w:rsid w:val="00380E86"/>
    <w:rsid w:val="00381493"/>
    <w:rsid w:val="0038158C"/>
    <w:rsid w:val="0038171F"/>
    <w:rsid w:val="003818D7"/>
    <w:rsid w:val="003819D8"/>
    <w:rsid w:val="003838A5"/>
    <w:rsid w:val="00384E28"/>
    <w:rsid w:val="00384F9A"/>
    <w:rsid w:val="00385F76"/>
    <w:rsid w:val="00386ADE"/>
    <w:rsid w:val="00386AF7"/>
    <w:rsid w:val="003906BA"/>
    <w:rsid w:val="003909D5"/>
    <w:rsid w:val="00390D69"/>
    <w:rsid w:val="003934D2"/>
    <w:rsid w:val="003934DF"/>
    <w:rsid w:val="00394466"/>
    <w:rsid w:val="00394809"/>
    <w:rsid w:val="003964DF"/>
    <w:rsid w:val="00396773"/>
    <w:rsid w:val="0039693A"/>
    <w:rsid w:val="00396C49"/>
    <w:rsid w:val="00396F24"/>
    <w:rsid w:val="00397668"/>
    <w:rsid w:val="003A1CA4"/>
    <w:rsid w:val="003A304C"/>
    <w:rsid w:val="003A3399"/>
    <w:rsid w:val="003A3CFC"/>
    <w:rsid w:val="003A43E9"/>
    <w:rsid w:val="003A5682"/>
    <w:rsid w:val="003A6739"/>
    <w:rsid w:val="003A6927"/>
    <w:rsid w:val="003A702E"/>
    <w:rsid w:val="003A7A3A"/>
    <w:rsid w:val="003B1F92"/>
    <w:rsid w:val="003B26E8"/>
    <w:rsid w:val="003B312E"/>
    <w:rsid w:val="003B31B6"/>
    <w:rsid w:val="003B3974"/>
    <w:rsid w:val="003B4C9B"/>
    <w:rsid w:val="003B5342"/>
    <w:rsid w:val="003B574A"/>
    <w:rsid w:val="003B6B73"/>
    <w:rsid w:val="003B749D"/>
    <w:rsid w:val="003C0A27"/>
    <w:rsid w:val="003C0BA4"/>
    <w:rsid w:val="003C137C"/>
    <w:rsid w:val="003C2736"/>
    <w:rsid w:val="003C2A40"/>
    <w:rsid w:val="003C473A"/>
    <w:rsid w:val="003C4F0B"/>
    <w:rsid w:val="003C51EF"/>
    <w:rsid w:val="003C5FE6"/>
    <w:rsid w:val="003C687C"/>
    <w:rsid w:val="003C6EA5"/>
    <w:rsid w:val="003C6FCE"/>
    <w:rsid w:val="003C797B"/>
    <w:rsid w:val="003D0795"/>
    <w:rsid w:val="003D0EF6"/>
    <w:rsid w:val="003D11EE"/>
    <w:rsid w:val="003D14BD"/>
    <w:rsid w:val="003D21D8"/>
    <w:rsid w:val="003D2B85"/>
    <w:rsid w:val="003D367D"/>
    <w:rsid w:val="003D55AF"/>
    <w:rsid w:val="003D56C6"/>
    <w:rsid w:val="003D7D71"/>
    <w:rsid w:val="003E0903"/>
    <w:rsid w:val="003E183C"/>
    <w:rsid w:val="003E2405"/>
    <w:rsid w:val="003E2CFB"/>
    <w:rsid w:val="003E3A63"/>
    <w:rsid w:val="003E4FF2"/>
    <w:rsid w:val="003E59A9"/>
    <w:rsid w:val="003E5E33"/>
    <w:rsid w:val="003E797A"/>
    <w:rsid w:val="003F06C6"/>
    <w:rsid w:val="003F0BF6"/>
    <w:rsid w:val="003F0CB5"/>
    <w:rsid w:val="003F2137"/>
    <w:rsid w:val="003F2B98"/>
    <w:rsid w:val="003F2FF1"/>
    <w:rsid w:val="003F4A13"/>
    <w:rsid w:val="003F5E31"/>
    <w:rsid w:val="003F65D8"/>
    <w:rsid w:val="003F6A70"/>
    <w:rsid w:val="00401158"/>
    <w:rsid w:val="004012F7"/>
    <w:rsid w:val="00402E01"/>
    <w:rsid w:val="0040369C"/>
    <w:rsid w:val="0040492D"/>
    <w:rsid w:val="00404B0D"/>
    <w:rsid w:val="0040667D"/>
    <w:rsid w:val="00406775"/>
    <w:rsid w:val="0040684A"/>
    <w:rsid w:val="00406CBD"/>
    <w:rsid w:val="00407293"/>
    <w:rsid w:val="00407731"/>
    <w:rsid w:val="00407888"/>
    <w:rsid w:val="00407C64"/>
    <w:rsid w:val="00410021"/>
    <w:rsid w:val="00410274"/>
    <w:rsid w:val="00410294"/>
    <w:rsid w:val="00410E24"/>
    <w:rsid w:val="00410E30"/>
    <w:rsid w:val="00410EC6"/>
    <w:rsid w:val="00412333"/>
    <w:rsid w:val="00412645"/>
    <w:rsid w:val="00412D0E"/>
    <w:rsid w:val="00414B14"/>
    <w:rsid w:val="00416367"/>
    <w:rsid w:val="004168CB"/>
    <w:rsid w:val="004168EF"/>
    <w:rsid w:val="00416D92"/>
    <w:rsid w:val="00416EBB"/>
    <w:rsid w:val="00420B9A"/>
    <w:rsid w:val="00420BD6"/>
    <w:rsid w:val="004213DA"/>
    <w:rsid w:val="0042216E"/>
    <w:rsid w:val="00422303"/>
    <w:rsid w:val="00422682"/>
    <w:rsid w:val="0042275D"/>
    <w:rsid w:val="00422DE7"/>
    <w:rsid w:val="004230E6"/>
    <w:rsid w:val="00423500"/>
    <w:rsid w:val="0042486F"/>
    <w:rsid w:val="00425577"/>
    <w:rsid w:val="00426DE5"/>
    <w:rsid w:val="00427E84"/>
    <w:rsid w:val="00430409"/>
    <w:rsid w:val="00431540"/>
    <w:rsid w:val="0043332C"/>
    <w:rsid w:val="00433DAB"/>
    <w:rsid w:val="00435B9F"/>
    <w:rsid w:val="00436BB7"/>
    <w:rsid w:val="004403DA"/>
    <w:rsid w:val="00440622"/>
    <w:rsid w:val="00440BEB"/>
    <w:rsid w:val="00441C6F"/>
    <w:rsid w:val="00442BA9"/>
    <w:rsid w:val="0044358E"/>
    <w:rsid w:val="00443790"/>
    <w:rsid w:val="00443E68"/>
    <w:rsid w:val="0044436C"/>
    <w:rsid w:val="004447EF"/>
    <w:rsid w:val="00444A36"/>
    <w:rsid w:val="0044553F"/>
    <w:rsid w:val="00445D6B"/>
    <w:rsid w:val="00445E0F"/>
    <w:rsid w:val="0044706E"/>
    <w:rsid w:val="00447390"/>
    <w:rsid w:val="00447E6A"/>
    <w:rsid w:val="00452993"/>
    <w:rsid w:val="00454492"/>
    <w:rsid w:val="0045451D"/>
    <w:rsid w:val="00454EE0"/>
    <w:rsid w:val="00455203"/>
    <w:rsid w:val="004609D0"/>
    <w:rsid w:val="004613FE"/>
    <w:rsid w:val="004621AA"/>
    <w:rsid w:val="00462A80"/>
    <w:rsid w:val="00463143"/>
    <w:rsid w:val="0046345E"/>
    <w:rsid w:val="00463544"/>
    <w:rsid w:val="00463B7C"/>
    <w:rsid w:val="00463C4E"/>
    <w:rsid w:val="004711B5"/>
    <w:rsid w:val="00471A21"/>
    <w:rsid w:val="00471AEE"/>
    <w:rsid w:val="00471C0A"/>
    <w:rsid w:val="00471CC9"/>
    <w:rsid w:val="00472158"/>
    <w:rsid w:val="004730F3"/>
    <w:rsid w:val="00475660"/>
    <w:rsid w:val="004770BD"/>
    <w:rsid w:val="00477282"/>
    <w:rsid w:val="00477D89"/>
    <w:rsid w:val="00481514"/>
    <w:rsid w:val="00481778"/>
    <w:rsid w:val="0048226D"/>
    <w:rsid w:val="004833FA"/>
    <w:rsid w:val="00483F97"/>
    <w:rsid w:val="004847BA"/>
    <w:rsid w:val="00484A9E"/>
    <w:rsid w:val="004852C6"/>
    <w:rsid w:val="0048554F"/>
    <w:rsid w:val="0048598A"/>
    <w:rsid w:val="00487511"/>
    <w:rsid w:val="00490629"/>
    <w:rsid w:val="00492EFF"/>
    <w:rsid w:val="004938EA"/>
    <w:rsid w:val="004940A3"/>
    <w:rsid w:val="00494CD1"/>
    <w:rsid w:val="00494D83"/>
    <w:rsid w:val="004956C6"/>
    <w:rsid w:val="004957C8"/>
    <w:rsid w:val="0049580E"/>
    <w:rsid w:val="004967D2"/>
    <w:rsid w:val="00496ABF"/>
    <w:rsid w:val="00496BA0"/>
    <w:rsid w:val="004973FE"/>
    <w:rsid w:val="004A1012"/>
    <w:rsid w:val="004A1848"/>
    <w:rsid w:val="004A1F8F"/>
    <w:rsid w:val="004A2CE1"/>
    <w:rsid w:val="004A38C0"/>
    <w:rsid w:val="004A3908"/>
    <w:rsid w:val="004A469B"/>
    <w:rsid w:val="004A5A64"/>
    <w:rsid w:val="004A5E69"/>
    <w:rsid w:val="004A6260"/>
    <w:rsid w:val="004A62E2"/>
    <w:rsid w:val="004B02BB"/>
    <w:rsid w:val="004B130D"/>
    <w:rsid w:val="004B47CA"/>
    <w:rsid w:val="004B4E28"/>
    <w:rsid w:val="004B529F"/>
    <w:rsid w:val="004B54C3"/>
    <w:rsid w:val="004B5C65"/>
    <w:rsid w:val="004B742D"/>
    <w:rsid w:val="004C0544"/>
    <w:rsid w:val="004C07D3"/>
    <w:rsid w:val="004C285D"/>
    <w:rsid w:val="004C3C22"/>
    <w:rsid w:val="004C3F2B"/>
    <w:rsid w:val="004C5163"/>
    <w:rsid w:val="004C550E"/>
    <w:rsid w:val="004C592B"/>
    <w:rsid w:val="004C59F0"/>
    <w:rsid w:val="004C661B"/>
    <w:rsid w:val="004C71BE"/>
    <w:rsid w:val="004C7E58"/>
    <w:rsid w:val="004D115B"/>
    <w:rsid w:val="004D18C2"/>
    <w:rsid w:val="004D1E41"/>
    <w:rsid w:val="004D229F"/>
    <w:rsid w:val="004D237B"/>
    <w:rsid w:val="004D2F54"/>
    <w:rsid w:val="004D3921"/>
    <w:rsid w:val="004D4382"/>
    <w:rsid w:val="004D47DB"/>
    <w:rsid w:val="004D4A2C"/>
    <w:rsid w:val="004D4CCD"/>
    <w:rsid w:val="004D51A6"/>
    <w:rsid w:val="004D5B0E"/>
    <w:rsid w:val="004D67B1"/>
    <w:rsid w:val="004D6CE8"/>
    <w:rsid w:val="004E0DE8"/>
    <w:rsid w:val="004E207C"/>
    <w:rsid w:val="004E2C2E"/>
    <w:rsid w:val="004E4855"/>
    <w:rsid w:val="004E4D97"/>
    <w:rsid w:val="004E6B46"/>
    <w:rsid w:val="004E745B"/>
    <w:rsid w:val="004E779F"/>
    <w:rsid w:val="004E7D0B"/>
    <w:rsid w:val="004F0B40"/>
    <w:rsid w:val="004F100F"/>
    <w:rsid w:val="004F2C38"/>
    <w:rsid w:val="004F3963"/>
    <w:rsid w:val="004F3AEC"/>
    <w:rsid w:val="004F3C7F"/>
    <w:rsid w:val="004F4A63"/>
    <w:rsid w:val="004F4AAA"/>
    <w:rsid w:val="004F4DCE"/>
    <w:rsid w:val="004F598D"/>
    <w:rsid w:val="005000DD"/>
    <w:rsid w:val="00501406"/>
    <w:rsid w:val="00501CDA"/>
    <w:rsid w:val="005028B1"/>
    <w:rsid w:val="0050345B"/>
    <w:rsid w:val="005047D2"/>
    <w:rsid w:val="00505BD1"/>
    <w:rsid w:val="00506562"/>
    <w:rsid w:val="005066E4"/>
    <w:rsid w:val="00506FC8"/>
    <w:rsid w:val="005072DD"/>
    <w:rsid w:val="005101E2"/>
    <w:rsid w:val="005111C6"/>
    <w:rsid w:val="0051181E"/>
    <w:rsid w:val="00512014"/>
    <w:rsid w:val="00512666"/>
    <w:rsid w:val="00512DCE"/>
    <w:rsid w:val="00512EF6"/>
    <w:rsid w:val="0051328E"/>
    <w:rsid w:val="005137C3"/>
    <w:rsid w:val="00515D31"/>
    <w:rsid w:val="00520FCD"/>
    <w:rsid w:val="005211AE"/>
    <w:rsid w:val="0052148F"/>
    <w:rsid w:val="005228DF"/>
    <w:rsid w:val="005232B4"/>
    <w:rsid w:val="00523D26"/>
    <w:rsid w:val="00524FD0"/>
    <w:rsid w:val="005251E7"/>
    <w:rsid w:val="005255E1"/>
    <w:rsid w:val="00526E17"/>
    <w:rsid w:val="00527659"/>
    <w:rsid w:val="00530243"/>
    <w:rsid w:val="0053053C"/>
    <w:rsid w:val="00531058"/>
    <w:rsid w:val="005328CB"/>
    <w:rsid w:val="0053291F"/>
    <w:rsid w:val="00533664"/>
    <w:rsid w:val="00534264"/>
    <w:rsid w:val="00534C9A"/>
    <w:rsid w:val="005365DC"/>
    <w:rsid w:val="0053702F"/>
    <w:rsid w:val="00537C8D"/>
    <w:rsid w:val="00540F0C"/>
    <w:rsid w:val="005418DC"/>
    <w:rsid w:val="00543D08"/>
    <w:rsid w:val="005445CE"/>
    <w:rsid w:val="00544D88"/>
    <w:rsid w:val="00544EBA"/>
    <w:rsid w:val="00547486"/>
    <w:rsid w:val="00547FBC"/>
    <w:rsid w:val="005508C6"/>
    <w:rsid w:val="00550EC9"/>
    <w:rsid w:val="005510B0"/>
    <w:rsid w:val="005515B4"/>
    <w:rsid w:val="0055226F"/>
    <w:rsid w:val="00555496"/>
    <w:rsid w:val="00555649"/>
    <w:rsid w:val="005558C1"/>
    <w:rsid w:val="00560DB4"/>
    <w:rsid w:val="005616C8"/>
    <w:rsid w:val="0056203E"/>
    <w:rsid w:val="00562DFB"/>
    <w:rsid w:val="00563C0C"/>
    <w:rsid w:val="005643AB"/>
    <w:rsid w:val="00564798"/>
    <w:rsid w:val="005664DE"/>
    <w:rsid w:val="00566B06"/>
    <w:rsid w:val="00566D93"/>
    <w:rsid w:val="005677DF"/>
    <w:rsid w:val="005677EC"/>
    <w:rsid w:val="00567D06"/>
    <w:rsid w:val="005704AD"/>
    <w:rsid w:val="005705FA"/>
    <w:rsid w:val="005727E6"/>
    <w:rsid w:val="00573035"/>
    <w:rsid w:val="0057357D"/>
    <w:rsid w:val="005739E8"/>
    <w:rsid w:val="00573AF0"/>
    <w:rsid w:val="00574041"/>
    <w:rsid w:val="00574F08"/>
    <w:rsid w:val="00575456"/>
    <w:rsid w:val="00576173"/>
    <w:rsid w:val="00576B9A"/>
    <w:rsid w:val="00577082"/>
    <w:rsid w:val="00577D6B"/>
    <w:rsid w:val="005804CF"/>
    <w:rsid w:val="0058075A"/>
    <w:rsid w:val="00580EEB"/>
    <w:rsid w:val="00584344"/>
    <w:rsid w:val="00585DAE"/>
    <w:rsid w:val="00586080"/>
    <w:rsid w:val="00586943"/>
    <w:rsid w:val="00591ECF"/>
    <w:rsid w:val="005930BD"/>
    <w:rsid w:val="00594C5A"/>
    <w:rsid w:val="00594C71"/>
    <w:rsid w:val="00594D65"/>
    <w:rsid w:val="00595848"/>
    <w:rsid w:val="00596058"/>
    <w:rsid w:val="00596459"/>
    <w:rsid w:val="00596680"/>
    <w:rsid w:val="005968C7"/>
    <w:rsid w:val="00597055"/>
    <w:rsid w:val="00597F1B"/>
    <w:rsid w:val="005A11ED"/>
    <w:rsid w:val="005A25B2"/>
    <w:rsid w:val="005A28A0"/>
    <w:rsid w:val="005A2A07"/>
    <w:rsid w:val="005A3374"/>
    <w:rsid w:val="005A3CDF"/>
    <w:rsid w:val="005A3EF9"/>
    <w:rsid w:val="005A4002"/>
    <w:rsid w:val="005A49D9"/>
    <w:rsid w:val="005A4A45"/>
    <w:rsid w:val="005A4AD1"/>
    <w:rsid w:val="005A4BCA"/>
    <w:rsid w:val="005A58A4"/>
    <w:rsid w:val="005A6210"/>
    <w:rsid w:val="005A65A8"/>
    <w:rsid w:val="005A77E7"/>
    <w:rsid w:val="005A7ABD"/>
    <w:rsid w:val="005A7D69"/>
    <w:rsid w:val="005A7DEF"/>
    <w:rsid w:val="005B0950"/>
    <w:rsid w:val="005B0B0F"/>
    <w:rsid w:val="005B16ED"/>
    <w:rsid w:val="005B246E"/>
    <w:rsid w:val="005B2B49"/>
    <w:rsid w:val="005B381C"/>
    <w:rsid w:val="005B7A32"/>
    <w:rsid w:val="005C06EA"/>
    <w:rsid w:val="005C0791"/>
    <w:rsid w:val="005C0BB4"/>
    <w:rsid w:val="005C17C1"/>
    <w:rsid w:val="005C25EA"/>
    <w:rsid w:val="005C2D01"/>
    <w:rsid w:val="005C31DE"/>
    <w:rsid w:val="005C320A"/>
    <w:rsid w:val="005C4C25"/>
    <w:rsid w:val="005C4EC5"/>
    <w:rsid w:val="005C6EE6"/>
    <w:rsid w:val="005C7517"/>
    <w:rsid w:val="005C7700"/>
    <w:rsid w:val="005D12B7"/>
    <w:rsid w:val="005D200E"/>
    <w:rsid w:val="005D2141"/>
    <w:rsid w:val="005D2493"/>
    <w:rsid w:val="005D2748"/>
    <w:rsid w:val="005D2759"/>
    <w:rsid w:val="005D29E9"/>
    <w:rsid w:val="005D3272"/>
    <w:rsid w:val="005D44F3"/>
    <w:rsid w:val="005D4875"/>
    <w:rsid w:val="005D4B1C"/>
    <w:rsid w:val="005D4BCA"/>
    <w:rsid w:val="005D790C"/>
    <w:rsid w:val="005E00D1"/>
    <w:rsid w:val="005E039A"/>
    <w:rsid w:val="005E0954"/>
    <w:rsid w:val="005E2338"/>
    <w:rsid w:val="005E2BC3"/>
    <w:rsid w:val="005E2D7E"/>
    <w:rsid w:val="005E3C30"/>
    <w:rsid w:val="005E3EC0"/>
    <w:rsid w:val="005E3F80"/>
    <w:rsid w:val="005E3FAC"/>
    <w:rsid w:val="005E53A5"/>
    <w:rsid w:val="005E639C"/>
    <w:rsid w:val="005E657A"/>
    <w:rsid w:val="005F2547"/>
    <w:rsid w:val="005F2AA6"/>
    <w:rsid w:val="005F3394"/>
    <w:rsid w:val="005F4BAC"/>
    <w:rsid w:val="005F61C5"/>
    <w:rsid w:val="005F72AB"/>
    <w:rsid w:val="005F770C"/>
    <w:rsid w:val="005F7FE3"/>
    <w:rsid w:val="006008E2"/>
    <w:rsid w:val="00600D45"/>
    <w:rsid w:val="00600EB5"/>
    <w:rsid w:val="00602A2E"/>
    <w:rsid w:val="00604475"/>
    <w:rsid w:val="00605253"/>
    <w:rsid w:val="006058C5"/>
    <w:rsid w:val="00607117"/>
    <w:rsid w:val="00607396"/>
    <w:rsid w:val="00610026"/>
    <w:rsid w:val="00616983"/>
    <w:rsid w:val="00620C24"/>
    <w:rsid w:val="00620D97"/>
    <w:rsid w:val="00621058"/>
    <w:rsid w:val="0062191C"/>
    <w:rsid w:val="006221E2"/>
    <w:rsid w:val="00622BAC"/>
    <w:rsid w:val="0062389D"/>
    <w:rsid w:val="00624D9F"/>
    <w:rsid w:val="00624EEB"/>
    <w:rsid w:val="006257D9"/>
    <w:rsid w:val="00626546"/>
    <w:rsid w:val="00626B2B"/>
    <w:rsid w:val="006274FC"/>
    <w:rsid w:val="00627512"/>
    <w:rsid w:val="00630A57"/>
    <w:rsid w:val="00630C48"/>
    <w:rsid w:val="00631510"/>
    <w:rsid w:val="00631B22"/>
    <w:rsid w:val="00632214"/>
    <w:rsid w:val="00632818"/>
    <w:rsid w:val="00632CAD"/>
    <w:rsid w:val="00632CCD"/>
    <w:rsid w:val="00633360"/>
    <w:rsid w:val="006333CB"/>
    <w:rsid w:val="00633531"/>
    <w:rsid w:val="00634E48"/>
    <w:rsid w:val="00635205"/>
    <w:rsid w:val="006359AF"/>
    <w:rsid w:val="00636AF7"/>
    <w:rsid w:val="00636EBF"/>
    <w:rsid w:val="00636EF2"/>
    <w:rsid w:val="00637B05"/>
    <w:rsid w:val="00637FC0"/>
    <w:rsid w:val="00640508"/>
    <w:rsid w:val="00641130"/>
    <w:rsid w:val="00642374"/>
    <w:rsid w:val="006427A4"/>
    <w:rsid w:val="00643076"/>
    <w:rsid w:val="00643536"/>
    <w:rsid w:val="0064444D"/>
    <w:rsid w:val="00645C67"/>
    <w:rsid w:val="00650642"/>
    <w:rsid w:val="00650F13"/>
    <w:rsid w:val="00650F1E"/>
    <w:rsid w:val="00651B3C"/>
    <w:rsid w:val="00652FDF"/>
    <w:rsid w:val="006553D7"/>
    <w:rsid w:val="00657283"/>
    <w:rsid w:val="00657FCA"/>
    <w:rsid w:val="00660291"/>
    <w:rsid w:val="00661284"/>
    <w:rsid w:val="00661503"/>
    <w:rsid w:val="00663205"/>
    <w:rsid w:val="0066325C"/>
    <w:rsid w:val="00663441"/>
    <w:rsid w:val="0066363A"/>
    <w:rsid w:val="00664A33"/>
    <w:rsid w:val="00664E80"/>
    <w:rsid w:val="00665456"/>
    <w:rsid w:val="006654E2"/>
    <w:rsid w:val="006654FF"/>
    <w:rsid w:val="00665723"/>
    <w:rsid w:val="00665CC6"/>
    <w:rsid w:val="00665FD2"/>
    <w:rsid w:val="0066614D"/>
    <w:rsid w:val="006674CB"/>
    <w:rsid w:val="006675E6"/>
    <w:rsid w:val="0067181E"/>
    <w:rsid w:val="0067265E"/>
    <w:rsid w:val="00672F2D"/>
    <w:rsid w:val="00672F5B"/>
    <w:rsid w:val="00673C74"/>
    <w:rsid w:val="006748AD"/>
    <w:rsid w:val="00674AC2"/>
    <w:rsid w:val="00675924"/>
    <w:rsid w:val="006765BA"/>
    <w:rsid w:val="006765FD"/>
    <w:rsid w:val="0067726F"/>
    <w:rsid w:val="00677679"/>
    <w:rsid w:val="006779A6"/>
    <w:rsid w:val="00680FC7"/>
    <w:rsid w:val="006813C3"/>
    <w:rsid w:val="00684639"/>
    <w:rsid w:val="00684EC0"/>
    <w:rsid w:val="00686D89"/>
    <w:rsid w:val="00687F60"/>
    <w:rsid w:val="006900C7"/>
    <w:rsid w:val="00690FA7"/>
    <w:rsid w:val="00691691"/>
    <w:rsid w:val="00693477"/>
    <w:rsid w:val="00693C82"/>
    <w:rsid w:val="00694436"/>
    <w:rsid w:val="0069773A"/>
    <w:rsid w:val="00697DBC"/>
    <w:rsid w:val="006A0C8E"/>
    <w:rsid w:val="006A1430"/>
    <w:rsid w:val="006A1A93"/>
    <w:rsid w:val="006A3336"/>
    <w:rsid w:val="006A4601"/>
    <w:rsid w:val="006A47C4"/>
    <w:rsid w:val="006A53CD"/>
    <w:rsid w:val="006A71BC"/>
    <w:rsid w:val="006A761D"/>
    <w:rsid w:val="006A7FA5"/>
    <w:rsid w:val="006B0875"/>
    <w:rsid w:val="006B1580"/>
    <w:rsid w:val="006B15BA"/>
    <w:rsid w:val="006B2DF4"/>
    <w:rsid w:val="006B54B7"/>
    <w:rsid w:val="006B5580"/>
    <w:rsid w:val="006B6EC0"/>
    <w:rsid w:val="006B7E97"/>
    <w:rsid w:val="006B7F0D"/>
    <w:rsid w:val="006C0630"/>
    <w:rsid w:val="006C06DC"/>
    <w:rsid w:val="006C07C6"/>
    <w:rsid w:val="006C0823"/>
    <w:rsid w:val="006C1D51"/>
    <w:rsid w:val="006C3236"/>
    <w:rsid w:val="006C38B5"/>
    <w:rsid w:val="006C3D80"/>
    <w:rsid w:val="006C4449"/>
    <w:rsid w:val="006C44BD"/>
    <w:rsid w:val="006C4DFC"/>
    <w:rsid w:val="006C54CC"/>
    <w:rsid w:val="006C591D"/>
    <w:rsid w:val="006C5C90"/>
    <w:rsid w:val="006C7489"/>
    <w:rsid w:val="006C768A"/>
    <w:rsid w:val="006C7B81"/>
    <w:rsid w:val="006C7FB5"/>
    <w:rsid w:val="006D0273"/>
    <w:rsid w:val="006D0D88"/>
    <w:rsid w:val="006D0EF5"/>
    <w:rsid w:val="006D158B"/>
    <w:rsid w:val="006D2194"/>
    <w:rsid w:val="006D2C56"/>
    <w:rsid w:val="006D4852"/>
    <w:rsid w:val="006D5709"/>
    <w:rsid w:val="006D5C9C"/>
    <w:rsid w:val="006D63D1"/>
    <w:rsid w:val="006D6A61"/>
    <w:rsid w:val="006D7002"/>
    <w:rsid w:val="006D700F"/>
    <w:rsid w:val="006D76EF"/>
    <w:rsid w:val="006E168D"/>
    <w:rsid w:val="006E2840"/>
    <w:rsid w:val="006E2DA2"/>
    <w:rsid w:val="006E34F8"/>
    <w:rsid w:val="006E466B"/>
    <w:rsid w:val="006E4E7D"/>
    <w:rsid w:val="006E55F5"/>
    <w:rsid w:val="006E5966"/>
    <w:rsid w:val="006E5C15"/>
    <w:rsid w:val="006E61B6"/>
    <w:rsid w:val="006E6B98"/>
    <w:rsid w:val="006E7473"/>
    <w:rsid w:val="006F04F4"/>
    <w:rsid w:val="006F1DAC"/>
    <w:rsid w:val="006F2EEF"/>
    <w:rsid w:val="006F4ACD"/>
    <w:rsid w:val="006F503F"/>
    <w:rsid w:val="006F64FA"/>
    <w:rsid w:val="006F6B91"/>
    <w:rsid w:val="006F6CEA"/>
    <w:rsid w:val="0070095D"/>
    <w:rsid w:val="00700CB6"/>
    <w:rsid w:val="00703FC9"/>
    <w:rsid w:val="00704183"/>
    <w:rsid w:val="00704982"/>
    <w:rsid w:val="007060BC"/>
    <w:rsid w:val="00706871"/>
    <w:rsid w:val="007073B4"/>
    <w:rsid w:val="0070779E"/>
    <w:rsid w:val="00707924"/>
    <w:rsid w:val="00707F3A"/>
    <w:rsid w:val="00710225"/>
    <w:rsid w:val="007113C9"/>
    <w:rsid w:val="007118FE"/>
    <w:rsid w:val="00712249"/>
    <w:rsid w:val="007129A5"/>
    <w:rsid w:val="007148E3"/>
    <w:rsid w:val="00714B9F"/>
    <w:rsid w:val="0071572C"/>
    <w:rsid w:val="00715B73"/>
    <w:rsid w:val="0071654C"/>
    <w:rsid w:val="007170EE"/>
    <w:rsid w:val="007223A4"/>
    <w:rsid w:val="00723909"/>
    <w:rsid w:val="00724BA5"/>
    <w:rsid w:val="00724DBC"/>
    <w:rsid w:val="00726B74"/>
    <w:rsid w:val="007272E6"/>
    <w:rsid w:val="00727D7B"/>
    <w:rsid w:val="0073054C"/>
    <w:rsid w:val="0073130C"/>
    <w:rsid w:val="00731998"/>
    <w:rsid w:val="00732875"/>
    <w:rsid w:val="00733BF2"/>
    <w:rsid w:val="00733D15"/>
    <w:rsid w:val="00734A35"/>
    <w:rsid w:val="00734F02"/>
    <w:rsid w:val="007367E0"/>
    <w:rsid w:val="0073790F"/>
    <w:rsid w:val="007401FE"/>
    <w:rsid w:val="007415A4"/>
    <w:rsid w:val="007415E3"/>
    <w:rsid w:val="00741A7E"/>
    <w:rsid w:val="00741F47"/>
    <w:rsid w:val="0074246F"/>
    <w:rsid w:val="00744532"/>
    <w:rsid w:val="00750CEC"/>
    <w:rsid w:val="00751109"/>
    <w:rsid w:val="0075203A"/>
    <w:rsid w:val="00752272"/>
    <w:rsid w:val="00752953"/>
    <w:rsid w:val="00753478"/>
    <w:rsid w:val="007536BB"/>
    <w:rsid w:val="00754972"/>
    <w:rsid w:val="00754F6C"/>
    <w:rsid w:val="007569E5"/>
    <w:rsid w:val="00756E16"/>
    <w:rsid w:val="00760E43"/>
    <w:rsid w:val="00761E25"/>
    <w:rsid w:val="0076315B"/>
    <w:rsid w:val="007649EE"/>
    <w:rsid w:val="00764D35"/>
    <w:rsid w:val="00766412"/>
    <w:rsid w:val="00766953"/>
    <w:rsid w:val="00766A32"/>
    <w:rsid w:val="00767F6B"/>
    <w:rsid w:val="00770193"/>
    <w:rsid w:val="0077059C"/>
    <w:rsid w:val="007709B1"/>
    <w:rsid w:val="00771021"/>
    <w:rsid w:val="0077199B"/>
    <w:rsid w:val="00775E7D"/>
    <w:rsid w:val="00776338"/>
    <w:rsid w:val="0077651C"/>
    <w:rsid w:val="00776A80"/>
    <w:rsid w:val="00776C0A"/>
    <w:rsid w:val="00776D39"/>
    <w:rsid w:val="00777E9E"/>
    <w:rsid w:val="007800FF"/>
    <w:rsid w:val="00780C78"/>
    <w:rsid w:val="00782163"/>
    <w:rsid w:val="007821A5"/>
    <w:rsid w:val="007840B7"/>
    <w:rsid w:val="007844AA"/>
    <w:rsid w:val="007849B2"/>
    <w:rsid w:val="00784AC3"/>
    <w:rsid w:val="0078703C"/>
    <w:rsid w:val="007911D1"/>
    <w:rsid w:val="00791C16"/>
    <w:rsid w:val="00793018"/>
    <w:rsid w:val="0079305F"/>
    <w:rsid w:val="007930B4"/>
    <w:rsid w:val="0079383C"/>
    <w:rsid w:val="00796006"/>
    <w:rsid w:val="00796F05"/>
    <w:rsid w:val="00796F30"/>
    <w:rsid w:val="00797A6B"/>
    <w:rsid w:val="00797BE8"/>
    <w:rsid w:val="007A07A4"/>
    <w:rsid w:val="007A0D73"/>
    <w:rsid w:val="007A10F4"/>
    <w:rsid w:val="007A167D"/>
    <w:rsid w:val="007A2BEC"/>
    <w:rsid w:val="007A2F28"/>
    <w:rsid w:val="007A4F2E"/>
    <w:rsid w:val="007A52D1"/>
    <w:rsid w:val="007A7A78"/>
    <w:rsid w:val="007B1651"/>
    <w:rsid w:val="007B46A1"/>
    <w:rsid w:val="007B54D7"/>
    <w:rsid w:val="007B5639"/>
    <w:rsid w:val="007B5C18"/>
    <w:rsid w:val="007B64A8"/>
    <w:rsid w:val="007B677E"/>
    <w:rsid w:val="007C0890"/>
    <w:rsid w:val="007C0F1E"/>
    <w:rsid w:val="007C0F6D"/>
    <w:rsid w:val="007C2402"/>
    <w:rsid w:val="007C4033"/>
    <w:rsid w:val="007C43F3"/>
    <w:rsid w:val="007C5446"/>
    <w:rsid w:val="007C6F2C"/>
    <w:rsid w:val="007C716C"/>
    <w:rsid w:val="007C7171"/>
    <w:rsid w:val="007C7F31"/>
    <w:rsid w:val="007D0683"/>
    <w:rsid w:val="007D125F"/>
    <w:rsid w:val="007D18D6"/>
    <w:rsid w:val="007D1CE7"/>
    <w:rsid w:val="007D21BF"/>
    <w:rsid w:val="007D229C"/>
    <w:rsid w:val="007D2955"/>
    <w:rsid w:val="007D2D3B"/>
    <w:rsid w:val="007D2EA6"/>
    <w:rsid w:val="007D47A4"/>
    <w:rsid w:val="007D6AC6"/>
    <w:rsid w:val="007D6D9C"/>
    <w:rsid w:val="007D6E2D"/>
    <w:rsid w:val="007D6F53"/>
    <w:rsid w:val="007D7D6B"/>
    <w:rsid w:val="007E0360"/>
    <w:rsid w:val="007E1102"/>
    <w:rsid w:val="007E22B5"/>
    <w:rsid w:val="007E3169"/>
    <w:rsid w:val="007E3850"/>
    <w:rsid w:val="007E5724"/>
    <w:rsid w:val="007E6DAC"/>
    <w:rsid w:val="007F2B48"/>
    <w:rsid w:val="007F2DC2"/>
    <w:rsid w:val="007F44D9"/>
    <w:rsid w:val="007F53B8"/>
    <w:rsid w:val="007F6781"/>
    <w:rsid w:val="007F6846"/>
    <w:rsid w:val="007F6B4B"/>
    <w:rsid w:val="007F704A"/>
    <w:rsid w:val="007F74A2"/>
    <w:rsid w:val="007F7DE2"/>
    <w:rsid w:val="008005ED"/>
    <w:rsid w:val="00800C15"/>
    <w:rsid w:val="0080197D"/>
    <w:rsid w:val="008020D2"/>
    <w:rsid w:val="008036B9"/>
    <w:rsid w:val="00803E47"/>
    <w:rsid w:val="0080480C"/>
    <w:rsid w:val="00805797"/>
    <w:rsid w:val="008058DB"/>
    <w:rsid w:val="00807155"/>
    <w:rsid w:val="00807E34"/>
    <w:rsid w:val="00813052"/>
    <w:rsid w:val="00813D9E"/>
    <w:rsid w:val="00814B1E"/>
    <w:rsid w:val="008153DB"/>
    <w:rsid w:val="00815AA3"/>
    <w:rsid w:val="00817602"/>
    <w:rsid w:val="008176E2"/>
    <w:rsid w:val="0082034D"/>
    <w:rsid w:val="008209CA"/>
    <w:rsid w:val="008210AE"/>
    <w:rsid w:val="008243CC"/>
    <w:rsid w:val="00824A5B"/>
    <w:rsid w:val="008255F0"/>
    <w:rsid w:val="00825C7D"/>
    <w:rsid w:val="0082649A"/>
    <w:rsid w:val="0082734F"/>
    <w:rsid w:val="00830414"/>
    <w:rsid w:val="008305AE"/>
    <w:rsid w:val="00831243"/>
    <w:rsid w:val="008318EB"/>
    <w:rsid w:val="00832BC2"/>
    <w:rsid w:val="00833279"/>
    <w:rsid w:val="00833B82"/>
    <w:rsid w:val="0083532D"/>
    <w:rsid w:val="0083545D"/>
    <w:rsid w:val="00835BC4"/>
    <w:rsid w:val="00836AAE"/>
    <w:rsid w:val="00836E95"/>
    <w:rsid w:val="00837949"/>
    <w:rsid w:val="00840540"/>
    <w:rsid w:val="00840978"/>
    <w:rsid w:val="00842688"/>
    <w:rsid w:val="00842ADC"/>
    <w:rsid w:val="00842CE2"/>
    <w:rsid w:val="00843460"/>
    <w:rsid w:val="0084357F"/>
    <w:rsid w:val="008448E3"/>
    <w:rsid w:val="00844A9C"/>
    <w:rsid w:val="00844C2D"/>
    <w:rsid w:val="00844E1B"/>
    <w:rsid w:val="0084625A"/>
    <w:rsid w:val="00846C2C"/>
    <w:rsid w:val="00846DEB"/>
    <w:rsid w:val="00847D7D"/>
    <w:rsid w:val="00850BCC"/>
    <w:rsid w:val="00853045"/>
    <w:rsid w:val="0085365F"/>
    <w:rsid w:val="008551E0"/>
    <w:rsid w:val="00855370"/>
    <w:rsid w:val="008555B9"/>
    <w:rsid w:val="00855B68"/>
    <w:rsid w:val="00856453"/>
    <w:rsid w:val="00856DAE"/>
    <w:rsid w:val="00860D15"/>
    <w:rsid w:val="00860D94"/>
    <w:rsid w:val="00862310"/>
    <w:rsid w:val="008637D7"/>
    <w:rsid w:val="00863CFB"/>
    <w:rsid w:val="0086522C"/>
    <w:rsid w:val="00865EB2"/>
    <w:rsid w:val="00866A7F"/>
    <w:rsid w:val="00866EE9"/>
    <w:rsid w:val="008704F5"/>
    <w:rsid w:val="00871522"/>
    <w:rsid w:val="0087238F"/>
    <w:rsid w:val="00872E6C"/>
    <w:rsid w:val="00873413"/>
    <w:rsid w:val="00873A54"/>
    <w:rsid w:val="00875033"/>
    <w:rsid w:val="0087728B"/>
    <w:rsid w:val="0087753D"/>
    <w:rsid w:val="00877934"/>
    <w:rsid w:val="00877C7C"/>
    <w:rsid w:val="00881C97"/>
    <w:rsid w:val="00882A14"/>
    <w:rsid w:val="00884D64"/>
    <w:rsid w:val="008853B4"/>
    <w:rsid w:val="00885D36"/>
    <w:rsid w:val="00886203"/>
    <w:rsid w:val="0088636B"/>
    <w:rsid w:val="00886DF8"/>
    <w:rsid w:val="00890291"/>
    <w:rsid w:val="008902DC"/>
    <w:rsid w:val="00890E80"/>
    <w:rsid w:val="00890EE2"/>
    <w:rsid w:val="00890F35"/>
    <w:rsid w:val="00891165"/>
    <w:rsid w:val="008928CD"/>
    <w:rsid w:val="00894427"/>
    <w:rsid w:val="00894EB1"/>
    <w:rsid w:val="00894F5E"/>
    <w:rsid w:val="008956FC"/>
    <w:rsid w:val="0089588F"/>
    <w:rsid w:val="008959A8"/>
    <w:rsid w:val="00895B55"/>
    <w:rsid w:val="00896351"/>
    <w:rsid w:val="00896409"/>
    <w:rsid w:val="00896E9E"/>
    <w:rsid w:val="00897093"/>
    <w:rsid w:val="008977A1"/>
    <w:rsid w:val="008A0BAE"/>
    <w:rsid w:val="008A251F"/>
    <w:rsid w:val="008A3523"/>
    <w:rsid w:val="008A388F"/>
    <w:rsid w:val="008A49E4"/>
    <w:rsid w:val="008A71D2"/>
    <w:rsid w:val="008B0387"/>
    <w:rsid w:val="008B343B"/>
    <w:rsid w:val="008B397A"/>
    <w:rsid w:val="008B3D12"/>
    <w:rsid w:val="008B3DA1"/>
    <w:rsid w:val="008B4ACD"/>
    <w:rsid w:val="008B5832"/>
    <w:rsid w:val="008B6BA3"/>
    <w:rsid w:val="008B7AC0"/>
    <w:rsid w:val="008B7B47"/>
    <w:rsid w:val="008C01EF"/>
    <w:rsid w:val="008C16E5"/>
    <w:rsid w:val="008C21E9"/>
    <w:rsid w:val="008C233F"/>
    <w:rsid w:val="008C4052"/>
    <w:rsid w:val="008C5B52"/>
    <w:rsid w:val="008C6265"/>
    <w:rsid w:val="008D0249"/>
    <w:rsid w:val="008D363F"/>
    <w:rsid w:val="008D4A07"/>
    <w:rsid w:val="008D4A5C"/>
    <w:rsid w:val="008D692A"/>
    <w:rsid w:val="008D6E19"/>
    <w:rsid w:val="008D722D"/>
    <w:rsid w:val="008D7AD2"/>
    <w:rsid w:val="008E047A"/>
    <w:rsid w:val="008E147C"/>
    <w:rsid w:val="008E2CAD"/>
    <w:rsid w:val="008E396F"/>
    <w:rsid w:val="008E3AA3"/>
    <w:rsid w:val="008E47DC"/>
    <w:rsid w:val="008E6A95"/>
    <w:rsid w:val="008E7064"/>
    <w:rsid w:val="008F19B1"/>
    <w:rsid w:val="008F3F0B"/>
    <w:rsid w:val="008F46FF"/>
    <w:rsid w:val="008F5ADC"/>
    <w:rsid w:val="008F64E7"/>
    <w:rsid w:val="00900691"/>
    <w:rsid w:val="009061A2"/>
    <w:rsid w:val="00906504"/>
    <w:rsid w:val="00906961"/>
    <w:rsid w:val="009121CF"/>
    <w:rsid w:val="0091276B"/>
    <w:rsid w:val="00914789"/>
    <w:rsid w:val="00914FFE"/>
    <w:rsid w:val="00917718"/>
    <w:rsid w:val="00917796"/>
    <w:rsid w:val="0092034D"/>
    <w:rsid w:val="00920E61"/>
    <w:rsid w:val="009222DD"/>
    <w:rsid w:val="0092418C"/>
    <w:rsid w:val="009260AF"/>
    <w:rsid w:val="00926C76"/>
    <w:rsid w:val="00926D71"/>
    <w:rsid w:val="0092716E"/>
    <w:rsid w:val="00927ABE"/>
    <w:rsid w:val="009308BF"/>
    <w:rsid w:val="00930F1C"/>
    <w:rsid w:val="009316A6"/>
    <w:rsid w:val="00932CCA"/>
    <w:rsid w:val="00933451"/>
    <w:rsid w:val="009337BB"/>
    <w:rsid w:val="00933E37"/>
    <w:rsid w:val="00934087"/>
    <w:rsid w:val="00934536"/>
    <w:rsid w:val="00935C3C"/>
    <w:rsid w:val="0093728D"/>
    <w:rsid w:val="00937425"/>
    <w:rsid w:val="00940B7D"/>
    <w:rsid w:val="00943DAA"/>
    <w:rsid w:val="009440D4"/>
    <w:rsid w:val="00944231"/>
    <w:rsid w:val="00945985"/>
    <w:rsid w:val="0094638E"/>
    <w:rsid w:val="00947798"/>
    <w:rsid w:val="009479FE"/>
    <w:rsid w:val="00952157"/>
    <w:rsid w:val="00952F38"/>
    <w:rsid w:val="00953314"/>
    <w:rsid w:val="0095344A"/>
    <w:rsid w:val="00953B30"/>
    <w:rsid w:val="00954AC7"/>
    <w:rsid w:val="009553CF"/>
    <w:rsid w:val="0095611F"/>
    <w:rsid w:val="009567A9"/>
    <w:rsid w:val="00960E08"/>
    <w:rsid w:val="00961C49"/>
    <w:rsid w:val="0096353F"/>
    <w:rsid w:val="00964447"/>
    <w:rsid w:val="0096448A"/>
    <w:rsid w:val="00965574"/>
    <w:rsid w:val="00965ECC"/>
    <w:rsid w:val="009660B9"/>
    <w:rsid w:val="009670DE"/>
    <w:rsid w:val="00967AEA"/>
    <w:rsid w:val="00971E2C"/>
    <w:rsid w:val="00973E9D"/>
    <w:rsid w:val="0097533B"/>
    <w:rsid w:val="00975405"/>
    <w:rsid w:val="009756AB"/>
    <w:rsid w:val="009760A0"/>
    <w:rsid w:val="00976A8E"/>
    <w:rsid w:val="00977C33"/>
    <w:rsid w:val="00980FAD"/>
    <w:rsid w:val="009810FE"/>
    <w:rsid w:val="009816A7"/>
    <w:rsid w:val="00982394"/>
    <w:rsid w:val="009824F8"/>
    <w:rsid w:val="0098269A"/>
    <w:rsid w:val="0098277C"/>
    <w:rsid w:val="00982F39"/>
    <w:rsid w:val="00983048"/>
    <w:rsid w:val="0098336D"/>
    <w:rsid w:val="00983773"/>
    <w:rsid w:val="00983E82"/>
    <w:rsid w:val="0098555C"/>
    <w:rsid w:val="00985850"/>
    <w:rsid w:val="00985CE5"/>
    <w:rsid w:val="00986A3A"/>
    <w:rsid w:val="009903E5"/>
    <w:rsid w:val="00990B56"/>
    <w:rsid w:val="009918C1"/>
    <w:rsid w:val="009922C1"/>
    <w:rsid w:val="0099267B"/>
    <w:rsid w:val="009930FE"/>
    <w:rsid w:val="0099336E"/>
    <w:rsid w:val="009934CF"/>
    <w:rsid w:val="0099456F"/>
    <w:rsid w:val="0099590D"/>
    <w:rsid w:val="00996E9B"/>
    <w:rsid w:val="009A0960"/>
    <w:rsid w:val="009A097B"/>
    <w:rsid w:val="009A0D01"/>
    <w:rsid w:val="009A10CC"/>
    <w:rsid w:val="009A1365"/>
    <w:rsid w:val="009A20F6"/>
    <w:rsid w:val="009A252C"/>
    <w:rsid w:val="009A2657"/>
    <w:rsid w:val="009A2C8F"/>
    <w:rsid w:val="009A37CA"/>
    <w:rsid w:val="009A40FB"/>
    <w:rsid w:val="009A723D"/>
    <w:rsid w:val="009A7736"/>
    <w:rsid w:val="009A79AD"/>
    <w:rsid w:val="009B1133"/>
    <w:rsid w:val="009B1764"/>
    <w:rsid w:val="009B1AE3"/>
    <w:rsid w:val="009B2327"/>
    <w:rsid w:val="009B3575"/>
    <w:rsid w:val="009B4EE3"/>
    <w:rsid w:val="009B5D44"/>
    <w:rsid w:val="009B5D7D"/>
    <w:rsid w:val="009B5ED6"/>
    <w:rsid w:val="009C11CA"/>
    <w:rsid w:val="009C17FD"/>
    <w:rsid w:val="009C3A70"/>
    <w:rsid w:val="009C3C21"/>
    <w:rsid w:val="009C3DA7"/>
    <w:rsid w:val="009C428A"/>
    <w:rsid w:val="009C4EED"/>
    <w:rsid w:val="009C55D6"/>
    <w:rsid w:val="009C5A65"/>
    <w:rsid w:val="009C6E3D"/>
    <w:rsid w:val="009D035C"/>
    <w:rsid w:val="009D112A"/>
    <w:rsid w:val="009D125A"/>
    <w:rsid w:val="009D1ACF"/>
    <w:rsid w:val="009D2284"/>
    <w:rsid w:val="009D2B45"/>
    <w:rsid w:val="009D3142"/>
    <w:rsid w:val="009D459B"/>
    <w:rsid w:val="009D4CE8"/>
    <w:rsid w:val="009D6E61"/>
    <w:rsid w:val="009D7479"/>
    <w:rsid w:val="009E0109"/>
    <w:rsid w:val="009E0870"/>
    <w:rsid w:val="009E2C76"/>
    <w:rsid w:val="009E2F09"/>
    <w:rsid w:val="009E4171"/>
    <w:rsid w:val="009E429F"/>
    <w:rsid w:val="009E4A07"/>
    <w:rsid w:val="009E4C70"/>
    <w:rsid w:val="009E4DFE"/>
    <w:rsid w:val="009E5541"/>
    <w:rsid w:val="009F0850"/>
    <w:rsid w:val="009F0A88"/>
    <w:rsid w:val="009F1397"/>
    <w:rsid w:val="009F2287"/>
    <w:rsid w:val="009F3060"/>
    <w:rsid w:val="009F32DC"/>
    <w:rsid w:val="009F64C6"/>
    <w:rsid w:val="009F75BD"/>
    <w:rsid w:val="009F7A05"/>
    <w:rsid w:val="00A0003F"/>
    <w:rsid w:val="00A01A72"/>
    <w:rsid w:val="00A01E37"/>
    <w:rsid w:val="00A03F1D"/>
    <w:rsid w:val="00A0459A"/>
    <w:rsid w:val="00A05812"/>
    <w:rsid w:val="00A05ECB"/>
    <w:rsid w:val="00A06513"/>
    <w:rsid w:val="00A06575"/>
    <w:rsid w:val="00A06DA5"/>
    <w:rsid w:val="00A10CA2"/>
    <w:rsid w:val="00A121B3"/>
    <w:rsid w:val="00A125AE"/>
    <w:rsid w:val="00A13D6F"/>
    <w:rsid w:val="00A14A4E"/>
    <w:rsid w:val="00A152F8"/>
    <w:rsid w:val="00A153D5"/>
    <w:rsid w:val="00A15768"/>
    <w:rsid w:val="00A15847"/>
    <w:rsid w:val="00A15DD0"/>
    <w:rsid w:val="00A175A5"/>
    <w:rsid w:val="00A178FA"/>
    <w:rsid w:val="00A21368"/>
    <w:rsid w:val="00A24639"/>
    <w:rsid w:val="00A2470E"/>
    <w:rsid w:val="00A2533A"/>
    <w:rsid w:val="00A25609"/>
    <w:rsid w:val="00A25714"/>
    <w:rsid w:val="00A25875"/>
    <w:rsid w:val="00A26BC5"/>
    <w:rsid w:val="00A26E9C"/>
    <w:rsid w:val="00A27132"/>
    <w:rsid w:val="00A30095"/>
    <w:rsid w:val="00A30608"/>
    <w:rsid w:val="00A327DF"/>
    <w:rsid w:val="00A3369D"/>
    <w:rsid w:val="00A341BF"/>
    <w:rsid w:val="00A3482B"/>
    <w:rsid w:val="00A34DF8"/>
    <w:rsid w:val="00A365B0"/>
    <w:rsid w:val="00A36773"/>
    <w:rsid w:val="00A405FD"/>
    <w:rsid w:val="00A44D2A"/>
    <w:rsid w:val="00A465CA"/>
    <w:rsid w:val="00A4666D"/>
    <w:rsid w:val="00A46DC6"/>
    <w:rsid w:val="00A52734"/>
    <w:rsid w:val="00A52E27"/>
    <w:rsid w:val="00A534B7"/>
    <w:rsid w:val="00A5389E"/>
    <w:rsid w:val="00A53CA1"/>
    <w:rsid w:val="00A54B39"/>
    <w:rsid w:val="00A5742E"/>
    <w:rsid w:val="00A6045B"/>
    <w:rsid w:val="00A61C15"/>
    <w:rsid w:val="00A62017"/>
    <w:rsid w:val="00A62C7D"/>
    <w:rsid w:val="00A65FF5"/>
    <w:rsid w:val="00A660C9"/>
    <w:rsid w:val="00A66244"/>
    <w:rsid w:val="00A6652B"/>
    <w:rsid w:val="00A6796A"/>
    <w:rsid w:val="00A67F7A"/>
    <w:rsid w:val="00A70069"/>
    <w:rsid w:val="00A72F6D"/>
    <w:rsid w:val="00A737B1"/>
    <w:rsid w:val="00A7432E"/>
    <w:rsid w:val="00A75186"/>
    <w:rsid w:val="00A7529D"/>
    <w:rsid w:val="00A75BAB"/>
    <w:rsid w:val="00A76BF3"/>
    <w:rsid w:val="00A77A05"/>
    <w:rsid w:val="00A80626"/>
    <w:rsid w:val="00A80DD6"/>
    <w:rsid w:val="00A81A8F"/>
    <w:rsid w:val="00A840CA"/>
    <w:rsid w:val="00A843E4"/>
    <w:rsid w:val="00A84715"/>
    <w:rsid w:val="00A851E7"/>
    <w:rsid w:val="00A863F9"/>
    <w:rsid w:val="00A864BB"/>
    <w:rsid w:val="00A87846"/>
    <w:rsid w:val="00A91673"/>
    <w:rsid w:val="00A91834"/>
    <w:rsid w:val="00A940F8"/>
    <w:rsid w:val="00A9413D"/>
    <w:rsid w:val="00A94AF9"/>
    <w:rsid w:val="00A9642B"/>
    <w:rsid w:val="00A96EA6"/>
    <w:rsid w:val="00AA02C4"/>
    <w:rsid w:val="00AA1189"/>
    <w:rsid w:val="00AA13D6"/>
    <w:rsid w:val="00AA1C19"/>
    <w:rsid w:val="00AA3D4F"/>
    <w:rsid w:val="00AA41D7"/>
    <w:rsid w:val="00AA4C36"/>
    <w:rsid w:val="00AA5D5C"/>
    <w:rsid w:val="00AA61D5"/>
    <w:rsid w:val="00AA64E2"/>
    <w:rsid w:val="00AA6CB8"/>
    <w:rsid w:val="00AB076A"/>
    <w:rsid w:val="00AB0817"/>
    <w:rsid w:val="00AB0F28"/>
    <w:rsid w:val="00AB2FC4"/>
    <w:rsid w:val="00AB30EB"/>
    <w:rsid w:val="00AB54B0"/>
    <w:rsid w:val="00AB5F97"/>
    <w:rsid w:val="00AB7B68"/>
    <w:rsid w:val="00AC2288"/>
    <w:rsid w:val="00AC2CB9"/>
    <w:rsid w:val="00AC3387"/>
    <w:rsid w:val="00AC37AD"/>
    <w:rsid w:val="00AC3F7B"/>
    <w:rsid w:val="00AC7243"/>
    <w:rsid w:val="00AC792C"/>
    <w:rsid w:val="00AD01D6"/>
    <w:rsid w:val="00AD03D9"/>
    <w:rsid w:val="00AD1AF6"/>
    <w:rsid w:val="00AD248B"/>
    <w:rsid w:val="00AD25F2"/>
    <w:rsid w:val="00AD280F"/>
    <w:rsid w:val="00AD38DC"/>
    <w:rsid w:val="00AD4270"/>
    <w:rsid w:val="00AD48EE"/>
    <w:rsid w:val="00AD4F1E"/>
    <w:rsid w:val="00AD64A2"/>
    <w:rsid w:val="00AD66C0"/>
    <w:rsid w:val="00AD6843"/>
    <w:rsid w:val="00AD712B"/>
    <w:rsid w:val="00AD71D0"/>
    <w:rsid w:val="00AE263F"/>
    <w:rsid w:val="00AE265F"/>
    <w:rsid w:val="00AE329F"/>
    <w:rsid w:val="00AF045E"/>
    <w:rsid w:val="00AF2434"/>
    <w:rsid w:val="00AF28E0"/>
    <w:rsid w:val="00AF2F98"/>
    <w:rsid w:val="00AF327B"/>
    <w:rsid w:val="00AF42EB"/>
    <w:rsid w:val="00AF5418"/>
    <w:rsid w:val="00AF5A52"/>
    <w:rsid w:val="00AF6201"/>
    <w:rsid w:val="00AF6AD4"/>
    <w:rsid w:val="00AF6BE1"/>
    <w:rsid w:val="00B010D8"/>
    <w:rsid w:val="00B01D44"/>
    <w:rsid w:val="00B02176"/>
    <w:rsid w:val="00B02B3B"/>
    <w:rsid w:val="00B03104"/>
    <w:rsid w:val="00B0410A"/>
    <w:rsid w:val="00B04EEB"/>
    <w:rsid w:val="00B052D1"/>
    <w:rsid w:val="00B07B0F"/>
    <w:rsid w:val="00B109E1"/>
    <w:rsid w:val="00B10E48"/>
    <w:rsid w:val="00B1165C"/>
    <w:rsid w:val="00B11687"/>
    <w:rsid w:val="00B120DF"/>
    <w:rsid w:val="00B1261B"/>
    <w:rsid w:val="00B12766"/>
    <w:rsid w:val="00B13279"/>
    <w:rsid w:val="00B1486D"/>
    <w:rsid w:val="00B15DCC"/>
    <w:rsid w:val="00B169CB"/>
    <w:rsid w:val="00B16B66"/>
    <w:rsid w:val="00B16D4C"/>
    <w:rsid w:val="00B17D02"/>
    <w:rsid w:val="00B20014"/>
    <w:rsid w:val="00B208C1"/>
    <w:rsid w:val="00B21560"/>
    <w:rsid w:val="00B22C0B"/>
    <w:rsid w:val="00B22EAA"/>
    <w:rsid w:val="00B23F10"/>
    <w:rsid w:val="00B24B29"/>
    <w:rsid w:val="00B324C1"/>
    <w:rsid w:val="00B32934"/>
    <w:rsid w:val="00B32CB2"/>
    <w:rsid w:val="00B32DE1"/>
    <w:rsid w:val="00B332DB"/>
    <w:rsid w:val="00B334A6"/>
    <w:rsid w:val="00B34871"/>
    <w:rsid w:val="00B34A89"/>
    <w:rsid w:val="00B34C71"/>
    <w:rsid w:val="00B34EFB"/>
    <w:rsid w:val="00B35930"/>
    <w:rsid w:val="00B36429"/>
    <w:rsid w:val="00B3657B"/>
    <w:rsid w:val="00B376E5"/>
    <w:rsid w:val="00B37D1F"/>
    <w:rsid w:val="00B406ED"/>
    <w:rsid w:val="00B419BC"/>
    <w:rsid w:val="00B41EE7"/>
    <w:rsid w:val="00B43FB4"/>
    <w:rsid w:val="00B44BC8"/>
    <w:rsid w:val="00B4567C"/>
    <w:rsid w:val="00B45E13"/>
    <w:rsid w:val="00B47509"/>
    <w:rsid w:val="00B47ECB"/>
    <w:rsid w:val="00B501EC"/>
    <w:rsid w:val="00B52EF2"/>
    <w:rsid w:val="00B53555"/>
    <w:rsid w:val="00B53824"/>
    <w:rsid w:val="00B540F6"/>
    <w:rsid w:val="00B5457F"/>
    <w:rsid w:val="00B5499B"/>
    <w:rsid w:val="00B549B4"/>
    <w:rsid w:val="00B54A9D"/>
    <w:rsid w:val="00B5558A"/>
    <w:rsid w:val="00B55BEB"/>
    <w:rsid w:val="00B55D4E"/>
    <w:rsid w:val="00B55E4F"/>
    <w:rsid w:val="00B5636A"/>
    <w:rsid w:val="00B617F6"/>
    <w:rsid w:val="00B63217"/>
    <w:rsid w:val="00B63586"/>
    <w:rsid w:val="00B652BB"/>
    <w:rsid w:val="00B65C53"/>
    <w:rsid w:val="00B66D99"/>
    <w:rsid w:val="00B6756D"/>
    <w:rsid w:val="00B676A9"/>
    <w:rsid w:val="00B67FBB"/>
    <w:rsid w:val="00B701A0"/>
    <w:rsid w:val="00B71190"/>
    <w:rsid w:val="00B7140A"/>
    <w:rsid w:val="00B722FB"/>
    <w:rsid w:val="00B72742"/>
    <w:rsid w:val="00B73202"/>
    <w:rsid w:val="00B73211"/>
    <w:rsid w:val="00B73672"/>
    <w:rsid w:val="00B73DAA"/>
    <w:rsid w:val="00B74AE0"/>
    <w:rsid w:val="00B75A77"/>
    <w:rsid w:val="00B7619E"/>
    <w:rsid w:val="00B809F7"/>
    <w:rsid w:val="00B81402"/>
    <w:rsid w:val="00B82549"/>
    <w:rsid w:val="00B838CD"/>
    <w:rsid w:val="00B84319"/>
    <w:rsid w:val="00B843E4"/>
    <w:rsid w:val="00B84668"/>
    <w:rsid w:val="00B84EF5"/>
    <w:rsid w:val="00B86E7A"/>
    <w:rsid w:val="00B87B04"/>
    <w:rsid w:val="00B87C0A"/>
    <w:rsid w:val="00B87DFE"/>
    <w:rsid w:val="00B900D9"/>
    <w:rsid w:val="00B9062B"/>
    <w:rsid w:val="00B90704"/>
    <w:rsid w:val="00B90E7B"/>
    <w:rsid w:val="00B91032"/>
    <w:rsid w:val="00B913C6"/>
    <w:rsid w:val="00B9159C"/>
    <w:rsid w:val="00B9169E"/>
    <w:rsid w:val="00B91CC4"/>
    <w:rsid w:val="00B920BC"/>
    <w:rsid w:val="00B9213E"/>
    <w:rsid w:val="00B92412"/>
    <w:rsid w:val="00B926A0"/>
    <w:rsid w:val="00B95250"/>
    <w:rsid w:val="00B959CD"/>
    <w:rsid w:val="00B95B2C"/>
    <w:rsid w:val="00B96441"/>
    <w:rsid w:val="00B9729F"/>
    <w:rsid w:val="00B975DD"/>
    <w:rsid w:val="00BA0117"/>
    <w:rsid w:val="00BA0DD5"/>
    <w:rsid w:val="00BA18EE"/>
    <w:rsid w:val="00BA24C6"/>
    <w:rsid w:val="00BA3584"/>
    <w:rsid w:val="00BA4340"/>
    <w:rsid w:val="00BA4F51"/>
    <w:rsid w:val="00BA60E8"/>
    <w:rsid w:val="00BA7859"/>
    <w:rsid w:val="00BB0BDE"/>
    <w:rsid w:val="00BB12AB"/>
    <w:rsid w:val="00BB2DA6"/>
    <w:rsid w:val="00BB3B5A"/>
    <w:rsid w:val="00BB452D"/>
    <w:rsid w:val="00BB5A05"/>
    <w:rsid w:val="00BB5AAE"/>
    <w:rsid w:val="00BB5CEE"/>
    <w:rsid w:val="00BB5FD5"/>
    <w:rsid w:val="00BB6A37"/>
    <w:rsid w:val="00BB7B65"/>
    <w:rsid w:val="00BC0B41"/>
    <w:rsid w:val="00BC0BC3"/>
    <w:rsid w:val="00BC0E1F"/>
    <w:rsid w:val="00BC0FE5"/>
    <w:rsid w:val="00BC17FA"/>
    <w:rsid w:val="00BC22AF"/>
    <w:rsid w:val="00BC3990"/>
    <w:rsid w:val="00BC3C28"/>
    <w:rsid w:val="00BC3E4A"/>
    <w:rsid w:val="00BC52C3"/>
    <w:rsid w:val="00BC6636"/>
    <w:rsid w:val="00BC6852"/>
    <w:rsid w:val="00BC6E51"/>
    <w:rsid w:val="00BD0AD2"/>
    <w:rsid w:val="00BD18B3"/>
    <w:rsid w:val="00BD3551"/>
    <w:rsid w:val="00BD40AF"/>
    <w:rsid w:val="00BD43FC"/>
    <w:rsid w:val="00BD4B9B"/>
    <w:rsid w:val="00BD5E39"/>
    <w:rsid w:val="00BD624F"/>
    <w:rsid w:val="00BD6293"/>
    <w:rsid w:val="00BD6F2C"/>
    <w:rsid w:val="00BD6FE1"/>
    <w:rsid w:val="00BD738A"/>
    <w:rsid w:val="00BD776F"/>
    <w:rsid w:val="00BD7B58"/>
    <w:rsid w:val="00BD7EB3"/>
    <w:rsid w:val="00BE0F76"/>
    <w:rsid w:val="00BE1AA1"/>
    <w:rsid w:val="00BE3EB0"/>
    <w:rsid w:val="00BE4C73"/>
    <w:rsid w:val="00BE5BF7"/>
    <w:rsid w:val="00BE5D60"/>
    <w:rsid w:val="00BE608E"/>
    <w:rsid w:val="00BE6B01"/>
    <w:rsid w:val="00BE7B4E"/>
    <w:rsid w:val="00BF0398"/>
    <w:rsid w:val="00BF0F6C"/>
    <w:rsid w:val="00BF1688"/>
    <w:rsid w:val="00BF1EDE"/>
    <w:rsid w:val="00BF2D4B"/>
    <w:rsid w:val="00BF4BED"/>
    <w:rsid w:val="00BF51F3"/>
    <w:rsid w:val="00BF5700"/>
    <w:rsid w:val="00BF570C"/>
    <w:rsid w:val="00BF5AD1"/>
    <w:rsid w:val="00BF5BC6"/>
    <w:rsid w:val="00BF7ADA"/>
    <w:rsid w:val="00C008A1"/>
    <w:rsid w:val="00C02604"/>
    <w:rsid w:val="00C0272A"/>
    <w:rsid w:val="00C0274F"/>
    <w:rsid w:val="00C02F5A"/>
    <w:rsid w:val="00C031C9"/>
    <w:rsid w:val="00C03548"/>
    <w:rsid w:val="00C0419B"/>
    <w:rsid w:val="00C05001"/>
    <w:rsid w:val="00C0501E"/>
    <w:rsid w:val="00C05DBD"/>
    <w:rsid w:val="00C0612C"/>
    <w:rsid w:val="00C10CB7"/>
    <w:rsid w:val="00C117AF"/>
    <w:rsid w:val="00C11BC3"/>
    <w:rsid w:val="00C12BB2"/>
    <w:rsid w:val="00C12E3C"/>
    <w:rsid w:val="00C130F2"/>
    <w:rsid w:val="00C13191"/>
    <w:rsid w:val="00C1350E"/>
    <w:rsid w:val="00C15F05"/>
    <w:rsid w:val="00C1623D"/>
    <w:rsid w:val="00C16ADF"/>
    <w:rsid w:val="00C17895"/>
    <w:rsid w:val="00C202A2"/>
    <w:rsid w:val="00C2056E"/>
    <w:rsid w:val="00C21185"/>
    <w:rsid w:val="00C230D9"/>
    <w:rsid w:val="00C25EC4"/>
    <w:rsid w:val="00C26AE4"/>
    <w:rsid w:val="00C32022"/>
    <w:rsid w:val="00C33BD4"/>
    <w:rsid w:val="00C34492"/>
    <w:rsid w:val="00C353B0"/>
    <w:rsid w:val="00C35BBF"/>
    <w:rsid w:val="00C37888"/>
    <w:rsid w:val="00C422D4"/>
    <w:rsid w:val="00C42356"/>
    <w:rsid w:val="00C43002"/>
    <w:rsid w:val="00C43777"/>
    <w:rsid w:val="00C449D8"/>
    <w:rsid w:val="00C4526D"/>
    <w:rsid w:val="00C470AA"/>
    <w:rsid w:val="00C47F46"/>
    <w:rsid w:val="00C50458"/>
    <w:rsid w:val="00C508D8"/>
    <w:rsid w:val="00C50931"/>
    <w:rsid w:val="00C50DD5"/>
    <w:rsid w:val="00C50F2D"/>
    <w:rsid w:val="00C5306F"/>
    <w:rsid w:val="00C539FB"/>
    <w:rsid w:val="00C53CED"/>
    <w:rsid w:val="00C56565"/>
    <w:rsid w:val="00C57284"/>
    <w:rsid w:val="00C57A48"/>
    <w:rsid w:val="00C57B9A"/>
    <w:rsid w:val="00C60151"/>
    <w:rsid w:val="00C6308F"/>
    <w:rsid w:val="00C64549"/>
    <w:rsid w:val="00C65227"/>
    <w:rsid w:val="00C6782C"/>
    <w:rsid w:val="00C71DDC"/>
    <w:rsid w:val="00C731D2"/>
    <w:rsid w:val="00C736EA"/>
    <w:rsid w:val="00C74321"/>
    <w:rsid w:val="00C766AB"/>
    <w:rsid w:val="00C76A2F"/>
    <w:rsid w:val="00C76EE6"/>
    <w:rsid w:val="00C77539"/>
    <w:rsid w:val="00C779C7"/>
    <w:rsid w:val="00C77C25"/>
    <w:rsid w:val="00C77F84"/>
    <w:rsid w:val="00C804A9"/>
    <w:rsid w:val="00C80F8B"/>
    <w:rsid w:val="00C836D0"/>
    <w:rsid w:val="00C837AB"/>
    <w:rsid w:val="00C83FF2"/>
    <w:rsid w:val="00C84600"/>
    <w:rsid w:val="00C85121"/>
    <w:rsid w:val="00C85D91"/>
    <w:rsid w:val="00C8693F"/>
    <w:rsid w:val="00C870D4"/>
    <w:rsid w:val="00C91524"/>
    <w:rsid w:val="00C9181A"/>
    <w:rsid w:val="00C934BF"/>
    <w:rsid w:val="00C93CAA"/>
    <w:rsid w:val="00C959A8"/>
    <w:rsid w:val="00C9746D"/>
    <w:rsid w:val="00CA16CF"/>
    <w:rsid w:val="00CA1F0B"/>
    <w:rsid w:val="00CA2924"/>
    <w:rsid w:val="00CA30FA"/>
    <w:rsid w:val="00CA4B1F"/>
    <w:rsid w:val="00CA6EAD"/>
    <w:rsid w:val="00CA6F32"/>
    <w:rsid w:val="00CA75D0"/>
    <w:rsid w:val="00CB20DA"/>
    <w:rsid w:val="00CB2281"/>
    <w:rsid w:val="00CB3981"/>
    <w:rsid w:val="00CB454D"/>
    <w:rsid w:val="00CB5B05"/>
    <w:rsid w:val="00CB61C0"/>
    <w:rsid w:val="00CB63C2"/>
    <w:rsid w:val="00CC03C7"/>
    <w:rsid w:val="00CC0D6B"/>
    <w:rsid w:val="00CC1812"/>
    <w:rsid w:val="00CC2450"/>
    <w:rsid w:val="00CC2C81"/>
    <w:rsid w:val="00CC34AE"/>
    <w:rsid w:val="00CC39CF"/>
    <w:rsid w:val="00CC50A2"/>
    <w:rsid w:val="00CC533D"/>
    <w:rsid w:val="00CC6A58"/>
    <w:rsid w:val="00CD027E"/>
    <w:rsid w:val="00CD02B1"/>
    <w:rsid w:val="00CD1391"/>
    <w:rsid w:val="00CD2B16"/>
    <w:rsid w:val="00CD2F00"/>
    <w:rsid w:val="00CD3AC8"/>
    <w:rsid w:val="00CD4BD5"/>
    <w:rsid w:val="00CD4EC2"/>
    <w:rsid w:val="00CD579C"/>
    <w:rsid w:val="00CD5E6D"/>
    <w:rsid w:val="00CD68ED"/>
    <w:rsid w:val="00CE1138"/>
    <w:rsid w:val="00CE166A"/>
    <w:rsid w:val="00CE1E37"/>
    <w:rsid w:val="00CE2DCD"/>
    <w:rsid w:val="00CE3A14"/>
    <w:rsid w:val="00CE3B42"/>
    <w:rsid w:val="00CE431E"/>
    <w:rsid w:val="00CE4403"/>
    <w:rsid w:val="00CE4D11"/>
    <w:rsid w:val="00CE505F"/>
    <w:rsid w:val="00CE5F70"/>
    <w:rsid w:val="00CE68A4"/>
    <w:rsid w:val="00CE68B3"/>
    <w:rsid w:val="00CE6DF0"/>
    <w:rsid w:val="00CF1292"/>
    <w:rsid w:val="00CF142B"/>
    <w:rsid w:val="00CF207B"/>
    <w:rsid w:val="00CF243F"/>
    <w:rsid w:val="00CF3FA9"/>
    <w:rsid w:val="00CF5CEE"/>
    <w:rsid w:val="00D0268E"/>
    <w:rsid w:val="00D03590"/>
    <w:rsid w:val="00D03FDE"/>
    <w:rsid w:val="00D041F1"/>
    <w:rsid w:val="00D0441D"/>
    <w:rsid w:val="00D06253"/>
    <w:rsid w:val="00D06820"/>
    <w:rsid w:val="00D07567"/>
    <w:rsid w:val="00D10510"/>
    <w:rsid w:val="00D107F8"/>
    <w:rsid w:val="00D1125D"/>
    <w:rsid w:val="00D11AE0"/>
    <w:rsid w:val="00D170A9"/>
    <w:rsid w:val="00D17A12"/>
    <w:rsid w:val="00D207F7"/>
    <w:rsid w:val="00D20834"/>
    <w:rsid w:val="00D20E78"/>
    <w:rsid w:val="00D21080"/>
    <w:rsid w:val="00D212CB"/>
    <w:rsid w:val="00D21FE0"/>
    <w:rsid w:val="00D2237F"/>
    <w:rsid w:val="00D224C9"/>
    <w:rsid w:val="00D22CA8"/>
    <w:rsid w:val="00D23816"/>
    <w:rsid w:val="00D239F0"/>
    <w:rsid w:val="00D2487C"/>
    <w:rsid w:val="00D2664F"/>
    <w:rsid w:val="00D27140"/>
    <w:rsid w:val="00D271DD"/>
    <w:rsid w:val="00D27A89"/>
    <w:rsid w:val="00D27E13"/>
    <w:rsid w:val="00D3134F"/>
    <w:rsid w:val="00D31F84"/>
    <w:rsid w:val="00D32C70"/>
    <w:rsid w:val="00D36918"/>
    <w:rsid w:val="00D36C1D"/>
    <w:rsid w:val="00D36EBA"/>
    <w:rsid w:val="00D408A6"/>
    <w:rsid w:val="00D40C2F"/>
    <w:rsid w:val="00D419A1"/>
    <w:rsid w:val="00D41F42"/>
    <w:rsid w:val="00D429C7"/>
    <w:rsid w:val="00D43EF5"/>
    <w:rsid w:val="00D44ADF"/>
    <w:rsid w:val="00D44EF7"/>
    <w:rsid w:val="00D44F67"/>
    <w:rsid w:val="00D47F68"/>
    <w:rsid w:val="00D50CE6"/>
    <w:rsid w:val="00D50EB3"/>
    <w:rsid w:val="00D51640"/>
    <w:rsid w:val="00D51A3D"/>
    <w:rsid w:val="00D51BD1"/>
    <w:rsid w:val="00D524E4"/>
    <w:rsid w:val="00D526CD"/>
    <w:rsid w:val="00D53C80"/>
    <w:rsid w:val="00D541F3"/>
    <w:rsid w:val="00D5595F"/>
    <w:rsid w:val="00D575AC"/>
    <w:rsid w:val="00D576CF"/>
    <w:rsid w:val="00D60418"/>
    <w:rsid w:val="00D626B9"/>
    <w:rsid w:val="00D63885"/>
    <w:rsid w:val="00D63F81"/>
    <w:rsid w:val="00D653A6"/>
    <w:rsid w:val="00D65587"/>
    <w:rsid w:val="00D65E79"/>
    <w:rsid w:val="00D65E90"/>
    <w:rsid w:val="00D666D8"/>
    <w:rsid w:val="00D66C0B"/>
    <w:rsid w:val="00D671A3"/>
    <w:rsid w:val="00D70C3E"/>
    <w:rsid w:val="00D71499"/>
    <w:rsid w:val="00D71AFC"/>
    <w:rsid w:val="00D71C59"/>
    <w:rsid w:val="00D7293E"/>
    <w:rsid w:val="00D72EE5"/>
    <w:rsid w:val="00D73463"/>
    <w:rsid w:val="00D75976"/>
    <w:rsid w:val="00D76757"/>
    <w:rsid w:val="00D76820"/>
    <w:rsid w:val="00D804B5"/>
    <w:rsid w:val="00D81D54"/>
    <w:rsid w:val="00D82097"/>
    <w:rsid w:val="00D82BEF"/>
    <w:rsid w:val="00D83187"/>
    <w:rsid w:val="00D83A83"/>
    <w:rsid w:val="00D83C05"/>
    <w:rsid w:val="00D8444C"/>
    <w:rsid w:val="00D844ED"/>
    <w:rsid w:val="00D855F1"/>
    <w:rsid w:val="00D85C52"/>
    <w:rsid w:val="00D87204"/>
    <w:rsid w:val="00D87282"/>
    <w:rsid w:val="00D87621"/>
    <w:rsid w:val="00D907AF"/>
    <w:rsid w:val="00D91397"/>
    <w:rsid w:val="00D914CA"/>
    <w:rsid w:val="00D934EA"/>
    <w:rsid w:val="00D94B09"/>
    <w:rsid w:val="00D95C0A"/>
    <w:rsid w:val="00D95F61"/>
    <w:rsid w:val="00D97377"/>
    <w:rsid w:val="00D97611"/>
    <w:rsid w:val="00D97768"/>
    <w:rsid w:val="00DA25D3"/>
    <w:rsid w:val="00DA327A"/>
    <w:rsid w:val="00DA37BE"/>
    <w:rsid w:val="00DA3CF0"/>
    <w:rsid w:val="00DA4A68"/>
    <w:rsid w:val="00DA55C2"/>
    <w:rsid w:val="00DB11F0"/>
    <w:rsid w:val="00DB40DB"/>
    <w:rsid w:val="00DB4A9D"/>
    <w:rsid w:val="00DB51C5"/>
    <w:rsid w:val="00DB53B4"/>
    <w:rsid w:val="00DB55C1"/>
    <w:rsid w:val="00DB58D3"/>
    <w:rsid w:val="00DB7681"/>
    <w:rsid w:val="00DB78C2"/>
    <w:rsid w:val="00DB7D67"/>
    <w:rsid w:val="00DC13A0"/>
    <w:rsid w:val="00DC1D53"/>
    <w:rsid w:val="00DC2048"/>
    <w:rsid w:val="00DC2299"/>
    <w:rsid w:val="00DC294F"/>
    <w:rsid w:val="00DC2DC3"/>
    <w:rsid w:val="00DC60F5"/>
    <w:rsid w:val="00DC6535"/>
    <w:rsid w:val="00DC661D"/>
    <w:rsid w:val="00DD02B6"/>
    <w:rsid w:val="00DD0A0D"/>
    <w:rsid w:val="00DD0D63"/>
    <w:rsid w:val="00DD0F3E"/>
    <w:rsid w:val="00DD106E"/>
    <w:rsid w:val="00DD23D3"/>
    <w:rsid w:val="00DD29B6"/>
    <w:rsid w:val="00DD36D5"/>
    <w:rsid w:val="00DD4970"/>
    <w:rsid w:val="00DD5808"/>
    <w:rsid w:val="00DD69CD"/>
    <w:rsid w:val="00DD6C1D"/>
    <w:rsid w:val="00DD6FE1"/>
    <w:rsid w:val="00DD71CD"/>
    <w:rsid w:val="00DD754F"/>
    <w:rsid w:val="00DD76C3"/>
    <w:rsid w:val="00DD7A03"/>
    <w:rsid w:val="00DD7A99"/>
    <w:rsid w:val="00DD7E65"/>
    <w:rsid w:val="00DE0569"/>
    <w:rsid w:val="00DE0810"/>
    <w:rsid w:val="00DE08CD"/>
    <w:rsid w:val="00DE1AE6"/>
    <w:rsid w:val="00DE3E2E"/>
    <w:rsid w:val="00DE4283"/>
    <w:rsid w:val="00DE4AEB"/>
    <w:rsid w:val="00DE4F04"/>
    <w:rsid w:val="00DE504A"/>
    <w:rsid w:val="00DE60EE"/>
    <w:rsid w:val="00DE62D0"/>
    <w:rsid w:val="00DE662F"/>
    <w:rsid w:val="00DE72F2"/>
    <w:rsid w:val="00DE798F"/>
    <w:rsid w:val="00DF0F80"/>
    <w:rsid w:val="00DF1622"/>
    <w:rsid w:val="00DF172E"/>
    <w:rsid w:val="00DF1E77"/>
    <w:rsid w:val="00DF2B14"/>
    <w:rsid w:val="00DF3A5B"/>
    <w:rsid w:val="00DF468D"/>
    <w:rsid w:val="00DF587F"/>
    <w:rsid w:val="00DF5D21"/>
    <w:rsid w:val="00DF6711"/>
    <w:rsid w:val="00E008A3"/>
    <w:rsid w:val="00E01DD9"/>
    <w:rsid w:val="00E02362"/>
    <w:rsid w:val="00E030C5"/>
    <w:rsid w:val="00E03A88"/>
    <w:rsid w:val="00E03C86"/>
    <w:rsid w:val="00E03D54"/>
    <w:rsid w:val="00E04937"/>
    <w:rsid w:val="00E04BBB"/>
    <w:rsid w:val="00E1189F"/>
    <w:rsid w:val="00E122B3"/>
    <w:rsid w:val="00E125F6"/>
    <w:rsid w:val="00E12C28"/>
    <w:rsid w:val="00E1336A"/>
    <w:rsid w:val="00E13B14"/>
    <w:rsid w:val="00E1417F"/>
    <w:rsid w:val="00E17177"/>
    <w:rsid w:val="00E17C35"/>
    <w:rsid w:val="00E17F59"/>
    <w:rsid w:val="00E20E69"/>
    <w:rsid w:val="00E216EF"/>
    <w:rsid w:val="00E21F8C"/>
    <w:rsid w:val="00E23E5E"/>
    <w:rsid w:val="00E24C5E"/>
    <w:rsid w:val="00E2639A"/>
    <w:rsid w:val="00E26C38"/>
    <w:rsid w:val="00E2710B"/>
    <w:rsid w:val="00E308B6"/>
    <w:rsid w:val="00E31DA3"/>
    <w:rsid w:val="00E322C9"/>
    <w:rsid w:val="00E32A8E"/>
    <w:rsid w:val="00E33868"/>
    <w:rsid w:val="00E33F5A"/>
    <w:rsid w:val="00E346F8"/>
    <w:rsid w:val="00E34B6C"/>
    <w:rsid w:val="00E353B4"/>
    <w:rsid w:val="00E36003"/>
    <w:rsid w:val="00E36D2E"/>
    <w:rsid w:val="00E412E3"/>
    <w:rsid w:val="00E42741"/>
    <w:rsid w:val="00E42D80"/>
    <w:rsid w:val="00E4313F"/>
    <w:rsid w:val="00E45E40"/>
    <w:rsid w:val="00E45F51"/>
    <w:rsid w:val="00E46EF3"/>
    <w:rsid w:val="00E472F3"/>
    <w:rsid w:val="00E504E8"/>
    <w:rsid w:val="00E513C8"/>
    <w:rsid w:val="00E5158A"/>
    <w:rsid w:val="00E522A8"/>
    <w:rsid w:val="00E52FD7"/>
    <w:rsid w:val="00E53BDF"/>
    <w:rsid w:val="00E54637"/>
    <w:rsid w:val="00E54694"/>
    <w:rsid w:val="00E555FC"/>
    <w:rsid w:val="00E56108"/>
    <w:rsid w:val="00E56183"/>
    <w:rsid w:val="00E561C0"/>
    <w:rsid w:val="00E56C52"/>
    <w:rsid w:val="00E573B1"/>
    <w:rsid w:val="00E60595"/>
    <w:rsid w:val="00E626BE"/>
    <w:rsid w:val="00E62D4C"/>
    <w:rsid w:val="00E641F3"/>
    <w:rsid w:val="00E64CC1"/>
    <w:rsid w:val="00E64E22"/>
    <w:rsid w:val="00E6576C"/>
    <w:rsid w:val="00E65B84"/>
    <w:rsid w:val="00E66527"/>
    <w:rsid w:val="00E67D02"/>
    <w:rsid w:val="00E70E04"/>
    <w:rsid w:val="00E70E26"/>
    <w:rsid w:val="00E70F2D"/>
    <w:rsid w:val="00E7138E"/>
    <w:rsid w:val="00E7203C"/>
    <w:rsid w:val="00E725EE"/>
    <w:rsid w:val="00E72D45"/>
    <w:rsid w:val="00E7310E"/>
    <w:rsid w:val="00E73EB9"/>
    <w:rsid w:val="00E74F27"/>
    <w:rsid w:val="00E75086"/>
    <w:rsid w:val="00E750D6"/>
    <w:rsid w:val="00E75D53"/>
    <w:rsid w:val="00E762B1"/>
    <w:rsid w:val="00E766DF"/>
    <w:rsid w:val="00E77595"/>
    <w:rsid w:val="00E7767D"/>
    <w:rsid w:val="00E8119E"/>
    <w:rsid w:val="00E8210D"/>
    <w:rsid w:val="00E822EB"/>
    <w:rsid w:val="00E8249C"/>
    <w:rsid w:val="00E8268C"/>
    <w:rsid w:val="00E83ACD"/>
    <w:rsid w:val="00E83E56"/>
    <w:rsid w:val="00E8580C"/>
    <w:rsid w:val="00E86DFE"/>
    <w:rsid w:val="00E911EC"/>
    <w:rsid w:val="00E91242"/>
    <w:rsid w:val="00E916C1"/>
    <w:rsid w:val="00E91F63"/>
    <w:rsid w:val="00E93204"/>
    <w:rsid w:val="00E955F9"/>
    <w:rsid w:val="00E95B0E"/>
    <w:rsid w:val="00E95D5C"/>
    <w:rsid w:val="00E963A0"/>
    <w:rsid w:val="00EA001E"/>
    <w:rsid w:val="00EA0E12"/>
    <w:rsid w:val="00EA10C6"/>
    <w:rsid w:val="00EA15B8"/>
    <w:rsid w:val="00EA1BB6"/>
    <w:rsid w:val="00EA1F04"/>
    <w:rsid w:val="00EA28F7"/>
    <w:rsid w:val="00EA2F4A"/>
    <w:rsid w:val="00EA346E"/>
    <w:rsid w:val="00EA37B7"/>
    <w:rsid w:val="00EA4EA1"/>
    <w:rsid w:val="00EA7404"/>
    <w:rsid w:val="00EA74BA"/>
    <w:rsid w:val="00EA7E5D"/>
    <w:rsid w:val="00EA7EEA"/>
    <w:rsid w:val="00EB0549"/>
    <w:rsid w:val="00EB10D8"/>
    <w:rsid w:val="00EB1C2A"/>
    <w:rsid w:val="00EB2071"/>
    <w:rsid w:val="00EB4540"/>
    <w:rsid w:val="00EB49DE"/>
    <w:rsid w:val="00EB4EE6"/>
    <w:rsid w:val="00EB79FC"/>
    <w:rsid w:val="00EC00F0"/>
    <w:rsid w:val="00EC0C60"/>
    <w:rsid w:val="00EC1972"/>
    <w:rsid w:val="00EC1EF3"/>
    <w:rsid w:val="00EC3876"/>
    <w:rsid w:val="00EC398D"/>
    <w:rsid w:val="00EC3D6D"/>
    <w:rsid w:val="00EC5463"/>
    <w:rsid w:val="00EC62B4"/>
    <w:rsid w:val="00EC6678"/>
    <w:rsid w:val="00EC68FD"/>
    <w:rsid w:val="00ED0221"/>
    <w:rsid w:val="00ED0249"/>
    <w:rsid w:val="00ED105F"/>
    <w:rsid w:val="00ED262A"/>
    <w:rsid w:val="00ED2729"/>
    <w:rsid w:val="00ED4BE1"/>
    <w:rsid w:val="00ED4EE3"/>
    <w:rsid w:val="00ED62D6"/>
    <w:rsid w:val="00EE0530"/>
    <w:rsid w:val="00EE1C4D"/>
    <w:rsid w:val="00EE2C26"/>
    <w:rsid w:val="00EE2D3E"/>
    <w:rsid w:val="00EE3B95"/>
    <w:rsid w:val="00EE3FDE"/>
    <w:rsid w:val="00EE4C78"/>
    <w:rsid w:val="00EE66BC"/>
    <w:rsid w:val="00EE6C69"/>
    <w:rsid w:val="00EE74BA"/>
    <w:rsid w:val="00EE7B7E"/>
    <w:rsid w:val="00EE7CBD"/>
    <w:rsid w:val="00EE7F6D"/>
    <w:rsid w:val="00EF0359"/>
    <w:rsid w:val="00EF0ABA"/>
    <w:rsid w:val="00EF1635"/>
    <w:rsid w:val="00EF1CBF"/>
    <w:rsid w:val="00EF31AF"/>
    <w:rsid w:val="00EF3A60"/>
    <w:rsid w:val="00EF3B1E"/>
    <w:rsid w:val="00EF3F2C"/>
    <w:rsid w:val="00EF3F4E"/>
    <w:rsid w:val="00EF45A3"/>
    <w:rsid w:val="00EF4766"/>
    <w:rsid w:val="00EF7602"/>
    <w:rsid w:val="00F0017F"/>
    <w:rsid w:val="00F0393D"/>
    <w:rsid w:val="00F05862"/>
    <w:rsid w:val="00F05F94"/>
    <w:rsid w:val="00F068FA"/>
    <w:rsid w:val="00F068FB"/>
    <w:rsid w:val="00F06C7F"/>
    <w:rsid w:val="00F07BE7"/>
    <w:rsid w:val="00F07E40"/>
    <w:rsid w:val="00F07E5E"/>
    <w:rsid w:val="00F07E9B"/>
    <w:rsid w:val="00F1016A"/>
    <w:rsid w:val="00F10E7D"/>
    <w:rsid w:val="00F1159A"/>
    <w:rsid w:val="00F119D3"/>
    <w:rsid w:val="00F145D4"/>
    <w:rsid w:val="00F14745"/>
    <w:rsid w:val="00F14C82"/>
    <w:rsid w:val="00F14E7F"/>
    <w:rsid w:val="00F1534D"/>
    <w:rsid w:val="00F15827"/>
    <w:rsid w:val="00F15A83"/>
    <w:rsid w:val="00F1689A"/>
    <w:rsid w:val="00F201D7"/>
    <w:rsid w:val="00F2297E"/>
    <w:rsid w:val="00F22B96"/>
    <w:rsid w:val="00F23CA1"/>
    <w:rsid w:val="00F245FB"/>
    <w:rsid w:val="00F26009"/>
    <w:rsid w:val="00F26564"/>
    <w:rsid w:val="00F26F35"/>
    <w:rsid w:val="00F2737C"/>
    <w:rsid w:val="00F27D08"/>
    <w:rsid w:val="00F3137C"/>
    <w:rsid w:val="00F32127"/>
    <w:rsid w:val="00F3226E"/>
    <w:rsid w:val="00F329F2"/>
    <w:rsid w:val="00F33493"/>
    <w:rsid w:val="00F33AD3"/>
    <w:rsid w:val="00F33BD3"/>
    <w:rsid w:val="00F33EC9"/>
    <w:rsid w:val="00F34BEF"/>
    <w:rsid w:val="00F35BD4"/>
    <w:rsid w:val="00F40728"/>
    <w:rsid w:val="00F407BF"/>
    <w:rsid w:val="00F40C83"/>
    <w:rsid w:val="00F418DF"/>
    <w:rsid w:val="00F4235A"/>
    <w:rsid w:val="00F42406"/>
    <w:rsid w:val="00F42E4E"/>
    <w:rsid w:val="00F43486"/>
    <w:rsid w:val="00F4379F"/>
    <w:rsid w:val="00F44058"/>
    <w:rsid w:val="00F44B92"/>
    <w:rsid w:val="00F4518E"/>
    <w:rsid w:val="00F45EC6"/>
    <w:rsid w:val="00F474A5"/>
    <w:rsid w:val="00F51212"/>
    <w:rsid w:val="00F52351"/>
    <w:rsid w:val="00F537AD"/>
    <w:rsid w:val="00F53FE5"/>
    <w:rsid w:val="00F547C6"/>
    <w:rsid w:val="00F54B52"/>
    <w:rsid w:val="00F550C5"/>
    <w:rsid w:val="00F57449"/>
    <w:rsid w:val="00F57731"/>
    <w:rsid w:val="00F60163"/>
    <w:rsid w:val="00F61D33"/>
    <w:rsid w:val="00F63581"/>
    <w:rsid w:val="00F64916"/>
    <w:rsid w:val="00F659B1"/>
    <w:rsid w:val="00F65AA5"/>
    <w:rsid w:val="00F7046C"/>
    <w:rsid w:val="00F712B2"/>
    <w:rsid w:val="00F72161"/>
    <w:rsid w:val="00F73221"/>
    <w:rsid w:val="00F73961"/>
    <w:rsid w:val="00F74526"/>
    <w:rsid w:val="00F76785"/>
    <w:rsid w:val="00F76E07"/>
    <w:rsid w:val="00F841B9"/>
    <w:rsid w:val="00F84825"/>
    <w:rsid w:val="00F8488C"/>
    <w:rsid w:val="00F84B49"/>
    <w:rsid w:val="00F8550F"/>
    <w:rsid w:val="00F8590B"/>
    <w:rsid w:val="00F85BF0"/>
    <w:rsid w:val="00F86AB5"/>
    <w:rsid w:val="00F86AE6"/>
    <w:rsid w:val="00F8745E"/>
    <w:rsid w:val="00F8747A"/>
    <w:rsid w:val="00F90077"/>
    <w:rsid w:val="00F90359"/>
    <w:rsid w:val="00F9035B"/>
    <w:rsid w:val="00F906FD"/>
    <w:rsid w:val="00F91437"/>
    <w:rsid w:val="00F9147D"/>
    <w:rsid w:val="00F93A79"/>
    <w:rsid w:val="00F93C6C"/>
    <w:rsid w:val="00F9440A"/>
    <w:rsid w:val="00F95F7B"/>
    <w:rsid w:val="00F96333"/>
    <w:rsid w:val="00FA0480"/>
    <w:rsid w:val="00FA0959"/>
    <w:rsid w:val="00FA13EB"/>
    <w:rsid w:val="00FA1A3A"/>
    <w:rsid w:val="00FA1AC6"/>
    <w:rsid w:val="00FA2D97"/>
    <w:rsid w:val="00FA2EDC"/>
    <w:rsid w:val="00FA3582"/>
    <w:rsid w:val="00FA41F9"/>
    <w:rsid w:val="00FA5722"/>
    <w:rsid w:val="00FA575F"/>
    <w:rsid w:val="00FA6236"/>
    <w:rsid w:val="00FA7427"/>
    <w:rsid w:val="00FA7C61"/>
    <w:rsid w:val="00FA7C8C"/>
    <w:rsid w:val="00FA7CC7"/>
    <w:rsid w:val="00FB12D0"/>
    <w:rsid w:val="00FB1D14"/>
    <w:rsid w:val="00FB5404"/>
    <w:rsid w:val="00FB5C1F"/>
    <w:rsid w:val="00FB6830"/>
    <w:rsid w:val="00FB6D67"/>
    <w:rsid w:val="00FB7444"/>
    <w:rsid w:val="00FC0C71"/>
    <w:rsid w:val="00FC118F"/>
    <w:rsid w:val="00FC4232"/>
    <w:rsid w:val="00FC4DBA"/>
    <w:rsid w:val="00FC6981"/>
    <w:rsid w:val="00FC73CF"/>
    <w:rsid w:val="00FC75E8"/>
    <w:rsid w:val="00FC7D84"/>
    <w:rsid w:val="00FC7F0D"/>
    <w:rsid w:val="00FD02BF"/>
    <w:rsid w:val="00FD02F0"/>
    <w:rsid w:val="00FD116B"/>
    <w:rsid w:val="00FD1513"/>
    <w:rsid w:val="00FD181A"/>
    <w:rsid w:val="00FD18EE"/>
    <w:rsid w:val="00FD1FC2"/>
    <w:rsid w:val="00FD297A"/>
    <w:rsid w:val="00FD38E9"/>
    <w:rsid w:val="00FD4DC3"/>
    <w:rsid w:val="00FD67D3"/>
    <w:rsid w:val="00FD6EE3"/>
    <w:rsid w:val="00FD73A9"/>
    <w:rsid w:val="00FD74A0"/>
    <w:rsid w:val="00FD7FC6"/>
    <w:rsid w:val="00FD7FCE"/>
    <w:rsid w:val="00FE02AB"/>
    <w:rsid w:val="00FE1093"/>
    <w:rsid w:val="00FE124B"/>
    <w:rsid w:val="00FE1A90"/>
    <w:rsid w:val="00FE268A"/>
    <w:rsid w:val="00FE4032"/>
    <w:rsid w:val="00FE4611"/>
    <w:rsid w:val="00FE5EDF"/>
    <w:rsid w:val="00FE5FF4"/>
    <w:rsid w:val="00FE6773"/>
    <w:rsid w:val="00FE692A"/>
    <w:rsid w:val="00FF08D7"/>
    <w:rsid w:val="00FF1328"/>
    <w:rsid w:val="00FF13E6"/>
    <w:rsid w:val="00FF2D29"/>
    <w:rsid w:val="00FF3130"/>
    <w:rsid w:val="00FF334B"/>
    <w:rsid w:val="00FF428D"/>
    <w:rsid w:val="00FF4979"/>
    <w:rsid w:val="00FF512B"/>
    <w:rsid w:val="00FF57D3"/>
    <w:rsid w:val="00FF5BD5"/>
    <w:rsid w:val="00FF5C77"/>
    <w:rsid w:val="00FF6124"/>
    <w:rsid w:val="00FF79D5"/>
    <w:rsid w:val="012AC700"/>
    <w:rsid w:val="01C192FA"/>
    <w:rsid w:val="0F9CD08F"/>
    <w:rsid w:val="17D5BB30"/>
    <w:rsid w:val="18101CCF"/>
    <w:rsid w:val="197A3BD4"/>
    <w:rsid w:val="27A488B2"/>
    <w:rsid w:val="2819E0AE"/>
    <w:rsid w:val="2A5D195C"/>
    <w:rsid w:val="2C985F9B"/>
    <w:rsid w:val="31F9F060"/>
    <w:rsid w:val="41FB31B5"/>
    <w:rsid w:val="4344A1BA"/>
    <w:rsid w:val="45344925"/>
    <w:rsid w:val="45EDDB2F"/>
    <w:rsid w:val="4DF40199"/>
    <w:rsid w:val="53813AAB"/>
    <w:rsid w:val="59A7BE01"/>
    <w:rsid w:val="5A3AA7CB"/>
    <w:rsid w:val="5B5A4BE9"/>
    <w:rsid w:val="69C678D0"/>
    <w:rsid w:val="6B773924"/>
    <w:rsid w:val="6D74F5D0"/>
    <w:rsid w:val="716455BA"/>
    <w:rsid w:val="761EDE11"/>
    <w:rsid w:val="7DDF34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A76AC2"/>
  <w15:chartTrackingRefBased/>
  <w15:docId w15:val="{6205829A-A607-40BA-B298-4CD74CF3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19"/>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lsdException w:name="heading 5" w:uiPriority="2"/>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5"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9"/>
    <w:rsid w:val="00D2664F"/>
    <w:pPr>
      <w:spacing w:after="113" w:line="260" w:lineRule="atLeast"/>
    </w:pPr>
    <w:rPr>
      <w:rFonts w:ascii="Arial" w:hAnsi="Arial"/>
      <w:sz w:val="20"/>
    </w:rPr>
  </w:style>
  <w:style w:type="paragraph" w:styleId="Heading1">
    <w:name w:val="heading 1"/>
    <w:basedOn w:val="FreshBlue"/>
    <w:next w:val="USBodyText"/>
    <w:link w:val="Heading1Char"/>
    <w:uiPriority w:val="9"/>
    <w:qFormat/>
    <w:rsid w:val="009B1133"/>
    <w:pPr>
      <w:keepNext/>
      <w:keepLines/>
      <w:pageBreakBefore/>
      <w:spacing w:after="340" w:line="300" w:lineRule="atLeast"/>
      <w:ind w:right="851"/>
      <w:outlineLvl w:val="0"/>
    </w:pPr>
    <w:rPr>
      <w:rFonts w:eastAsiaTheme="majorEastAsia" w:cstheme="majorBidi"/>
      <w:b/>
      <w:caps/>
      <w:color w:val="auto"/>
      <w:sz w:val="48"/>
      <w:szCs w:val="32"/>
    </w:rPr>
  </w:style>
  <w:style w:type="paragraph" w:styleId="Heading2">
    <w:name w:val="heading 2"/>
    <w:basedOn w:val="SureRed"/>
    <w:next w:val="USBodyText"/>
    <w:link w:val="Heading2Char"/>
    <w:uiPriority w:val="9"/>
    <w:qFormat/>
    <w:rsid w:val="00B5636A"/>
    <w:pPr>
      <w:keepNext/>
      <w:keepLines/>
      <w:spacing w:before="340" w:after="170" w:line="420" w:lineRule="atLeast"/>
      <w:ind w:right="851"/>
      <w:outlineLvl w:val="1"/>
    </w:pPr>
    <w:rPr>
      <w:rFonts w:eastAsiaTheme="majorEastAsia" w:cstheme="majorBidi"/>
      <w:sz w:val="36"/>
      <w:szCs w:val="26"/>
    </w:rPr>
  </w:style>
  <w:style w:type="paragraph" w:styleId="Heading3">
    <w:name w:val="heading 3"/>
    <w:basedOn w:val="FreshBlue"/>
    <w:next w:val="USBodyText"/>
    <w:link w:val="Heading3Char"/>
    <w:uiPriority w:val="9"/>
    <w:qFormat/>
    <w:rsid w:val="00B5636A"/>
    <w:pPr>
      <w:keepNext/>
      <w:keepLines/>
      <w:spacing w:before="284" w:line="340" w:lineRule="atLeast"/>
      <w:ind w:right="851"/>
      <w:outlineLvl w:val="2"/>
    </w:pPr>
    <w:rPr>
      <w:rFonts w:eastAsiaTheme="majorEastAsia" w:cstheme="majorBidi"/>
      <w:b/>
      <w:sz w:val="28"/>
      <w:szCs w:val="24"/>
    </w:rPr>
  </w:style>
  <w:style w:type="paragraph" w:styleId="Heading4">
    <w:name w:val="heading 4"/>
    <w:basedOn w:val="Normal"/>
    <w:next w:val="USBodyText"/>
    <w:link w:val="Heading4Char"/>
    <w:uiPriority w:val="2"/>
    <w:rsid w:val="00B5636A"/>
    <w:pPr>
      <w:keepNext/>
      <w:keepLines/>
      <w:spacing w:before="227" w:after="57" w:line="300" w:lineRule="atLeast"/>
      <w:ind w:right="851"/>
      <w:outlineLvl w:val="3"/>
    </w:pPr>
    <w:rPr>
      <w:rFonts w:eastAsiaTheme="majorEastAsia" w:cstheme="majorBidi"/>
      <w:b/>
      <w:iCs/>
      <w:sz w:val="24"/>
    </w:rPr>
  </w:style>
  <w:style w:type="paragraph" w:styleId="Heading5">
    <w:name w:val="heading 5"/>
    <w:basedOn w:val="Normal"/>
    <w:next w:val="USBodyText"/>
    <w:link w:val="Heading5Char"/>
    <w:uiPriority w:val="2"/>
    <w:rsid w:val="00B5636A"/>
    <w:pPr>
      <w:keepNext/>
      <w:keepLines/>
      <w:spacing w:before="170" w:after="57"/>
      <w:ind w:right="851"/>
      <w:outlineLvl w:val="4"/>
    </w:pPr>
    <w:rPr>
      <w:rFonts w:eastAsiaTheme="majorEastAsia" w:cstheme="majorBidi"/>
      <w:b/>
    </w:rPr>
  </w:style>
  <w:style w:type="paragraph" w:styleId="Heading6">
    <w:name w:val="heading 6"/>
    <w:basedOn w:val="Normal"/>
    <w:next w:val="Normal"/>
    <w:link w:val="Heading6Char"/>
    <w:uiPriority w:val="9"/>
    <w:semiHidden/>
    <w:qFormat/>
    <w:rsid w:val="000A425B"/>
    <w:pPr>
      <w:keepNext/>
      <w:keepLines/>
      <w:numPr>
        <w:ilvl w:val="5"/>
        <w:numId w:val="1"/>
      </w:numPr>
      <w:spacing w:before="40" w:after="0"/>
      <w:outlineLvl w:val="5"/>
    </w:pPr>
    <w:rPr>
      <w:rFonts w:asciiTheme="majorHAnsi" w:eastAsiaTheme="majorEastAsia" w:hAnsiTheme="majorHAnsi" w:cstheme="majorBidi"/>
      <w:color w:val="986A00" w:themeColor="accent1" w:themeShade="7F"/>
    </w:rPr>
  </w:style>
  <w:style w:type="paragraph" w:styleId="Heading7">
    <w:name w:val="heading 7"/>
    <w:basedOn w:val="Normal"/>
    <w:next w:val="Normal"/>
    <w:link w:val="Heading7Char"/>
    <w:uiPriority w:val="9"/>
    <w:semiHidden/>
    <w:qFormat/>
    <w:rsid w:val="000A425B"/>
    <w:pPr>
      <w:keepNext/>
      <w:keepLines/>
      <w:numPr>
        <w:ilvl w:val="6"/>
        <w:numId w:val="1"/>
      </w:numPr>
      <w:spacing w:before="40" w:after="0"/>
      <w:outlineLvl w:val="6"/>
    </w:pPr>
    <w:rPr>
      <w:rFonts w:asciiTheme="majorHAnsi" w:eastAsiaTheme="majorEastAsia" w:hAnsiTheme="majorHAnsi" w:cstheme="majorBidi"/>
      <w:i/>
      <w:iCs/>
      <w:color w:val="986A00" w:themeColor="accent1" w:themeShade="7F"/>
    </w:rPr>
  </w:style>
  <w:style w:type="paragraph" w:styleId="Heading8">
    <w:name w:val="heading 8"/>
    <w:basedOn w:val="Normal"/>
    <w:next w:val="Normal"/>
    <w:link w:val="Heading8Char"/>
    <w:uiPriority w:val="9"/>
    <w:semiHidden/>
    <w:unhideWhenUsed/>
    <w:qFormat/>
    <w:rsid w:val="000A425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425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24C1"/>
    <w:pPr>
      <w:spacing w:after="0" w:line="240" w:lineRule="auto"/>
      <w:jc w:val="right"/>
    </w:pPr>
    <w:rPr>
      <w:color w:val="A6A6A6" w:themeColor="background1" w:themeShade="A6"/>
    </w:rPr>
  </w:style>
  <w:style w:type="character" w:customStyle="1" w:styleId="HeaderChar">
    <w:name w:val="Header Char"/>
    <w:basedOn w:val="DefaultParagraphFont"/>
    <w:link w:val="Header"/>
    <w:uiPriority w:val="99"/>
    <w:rsid w:val="000F4C76"/>
    <w:rPr>
      <w:rFonts w:ascii="Arial" w:hAnsi="Arial"/>
      <w:color w:val="A6A6A6" w:themeColor="background1" w:themeShade="A6"/>
      <w:sz w:val="20"/>
    </w:rPr>
  </w:style>
  <w:style w:type="paragraph" w:styleId="Footer">
    <w:name w:val="footer"/>
    <w:basedOn w:val="Normal"/>
    <w:link w:val="FooterChar"/>
    <w:uiPriority w:val="99"/>
    <w:rsid w:val="00C230D9"/>
    <w:pPr>
      <w:tabs>
        <w:tab w:val="left" w:pos="851"/>
        <w:tab w:val="right" w:pos="9072"/>
      </w:tabs>
      <w:spacing w:after="0" w:line="240" w:lineRule="auto"/>
    </w:pPr>
    <w:rPr>
      <w:sz w:val="16"/>
    </w:rPr>
  </w:style>
  <w:style w:type="character" w:customStyle="1" w:styleId="FooterChar">
    <w:name w:val="Footer Char"/>
    <w:basedOn w:val="DefaultParagraphFont"/>
    <w:link w:val="Footer"/>
    <w:uiPriority w:val="99"/>
    <w:rsid w:val="00D855F1"/>
    <w:rPr>
      <w:rFonts w:ascii="Arial" w:hAnsi="Arial"/>
      <w:sz w:val="16"/>
    </w:rPr>
  </w:style>
  <w:style w:type="table" w:styleId="TableGrid">
    <w:name w:val="Table Grid"/>
    <w:aliases w:val="none"/>
    <w:basedOn w:val="TableNormal"/>
    <w:uiPriority w:val="59"/>
    <w:rsid w:val="00C5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shBlue">
    <w:name w:val="Fresh Blue"/>
    <w:basedOn w:val="Normal"/>
    <w:uiPriority w:val="19"/>
    <w:rsid w:val="006D158B"/>
    <w:rPr>
      <w:color w:val="74C6C7"/>
    </w:rPr>
  </w:style>
  <w:style w:type="character" w:customStyle="1" w:styleId="Heading1Char">
    <w:name w:val="Heading 1 Char"/>
    <w:basedOn w:val="DefaultParagraphFont"/>
    <w:link w:val="Heading1"/>
    <w:uiPriority w:val="9"/>
    <w:rsid w:val="006C06DC"/>
    <w:rPr>
      <w:rFonts w:ascii="Arial" w:eastAsiaTheme="majorEastAsia" w:hAnsi="Arial" w:cstheme="majorBidi"/>
      <w:b/>
      <w:caps/>
      <w:sz w:val="48"/>
      <w:szCs w:val="32"/>
    </w:rPr>
  </w:style>
  <w:style w:type="paragraph" w:customStyle="1" w:styleId="Heading1Letter">
    <w:name w:val="Heading 1 Letter"/>
    <w:basedOn w:val="FreshBlue"/>
    <w:next w:val="USBodyText"/>
    <w:uiPriority w:val="1"/>
    <w:rsid w:val="001512D4"/>
    <w:pPr>
      <w:keepNext/>
      <w:keepLines/>
      <w:spacing w:before="227" w:after="57" w:line="300" w:lineRule="atLeast"/>
    </w:pPr>
    <w:rPr>
      <w:b/>
      <w:sz w:val="24"/>
    </w:rPr>
  </w:style>
  <w:style w:type="paragraph" w:customStyle="1" w:styleId="Heading2Letter">
    <w:name w:val="Heading 2 Letter"/>
    <w:basedOn w:val="Normal"/>
    <w:next w:val="USBodyText"/>
    <w:uiPriority w:val="1"/>
    <w:rsid w:val="001512D4"/>
    <w:pPr>
      <w:keepNext/>
      <w:keepLines/>
      <w:spacing w:before="113" w:after="57"/>
    </w:pPr>
    <w:rPr>
      <w:b/>
    </w:rPr>
  </w:style>
  <w:style w:type="paragraph" w:customStyle="1" w:styleId="SureRed">
    <w:name w:val="Sure Red"/>
    <w:basedOn w:val="Normal"/>
    <w:uiPriority w:val="19"/>
    <w:rsid w:val="003E2405"/>
    <w:rPr>
      <w:color w:val="E5004B"/>
    </w:rPr>
  </w:style>
  <w:style w:type="paragraph" w:customStyle="1" w:styleId="HeadingSubjectLetter">
    <w:name w:val="Heading Subject Letter"/>
    <w:basedOn w:val="SureRed"/>
    <w:next w:val="USBodyText"/>
    <w:uiPriority w:val="1"/>
    <w:rsid w:val="001512D4"/>
    <w:pPr>
      <w:keepNext/>
      <w:keepLines/>
      <w:spacing w:before="227" w:after="227" w:line="300" w:lineRule="atLeast"/>
    </w:pPr>
    <w:rPr>
      <w:sz w:val="24"/>
    </w:rPr>
  </w:style>
  <w:style w:type="paragraph" w:styleId="ListParagraph">
    <w:name w:val="List Paragraph"/>
    <w:aliases w:val="List Paragraph numbered,List Bullet indent"/>
    <w:basedOn w:val="Normal"/>
    <w:link w:val="ListParagraphChar"/>
    <w:uiPriority w:val="34"/>
    <w:qFormat/>
    <w:rsid w:val="006D158B"/>
    <w:pPr>
      <w:ind w:left="720"/>
      <w:contextualSpacing/>
    </w:pPr>
  </w:style>
  <w:style w:type="character" w:styleId="PlaceholderText">
    <w:name w:val="Placeholder Text"/>
    <w:basedOn w:val="DefaultParagraphFont"/>
    <w:uiPriority w:val="99"/>
    <w:semiHidden/>
    <w:rsid w:val="006D158B"/>
    <w:rPr>
      <w:color w:val="808080"/>
    </w:rPr>
  </w:style>
  <w:style w:type="paragraph" w:customStyle="1" w:styleId="TAddressLines">
    <w:name w:val="T_Address Lines"/>
    <w:basedOn w:val="Normal"/>
    <w:uiPriority w:val="19"/>
    <w:rsid w:val="006D158B"/>
    <w:pPr>
      <w:spacing w:after="0"/>
    </w:pPr>
  </w:style>
  <w:style w:type="paragraph" w:customStyle="1" w:styleId="TAttention">
    <w:name w:val="T_Attention"/>
    <w:basedOn w:val="Normal"/>
    <w:uiPriority w:val="19"/>
    <w:rsid w:val="005F2547"/>
    <w:pPr>
      <w:tabs>
        <w:tab w:val="left" w:pos="992"/>
      </w:tabs>
      <w:spacing w:before="113"/>
      <w:ind w:left="992" w:hanging="992"/>
    </w:pPr>
  </w:style>
  <w:style w:type="paragraph" w:customStyle="1" w:styleId="TAuthorsName">
    <w:name w:val="T_Author's Name"/>
    <w:basedOn w:val="Normal"/>
    <w:uiPriority w:val="19"/>
    <w:rsid w:val="006D158B"/>
    <w:pPr>
      <w:keepNext/>
      <w:spacing w:after="0"/>
    </w:pPr>
  </w:style>
  <w:style w:type="paragraph" w:customStyle="1" w:styleId="TAuthorsTitle">
    <w:name w:val="T_Author's Title"/>
    <w:basedOn w:val="Normal"/>
    <w:uiPriority w:val="19"/>
    <w:rsid w:val="006D158B"/>
    <w:rPr>
      <w:b/>
    </w:rPr>
  </w:style>
  <w:style w:type="paragraph" w:customStyle="1" w:styleId="TCity">
    <w:name w:val="T_City"/>
    <w:basedOn w:val="TAddressLines"/>
    <w:uiPriority w:val="19"/>
    <w:rsid w:val="006D158B"/>
    <w:pPr>
      <w:spacing w:after="113"/>
    </w:pPr>
  </w:style>
  <w:style w:type="paragraph" w:customStyle="1" w:styleId="TDate">
    <w:name w:val="T_Date"/>
    <w:basedOn w:val="Normal"/>
    <w:uiPriority w:val="19"/>
    <w:rsid w:val="006D158B"/>
    <w:pPr>
      <w:spacing w:after="454"/>
    </w:pPr>
  </w:style>
  <w:style w:type="paragraph" w:customStyle="1" w:styleId="TEmail">
    <w:name w:val="T_Email"/>
    <w:basedOn w:val="Normal"/>
    <w:uiPriority w:val="19"/>
    <w:rsid w:val="006D158B"/>
  </w:style>
  <w:style w:type="paragraph" w:customStyle="1" w:styleId="TGreeting">
    <w:name w:val="T_Greeting"/>
    <w:basedOn w:val="Normal"/>
    <w:next w:val="Normal"/>
    <w:uiPriority w:val="19"/>
    <w:rsid w:val="006D158B"/>
    <w:pPr>
      <w:spacing w:before="454"/>
    </w:pPr>
  </w:style>
  <w:style w:type="paragraph" w:customStyle="1" w:styleId="TSign-Off">
    <w:name w:val="T_Sign-Off"/>
    <w:basedOn w:val="Normal"/>
    <w:uiPriority w:val="19"/>
    <w:rsid w:val="006D158B"/>
    <w:pPr>
      <w:spacing w:before="454" w:after="0"/>
    </w:pPr>
  </w:style>
  <w:style w:type="paragraph" w:customStyle="1" w:styleId="USBodyText">
    <w:name w:val="US Body Text"/>
    <w:basedOn w:val="Normal"/>
    <w:link w:val="USBodyTextChar"/>
    <w:uiPriority w:val="5"/>
    <w:rsid w:val="00322D00"/>
    <w:pPr>
      <w:spacing w:before="113"/>
    </w:pPr>
  </w:style>
  <w:style w:type="paragraph" w:customStyle="1" w:styleId="USBullet1">
    <w:name w:val="US Bullet 1"/>
    <w:basedOn w:val="Normal"/>
    <w:uiPriority w:val="5"/>
    <w:rsid w:val="00C37888"/>
    <w:pPr>
      <w:numPr>
        <w:numId w:val="10"/>
      </w:numPr>
    </w:pPr>
  </w:style>
  <w:style w:type="paragraph" w:customStyle="1" w:styleId="USBullet2">
    <w:name w:val="US Bullet 2"/>
    <w:basedOn w:val="Normal"/>
    <w:uiPriority w:val="5"/>
    <w:rsid w:val="00C37888"/>
    <w:pPr>
      <w:numPr>
        <w:ilvl w:val="1"/>
        <w:numId w:val="10"/>
      </w:numPr>
    </w:pPr>
  </w:style>
  <w:style w:type="paragraph" w:customStyle="1" w:styleId="USBullet3">
    <w:name w:val="US Bullet 3"/>
    <w:basedOn w:val="Normal"/>
    <w:uiPriority w:val="5"/>
    <w:rsid w:val="00C37888"/>
    <w:pPr>
      <w:numPr>
        <w:ilvl w:val="2"/>
        <w:numId w:val="10"/>
      </w:numPr>
    </w:pPr>
  </w:style>
  <w:style w:type="paragraph" w:customStyle="1" w:styleId="USMixedB2">
    <w:name w:val="US Mixed B2"/>
    <w:basedOn w:val="Normal"/>
    <w:uiPriority w:val="5"/>
    <w:rsid w:val="00C37888"/>
    <w:pPr>
      <w:numPr>
        <w:numId w:val="11"/>
      </w:numPr>
    </w:pPr>
  </w:style>
  <w:style w:type="paragraph" w:customStyle="1" w:styleId="USMixedB3">
    <w:name w:val="US Mixed B3"/>
    <w:basedOn w:val="Normal"/>
    <w:uiPriority w:val="5"/>
    <w:rsid w:val="00C37888"/>
    <w:pPr>
      <w:numPr>
        <w:ilvl w:val="1"/>
        <w:numId w:val="11"/>
      </w:numPr>
    </w:pPr>
  </w:style>
  <w:style w:type="paragraph" w:customStyle="1" w:styleId="USNumber1">
    <w:name w:val="US Number 1"/>
    <w:basedOn w:val="Normal"/>
    <w:uiPriority w:val="5"/>
    <w:rsid w:val="00C37888"/>
    <w:pPr>
      <w:numPr>
        <w:numId w:val="12"/>
      </w:numPr>
    </w:pPr>
  </w:style>
  <w:style w:type="paragraph" w:customStyle="1" w:styleId="USNumbera">
    <w:name w:val="US Number a"/>
    <w:basedOn w:val="Normal"/>
    <w:uiPriority w:val="5"/>
    <w:rsid w:val="00C37888"/>
    <w:pPr>
      <w:numPr>
        <w:ilvl w:val="1"/>
        <w:numId w:val="12"/>
      </w:numPr>
    </w:pPr>
  </w:style>
  <w:style w:type="paragraph" w:customStyle="1" w:styleId="USNumberi">
    <w:name w:val="US Number i"/>
    <w:basedOn w:val="Normal"/>
    <w:uiPriority w:val="5"/>
    <w:rsid w:val="00C37888"/>
    <w:pPr>
      <w:numPr>
        <w:ilvl w:val="2"/>
        <w:numId w:val="12"/>
      </w:numPr>
    </w:pPr>
  </w:style>
  <w:style w:type="paragraph" w:customStyle="1" w:styleId="FooterPortrait">
    <w:name w:val="Footer Portrait"/>
    <w:basedOn w:val="Footer"/>
    <w:uiPriority w:val="11"/>
    <w:rsid w:val="006D158B"/>
  </w:style>
  <w:style w:type="paragraph" w:customStyle="1" w:styleId="FooterLandscapeOdd">
    <w:name w:val="Footer Landscape Odd"/>
    <w:basedOn w:val="Footer"/>
    <w:uiPriority w:val="11"/>
    <w:rsid w:val="006D158B"/>
    <w:pPr>
      <w:tabs>
        <w:tab w:val="clear" w:pos="9072"/>
        <w:tab w:val="right" w:pos="14005"/>
      </w:tabs>
    </w:pPr>
  </w:style>
  <w:style w:type="paragraph" w:customStyle="1" w:styleId="USIndent1">
    <w:name w:val="US Indent 1"/>
    <w:basedOn w:val="Normal"/>
    <w:uiPriority w:val="5"/>
    <w:rsid w:val="00CE6DF0"/>
    <w:pPr>
      <w:ind w:left="425"/>
    </w:pPr>
  </w:style>
  <w:style w:type="paragraph" w:customStyle="1" w:styleId="USIndent2">
    <w:name w:val="US Indent 2"/>
    <w:basedOn w:val="Normal"/>
    <w:uiPriority w:val="5"/>
    <w:rsid w:val="00CE6DF0"/>
    <w:pPr>
      <w:ind w:left="851"/>
    </w:pPr>
  </w:style>
  <w:style w:type="paragraph" w:customStyle="1" w:styleId="USIndent3">
    <w:name w:val="US Indent 3"/>
    <w:basedOn w:val="Normal"/>
    <w:uiPriority w:val="5"/>
    <w:rsid w:val="00CE6DF0"/>
    <w:pPr>
      <w:ind w:left="1276"/>
    </w:pPr>
  </w:style>
  <w:style w:type="paragraph" w:customStyle="1" w:styleId="FooterA3Odd">
    <w:name w:val="Footer A3 Odd"/>
    <w:basedOn w:val="Footer"/>
    <w:uiPriority w:val="11"/>
    <w:rsid w:val="00093F4A"/>
    <w:pPr>
      <w:tabs>
        <w:tab w:val="clear" w:pos="9072"/>
        <w:tab w:val="right" w:pos="20979"/>
      </w:tabs>
    </w:pPr>
  </w:style>
  <w:style w:type="paragraph" w:customStyle="1" w:styleId="Quotation">
    <w:name w:val="Quotation"/>
    <w:basedOn w:val="Normal"/>
    <w:uiPriority w:val="5"/>
    <w:rsid w:val="00322D00"/>
    <w:pPr>
      <w:spacing w:before="113" w:line="240" w:lineRule="atLeast"/>
      <w:ind w:right="425"/>
    </w:pPr>
    <w:rPr>
      <w:i/>
      <w:sz w:val="18"/>
    </w:rPr>
  </w:style>
  <w:style w:type="character" w:customStyle="1" w:styleId="Heading2Char">
    <w:name w:val="Heading 2 Char"/>
    <w:basedOn w:val="DefaultParagraphFont"/>
    <w:link w:val="Heading2"/>
    <w:uiPriority w:val="9"/>
    <w:rsid w:val="006C06DC"/>
    <w:rPr>
      <w:rFonts w:ascii="Arial" w:eastAsiaTheme="majorEastAsia" w:hAnsi="Arial" w:cstheme="majorBidi"/>
      <w:color w:val="E5004B"/>
      <w:sz w:val="36"/>
      <w:szCs w:val="26"/>
    </w:rPr>
  </w:style>
  <w:style w:type="paragraph" w:customStyle="1" w:styleId="USSingleSpacedParagraph">
    <w:name w:val="US Single Spaced Paragraph"/>
    <w:basedOn w:val="Normal"/>
    <w:uiPriority w:val="5"/>
    <w:rsid w:val="005C31DE"/>
    <w:pPr>
      <w:spacing w:after="0"/>
    </w:pPr>
  </w:style>
  <w:style w:type="character" w:customStyle="1" w:styleId="Heading3Char">
    <w:name w:val="Heading 3 Char"/>
    <w:basedOn w:val="DefaultParagraphFont"/>
    <w:link w:val="Heading3"/>
    <w:uiPriority w:val="9"/>
    <w:rsid w:val="006C06DC"/>
    <w:rPr>
      <w:rFonts w:ascii="Arial" w:eastAsiaTheme="majorEastAsia" w:hAnsi="Arial" w:cstheme="majorBidi"/>
      <w:b/>
      <w:color w:val="74C6C7"/>
      <w:sz w:val="28"/>
      <w:szCs w:val="24"/>
    </w:rPr>
  </w:style>
  <w:style w:type="character" w:customStyle="1" w:styleId="Heading4Char">
    <w:name w:val="Heading 4 Char"/>
    <w:basedOn w:val="DefaultParagraphFont"/>
    <w:link w:val="Heading4"/>
    <w:uiPriority w:val="2"/>
    <w:rsid w:val="006C06DC"/>
    <w:rPr>
      <w:rFonts w:ascii="Arial" w:eastAsiaTheme="majorEastAsia" w:hAnsi="Arial" w:cstheme="majorBidi"/>
      <w:b/>
      <w:iCs/>
      <w:sz w:val="24"/>
    </w:rPr>
  </w:style>
  <w:style w:type="character" w:customStyle="1" w:styleId="Heading5Char">
    <w:name w:val="Heading 5 Char"/>
    <w:basedOn w:val="DefaultParagraphFont"/>
    <w:link w:val="Heading5"/>
    <w:uiPriority w:val="2"/>
    <w:rsid w:val="006C06DC"/>
    <w:rPr>
      <w:rFonts w:ascii="Arial" w:eastAsiaTheme="majorEastAsia" w:hAnsi="Arial" w:cstheme="majorBidi"/>
      <w:b/>
      <w:sz w:val="20"/>
    </w:rPr>
  </w:style>
  <w:style w:type="paragraph" w:customStyle="1" w:styleId="USIntroduction">
    <w:name w:val="US Introduction"/>
    <w:basedOn w:val="Normal"/>
    <w:next w:val="USBodyText"/>
    <w:uiPriority w:val="5"/>
    <w:rsid w:val="00B5636A"/>
    <w:pPr>
      <w:spacing w:before="340" w:after="227" w:line="340" w:lineRule="atLeast"/>
    </w:pPr>
    <w:rPr>
      <w:rFonts w:ascii="Georgia" w:hAnsi="Georgia"/>
      <w:sz w:val="28"/>
    </w:rPr>
  </w:style>
  <w:style w:type="paragraph" w:customStyle="1" w:styleId="USPullQuote">
    <w:name w:val="US Pull Quote"/>
    <w:basedOn w:val="SureRed"/>
    <w:uiPriority w:val="5"/>
    <w:rsid w:val="00D44ADF"/>
    <w:pPr>
      <w:pBdr>
        <w:top w:val="single" w:sz="4" w:space="14" w:color="E5004B"/>
        <w:bottom w:val="single" w:sz="4" w:space="14" w:color="E5004B"/>
      </w:pBdr>
      <w:spacing w:before="284" w:after="454" w:line="340" w:lineRule="atLeast"/>
    </w:pPr>
    <w:rPr>
      <w:sz w:val="28"/>
    </w:rPr>
  </w:style>
  <w:style w:type="paragraph" w:styleId="FootnoteText">
    <w:name w:val="footnote text"/>
    <w:basedOn w:val="Normal"/>
    <w:link w:val="FootnoteTextChar"/>
    <w:uiPriority w:val="99"/>
    <w:rsid w:val="00B81402"/>
    <w:pPr>
      <w:tabs>
        <w:tab w:val="left" w:pos="425"/>
      </w:tabs>
      <w:spacing w:after="57" w:line="170" w:lineRule="atLeast"/>
      <w:ind w:left="425" w:hanging="425"/>
    </w:pPr>
    <w:rPr>
      <w:sz w:val="14"/>
      <w:szCs w:val="20"/>
    </w:rPr>
  </w:style>
  <w:style w:type="character" w:customStyle="1" w:styleId="FootnoteTextChar">
    <w:name w:val="Footnote Text Char"/>
    <w:basedOn w:val="DefaultParagraphFont"/>
    <w:link w:val="FootnoteText"/>
    <w:uiPriority w:val="99"/>
    <w:rsid w:val="006C06DC"/>
    <w:rPr>
      <w:rFonts w:ascii="Arial" w:hAnsi="Arial"/>
      <w:sz w:val="14"/>
      <w:szCs w:val="20"/>
    </w:rPr>
  </w:style>
  <w:style w:type="character" w:styleId="FootnoteReference">
    <w:name w:val="footnote reference"/>
    <w:basedOn w:val="DefaultParagraphFont"/>
    <w:uiPriority w:val="99"/>
    <w:unhideWhenUsed/>
    <w:rsid w:val="00B87B04"/>
    <w:rPr>
      <w:vertAlign w:val="superscript"/>
    </w:rPr>
  </w:style>
  <w:style w:type="table" w:customStyle="1" w:styleId="TableDefault">
    <w:name w:val="Table Default"/>
    <w:basedOn w:val="TableNormal"/>
    <w:uiPriority w:val="99"/>
    <w:rsid w:val="000C5447"/>
    <w:pPr>
      <w:spacing w:after="0" w:line="240" w:lineRule="auto"/>
    </w:pPr>
    <w:tblPr>
      <w:tblStyleRowBandSize w:val="1"/>
      <w:tblStyleColBandSize w:val="1"/>
      <w:tblBorders>
        <w:top w:val="single" w:sz="4" w:space="0" w:color="5C4870"/>
        <w:bottom w:val="single" w:sz="4" w:space="0" w:color="5C4870"/>
        <w:insideH w:val="single" w:sz="4" w:space="0" w:color="5C4870"/>
      </w:tblBorders>
    </w:tblPr>
    <w:tblStylePr w:type="firstRow">
      <w:tblPr/>
      <w:trPr>
        <w:tblHeader/>
      </w:trPr>
      <w:tcPr>
        <w:shd w:val="clear" w:color="auto" w:fill="5C4870"/>
      </w:tcPr>
    </w:tblStylePr>
    <w:tblStylePr w:type="band2Horz">
      <w:tblPr/>
      <w:tcPr>
        <w:shd w:val="clear" w:color="auto" w:fill="EEECF0"/>
      </w:tcPr>
    </w:tblStylePr>
  </w:style>
  <w:style w:type="paragraph" w:styleId="Caption">
    <w:name w:val="caption"/>
    <w:basedOn w:val="Normal"/>
    <w:next w:val="USBodyText"/>
    <w:uiPriority w:val="35"/>
    <w:qFormat/>
    <w:rsid w:val="00322D00"/>
    <w:pPr>
      <w:keepNext/>
      <w:keepLines/>
      <w:tabs>
        <w:tab w:val="left" w:pos="1049"/>
      </w:tabs>
      <w:spacing w:before="397" w:after="57"/>
      <w:ind w:left="1049" w:hanging="1049"/>
    </w:pPr>
    <w:rPr>
      <w:b/>
      <w:iCs/>
      <w:szCs w:val="18"/>
    </w:rPr>
  </w:style>
  <w:style w:type="paragraph" w:customStyle="1" w:styleId="TSTableNormal1">
    <w:name w:val="TS Table Normal1"/>
    <w:basedOn w:val="Normal"/>
    <w:uiPriority w:val="9"/>
    <w:rsid w:val="00A365B0"/>
    <w:pPr>
      <w:spacing w:before="57" w:after="57" w:line="190" w:lineRule="atLeast"/>
      <w:ind w:right="227"/>
    </w:pPr>
    <w:rPr>
      <w:sz w:val="16"/>
    </w:rPr>
  </w:style>
  <w:style w:type="paragraph" w:customStyle="1" w:styleId="TSTableHeading">
    <w:name w:val="TS Table Heading"/>
    <w:basedOn w:val="Normal"/>
    <w:uiPriority w:val="9"/>
    <w:rsid w:val="0051181E"/>
    <w:pPr>
      <w:spacing w:before="57" w:after="57" w:line="190" w:lineRule="atLeast"/>
    </w:pPr>
    <w:rPr>
      <w:b/>
      <w:color w:val="FFFFFF"/>
      <w:sz w:val="16"/>
    </w:rPr>
  </w:style>
  <w:style w:type="paragraph" w:customStyle="1" w:styleId="TSOtherBodyText">
    <w:name w:val="TS Other (Body Text)"/>
    <w:basedOn w:val="TSTableNormal1"/>
    <w:uiPriority w:val="9"/>
    <w:rsid w:val="00A365B0"/>
    <w:pPr>
      <w:ind w:right="0"/>
    </w:pPr>
  </w:style>
  <w:style w:type="paragraph" w:customStyle="1" w:styleId="TSTextBodyText">
    <w:name w:val="TS Text (Body Text)"/>
    <w:basedOn w:val="Normal"/>
    <w:uiPriority w:val="9"/>
    <w:rsid w:val="0051181E"/>
    <w:pPr>
      <w:spacing w:before="57" w:after="57" w:line="190" w:lineRule="atLeast"/>
      <w:ind w:right="227"/>
    </w:pPr>
    <w:rPr>
      <w:sz w:val="16"/>
    </w:rPr>
  </w:style>
  <w:style w:type="paragraph" w:customStyle="1" w:styleId="TSNumber1">
    <w:name w:val="TS Number 1"/>
    <w:basedOn w:val="Normal"/>
    <w:uiPriority w:val="9"/>
    <w:rsid w:val="00C37888"/>
    <w:pPr>
      <w:numPr>
        <w:numId w:val="9"/>
      </w:numPr>
      <w:spacing w:before="57" w:after="57" w:line="190" w:lineRule="atLeast"/>
      <w:ind w:right="227"/>
    </w:pPr>
    <w:rPr>
      <w:sz w:val="16"/>
    </w:rPr>
  </w:style>
  <w:style w:type="paragraph" w:customStyle="1" w:styleId="TSNumbera">
    <w:name w:val="TS Number a"/>
    <w:basedOn w:val="Normal"/>
    <w:uiPriority w:val="9"/>
    <w:rsid w:val="00C37888"/>
    <w:pPr>
      <w:numPr>
        <w:ilvl w:val="1"/>
        <w:numId w:val="9"/>
      </w:numPr>
      <w:tabs>
        <w:tab w:val="left" w:pos="425"/>
      </w:tabs>
      <w:spacing w:before="57" w:after="57" w:line="190" w:lineRule="atLeast"/>
      <w:ind w:right="227"/>
    </w:pPr>
    <w:rPr>
      <w:sz w:val="16"/>
    </w:rPr>
  </w:style>
  <w:style w:type="paragraph" w:customStyle="1" w:styleId="TSNumberi">
    <w:name w:val="TS Number i"/>
    <w:basedOn w:val="Normal"/>
    <w:uiPriority w:val="9"/>
    <w:rsid w:val="00C37888"/>
    <w:pPr>
      <w:numPr>
        <w:ilvl w:val="2"/>
        <w:numId w:val="9"/>
      </w:numPr>
      <w:tabs>
        <w:tab w:val="left" w:pos="641"/>
      </w:tabs>
      <w:spacing w:before="57" w:after="57" w:line="190" w:lineRule="atLeast"/>
      <w:ind w:right="227"/>
    </w:pPr>
    <w:rPr>
      <w:sz w:val="16"/>
    </w:rPr>
  </w:style>
  <w:style w:type="paragraph" w:customStyle="1" w:styleId="TSIndent1">
    <w:name w:val="TS Indent 1"/>
    <w:basedOn w:val="TSTableNormal1"/>
    <w:uiPriority w:val="9"/>
    <w:rsid w:val="00A365B0"/>
    <w:pPr>
      <w:ind w:left="215"/>
    </w:pPr>
  </w:style>
  <w:style w:type="paragraph" w:customStyle="1" w:styleId="TSIndent2">
    <w:name w:val="TS Indent 2"/>
    <w:basedOn w:val="TSTableNormal1"/>
    <w:uiPriority w:val="9"/>
    <w:rsid w:val="00A365B0"/>
    <w:pPr>
      <w:ind w:left="425"/>
    </w:pPr>
  </w:style>
  <w:style w:type="paragraph" w:customStyle="1" w:styleId="TSIndent3">
    <w:name w:val="TS Indent 3"/>
    <w:basedOn w:val="TSTableNormal1"/>
    <w:uiPriority w:val="9"/>
    <w:rsid w:val="00A365B0"/>
    <w:pPr>
      <w:ind w:left="641"/>
    </w:pPr>
  </w:style>
  <w:style w:type="paragraph" w:customStyle="1" w:styleId="TCopiesto">
    <w:name w:val="T_Copies to"/>
    <w:basedOn w:val="Normal"/>
    <w:next w:val="USBodyText"/>
    <w:uiPriority w:val="19"/>
    <w:rsid w:val="00F85BF0"/>
    <w:pPr>
      <w:tabs>
        <w:tab w:val="left" w:pos="1276"/>
      </w:tabs>
      <w:spacing w:before="160"/>
      <w:ind w:left="1276" w:hanging="1276"/>
    </w:pPr>
  </w:style>
  <w:style w:type="paragraph" w:customStyle="1" w:styleId="TEnclosures">
    <w:name w:val="T_Enclosures"/>
    <w:basedOn w:val="Normal"/>
    <w:next w:val="USBodyText"/>
    <w:uiPriority w:val="19"/>
    <w:rsid w:val="001158D4"/>
    <w:pPr>
      <w:tabs>
        <w:tab w:val="left" w:pos="1276"/>
      </w:tabs>
      <w:spacing w:before="160" w:after="0"/>
      <w:ind w:left="1276" w:hanging="1276"/>
    </w:pPr>
  </w:style>
  <w:style w:type="paragraph" w:customStyle="1" w:styleId="Comments">
    <w:name w:val="Comments"/>
    <w:basedOn w:val="Normal"/>
    <w:uiPriority w:val="8"/>
    <w:rsid w:val="0045451D"/>
    <w:pPr>
      <w:shd w:val="clear" w:color="auto" w:fill="FFFF00"/>
    </w:pPr>
  </w:style>
  <w:style w:type="paragraph" w:customStyle="1" w:styleId="USWhiteSpace">
    <w:name w:val="US White Space"/>
    <w:basedOn w:val="Normal"/>
    <w:uiPriority w:val="4"/>
    <w:rsid w:val="00EE7CBD"/>
    <w:pPr>
      <w:spacing w:after="0" w:line="240" w:lineRule="auto"/>
    </w:pPr>
    <w:rPr>
      <w:sz w:val="12"/>
    </w:rPr>
  </w:style>
  <w:style w:type="paragraph" w:customStyle="1" w:styleId="TSBodyHeading">
    <w:name w:val="TS Body Heading"/>
    <w:basedOn w:val="TSOtherBodyText"/>
    <w:next w:val="TSTextBodyText"/>
    <w:uiPriority w:val="9"/>
    <w:rsid w:val="00724DBC"/>
    <w:pPr>
      <w:spacing w:before="80" w:after="20"/>
    </w:pPr>
    <w:rPr>
      <w:b/>
    </w:rPr>
  </w:style>
  <w:style w:type="paragraph" w:customStyle="1" w:styleId="TSMixedB2">
    <w:name w:val="TS Mixed B2"/>
    <w:basedOn w:val="TSTableNormal1"/>
    <w:uiPriority w:val="9"/>
    <w:rsid w:val="00C37888"/>
    <w:pPr>
      <w:numPr>
        <w:numId w:val="8"/>
      </w:numPr>
    </w:pPr>
  </w:style>
  <w:style w:type="paragraph" w:customStyle="1" w:styleId="TSMixedB3">
    <w:name w:val="TS Mixed B3"/>
    <w:basedOn w:val="TSTableNormal1"/>
    <w:uiPriority w:val="9"/>
    <w:rsid w:val="00C37888"/>
    <w:pPr>
      <w:numPr>
        <w:ilvl w:val="1"/>
        <w:numId w:val="8"/>
      </w:numPr>
    </w:pPr>
  </w:style>
  <w:style w:type="paragraph" w:customStyle="1" w:styleId="USSource">
    <w:name w:val="US Source"/>
    <w:basedOn w:val="Normal"/>
    <w:uiPriority w:val="4"/>
    <w:rsid w:val="009308BF"/>
    <w:pPr>
      <w:spacing w:before="57" w:after="57" w:line="170" w:lineRule="atLeast"/>
    </w:pPr>
    <w:rPr>
      <w:sz w:val="14"/>
    </w:rPr>
  </w:style>
  <w:style w:type="paragraph" w:customStyle="1" w:styleId="USNotes">
    <w:name w:val="US Notes"/>
    <w:basedOn w:val="Normal"/>
    <w:uiPriority w:val="5"/>
    <w:rsid w:val="008977A1"/>
    <w:pPr>
      <w:numPr>
        <w:numId w:val="3"/>
      </w:numPr>
      <w:spacing w:before="57" w:after="57" w:line="170" w:lineRule="atLeast"/>
    </w:pPr>
    <w:rPr>
      <w:sz w:val="14"/>
    </w:rPr>
  </w:style>
  <w:style w:type="paragraph" w:customStyle="1" w:styleId="TSTextSingle">
    <w:name w:val="TS Text (Single)"/>
    <w:basedOn w:val="TSOtherBodyText"/>
    <w:uiPriority w:val="9"/>
    <w:rsid w:val="00A365B0"/>
    <w:pPr>
      <w:spacing w:before="0" w:after="0" w:line="240" w:lineRule="auto"/>
    </w:pPr>
  </w:style>
  <w:style w:type="paragraph" w:customStyle="1" w:styleId="TSBullet1">
    <w:name w:val="TS Bullet 1"/>
    <w:basedOn w:val="TSTableNormal1"/>
    <w:uiPriority w:val="9"/>
    <w:rsid w:val="00C37888"/>
    <w:pPr>
      <w:numPr>
        <w:numId w:val="7"/>
      </w:numPr>
    </w:pPr>
  </w:style>
  <w:style w:type="paragraph" w:customStyle="1" w:styleId="TSBullet2">
    <w:name w:val="TS Bullet 2"/>
    <w:basedOn w:val="TSTableNormal1"/>
    <w:uiPriority w:val="9"/>
    <w:rsid w:val="00C37888"/>
    <w:pPr>
      <w:numPr>
        <w:ilvl w:val="1"/>
        <w:numId w:val="7"/>
      </w:numPr>
    </w:pPr>
  </w:style>
  <w:style w:type="paragraph" w:customStyle="1" w:styleId="TSBullet3">
    <w:name w:val="TS Bullet 3"/>
    <w:basedOn w:val="TSTableNormal1"/>
    <w:uiPriority w:val="9"/>
    <w:rsid w:val="00C37888"/>
    <w:pPr>
      <w:numPr>
        <w:ilvl w:val="2"/>
        <w:numId w:val="7"/>
      </w:numPr>
    </w:pPr>
  </w:style>
  <w:style w:type="paragraph" w:customStyle="1" w:styleId="NHHeading1">
    <w:name w:val="NH Heading 1"/>
    <w:basedOn w:val="Heading1"/>
    <w:next w:val="USBodyText"/>
    <w:uiPriority w:val="4"/>
    <w:rsid w:val="007F6B4B"/>
    <w:pPr>
      <w:numPr>
        <w:numId w:val="1"/>
      </w:numPr>
      <w:outlineLvl w:val="6"/>
    </w:pPr>
  </w:style>
  <w:style w:type="character" w:customStyle="1" w:styleId="Heading6Char">
    <w:name w:val="Heading 6 Char"/>
    <w:basedOn w:val="DefaultParagraphFont"/>
    <w:link w:val="Heading6"/>
    <w:uiPriority w:val="9"/>
    <w:semiHidden/>
    <w:rsid w:val="00F4518E"/>
    <w:rPr>
      <w:rFonts w:asciiTheme="majorHAnsi" w:eastAsiaTheme="majorEastAsia" w:hAnsiTheme="majorHAnsi" w:cstheme="majorBidi"/>
      <w:color w:val="986A00" w:themeColor="accent1" w:themeShade="7F"/>
      <w:sz w:val="20"/>
    </w:rPr>
  </w:style>
  <w:style w:type="paragraph" w:customStyle="1" w:styleId="NHHeading2">
    <w:name w:val="NH Heading 2"/>
    <w:basedOn w:val="Heading2"/>
    <w:next w:val="USBodyText"/>
    <w:uiPriority w:val="4"/>
    <w:rsid w:val="007F6B4B"/>
    <w:pPr>
      <w:numPr>
        <w:ilvl w:val="1"/>
        <w:numId w:val="1"/>
      </w:numPr>
      <w:outlineLvl w:val="7"/>
    </w:pPr>
  </w:style>
  <w:style w:type="paragraph" w:customStyle="1" w:styleId="NHHeading3">
    <w:name w:val="NH Heading 3"/>
    <w:basedOn w:val="Heading3"/>
    <w:next w:val="USBodyText"/>
    <w:uiPriority w:val="4"/>
    <w:rsid w:val="007F6B4B"/>
    <w:pPr>
      <w:numPr>
        <w:ilvl w:val="2"/>
        <w:numId w:val="1"/>
      </w:numPr>
      <w:outlineLvl w:val="8"/>
    </w:pPr>
  </w:style>
  <w:style w:type="paragraph" w:customStyle="1" w:styleId="NHHeading4">
    <w:name w:val="NH Heading 4"/>
    <w:basedOn w:val="Heading4"/>
    <w:next w:val="USBodyText"/>
    <w:uiPriority w:val="4"/>
    <w:rsid w:val="007F6B4B"/>
    <w:pPr>
      <w:numPr>
        <w:ilvl w:val="3"/>
        <w:numId w:val="1"/>
      </w:numPr>
    </w:pPr>
  </w:style>
  <w:style w:type="paragraph" w:customStyle="1" w:styleId="NHHeading5">
    <w:name w:val="NH Heading 5"/>
    <w:basedOn w:val="Heading5"/>
    <w:next w:val="USBodyText"/>
    <w:uiPriority w:val="4"/>
    <w:rsid w:val="007F6B4B"/>
    <w:pPr>
      <w:numPr>
        <w:ilvl w:val="4"/>
        <w:numId w:val="1"/>
      </w:numPr>
    </w:pPr>
  </w:style>
  <w:style w:type="paragraph" w:customStyle="1" w:styleId="LNHEADING1">
    <w:name w:val="LN HEADING 1"/>
    <w:basedOn w:val="Heading1"/>
    <w:next w:val="LNPara2"/>
    <w:uiPriority w:val="6"/>
    <w:rsid w:val="00C37888"/>
    <w:pPr>
      <w:numPr>
        <w:numId w:val="4"/>
      </w:numPr>
      <w:outlineLvl w:val="5"/>
    </w:pPr>
  </w:style>
  <w:style w:type="character" w:customStyle="1" w:styleId="Heading7Char">
    <w:name w:val="Heading 7 Char"/>
    <w:basedOn w:val="DefaultParagraphFont"/>
    <w:link w:val="Heading7"/>
    <w:uiPriority w:val="9"/>
    <w:semiHidden/>
    <w:rsid w:val="00F4518E"/>
    <w:rPr>
      <w:rFonts w:asciiTheme="majorHAnsi" w:eastAsiaTheme="majorEastAsia" w:hAnsiTheme="majorHAnsi" w:cstheme="majorBidi"/>
      <w:i/>
      <w:iCs/>
      <w:color w:val="986A00" w:themeColor="accent1" w:themeShade="7F"/>
      <w:sz w:val="20"/>
    </w:rPr>
  </w:style>
  <w:style w:type="character" w:customStyle="1" w:styleId="Heading8Char">
    <w:name w:val="Heading 8 Char"/>
    <w:basedOn w:val="DefaultParagraphFont"/>
    <w:link w:val="Heading8"/>
    <w:uiPriority w:val="9"/>
    <w:semiHidden/>
    <w:rsid w:val="000A42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425B"/>
    <w:rPr>
      <w:rFonts w:asciiTheme="majorHAnsi" w:eastAsiaTheme="majorEastAsia" w:hAnsiTheme="majorHAnsi" w:cstheme="majorBidi"/>
      <w:i/>
      <w:iCs/>
      <w:color w:val="272727" w:themeColor="text1" w:themeTint="D8"/>
      <w:sz w:val="21"/>
      <w:szCs w:val="21"/>
    </w:rPr>
  </w:style>
  <w:style w:type="paragraph" w:customStyle="1" w:styleId="LNPara2">
    <w:name w:val="LN Para 2"/>
    <w:basedOn w:val="Normal"/>
    <w:uiPriority w:val="6"/>
    <w:rsid w:val="00C37888"/>
    <w:pPr>
      <w:numPr>
        <w:ilvl w:val="1"/>
        <w:numId w:val="4"/>
      </w:numPr>
    </w:pPr>
  </w:style>
  <w:style w:type="paragraph" w:customStyle="1" w:styleId="LNPara3">
    <w:name w:val="LN Para 3"/>
    <w:basedOn w:val="Normal"/>
    <w:uiPriority w:val="6"/>
    <w:rsid w:val="00C37888"/>
    <w:pPr>
      <w:numPr>
        <w:ilvl w:val="2"/>
        <w:numId w:val="4"/>
      </w:numPr>
    </w:pPr>
  </w:style>
  <w:style w:type="paragraph" w:customStyle="1" w:styleId="LNParaa">
    <w:name w:val="LN Para a"/>
    <w:basedOn w:val="Normal"/>
    <w:uiPriority w:val="6"/>
    <w:rsid w:val="00C37888"/>
    <w:pPr>
      <w:numPr>
        <w:ilvl w:val="3"/>
        <w:numId w:val="4"/>
      </w:numPr>
    </w:pPr>
  </w:style>
  <w:style w:type="paragraph" w:customStyle="1" w:styleId="LNParai">
    <w:name w:val="LN Para i"/>
    <w:basedOn w:val="Normal"/>
    <w:uiPriority w:val="6"/>
    <w:rsid w:val="00C37888"/>
    <w:pPr>
      <w:numPr>
        <w:ilvl w:val="4"/>
        <w:numId w:val="4"/>
      </w:numPr>
    </w:pPr>
  </w:style>
  <w:style w:type="paragraph" w:customStyle="1" w:styleId="LNParaB1">
    <w:name w:val="LN Para B1"/>
    <w:basedOn w:val="Normal"/>
    <w:uiPriority w:val="6"/>
    <w:rsid w:val="00C37888"/>
    <w:pPr>
      <w:numPr>
        <w:ilvl w:val="5"/>
        <w:numId w:val="4"/>
      </w:numPr>
    </w:pPr>
  </w:style>
  <w:style w:type="paragraph" w:customStyle="1" w:styleId="LNParaB2">
    <w:name w:val="LN Para B2"/>
    <w:basedOn w:val="Normal"/>
    <w:uiPriority w:val="6"/>
    <w:rsid w:val="00C37888"/>
    <w:pPr>
      <w:numPr>
        <w:ilvl w:val="6"/>
        <w:numId w:val="4"/>
      </w:numPr>
    </w:pPr>
  </w:style>
  <w:style w:type="paragraph" w:customStyle="1" w:styleId="LNParaB3">
    <w:name w:val="LN Para B3"/>
    <w:basedOn w:val="Normal"/>
    <w:uiPriority w:val="6"/>
    <w:rsid w:val="00C37888"/>
    <w:pPr>
      <w:numPr>
        <w:ilvl w:val="7"/>
        <w:numId w:val="4"/>
      </w:numPr>
    </w:pPr>
  </w:style>
  <w:style w:type="paragraph" w:customStyle="1" w:styleId="LNHeading2">
    <w:name w:val="LN Heading 2"/>
    <w:basedOn w:val="Heading2"/>
    <w:next w:val="LNPara2"/>
    <w:uiPriority w:val="6"/>
    <w:rsid w:val="00C37888"/>
    <w:pPr>
      <w:ind w:left="851"/>
    </w:pPr>
  </w:style>
  <w:style w:type="paragraph" w:customStyle="1" w:styleId="LNHeading3">
    <w:name w:val="LN Heading 3"/>
    <w:basedOn w:val="Heading3"/>
    <w:next w:val="LNPara2"/>
    <w:uiPriority w:val="6"/>
    <w:rsid w:val="00C37888"/>
    <w:pPr>
      <w:ind w:left="851"/>
    </w:pPr>
  </w:style>
  <w:style w:type="paragraph" w:customStyle="1" w:styleId="LNHeading4">
    <w:name w:val="LN Heading 4"/>
    <w:basedOn w:val="Heading4"/>
    <w:next w:val="LNPara2"/>
    <w:uiPriority w:val="6"/>
    <w:rsid w:val="00C37888"/>
    <w:pPr>
      <w:ind w:left="851"/>
    </w:pPr>
  </w:style>
  <w:style w:type="paragraph" w:customStyle="1" w:styleId="LNHeading5">
    <w:name w:val="LN Heading 5"/>
    <w:basedOn w:val="Heading5"/>
    <w:next w:val="LNPara2"/>
    <w:uiPriority w:val="6"/>
    <w:rsid w:val="00C37888"/>
    <w:pPr>
      <w:ind w:left="851"/>
    </w:pPr>
  </w:style>
  <w:style w:type="paragraph" w:customStyle="1" w:styleId="ApxHeading1">
    <w:name w:val="Apx Heading 1"/>
    <w:basedOn w:val="Heading1"/>
    <w:next w:val="USBodyText"/>
    <w:uiPriority w:val="3"/>
    <w:rsid w:val="00D53C80"/>
    <w:pPr>
      <w:numPr>
        <w:numId w:val="2"/>
      </w:numPr>
    </w:pPr>
  </w:style>
  <w:style w:type="paragraph" w:customStyle="1" w:styleId="ApxHeading2">
    <w:name w:val="Apx Heading 2"/>
    <w:basedOn w:val="Heading2"/>
    <w:next w:val="USBodyText"/>
    <w:uiPriority w:val="3"/>
    <w:rsid w:val="00D53C80"/>
  </w:style>
  <w:style w:type="paragraph" w:customStyle="1" w:styleId="ApxHeading3">
    <w:name w:val="Apx Heading 3"/>
    <w:basedOn w:val="Heading3"/>
    <w:next w:val="USBodyText"/>
    <w:uiPriority w:val="3"/>
    <w:rsid w:val="00D53C80"/>
  </w:style>
  <w:style w:type="paragraph" w:customStyle="1" w:styleId="ApxHeading4">
    <w:name w:val="Apx Heading 4"/>
    <w:basedOn w:val="Heading4"/>
    <w:next w:val="USBodyText"/>
    <w:uiPriority w:val="3"/>
    <w:rsid w:val="00D53C80"/>
  </w:style>
  <w:style w:type="paragraph" w:customStyle="1" w:styleId="ApxHeading5">
    <w:name w:val="Apx Heading 5"/>
    <w:basedOn w:val="Heading5"/>
    <w:next w:val="USBodyText"/>
    <w:uiPriority w:val="3"/>
    <w:rsid w:val="00D53C80"/>
  </w:style>
  <w:style w:type="paragraph" w:customStyle="1" w:styleId="LNIndent1">
    <w:name w:val="LN Indent 1"/>
    <w:basedOn w:val="Normal"/>
    <w:uiPriority w:val="6"/>
    <w:rsid w:val="00C37888"/>
    <w:pPr>
      <w:ind w:left="851"/>
    </w:pPr>
  </w:style>
  <w:style w:type="paragraph" w:customStyle="1" w:styleId="LNIndent2">
    <w:name w:val="LN Indent 2"/>
    <w:basedOn w:val="Normal"/>
    <w:uiPriority w:val="6"/>
    <w:rsid w:val="00C37888"/>
    <w:pPr>
      <w:ind w:left="1276"/>
    </w:pPr>
  </w:style>
  <w:style w:type="paragraph" w:customStyle="1" w:styleId="LNIndent3">
    <w:name w:val="LN Indent 3"/>
    <w:basedOn w:val="Normal"/>
    <w:uiPriority w:val="6"/>
    <w:rsid w:val="00C37888"/>
    <w:pPr>
      <w:ind w:left="1701"/>
    </w:pPr>
  </w:style>
  <w:style w:type="paragraph" w:customStyle="1" w:styleId="LNIndent4">
    <w:name w:val="LN Indent 4"/>
    <w:basedOn w:val="Normal"/>
    <w:uiPriority w:val="6"/>
    <w:rsid w:val="00C37888"/>
    <w:pPr>
      <w:ind w:left="2126"/>
    </w:pPr>
  </w:style>
  <w:style w:type="table" w:styleId="TableGridLight">
    <w:name w:val="Grid Table Light"/>
    <w:basedOn w:val="TableNormal"/>
    <w:uiPriority w:val="40"/>
    <w:rsid w:val="00420B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USPlaceholder">
    <w:name w:val="US Placeholder"/>
    <w:basedOn w:val="Normal"/>
    <w:uiPriority w:val="4"/>
    <w:rsid w:val="00B87B04"/>
    <w:pPr>
      <w:keepNext/>
      <w:spacing w:after="0" w:line="240" w:lineRule="auto"/>
      <w:ind w:left="-17"/>
    </w:pPr>
    <w:rPr>
      <w:noProof/>
      <w:sz w:val="2"/>
    </w:rPr>
  </w:style>
  <w:style w:type="paragraph" w:customStyle="1" w:styleId="USNotesHeading">
    <w:name w:val="US Notes (Heading)"/>
    <w:basedOn w:val="Normal"/>
    <w:uiPriority w:val="5"/>
    <w:rsid w:val="00322D00"/>
    <w:pPr>
      <w:spacing w:before="113" w:line="170" w:lineRule="atLeast"/>
    </w:pPr>
    <w:rPr>
      <w:b/>
      <w:sz w:val="14"/>
    </w:rPr>
  </w:style>
  <w:style w:type="paragraph" w:customStyle="1" w:styleId="TClosing">
    <w:name w:val="T_Closing"/>
    <w:basedOn w:val="Normal"/>
    <w:uiPriority w:val="19"/>
    <w:rsid w:val="00C837AB"/>
  </w:style>
  <w:style w:type="paragraph" w:customStyle="1" w:styleId="TSignature">
    <w:name w:val="T_Signature"/>
    <w:basedOn w:val="USBodyText"/>
    <w:uiPriority w:val="19"/>
    <w:rsid w:val="00D041F1"/>
    <w:pPr>
      <w:spacing w:before="480" w:after="480"/>
    </w:pPr>
  </w:style>
  <w:style w:type="paragraph" w:styleId="BalloonText">
    <w:name w:val="Balloon Text"/>
    <w:basedOn w:val="Normal"/>
    <w:link w:val="BalloonTextChar"/>
    <w:uiPriority w:val="99"/>
    <w:semiHidden/>
    <w:unhideWhenUsed/>
    <w:rsid w:val="00631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10"/>
    <w:rPr>
      <w:rFonts w:ascii="Segoe UI" w:hAnsi="Segoe UI" w:cs="Segoe UI"/>
      <w:sz w:val="18"/>
      <w:szCs w:val="18"/>
    </w:rPr>
  </w:style>
  <w:style w:type="paragraph" w:customStyle="1" w:styleId="CoverHeading1">
    <w:name w:val="Cover Heading 1"/>
    <w:basedOn w:val="Normal"/>
    <w:next w:val="CoverDocumentType"/>
    <w:uiPriority w:val="19"/>
    <w:rsid w:val="009A0960"/>
    <w:pPr>
      <w:keepNext/>
      <w:spacing w:after="680" w:line="480" w:lineRule="atLeast"/>
    </w:pPr>
    <w:rPr>
      <w:b/>
      <w:caps/>
      <w:color w:val="000000"/>
      <w:sz w:val="48"/>
    </w:rPr>
  </w:style>
  <w:style w:type="paragraph" w:customStyle="1" w:styleId="CoverDocumentType">
    <w:name w:val="Cover Document Type"/>
    <w:basedOn w:val="SureRed"/>
    <w:next w:val="CoverSubheading"/>
    <w:uiPriority w:val="19"/>
    <w:rsid w:val="009A0960"/>
    <w:pPr>
      <w:keepNext/>
      <w:spacing w:before="340" w:after="284" w:line="420" w:lineRule="atLeast"/>
    </w:pPr>
    <w:rPr>
      <w:sz w:val="36"/>
    </w:rPr>
  </w:style>
  <w:style w:type="paragraph" w:customStyle="1" w:styleId="CoverSubheading">
    <w:name w:val="Cover Subheading"/>
    <w:basedOn w:val="Normal"/>
    <w:uiPriority w:val="19"/>
    <w:rsid w:val="009A0960"/>
    <w:pPr>
      <w:keepNext/>
      <w:spacing w:before="113" w:after="170"/>
    </w:pPr>
    <w:rPr>
      <w:b/>
    </w:rPr>
  </w:style>
  <w:style w:type="paragraph" w:customStyle="1" w:styleId="CoverDate">
    <w:name w:val="Cover Date"/>
    <w:basedOn w:val="Normal"/>
    <w:uiPriority w:val="19"/>
    <w:rsid w:val="009A0960"/>
    <w:pPr>
      <w:spacing w:before="113"/>
    </w:pPr>
  </w:style>
  <w:style w:type="paragraph" w:customStyle="1" w:styleId="HeadingContents">
    <w:name w:val="Heading Contents"/>
    <w:basedOn w:val="Heading1"/>
    <w:uiPriority w:val="2"/>
    <w:rsid w:val="00390D69"/>
    <w:pPr>
      <w:pageBreakBefore w:val="0"/>
      <w:spacing w:before="680" w:after="220" w:line="480" w:lineRule="atLeast"/>
      <w:outlineLvl w:val="9"/>
    </w:pPr>
  </w:style>
  <w:style w:type="paragraph" w:styleId="TOCHeading">
    <w:name w:val="TOC Heading"/>
    <w:basedOn w:val="Heading1"/>
    <w:next w:val="Normal"/>
    <w:uiPriority w:val="39"/>
    <w:semiHidden/>
    <w:rsid w:val="00380AAF"/>
    <w:pPr>
      <w:pageBreakBefore w:val="0"/>
      <w:spacing w:before="240" w:after="0" w:line="259" w:lineRule="auto"/>
      <w:ind w:right="0"/>
      <w:outlineLvl w:val="9"/>
    </w:pPr>
    <w:rPr>
      <w:rFonts w:asciiTheme="majorHAnsi" w:hAnsiTheme="majorHAnsi"/>
      <w:b w:val="0"/>
      <w:caps w:val="0"/>
      <w:color w:val="E59F00" w:themeColor="accent1" w:themeShade="BF"/>
      <w:sz w:val="32"/>
      <w:lang w:val="en-US"/>
    </w:rPr>
  </w:style>
  <w:style w:type="paragraph" w:styleId="TOC1">
    <w:name w:val="toc 1"/>
    <w:basedOn w:val="Normal"/>
    <w:next w:val="Normal"/>
    <w:uiPriority w:val="39"/>
    <w:unhideWhenUsed/>
    <w:rsid w:val="0092418C"/>
    <w:pPr>
      <w:tabs>
        <w:tab w:val="right" w:pos="9072"/>
      </w:tabs>
      <w:spacing w:before="170" w:after="80" w:line="280" w:lineRule="atLeast"/>
      <w:ind w:right="851"/>
    </w:pPr>
    <w:rPr>
      <w:sz w:val="24"/>
    </w:rPr>
  </w:style>
  <w:style w:type="paragraph" w:styleId="TOC2">
    <w:name w:val="toc 2"/>
    <w:basedOn w:val="Normal"/>
    <w:next w:val="Normal"/>
    <w:uiPriority w:val="39"/>
    <w:unhideWhenUsed/>
    <w:rsid w:val="00853045"/>
    <w:pPr>
      <w:tabs>
        <w:tab w:val="right" w:pos="9072"/>
      </w:tabs>
      <w:spacing w:after="80"/>
      <w:ind w:right="851"/>
    </w:pPr>
  </w:style>
  <w:style w:type="paragraph" w:styleId="TOC3">
    <w:name w:val="toc 3"/>
    <w:basedOn w:val="Normal"/>
    <w:next w:val="Normal"/>
    <w:uiPriority w:val="39"/>
    <w:unhideWhenUsed/>
    <w:rsid w:val="00853045"/>
    <w:pPr>
      <w:tabs>
        <w:tab w:val="right" w:pos="9072"/>
      </w:tabs>
      <w:spacing w:after="80"/>
      <w:ind w:left="425" w:right="851"/>
    </w:pPr>
  </w:style>
  <w:style w:type="character" w:styleId="Hyperlink">
    <w:name w:val="Hyperlink"/>
    <w:basedOn w:val="DefaultParagraphFont"/>
    <w:uiPriority w:val="99"/>
    <w:rsid w:val="00A4666D"/>
    <w:rPr>
      <w:color w:val="03B2C4"/>
      <w:u w:val="single"/>
    </w:rPr>
  </w:style>
  <w:style w:type="paragraph" w:styleId="TOC4">
    <w:name w:val="toc 4"/>
    <w:basedOn w:val="Normal"/>
    <w:next w:val="Normal"/>
    <w:uiPriority w:val="39"/>
    <w:unhideWhenUsed/>
    <w:rsid w:val="00853045"/>
    <w:pPr>
      <w:tabs>
        <w:tab w:val="right" w:pos="9072"/>
      </w:tabs>
      <w:spacing w:after="80"/>
      <w:ind w:left="851" w:right="851"/>
    </w:pPr>
  </w:style>
  <w:style w:type="paragraph" w:styleId="TOC5">
    <w:name w:val="toc 5"/>
    <w:basedOn w:val="Normal"/>
    <w:next w:val="Normal"/>
    <w:uiPriority w:val="39"/>
    <w:unhideWhenUsed/>
    <w:rsid w:val="00853045"/>
    <w:pPr>
      <w:tabs>
        <w:tab w:val="right" w:pos="9072"/>
      </w:tabs>
      <w:spacing w:after="80"/>
      <w:ind w:left="1276" w:right="851"/>
    </w:pPr>
  </w:style>
  <w:style w:type="paragraph" w:styleId="TOC8">
    <w:name w:val="toc 8"/>
    <w:basedOn w:val="TOC2"/>
    <w:next w:val="Normal"/>
    <w:uiPriority w:val="39"/>
    <w:unhideWhenUsed/>
    <w:rsid w:val="00A03F1D"/>
    <w:pPr>
      <w:ind w:left="851" w:hanging="851"/>
    </w:pPr>
  </w:style>
  <w:style w:type="paragraph" w:styleId="TOC9">
    <w:name w:val="toc 9"/>
    <w:basedOn w:val="Normal"/>
    <w:next w:val="Normal"/>
    <w:uiPriority w:val="39"/>
    <w:unhideWhenUsed/>
    <w:rsid w:val="00A03F1D"/>
    <w:pPr>
      <w:tabs>
        <w:tab w:val="left" w:pos="1701"/>
        <w:tab w:val="right" w:pos="9072"/>
      </w:tabs>
      <w:spacing w:after="80"/>
      <w:ind w:left="1702" w:right="851" w:hanging="851"/>
    </w:pPr>
  </w:style>
  <w:style w:type="paragraph" w:styleId="TableofFigures">
    <w:name w:val="table of figures"/>
    <w:basedOn w:val="Normal"/>
    <w:next w:val="Normal"/>
    <w:uiPriority w:val="99"/>
    <w:unhideWhenUsed/>
    <w:rsid w:val="00853045"/>
    <w:pPr>
      <w:tabs>
        <w:tab w:val="left" w:pos="1049"/>
        <w:tab w:val="right" w:pos="9072"/>
      </w:tabs>
      <w:spacing w:after="80"/>
      <w:ind w:left="1049" w:right="851" w:hanging="1049"/>
    </w:pPr>
  </w:style>
  <w:style w:type="paragraph" w:customStyle="1" w:styleId="FooterPortraitOdd">
    <w:name w:val="Footer Portrait Odd"/>
    <w:basedOn w:val="Footer"/>
    <w:uiPriority w:val="11"/>
    <w:rsid w:val="00B20014"/>
    <w:rPr>
      <w:noProof/>
      <w:lang w:eastAsia="en-NZ"/>
    </w:rPr>
  </w:style>
  <w:style w:type="paragraph" w:customStyle="1" w:styleId="FooterPortraitEven">
    <w:name w:val="Footer Portrait Even"/>
    <w:basedOn w:val="Footer"/>
    <w:uiPriority w:val="11"/>
    <w:rsid w:val="00B43FB4"/>
    <w:pPr>
      <w:tabs>
        <w:tab w:val="clear" w:pos="851"/>
        <w:tab w:val="clear" w:pos="9072"/>
        <w:tab w:val="right" w:pos="8222"/>
      </w:tabs>
    </w:pPr>
    <w:rPr>
      <w:lang w:eastAsia="en-NZ"/>
    </w:rPr>
  </w:style>
  <w:style w:type="character" w:customStyle="1" w:styleId="FooterDateTime">
    <w:name w:val="Footer Date Time"/>
    <w:basedOn w:val="DefaultParagraphFont"/>
    <w:uiPriority w:val="11"/>
    <w:rsid w:val="00844C2D"/>
    <w:rPr>
      <w:color w:val="ABA9AD"/>
      <w:sz w:val="16"/>
    </w:rPr>
  </w:style>
  <w:style w:type="paragraph" w:styleId="TOC7">
    <w:name w:val="toc 7"/>
    <w:basedOn w:val="TOC1"/>
    <w:next w:val="Normal"/>
    <w:uiPriority w:val="39"/>
    <w:unhideWhenUsed/>
    <w:rsid w:val="00A03F1D"/>
    <w:pPr>
      <w:tabs>
        <w:tab w:val="left" w:pos="851"/>
      </w:tabs>
      <w:ind w:left="851" w:hanging="851"/>
    </w:pPr>
  </w:style>
  <w:style w:type="paragraph" w:styleId="TOC6">
    <w:name w:val="toc 6"/>
    <w:basedOn w:val="TOC1"/>
    <w:next w:val="Normal"/>
    <w:uiPriority w:val="39"/>
    <w:unhideWhenUsed/>
    <w:rsid w:val="00853045"/>
    <w:pPr>
      <w:tabs>
        <w:tab w:val="clear" w:pos="9072"/>
        <w:tab w:val="left" w:pos="851"/>
        <w:tab w:val="right" w:pos="9060"/>
      </w:tabs>
    </w:pPr>
  </w:style>
  <w:style w:type="table" w:styleId="PlainTable3">
    <w:name w:val="Plain Table 3"/>
    <w:basedOn w:val="TableNormal"/>
    <w:uiPriority w:val="43"/>
    <w:rsid w:val="009241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3">
    <w:name w:val="List Table 1 Light Accent 3"/>
    <w:basedOn w:val="TableNormal"/>
    <w:uiPriority w:val="46"/>
    <w:rsid w:val="00A03F1D"/>
    <w:pPr>
      <w:spacing w:after="0" w:line="240" w:lineRule="auto"/>
    </w:pPr>
    <w:tblPr>
      <w:tblStyleRowBandSize w:val="1"/>
      <w:tblStyleColBandSize w:val="1"/>
    </w:tblPr>
    <w:tblStylePr w:type="firstRow">
      <w:rPr>
        <w:b/>
        <w:bCs/>
      </w:rPr>
      <w:tblPr/>
      <w:tcPr>
        <w:tcBorders>
          <w:bottom w:val="single" w:sz="4" w:space="0" w:color="F9B98A" w:themeColor="accent3" w:themeTint="99"/>
        </w:tcBorders>
      </w:tcPr>
    </w:tblStylePr>
    <w:tblStylePr w:type="lastRow">
      <w:rPr>
        <w:b/>
        <w:bCs/>
      </w:rPr>
      <w:tblPr/>
      <w:tcPr>
        <w:tcBorders>
          <w:top w:val="single" w:sz="4" w:space="0" w:color="F9B98A" w:themeColor="accent3" w:themeTint="99"/>
        </w:tcBorders>
      </w:tcPr>
    </w:tblStylePr>
    <w:tblStylePr w:type="firstCol">
      <w:rPr>
        <w:b/>
        <w:bCs/>
      </w:rPr>
    </w:tblStylePr>
    <w:tblStylePr w:type="lastCol">
      <w:rPr>
        <w:b/>
        <w:bCs/>
      </w:rPr>
    </w:tblStylePr>
    <w:tblStylePr w:type="band1Vert">
      <w:tblPr/>
      <w:tcPr>
        <w:shd w:val="clear" w:color="auto" w:fill="FDE7D8" w:themeFill="accent3" w:themeFillTint="33"/>
      </w:tcPr>
    </w:tblStylePr>
    <w:tblStylePr w:type="band1Horz">
      <w:tblPr/>
      <w:tcPr>
        <w:shd w:val="clear" w:color="auto" w:fill="FDE7D8" w:themeFill="accent3" w:themeFillTint="33"/>
      </w:tcPr>
    </w:tblStylePr>
  </w:style>
  <w:style w:type="paragraph" w:customStyle="1" w:styleId="FooterLandscapeEven">
    <w:name w:val="Footer Landscape Even"/>
    <w:basedOn w:val="Footer"/>
    <w:uiPriority w:val="11"/>
    <w:rsid w:val="006C7FB5"/>
    <w:pPr>
      <w:tabs>
        <w:tab w:val="clear" w:pos="851"/>
        <w:tab w:val="clear" w:pos="9072"/>
        <w:tab w:val="right" w:pos="13154"/>
      </w:tabs>
    </w:pPr>
  </w:style>
  <w:style w:type="paragraph" w:customStyle="1" w:styleId="FooterA3Even">
    <w:name w:val="Footer A3 Even"/>
    <w:basedOn w:val="Footer"/>
    <w:uiPriority w:val="11"/>
    <w:rsid w:val="006C7FB5"/>
    <w:pPr>
      <w:tabs>
        <w:tab w:val="clear" w:pos="851"/>
        <w:tab w:val="clear" w:pos="9072"/>
        <w:tab w:val="right" w:pos="20129"/>
      </w:tabs>
    </w:pPr>
  </w:style>
  <w:style w:type="paragraph" w:customStyle="1" w:styleId="SNHeading1">
    <w:name w:val="SN Heading 1"/>
    <w:basedOn w:val="Heading1"/>
    <w:next w:val="SNNumber1"/>
    <w:uiPriority w:val="7"/>
    <w:rsid w:val="00C37888"/>
    <w:pPr>
      <w:numPr>
        <w:numId w:val="6"/>
      </w:numPr>
    </w:pPr>
  </w:style>
  <w:style w:type="paragraph" w:customStyle="1" w:styleId="SNNumber1">
    <w:name w:val="SN Number 1"/>
    <w:basedOn w:val="Normal"/>
    <w:uiPriority w:val="7"/>
    <w:rsid w:val="005C17C1"/>
    <w:pPr>
      <w:numPr>
        <w:numId w:val="13"/>
      </w:numPr>
      <w:spacing w:before="113"/>
    </w:pPr>
  </w:style>
  <w:style w:type="paragraph" w:customStyle="1" w:styleId="SNPara1">
    <w:name w:val="SN Para 1"/>
    <w:basedOn w:val="Normal"/>
    <w:uiPriority w:val="7"/>
    <w:rsid w:val="005C17C1"/>
    <w:pPr>
      <w:numPr>
        <w:ilvl w:val="3"/>
        <w:numId w:val="13"/>
      </w:numPr>
      <w:spacing w:before="113"/>
    </w:pPr>
  </w:style>
  <w:style w:type="paragraph" w:customStyle="1" w:styleId="SNParaa">
    <w:name w:val="SN Para a"/>
    <w:basedOn w:val="Normal"/>
    <w:uiPriority w:val="7"/>
    <w:rsid w:val="005C17C1"/>
    <w:pPr>
      <w:numPr>
        <w:ilvl w:val="1"/>
        <w:numId w:val="13"/>
      </w:numPr>
      <w:spacing w:before="113"/>
    </w:pPr>
  </w:style>
  <w:style w:type="paragraph" w:customStyle="1" w:styleId="SNParaB1">
    <w:name w:val="SN Para B1"/>
    <w:basedOn w:val="Normal"/>
    <w:uiPriority w:val="7"/>
    <w:rsid w:val="005C17C1"/>
    <w:pPr>
      <w:numPr>
        <w:ilvl w:val="4"/>
        <w:numId w:val="13"/>
      </w:numPr>
      <w:spacing w:before="113"/>
    </w:pPr>
  </w:style>
  <w:style w:type="paragraph" w:customStyle="1" w:styleId="SNParaB2">
    <w:name w:val="SN Para B2"/>
    <w:basedOn w:val="Normal"/>
    <w:uiPriority w:val="7"/>
    <w:rsid w:val="005C17C1"/>
    <w:pPr>
      <w:numPr>
        <w:ilvl w:val="5"/>
        <w:numId w:val="13"/>
      </w:numPr>
      <w:spacing w:before="113"/>
    </w:pPr>
  </w:style>
  <w:style w:type="paragraph" w:customStyle="1" w:styleId="SNParai">
    <w:name w:val="SN Para i"/>
    <w:basedOn w:val="Normal"/>
    <w:uiPriority w:val="7"/>
    <w:rsid w:val="005C17C1"/>
    <w:pPr>
      <w:numPr>
        <w:ilvl w:val="2"/>
        <w:numId w:val="13"/>
      </w:numPr>
      <w:spacing w:before="113"/>
    </w:pPr>
  </w:style>
  <w:style w:type="paragraph" w:customStyle="1" w:styleId="SNBullet1">
    <w:name w:val="SN Bullet 1"/>
    <w:basedOn w:val="USBodyText"/>
    <w:uiPriority w:val="7"/>
    <w:rsid w:val="00C37888"/>
    <w:pPr>
      <w:numPr>
        <w:numId w:val="5"/>
      </w:numPr>
      <w:spacing w:before="0"/>
    </w:pPr>
  </w:style>
  <w:style w:type="paragraph" w:customStyle="1" w:styleId="SNBullet2">
    <w:name w:val="SN Bullet 2"/>
    <w:basedOn w:val="USBodyText"/>
    <w:uiPriority w:val="7"/>
    <w:rsid w:val="00C37888"/>
    <w:pPr>
      <w:numPr>
        <w:ilvl w:val="1"/>
        <w:numId w:val="5"/>
      </w:numPr>
      <w:spacing w:before="0"/>
    </w:pPr>
  </w:style>
  <w:style w:type="paragraph" w:customStyle="1" w:styleId="SNBullet3">
    <w:name w:val="SN Bullet 3"/>
    <w:basedOn w:val="USBodyText"/>
    <w:uiPriority w:val="7"/>
    <w:rsid w:val="00C37888"/>
    <w:pPr>
      <w:numPr>
        <w:ilvl w:val="2"/>
        <w:numId w:val="5"/>
      </w:numPr>
      <w:spacing w:before="0"/>
    </w:pPr>
  </w:style>
  <w:style w:type="paragraph" w:customStyle="1" w:styleId="HeadingSectionDivider">
    <w:name w:val="Heading Section Divider"/>
    <w:basedOn w:val="Heading1"/>
    <w:uiPriority w:val="2"/>
    <w:semiHidden/>
    <w:rsid w:val="00C57284"/>
    <w:rPr>
      <w:b w:val="0"/>
      <w:color w:val="000000" w:themeColor="text1"/>
    </w:rPr>
  </w:style>
  <w:style w:type="paragraph" w:customStyle="1" w:styleId="USNote">
    <w:name w:val="US Note"/>
    <w:basedOn w:val="USNotes"/>
    <w:uiPriority w:val="5"/>
    <w:rsid w:val="00DD7E65"/>
    <w:pPr>
      <w:numPr>
        <w:numId w:val="0"/>
      </w:numPr>
    </w:pPr>
  </w:style>
  <w:style w:type="paragraph" w:customStyle="1" w:styleId="SNHeading2">
    <w:name w:val="SN Heading 2"/>
    <w:basedOn w:val="Heading2"/>
    <w:next w:val="SNNumber1"/>
    <w:uiPriority w:val="7"/>
    <w:rsid w:val="00C37888"/>
  </w:style>
  <w:style w:type="paragraph" w:customStyle="1" w:styleId="SNHeading3">
    <w:name w:val="SN Heading 3"/>
    <w:basedOn w:val="Heading3"/>
    <w:next w:val="SNNumber1"/>
    <w:uiPriority w:val="7"/>
    <w:rsid w:val="00C37888"/>
  </w:style>
  <w:style w:type="paragraph" w:customStyle="1" w:styleId="SNHeading4">
    <w:name w:val="SN Heading 4"/>
    <w:basedOn w:val="Heading4"/>
    <w:next w:val="SNNumber1"/>
    <w:uiPriority w:val="7"/>
    <w:rsid w:val="00C37888"/>
  </w:style>
  <w:style w:type="paragraph" w:customStyle="1" w:styleId="SNHeading5">
    <w:name w:val="SN Heading 5"/>
    <w:basedOn w:val="Heading5"/>
    <w:next w:val="SNNumber1"/>
    <w:uiPriority w:val="7"/>
    <w:rsid w:val="00C37888"/>
  </w:style>
  <w:style w:type="paragraph" w:customStyle="1" w:styleId="HeadingSectionDivider-Black">
    <w:name w:val="Heading Section Divider - Black"/>
    <w:basedOn w:val="Heading1"/>
    <w:uiPriority w:val="2"/>
    <w:rsid w:val="00C57284"/>
    <w:pPr>
      <w:pageBreakBefore w:val="0"/>
    </w:pPr>
    <w:rPr>
      <w:b w:val="0"/>
      <w:color w:val="000000" w:themeColor="text1"/>
    </w:rPr>
  </w:style>
  <w:style w:type="paragraph" w:customStyle="1" w:styleId="HeadingSectionDivider-BlueArrows">
    <w:name w:val="Heading Section Divider - Blue Arrows"/>
    <w:basedOn w:val="Normal"/>
    <w:uiPriority w:val="2"/>
    <w:rsid w:val="00A125AE"/>
    <w:pPr>
      <w:keepNext/>
      <w:keepLines/>
      <w:framePr w:wrap="around" w:vAnchor="page" w:hAnchor="margin" w:xAlign="center" w:y="6805"/>
      <w:spacing w:after="0" w:line="300" w:lineRule="atLeast"/>
      <w:jc w:val="center"/>
      <w:outlineLvl w:val="0"/>
    </w:pPr>
    <w:rPr>
      <w:rFonts w:eastAsiaTheme="majorEastAsia" w:cstheme="majorBidi"/>
      <w:b/>
      <w:caps/>
      <w:color w:val="000000" w:themeColor="text1"/>
      <w:sz w:val="48"/>
      <w:szCs w:val="32"/>
    </w:rPr>
  </w:style>
  <w:style w:type="paragraph" w:customStyle="1" w:styleId="HeadingSectionDivider-White">
    <w:name w:val="Heading Section Divider - White"/>
    <w:basedOn w:val="HeadingSectionDivider-Black"/>
    <w:uiPriority w:val="2"/>
    <w:rsid w:val="00C57284"/>
    <w:pPr>
      <w:outlineLvl w:val="9"/>
    </w:pPr>
    <w:rPr>
      <w:bCs/>
      <w:color w:val="FFFFFF" w:themeColor="background1"/>
    </w:rPr>
  </w:style>
  <w:style w:type="paragraph" w:customStyle="1" w:styleId="USPullQuoteBlack">
    <w:name w:val="US Pull Quote Black"/>
    <w:basedOn w:val="Normal"/>
    <w:uiPriority w:val="5"/>
    <w:rsid w:val="00B87B04"/>
    <w:pPr>
      <w:pBdr>
        <w:top w:val="single" w:sz="4" w:space="14" w:color="auto"/>
        <w:bottom w:val="single" w:sz="4" w:space="14" w:color="auto"/>
      </w:pBdr>
      <w:spacing w:before="284" w:after="454" w:line="340" w:lineRule="atLeast"/>
    </w:pPr>
    <w:rPr>
      <w:b/>
      <w:bCs/>
      <w:sz w:val="28"/>
    </w:rPr>
  </w:style>
  <w:style w:type="paragraph" w:customStyle="1" w:styleId="USPullQuoteWhite">
    <w:name w:val="US Pull Quote White"/>
    <w:basedOn w:val="USPullQuote"/>
    <w:uiPriority w:val="5"/>
    <w:rsid w:val="00C57284"/>
    <w:pPr>
      <w:pBdr>
        <w:top w:val="single" w:sz="4" w:space="14" w:color="FFFFFF" w:themeColor="background1"/>
        <w:bottom w:val="single" w:sz="4" w:space="14" w:color="FFFFFF" w:themeColor="background1"/>
      </w:pBdr>
    </w:pPr>
    <w:rPr>
      <w:b/>
      <w:bCs/>
      <w:color w:val="FFFFFF" w:themeColor="background1"/>
    </w:rPr>
  </w:style>
  <w:style w:type="paragraph" w:customStyle="1" w:styleId="TSTableHeadingBlack">
    <w:name w:val="TS Table Heading Black"/>
    <w:basedOn w:val="Normal"/>
    <w:uiPriority w:val="9"/>
    <w:rsid w:val="0051181E"/>
    <w:pPr>
      <w:spacing w:before="57" w:after="57" w:line="190" w:lineRule="atLeast"/>
    </w:pPr>
    <w:rPr>
      <w:b/>
      <w:sz w:val="16"/>
    </w:rPr>
  </w:style>
  <w:style w:type="character" w:styleId="FollowedHyperlink">
    <w:name w:val="FollowedHyperlink"/>
    <w:basedOn w:val="DefaultParagraphFont"/>
    <w:uiPriority w:val="5"/>
    <w:rsid w:val="005028B1"/>
    <w:rPr>
      <w:color w:val="95D3D4"/>
      <w:u w:val="single"/>
    </w:rPr>
  </w:style>
  <w:style w:type="paragraph" w:customStyle="1" w:styleId="HeadingNonContents">
    <w:name w:val="Heading Non Contents"/>
    <w:basedOn w:val="HeadingContents"/>
    <w:uiPriority w:val="2"/>
    <w:rsid w:val="00D71C59"/>
  </w:style>
  <w:style w:type="paragraph" w:customStyle="1" w:styleId="USWhiteSpaceAfterTable">
    <w:name w:val="US White Space After Table"/>
    <w:basedOn w:val="USWhiteSpace"/>
    <w:next w:val="USBodyText"/>
    <w:uiPriority w:val="4"/>
    <w:rsid w:val="00C77539"/>
    <w:pPr>
      <w:spacing w:after="277"/>
    </w:pPr>
  </w:style>
  <w:style w:type="paragraph" w:customStyle="1" w:styleId="SNIndent1">
    <w:name w:val="SN Indent 1"/>
    <w:basedOn w:val="Normal"/>
    <w:uiPriority w:val="7"/>
    <w:rsid w:val="00C37888"/>
    <w:pPr>
      <w:ind w:left="851"/>
    </w:pPr>
  </w:style>
  <w:style w:type="paragraph" w:customStyle="1" w:styleId="SNIndent2">
    <w:name w:val="SN Indent 2"/>
    <w:basedOn w:val="Normal"/>
    <w:uiPriority w:val="7"/>
    <w:rsid w:val="00C37888"/>
    <w:pPr>
      <w:ind w:left="1276"/>
    </w:pPr>
  </w:style>
  <w:style w:type="paragraph" w:customStyle="1" w:styleId="SNIndent3">
    <w:name w:val="SN Indent 3"/>
    <w:basedOn w:val="Normal"/>
    <w:uiPriority w:val="7"/>
    <w:rsid w:val="00C37888"/>
    <w:pPr>
      <w:ind w:left="1701"/>
    </w:pPr>
  </w:style>
  <w:style w:type="paragraph" w:customStyle="1" w:styleId="SNIndent4">
    <w:name w:val="SN Indent 4"/>
    <w:basedOn w:val="Normal"/>
    <w:uiPriority w:val="7"/>
    <w:rsid w:val="00C37888"/>
    <w:pPr>
      <w:ind w:left="2126"/>
    </w:pPr>
  </w:style>
  <w:style w:type="character" w:customStyle="1" w:styleId="HyperlinkSourceTextReference">
    <w:name w:val="Hyperlink (Source Text Reference)"/>
    <w:basedOn w:val="DefaultParagraphFont"/>
    <w:uiPriority w:val="5"/>
    <w:rsid w:val="00B87B04"/>
    <w:rPr>
      <w:color w:val="74C6C7"/>
      <w:u w:val="single"/>
    </w:rPr>
  </w:style>
  <w:style w:type="paragraph" w:customStyle="1" w:styleId="USPullQuoteBlue">
    <w:name w:val="US Pull Quote Blue"/>
    <w:basedOn w:val="Normal"/>
    <w:uiPriority w:val="5"/>
    <w:rsid w:val="00B87B04"/>
    <w:pPr>
      <w:pBdr>
        <w:top w:val="single" w:sz="4" w:space="14" w:color="74C6C7"/>
        <w:bottom w:val="single" w:sz="4" w:space="14" w:color="74C6C7"/>
      </w:pBdr>
      <w:spacing w:before="284" w:after="454" w:line="340" w:lineRule="atLeast"/>
    </w:pPr>
    <w:rPr>
      <w:color w:val="74C6C7"/>
      <w:sz w:val="28"/>
    </w:rPr>
  </w:style>
  <w:style w:type="paragraph" w:customStyle="1" w:styleId="USWhiteSpaceBeforeTable">
    <w:name w:val="US White Space Before Table"/>
    <w:basedOn w:val="Normal"/>
    <w:uiPriority w:val="4"/>
    <w:rsid w:val="0006047A"/>
    <w:pPr>
      <w:spacing w:after="277" w:line="240" w:lineRule="auto"/>
    </w:pPr>
    <w:rPr>
      <w:sz w:val="12"/>
    </w:rPr>
  </w:style>
  <w:style w:type="paragraph" w:styleId="CommentText">
    <w:name w:val="annotation text"/>
    <w:basedOn w:val="Normal"/>
    <w:link w:val="CommentTextChar"/>
    <w:uiPriority w:val="99"/>
    <w:unhideWhenUsed/>
    <w:rsid w:val="00246BE2"/>
    <w:pPr>
      <w:spacing w:line="240" w:lineRule="auto"/>
    </w:pPr>
    <w:rPr>
      <w:szCs w:val="20"/>
    </w:rPr>
  </w:style>
  <w:style w:type="character" w:customStyle="1" w:styleId="CommentTextChar">
    <w:name w:val="Comment Text Char"/>
    <w:basedOn w:val="DefaultParagraphFont"/>
    <w:link w:val="CommentText"/>
    <w:uiPriority w:val="99"/>
    <w:rsid w:val="00246B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6BE2"/>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246BE2"/>
    <w:rPr>
      <w:rFonts w:ascii="Arial" w:hAnsi="Arial"/>
      <w:b/>
      <w:bCs/>
      <w:sz w:val="20"/>
      <w:szCs w:val="20"/>
    </w:rPr>
  </w:style>
  <w:style w:type="paragraph" w:customStyle="1" w:styleId="Sego">
    <w:name w:val="Sego"/>
    <w:basedOn w:val="USBodyText"/>
    <w:rsid w:val="00246BE2"/>
  </w:style>
  <w:style w:type="paragraph" w:customStyle="1" w:styleId="Number">
    <w:name w:val="Number"/>
    <w:basedOn w:val="USBodyText"/>
    <w:link w:val="NumberChar"/>
    <w:uiPriority w:val="19"/>
    <w:rsid w:val="00183DF7"/>
    <w:pPr>
      <w:numPr>
        <w:numId w:val="14"/>
      </w:numPr>
      <w:spacing w:before="0" w:after="120"/>
      <w:ind w:right="255"/>
    </w:pPr>
    <w:rPr>
      <w:rFonts w:ascii="Calibri" w:hAnsi="Calibri" w:cs="Calibri"/>
      <w:szCs w:val="20"/>
    </w:rPr>
  </w:style>
  <w:style w:type="paragraph" w:customStyle="1" w:styleId="Bodysub-heading">
    <w:name w:val="Body sub-heading"/>
    <w:basedOn w:val="USBodyText"/>
    <w:link w:val="Bodysub-headingChar"/>
    <w:uiPriority w:val="19"/>
    <w:rsid w:val="005D2759"/>
    <w:pPr>
      <w:spacing w:after="120"/>
      <w:ind w:right="255"/>
    </w:pPr>
    <w:rPr>
      <w:rFonts w:ascii="Calibri" w:hAnsi="Calibri" w:cs="Calibri"/>
      <w:b/>
      <w:bCs/>
    </w:rPr>
  </w:style>
  <w:style w:type="character" w:customStyle="1" w:styleId="USBodyTextChar">
    <w:name w:val="US Body Text Char"/>
    <w:basedOn w:val="DefaultParagraphFont"/>
    <w:link w:val="USBodyText"/>
    <w:uiPriority w:val="5"/>
    <w:rsid w:val="005D2759"/>
    <w:rPr>
      <w:rFonts w:ascii="Arial" w:hAnsi="Arial"/>
      <w:sz w:val="20"/>
    </w:rPr>
  </w:style>
  <w:style w:type="character" w:customStyle="1" w:styleId="NumberChar">
    <w:name w:val="Number Char"/>
    <w:basedOn w:val="USBodyTextChar"/>
    <w:link w:val="Number"/>
    <w:uiPriority w:val="19"/>
    <w:rsid w:val="00183DF7"/>
    <w:rPr>
      <w:rFonts w:ascii="Calibri" w:hAnsi="Calibri" w:cs="Calibri"/>
      <w:sz w:val="20"/>
      <w:szCs w:val="20"/>
    </w:rPr>
  </w:style>
  <w:style w:type="paragraph" w:customStyle="1" w:styleId="Sectionheading">
    <w:name w:val="Section heading"/>
    <w:basedOn w:val="USBodyText"/>
    <w:link w:val="SectionheadingChar"/>
    <w:uiPriority w:val="19"/>
    <w:rsid w:val="00107AA8"/>
    <w:pPr>
      <w:spacing w:before="120" w:after="200"/>
    </w:pPr>
    <w:rPr>
      <w:b/>
      <w:bCs/>
      <w:sz w:val="24"/>
      <w:szCs w:val="24"/>
    </w:rPr>
  </w:style>
  <w:style w:type="character" w:customStyle="1" w:styleId="Bodysub-headingChar">
    <w:name w:val="Body sub-heading Char"/>
    <w:basedOn w:val="USBodyTextChar"/>
    <w:link w:val="Bodysub-heading"/>
    <w:uiPriority w:val="19"/>
    <w:rsid w:val="005D2759"/>
    <w:rPr>
      <w:rFonts w:ascii="Calibri" w:hAnsi="Calibri" w:cs="Calibri"/>
      <w:b/>
      <w:bCs/>
      <w:sz w:val="20"/>
    </w:rPr>
  </w:style>
  <w:style w:type="paragraph" w:customStyle="1" w:styleId="Title1">
    <w:name w:val="Title1"/>
    <w:basedOn w:val="USBodyText"/>
    <w:link w:val="Title1Char"/>
    <w:uiPriority w:val="19"/>
    <w:qFormat/>
    <w:rsid w:val="005D2759"/>
    <w:pPr>
      <w:spacing w:before="240" w:after="120" w:line="240" w:lineRule="auto"/>
      <w:ind w:left="1560"/>
    </w:pPr>
    <w:rPr>
      <w:rFonts w:ascii="Segoe UI" w:hAnsi="Segoe UI" w:cs="Segoe UI"/>
      <w:b/>
      <w:bCs/>
      <w:color w:val="03B2C4"/>
      <w:sz w:val="36"/>
      <w:szCs w:val="36"/>
    </w:rPr>
  </w:style>
  <w:style w:type="character" w:customStyle="1" w:styleId="SectionheadingChar">
    <w:name w:val="Section heading Char"/>
    <w:basedOn w:val="USBodyTextChar"/>
    <w:link w:val="Sectionheading"/>
    <w:uiPriority w:val="19"/>
    <w:rsid w:val="00107AA8"/>
    <w:rPr>
      <w:rFonts w:ascii="Arial" w:hAnsi="Arial"/>
      <w:b/>
      <w:bCs/>
      <w:sz w:val="24"/>
      <w:szCs w:val="24"/>
    </w:rPr>
  </w:style>
  <w:style w:type="paragraph" w:customStyle="1" w:styleId="Romannumerals">
    <w:name w:val="Roman numerals"/>
    <w:basedOn w:val="USBodyText"/>
    <w:link w:val="RomannumeralsChar"/>
    <w:uiPriority w:val="19"/>
    <w:rsid w:val="00183DF7"/>
    <w:pPr>
      <w:numPr>
        <w:numId w:val="15"/>
      </w:numPr>
      <w:spacing w:before="0" w:after="120"/>
      <w:ind w:left="765" w:right="255" w:hanging="255"/>
    </w:pPr>
    <w:rPr>
      <w:rFonts w:ascii="Calibri" w:hAnsi="Calibri" w:cs="Calibri"/>
      <w:szCs w:val="20"/>
    </w:rPr>
  </w:style>
  <w:style w:type="character" w:customStyle="1" w:styleId="Title1Char">
    <w:name w:val="Title1 Char"/>
    <w:basedOn w:val="USBodyTextChar"/>
    <w:link w:val="Title1"/>
    <w:uiPriority w:val="19"/>
    <w:rsid w:val="005D2759"/>
    <w:rPr>
      <w:rFonts w:ascii="Segoe UI" w:hAnsi="Segoe UI" w:cs="Segoe UI"/>
      <w:b/>
      <w:bCs/>
      <w:color w:val="03B2C4"/>
      <w:sz w:val="36"/>
      <w:szCs w:val="36"/>
    </w:rPr>
  </w:style>
  <w:style w:type="character" w:styleId="UnresolvedMention">
    <w:name w:val="Unresolved Mention"/>
    <w:basedOn w:val="DefaultParagraphFont"/>
    <w:uiPriority w:val="99"/>
    <w:unhideWhenUsed/>
    <w:rsid w:val="00530243"/>
    <w:rPr>
      <w:color w:val="605E5C"/>
      <w:shd w:val="clear" w:color="auto" w:fill="E1DFDD"/>
    </w:rPr>
  </w:style>
  <w:style w:type="character" w:customStyle="1" w:styleId="RomannumeralsChar">
    <w:name w:val="Roman numerals Char"/>
    <w:basedOn w:val="USBodyTextChar"/>
    <w:link w:val="Romannumerals"/>
    <w:uiPriority w:val="19"/>
    <w:rsid w:val="00183DF7"/>
    <w:rPr>
      <w:rFonts w:ascii="Calibri" w:hAnsi="Calibri" w:cs="Calibri"/>
      <w:sz w:val="20"/>
      <w:szCs w:val="20"/>
    </w:rPr>
  </w:style>
  <w:style w:type="paragraph" w:styleId="NoSpacing">
    <w:name w:val="No Spacing"/>
    <w:link w:val="NoSpacingChar"/>
    <w:uiPriority w:val="1"/>
    <w:qFormat/>
    <w:rsid w:val="009334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33451"/>
    <w:rPr>
      <w:rFonts w:eastAsiaTheme="minorEastAsia"/>
      <w:lang w:val="en-US"/>
    </w:rPr>
  </w:style>
  <w:style w:type="paragraph" w:customStyle="1" w:styleId="Sectionsub-heading">
    <w:name w:val="Section sub-heading"/>
    <w:basedOn w:val="USBodyText"/>
    <w:link w:val="Sectionsub-headingChar"/>
    <w:uiPriority w:val="19"/>
    <w:qFormat/>
    <w:rsid w:val="00F96333"/>
    <w:pPr>
      <w:spacing w:before="240" w:after="200"/>
    </w:pPr>
    <w:rPr>
      <w:rFonts w:ascii="Calibri" w:hAnsi="Calibri" w:cs="Calibri"/>
      <w:b/>
      <w:color w:val="182B46"/>
      <w:sz w:val="26"/>
    </w:rPr>
  </w:style>
  <w:style w:type="paragraph" w:customStyle="1" w:styleId="Bodynumbercopy">
    <w:name w:val="Body number copy"/>
    <w:basedOn w:val="Number"/>
    <w:link w:val="BodynumbercopyChar"/>
    <w:uiPriority w:val="19"/>
    <w:qFormat/>
    <w:rsid w:val="00F96333"/>
    <w:pPr>
      <w:numPr>
        <w:numId w:val="27"/>
      </w:numPr>
    </w:pPr>
    <w:rPr>
      <w:sz w:val="21"/>
      <w:szCs w:val="21"/>
    </w:rPr>
  </w:style>
  <w:style w:type="character" w:customStyle="1" w:styleId="Sectionsub-headingChar">
    <w:name w:val="Section sub-heading Char"/>
    <w:basedOn w:val="USBodyTextChar"/>
    <w:link w:val="Sectionsub-heading"/>
    <w:uiPriority w:val="19"/>
    <w:rsid w:val="00F96333"/>
    <w:rPr>
      <w:rFonts w:ascii="Calibri" w:hAnsi="Calibri" w:cs="Calibri"/>
      <w:b/>
      <w:color w:val="182B46"/>
      <w:sz w:val="26"/>
    </w:rPr>
  </w:style>
  <w:style w:type="paragraph" w:customStyle="1" w:styleId="Bodysub-heading2">
    <w:name w:val="Body sub-heading2"/>
    <w:basedOn w:val="USBodyText"/>
    <w:link w:val="Bodysub-heading2Char"/>
    <w:uiPriority w:val="19"/>
    <w:qFormat/>
    <w:rsid w:val="00A4666D"/>
    <w:pPr>
      <w:spacing w:after="120"/>
      <w:ind w:right="255"/>
    </w:pPr>
    <w:rPr>
      <w:rFonts w:ascii="Calibri" w:hAnsi="Calibri" w:cs="Calibri"/>
      <w:color w:val="03B2C4"/>
      <w:sz w:val="22"/>
      <w:szCs w:val="21"/>
    </w:rPr>
  </w:style>
  <w:style w:type="character" w:customStyle="1" w:styleId="BodynumbercopyChar">
    <w:name w:val="Body number copy Char"/>
    <w:basedOn w:val="NumberChar"/>
    <w:link w:val="Bodynumbercopy"/>
    <w:uiPriority w:val="19"/>
    <w:rsid w:val="00F96333"/>
    <w:rPr>
      <w:rFonts w:ascii="Calibri" w:hAnsi="Calibri" w:cs="Calibri"/>
      <w:sz w:val="21"/>
      <w:szCs w:val="21"/>
    </w:rPr>
  </w:style>
  <w:style w:type="paragraph" w:customStyle="1" w:styleId="Bodyromannumerals">
    <w:name w:val="Body roman numerals"/>
    <w:basedOn w:val="USBodyText"/>
    <w:link w:val="BodyromannumeralsChar"/>
    <w:uiPriority w:val="19"/>
    <w:qFormat/>
    <w:rsid w:val="00A4666D"/>
    <w:pPr>
      <w:spacing w:before="60" w:after="120"/>
      <w:ind w:right="255"/>
    </w:pPr>
    <w:rPr>
      <w:rFonts w:ascii="Calibri" w:hAnsi="Calibri" w:cs="Calibri"/>
      <w:sz w:val="21"/>
      <w:szCs w:val="21"/>
    </w:rPr>
  </w:style>
  <w:style w:type="character" w:customStyle="1" w:styleId="Bodysub-heading2Char">
    <w:name w:val="Body sub-heading2 Char"/>
    <w:basedOn w:val="USBodyTextChar"/>
    <w:link w:val="Bodysub-heading2"/>
    <w:uiPriority w:val="19"/>
    <w:rsid w:val="00A4666D"/>
    <w:rPr>
      <w:rFonts w:ascii="Calibri" w:hAnsi="Calibri" w:cs="Calibri"/>
      <w:color w:val="03B2C4"/>
      <w:sz w:val="20"/>
      <w:szCs w:val="21"/>
    </w:rPr>
  </w:style>
  <w:style w:type="table" w:styleId="GridTable1Light-Accent1">
    <w:name w:val="Grid Table 1 Light Accent 1"/>
    <w:basedOn w:val="TableNormal"/>
    <w:uiPriority w:val="46"/>
    <w:rsid w:val="00A4666D"/>
    <w:pPr>
      <w:spacing w:after="0" w:line="240" w:lineRule="auto"/>
    </w:pPr>
    <w:tblPr>
      <w:tblStyleRowBandSize w:val="1"/>
      <w:tblStyleColBandSize w:val="1"/>
      <w:tblBorders>
        <w:top w:val="single" w:sz="4" w:space="0" w:color="FFE6AD" w:themeColor="accent1" w:themeTint="66"/>
        <w:left w:val="single" w:sz="4" w:space="0" w:color="FFE6AD" w:themeColor="accent1" w:themeTint="66"/>
        <w:bottom w:val="single" w:sz="4" w:space="0" w:color="FFE6AD" w:themeColor="accent1" w:themeTint="66"/>
        <w:right w:val="single" w:sz="4" w:space="0" w:color="FFE6AD" w:themeColor="accent1" w:themeTint="66"/>
        <w:insideH w:val="single" w:sz="4" w:space="0" w:color="FFE6AD" w:themeColor="accent1" w:themeTint="66"/>
        <w:insideV w:val="single" w:sz="4" w:space="0" w:color="FFE6AD" w:themeColor="accent1" w:themeTint="66"/>
      </w:tblBorders>
    </w:tblPr>
    <w:tblStylePr w:type="firstRow">
      <w:rPr>
        <w:b/>
        <w:bCs/>
      </w:rPr>
      <w:tblPr/>
      <w:tcPr>
        <w:tcBorders>
          <w:bottom w:val="single" w:sz="12" w:space="0" w:color="FFD984" w:themeColor="accent1" w:themeTint="99"/>
        </w:tcBorders>
      </w:tcPr>
    </w:tblStylePr>
    <w:tblStylePr w:type="lastRow">
      <w:rPr>
        <w:b/>
        <w:bCs/>
      </w:rPr>
      <w:tblPr/>
      <w:tcPr>
        <w:tcBorders>
          <w:top w:val="double" w:sz="2" w:space="0" w:color="FFD984" w:themeColor="accent1" w:themeTint="99"/>
        </w:tcBorders>
      </w:tcPr>
    </w:tblStylePr>
    <w:tblStylePr w:type="firstCol">
      <w:rPr>
        <w:b/>
        <w:bCs/>
      </w:rPr>
    </w:tblStylePr>
    <w:tblStylePr w:type="lastCol">
      <w:rPr>
        <w:b/>
        <w:bCs/>
      </w:rPr>
    </w:tblStylePr>
  </w:style>
  <w:style w:type="character" w:customStyle="1" w:styleId="BodyromannumeralsChar">
    <w:name w:val="Body roman numerals Char"/>
    <w:basedOn w:val="USBodyTextChar"/>
    <w:link w:val="Bodyromannumerals"/>
    <w:uiPriority w:val="19"/>
    <w:rsid w:val="00A4666D"/>
    <w:rPr>
      <w:rFonts w:ascii="Calibri" w:hAnsi="Calibri" w:cs="Calibri"/>
      <w:sz w:val="21"/>
      <w:szCs w:val="21"/>
    </w:rPr>
  </w:style>
  <w:style w:type="paragraph" w:customStyle="1" w:styleId="Bodybullet1">
    <w:name w:val="Body bullet1"/>
    <w:basedOn w:val="USBodyText"/>
    <w:link w:val="Bodybullet1Char"/>
    <w:uiPriority w:val="19"/>
    <w:rsid w:val="00F96333"/>
    <w:pPr>
      <w:framePr w:hSpace="180" w:wrap="around" w:vAnchor="text" w:hAnchor="margin" w:y="674"/>
      <w:numPr>
        <w:numId w:val="17"/>
      </w:numPr>
      <w:spacing w:before="0" w:after="0" w:line="240" w:lineRule="auto"/>
      <w:ind w:left="567" w:hanging="567"/>
    </w:pPr>
    <w:rPr>
      <w:rFonts w:ascii="Calibri" w:hAnsi="Calibri" w:cs="Calibri"/>
      <w:sz w:val="21"/>
      <w:szCs w:val="21"/>
    </w:rPr>
  </w:style>
  <w:style w:type="paragraph" w:customStyle="1" w:styleId="Bodybullet2">
    <w:name w:val="Body bullet 2"/>
    <w:basedOn w:val="USBodyText"/>
    <w:link w:val="Bodybullet2Char"/>
    <w:uiPriority w:val="19"/>
    <w:qFormat/>
    <w:rsid w:val="00F60163"/>
    <w:pPr>
      <w:framePr w:hSpace="180" w:wrap="around" w:vAnchor="text" w:hAnchor="margin" w:y="674"/>
      <w:numPr>
        <w:ilvl w:val="1"/>
        <w:numId w:val="18"/>
      </w:numPr>
      <w:spacing w:before="0" w:afterLines="25" w:after="25" w:line="240" w:lineRule="auto"/>
      <w:ind w:left="754" w:hanging="357"/>
    </w:pPr>
    <w:rPr>
      <w:rFonts w:ascii="Calibri" w:hAnsi="Calibri" w:cs="Calibri"/>
      <w:sz w:val="21"/>
      <w:szCs w:val="21"/>
    </w:rPr>
  </w:style>
  <w:style w:type="character" w:customStyle="1" w:styleId="Bodybullet1Char">
    <w:name w:val="Body bullet1 Char"/>
    <w:basedOn w:val="USBodyTextChar"/>
    <w:link w:val="Bodybullet1"/>
    <w:uiPriority w:val="19"/>
    <w:rsid w:val="00F96333"/>
    <w:rPr>
      <w:rFonts w:ascii="Calibri" w:hAnsi="Calibri" w:cs="Calibri"/>
      <w:sz w:val="21"/>
      <w:szCs w:val="21"/>
    </w:rPr>
  </w:style>
  <w:style w:type="paragraph" w:customStyle="1" w:styleId="Bodybullet10">
    <w:name w:val="Body bullet 1"/>
    <w:basedOn w:val="Bodybullet1"/>
    <w:link w:val="Bodybullet1Char0"/>
    <w:uiPriority w:val="19"/>
    <w:qFormat/>
    <w:rsid w:val="00F60163"/>
    <w:pPr>
      <w:framePr w:wrap="around"/>
      <w:spacing w:afterLines="25" w:after="25"/>
      <w:ind w:left="397" w:hanging="397"/>
    </w:pPr>
  </w:style>
  <w:style w:type="character" w:customStyle="1" w:styleId="Bodybullet2Char">
    <w:name w:val="Body bullet 2 Char"/>
    <w:basedOn w:val="USBodyTextChar"/>
    <w:link w:val="Bodybullet2"/>
    <w:uiPriority w:val="19"/>
    <w:rsid w:val="00F60163"/>
    <w:rPr>
      <w:rFonts w:ascii="Calibri" w:hAnsi="Calibri" w:cs="Calibri"/>
      <w:sz w:val="21"/>
      <w:szCs w:val="21"/>
    </w:rPr>
  </w:style>
  <w:style w:type="character" w:customStyle="1" w:styleId="Bodybullet1Char0">
    <w:name w:val="Body bullet 1 Char"/>
    <w:basedOn w:val="Bodybullet1Char"/>
    <w:link w:val="Bodybullet10"/>
    <w:uiPriority w:val="19"/>
    <w:rsid w:val="00F60163"/>
    <w:rPr>
      <w:rFonts w:ascii="Calibri" w:hAnsi="Calibri" w:cs="Calibri"/>
      <w:sz w:val="21"/>
      <w:szCs w:val="21"/>
    </w:rPr>
  </w:style>
  <w:style w:type="paragraph" w:customStyle="1" w:styleId="xusbodytext">
    <w:name w:val="x_usbodytext"/>
    <w:basedOn w:val="Normal"/>
    <w:rsid w:val="00CD579C"/>
    <w:pPr>
      <w:spacing w:after="0" w:line="240" w:lineRule="auto"/>
    </w:pPr>
    <w:rPr>
      <w:rFonts w:ascii="Calibri" w:hAnsi="Calibri" w:cs="Calibri"/>
      <w:sz w:val="22"/>
      <w:lang w:eastAsia="en-NZ"/>
    </w:r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aliases w:val="List Paragraph numbered Char,List Bullet indent Char"/>
    <w:basedOn w:val="DefaultParagraphFont"/>
    <w:link w:val="ListParagraph"/>
    <w:uiPriority w:val="34"/>
    <w:rsid w:val="008E147C"/>
    <w:rPr>
      <w:rFonts w:ascii="Arial" w:hAnsi="Arial"/>
      <w:sz w:val="20"/>
    </w:rPr>
  </w:style>
  <w:style w:type="paragraph" w:styleId="NormalWeb">
    <w:name w:val="Normal (Web)"/>
    <w:basedOn w:val="Normal"/>
    <w:uiPriority w:val="99"/>
    <w:semiHidden/>
    <w:unhideWhenUsed/>
    <w:rsid w:val="008E147C"/>
    <w:pPr>
      <w:spacing w:before="100" w:beforeAutospacing="1" w:after="100" w:afterAutospacing="1" w:line="240" w:lineRule="auto"/>
    </w:pPr>
    <w:rPr>
      <w:rFonts w:ascii="Times New Roman" w:eastAsia="Times New Roman" w:hAnsi="Times New Roman" w:cs="Times New Roman"/>
      <w:sz w:val="24"/>
      <w:szCs w:val="24"/>
      <w:lang w:eastAsia="en-NZ"/>
    </w:rPr>
  </w:style>
  <w:style w:type="table" w:customStyle="1" w:styleId="TableGrid1">
    <w:name w:val="Table Grid1"/>
    <w:basedOn w:val="TableNormal"/>
    <w:next w:val="TableGrid"/>
    <w:uiPriority w:val="39"/>
    <w:rsid w:val="008E147C"/>
    <w:pPr>
      <w:spacing w:after="0" w:line="240" w:lineRule="auto"/>
    </w:pPr>
    <w:rPr>
      <w:rFonts w:ascii="EYInterstate Light" w:eastAsia="Times New Roman" w:hAnsi="EYInterstate Light"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8E147C"/>
    <w:rPr>
      <w:color w:val="2B579A"/>
      <w:shd w:val="clear" w:color="auto" w:fill="E1DFDD"/>
    </w:rPr>
  </w:style>
  <w:style w:type="paragraph" w:customStyle="1" w:styleId="Tabletitles">
    <w:name w:val="Table titles"/>
    <w:basedOn w:val="NoSpacing"/>
    <w:qFormat/>
    <w:rsid w:val="008E147C"/>
    <w:pPr>
      <w:spacing w:line="360" w:lineRule="auto"/>
    </w:pPr>
    <w:rPr>
      <w:rFonts w:ascii="Calibri" w:eastAsia="Times New Roman" w:hAnsi="Calibri" w:cs="Times New Roman"/>
      <w:szCs w:val="20"/>
    </w:rPr>
  </w:style>
  <w:style w:type="character" w:styleId="BookTitle">
    <w:name w:val="Book Title"/>
    <w:aliases w:val="Doc Title"/>
    <w:uiPriority w:val="33"/>
    <w:qFormat/>
    <w:rsid w:val="008E147C"/>
    <w:rPr>
      <w:b/>
      <w:bCs/>
      <w:color w:val="182B46"/>
      <w:sz w:val="56"/>
      <w:szCs w:val="56"/>
    </w:rPr>
  </w:style>
  <w:style w:type="paragraph" w:styleId="Revision">
    <w:name w:val="Revision"/>
    <w:hidden/>
    <w:uiPriority w:val="99"/>
    <w:semiHidden/>
    <w:rsid w:val="008E147C"/>
    <w:pPr>
      <w:spacing w:after="0" w:line="240" w:lineRule="auto"/>
    </w:pPr>
    <w:rPr>
      <w:rFonts w:ascii="Calibri" w:eastAsia="Times New Roman" w:hAnsi="Calibri" w:cs="Times New Roman"/>
      <w:szCs w:val="24"/>
      <w:lang w:eastAsia="en-NZ"/>
    </w:rPr>
  </w:style>
  <w:style w:type="numbering" w:customStyle="1" w:styleId="NoList1">
    <w:name w:val="No List1"/>
    <w:next w:val="NoList"/>
    <w:uiPriority w:val="99"/>
    <w:semiHidden/>
    <w:unhideWhenUsed/>
    <w:rsid w:val="008E147C"/>
  </w:style>
  <w:style w:type="paragraph" w:customStyle="1" w:styleId="msonormal0">
    <w:name w:val="msonormal"/>
    <w:basedOn w:val="Normal"/>
    <w:rsid w:val="008E147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ommentText1">
    <w:name w:val="Comment Text1"/>
    <w:basedOn w:val="Normal"/>
    <w:next w:val="CommentText"/>
    <w:uiPriority w:val="99"/>
    <w:semiHidden/>
    <w:rsid w:val="008E147C"/>
    <w:pPr>
      <w:spacing w:after="160" w:line="240" w:lineRule="auto"/>
    </w:pPr>
    <w:rPr>
      <w:rFonts w:ascii="Calibri" w:eastAsia="Calibri" w:hAnsi="Calibri" w:cs="Times New Roman"/>
      <w:szCs w:val="20"/>
      <w:lang w:val="en-GB"/>
    </w:rPr>
  </w:style>
  <w:style w:type="character" w:customStyle="1" w:styleId="CommentTextChar1">
    <w:name w:val="Comment Text Char1"/>
    <w:basedOn w:val="DefaultParagraphFont"/>
    <w:uiPriority w:val="99"/>
    <w:semiHidden/>
    <w:locked/>
    <w:rsid w:val="008E147C"/>
    <w:rPr>
      <w:rFonts w:ascii="Calibri" w:eastAsia="Calibri" w:hAnsi="Calibri" w:cs="Times New Roman"/>
      <w:sz w:val="20"/>
      <w:szCs w:val="20"/>
      <w:lang w:val="en-GB"/>
    </w:rPr>
  </w:style>
  <w:style w:type="table" w:customStyle="1" w:styleId="TableGrid2">
    <w:name w:val="Table Grid2"/>
    <w:basedOn w:val="TableNormal"/>
    <w:next w:val="TableGrid"/>
    <w:uiPriority w:val="39"/>
    <w:rsid w:val="008E147C"/>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E147C"/>
    <w:pPr>
      <w:spacing w:after="0" w:line="240" w:lineRule="auto"/>
    </w:pPr>
    <w:rPr>
      <w:rFonts w:ascii="Calibri" w:eastAsia="Times New Roman" w:hAnsi="Calibri" w:cs="Times New Roman"/>
      <w:szCs w:val="20"/>
      <w:lang w:eastAsia="en-NZ"/>
    </w:rPr>
  </w:style>
  <w:style w:type="character" w:customStyle="1" w:styleId="EndnoteTextChar">
    <w:name w:val="Endnote Text Char"/>
    <w:basedOn w:val="DefaultParagraphFont"/>
    <w:link w:val="EndnoteText"/>
    <w:uiPriority w:val="99"/>
    <w:semiHidden/>
    <w:rsid w:val="008E147C"/>
    <w:rPr>
      <w:rFonts w:ascii="Calibri" w:eastAsia="Times New Roman" w:hAnsi="Calibri" w:cs="Times New Roman"/>
      <w:sz w:val="20"/>
      <w:szCs w:val="20"/>
      <w:lang w:eastAsia="en-NZ"/>
    </w:rPr>
  </w:style>
  <w:style w:type="character" w:styleId="EndnoteReference">
    <w:name w:val="endnote reference"/>
    <w:basedOn w:val="DefaultParagraphFont"/>
    <w:uiPriority w:val="99"/>
    <w:semiHidden/>
    <w:unhideWhenUsed/>
    <w:rsid w:val="008E147C"/>
    <w:rPr>
      <w:vertAlign w:val="superscript"/>
    </w:rPr>
  </w:style>
  <w:style w:type="numbering" w:customStyle="1" w:styleId="NoList2">
    <w:name w:val="No List2"/>
    <w:next w:val="NoList"/>
    <w:uiPriority w:val="99"/>
    <w:semiHidden/>
    <w:unhideWhenUsed/>
    <w:rsid w:val="008E147C"/>
  </w:style>
  <w:style w:type="table" w:customStyle="1" w:styleId="TableGrid3">
    <w:name w:val="Table Grid3"/>
    <w:basedOn w:val="TableNormal"/>
    <w:next w:val="TableGrid"/>
    <w:uiPriority w:val="39"/>
    <w:rsid w:val="008E147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E4C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BE4C73"/>
  </w:style>
  <w:style w:type="character" w:customStyle="1" w:styleId="eop">
    <w:name w:val="eop"/>
    <w:basedOn w:val="DefaultParagraphFont"/>
    <w:rsid w:val="00BE4C73"/>
  </w:style>
  <w:style w:type="table" w:customStyle="1" w:styleId="GridTable1Light1">
    <w:name w:val="Grid Table 1 Light1"/>
    <w:basedOn w:val="TableNormal"/>
    <w:next w:val="GridTable1Light"/>
    <w:uiPriority w:val="46"/>
    <w:rsid w:val="00E75086"/>
    <w:pPr>
      <w:spacing w:after="0" w:line="240" w:lineRule="auto"/>
    </w:pPr>
    <w:rPr>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E750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semiHidden/>
    <w:rsid w:val="00AF5A52"/>
    <w:pPr>
      <w:spacing w:after="0" w:line="240" w:lineRule="auto"/>
    </w:pPr>
    <w:rPr>
      <w:rFonts w:ascii="CG Omega" w:eastAsia="Times New Roman" w:hAnsi="CG Omega" w:cs="Times New Roman"/>
      <w:color w:val="000000"/>
      <w:sz w:val="24"/>
      <w:szCs w:val="20"/>
      <w:lang w:val="en-GB"/>
    </w:rPr>
  </w:style>
  <w:style w:type="character" w:customStyle="1" w:styleId="BodyTextChar">
    <w:name w:val="Body Text Char"/>
    <w:basedOn w:val="DefaultParagraphFont"/>
    <w:link w:val="BodyText"/>
    <w:semiHidden/>
    <w:rsid w:val="00AF5A52"/>
    <w:rPr>
      <w:rFonts w:ascii="CG Omega" w:eastAsia="Times New Roman" w:hAnsi="CG Omega"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99588">
      <w:bodyDiv w:val="1"/>
      <w:marLeft w:val="0"/>
      <w:marRight w:val="0"/>
      <w:marTop w:val="0"/>
      <w:marBottom w:val="0"/>
      <w:divBdr>
        <w:top w:val="none" w:sz="0" w:space="0" w:color="auto"/>
        <w:left w:val="none" w:sz="0" w:space="0" w:color="auto"/>
        <w:bottom w:val="none" w:sz="0" w:space="0" w:color="auto"/>
        <w:right w:val="none" w:sz="0" w:space="0" w:color="auto"/>
      </w:divBdr>
    </w:div>
    <w:div w:id="1369061747">
      <w:bodyDiv w:val="1"/>
      <w:marLeft w:val="0"/>
      <w:marRight w:val="0"/>
      <w:marTop w:val="0"/>
      <w:marBottom w:val="0"/>
      <w:divBdr>
        <w:top w:val="none" w:sz="0" w:space="0" w:color="auto"/>
        <w:left w:val="none" w:sz="0" w:space="0" w:color="auto"/>
        <w:bottom w:val="none" w:sz="0" w:space="0" w:color="auto"/>
        <w:right w:val="none" w:sz="0" w:space="0" w:color="auto"/>
      </w:divBdr>
      <w:divsChild>
        <w:div w:id="192815801">
          <w:marLeft w:val="0"/>
          <w:marRight w:val="0"/>
          <w:marTop w:val="0"/>
          <w:marBottom w:val="0"/>
          <w:divBdr>
            <w:top w:val="none" w:sz="0" w:space="0" w:color="auto"/>
            <w:left w:val="none" w:sz="0" w:space="0" w:color="auto"/>
            <w:bottom w:val="none" w:sz="0" w:space="0" w:color="auto"/>
            <w:right w:val="none" w:sz="0" w:space="0" w:color="auto"/>
          </w:divBdr>
          <w:divsChild>
            <w:div w:id="655454129">
              <w:marLeft w:val="0"/>
              <w:marRight w:val="0"/>
              <w:marTop w:val="0"/>
              <w:marBottom w:val="0"/>
              <w:divBdr>
                <w:top w:val="none" w:sz="0" w:space="0" w:color="auto"/>
                <w:left w:val="none" w:sz="0" w:space="0" w:color="auto"/>
                <w:bottom w:val="none" w:sz="0" w:space="0" w:color="auto"/>
                <w:right w:val="none" w:sz="0" w:space="0" w:color="auto"/>
              </w:divBdr>
            </w:div>
          </w:divsChild>
        </w:div>
        <w:div w:id="378014664">
          <w:marLeft w:val="0"/>
          <w:marRight w:val="0"/>
          <w:marTop w:val="0"/>
          <w:marBottom w:val="0"/>
          <w:divBdr>
            <w:top w:val="none" w:sz="0" w:space="0" w:color="auto"/>
            <w:left w:val="none" w:sz="0" w:space="0" w:color="auto"/>
            <w:bottom w:val="none" w:sz="0" w:space="0" w:color="auto"/>
            <w:right w:val="none" w:sz="0" w:space="0" w:color="auto"/>
          </w:divBdr>
          <w:divsChild>
            <w:div w:id="1069424422">
              <w:marLeft w:val="0"/>
              <w:marRight w:val="0"/>
              <w:marTop w:val="0"/>
              <w:marBottom w:val="0"/>
              <w:divBdr>
                <w:top w:val="none" w:sz="0" w:space="0" w:color="auto"/>
                <w:left w:val="none" w:sz="0" w:space="0" w:color="auto"/>
                <w:bottom w:val="none" w:sz="0" w:space="0" w:color="auto"/>
                <w:right w:val="none" w:sz="0" w:space="0" w:color="auto"/>
              </w:divBdr>
            </w:div>
          </w:divsChild>
        </w:div>
        <w:div w:id="405227411">
          <w:marLeft w:val="0"/>
          <w:marRight w:val="0"/>
          <w:marTop w:val="0"/>
          <w:marBottom w:val="0"/>
          <w:divBdr>
            <w:top w:val="none" w:sz="0" w:space="0" w:color="auto"/>
            <w:left w:val="none" w:sz="0" w:space="0" w:color="auto"/>
            <w:bottom w:val="none" w:sz="0" w:space="0" w:color="auto"/>
            <w:right w:val="none" w:sz="0" w:space="0" w:color="auto"/>
          </w:divBdr>
          <w:divsChild>
            <w:div w:id="163935801">
              <w:marLeft w:val="0"/>
              <w:marRight w:val="0"/>
              <w:marTop w:val="0"/>
              <w:marBottom w:val="0"/>
              <w:divBdr>
                <w:top w:val="none" w:sz="0" w:space="0" w:color="auto"/>
                <w:left w:val="none" w:sz="0" w:space="0" w:color="auto"/>
                <w:bottom w:val="none" w:sz="0" w:space="0" w:color="auto"/>
                <w:right w:val="none" w:sz="0" w:space="0" w:color="auto"/>
              </w:divBdr>
            </w:div>
          </w:divsChild>
        </w:div>
        <w:div w:id="577792182">
          <w:marLeft w:val="0"/>
          <w:marRight w:val="0"/>
          <w:marTop w:val="0"/>
          <w:marBottom w:val="0"/>
          <w:divBdr>
            <w:top w:val="none" w:sz="0" w:space="0" w:color="auto"/>
            <w:left w:val="none" w:sz="0" w:space="0" w:color="auto"/>
            <w:bottom w:val="none" w:sz="0" w:space="0" w:color="auto"/>
            <w:right w:val="none" w:sz="0" w:space="0" w:color="auto"/>
          </w:divBdr>
          <w:divsChild>
            <w:div w:id="2127459904">
              <w:marLeft w:val="0"/>
              <w:marRight w:val="0"/>
              <w:marTop w:val="0"/>
              <w:marBottom w:val="0"/>
              <w:divBdr>
                <w:top w:val="none" w:sz="0" w:space="0" w:color="auto"/>
                <w:left w:val="none" w:sz="0" w:space="0" w:color="auto"/>
                <w:bottom w:val="none" w:sz="0" w:space="0" w:color="auto"/>
                <w:right w:val="none" w:sz="0" w:space="0" w:color="auto"/>
              </w:divBdr>
            </w:div>
          </w:divsChild>
        </w:div>
        <w:div w:id="737286008">
          <w:marLeft w:val="0"/>
          <w:marRight w:val="0"/>
          <w:marTop w:val="0"/>
          <w:marBottom w:val="0"/>
          <w:divBdr>
            <w:top w:val="none" w:sz="0" w:space="0" w:color="auto"/>
            <w:left w:val="none" w:sz="0" w:space="0" w:color="auto"/>
            <w:bottom w:val="none" w:sz="0" w:space="0" w:color="auto"/>
            <w:right w:val="none" w:sz="0" w:space="0" w:color="auto"/>
          </w:divBdr>
          <w:divsChild>
            <w:div w:id="2047757178">
              <w:marLeft w:val="0"/>
              <w:marRight w:val="0"/>
              <w:marTop w:val="0"/>
              <w:marBottom w:val="0"/>
              <w:divBdr>
                <w:top w:val="none" w:sz="0" w:space="0" w:color="auto"/>
                <w:left w:val="none" w:sz="0" w:space="0" w:color="auto"/>
                <w:bottom w:val="none" w:sz="0" w:space="0" w:color="auto"/>
                <w:right w:val="none" w:sz="0" w:space="0" w:color="auto"/>
              </w:divBdr>
            </w:div>
          </w:divsChild>
        </w:div>
        <w:div w:id="1083602561">
          <w:marLeft w:val="0"/>
          <w:marRight w:val="0"/>
          <w:marTop w:val="0"/>
          <w:marBottom w:val="0"/>
          <w:divBdr>
            <w:top w:val="none" w:sz="0" w:space="0" w:color="auto"/>
            <w:left w:val="none" w:sz="0" w:space="0" w:color="auto"/>
            <w:bottom w:val="none" w:sz="0" w:space="0" w:color="auto"/>
            <w:right w:val="none" w:sz="0" w:space="0" w:color="auto"/>
          </w:divBdr>
          <w:divsChild>
            <w:div w:id="1306474888">
              <w:marLeft w:val="0"/>
              <w:marRight w:val="0"/>
              <w:marTop w:val="0"/>
              <w:marBottom w:val="0"/>
              <w:divBdr>
                <w:top w:val="none" w:sz="0" w:space="0" w:color="auto"/>
                <w:left w:val="none" w:sz="0" w:space="0" w:color="auto"/>
                <w:bottom w:val="none" w:sz="0" w:space="0" w:color="auto"/>
                <w:right w:val="none" w:sz="0" w:space="0" w:color="auto"/>
              </w:divBdr>
            </w:div>
          </w:divsChild>
        </w:div>
        <w:div w:id="1106268383">
          <w:marLeft w:val="0"/>
          <w:marRight w:val="0"/>
          <w:marTop w:val="0"/>
          <w:marBottom w:val="0"/>
          <w:divBdr>
            <w:top w:val="none" w:sz="0" w:space="0" w:color="auto"/>
            <w:left w:val="none" w:sz="0" w:space="0" w:color="auto"/>
            <w:bottom w:val="none" w:sz="0" w:space="0" w:color="auto"/>
            <w:right w:val="none" w:sz="0" w:space="0" w:color="auto"/>
          </w:divBdr>
          <w:divsChild>
            <w:div w:id="1139566461">
              <w:marLeft w:val="0"/>
              <w:marRight w:val="0"/>
              <w:marTop w:val="0"/>
              <w:marBottom w:val="0"/>
              <w:divBdr>
                <w:top w:val="none" w:sz="0" w:space="0" w:color="auto"/>
                <w:left w:val="none" w:sz="0" w:space="0" w:color="auto"/>
                <w:bottom w:val="none" w:sz="0" w:space="0" w:color="auto"/>
                <w:right w:val="none" w:sz="0" w:space="0" w:color="auto"/>
              </w:divBdr>
            </w:div>
          </w:divsChild>
        </w:div>
        <w:div w:id="1130055476">
          <w:marLeft w:val="0"/>
          <w:marRight w:val="0"/>
          <w:marTop w:val="0"/>
          <w:marBottom w:val="0"/>
          <w:divBdr>
            <w:top w:val="none" w:sz="0" w:space="0" w:color="auto"/>
            <w:left w:val="none" w:sz="0" w:space="0" w:color="auto"/>
            <w:bottom w:val="none" w:sz="0" w:space="0" w:color="auto"/>
            <w:right w:val="none" w:sz="0" w:space="0" w:color="auto"/>
          </w:divBdr>
          <w:divsChild>
            <w:div w:id="227958485">
              <w:marLeft w:val="0"/>
              <w:marRight w:val="0"/>
              <w:marTop w:val="0"/>
              <w:marBottom w:val="0"/>
              <w:divBdr>
                <w:top w:val="none" w:sz="0" w:space="0" w:color="auto"/>
                <w:left w:val="none" w:sz="0" w:space="0" w:color="auto"/>
                <w:bottom w:val="none" w:sz="0" w:space="0" w:color="auto"/>
                <w:right w:val="none" w:sz="0" w:space="0" w:color="auto"/>
              </w:divBdr>
            </w:div>
          </w:divsChild>
        </w:div>
        <w:div w:id="1187018740">
          <w:marLeft w:val="0"/>
          <w:marRight w:val="0"/>
          <w:marTop w:val="0"/>
          <w:marBottom w:val="0"/>
          <w:divBdr>
            <w:top w:val="none" w:sz="0" w:space="0" w:color="auto"/>
            <w:left w:val="none" w:sz="0" w:space="0" w:color="auto"/>
            <w:bottom w:val="none" w:sz="0" w:space="0" w:color="auto"/>
            <w:right w:val="none" w:sz="0" w:space="0" w:color="auto"/>
          </w:divBdr>
          <w:divsChild>
            <w:div w:id="814104956">
              <w:marLeft w:val="0"/>
              <w:marRight w:val="0"/>
              <w:marTop w:val="0"/>
              <w:marBottom w:val="0"/>
              <w:divBdr>
                <w:top w:val="none" w:sz="0" w:space="0" w:color="auto"/>
                <w:left w:val="none" w:sz="0" w:space="0" w:color="auto"/>
                <w:bottom w:val="none" w:sz="0" w:space="0" w:color="auto"/>
                <w:right w:val="none" w:sz="0" w:space="0" w:color="auto"/>
              </w:divBdr>
            </w:div>
          </w:divsChild>
        </w:div>
        <w:div w:id="1207446219">
          <w:marLeft w:val="0"/>
          <w:marRight w:val="0"/>
          <w:marTop w:val="0"/>
          <w:marBottom w:val="0"/>
          <w:divBdr>
            <w:top w:val="none" w:sz="0" w:space="0" w:color="auto"/>
            <w:left w:val="none" w:sz="0" w:space="0" w:color="auto"/>
            <w:bottom w:val="none" w:sz="0" w:space="0" w:color="auto"/>
            <w:right w:val="none" w:sz="0" w:space="0" w:color="auto"/>
          </w:divBdr>
          <w:divsChild>
            <w:div w:id="357656959">
              <w:marLeft w:val="0"/>
              <w:marRight w:val="0"/>
              <w:marTop w:val="0"/>
              <w:marBottom w:val="0"/>
              <w:divBdr>
                <w:top w:val="none" w:sz="0" w:space="0" w:color="auto"/>
                <w:left w:val="none" w:sz="0" w:space="0" w:color="auto"/>
                <w:bottom w:val="none" w:sz="0" w:space="0" w:color="auto"/>
                <w:right w:val="none" w:sz="0" w:space="0" w:color="auto"/>
              </w:divBdr>
              <w:divsChild>
                <w:div w:id="2041541964">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1307319908">
          <w:marLeft w:val="0"/>
          <w:marRight w:val="0"/>
          <w:marTop w:val="0"/>
          <w:marBottom w:val="0"/>
          <w:divBdr>
            <w:top w:val="none" w:sz="0" w:space="0" w:color="auto"/>
            <w:left w:val="none" w:sz="0" w:space="0" w:color="auto"/>
            <w:bottom w:val="none" w:sz="0" w:space="0" w:color="auto"/>
            <w:right w:val="none" w:sz="0" w:space="0" w:color="auto"/>
          </w:divBdr>
          <w:divsChild>
            <w:div w:id="1701542475">
              <w:marLeft w:val="0"/>
              <w:marRight w:val="0"/>
              <w:marTop w:val="0"/>
              <w:marBottom w:val="0"/>
              <w:divBdr>
                <w:top w:val="none" w:sz="0" w:space="0" w:color="auto"/>
                <w:left w:val="none" w:sz="0" w:space="0" w:color="auto"/>
                <w:bottom w:val="none" w:sz="0" w:space="0" w:color="auto"/>
                <w:right w:val="none" w:sz="0" w:space="0" w:color="auto"/>
              </w:divBdr>
            </w:div>
          </w:divsChild>
        </w:div>
        <w:div w:id="1310287779">
          <w:marLeft w:val="0"/>
          <w:marRight w:val="0"/>
          <w:marTop w:val="0"/>
          <w:marBottom w:val="0"/>
          <w:divBdr>
            <w:top w:val="none" w:sz="0" w:space="0" w:color="auto"/>
            <w:left w:val="none" w:sz="0" w:space="0" w:color="auto"/>
            <w:bottom w:val="none" w:sz="0" w:space="0" w:color="auto"/>
            <w:right w:val="none" w:sz="0" w:space="0" w:color="auto"/>
          </w:divBdr>
          <w:divsChild>
            <w:div w:id="1455099026">
              <w:marLeft w:val="0"/>
              <w:marRight w:val="0"/>
              <w:marTop w:val="0"/>
              <w:marBottom w:val="0"/>
              <w:divBdr>
                <w:top w:val="none" w:sz="0" w:space="0" w:color="auto"/>
                <w:left w:val="none" w:sz="0" w:space="0" w:color="auto"/>
                <w:bottom w:val="none" w:sz="0" w:space="0" w:color="auto"/>
                <w:right w:val="none" w:sz="0" w:space="0" w:color="auto"/>
              </w:divBdr>
            </w:div>
          </w:divsChild>
        </w:div>
        <w:div w:id="1327826259">
          <w:marLeft w:val="0"/>
          <w:marRight w:val="0"/>
          <w:marTop w:val="0"/>
          <w:marBottom w:val="0"/>
          <w:divBdr>
            <w:top w:val="none" w:sz="0" w:space="0" w:color="auto"/>
            <w:left w:val="none" w:sz="0" w:space="0" w:color="auto"/>
            <w:bottom w:val="none" w:sz="0" w:space="0" w:color="auto"/>
            <w:right w:val="none" w:sz="0" w:space="0" w:color="auto"/>
          </w:divBdr>
          <w:divsChild>
            <w:div w:id="937449573">
              <w:marLeft w:val="0"/>
              <w:marRight w:val="0"/>
              <w:marTop w:val="0"/>
              <w:marBottom w:val="0"/>
              <w:divBdr>
                <w:top w:val="none" w:sz="0" w:space="0" w:color="auto"/>
                <w:left w:val="none" w:sz="0" w:space="0" w:color="auto"/>
                <w:bottom w:val="none" w:sz="0" w:space="0" w:color="auto"/>
                <w:right w:val="none" w:sz="0" w:space="0" w:color="auto"/>
              </w:divBdr>
            </w:div>
          </w:divsChild>
        </w:div>
        <w:div w:id="1329092609">
          <w:marLeft w:val="0"/>
          <w:marRight w:val="0"/>
          <w:marTop w:val="0"/>
          <w:marBottom w:val="0"/>
          <w:divBdr>
            <w:top w:val="none" w:sz="0" w:space="0" w:color="auto"/>
            <w:left w:val="none" w:sz="0" w:space="0" w:color="auto"/>
            <w:bottom w:val="none" w:sz="0" w:space="0" w:color="auto"/>
            <w:right w:val="none" w:sz="0" w:space="0" w:color="auto"/>
          </w:divBdr>
          <w:divsChild>
            <w:div w:id="658192643">
              <w:marLeft w:val="0"/>
              <w:marRight w:val="0"/>
              <w:marTop w:val="0"/>
              <w:marBottom w:val="0"/>
              <w:divBdr>
                <w:top w:val="none" w:sz="0" w:space="0" w:color="auto"/>
                <w:left w:val="none" w:sz="0" w:space="0" w:color="auto"/>
                <w:bottom w:val="none" w:sz="0" w:space="0" w:color="auto"/>
                <w:right w:val="none" w:sz="0" w:space="0" w:color="auto"/>
              </w:divBdr>
            </w:div>
          </w:divsChild>
        </w:div>
        <w:div w:id="1423917744">
          <w:marLeft w:val="0"/>
          <w:marRight w:val="0"/>
          <w:marTop w:val="0"/>
          <w:marBottom w:val="0"/>
          <w:divBdr>
            <w:top w:val="none" w:sz="0" w:space="0" w:color="auto"/>
            <w:left w:val="none" w:sz="0" w:space="0" w:color="auto"/>
            <w:bottom w:val="none" w:sz="0" w:space="0" w:color="auto"/>
            <w:right w:val="none" w:sz="0" w:space="0" w:color="auto"/>
          </w:divBdr>
          <w:divsChild>
            <w:div w:id="1371565836">
              <w:marLeft w:val="0"/>
              <w:marRight w:val="0"/>
              <w:marTop w:val="0"/>
              <w:marBottom w:val="0"/>
              <w:divBdr>
                <w:top w:val="none" w:sz="0" w:space="0" w:color="auto"/>
                <w:left w:val="none" w:sz="0" w:space="0" w:color="auto"/>
                <w:bottom w:val="none" w:sz="0" w:space="0" w:color="auto"/>
                <w:right w:val="none" w:sz="0" w:space="0" w:color="auto"/>
              </w:divBdr>
            </w:div>
          </w:divsChild>
        </w:div>
        <w:div w:id="1579244269">
          <w:marLeft w:val="0"/>
          <w:marRight w:val="0"/>
          <w:marTop w:val="0"/>
          <w:marBottom w:val="0"/>
          <w:divBdr>
            <w:top w:val="none" w:sz="0" w:space="0" w:color="auto"/>
            <w:left w:val="none" w:sz="0" w:space="0" w:color="auto"/>
            <w:bottom w:val="none" w:sz="0" w:space="0" w:color="auto"/>
            <w:right w:val="none" w:sz="0" w:space="0" w:color="auto"/>
          </w:divBdr>
          <w:divsChild>
            <w:div w:id="549192126">
              <w:marLeft w:val="0"/>
              <w:marRight w:val="0"/>
              <w:marTop w:val="0"/>
              <w:marBottom w:val="0"/>
              <w:divBdr>
                <w:top w:val="none" w:sz="0" w:space="0" w:color="auto"/>
                <w:left w:val="none" w:sz="0" w:space="0" w:color="auto"/>
                <w:bottom w:val="none" w:sz="0" w:space="0" w:color="auto"/>
                <w:right w:val="none" w:sz="0" w:space="0" w:color="auto"/>
              </w:divBdr>
            </w:div>
          </w:divsChild>
        </w:div>
        <w:div w:id="1592737961">
          <w:marLeft w:val="0"/>
          <w:marRight w:val="0"/>
          <w:marTop w:val="0"/>
          <w:marBottom w:val="0"/>
          <w:divBdr>
            <w:top w:val="none" w:sz="0" w:space="0" w:color="auto"/>
            <w:left w:val="none" w:sz="0" w:space="0" w:color="auto"/>
            <w:bottom w:val="none" w:sz="0" w:space="0" w:color="auto"/>
            <w:right w:val="none" w:sz="0" w:space="0" w:color="auto"/>
          </w:divBdr>
          <w:divsChild>
            <w:div w:id="1617565363">
              <w:marLeft w:val="0"/>
              <w:marRight w:val="0"/>
              <w:marTop w:val="0"/>
              <w:marBottom w:val="0"/>
              <w:divBdr>
                <w:top w:val="none" w:sz="0" w:space="0" w:color="auto"/>
                <w:left w:val="none" w:sz="0" w:space="0" w:color="auto"/>
                <w:bottom w:val="none" w:sz="0" w:space="0" w:color="auto"/>
                <w:right w:val="none" w:sz="0" w:space="0" w:color="auto"/>
              </w:divBdr>
            </w:div>
          </w:divsChild>
        </w:div>
        <w:div w:id="1617372962">
          <w:marLeft w:val="0"/>
          <w:marRight w:val="0"/>
          <w:marTop w:val="0"/>
          <w:marBottom w:val="0"/>
          <w:divBdr>
            <w:top w:val="none" w:sz="0" w:space="0" w:color="auto"/>
            <w:left w:val="none" w:sz="0" w:space="0" w:color="auto"/>
            <w:bottom w:val="none" w:sz="0" w:space="0" w:color="auto"/>
            <w:right w:val="none" w:sz="0" w:space="0" w:color="auto"/>
          </w:divBdr>
          <w:divsChild>
            <w:div w:id="1358891822">
              <w:marLeft w:val="0"/>
              <w:marRight w:val="0"/>
              <w:marTop w:val="0"/>
              <w:marBottom w:val="0"/>
              <w:divBdr>
                <w:top w:val="none" w:sz="0" w:space="0" w:color="auto"/>
                <w:left w:val="none" w:sz="0" w:space="0" w:color="auto"/>
                <w:bottom w:val="none" w:sz="0" w:space="0" w:color="auto"/>
                <w:right w:val="none" w:sz="0" w:space="0" w:color="auto"/>
              </w:divBdr>
            </w:div>
          </w:divsChild>
        </w:div>
        <w:div w:id="1707096071">
          <w:marLeft w:val="0"/>
          <w:marRight w:val="0"/>
          <w:marTop w:val="0"/>
          <w:marBottom w:val="0"/>
          <w:divBdr>
            <w:top w:val="none" w:sz="0" w:space="0" w:color="auto"/>
            <w:left w:val="none" w:sz="0" w:space="0" w:color="auto"/>
            <w:bottom w:val="none" w:sz="0" w:space="0" w:color="auto"/>
            <w:right w:val="none" w:sz="0" w:space="0" w:color="auto"/>
          </w:divBdr>
          <w:divsChild>
            <w:div w:id="1185707182">
              <w:marLeft w:val="0"/>
              <w:marRight w:val="0"/>
              <w:marTop w:val="0"/>
              <w:marBottom w:val="0"/>
              <w:divBdr>
                <w:top w:val="none" w:sz="0" w:space="0" w:color="auto"/>
                <w:left w:val="none" w:sz="0" w:space="0" w:color="auto"/>
                <w:bottom w:val="none" w:sz="0" w:space="0" w:color="auto"/>
                <w:right w:val="none" w:sz="0" w:space="0" w:color="auto"/>
              </w:divBdr>
            </w:div>
          </w:divsChild>
        </w:div>
        <w:div w:id="1749304433">
          <w:marLeft w:val="0"/>
          <w:marRight w:val="0"/>
          <w:marTop w:val="0"/>
          <w:marBottom w:val="0"/>
          <w:divBdr>
            <w:top w:val="none" w:sz="0" w:space="0" w:color="auto"/>
            <w:left w:val="none" w:sz="0" w:space="0" w:color="auto"/>
            <w:bottom w:val="none" w:sz="0" w:space="0" w:color="auto"/>
            <w:right w:val="none" w:sz="0" w:space="0" w:color="auto"/>
          </w:divBdr>
          <w:divsChild>
            <w:div w:id="1833062138">
              <w:marLeft w:val="0"/>
              <w:marRight w:val="0"/>
              <w:marTop w:val="0"/>
              <w:marBottom w:val="0"/>
              <w:divBdr>
                <w:top w:val="none" w:sz="0" w:space="0" w:color="auto"/>
                <w:left w:val="none" w:sz="0" w:space="0" w:color="auto"/>
                <w:bottom w:val="none" w:sz="0" w:space="0" w:color="auto"/>
                <w:right w:val="none" w:sz="0" w:space="0" w:color="auto"/>
              </w:divBdr>
            </w:div>
          </w:divsChild>
        </w:div>
        <w:div w:id="1891839957">
          <w:marLeft w:val="0"/>
          <w:marRight w:val="0"/>
          <w:marTop w:val="0"/>
          <w:marBottom w:val="0"/>
          <w:divBdr>
            <w:top w:val="none" w:sz="0" w:space="0" w:color="auto"/>
            <w:left w:val="none" w:sz="0" w:space="0" w:color="auto"/>
            <w:bottom w:val="none" w:sz="0" w:space="0" w:color="auto"/>
            <w:right w:val="none" w:sz="0" w:space="0" w:color="auto"/>
          </w:divBdr>
          <w:divsChild>
            <w:div w:id="171654281">
              <w:marLeft w:val="0"/>
              <w:marRight w:val="0"/>
              <w:marTop w:val="0"/>
              <w:marBottom w:val="0"/>
              <w:divBdr>
                <w:top w:val="none" w:sz="0" w:space="0" w:color="auto"/>
                <w:left w:val="none" w:sz="0" w:space="0" w:color="auto"/>
                <w:bottom w:val="none" w:sz="0" w:space="0" w:color="auto"/>
                <w:right w:val="none" w:sz="0" w:space="0" w:color="auto"/>
              </w:divBdr>
            </w:div>
          </w:divsChild>
        </w:div>
        <w:div w:id="1899246577">
          <w:marLeft w:val="0"/>
          <w:marRight w:val="0"/>
          <w:marTop w:val="0"/>
          <w:marBottom w:val="0"/>
          <w:divBdr>
            <w:top w:val="none" w:sz="0" w:space="0" w:color="auto"/>
            <w:left w:val="none" w:sz="0" w:space="0" w:color="auto"/>
            <w:bottom w:val="none" w:sz="0" w:space="0" w:color="auto"/>
            <w:right w:val="none" w:sz="0" w:space="0" w:color="auto"/>
          </w:divBdr>
          <w:divsChild>
            <w:div w:id="196434863">
              <w:marLeft w:val="0"/>
              <w:marRight w:val="0"/>
              <w:marTop w:val="0"/>
              <w:marBottom w:val="0"/>
              <w:divBdr>
                <w:top w:val="none" w:sz="0" w:space="0" w:color="auto"/>
                <w:left w:val="none" w:sz="0" w:space="0" w:color="auto"/>
                <w:bottom w:val="none" w:sz="0" w:space="0" w:color="auto"/>
                <w:right w:val="none" w:sz="0" w:space="0" w:color="auto"/>
              </w:divBdr>
            </w:div>
          </w:divsChild>
        </w:div>
        <w:div w:id="2049060169">
          <w:marLeft w:val="0"/>
          <w:marRight w:val="0"/>
          <w:marTop w:val="0"/>
          <w:marBottom w:val="0"/>
          <w:divBdr>
            <w:top w:val="none" w:sz="0" w:space="0" w:color="auto"/>
            <w:left w:val="none" w:sz="0" w:space="0" w:color="auto"/>
            <w:bottom w:val="none" w:sz="0" w:space="0" w:color="auto"/>
            <w:right w:val="none" w:sz="0" w:space="0" w:color="auto"/>
          </w:divBdr>
          <w:divsChild>
            <w:div w:id="1089502907">
              <w:marLeft w:val="0"/>
              <w:marRight w:val="0"/>
              <w:marTop w:val="0"/>
              <w:marBottom w:val="0"/>
              <w:divBdr>
                <w:top w:val="none" w:sz="0" w:space="0" w:color="auto"/>
                <w:left w:val="none" w:sz="0" w:space="0" w:color="auto"/>
                <w:bottom w:val="none" w:sz="0" w:space="0" w:color="auto"/>
                <w:right w:val="none" w:sz="0" w:space="0" w:color="auto"/>
              </w:divBdr>
            </w:div>
          </w:divsChild>
        </w:div>
        <w:div w:id="2088266000">
          <w:marLeft w:val="0"/>
          <w:marRight w:val="0"/>
          <w:marTop w:val="0"/>
          <w:marBottom w:val="0"/>
          <w:divBdr>
            <w:top w:val="none" w:sz="0" w:space="0" w:color="auto"/>
            <w:left w:val="none" w:sz="0" w:space="0" w:color="auto"/>
            <w:bottom w:val="none" w:sz="0" w:space="0" w:color="auto"/>
            <w:right w:val="none" w:sz="0" w:space="0" w:color="auto"/>
          </w:divBdr>
          <w:divsChild>
            <w:div w:id="9433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1338">
      <w:bodyDiv w:val="1"/>
      <w:marLeft w:val="0"/>
      <w:marRight w:val="0"/>
      <w:marTop w:val="0"/>
      <w:marBottom w:val="0"/>
      <w:divBdr>
        <w:top w:val="none" w:sz="0" w:space="0" w:color="auto"/>
        <w:left w:val="none" w:sz="0" w:space="0" w:color="auto"/>
        <w:bottom w:val="none" w:sz="0" w:space="0" w:color="auto"/>
        <w:right w:val="none" w:sz="0" w:space="0" w:color="auto"/>
      </w:divBdr>
    </w:div>
    <w:div w:id="2104493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Baddeley\AppData\Roaming\Microsoft\Shared%20Templates\2013%20Blank.dotm" TargetMode="External"/></Relationships>
</file>

<file path=word/theme/theme1.xml><?xml version="1.0" encoding="utf-8"?>
<a:theme xmlns:a="http://schemas.openxmlformats.org/drawingml/2006/main" name="MJ 2013 Theme">
  <a:themeElements>
    <a:clrScheme name="MJ Colour Palette">
      <a:dk1>
        <a:srgbClr val="000000"/>
      </a:dk1>
      <a:lt1>
        <a:srgbClr val="FFFFFF"/>
      </a:lt1>
      <a:dk2>
        <a:srgbClr val="000000"/>
      </a:dk2>
      <a:lt2>
        <a:srgbClr val="FFFFFF"/>
      </a:lt2>
      <a:accent1>
        <a:srgbClr val="FFC233"/>
      </a:accent1>
      <a:accent2>
        <a:srgbClr val="394F5A"/>
      </a:accent2>
      <a:accent3>
        <a:srgbClr val="F68C3D"/>
      </a:accent3>
      <a:accent4>
        <a:srgbClr val="5C4870"/>
      </a:accent4>
      <a:accent5>
        <a:srgbClr val="F3797F"/>
      </a:accent5>
      <a:accent6>
        <a:srgbClr val="6BBAD9"/>
      </a:accent6>
      <a:hlink>
        <a:srgbClr val="74C6C7"/>
      </a:hlink>
      <a:folHlink>
        <a:srgbClr val="95D3D4"/>
      </a:folHlink>
    </a:clrScheme>
    <a:fontScheme name="MJ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06D791AA22684099EE4672EBEDF614" ma:contentTypeVersion="4" ma:contentTypeDescription="Create a new document." ma:contentTypeScope="" ma:versionID="30c1f6ad40d570e9519b63bb8dafbc95">
  <xsd:schema xmlns:xsd="http://www.w3.org/2001/XMLSchema" xmlns:xs="http://www.w3.org/2001/XMLSchema" xmlns:p="http://schemas.microsoft.com/office/2006/metadata/properties" xmlns:ns2="08a23fc5-e034-477c-ac83-93bc1440f322" targetNamespace="http://schemas.microsoft.com/office/2006/metadata/properties" ma:root="true" ma:fieldsID="830778f39291bb3ca65aa40eac42cee0" ns2:_="">
    <xsd:import namespace="08a23fc5-e034-477c-ac83-93bc1440f3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23fc5-e034-477c-ac83-93bc1440f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F19CF-2AD3-43A4-B5A5-4A28D268F9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CD3FB8-4617-4807-A9D6-9F1529F10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23fc5-e034-477c-ac83-93bc1440f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CDC71-F70A-4DD7-B773-5ED46CFC943B}">
  <ds:schemaRefs>
    <ds:schemaRef ds:uri="http://schemas.microsoft.com/sharepoint/v3/contenttype/forms"/>
  </ds:schemaRefs>
</ds:datastoreItem>
</file>

<file path=customXml/itemProps4.xml><?xml version="1.0" encoding="utf-8"?>
<ds:datastoreItem xmlns:ds="http://schemas.openxmlformats.org/officeDocument/2006/customXml" ds:itemID="{40063280-72DE-40EB-99B4-5FFD0F628EA9}">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361400</vt:lpwstr>
  </property>
  <property fmtid="{D5CDD505-2E9C-101B-9397-08002B2CF9AE}" pid="4" name="OptimizationTime">
    <vt:lpwstr>20201110_1233</vt:lpwstr>
  </property>
</Properties>
</file>

<file path=docProps/app.xml><?xml version="1.0" encoding="utf-8"?>
<Properties xmlns="http://schemas.openxmlformats.org/officeDocument/2006/extended-properties" xmlns:vt="http://schemas.openxmlformats.org/officeDocument/2006/docPropsVTypes">
  <Template>2013 Blank.dotm</Template>
  <TotalTime>5</TotalTime>
  <Pages>48</Pages>
  <Words>11193</Words>
  <Characters>64249</Characters>
  <Application>Microsoft Office Word</Application>
  <DocSecurity>0</DocSecurity>
  <Lines>2379</Lines>
  <Paragraphs>1450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Fu</dc:creator>
  <cp:keywords>Rel date: 7 Apr 2020</cp:keywords>
  <dc:description>Template developed by:  PCS Computer Training Limited
Tel: +64 274 411 150 | Email: rose-maree@pcstraining.co.nz</dc:description>
  <cp:lastModifiedBy>Georgia Sweet</cp:lastModifiedBy>
  <cp:revision>4</cp:revision>
  <cp:lastPrinted>2014-04-13T17:03:00Z</cp:lastPrinted>
  <dcterms:created xsi:type="dcterms:W3CDTF">2020-11-08T23:42:00Z</dcterms:created>
  <dcterms:modified xsi:type="dcterms:W3CDTF">2020-11-09T19:55:00Z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0x0101005C06D791AA22684099EE4672EBEDF614</vt:lpwstr>
  </property>
  <property fmtid="{D5CDD505-2E9C-101B-9397-08002B2CF9AE}" pid="3" name="Hydro Nation Area">
    <vt:lpwstr/>
  </property>
</Properties>
</file>