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29BDA6" w14:textId="77777777" w:rsidR="00AE478C" w:rsidRPr="00A37124" w:rsidRDefault="00A37124" w:rsidP="00A37124">
      <w:pPr>
        <w:jc w:val="center"/>
        <w:rPr>
          <w:b/>
        </w:rPr>
      </w:pPr>
      <w:bookmarkStart w:id="0" w:name="_GoBack"/>
      <w:bookmarkEnd w:id="0"/>
      <w:r w:rsidRPr="00A37124">
        <w:rPr>
          <w:b/>
        </w:rPr>
        <w:t>“</w:t>
      </w:r>
      <w:r w:rsidRPr="00717904">
        <w:rPr>
          <w:b/>
          <w:sz w:val="28"/>
          <w:szCs w:val="28"/>
        </w:rPr>
        <w:t>Model</w:t>
      </w:r>
      <w:r w:rsidR="004E407A" w:rsidRPr="00717904">
        <w:rPr>
          <w:b/>
          <w:sz w:val="28"/>
          <w:szCs w:val="28"/>
        </w:rPr>
        <w:t xml:space="preserve"> report</w:t>
      </w:r>
      <w:r w:rsidRPr="00717904">
        <w:rPr>
          <w:b/>
          <w:sz w:val="28"/>
          <w:szCs w:val="28"/>
        </w:rPr>
        <w:t>”</w:t>
      </w:r>
      <w:r w:rsidR="004E407A" w:rsidRPr="00717904">
        <w:rPr>
          <w:b/>
          <w:sz w:val="28"/>
          <w:szCs w:val="28"/>
        </w:rPr>
        <w:t xml:space="preserve"> – for chief executives to draw from when briefing their councils on </w:t>
      </w:r>
      <w:r w:rsidRPr="00717904">
        <w:rPr>
          <w:b/>
          <w:sz w:val="28"/>
          <w:szCs w:val="28"/>
        </w:rPr>
        <w:t>the three waters service delivery reform</w:t>
      </w:r>
      <w:r w:rsidR="00717904">
        <w:rPr>
          <w:b/>
          <w:sz w:val="28"/>
          <w:szCs w:val="28"/>
        </w:rPr>
        <w:t>/stimulus</w:t>
      </w:r>
      <w:r w:rsidRPr="00717904">
        <w:rPr>
          <w:b/>
          <w:sz w:val="28"/>
          <w:szCs w:val="28"/>
        </w:rPr>
        <w:t xml:space="preserve"> programme</w:t>
      </w:r>
    </w:p>
    <w:p w14:paraId="465D871C" w14:textId="77777777" w:rsidR="00A37124" w:rsidRPr="00CD1D50" w:rsidRDefault="00E76B14" w:rsidP="00603635">
      <w:pPr>
        <w:rPr>
          <w:b/>
          <w:sz w:val="28"/>
          <w:szCs w:val="28"/>
        </w:rPr>
      </w:pPr>
      <w:r>
        <w:rPr>
          <w:b/>
          <w:sz w:val="28"/>
          <w:szCs w:val="28"/>
        </w:rPr>
        <w:t xml:space="preserve">[EXAMPLE] </w:t>
      </w:r>
      <w:r w:rsidR="00A37124" w:rsidRPr="00CD1D50">
        <w:rPr>
          <w:b/>
          <w:sz w:val="28"/>
          <w:szCs w:val="28"/>
        </w:rPr>
        <w:t>Purpose</w:t>
      </w:r>
    </w:p>
    <w:p w14:paraId="0D15161D" w14:textId="77777777" w:rsidR="00A37124" w:rsidRDefault="00A37124" w:rsidP="00B92F01">
      <w:r>
        <w:t xml:space="preserve">This report </w:t>
      </w:r>
      <w:r w:rsidR="00203991">
        <w:t xml:space="preserve">asks the </w:t>
      </w:r>
      <w:r w:rsidR="00026720">
        <w:t>[Name]</w:t>
      </w:r>
      <w:r w:rsidR="00203991">
        <w:t xml:space="preserve"> Council to</w:t>
      </w:r>
      <w:r w:rsidR="00026720">
        <w:t>:</w:t>
      </w:r>
      <w:r w:rsidR="00203991">
        <w:t xml:space="preserve"> </w:t>
      </w:r>
    </w:p>
    <w:p w14:paraId="7CFE214F" w14:textId="77777777" w:rsidR="00026720" w:rsidRDefault="00026720" w:rsidP="00B92F01">
      <w:pPr>
        <w:pStyle w:val="ListParagraph"/>
        <w:numPr>
          <w:ilvl w:val="0"/>
          <w:numId w:val="26"/>
        </w:numPr>
      </w:pPr>
      <w:r>
        <w:t xml:space="preserve">sign a </w:t>
      </w:r>
      <w:r w:rsidR="00873CE4">
        <w:t>M</w:t>
      </w:r>
      <w:r>
        <w:t xml:space="preserve">emorandum of </w:t>
      </w:r>
      <w:r w:rsidR="00873CE4">
        <w:t>U</w:t>
      </w:r>
      <w:r>
        <w:t>nderstanding (MoU) with the Crown, agreeing to participate</w:t>
      </w:r>
      <w:r w:rsidR="005F2661">
        <w:t xml:space="preserve"> in the </w:t>
      </w:r>
      <w:r w:rsidR="001835CF">
        <w:t>initial</w:t>
      </w:r>
      <w:r w:rsidR="005F2661">
        <w:t xml:space="preserve"> stage of a</w:t>
      </w:r>
      <w:r w:rsidR="001835CF">
        <w:t xml:space="preserve"> central/local government</w:t>
      </w:r>
      <w:r w:rsidR="005F2661">
        <w:t xml:space="preserve"> three waters service delivery</w:t>
      </w:r>
      <w:r w:rsidR="001835CF">
        <w:t xml:space="preserve"> reform programme</w:t>
      </w:r>
      <w:r>
        <w:t xml:space="preserve"> (</w:t>
      </w:r>
      <w:r w:rsidRPr="00026720">
        <w:rPr>
          <w:b/>
        </w:rPr>
        <w:t>Appendix A</w:t>
      </w:r>
      <w:r>
        <w:t>)</w:t>
      </w:r>
      <w:r w:rsidR="00873CE4">
        <w:t>; and</w:t>
      </w:r>
    </w:p>
    <w:p w14:paraId="3C50DE8B" w14:textId="77777777" w:rsidR="00026720" w:rsidRDefault="007E4A07" w:rsidP="00B92F01">
      <w:pPr>
        <w:pStyle w:val="ListParagraph"/>
        <w:numPr>
          <w:ilvl w:val="0"/>
          <w:numId w:val="26"/>
        </w:numPr>
      </w:pPr>
      <w:r>
        <w:t xml:space="preserve">authorise the Chief Executive to enter into the </w:t>
      </w:r>
      <w:r w:rsidR="001835CF">
        <w:t>F</w:t>
      </w:r>
      <w:r w:rsidR="00026720">
        <w:t xml:space="preserve">unding </w:t>
      </w:r>
      <w:r w:rsidR="001835CF">
        <w:t>A</w:t>
      </w:r>
      <w:r w:rsidR="00026720">
        <w:t>greement, to accept a grant from the Crown to spend on</w:t>
      </w:r>
      <w:r w:rsidR="00873CE4">
        <w:t xml:space="preserve"> operating and/or capital expenditure relating to three waters infrastructure and service delivery</w:t>
      </w:r>
      <w:r w:rsidR="00026720">
        <w:t xml:space="preserve"> </w:t>
      </w:r>
      <w:r w:rsidR="00873CE4">
        <w:t>(</w:t>
      </w:r>
      <w:r w:rsidR="00873CE4" w:rsidRPr="00873CE4">
        <w:rPr>
          <w:b/>
        </w:rPr>
        <w:t>Appendix B</w:t>
      </w:r>
      <w:r w:rsidR="00873CE4">
        <w:t>).</w:t>
      </w:r>
    </w:p>
    <w:p w14:paraId="0576444E" w14:textId="77777777" w:rsidR="00A37124" w:rsidRPr="00CD1D50" w:rsidRDefault="00B5621A" w:rsidP="008D7D66">
      <w:pPr>
        <w:spacing w:before="240"/>
        <w:rPr>
          <w:b/>
          <w:sz w:val="28"/>
          <w:szCs w:val="28"/>
        </w:rPr>
      </w:pPr>
      <w:r>
        <w:rPr>
          <w:b/>
          <w:sz w:val="28"/>
          <w:szCs w:val="28"/>
        </w:rPr>
        <w:t xml:space="preserve">[EXAMPLE] </w:t>
      </w:r>
      <w:r w:rsidR="00A37124" w:rsidRPr="00CD1D50">
        <w:rPr>
          <w:b/>
          <w:sz w:val="28"/>
          <w:szCs w:val="28"/>
        </w:rPr>
        <w:t>Recommendations</w:t>
      </w:r>
    </w:p>
    <w:p w14:paraId="25271497" w14:textId="77777777" w:rsidR="00873CE4" w:rsidRDefault="00873CE4" w:rsidP="00873CE4">
      <w:pPr>
        <w:pStyle w:val="ListParagraph"/>
        <w:numPr>
          <w:ilvl w:val="0"/>
          <w:numId w:val="25"/>
        </w:numPr>
      </w:pPr>
      <w:r w:rsidRPr="00873CE4">
        <w:rPr>
          <w:b/>
        </w:rPr>
        <w:t>Note</w:t>
      </w:r>
      <w:r>
        <w:t xml:space="preserve"> that:</w:t>
      </w:r>
    </w:p>
    <w:p w14:paraId="674DBDCB" w14:textId="77777777" w:rsidR="00873CE4" w:rsidRPr="005F2661" w:rsidRDefault="00873CE4" w:rsidP="00873CE4">
      <w:pPr>
        <w:pStyle w:val="ListParagraph"/>
        <w:numPr>
          <w:ilvl w:val="1"/>
          <w:numId w:val="25"/>
        </w:numPr>
      </w:pPr>
      <w:r>
        <w:t>i</w:t>
      </w:r>
      <w:r w:rsidRPr="005F2661">
        <w:t xml:space="preserve">n July 2020, the Government announced </w:t>
      </w:r>
      <w:r w:rsidR="00B92F01">
        <w:t xml:space="preserve">an initial </w:t>
      </w:r>
      <w:r w:rsidRPr="005F2661">
        <w:t>funding</w:t>
      </w:r>
      <w:r w:rsidR="00B92F01">
        <w:t xml:space="preserve"> package of $761 million</w:t>
      </w:r>
      <w:r w:rsidRPr="005F2661">
        <w:t xml:space="preserve"> to provide </w:t>
      </w:r>
      <w:r>
        <w:t>a</w:t>
      </w:r>
      <w:r w:rsidRPr="005F2661">
        <w:t xml:space="preserve"> post</w:t>
      </w:r>
      <w:r>
        <w:t xml:space="preserve"> </w:t>
      </w:r>
      <w:r w:rsidRPr="005F2661">
        <w:t>COVID-19 stimulus to maintain and improve water networks infrastructure, and to support a three-year programme of reform of local government water services delivery arrangements</w:t>
      </w:r>
      <w:r>
        <w:t>; and</w:t>
      </w:r>
    </w:p>
    <w:p w14:paraId="2C7705E4" w14:textId="77777777" w:rsidR="00873CE4" w:rsidRDefault="00873CE4" w:rsidP="00873CE4">
      <w:pPr>
        <w:pStyle w:val="ListParagraph"/>
        <w:numPr>
          <w:ilvl w:val="1"/>
          <w:numId w:val="25"/>
        </w:numPr>
      </w:pPr>
      <w:r>
        <w:t>i</w:t>
      </w:r>
      <w:r w:rsidRPr="005F2661">
        <w:t>nitial funding will be made available</w:t>
      </w:r>
      <w:r>
        <w:t xml:space="preserve"> </w:t>
      </w:r>
      <w:r w:rsidRPr="005F2661">
        <w:t xml:space="preserve">to those councils that </w:t>
      </w:r>
      <w:r w:rsidR="00B92F01">
        <w:t xml:space="preserve">agree to participate in the initial stage of the reform programme, </w:t>
      </w:r>
      <w:r w:rsidR="00B5621A">
        <w:t>through</w:t>
      </w:r>
      <w:r w:rsidRPr="005F2661">
        <w:t xml:space="preserve"> </w:t>
      </w:r>
      <w:r w:rsidR="00B92F01">
        <w:t>a</w:t>
      </w:r>
      <w:r w:rsidRPr="005F2661">
        <w:t xml:space="preserve"> Memorandum of Understanding (MoU)</w:t>
      </w:r>
      <w:r w:rsidR="00B5621A">
        <w:t>,</w:t>
      </w:r>
      <w:r w:rsidRPr="005F2661">
        <w:t xml:space="preserve"> Funding Agreement</w:t>
      </w:r>
      <w:r w:rsidR="00AF5E6D">
        <w:t>,</w:t>
      </w:r>
      <w:r w:rsidRPr="005F2661">
        <w:t xml:space="preserve"> and </w:t>
      </w:r>
      <w:r w:rsidR="00B5621A">
        <w:t>approved</w:t>
      </w:r>
      <w:r w:rsidR="00AF5E6D">
        <w:t xml:space="preserve"> </w:t>
      </w:r>
      <w:r w:rsidRPr="005F2661">
        <w:t>Delivery Plan. </w:t>
      </w:r>
    </w:p>
    <w:p w14:paraId="6D29B9F1" w14:textId="77777777" w:rsidR="00BC168D" w:rsidRDefault="00562B88" w:rsidP="00873CE4">
      <w:pPr>
        <w:pStyle w:val="ListParagraph"/>
        <w:numPr>
          <w:ilvl w:val="1"/>
          <w:numId w:val="25"/>
        </w:numPr>
      </w:pPr>
      <w:r>
        <w:t xml:space="preserve">this initial </w:t>
      </w:r>
      <w:r w:rsidR="00E159E0">
        <w:t>f</w:t>
      </w:r>
      <w:r w:rsidR="00425DBB">
        <w:t xml:space="preserve">unding will be provided in two parts: a direct allocation to individual </w:t>
      </w:r>
      <w:r w:rsidR="003E3DE2">
        <w:t>territorial authorities</w:t>
      </w:r>
      <w:r w:rsidR="00425DBB">
        <w:t xml:space="preserve">, and a regional allocation. The </w:t>
      </w:r>
      <w:r w:rsidR="00DA6CBE">
        <w:t xml:space="preserve">participating </w:t>
      </w:r>
      <w:r w:rsidR="007E4A07">
        <w:t>individual authorities</w:t>
      </w:r>
      <w:r w:rsidR="00425DBB">
        <w:t xml:space="preserve"> in each region will need to agree an approach to distributing the regional allocation</w:t>
      </w:r>
    </w:p>
    <w:p w14:paraId="74CF42A4" w14:textId="77777777" w:rsidR="00425DBB" w:rsidRPr="005F2661" w:rsidRDefault="00BC168D" w:rsidP="00873CE4">
      <w:pPr>
        <w:pStyle w:val="ListParagraph"/>
        <w:numPr>
          <w:ilvl w:val="1"/>
          <w:numId w:val="25"/>
        </w:numPr>
      </w:pPr>
      <w:r>
        <w:t>the Steering Committee has recommended a preferred approach to the allocation of regional funding, being the same formula as was used to determine the direct allocations to territorial authorities</w:t>
      </w:r>
    </w:p>
    <w:p w14:paraId="4E3C8397" w14:textId="77777777" w:rsidR="00470D20" w:rsidRDefault="00026720" w:rsidP="003A0E32">
      <w:pPr>
        <w:pStyle w:val="ListParagraph"/>
        <w:numPr>
          <w:ilvl w:val="0"/>
          <w:numId w:val="25"/>
        </w:numPr>
      </w:pPr>
      <w:r w:rsidRPr="005331AA">
        <w:rPr>
          <w:b/>
        </w:rPr>
        <w:t>Agree</w:t>
      </w:r>
      <w:r>
        <w:t xml:space="preserve"> to sign the MoU at </w:t>
      </w:r>
      <w:r w:rsidRPr="005331AA">
        <w:rPr>
          <w:b/>
        </w:rPr>
        <w:t>Appendix A</w:t>
      </w:r>
      <w:r w:rsidR="005331AA" w:rsidRPr="005331AA">
        <w:rPr>
          <w:b/>
        </w:rPr>
        <w:t xml:space="preserve"> </w:t>
      </w:r>
      <w:r w:rsidR="005331AA" w:rsidRPr="005331AA">
        <w:t>and</w:t>
      </w:r>
      <w:r w:rsidR="005331AA" w:rsidRPr="005331AA">
        <w:rPr>
          <w:b/>
        </w:rPr>
        <w:t xml:space="preserve"> </w:t>
      </w:r>
      <w:r w:rsidR="001835CF">
        <w:t>F</w:t>
      </w:r>
      <w:r>
        <w:t xml:space="preserve">unding </w:t>
      </w:r>
      <w:r w:rsidR="001835CF">
        <w:t>A</w:t>
      </w:r>
      <w:r>
        <w:t xml:space="preserve">greement at </w:t>
      </w:r>
      <w:r w:rsidRPr="005331AA">
        <w:rPr>
          <w:b/>
        </w:rPr>
        <w:t>Appendix B</w:t>
      </w:r>
      <w:r w:rsidR="001835CF" w:rsidRPr="00EF73B5">
        <w:t>.</w:t>
      </w:r>
    </w:p>
    <w:p w14:paraId="029114FF" w14:textId="77777777" w:rsidR="005F2661" w:rsidRDefault="005F2661" w:rsidP="00A37124">
      <w:pPr>
        <w:pStyle w:val="ListParagraph"/>
        <w:numPr>
          <w:ilvl w:val="0"/>
          <w:numId w:val="25"/>
        </w:numPr>
      </w:pPr>
      <w:r w:rsidRPr="001835CF">
        <w:rPr>
          <w:b/>
        </w:rPr>
        <w:t>Agree</w:t>
      </w:r>
      <w:r>
        <w:t xml:space="preserve"> to nominate [Name], the Chief Executive of the Council as the primary point of communication for the purposes of the MoU and reform programme – as referred to on page 6 of the MoU</w:t>
      </w:r>
      <w:r w:rsidR="001835CF">
        <w:t>.</w:t>
      </w:r>
    </w:p>
    <w:p w14:paraId="12DF25A6" w14:textId="77777777" w:rsidR="00F07ACD" w:rsidRDefault="00F07ACD" w:rsidP="00A37124">
      <w:pPr>
        <w:pStyle w:val="ListParagraph"/>
        <w:numPr>
          <w:ilvl w:val="0"/>
          <w:numId w:val="25"/>
        </w:numPr>
      </w:pPr>
      <w:r>
        <w:rPr>
          <w:b/>
        </w:rPr>
        <w:t>Agree</w:t>
      </w:r>
      <w:r>
        <w:rPr>
          <w:bCs/>
        </w:rPr>
        <w:t xml:space="preserve"> to delegate decisions </w:t>
      </w:r>
      <w:r w:rsidR="007E4A07">
        <w:rPr>
          <w:bCs/>
        </w:rPr>
        <w:t>about</w:t>
      </w:r>
      <w:r>
        <w:rPr>
          <w:bCs/>
        </w:rPr>
        <w:t xml:space="preserve"> the allocation of regional funding to </w:t>
      </w:r>
      <w:r>
        <w:t>[Name], the Chief Executive of the Council, with the understanding that the minimum level of funding to the Council</w:t>
      </w:r>
      <w:r w:rsidR="00425DBB">
        <w:t xml:space="preserve"> </w:t>
      </w:r>
      <w:r w:rsidR="00BC168D">
        <w:t xml:space="preserve">be </w:t>
      </w:r>
      <w:r w:rsidR="00425DBB">
        <w:t xml:space="preserve">based </w:t>
      </w:r>
      <w:r w:rsidR="00BC168D">
        <w:t>up</w:t>
      </w:r>
      <w:r w:rsidR="00425DBB">
        <w:t xml:space="preserve">on the formula used to calculate the direct </w:t>
      </w:r>
      <w:r w:rsidR="0039443B">
        <w:t xml:space="preserve">council </w:t>
      </w:r>
      <w:r w:rsidR="00425DBB">
        <w:t>allocations</w:t>
      </w:r>
      <w:r w:rsidR="007E4A07">
        <w:t>, and noting that participation by two-thirds of territorial authorities within the [SPECIFY] region is required to access the regional allocation</w:t>
      </w:r>
    </w:p>
    <w:p w14:paraId="15B40ED3" w14:textId="77777777" w:rsidR="00026720" w:rsidRDefault="00026720" w:rsidP="00E43D5C">
      <w:pPr>
        <w:pStyle w:val="ListParagraph"/>
        <w:numPr>
          <w:ilvl w:val="0"/>
          <w:numId w:val="25"/>
        </w:numPr>
      </w:pPr>
      <w:r w:rsidRPr="001835CF">
        <w:rPr>
          <w:b/>
        </w:rPr>
        <w:t>Note</w:t>
      </w:r>
      <w:r>
        <w:t xml:space="preserve"> that the MoU and </w:t>
      </w:r>
      <w:r w:rsidR="00D873FB">
        <w:t>F</w:t>
      </w:r>
      <w:r>
        <w:t xml:space="preserve">unding </w:t>
      </w:r>
      <w:r w:rsidR="00D873FB">
        <w:t>A</w:t>
      </w:r>
      <w:r>
        <w:t xml:space="preserve">greement </w:t>
      </w:r>
      <w:bookmarkStart w:id="1" w:name="_Hlk45550989"/>
      <w:r>
        <w:t>cannot be amended or modified by either party, and doing so would void these documents</w:t>
      </w:r>
      <w:bookmarkEnd w:id="1"/>
      <w:r w:rsidR="00D873FB">
        <w:t>.</w:t>
      </w:r>
    </w:p>
    <w:p w14:paraId="37A98401" w14:textId="77777777" w:rsidR="00026720" w:rsidRDefault="001835CF" w:rsidP="00B92F01">
      <w:pPr>
        <w:pStyle w:val="ListParagraph"/>
        <w:numPr>
          <w:ilvl w:val="0"/>
          <w:numId w:val="25"/>
        </w:numPr>
      </w:pPr>
      <w:r w:rsidRPr="001835CF">
        <w:rPr>
          <w:b/>
        </w:rPr>
        <w:t>Note</w:t>
      </w:r>
      <w:r>
        <w:rPr>
          <w:b/>
        </w:rPr>
        <w:t xml:space="preserve"> </w:t>
      </w:r>
      <w:r w:rsidRPr="001835CF">
        <w:t>that</w:t>
      </w:r>
      <w:r>
        <w:t xml:space="preserve"> </w:t>
      </w:r>
      <w:r w:rsidR="00026720">
        <w:t xml:space="preserve">participation in this </w:t>
      </w:r>
      <w:r>
        <w:t xml:space="preserve">initial </w:t>
      </w:r>
      <w:r w:rsidR="00026720">
        <w:t xml:space="preserve">stage is </w:t>
      </w:r>
      <w:r w:rsidR="005F2661">
        <w:t xml:space="preserve">to be undertaken in good faith, </w:t>
      </w:r>
      <w:r w:rsidR="00B92F01">
        <w:t xml:space="preserve">but </w:t>
      </w:r>
      <w:r>
        <w:t>this</w:t>
      </w:r>
      <w:r w:rsidR="005F2661">
        <w:t xml:space="preserve"> is </w:t>
      </w:r>
      <w:r>
        <w:t xml:space="preserve">a </w:t>
      </w:r>
      <w:r w:rsidR="00026720">
        <w:t>non-binding</w:t>
      </w:r>
      <w:r>
        <w:t xml:space="preserve"> approach,</w:t>
      </w:r>
      <w:r w:rsidR="00026720">
        <w:t xml:space="preserve"> </w:t>
      </w:r>
      <w:r>
        <w:t>and the Council can opt out of the reform process at</w:t>
      </w:r>
      <w:r w:rsidR="00EF73B5">
        <w:t xml:space="preserve"> the end of the term of the agreement (as provided for on page 5 of the MoU)</w:t>
      </w:r>
      <w:r>
        <w:t>.</w:t>
      </w:r>
      <w:r w:rsidR="00026720">
        <w:t xml:space="preserve"> </w:t>
      </w:r>
    </w:p>
    <w:p w14:paraId="7D39DB8C" w14:textId="77777777" w:rsidR="001835CF" w:rsidRDefault="001835CF" w:rsidP="00EF73B5">
      <w:pPr>
        <w:pStyle w:val="ListParagraph"/>
        <w:numPr>
          <w:ilvl w:val="0"/>
          <w:numId w:val="25"/>
        </w:numPr>
      </w:pPr>
      <w:r w:rsidRPr="001835CF">
        <w:rPr>
          <w:b/>
        </w:rPr>
        <w:lastRenderedPageBreak/>
        <w:t>Note</w:t>
      </w:r>
      <w:r>
        <w:t xml:space="preserve"> that</w:t>
      </w:r>
      <w:r w:rsidR="00EF73B5">
        <w:t xml:space="preserve"> </w:t>
      </w:r>
      <w:r>
        <w:t xml:space="preserve">the Council has been allocated [amount] of funding, which will be received as a grant as soon as practicable once the signed </w:t>
      </w:r>
      <w:r w:rsidR="00D873FB">
        <w:t>MoU and Funding Agreement</w:t>
      </w:r>
      <w:r>
        <w:t xml:space="preserve"> are returned</w:t>
      </w:r>
      <w:r w:rsidR="00D873FB">
        <w:t xml:space="preserve"> to the Department of Internal Affairs, and a Delivery Plan has been supplied</w:t>
      </w:r>
      <w:r w:rsidR="00AF5E6D">
        <w:t xml:space="preserve"> and approved</w:t>
      </w:r>
      <w:r w:rsidR="00D873FB">
        <w:t xml:space="preserve"> (as described on page 5 of the MoU)</w:t>
      </w:r>
      <w:r w:rsidR="00EF73B5">
        <w:t>.</w:t>
      </w:r>
    </w:p>
    <w:p w14:paraId="2FA88B1D" w14:textId="77777777" w:rsidR="00EF73B5" w:rsidRDefault="00EF73B5" w:rsidP="00EF73B5">
      <w:pPr>
        <w:pStyle w:val="ListParagraph"/>
        <w:numPr>
          <w:ilvl w:val="0"/>
          <w:numId w:val="25"/>
        </w:numPr>
      </w:pPr>
      <w:r w:rsidRPr="00EF73B5">
        <w:rPr>
          <w:b/>
        </w:rPr>
        <w:t xml:space="preserve">Note </w:t>
      </w:r>
      <w:r w:rsidRPr="00EF73B5">
        <w:t xml:space="preserve">that </w:t>
      </w:r>
      <w:r w:rsidR="00D873FB">
        <w:t>the</w:t>
      </w:r>
      <w:r>
        <w:t xml:space="preserve"> Delivery Plan </w:t>
      </w:r>
      <w:r w:rsidR="00B5621A">
        <w:t>must</w:t>
      </w:r>
      <w:r>
        <w:t xml:space="preserve"> show that the funding is to be applied to</w:t>
      </w:r>
      <w:r w:rsidRPr="00EF73B5">
        <w:t xml:space="preserve"> </w:t>
      </w:r>
      <w:r>
        <w:t xml:space="preserve">operating and/or capital expenditure relating to three waters infrastructure and service delivery, and which: </w:t>
      </w:r>
    </w:p>
    <w:p w14:paraId="6FED97BF" w14:textId="77777777" w:rsidR="001835CF" w:rsidRDefault="00EF73B5" w:rsidP="00EF73B5">
      <w:pPr>
        <w:pStyle w:val="ListParagraph"/>
        <w:numPr>
          <w:ilvl w:val="1"/>
          <w:numId w:val="25"/>
        </w:numPr>
      </w:pPr>
      <w:r>
        <w:t>s</w:t>
      </w:r>
      <w:r w:rsidRPr="00EF73B5">
        <w:t>upports</w:t>
      </w:r>
      <w:r>
        <w:t xml:space="preserve"> economic recovery through job creation; and</w:t>
      </w:r>
    </w:p>
    <w:p w14:paraId="08E36DC8" w14:textId="77777777" w:rsidR="00EF73B5" w:rsidRDefault="00EF73B5" w:rsidP="00EF73B5">
      <w:pPr>
        <w:pStyle w:val="ListParagraph"/>
        <w:numPr>
          <w:ilvl w:val="1"/>
          <w:numId w:val="25"/>
        </w:numPr>
      </w:pPr>
      <w:r>
        <w:t>maintains, increases, and/or accelerates investment in core water infrastructure renewal and maintenance.</w:t>
      </w:r>
    </w:p>
    <w:p w14:paraId="17F73AA5" w14:textId="77777777" w:rsidR="00717904" w:rsidRDefault="00717904" w:rsidP="00717904">
      <w:pPr>
        <w:pStyle w:val="ListParagraph"/>
        <w:numPr>
          <w:ilvl w:val="0"/>
          <w:numId w:val="25"/>
        </w:numPr>
      </w:pPr>
      <w:r>
        <w:t>[</w:t>
      </w:r>
      <w:r w:rsidR="008C5E77">
        <w:t xml:space="preserve">COUNCILS COULD </w:t>
      </w:r>
      <w:r w:rsidR="003A0E32">
        <w:t xml:space="preserve">ALSO </w:t>
      </w:r>
      <w:r>
        <w:t>INCLUDE RECOMMENDATION</w:t>
      </w:r>
      <w:r w:rsidR="003A0E32">
        <w:t>S</w:t>
      </w:r>
      <w:r>
        <w:t xml:space="preserve"> RELATING TO THE DELIVERY PLAN</w:t>
      </w:r>
      <w:r w:rsidR="003A0E32">
        <w:t xml:space="preserve">; E.G. SEEKING AGREEMENT TO SUBMIT </w:t>
      </w:r>
      <w:r w:rsidR="00B5621A">
        <w:t>AN ATTACHED DRAFT DELIVERY PLAN; AUTHORISING THE CHIEF EXECUTIVE TO FINALISE THE DELIVERY PLAN TO ADDRESS FEEDBACK FROM GOVERNMENT AND OBTAIN THE APPROVAL NEEDED TO RELEASE FUNDING</w:t>
      </w:r>
      <w:r>
        <w:t>.]</w:t>
      </w:r>
    </w:p>
    <w:p w14:paraId="02918D22" w14:textId="77777777" w:rsidR="005F2661" w:rsidRDefault="00E76B14" w:rsidP="00B5621A">
      <w:pPr>
        <w:spacing w:before="240"/>
        <w:rPr>
          <w:b/>
          <w:sz w:val="28"/>
          <w:szCs w:val="28"/>
        </w:rPr>
      </w:pPr>
      <w:r>
        <w:rPr>
          <w:b/>
          <w:sz w:val="28"/>
          <w:szCs w:val="28"/>
        </w:rPr>
        <w:t xml:space="preserve">[EXAMPLE] </w:t>
      </w:r>
      <w:r w:rsidR="005F2661">
        <w:rPr>
          <w:b/>
          <w:sz w:val="28"/>
          <w:szCs w:val="28"/>
        </w:rPr>
        <w:t>Summary</w:t>
      </w:r>
    </w:p>
    <w:p w14:paraId="24E005E1" w14:textId="77777777" w:rsidR="005F2661" w:rsidRPr="005F2661" w:rsidRDefault="005F2661" w:rsidP="005F2661">
      <w:pPr>
        <w:pStyle w:val="ListParagraph"/>
        <w:numPr>
          <w:ilvl w:val="0"/>
          <w:numId w:val="25"/>
        </w:numPr>
      </w:pPr>
      <w:bookmarkStart w:id="2" w:name="_Hlk45532942"/>
      <w:r w:rsidRPr="005F2661">
        <w:t xml:space="preserve">In July 2020, the Government announced </w:t>
      </w:r>
      <w:r w:rsidR="000E5358">
        <w:t xml:space="preserve">a $761 million </w:t>
      </w:r>
      <w:r w:rsidR="005331AA">
        <w:t>funding</w:t>
      </w:r>
      <w:r w:rsidR="000E5358">
        <w:t xml:space="preserve"> package</w:t>
      </w:r>
      <w:r w:rsidRPr="005F2661">
        <w:t xml:space="preserve"> to provide post</w:t>
      </w:r>
      <w:r>
        <w:t xml:space="preserve"> </w:t>
      </w:r>
      <w:r w:rsidRPr="005F2661">
        <w:t>COVID-19 stimulus to maintain</w:t>
      </w:r>
      <w:r w:rsidR="00B5621A">
        <w:t>,</w:t>
      </w:r>
      <w:r w:rsidRPr="005F2661">
        <w:t xml:space="preserve"> improve </w:t>
      </w:r>
      <w:r w:rsidR="00C43BFF">
        <w:t xml:space="preserve">three waters </w:t>
      </w:r>
      <w:r w:rsidRPr="005F2661">
        <w:t>infrastructure, support a three-year programme of reform of local government water service delivery arrangements</w:t>
      </w:r>
      <w:r w:rsidR="005331AA">
        <w:t xml:space="preserve"> (reform programme)</w:t>
      </w:r>
      <w:r w:rsidR="00B5621A">
        <w:t>, and support the establishment of Taumata Arowai, the new Waters Services Regulator</w:t>
      </w:r>
      <w:r w:rsidRPr="005F2661">
        <w:t>.</w:t>
      </w:r>
    </w:p>
    <w:bookmarkEnd w:id="2"/>
    <w:p w14:paraId="414E48E1" w14:textId="77777777" w:rsidR="005331AA" w:rsidRPr="005F2661" w:rsidRDefault="005331AA" w:rsidP="005331AA">
      <w:pPr>
        <w:pStyle w:val="ListParagraph"/>
        <w:numPr>
          <w:ilvl w:val="0"/>
          <w:numId w:val="25"/>
        </w:numPr>
      </w:pPr>
      <w:r>
        <w:t>A Joint Central/Local Government Three Waters Steering Committee has been established to provide oversight and guidance to support progress towards reform, and to assist in engaging with local government, iwi/Māori, and other water sector stakeholders on options and proposals.</w:t>
      </w:r>
    </w:p>
    <w:p w14:paraId="734EBCCC" w14:textId="77777777" w:rsidR="005F2661" w:rsidRPr="005F2661" w:rsidRDefault="005F2661" w:rsidP="005F2661">
      <w:pPr>
        <w:pStyle w:val="ListParagraph"/>
        <w:numPr>
          <w:ilvl w:val="0"/>
          <w:numId w:val="25"/>
        </w:numPr>
      </w:pPr>
      <w:r w:rsidRPr="005F2661">
        <w:t>Th</w:t>
      </w:r>
      <w:r w:rsidR="005331AA">
        <w:t>e</w:t>
      </w:r>
      <w:r w:rsidRPr="005F2661">
        <w:t xml:space="preserve"> </w:t>
      </w:r>
      <w:r w:rsidR="00C43BFF">
        <w:t>r</w:t>
      </w:r>
      <w:r w:rsidRPr="005F2661">
        <w:t xml:space="preserve">eform </w:t>
      </w:r>
      <w:r w:rsidR="00C43BFF">
        <w:t>p</w:t>
      </w:r>
      <w:r w:rsidRPr="005F2661">
        <w:t>rogramme is designed to support economic recovery</w:t>
      </w:r>
      <w:r w:rsidR="00C43BFF">
        <w:t>,</w:t>
      </w:r>
      <w:r w:rsidRPr="005F2661">
        <w:t xml:space="preserve"> and address persistent systemic issues facing the three waters sector, through a combination of:</w:t>
      </w:r>
    </w:p>
    <w:p w14:paraId="2EADCEE1" w14:textId="77777777" w:rsidR="005F2661" w:rsidRPr="005F2661" w:rsidRDefault="005F2661" w:rsidP="005F2661">
      <w:pPr>
        <w:pStyle w:val="ListParagraph"/>
        <w:numPr>
          <w:ilvl w:val="1"/>
          <w:numId w:val="25"/>
        </w:numPr>
      </w:pPr>
      <w:r w:rsidRPr="005F2661">
        <w:t>stimulating investment, to assist economic recovery through job creation, and maintain investment in water infrastructure renewals and maintenance; and </w:t>
      </w:r>
    </w:p>
    <w:p w14:paraId="5CE64F73" w14:textId="77777777" w:rsidR="005F2661" w:rsidRPr="005F2661" w:rsidRDefault="005F2661" w:rsidP="005F2661">
      <w:pPr>
        <w:pStyle w:val="ListParagraph"/>
        <w:numPr>
          <w:ilvl w:val="1"/>
          <w:numId w:val="25"/>
        </w:numPr>
      </w:pPr>
      <w:r w:rsidRPr="005F2661">
        <w:t>reforming current water service delivery, into larger scale providers, to realise significant economic, public health, environmental, and other benefits over the medium to long term</w:t>
      </w:r>
      <w:r w:rsidR="00873CE4">
        <w:t>.</w:t>
      </w:r>
    </w:p>
    <w:p w14:paraId="0A82D415" w14:textId="77777777" w:rsidR="005331AA" w:rsidRDefault="005331AA" w:rsidP="00055AF7">
      <w:pPr>
        <w:pStyle w:val="ListParagraph"/>
        <w:numPr>
          <w:ilvl w:val="0"/>
          <w:numId w:val="25"/>
        </w:numPr>
      </w:pPr>
      <w:r w:rsidRPr="005F2661">
        <w:t xml:space="preserve">Initial funding </w:t>
      </w:r>
      <w:r>
        <w:t xml:space="preserve">from the stimulus package </w:t>
      </w:r>
      <w:r w:rsidRPr="005F2661">
        <w:t xml:space="preserve">will be made available to those councils that </w:t>
      </w:r>
      <w:r>
        <w:t xml:space="preserve">agree to participate in the first stage of the reform programme, </w:t>
      </w:r>
      <w:r w:rsidR="00B5621A">
        <w:t>through</w:t>
      </w:r>
      <w:r w:rsidRPr="005F2661">
        <w:t xml:space="preserve"> </w:t>
      </w:r>
      <w:r>
        <w:t>a</w:t>
      </w:r>
      <w:r w:rsidRPr="005F2661">
        <w:t xml:space="preserve"> Memorandum of Understanding (MoU)</w:t>
      </w:r>
      <w:r>
        <w:t>,</w:t>
      </w:r>
      <w:r w:rsidRPr="005F2661">
        <w:t xml:space="preserve"> Funding Agreement</w:t>
      </w:r>
      <w:r>
        <w:t>,</w:t>
      </w:r>
      <w:r w:rsidRPr="005F2661">
        <w:t xml:space="preserve"> and </w:t>
      </w:r>
      <w:r w:rsidR="00B5621A">
        <w:t xml:space="preserve">approved </w:t>
      </w:r>
      <w:r w:rsidRPr="005F2661">
        <w:t>Delivery Plan</w:t>
      </w:r>
      <w:r w:rsidR="00B5621A">
        <w:t>.  The</w:t>
      </w:r>
      <w:r w:rsidR="00D00D08">
        <w:t xml:space="preserve"> MoU must be signed by the end of August 2020, with the Funding Agreement and Delivery Plan </w:t>
      </w:r>
      <w:r w:rsidR="00B5621A">
        <w:t>submitted and approved</w:t>
      </w:r>
      <w:r>
        <w:t xml:space="preserve"> by the end of </w:t>
      </w:r>
      <w:r w:rsidR="00D00D08">
        <w:t xml:space="preserve">September </w:t>
      </w:r>
      <w:r>
        <w:t xml:space="preserve">2020. </w:t>
      </w:r>
    </w:p>
    <w:p w14:paraId="580EF348" w14:textId="77777777" w:rsidR="004E407A" w:rsidRPr="00CD1D50" w:rsidRDefault="00A37124" w:rsidP="00603635">
      <w:pPr>
        <w:rPr>
          <w:b/>
          <w:sz w:val="28"/>
          <w:szCs w:val="28"/>
        </w:rPr>
      </w:pPr>
      <w:r w:rsidRPr="00CD1D50">
        <w:rPr>
          <w:b/>
          <w:sz w:val="28"/>
          <w:szCs w:val="28"/>
        </w:rPr>
        <w:t>Background and context</w:t>
      </w:r>
    </w:p>
    <w:p w14:paraId="50980033" w14:textId="77777777" w:rsidR="000C64E0" w:rsidRPr="000C64E0" w:rsidRDefault="000C64E0" w:rsidP="000C64E0">
      <w:pPr>
        <w:spacing w:before="240"/>
        <w:rPr>
          <w:b/>
          <w:i/>
        </w:rPr>
      </w:pPr>
      <w:r w:rsidRPr="000C64E0">
        <w:rPr>
          <w:b/>
          <w:i/>
        </w:rPr>
        <w:t>Issues facing the three waters system</w:t>
      </w:r>
      <w:r w:rsidR="00773072">
        <w:rPr>
          <w:b/>
          <w:i/>
        </w:rPr>
        <w:t>, and rationale for reform</w:t>
      </w:r>
    </w:p>
    <w:p w14:paraId="724C85B5" w14:textId="77777777" w:rsidR="00A37124" w:rsidRDefault="00CD1D50" w:rsidP="00A37124">
      <w:pPr>
        <w:pStyle w:val="ListParagraph"/>
        <w:numPr>
          <w:ilvl w:val="0"/>
          <w:numId w:val="25"/>
        </w:numPr>
      </w:pPr>
      <w:r>
        <w:t>Over the past three years, central and local government</w:t>
      </w:r>
      <w:r w:rsidR="009E797F">
        <w:t xml:space="preserve"> have been considering the </w:t>
      </w:r>
      <w:r w:rsidR="005D6E96">
        <w:t>issues and opportunities</w:t>
      </w:r>
      <w:r w:rsidR="009E797F">
        <w:t xml:space="preserve"> facing the system for regulating and managing the three waters (drinking water, wastewater, and stormwater).</w:t>
      </w:r>
    </w:p>
    <w:p w14:paraId="7CB26125" w14:textId="77777777" w:rsidR="0037569B" w:rsidRDefault="0037569B" w:rsidP="00E43D5C">
      <w:pPr>
        <w:pStyle w:val="ListParagraph"/>
        <w:numPr>
          <w:ilvl w:val="0"/>
          <w:numId w:val="25"/>
        </w:numPr>
      </w:pPr>
      <w:r>
        <w:t xml:space="preserve">The Government Inquiry into Havelock North Drinking Water – set up following the serious </w:t>
      </w:r>
      <w:r w:rsidRPr="0037569B">
        <w:t xml:space="preserve">campylobacter outbreak in 2016 </w:t>
      </w:r>
      <w:r>
        <w:t xml:space="preserve">– identified widespread, systemic failure of suppliers to meet the standards required for the safe supply of drinking water to the public.  It made a number of urgent and longer-term recommendations to address these significant systemic and regulatory failures. </w:t>
      </w:r>
    </w:p>
    <w:p w14:paraId="6245B3F6" w14:textId="77777777" w:rsidR="009E797F" w:rsidRDefault="009E797F" w:rsidP="00E43D5C">
      <w:pPr>
        <w:pStyle w:val="ListParagraph"/>
        <w:numPr>
          <w:ilvl w:val="0"/>
          <w:numId w:val="25"/>
        </w:numPr>
      </w:pPr>
      <w:r>
        <w:t>The Government’s Three Waters Review highlighted that, in many parts of the country, communities cannot be confident that drinking water is safe, or that good environmental outcomes are being achieved. This work also raised concerns about the regulation, sustainability, capacity and capability of a system with a large number of localised providers, many of which are funded by relatively small populations.</w:t>
      </w:r>
    </w:p>
    <w:p w14:paraId="2715D762" w14:textId="77777777" w:rsidR="009E797F" w:rsidRDefault="005D6E96" w:rsidP="00E43D5C">
      <w:pPr>
        <w:pStyle w:val="ListParagraph"/>
        <w:numPr>
          <w:ilvl w:val="0"/>
          <w:numId w:val="25"/>
        </w:numPr>
      </w:pPr>
      <w:r>
        <w:t xml:space="preserve">The local government sector’s own work has highlighted similar issues.  For example, in 2014, LGNZ identified an information gap relating to three waters infrastructure.  A </w:t>
      </w:r>
      <w:r w:rsidR="0047729A">
        <w:t>2015</w:t>
      </w:r>
      <w:r>
        <w:t xml:space="preserve"> position paper, argued for a refresh of the regulatory framework to ensure delivery of quality drinking water and wastewater services, and outlined what stronger performance in the three waters sector would look like. </w:t>
      </w:r>
      <w:r w:rsidR="009E797F">
        <w:t xml:space="preserve"> </w:t>
      </w:r>
    </w:p>
    <w:p w14:paraId="0BF49D7A" w14:textId="77777777" w:rsidR="005205B6" w:rsidRDefault="005205B6" w:rsidP="005205B6">
      <w:pPr>
        <w:pStyle w:val="Numberedpara3level1"/>
        <w:keepLines w:val="0"/>
        <w:numPr>
          <w:ilvl w:val="0"/>
          <w:numId w:val="25"/>
        </w:numPr>
      </w:pPr>
      <w:r>
        <w:t>B</w:t>
      </w:r>
      <w:r w:rsidRPr="0047729A">
        <w:t xml:space="preserve">oth central and local government acknowledge that there are </w:t>
      </w:r>
      <w:r w:rsidR="00F7089F">
        <w:t>many</w:t>
      </w:r>
      <w:r w:rsidRPr="0047729A">
        <w:t xml:space="preserve"> challenges facing the delivery of water services and infrastructure, and the communities that fund and rely on these services. </w:t>
      </w:r>
      <w:r>
        <w:t xml:space="preserve"> These challenges include:</w:t>
      </w:r>
    </w:p>
    <w:p w14:paraId="424A00C0" w14:textId="77777777" w:rsidR="005205B6" w:rsidRPr="00D47A86" w:rsidRDefault="005205B6" w:rsidP="005205B6">
      <w:pPr>
        <w:pStyle w:val="Numberedpara3level1"/>
        <w:keepLines w:val="0"/>
        <w:numPr>
          <w:ilvl w:val="1"/>
          <w:numId w:val="25"/>
        </w:numPr>
      </w:pPr>
      <w:r>
        <w:t>U</w:t>
      </w:r>
      <w:r w:rsidRPr="0047729A">
        <w:t>nderinvestment in three waters infrastructure in parts of the country</w:t>
      </w:r>
      <w:r>
        <w:t xml:space="preserve">, </w:t>
      </w:r>
      <w:r w:rsidR="000C64E0">
        <w:t>and</w:t>
      </w:r>
      <w:r>
        <w:t xml:space="preserve"> substantial infrastructure deficits.  For example, it is estimated that </w:t>
      </w:r>
      <w:r w:rsidRPr="008F7F66">
        <w:t>between $300 to $570 million is required to upgrade networked drinking water treatment plants to meet drinking water standards</w:t>
      </w:r>
      <w:r>
        <w:t xml:space="preserve">; and </w:t>
      </w:r>
      <w:r w:rsidRPr="00D47A86">
        <w:t>up to $4 billion is required to upgrade wastewater plants to meet new consent requirements</w:t>
      </w:r>
      <w:r>
        <w:t>.</w:t>
      </w:r>
      <w:r w:rsidR="000C64E0">
        <w:t xml:space="preserve">  These deficits are likely to be underestimates, given the variable quality of asset management data.</w:t>
      </w:r>
    </w:p>
    <w:p w14:paraId="2C0B9EC4" w14:textId="77777777" w:rsidR="005205B6" w:rsidRDefault="005205B6" w:rsidP="005205B6">
      <w:pPr>
        <w:pStyle w:val="Numberedpara3level1"/>
        <w:keepLines w:val="0"/>
        <w:numPr>
          <w:ilvl w:val="1"/>
          <w:numId w:val="25"/>
        </w:numPr>
      </w:pPr>
      <w:r>
        <w:t>P</w:t>
      </w:r>
      <w:r w:rsidRPr="0047729A">
        <w:t xml:space="preserve">ersistent </w:t>
      </w:r>
      <w:r>
        <w:t xml:space="preserve">funding and </w:t>
      </w:r>
      <w:r w:rsidRPr="0047729A">
        <w:t>affordability challenges,</w:t>
      </w:r>
      <w:r>
        <w:t xml:space="preserve"> particularly for communities with small rating bases, or high-growth areas that have reached their prudential borrowing limits.</w:t>
      </w:r>
      <w:r w:rsidRPr="0047729A">
        <w:t xml:space="preserve"> </w:t>
      </w:r>
    </w:p>
    <w:p w14:paraId="54D696F3" w14:textId="77777777" w:rsidR="005205B6" w:rsidRDefault="005205B6" w:rsidP="005205B6">
      <w:pPr>
        <w:pStyle w:val="Numberedpara3level1"/>
        <w:keepLines w:val="0"/>
        <w:numPr>
          <w:ilvl w:val="1"/>
          <w:numId w:val="25"/>
        </w:numPr>
      </w:pPr>
      <w:r>
        <w:t>A</w:t>
      </w:r>
      <w:r w:rsidRPr="0047729A">
        <w:t>dditional investment required to increase public confidence in the safety of drinking water</w:t>
      </w:r>
      <w:r>
        <w:t>,</w:t>
      </w:r>
      <w:r w:rsidRPr="0047729A">
        <w:t xml:space="preserve"> improve freshwater outcomes</w:t>
      </w:r>
      <w:r>
        <w:t>, and as</w:t>
      </w:r>
      <w:r w:rsidRPr="0047729A">
        <w:t xml:space="preserve"> a critical component of a collective response to climate change and increasing resilience of local communities.</w:t>
      </w:r>
    </w:p>
    <w:p w14:paraId="4769C8A3" w14:textId="77777777" w:rsidR="005205B6" w:rsidRDefault="00F7089F" w:rsidP="00E43D5C">
      <w:pPr>
        <w:pStyle w:val="ListParagraph"/>
        <w:numPr>
          <w:ilvl w:val="0"/>
          <w:numId w:val="25"/>
        </w:numPr>
      </w:pPr>
      <w:r>
        <w:t xml:space="preserve">COVID-19 has made the situation even more challenging.  Prior to COVID-19, territorial authorities were planning on spending $8.3 billion in capital over the next five years on water infrastructure.  However, COVID-19 is likely to cause significant decreases in revenue in the short term.  As a result, borrowing will be constrained due to lower debt limits that flow from lower revenues, and opportunities to raise revenue through rates, fees and charges will be limited. </w:t>
      </w:r>
    </w:p>
    <w:p w14:paraId="4042DF52" w14:textId="77777777" w:rsidR="00E45DF3" w:rsidRPr="00E45DF3" w:rsidRDefault="0037569B" w:rsidP="0037569B">
      <w:pPr>
        <w:spacing w:before="240"/>
        <w:rPr>
          <w:b/>
          <w:i/>
        </w:rPr>
      </w:pPr>
      <w:r>
        <w:rPr>
          <w:b/>
          <w:i/>
        </w:rPr>
        <w:t>Progress with t</w:t>
      </w:r>
      <w:r w:rsidR="009E797F">
        <w:rPr>
          <w:b/>
          <w:i/>
        </w:rPr>
        <w:t>hree waters r</w:t>
      </w:r>
      <w:r w:rsidR="00E45DF3" w:rsidRPr="00E45DF3">
        <w:rPr>
          <w:b/>
          <w:i/>
        </w:rPr>
        <w:t>egulatory reform</w:t>
      </w:r>
      <w:r w:rsidR="009E797F">
        <w:rPr>
          <w:b/>
          <w:i/>
        </w:rPr>
        <w:t>s</w:t>
      </w:r>
    </w:p>
    <w:p w14:paraId="607E18EA" w14:textId="77777777" w:rsidR="00E45DF3" w:rsidRDefault="00205612" w:rsidP="00E43D5C">
      <w:pPr>
        <w:pStyle w:val="Numberedpara3level1"/>
        <w:keepLines w:val="0"/>
        <w:numPr>
          <w:ilvl w:val="0"/>
          <w:numId w:val="28"/>
        </w:numPr>
      </w:pPr>
      <w:r>
        <w:t xml:space="preserve">Good progress is already being made to address </w:t>
      </w:r>
      <w:r w:rsidR="00C43BFF">
        <w:t xml:space="preserve">the </w:t>
      </w:r>
      <w:r>
        <w:t>regulatory issues</w:t>
      </w:r>
      <w:r w:rsidR="00C43BFF">
        <w:t xml:space="preserve"> that were raised by the Havelock North Inquiry and Three Waters Review</w:t>
      </w:r>
      <w:r>
        <w:t xml:space="preserve">.  </w:t>
      </w:r>
      <w:r w:rsidR="00E45DF3">
        <w:t xml:space="preserve">The Government is </w:t>
      </w:r>
      <w:r>
        <w:t>implementing</w:t>
      </w:r>
      <w:r w:rsidR="00E45DF3">
        <w:t xml:space="preserve"> a package of reforms to the three waters regulatory system, which are designed to:</w:t>
      </w:r>
    </w:p>
    <w:p w14:paraId="608EB7D3" w14:textId="77777777" w:rsidR="00E45DF3" w:rsidRDefault="00E45DF3" w:rsidP="00E45DF3">
      <w:pPr>
        <w:pStyle w:val="Numberedpara3level211"/>
        <w:keepLines w:val="0"/>
        <w:numPr>
          <w:ilvl w:val="1"/>
          <w:numId w:val="28"/>
        </w:numPr>
      </w:pPr>
      <w:r>
        <w:t>improve national-level leadership, oversight, and support relating to the three waters – through</w:t>
      </w:r>
      <w:r w:rsidR="00CD1D50">
        <w:t xml:space="preserve"> the creation of </w:t>
      </w:r>
      <w:r>
        <w:t>Taumata Arowai, a new, dedicated Water Services Regulator;</w:t>
      </w:r>
    </w:p>
    <w:p w14:paraId="5E2F0C4B" w14:textId="77777777" w:rsidR="00E45DF3" w:rsidRDefault="00E45DF3" w:rsidP="00E45DF3">
      <w:pPr>
        <w:pStyle w:val="Numberedpara3level211"/>
        <w:keepLines w:val="0"/>
        <w:numPr>
          <w:ilvl w:val="1"/>
          <w:numId w:val="28"/>
        </w:numPr>
      </w:pPr>
      <w:r>
        <w:t>significantly strengthen compliance, monitoring, and enforcement relating to drinking water regulation;</w:t>
      </w:r>
    </w:p>
    <w:p w14:paraId="4DF76FA3" w14:textId="77777777" w:rsidR="00E45DF3" w:rsidRDefault="00E45DF3" w:rsidP="00E45DF3">
      <w:pPr>
        <w:pStyle w:val="Numberedpara3level211"/>
        <w:keepLines w:val="0"/>
        <w:numPr>
          <w:ilvl w:val="1"/>
          <w:numId w:val="28"/>
        </w:numPr>
      </w:pPr>
      <w:r>
        <w:t>manage risks to drinking water safety and ensure sources of drinking water are protected;</w:t>
      </w:r>
    </w:p>
    <w:p w14:paraId="2882AA9D" w14:textId="77777777" w:rsidR="00E45DF3" w:rsidRDefault="00E45DF3" w:rsidP="00E45DF3">
      <w:pPr>
        <w:pStyle w:val="Numberedpara3level211"/>
        <w:keepLines w:val="0"/>
        <w:numPr>
          <w:ilvl w:val="1"/>
          <w:numId w:val="28"/>
        </w:numPr>
      </w:pPr>
      <w:r>
        <w:t>improve the environmental performance and transparency of wastewater and stormwater networks.</w:t>
      </w:r>
    </w:p>
    <w:p w14:paraId="37D8202D" w14:textId="77777777" w:rsidR="00E45DF3" w:rsidRDefault="00E45DF3" w:rsidP="00E45DF3">
      <w:pPr>
        <w:pStyle w:val="Numberedpara3level1"/>
        <w:keepLines w:val="0"/>
        <w:numPr>
          <w:ilvl w:val="0"/>
          <w:numId w:val="28"/>
        </w:numPr>
      </w:pPr>
      <w:r>
        <w:t xml:space="preserve">Legislation to create Taumata Arowai </w:t>
      </w:r>
      <w:r w:rsidR="005A73F7">
        <w:t xml:space="preserve">had its third reading on 22 July 2020 </w:t>
      </w:r>
      <w:r w:rsidR="008F7F66">
        <w:t>and should be enacted shortly</w:t>
      </w:r>
      <w:r w:rsidR="00CD1D50">
        <w:t xml:space="preserve"> [TO BE UPDATED ONCE BILL IS ENACTED]</w:t>
      </w:r>
      <w:r>
        <w:t>.  This new Crown entity is currently being built, and w</w:t>
      </w:r>
      <w:r w:rsidR="00CD1D50">
        <w:t>ill</w:t>
      </w:r>
      <w:r>
        <w:t xml:space="preserve"> become responsible for drinking water regulation once </w:t>
      </w:r>
      <w:r w:rsidR="009E797F">
        <w:t>a</w:t>
      </w:r>
      <w:r>
        <w:t xml:space="preserve"> separate Water Services Bill is passed (anticipated mid 2021).</w:t>
      </w:r>
    </w:p>
    <w:p w14:paraId="795741B3" w14:textId="77777777" w:rsidR="000C64E0" w:rsidRDefault="00F927B8" w:rsidP="007E4A07">
      <w:pPr>
        <w:pStyle w:val="Numberedpara3level1"/>
        <w:keepLines w:val="0"/>
        <w:numPr>
          <w:ilvl w:val="0"/>
          <w:numId w:val="28"/>
        </w:numPr>
      </w:pPr>
      <w:r>
        <w:t xml:space="preserve">However, both central and local government acknowledge that regulatory reforms alone will not be sufficient to address many of the persistent issues facing the three waters system.  Reforms to service delivery and funding arrangements also need to be explored. </w:t>
      </w:r>
    </w:p>
    <w:p w14:paraId="23806AB0" w14:textId="77777777" w:rsidR="000C64E0" w:rsidRPr="000C64E0" w:rsidRDefault="000C64E0" w:rsidP="000C64E0">
      <w:pPr>
        <w:pStyle w:val="Numberedpara3level1"/>
        <w:keepLines w:val="0"/>
        <w:numPr>
          <w:ilvl w:val="0"/>
          <w:numId w:val="0"/>
        </w:numPr>
        <w:ind w:left="567" w:hanging="567"/>
        <w:rPr>
          <w:b/>
          <w:sz w:val="28"/>
          <w:szCs w:val="28"/>
        </w:rPr>
      </w:pPr>
      <w:r w:rsidRPr="000C64E0">
        <w:rPr>
          <w:b/>
          <w:sz w:val="28"/>
          <w:szCs w:val="28"/>
        </w:rPr>
        <w:t>Propos</w:t>
      </w:r>
      <w:r>
        <w:rPr>
          <w:b/>
          <w:sz w:val="28"/>
          <w:szCs w:val="28"/>
        </w:rPr>
        <w:t>al – central/local government three waters reform programme</w:t>
      </w:r>
    </w:p>
    <w:p w14:paraId="1089A2C1" w14:textId="77777777" w:rsidR="00773072" w:rsidRPr="00773072" w:rsidRDefault="00773072" w:rsidP="00773072">
      <w:pPr>
        <w:spacing w:before="240"/>
        <w:rPr>
          <w:b/>
          <w:i/>
        </w:rPr>
      </w:pPr>
      <w:r w:rsidRPr="00773072">
        <w:rPr>
          <w:b/>
          <w:i/>
        </w:rPr>
        <w:t>Overview of proposed approach</w:t>
      </w:r>
      <w:r w:rsidR="009E455A">
        <w:rPr>
          <w:b/>
          <w:i/>
        </w:rPr>
        <w:t xml:space="preserve"> </w:t>
      </w:r>
      <w:r w:rsidR="001270B5">
        <w:rPr>
          <w:b/>
          <w:i/>
        </w:rPr>
        <w:t>to</w:t>
      </w:r>
      <w:r w:rsidR="009E455A">
        <w:rPr>
          <w:b/>
          <w:i/>
        </w:rPr>
        <w:t xml:space="preserve"> three waters investment and service delivery reform </w:t>
      </w:r>
    </w:p>
    <w:p w14:paraId="0B357E2A" w14:textId="77777777" w:rsidR="00773072" w:rsidRPr="005F2661" w:rsidRDefault="00773072" w:rsidP="00E43D5C">
      <w:pPr>
        <w:pStyle w:val="ListParagraph"/>
        <w:numPr>
          <w:ilvl w:val="0"/>
          <w:numId w:val="25"/>
        </w:numPr>
      </w:pPr>
      <w:r w:rsidRPr="00773072">
        <w:t xml:space="preserve">At the recent Central/Local Government Forum, central and local government leadership discussed </w:t>
      </w:r>
      <w:r w:rsidR="001270B5">
        <w:t xml:space="preserve">the </w:t>
      </w:r>
      <w:r w:rsidRPr="00773072">
        <w:t>challenges facing New Zealand’s water service delivery and infrastructure, and committed to working jointly on reform.</w:t>
      </w:r>
      <w:r>
        <w:t xml:space="preserve">  A Joint Central/Local Government Three Waters Steering Committee has been established to provide oversight and guidance to support this work.</w:t>
      </w:r>
      <w:r w:rsidR="00F927B8">
        <w:t xml:space="preserve"> [</w:t>
      </w:r>
      <w:r w:rsidR="009A4F84">
        <w:t>Further details are provided in Appendix E</w:t>
      </w:r>
      <w:r w:rsidR="00F927B8">
        <w:t>.]</w:t>
      </w:r>
    </w:p>
    <w:p w14:paraId="1E35BFA4" w14:textId="77777777" w:rsidR="000C64E0" w:rsidRDefault="000C64E0" w:rsidP="000C64E0">
      <w:pPr>
        <w:pStyle w:val="ListParagraph"/>
        <w:numPr>
          <w:ilvl w:val="0"/>
          <w:numId w:val="25"/>
        </w:numPr>
      </w:pPr>
      <w:r w:rsidRPr="005F2661">
        <w:t xml:space="preserve">Central and </w:t>
      </w:r>
      <w:r>
        <w:t>l</w:t>
      </w:r>
      <w:r w:rsidRPr="005F2661">
        <w:t xml:space="preserve">ocal </w:t>
      </w:r>
      <w:r>
        <w:t>g</w:t>
      </w:r>
      <w:r w:rsidRPr="005F2661">
        <w:t>overnment consider it is timely to apply targeted infrastructure stimulus investment to enable improvements to water service delivery, progress</w:t>
      </w:r>
      <w:r>
        <w:t xml:space="preserve"> service delivery</w:t>
      </w:r>
      <w:r w:rsidRPr="005F2661">
        <w:t xml:space="preserve"> reform in partnership, and ensure the period of economic recovery following COVID-19 supports a transition to a productive, sustainable economy.</w:t>
      </w:r>
    </w:p>
    <w:p w14:paraId="0F05BAC4" w14:textId="77777777" w:rsidR="000E5358" w:rsidRPr="005F2661" w:rsidRDefault="000C64E0" w:rsidP="009E455A">
      <w:pPr>
        <w:pStyle w:val="ListParagraph"/>
        <w:numPr>
          <w:ilvl w:val="0"/>
          <w:numId w:val="25"/>
        </w:numPr>
      </w:pPr>
      <w:r w:rsidRPr="005F2661">
        <w:t>In July 2020, the Government announced</w:t>
      </w:r>
      <w:r w:rsidR="009E455A">
        <w:t xml:space="preserve"> an initial</w:t>
      </w:r>
      <w:r w:rsidRPr="005F2661">
        <w:t xml:space="preserve"> funding</w:t>
      </w:r>
      <w:r w:rsidR="009E455A">
        <w:t xml:space="preserve"> package of $761 million</w:t>
      </w:r>
      <w:r w:rsidRPr="005F2661">
        <w:t xml:space="preserve"> to provide post</w:t>
      </w:r>
      <w:r>
        <w:t xml:space="preserve"> </w:t>
      </w:r>
      <w:r w:rsidRPr="005F2661">
        <w:t>COVID-19 stimulus</w:t>
      </w:r>
      <w:r w:rsidR="009E455A">
        <w:t>,</w:t>
      </w:r>
      <w:r w:rsidRPr="005F2661">
        <w:t xml:space="preserve"> support a three-year programme of reform of local government water service delivery arrangements</w:t>
      </w:r>
      <w:r w:rsidR="009A4F84">
        <w:t>, and support the establishment and operation of Taumata Arowai</w:t>
      </w:r>
      <w:r w:rsidRPr="005F2661">
        <w:t>.</w:t>
      </w:r>
    </w:p>
    <w:p w14:paraId="69DAAFEA" w14:textId="77777777" w:rsidR="000C64E0" w:rsidRPr="005F2661" w:rsidRDefault="000C64E0" w:rsidP="000C64E0">
      <w:pPr>
        <w:pStyle w:val="ListParagraph"/>
        <w:numPr>
          <w:ilvl w:val="0"/>
          <w:numId w:val="25"/>
        </w:numPr>
      </w:pPr>
      <w:r w:rsidRPr="005F2661">
        <w:t>Th</w:t>
      </w:r>
      <w:r w:rsidR="002A32AD">
        <w:t>e</w:t>
      </w:r>
      <w:r w:rsidRPr="005F2661">
        <w:t xml:space="preserve"> </w:t>
      </w:r>
      <w:r>
        <w:t>r</w:t>
      </w:r>
      <w:r w:rsidRPr="005F2661">
        <w:t xml:space="preserve">eform </w:t>
      </w:r>
      <w:r>
        <w:t>p</w:t>
      </w:r>
      <w:r w:rsidRPr="005F2661">
        <w:t>rogramme is designed to support economic recovery</w:t>
      </w:r>
      <w:r>
        <w:t>,</w:t>
      </w:r>
      <w:r w:rsidRPr="005F2661">
        <w:t xml:space="preserve"> and address persistent systemic issues facing the three waters sector, through a combination of:</w:t>
      </w:r>
    </w:p>
    <w:p w14:paraId="059BA57D" w14:textId="77777777" w:rsidR="000C64E0" w:rsidRPr="005F2661" w:rsidRDefault="000C64E0" w:rsidP="000C64E0">
      <w:pPr>
        <w:pStyle w:val="ListParagraph"/>
        <w:numPr>
          <w:ilvl w:val="1"/>
          <w:numId w:val="25"/>
        </w:numPr>
      </w:pPr>
      <w:r w:rsidRPr="005F2661">
        <w:t>stimulating investment, to assist economic recovery through job creation, and maintain investment in water infrastructure renewals and maintenance; and </w:t>
      </w:r>
    </w:p>
    <w:p w14:paraId="3F285B17" w14:textId="77777777" w:rsidR="000C64E0" w:rsidRPr="005F2661" w:rsidRDefault="000C64E0" w:rsidP="000C64E0">
      <w:pPr>
        <w:pStyle w:val="ListParagraph"/>
        <w:numPr>
          <w:ilvl w:val="1"/>
          <w:numId w:val="25"/>
        </w:numPr>
      </w:pPr>
      <w:r w:rsidRPr="005F2661">
        <w:t>reforming current water service delivery, into larger scale providers, to realise significant economic, public health, environmental, and other benefits over the medium to long term</w:t>
      </w:r>
      <w:r>
        <w:t>.</w:t>
      </w:r>
    </w:p>
    <w:p w14:paraId="0A3B616B" w14:textId="77777777" w:rsidR="00773072" w:rsidRDefault="000C64E0" w:rsidP="00773072">
      <w:pPr>
        <w:pStyle w:val="ListParagraph"/>
        <w:numPr>
          <w:ilvl w:val="0"/>
          <w:numId w:val="25"/>
        </w:numPr>
      </w:pPr>
      <w:r w:rsidRPr="005F2661">
        <w:t xml:space="preserve">While the Government’s starting intention is for publicly-owned multi-regional models for water service delivery </w:t>
      </w:r>
      <w:r>
        <w:t>(</w:t>
      </w:r>
      <w:r w:rsidRPr="005F2661">
        <w:t>with a preference for local authority ownership</w:t>
      </w:r>
      <w:r>
        <w:t>)</w:t>
      </w:r>
      <w:r w:rsidRPr="005F2661">
        <w:t xml:space="preserve">, final decisions on a service delivery model will be informed by discussion with the local government sector and the work of </w:t>
      </w:r>
      <w:r>
        <w:t>the Joint</w:t>
      </w:r>
      <w:r w:rsidRPr="005F2661">
        <w:t xml:space="preserve"> Steering Committee.</w:t>
      </w:r>
    </w:p>
    <w:p w14:paraId="2314F41B" w14:textId="77777777" w:rsidR="0010439B" w:rsidRDefault="0010439B" w:rsidP="0010439B">
      <w:pPr>
        <w:pStyle w:val="ListParagraph"/>
        <w:numPr>
          <w:ilvl w:val="0"/>
          <w:numId w:val="25"/>
        </w:numPr>
      </w:pPr>
      <w:r>
        <w:t>Further information on the reform objectives</w:t>
      </w:r>
      <w:r w:rsidR="00B73946">
        <w:t>,</w:t>
      </w:r>
      <w:r>
        <w:t xml:space="preserve"> and </w:t>
      </w:r>
      <w:r w:rsidR="00B73946">
        <w:t xml:space="preserve">the </w:t>
      </w:r>
      <w:r>
        <w:t xml:space="preserve">core design features </w:t>
      </w:r>
      <w:r w:rsidR="00B73946">
        <w:t xml:space="preserve">of any new service delivery model, </w:t>
      </w:r>
      <w:r>
        <w:t>are provided in pages 3 to 4 of the MoU at Appendix A.</w:t>
      </w:r>
    </w:p>
    <w:p w14:paraId="75E5660E" w14:textId="77777777" w:rsidR="002A32AD" w:rsidRPr="002A32AD" w:rsidRDefault="00914E86" w:rsidP="002A32AD">
      <w:pPr>
        <w:spacing w:before="240"/>
        <w:rPr>
          <w:b/>
          <w:i/>
        </w:rPr>
      </w:pPr>
      <w:r>
        <w:rPr>
          <w:b/>
          <w:i/>
        </w:rPr>
        <w:t>R</w:t>
      </w:r>
      <w:r w:rsidR="002A32AD" w:rsidRPr="002A32AD">
        <w:rPr>
          <w:b/>
          <w:i/>
        </w:rPr>
        <w:t>eform</w:t>
      </w:r>
      <w:r w:rsidR="000E5358">
        <w:rPr>
          <w:b/>
          <w:i/>
        </w:rPr>
        <w:t xml:space="preserve"> process and</w:t>
      </w:r>
      <w:r w:rsidR="002A32AD" w:rsidRPr="002A32AD">
        <w:rPr>
          <w:b/>
          <w:i/>
        </w:rPr>
        <w:t xml:space="preserve"> </w:t>
      </w:r>
      <w:r>
        <w:rPr>
          <w:b/>
          <w:i/>
        </w:rPr>
        <w:t xml:space="preserve">indicative </w:t>
      </w:r>
      <w:r w:rsidR="002A32AD" w:rsidRPr="002A32AD">
        <w:rPr>
          <w:b/>
          <w:i/>
        </w:rPr>
        <w:t>timetable</w:t>
      </w:r>
    </w:p>
    <w:p w14:paraId="7C891467" w14:textId="77777777" w:rsidR="000E5358" w:rsidRDefault="002F2D05" w:rsidP="00E43D5C">
      <w:pPr>
        <w:pStyle w:val="ListParagraph"/>
        <w:numPr>
          <w:ilvl w:val="0"/>
          <w:numId w:val="25"/>
        </w:numPr>
      </w:pPr>
      <w:r>
        <w:t>As noted above, this is a three-year programme to reform three waters service delivery arrangements</w:t>
      </w:r>
      <w:r w:rsidR="000E5358">
        <w:t>, which is being delivered in conjunction with an economic stimulus package</w:t>
      </w:r>
      <w:r w:rsidR="00CC4FEC">
        <w:t xml:space="preserve"> of Crown investment in water infrastructure</w:t>
      </w:r>
      <w:r>
        <w:t>.</w:t>
      </w:r>
      <w:r w:rsidR="000E5358">
        <w:t xml:space="preserve">  The reform programme will be undertaken in stages.</w:t>
      </w:r>
    </w:p>
    <w:p w14:paraId="31E0B439" w14:textId="77777777" w:rsidR="000E5358" w:rsidRDefault="000E5358" w:rsidP="008C5E77">
      <w:pPr>
        <w:pStyle w:val="ListParagraph"/>
        <w:numPr>
          <w:ilvl w:val="0"/>
          <w:numId w:val="25"/>
        </w:numPr>
      </w:pPr>
      <w:r>
        <w:t xml:space="preserve">The initial stage </w:t>
      </w:r>
      <w:r w:rsidR="00CC4FEC">
        <w:t xml:space="preserve">is </w:t>
      </w:r>
      <w:r w:rsidR="00E43D5C">
        <w:t xml:space="preserve">an opt in, </w:t>
      </w:r>
      <w:r w:rsidR="00CC4FEC">
        <w:t xml:space="preserve">non-binding </w:t>
      </w:r>
      <w:r w:rsidR="00E43D5C">
        <w:t xml:space="preserve">approach, which involves councils taking the actions </w:t>
      </w:r>
      <w:r w:rsidR="004A56E3">
        <w:t xml:space="preserve">and signing the documents </w:t>
      </w:r>
      <w:r w:rsidR="00E43D5C">
        <w:t>described below</w:t>
      </w:r>
      <w:r w:rsidR="004A56E3">
        <w:t xml:space="preserve"> (MoU, Funding Agreement, and Delivery Plan)</w:t>
      </w:r>
      <w:r w:rsidR="00E43D5C">
        <w:t>.</w:t>
      </w:r>
    </w:p>
    <w:p w14:paraId="146EAB7A" w14:textId="77777777" w:rsidR="004A56E3" w:rsidRDefault="004A56E3" w:rsidP="008C5E77">
      <w:pPr>
        <w:pStyle w:val="ListParagraph"/>
        <w:numPr>
          <w:ilvl w:val="0"/>
          <w:numId w:val="25"/>
        </w:numPr>
      </w:pPr>
      <w:r>
        <w:t>Councils that agree to opt in by the end of August 2020 will receive a share of the initial funding package.</w:t>
      </w:r>
    </w:p>
    <w:p w14:paraId="74B526B5" w14:textId="77777777" w:rsidR="002F2D05" w:rsidRDefault="00EC7A0B" w:rsidP="008C5E77">
      <w:pPr>
        <w:pStyle w:val="ListParagraph"/>
        <w:numPr>
          <w:ilvl w:val="0"/>
          <w:numId w:val="25"/>
        </w:numPr>
      </w:pPr>
      <w:r>
        <w:t>Any f</w:t>
      </w:r>
      <w:r w:rsidR="00CC4FEC">
        <w:t xml:space="preserve">urther tranches of funding will </w:t>
      </w:r>
      <w:r>
        <w:t xml:space="preserve">be at the discretion of the </w:t>
      </w:r>
      <w:r w:rsidR="00CC4FEC">
        <w:t xml:space="preserve">Government and </w:t>
      </w:r>
      <w:r>
        <w:t xml:space="preserve">may depend on </w:t>
      </w:r>
      <w:r w:rsidR="00CC4FEC">
        <w:t>progress against reform objectives</w:t>
      </w:r>
      <w:r w:rsidR="00566472">
        <w:t>.</w:t>
      </w:r>
      <w:r w:rsidR="002F2D05">
        <w:t xml:space="preserve"> </w:t>
      </w:r>
    </w:p>
    <w:p w14:paraId="649AE137" w14:textId="77777777" w:rsidR="002A32AD" w:rsidRDefault="002A32AD" w:rsidP="008C5E77">
      <w:pPr>
        <w:pStyle w:val="ListParagraph"/>
        <w:numPr>
          <w:ilvl w:val="0"/>
          <w:numId w:val="25"/>
        </w:numPr>
      </w:pPr>
      <w:r>
        <w:t xml:space="preserve">An </w:t>
      </w:r>
      <w:r w:rsidRPr="00917FF8">
        <w:t>indicative timetable for the full reform programme</w:t>
      </w:r>
      <w:r>
        <w:t xml:space="preserve"> is provided below</w:t>
      </w:r>
      <w:r w:rsidRPr="00917FF8">
        <w:t>. While this is subject to change as the reform</w:t>
      </w:r>
      <w:r w:rsidR="008C5E77">
        <w:t>s</w:t>
      </w:r>
      <w:r w:rsidRPr="00917FF8">
        <w:t xml:space="preserve"> progress,</w:t>
      </w:r>
      <w:r w:rsidR="008C5E77">
        <w:t xml:space="preserve"> </w:t>
      </w:r>
      <w:r w:rsidR="00EC7A0B">
        <w:t>and subject to future Government budget decisions, i</w:t>
      </w:r>
      <w:r>
        <w:t>t</w:t>
      </w:r>
      <w:r w:rsidRPr="00917FF8">
        <w:t xml:space="preserve"> provides an overview of the longer-term reform pathway. </w:t>
      </w:r>
    </w:p>
    <w:p w14:paraId="24BEF7BD" w14:textId="77777777" w:rsidR="008C5E77" w:rsidRDefault="008C5E77" w:rsidP="008C5E77">
      <w:pPr>
        <w:pStyle w:val="ListParagraph"/>
        <w:numPr>
          <w:ilvl w:val="0"/>
          <w:numId w:val="0"/>
        </w:numPr>
        <w:ind w:left="360"/>
      </w:pPr>
    </w:p>
    <w:p w14:paraId="4D32D1B2" w14:textId="77777777" w:rsidR="008C5E77" w:rsidRDefault="008C5E77" w:rsidP="008C5E77">
      <w:r w:rsidRPr="00917FF8">
        <w:rPr>
          <w:noProof/>
        </w:rPr>
        <w:drawing>
          <wp:inline distT="0" distB="0" distL="0" distR="0" wp14:anchorId="597F2314" wp14:editId="7D71A1A2">
            <wp:extent cx="5760085" cy="1809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085" cy="1809750"/>
                    </a:xfrm>
                    <a:prstGeom prst="rect">
                      <a:avLst/>
                    </a:prstGeom>
                    <a:noFill/>
                    <a:ln>
                      <a:noFill/>
                    </a:ln>
                  </pic:spPr>
                </pic:pic>
              </a:graphicData>
            </a:graphic>
          </wp:inline>
        </w:drawing>
      </w:r>
    </w:p>
    <w:p w14:paraId="31A370CF" w14:textId="77777777" w:rsidR="00C90E6F" w:rsidRDefault="00C90E6F" w:rsidP="00C90E6F">
      <w:pPr>
        <w:spacing w:before="240"/>
        <w:rPr>
          <w:b/>
          <w:i/>
        </w:rPr>
      </w:pPr>
      <w:r>
        <w:rPr>
          <w:b/>
          <w:sz w:val="28"/>
          <w:szCs w:val="28"/>
        </w:rPr>
        <w:t>Allocation of the investment package</w:t>
      </w:r>
    </w:p>
    <w:p w14:paraId="662B7230" w14:textId="77777777" w:rsidR="00257039" w:rsidRDefault="00257039" w:rsidP="00257039">
      <w:pPr>
        <w:pStyle w:val="ListParagraph"/>
        <w:numPr>
          <w:ilvl w:val="0"/>
          <w:numId w:val="25"/>
        </w:numPr>
      </w:pPr>
      <w:r>
        <w:t>The Government has determined a notional allocation framework based on a nationally-consistent formula.</w:t>
      </w:r>
    </w:p>
    <w:p w14:paraId="2BC89619" w14:textId="77777777" w:rsidR="00257039" w:rsidRDefault="00257039" w:rsidP="00257039">
      <w:pPr>
        <w:pStyle w:val="ListParagraph"/>
        <w:numPr>
          <w:ilvl w:val="0"/>
          <w:numId w:val="25"/>
        </w:numPr>
      </w:pPr>
      <w:r>
        <w:t>The general approach to determining each authority's notional allocation is based on a formula that gives weight to two main factors:</w:t>
      </w:r>
    </w:p>
    <w:p w14:paraId="4932FDD2" w14:textId="77777777" w:rsidR="00257039" w:rsidRDefault="00257039" w:rsidP="00F146E9">
      <w:pPr>
        <w:pStyle w:val="ListParagraph"/>
        <w:numPr>
          <w:ilvl w:val="1"/>
          <w:numId w:val="25"/>
        </w:numPr>
      </w:pPr>
      <w:r>
        <w:t>The population in the relevant council area, as a proxy for the number of water connections serviced by a territorial authority (75 per cent weighting)</w:t>
      </w:r>
    </w:p>
    <w:p w14:paraId="444038BB" w14:textId="77777777" w:rsidR="00257039" w:rsidRDefault="00257039" w:rsidP="00F146E9">
      <w:pPr>
        <w:pStyle w:val="ListParagraph"/>
        <w:numPr>
          <w:ilvl w:val="1"/>
          <w:numId w:val="25"/>
        </w:numPr>
      </w:pPr>
      <w:r>
        <w:t>The land area covered by a local authority excluding national parks, as a proxy for the higher costs per connection of providing water services in areas with low population density (25 per cent weighting).</w:t>
      </w:r>
    </w:p>
    <w:p w14:paraId="6ECD36CC" w14:textId="77777777" w:rsidR="00257039" w:rsidRDefault="00257039" w:rsidP="00257039">
      <w:pPr>
        <w:pStyle w:val="ListParagraph"/>
        <w:numPr>
          <w:ilvl w:val="0"/>
          <w:numId w:val="25"/>
        </w:numPr>
      </w:pPr>
      <w:r>
        <w:t>The investment package is structured into two components:</w:t>
      </w:r>
    </w:p>
    <w:p w14:paraId="51BC1A48" w14:textId="77777777" w:rsidR="00257039" w:rsidRDefault="00257039" w:rsidP="00F146E9">
      <w:pPr>
        <w:pStyle w:val="ListParagraph"/>
        <w:numPr>
          <w:ilvl w:val="1"/>
          <w:numId w:val="25"/>
        </w:numPr>
      </w:pPr>
      <w:r>
        <w:t>A direct allocation to each territorial authority, comprising 50% of that territorial authority's notional allocation; and</w:t>
      </w:r>
    </w:p>
    <w:p w14:paraId="384924D5" w14:textId="77777777" w:rsidR="00C90E6F" w:rsidRDefault="00257039" w:rsidP="00F146E9">
      <w:pPr>
        <w:pStyle w:val="ListParagraph"/>
        <w:numPr>
          <w:ilvl w:val="1"/>
          <w:numId w:val="25"/>
        </w:numPr>
      </w:pPr>
      <w:r>
        <w:t>A regional allocation, comprising the sum of the remaining 50% of the notional allocations for each territorial authority in the relevant region</w:t>
      </w:r>
    </w:p>
    <w:p w14:paraId="6916CFB3" w14:textId="77777777" w:rsidR="00C90E6F" w:rsidRDefault="00F146E9" w:rsidP="00C90E6F">
      <w:pPr>
        <w:pStyle w:val="ListParagraph"/>
        <w:numPr>
          <w:ilvl w:val="0"/>
          <w:numId w:val="25"/>
        </w:numPr>
      </w:pPr>
      <w:r>
        <w:t>The relevant allocations for [INSERT TERRITORIAL AUTHORITY] are:</w:t>
      </w:r>
    </w:p>
    <w:p w14:paraId="2B2AFB71" w14:textId="77777777" w:rsidR="00F146E9" w:rsidRDefault="00F146E9" w:rsidP="00F146E9">
      <w:pPr>
        <w:pStyle w:val="ListParagraph"/>
        <w:numPr>
          <w:ilvl w:val="1"/>
          <w:numId w:val="25"/>
        </w:numPr>
      </w:pPr>
      <w:r>
        <w:t>$X (excluding GST) direct allocation for [INSERT TERRITORIAL AUTHORITY]</w:t>
      </w:r>
    </w:p>
    <w:p w14:paraId="2AFCE9BB" w14:textId="77777777" w:rsidR="00F146E9" w:rsidRDefault="00F146E9" w:rsidP="00F146E9">
      <w:pPr>
        <w:pStyle w:val="ListParagraph"/>
        <w:numPr>
          <w:ilvl w:val="1"/>
          <w:numId w:val="25"/>
        </w:numPr>
      </w:pPr>
      <w:r>
        <w:t>$X (excluding GST) regional allocation for [INSERT REGION]</w:t>
      </w:r>
    </w:p>
    <w:p w14:paraId="439F6FF1" w14:textId="77777777" w:rsidR="00F146E9" w:rsidRDefault="00F146E9" w:rsidP="00F146E9">
      <w:pPr>
        <w:pStyle w:val="ListParagraph"/>
        <w:numPr>
          <w:ilvl w:val="0"/>
          <w:numId w:val="25"/>
        </w:numPr>
      </w:pPr>
      <w:r>
        <w:t>The purpose of the Government’s regional allocation is to establish collective participation by councils in the reform programme. Each regional group of councils has until 30 September to agree on how best to apportion the regional funds to the individual territorial authorities that make up the region. Appendix F includes a hypothetical example of how a regional allocation decision-making process could work</w:t>
      </w:r>
    </w:p>
    <w:p w14:paraId="5696558E" w14:textId="77777777" w:rsidR="00F146E9" w:rsidRPr="00F146E9" w:rsidRDefault="00F146E9" w:rsidP="00F146E9">
      <w:pPr>
        <w:pStyle w:val="ListParagraph"/>
        <w:numPr>
          <w:ilvl w:val="0"/>
          <w:numId w:val="25"/>
        </w:numPr>
      </w:pPr>
      <w:r>
        <w:t xml:space="preserve">The Steering Committee </w:t>
      </w:r>
      <w:r w:rsidRPr="00F146E9">
        <w:t xml:space="preserve">has recommended a preferred approach to the allocation of regional funding, being the same formula </w:t>
      </w:r>
      <w:r>
        <w:t xml:space="preserve">that is </w:t>
      </w:r>
      <w:r w:rsidRPr="00F146E9">
        <w:t>used to determine the direct allocations to territorial authorities</w:t>
      </w:r>
      <w:r>
        <w:t>.</w:t>
      </w:r>
    </w:p>
    <w:p w14:paraId="605CFCBB" w14:textId="77777777" w:rsidR="008C5E77" w:rsidRPr="00F146E9" w:rsidRDefault="00F146E9" w:rsidP="00F146E9">
      <w:pPr>
        <w:pStyle w:val="ListParagraph"/>
        <w:numPr>
          <w:ilvl w:val="0"/>
          <w:numId w:val="25"/>
        </w:numPr>
      </w:pPr>
      <w:r w:rsidRPr="00F146E9">
        <w:t>Officers recommend</w:t>
      </w:r>
      <w:r w:rsidRPr="00F146E9">
        <w:rPr>
          <w:bCs/>
        </w:rPr>
        <w:t xml:space="preserve"> delegating decisions about the allocation of regional funding to </w:t>
      </w:r>
      <w:r w:rsidRPr="00F146E9">
        <w:t xml:space="preserve">[Name], the Chief </w:t>
      </w:r>
      <w:r>
        <w:t>Executive of the Council, with the understanding that the minimum level of funding to the Council be based upon the formula used to calculate the direct council allocations, and noting that participation by two-thirds of territorial authorities within the [SPECIFY] region is required to access the regional allocation</w:t>
      </w:r>
    </w:p>
    <w:p w14:paraId="6A586B19" w14:textId="77777777" w:rsidR="00773072" w:rsidRDefault="00773072" w:rsidP="00773072">
      <w:pPr>
        <w:spacing w:before="240"/>
        <w:rPr>
          <w:b/>
          <w:i/>
        </w:rPr>
      </w:pPr>
      <w:r w:rsidRPr="00E43D5C">
        <w:rPr>
          <w:b/>
          <w:sz w:val="28"/>
          <w:szCs w:val="28"/>
        </w:rPr>
        <w:t>What</w:t>
      </w:r>
      <w:r w:rsidR="00CC4FEC" w:rsidRPr="00E43D5C">
        <w:rPr>
          <w:b/>
          <w:sz w:val="28"/>
          <w:szCs w:val="28"/>
        </w:rPr>
        <w:t xml:space="preserve"> actions</w:t>
      </w:r>
      <w:r w:rsidRPr="00E43D5C">
        <w:rPr>
          <w:b/>
          <w:sz w:val="28"/>
          <w:szCs w:val="28"/>
        </w:rPr>
        <w:t xml:space="preserve"> </w:t>
      </w:r>
      <w:r w:rsidR="00E43D5C" w:rsidRPr="00E43D5C">
        <w:rPr>
          <w:b/>
          <w:sz w:val="28"/>
          <w:szCs w:val="28"/>
        </w:rPr>
        <w:t>are the C</w:t>
      </w:r>
      <w:r w:rsidRPr="00E43D5C">
        <w:rPr>
          <w:b/>
          <w:sz w:val="28"/>
          <w:szCs w:val="28"/>
        </w:rPr>
        <w:t xml:space="preserve">ouncil being asked to </w:t>
      </w:r>
      <w:r w:rsidR="00CC4FEC" w:rsidRPr="00E43D5C">
        <w:rPr>
          <w:b/>
          <w:sz w:val="28"/>
          <w:szCs w:val="28"/>
        </w:rPr>
        <w:t>take</w:t>
      </w:r>
      <w:r w:rsidRPr="00E43D5C">
        <w:rPr>
          <w:b/>
          <w:sz w:val="28"/>
          <w:szCs w:val="28"/>
        </w:rPr>
        <w:t xml:space="preserve"> at this point</w:t>
      </w:r>
      <w:r w:rsidR="00E43D5C">
        <w:rPr>
          <w:b/>
          <w:sz w:val="28"/>
          <w:szCs w:val="28"/>
        </w:rPr>
        <w:t>?</w:t>
      </w:r>
    </w:p>
    <w:p w14:paraId="5D117DC4" w14:textId="77777777" w:rsidR="002A32AD" w:rsidRDefault="002F2D05" w:rsidP="002F2D05">
      <w:pPr>
        <w:pStyle w:val="ListParagraph"/>
        <w:numPr>
          <w:ilvl w:val="0"/>
          <w:numId w:val="25"/>
        </w:numPr>
      </w:pPr>
      <w:r>
        <w:t xml:space="preserve">The initial stage of the reform programme involves </w:t>
      </w:r>
      <w:r w:rsidR="002A32AD">
        <w:t>three core elements:</w:t>
      </w:r>
    </w:p>
    <w:p w14:paraId="0312A053" w14:textId="77777777" w:rsidR="002A32AD" w:rsidRDefault="002A32AD" w:rsidP="002A32AD">
      <w:pPr>
        <w:pStyle w:val="ListParagraph"/>
        <w:numPr>
          <w:ilvl w:val="1"/>
          <w:numId w:val="25"/>
        </w:numPr>
      </w:pPr>
      <w:r>
        <w:t>Memorandum of Understanding (Appendix A)</w:t>
      </w:r>
      <w:r w:rsidR="00914E86">
        <w:t>;</w:t>
      </w:r>
    </w:p>
    <w:p w14:paraId="7C9D34A4" w14:textId="77777777" w:rsidR="002A32AD" w:rsidRDefault="002A32AD" w:rsidP="002A32AD">
      <w:pPr>
        <w:pStyle w:val="ListParagraph"/>
        <w:numPr>
          <w:ilvl w:val="1"/>
          <w:numId w:val="25"/>
        </w:numPr>
      </w:pPr>
      <w:r>
        <w:t>Funding Agreement (Appendix B)</w:t>
      </w:r>
      <w:r w:rsidR="00914E86">
        <w:t>;</w:t>
      </w:r>
    </w:p>
    <w:p w14:paraId="35F96307" w14:textId="77777777" w:rsidR="002A32AD" w:rsidRDefault="002A32AD" w:rsidP="002A32AD">
      <w:pPr>
        <w:pStyle w:val="ListParagraph"/>
        <w:numPr>
          <w:ilvl w:val="1"/>
          <w:numId w:val="25"/>
        </w:numPr>
      </w:pPr>
      <w:r>
        <w:t>Delivery Plan (Appendix C)</w:t>
      </w:r>
      <w:r w:rsidR="00914E86">
        <w:t>.</w:t>
      </w:r>
    </w:p>
    <w:p w14:paraId="3B58E03B" w14:textId="77777777" w:rsidR="005A73F7" w:rsidRDefault="00773072" w:rsidP="00E43D5C">
      <w:pPr>
        <w:pStyle w:val="ListParagraph"/>
        <w:numPr>
          <w:ilvl w:val="0"/>
          <w:numId w:val="25"/>
        </w:numPr>
      </w:pPr>
      <w:r w:rsidRPr="005F2661">
        <w:t>Initial funding will be made availabl</w:t>
      </w:r>
      <w:r>
        <w:t>e</w:t>
      </w:r>
      <w:r w:rsidRPr="005F2661">
        <w:t xml:space="preserve"> to those councils that sign the MoU</w:t>
      </w:r>
      <w:r>
        <w:t>,</w:t>
      </w:r>
      <w:r w:rsidRPr="005F2661">
        <w:t xml:space="preserve"> and associated Funding Agreement</w:t>
      </w:r>
      <w:r w:rsidR="00210680">
        <w:t>,</w:t>
      </w:r>
      <w:r w:rsidRPr="005F2661">
        <w:t xml:space="preserve"> and </w:t>
      </w:r>
      <w:r w:rsidR="00210680">
        <w:t xml:space="preserve">provide a </w:t>
      </w:r>
      <w:r w:rsidRPr="005F2661">
        <w:t>Delivery Plan</w:t>
      </w:r>
      <w:r w:rsidR="00210680">
        <w:t xml:space="preserve">.  </w:t>
      </w:r>
    </w:p>
    <w:p w14:paraId="5B9F055C" w14:textId="77777777" w:rsidR="005A73F7" w:rsidRDefault="00562B88" w:rsidP="00E43D5C">
      <w:pPr>
        <w:pStyle w:val="ListParagraph"/>
        <w:numPr>
          <w:ilvl w:val="0"/>
          <w:numId w:val="25"/>
        </w:numPr>
      </w:pPr>
      <w:r>
        <w:t>This initial f</w:t>
      </w:r>
      <w:r w:rsidR="005A73F7">
        <w:t xml:space="preserve">unding will be provided in two components: a direct allocation to individual councils, and a regional allocation. The </w:t>
      </w:r>
      <w:r w:rsidR="00DA6CBE">
        <w:t>participating</w:t>
      </w:r>
      <w:r w:rsidR="005A73F7">
        <w:t xml:space="preserve"> councils in each region </w:t>
      </w:r>
      <w:r w:rsidR="006F1D2D">
        <w:t xml:space="preserve">are required to </w:t>
      </w:r>
      <w:r w:rsidR="005A73F7">
        <w:t xml:space="preserve">agree an approach to distributing the regional allocation. </w:t>
      </w:r>
    </w:p>
    <w:p w14:paraId="7E9D70A9" w14:textId="77777777" w:rsidR="000E5358" w:rsidRDefault="00210680" w:rsidP="00E43D5C">
      <w:pPr>
        <w:pStyle w:val="ListParagraph"/>
        <w:numPr>
          <w:ilvl w:val="0"/>
          <w:numId w:val="25"/>
        </w:numPr>
      </w:pPr>
      <w:r>
        <w:t>The MoU is the</w:t>
      </w:r>
      <w:r w:rsidR="002F2D05">
        <w:t xml:space="preserve"> </w:t>
      </w:r>
      <w:r>
        <w:t>‘</w:t>
      </w:r>
      <w:r w:rsidR="002F2D05">
        <w:t>opt in</w:t>
      </w:r>
      <w:r>
        <w:t>’</w:t>
      </w:r>
      <w:r w:rsidR="002F2D05">
        <w:t xml:space="preserve"> to</w:t>
      </w:r>
      <w:r w:rsidR="00773072" w:rsidRPr="005F2661">
        <w:t xml:space="preserve"> the first stage of </w:t>
      </w:r>
      <w:r w:rsidR="002F2D05">
        <w:t xml:space="preserve">the </w:t>
      </w:r>
      <w:r w:rsidR="00773072">
        <w:t>r</w:t>
      </w:r>
      <w:r w:rsidR="00773072" w:rsidRPr="005F2661">
        <w:t xml:space="preserve">eform </w:t>
      </w:r>
      <w:r w:rsidR="00574B8D">
        <w:t xml:space="preserve">and stimulus </w:t>
      </w:r>
      <w:r w:rsidR="00773072">
        <w:t>p</w:t>
      </w:r>
      <w:r w:rsidR="00773072" w:rsidRPr="005F2661">
        <w:t>rogramme.</w:t>
      </w:r>
      <w:r w:rsidR="00574B8D">
        <w:t xml:space="preserve">  </w:t>
      </w:r>
      <w:r w:rsidR="000E5358">
        <w:t>The</w:t>
      </w:r>
      <w:r>
        <w:t xml:space="preserve"> MoU </w:t>
      </w:r>
      <w:r w:rsidR="000E5358">
        <w:t>need</w:t>
      </w:r>
      <w:r w:rsidR="005A73F7">
        <w:t>s</w:t>
      </w:r>
      <w:r w:rsidR="000E5358">
        <w:t xml:space="preserve"> to be signed</w:t>
      </w:r>
      <w:r>
        <w:t xml:space="preserve"> and submitted</w:t>
      </w:r>
      <w:r w:rsidR="000E5358">
        <w:t xml:space="preserve"> by the end of August 2020. </w:t>
      </w:r>
      <w:r>
        <w:t xml:space="preserve"> </w:t>
      </w:r>
      <w:r w:rsidR="005A73F7">
        <w:t xml:space="preserve">The Funding Agreement and </w:t>
      </w:r>
      <w:r>
        <w:t xml:space="preserve"> Delivery Plan need to be submitted </w:t>
      </w:r>
      <w:r w:rsidR="005A73F7">
        <w:t>by the end of September 2020</w:t>
      </w:r>
      <w:r>
        <w:t>, to access the stimulus funding,</w:t>
      </w:r>
      <w:r w:rsidR="000E5358">
        <w:t xml:space="preserve"> </w:t>
      </w:r>
    </w:p>
    <w:p w14:paraId="78F80637" w14:textId="77777777" w:rsidR="00210680" w:rsidRPr="00C90E6F" w:rsidRDefault="004A56E3" w:rsidP="00C90E6F">
      <w:pPr>
        <w:pStyle w:val="ListParagraph"/>
        <w:numPr>
          <w:ilvl w:val="0"/>
          <w:numId w:val="25"/>
        </w:numPr>
        <w:rPr>
          <w:b/>
          <w:i/>
        </w:rPr>
      </w:pPr>
      <w:r>
        <w:t>Councils that do not opt in by the end August 2020 deadline will not receive a share of the stimulus funding.</w:t>
      </w:r>
      <w:r w:rsidRPr="005F2661">
        <w:t> </w:t>
      </w:r>
      <w:r>
        <w:t xml:space="preserve"> Councils will still be able to opt in </w:t>
      </w:r>
      <w:r w:rsidR="00210680">
        <w:t xml:space="preserve">to the reform programme </w:t>
      </w:r>
      <w:r>
        <w:t>at a later date, but will not have access to the initial funding package, retrospectively.</w:t>
      </w:r>
    </w:p>
    <w:p w14:paraId="5E1371E0" w14:textId="77777777" w:rsidR="004A56E3" w:rsidRPr="004A56E3" w:rsidRDefault="004A56E3" w:rsidP="004A56E3">
      <w:pPr>
        <w:spacing w:before="240"/>
        <w:rPr>
          <w:b/>
          <w:i/>
        </w:rPr>
      </w:pPr>
      <w:r w:rsidRPr="004A56E3">
        <w:rPr>
          <w:b/>
          <w:i/>
        </w:rPr>
        <w:t>Memorandum of Understanding</w:t>
      </w:r>
    </w:p>
    <w:p w14:paraId="2B048EFE" w14:textId="77777777" w:rsidR="00E43D5C" w:rsidRDefault="00210680" w:rsidP="00E43D5C">
      <w:pPr>
        <w:pStyle w:val="ListParagraph"/>
        <w:numPr>
          <w:ilvl w:val="0"/>
          <w:numId w:val="25"/>
        </w:numPr>
      </w:pPr>
      <w:r>
        <w:t>A</w:t>
      </w:r>
      <w:r w:rsidR="00E43D5C">
        <w:t xml:space="preserve"> M</w:t>
      </w:r>
      <w:r w:rsidR="004A56E3">
        <w:t>oU</w:t>
      </w:r>
      <w:r w:rsidR="00E43D5C">
        <w:t xml:space="preserve"> has been developed by the Steering Group</w:t>
      </w:r>
      <w:r w:rsidR="004A56E3">
        <w:t>, for each council to enter into with the Crown.</w:t>
      </w:r>
      <w:r w:rsidR="00566472" w:rsidRPr="00566472">
        <w:t xml:space="preserve"> </w:t>
      </w:r>
      <w:r w:rsidR="00566472">
        <w:t xml:space="preserve"> This is a standardised document, which cannot be amended or modified by either party.</w:t>
      </w:r>
    </w:p>
    <w:p w14:paraId="68EE8056" w14:textId="77777777" w:rsidR="00FD4A73" w:rsidRDefault="00FD4A73" w:rsidP="00E43D5C">
      <w:pPr>
        <w:pStyle w:val="ListParagraph"/>
        <w:numPr>
          <w:ilvl w:val="0"/>
          <w:numId w:val="25"/>
        </w:numPr>
      </w:pPr>
      <w:r>
        <w:t>Signing the MoU commits councils to:</w:t>
      </w:r>
    </w:p>
    <w:p w14:paraId="20BE49D2" w14:textId="77777777" w:rsidR="00FD4A73" w:rsidRDefault="00FD4A73" w:rsidP="00FD4A73">
      <w:pPr>
        <w:pStyle w:val="ListParagraph"/>
        <w:numPr>
          <w:ilvl w:val="1"/>
          <w:numId w:val="25"/>
        </w:numPr>
      </w:pPr>
      <w:r>
        <w:t xml:space="preserve">engage in the first stage of the reform programme – including a willingness to </w:t>
      </w:r>
      <w:r w:rsidR="00210680">
        <w:t xml:space="preserve">accept </w:t>
      </w:r>
      <w:r>
        <w:t xml:space="preserve">the reform objectives and </w:t>
      </w:r>
      <w:r w:rsidR="00253D6E">
        <w:t>the core design features set out in the MoU</w:t>
      </w:r>
      <w:r>
        <w:t>;</w:t>
      </w:r>
    </w:p>
    <w:p w14:paraId="3F22CA51" w14:textId="77777777" w:rsidR="00FD4A73" w:rsidRDefault="00FD4A73" w:rsidP="00FD4A73">
      <w:pPr>
        <w:pStyle w:val="ListParagraph"/>
        <w:numPr>
          <w:ilvl w:val="1"/>
          <w:numId w:val="25"/>
        </w:numPr>
      </w:pPr>
      <w:r>
        <w:t>the principles of working together with central government and the Steering Committee;</w:t>
      </w:r>
    </w:p>
    <w:p w14:paraId="34B854C7" w14:textId="77777777" w:rsidR="00FD4A73" w:rsidRDefault="00FD4A73" w:rsidP="00FD4A73">
      <w:pPr>
        <w:pStyle w:val="ListParagraph"/>
        <w:numPr>
          <w:ilvl w:val="1"/>
          <w:numId w:val="25"/>
        </w:numPr>
      </w:pPr>
      <w:r>
        <w:t>work with neighbouring councils to consider the creation of multi-regional entities;</w:t>
      </w:r>
    </w:p>
    <w:p w14:paraId="1E99177C" w14:textId="77777777" w:rsidR="00FD4A73" w:rsidRDefault="00FD4A73" w:rsidP="00FD4A73">
      <w:pPr>
        <w:pStyle w:val="ListParagraph"/>
        <w:numPr>
          <w:ilvl w:val="1"/>
          <w:numId w:val="25"/>
        </w:numPr>
      </w:pPr>
      <w:r>
        <w:t>share information and analysis on their three waters assets and service delivery</w:t>
      </w:r>
      <w:r w:rsidR="00914E86">
        <w:t xml:space="preserve"> arrangements</w:t>
      </w:r>
      <w:r>
        <w:t>.</w:t>
      </w:r>
    </w:p>
    <w:p w14:paraId="7226A492" w14:textId="77777777" w:rsidR="00FD4A73" w:rsidRDefault="00FD4A73" w:rsidP="00E43D5C">
      <w:pPr>
        <w:pStyle w:val="ListParagraph"/>
        <w:numPr>
          <w:ilvl w:val="0"/>
          <w:numId w:val="25"/>
        </w:numPr>
      </w:pPr>
      <w:r>
        <w:t xml:space="preserve">At this point, this is a voluntary, non-binding commitment.  It </w:t>
      </w:r>
      <w:r w:rsidRPr="00E43D5C">
        <w:rPr>
          <w:b/>
        </w:rPr>
        <w:t>does not</w:t>
      </w:r>
      <w:r>
        <w:t xml:space="preserve"> require councils to commit to future phases of the reform programme, to transfer their assets</w:t>
      </w:r>
      <w:r w:rsidR="00210680">
        <w:t xml:space="preserve"> and/or liabilities</w:t>
      </w:r>
      <w:r>
        <w:t xml:space="preserve">, or establish new water entities. </w:t>
      </w:r>
    </w:p>
    <w:p w14:paraId="4F845B8A" w14:textId="77777777" w:rsidR="00A561B1" w:rsidRDefault="00A561B1" w:rsidP="00E43D5C">
      <w:pPr>
        <w:pStyle w:val="ListParagraph"/>
        <w:numPr>
          <w:ilvl w:val="0"/>
          <w:numId w:val="25"/>
        </w:numPr>
      </w:pPr>
      <w:r>
        <w:t>The MoU is effective from the date of agreement until 30 June 2021, unless terminated by agreement or by replacement with another document relating to the reform programme.</w:t>
      </w:r>
    </w:p>
    <w:p w14:paraId="23B8A98E" w14:textId="77777777" w:rsidR="00047F77" w:rsidRDefault="00FD4A73" w:rsidP="00E43D5C">
      <w:pPr>
        <w:pStyle w:val="ListParagraph"/>
        <w:numPr>
          <w:ilvl w:val="0"/>
          <w:numId w:val="25"/>
        </w:numPr>
      </w:pPr>
      <w:r>
        <w:t>A l</w:t>
      </w:r>
      <w:r w:rsidR="00047F77">
        <w:t xml:space="preserve">egal opinion </w:t>
      </w:r>
      <w:r>
        <w:t xml:space="preserve">by Simpson Grierson, </w:t>
      </w:r>
      <w:r w:rsidR="00047F77">
        <w:t>commissioned by SOLGM on behalf of the Steering Committee</w:t>
      </w:r>
      <w:r>
        <w:t xml:space="preserve">, advises that the MoU </w:t>
      </w:r>
      <w:r w:rsidRPr="00E43D5C">
        <w:rPr>
          <w:b/>
        </w:rPr>
        <w:t>does not</w:t>
      </w:r>
      <w:r>
        <w:t xml:space="preserve"> contain any explicit triggers for consultation under the Local Government Act 2002.  (REFER TO </w:t>
      </w:r>
      <w:r w:rsidR="006E49E7">
        <w:t>A</w:t>
      </w:r>
      <w:r>
        <w:t>PPENDIX</w:t>
      </w:r>
      <w:r w:rsidR="006E49E7">
        <w:t xml:space="preserve"> D</w:t>
      </w:r>
      <w:r>
        <w:t xml:space="preserve">) </w:t>
      </w:r>
    </w:p>
    <w:p w14:paraId="7E4D800D" w14:textId="77777777" w:rsidR="00FD4A73" w:rsidRPr="00E43D5C" w:rsidRDefault="004A56E3" w:rsidP="00E43D5C">
      <w:pPr>
        <w:spacing w:before="240"/>
        <w:rPr>
          <w:b/>
          <w:i/>
        </w:rPr>
      </w:pPr>
      <w:r>
        <w:rPr>
          <w:b/>
          <w:i/>
        </w:rPr>
        <w:t>Funding Agreement</w:t>
      </w:r>
    </w:p>
    <w:p w14:paraId="7E368042" w14:textId="77777777" w:rsidR="004A56E3" w:rsidRDefault="004A56E3" w:rsidP="004A56E3">
      <w:pPr>
        <w:pStyle w:val="ListParagraph"/>
        <w:numPr>
          <w:ilvl w:val="0"/>
          <w:numId w:val="25"/>
        </w:numPr>
      </w:pPr>
      <w:r>
        <w:t>This Council has been allocated [</w:t>
      </w:r>
      <w:r w:rsidR="00A102D1">
        <w:t xml:space="preserve">INDIVIDUAL </w:t>
      </w:r>
      <w:r>
        <w:t xml:space="preserve">AMOUNT] by the Crown, if it opts in to the reform programme.  </w:t>
      </w:r>
      <w:r w:rsidR="000136F2">
        <w:t>A further [</w:t>
      </w:r>
      <w:r w:rsidR="005151DE">
        <w:t xml:space="preserve">REGIONAL </w:t>
      </w:r>
      <w:r w:rsidR="000136F2">
        <w:t>AMOUNT] has been allocated to the [REGION] to agree an appropriate distribution</w:t>
      </w:r>
      <w:r w:rsidR="005151DE">
        <w:t xml:space="preserve"> between participating Councils</w:t>
      </w:r>
      <w:r w:rsidR="000136F2">
        <w:t xml:space="preserve">.  </w:t>
      </w:r>
      <w:r>
        <w:t xml:space="preserve">This funding </w:t>
      </w:r>
      <w:r w:rsidR="009A23D0">
        <w:t>will be</w:t>
      </w:r>
      <w:r>
        <w:t xml:space="preserve"> provided as a grant</w:t>
      </w:r>
      <w:r w:rsidR="00FC1203">
        <w:t xml:space="preserve">, which </w:t>
      </w:r>
      <w:r w:rsidR="009A23D0">
        <w:t>does</w:t>
      </w:r>
      <w:r w:rsidR="00FC1203">
        <w:t xml:space="preserve"> not </w:t>
      </w:r>
      <w:r w:rsidR="009A23D0">
        <w:t>need</w:t>
      </w:r>
      <w:r w:rsidR="00FC1203">
        <w:t xml:space="preserve"> to be repaid if the Council does not ultimately commit to reform at later stages of the process</w:t>
      </w:r>
      <w:r>
        <w:t xml:space="preserve">. </w:t>
      </w:r>
    </w:p>
    <w:p w14:paraId="0BE368D4" w14:textId="77777777" w:rsidR="000136F2" w:rsidRDefault="00421A99" w:rsidP="000136F2">
      <w:pPr>
        <w:pStyle w:val="ListParagraph"/>
        <w:numPr>
          <w:ilvl w:val="0"/>
          <w:numId w:val="25"/>
        </w:numPr>
      </w:pPr>
      <w:r>
        <w:t xml:space="preserve">There are several options for how </w:t>
      </w:r>
      <w:r w:rsidR="000136F2">
        <w:t>the regional</w:t>
      </w:r>
      <w:r>
        <w:t xml:space="preserve"> funding c</w:t>
      </w:r>
      <w:r w:rsidR="006F1D2D">
        <w:t>ould</w:t>
      </w:r>
      <w:r>
        <w:t xml:space="preserve"> be </w:t>
      </w:r>
      <w:r w:rsidR="006F1D2D">
        <w:t>allocated between councils</w:t>
      </w:r>
      <w:r>
        <w:t xml:space="preserve">. The </w:t>
      </w:r>
      <w:r w:rsidR="006F1D2D">
        <w:t xml:space="preserve">joint central-local government Three Waters </w:t>
      </w:r>
      <w:r>
        <w:t xml:space="preserve">Steering Committee </w:t>
      </w:r>
      <w:r w:rsidR="006F1D2D">
        <w:t xml:space="preserve">preferred approach is to </w:t>
      </w:r>
      <w:r>
        <w:t xml:space="preserve">apply the </w:t>
      </w:r>
      <w:r w:rsidR="004272E6">
        <w:t xml:space="preserve">same </w:t>
      </w:r>
      <w:r w:rsidR="00DA6CBE">
        <w:t>formula</w:t>
      </w:r>
      <w:r w:rsidR="00562B88">
        <w:rPr>
          <w:rStyle w:val="FootnoteReference"/>
        </w:rPr>
        <w:footnoteReference w:id="1"/>
      </w:r>
      <w:r w:rsidR="00DA6CBE">
        <w:t xml:space="preserve"> used to calculate the direct allocations</w:t>
      </w:r>
      <w:r>
        <w:t>. Under this approach, the Council would receive an additional [</w:t>
      </w:r>
      <w:r w:rsidR="00A102D1">
        <w:t xml:space="preserve">SHARE OF REGIONAL </w:t>
      </w:r>
      <w:r>
        <w:t xml:space="preserve">AMOUNT], </w:t>
      </w:r>
      <w:r w:rsidR="0039443B">
        <w:t xml:space="preserve">contributing to </w:t>
      </w:r>
      <w:r>
        <w:t xml:space="preserve">a total funding allocation of [INDIVIDUAL </w:t>
      </w:r>
      <w:r w:rsidR="00A102D1">
        <w:t xml:space="preserve">AMOUNT + </w:t>
      </w:r>
      <w:r>
        <w:t xml:space="preserve">SHARE OF REGIONAL </w:t>
      </w:r>
      <w:r w:rsidR="00A102D1">
        <w:t>AMOUNT</w:t>
      </w:r>
      <w:r>
        <w:t>]</w:t>
      </w:r>
      <w:r w:rsidR="000136F2">
        <w:t xml:space="preserve">. </w:t>
      </w:r>
    </w:p>
    <w:p w14:paraId="2E394271" w14:textId="77777777" w:rsidR="00FC1203" w:rsidRDefault="000136F2" w:rsidP="00A57EDF">
      <w:pPr>
        <w:pStyle w:val="ListParagraph"/>
        <w:numPr>
          <w:ilvl w:val="0"/>
          <w:numId w:val="25"/>
        </w:numPr>
      </w:pPr>
      <w:r>
        <w:t xml:space="preserve">It is recommended that the Council delegates authority to the Chief Executive to agree an appropriate allocation with other participating councils, with the understanding that the </w:t>
      </w:r>
      <w:r w:rsidR="005151DE">
        <w:t>Council share of the regional allocation should be [</w:t>
      </w:r>
      <w:r w:rsidR="00A102D1">
        <w:t>SHARE OF REGIONAL AMOUNT</w:t>
      </w:r>
      <w:r w:rsidR="005151DE">
        <w:t xml:space="preserve">] at a </w:t>
      </w:r>
      <w:r w:rsidR="00E159E0">
        <w:t>minimum</w:t>
      </w:r>
      <w:r w:rsidR="00C90E6F">
        <w:t>, noting that participation by two thirds of territorial authorities within the region is to access the regional funding</w:t>
      </w:r>
      <w:r w:rsidR="00E159E0">
        <w:t>.</w:t>
      </w:r>
      <w:r w:rsidR="00670A2D">
        <w:t xml:space="preserve">The Funding Agreement is </w:t>
      </w:r>
      <w:r w:rsidR="009451CA">
        <w:t xml:space="preserve">one of </w:t>
      </w:r>
      <w:r w:rsidR="00670A2D">
        <w:t>the mechanism</w:t>
      </w:r>
      <w:r w:rsidR="009451CA">
        <w:t>s</w:t>
      </w:r>
      <w:r w:rsidR="00670A2D">
        <w:t xml:space="preserve"> for accessing the funding package</w:t>
      </w:r>
      <w:r w:rsidR="00FC1203">
        <w:t>. Like the MoU, it is a standardised document, for agreement between each council and the Crown.</w:t>
      </w:r>
      <w:r w:rsidR="009451CA">
        <w:t xml:space="preserve">  It cannot be amended.</w:t>
      </w:r>
    </w:p>
    <w:p w14:paraId="65B6B015" w14:textId="77777777" w:rsidR="009451CA" w:rsidRDefault="009451CA" w:rsidP="00E43D5C">
      <w:pPr>
        <w:pStyle w:val="ListParagraph"/>
        <w:numPr>
          <w:ilvl w:val="0"/>
          <w:numId w:val="25"/>
        </w:numPr>
      </w:pPr>
      <w:r>
        <w:t>The Funding Agreement guides the release and use of funding.  It sets out:</w:t>
      </w:r>
    </w:p>
    <w:p w14:paraId="2C8DF6F6" w14:textId="77777777" w:rsidR="009451CA" w:rsidRDefault="009A23D0" w:rsidP="009451CA">
      <w:pPr>
        <w:pStyle w:val="ListParagraph"/>
        <w:numPr>
          <w:ilvl w:val="1"/>
          <w:numId w:val="25"/>
        </w:numPr>
      </w:pPr>
      <w:r>
        <w:t xml:space="preserve">the </w:t>
      </w:r>
      <w:r w:rsidR="009451CA">
        <w:t>funding amount</w:t>
      </w:r>
      <w:r>
        <w:t xml:space="preserve"> allocated to</w:t>
      </w:r>
      <w:r w:rsidR="009451CA">
        <w:t xml:space="preserve"> the Council;</w:t>
      </w:r>
    </w:p>
    <w:p w14:paraId="5D481355" w14:textId="77777777" w:rsidR="009451CA" w:rsidRDefault="009451CA" w:rsidP="009451CA">
      <w:pPr>
        <w:pStyle w:val="ListParagraph"/>
        <w:numPr>
          <w:ilvl w:val="1"/>
          <w:numId w:val="25"/>
        </w:numPr>
      </w:pPr>
      <w:r>
        <w:t>funding conditions;</w:t>
      </w:r>
    </w:p>
    <w:p w14:paraId="311A8729" w14:textId="77777777" w:rsidR="009451CA" w:rsidRDefault="009451CA" w:rsidP="009451CA">
      <w:pPr>
        <w:pStyle w:val="ListParagraph"/>
        <w:numPr>
          <w:ilvl w:val="1"/>
          <w:numId w:val="25"/>
        </w:numPr>
      </w:pPr>
      <w:r>
        <w:t xml:space="preserve">public accountability requirements, including </w:t>
      </w:r>
      <w:r w:rsidR="009A23D0">
        <w:t>the</w:t>
      </w:r>
      <w:r>
        <w:t xml:space="preserve"> Public Finance Act;</w:t>
      </w:r>
    </w:p>
    <w:p w14:paraId="61BFFD38" w14:textId="77777777" w:rsidR="00E43D5C" w:rsidRDefault="009451CA" w:rsidP="009451CA">
      <w:pPr>
        <w:pStyle w:val="ListParagraph"/>
        <w:numPr>
          <w:ilvl w:val="1"/>
          <w:numId w:val="25"/>
        </w:numPr>
      </w:pPr>
      <w:r>
        <w:t>reporting milestones.</w:t>
      </w:r>
      <w:r w:rsidR="00E43D5C">
        <w:t xml:space="preserve"> </w:t>
      </w:r>
    </w:p>
    <w:p w14:paraId="1D623892" w14:textId="77777777" w:rsidR="009451CA" w:rsidRDefault="009451CA" w:rsidP="009451CA">
      <w:pPr>
        <w:pStyle w:val="ListParagraph"/>
        <w:numPr>
          <w:ilvl w:val="0"/>
          <w:numId w:val="25"/>
        </w:numPr>
      </w:pPr>
      <w:r>
        <w:t xml:space="preserve">While there is </w:t>
      </w:r>
      <w:r w:rsidR="00A561B1">
        <w:t xml:space="preserve">some </w:t>
      </w:r>
      <w:r>
        <w:t>local flexibility around how the funding can be applied, the Government</w:t>
      </w:r>
      <w:r w:rsidR="003837D8">
        <w:t xml:space="preserve"> has indicated that </w:t>
      </w:r>
      <w:r>
        <w:t>th</w:t>
      </w:r>
      <w:r w:rsidR="003837D8">
        <w:t xml:space="preserve">is investment is intended to support economic recovery, enable improvements in water service delivery, and progress the service delivery reform programme.  </w:t>
      </w:r>
      <w:r>
        <w:t xml:space="preserve"> </w:t>
      </w:r>
    </w:p>
    <w:p w14:paraId="5C20E9BE" w14:textId="77777777" w:rsidR="00C511EF" w:rsidRDefault="00C511EF" w:rsidP="009451CA">
      <w:pPr>
        <w:pStyle w:val="ListParagraph"/>
        <w:numPr>
          <w:ilvl w:val="0"/>
          <w:numId w:val="25"/>
        </w:numPr>
      </w:pPr>
      <w:r>
        <w:t>The Funding Agreement will be supplemented by a Delivery Plan, which is the document that sets out how the grant funding is to be applied by the Council.</w:t>
      </w:r>
    </w:p>
    <w:p w14:paraId="75B3FA68" w14:textId="77777777" w:rsidR="00210680" w:rsidRDefault="00210680" w:rsidP="00210680"/>
    <w:p w14:paraId="149A6690" w14:textId="77777777" w:rsidR="009451CA" w:rsidRPr="009451CA" w:rsidRDefault="009451CA" w:rsidP="009451CA">
      <w:pPr>
        <w:spacing w:before="240"/>
        <w:rPr>
          <w:b/>
          <w:i/>
        </w:rPr>
      </w:pPr>
      <w:r w:rsidRPr="009451CA">
        <w:rPr>
          <w:b/>
          <w:i/>
        </w:rPr>
        <w:t>Delivery Plan</w:t>
      </w:r>
    </w:p>
    <w:p w14:paraId="025D62AE" w14:textId="77777777" w:rsidR="00FB4F85" w:rsidRDefault="00A561B1" w:rsidP="00C876C4">
      <w:pPr>
        <w:pStyle w:val="ListParagraph"/>
        <w:numPr>
          <w:ilvl w:val="0"/>
          <w:numId w:val="25"/>
        </w:numPr>
      </w:pPr>
      <w:r>
        <w:t xml:space="preserve">The Delivery Plan is the other mechanism for accessing the funding package.  </w:t>
      </w:r>
    </w:p>
    <w:p w14:paraId="539F61CF" w14:textId="77777777" w:rsidR="009451CA" w:rsidRDefault="009451CA" w:rsidP="00C876C4">
      <w:pPr>
        <w:pStyle w:val="ListParagraph"/>
        <w:numPr>
          <w:ilvl w:val="0"/>
          <w:numId w:val="25"/>
        </w:numPr>
      </w:pPr>
      <w:r>
        <w:t>Th</w:t>
      </w:r>
      <w:r w:rsidR="00A561B1">
        <w:t>is</w:t>
      </w:r>
      <w:r>
        <w:t xml:space="preserve"> </w:t>
      </w:r>
      <w:r w:rsidR="00C511EF">
        <w:t xml:space="preserve">Delivery </w:t>
      </w:r>
      <w:r>
        <w:t xml:space="preserve">Plan </w:t>
      </w:r>
      <w:r w:rsidR="009A23D0">
        <w:t>must</w:t>
      </w:r>
      <w:r>
        <w:t xml:space="preserve"> show that the funding </w:t>
      </w:r>
      <w:r w:rsidR="009A23D0">
        <w:t xml:space="preserve">allocation </w:t>
      </w:r>
      <w:r>
        <w:t>is to be applied to</w:t>
      </w:r>
      <w:r w:rsidRPr="00EF73B5">
        <w:t xml:space="preserve"> </w:t>
      </w:r>
      <w:r>
        <w:t xml:space="preserve">operating and/or capital expenditure relating to three waters infrastructure and service delivery, and which: </w:t>
      </w:r>
    </w:p>
    <w:p w14:paraId="24782FAC" w14:textId="77777777" w:rsidR="009451CA" w:rsidRDefault="009451CA" w:rsidP="009451CA">
      <w:pPr>
        <w:pStyle w:val="ListParagraph"/>
        <w:numPr>
          <w:ilvl w:val="1"/>
          <w:numId w:val="25"/>
        </w:numPr>
      </w:pPr>
      <w:r>
        <w:t>s</w:t>
      </w:r>
      <w:r w:rsidRPr="00EF73B5">
        <w:t>upports</w:t>
      </w:r>
      <w:r>
        <w:t xml:space="preserve"> economic recovery through job creation; and</w:t>
      </w:r>
    </w:p>
    <w:p w14:paraId="31C9B26D" w14:textId="77777777" w:rsidR="009451CA" w:rsidRDefault="009451CA" w:rsidP="009451CA">
      <w:pPr>
        <w:pStyle w:val="ListParagraph"/>
        <w:numPr>
          <w:ilvl w:val="1"/>
          <w:numId w:val="25"/>
        </w:numPr>
      </w:pPr>
      <w:r>
        <w:t>maintains, increases, and/or accelerates investment in core water infrastructure renewal and maintenance.</w:t>
      </w:r>
    </w:p>
    <w:p w14:paraId="21CECA61" w14:textId="77777777" w:rsidR="00FB4F85" w:rsidRDefault="00FB4F85" w:rsidP="009451CA">
      <w:pPr>
        <w:pStyle w:val="ListParagraph"/>
        <w:numPr>
          <w:ilvl w:val="0"/>
          <w:numId w:val="25"/>
        </w:numPr>
      </w:pPr>
      <w:r>
        <w:t>The Delivery Plan is a short-form template, which set</w:t>
      </w:r>
      <w:r w:rsidR="00F66DBD">
        <w:t>s</w:t>
      </w:r>
      <w:r>
        <w:t xml:space="preserve"> out:</w:t>
      </w:r>
    </w:p>
    <w:p w14:paraId="1536A95B" w14:textId="77777777" w:rsidR="00FB4F85" w:rsidRDefault="00FB4F85" w:rsidP="00FB4F85">
      <w:pPr>
        <w:pStyle w:val="ListParagraph"/>
        <w:numPr>
          <w:ilvl w:val="1"/>
          <w:numId w:val="25"/>
        </w:numPr>
      </w:pPr>
      <w:r>
        <w:t>a summary of the works to be funded, including location, estimated associated costs, and</w:t>
      </w:r>
      <w:r w:rsidRPr="00FB4F85">
        <w:t xml:space="preserve"> </w:t>
      </w:r>
      <w:r>
        <w:t>expected benefits/outcomes;</w:t>
      </w:r>
    </w:p>
    <w:p w14:paraId="6D0BD1C9" w14:textId="77777777" w:rsidR="00FB4F85" w:rsidRDefault="00FB4F85" w:rsidP="00FB4F85">
      <w:pPr>
        <w:pStyle w:val="ListParagraph"/>
        <w:numPr>
          <w:ilvl w:val="1"/>
          <w:numId w:val="25"/>
        </w:numPr>
      </w:pPr>
      <w:r>
        <w:t xml:space="preserve">the number of people </w:t>
      </w:r>
      <w:r w:rsidR="0047141D">
        <w:t xml:space="preserve">to be </w:t>
      </w:r>
      <w:r>
        <w:t>employed in these works;</w:t>
      </w:r>
    </w:p>
    <w:p w14:paraId="797C0207" w14:textId="77777777" w:rsidR="00FB4F85" w:rsidRDefault="00FB4F85" w:rsidP="00FB4F85">
      <w:pPr>
        <w:pStyle w:val="ListParagraph"/>
        <w:numPr>
          <w:ilvl w:val="1"/>
          <w:numId w:val="25"/>
        </w:numPr>
      </w:pPr>
      <w:r>
        <w:t>an assessment of how the works support the reform objectives in the MoU;</w:t>
      </w:r>
    </w:p>
    <w:p w14:paraId="2566CA0B" w14:textId="77777777" w:rsidR="00FB4F85" w:rsidRDefault="00FB4F85" w:rsidP="00FB4F85">
      <w:pPr>
        <w:pStyle w:val="ListParagraph"/>
        <w:numPr>
          <w:ilvl w:val="1"/>
          <w:numId w:val="25"/>
        </w:numPr>
      </w:pPr>
      <w:r>
        <w:t xml:space="preserve">reporting </w:t>
      </w:r>
      <w:r w:rsidR="00210680">
        <w:t>obligations</w:t>
      </w:r>
      <w:r>
        <w:t>.</w:t>
      </w:r>
    </w:p>
    <w:p w14:paraId="7361D971" w14:textId="77777777" w:rsidR="00FB4F85" w:rsidRDefault="00FB4F85" w:rsidP="00FB4F85">
      <w:pPr>
        <w:pStyle w:val="ListParagraph"/>
        <w:numPr>
          <w:ilvl w:val="0"/>
          <w:numId w:val="25"/>
        </w:numPr>
      </w:pPr>
      <w:r>
        <w:t>The Delivery Plan will be supplied to Crown Infrastructure Partners (and other organisations as agree</w:t>
      </w:r>
      <w:r w:rsidR="0047141D">
        <w:t>d</w:t>
      </w:r>
      <w:r>
        <w:t xml:space="preserve"> between the Council and Crown), for review</w:t>
      </w:r>
      <w:r w:rsidR="00B84D6A">
        <w:t xml:space="preserve"> and</w:t>
      </w:r>
      <w:r w:rsidR="00C511EF">
        <w:t xml:space="preserve"> approval</w:t>
      </w:r>
      <w:r>
        <w:t>.</w:t>
      </w:r>
      <w:r w:rsidR="00825115">
        <w:t xml:space="preserve">  Crown Infrastructure Partners will monitor progress against the Delivery Plan, to ensure spending has been undertaken with public sector financial management requirements.</w:t>
      </w:r>
    </w:p>
    <w:p w14:paraId="0BDFAEE7" w14:textId="77777777" w:rsidR="0047141D" w:rsidRDefault="0047141D" w:rsidP="0047141D">
      <w:pPr>
        <w:pStyle w:val="ListParagraph"/>
        <w:numPr>
          <w:ilvl w:val="0"/>
          <w:numId w:val="0"/>
        </w:numPr>
        <w:ind w:left="360"/>
      </w:pPr>
    </w:p>
    <w:p w14:paraId="1F45884C" w14:textId="77777777" w:rsidR="0062542A" w:rsidRDefault="00A561B1" w:rsidP="0072393F">
      <w:pPr>
        <w:pStyle w:val="ListParagraph"/>
        <w:numPr>
          <w:ilvl w:val="0"/>
          <w:numId w:val="0"/>
        </w:numPr>
      </w:pPr>
      <w:r>
        <w:t>[</w:t>
      </w:r>
      <w:r w:rsidR="0072393F">
        <w:t xml:space="preserve">NOTE: </w:t>
      </w:r>
      <w:r>
        <w:t xml:space="preserve">COUNCIL COULD INCLUDE </w:t>
      </w:r>
      <w:r w:rsidR="00FB4F85">
        <w:t xml:space="preserve">SPECIFIC </w:t>
      </w:r>
      <w:r>
        <w:t>DETAILS ABOUT</w:t>
      </w:r>
      <w:r w:rsidR="00FB4F85">
        <w:t xml:space="preserve"> ITS </w:t>
      </w:r>
      <w:r w:rsidR="00B84D6A">
        <w:t xml:space="preserve">PROPOSED </w:t>
      </w:r>
      <w:r w:rsidR="00FB4F85">
        <w:t>DELIVERY PLAN AND SEEK AGREEMENT TO THE PROJECTS TO BE INCLUDED.]</w:t>
      </w:r>
      <w:r>
        <w:t xml:space="preserve"> </w:t>
      </w:r>
    </w:p>
    <w:p w14:paraId="498A7DD0" w14:textId="77777777" w:rsidR="0062542A" w:rsidRDefault="0062542A" w:rsidP="0062542A">
      <w:pPr>
        <w:rPr>
          <w:b/>
        </w:rPr>
      </w:pPr>
    </w:p>
    <w:p w14:paraId="610962DC" w14:textId="77777777" w:rsidR="0062542A" w:rsidRPr="0062542A" w:rsidRDefault="0062542A" w:rsidP="0062542A">
      <w:pPr>
        <w:rPr>
          <w:b/>
        </w:rPr>
      </w:pPr>
      <w:r w:rsidRPr="0062542A">
        <w:rPr>
          <w:b/>
        </w:rPr>
        <w:t>Attachments</w:t>
      </w:r>
    </w:p>
    <w:p w14:paraId="40228B02" w14:textId="77777777" w:rsidR="0062542A" w:rsidRDefault="0062542A" w:rsidP="0062542A">
      <w:pPr>
        <w:pStyle w:val="ListParagraph"/>
        <w:numPr>
          <w:ilvl w:val="0"/>
          <w:numId w:val="41"/>
        </w:numPr>
      </w:pPr>
      <w:r>
        <w:t>Appendix A: Memorandum of Understanding</w:t>
      </w:r>
    </w:p>
    <w:p w14:paraId="083B9396" w14:textId="77777777" w:rsidR="0062542A" w:rsidRDefault="0062542A" w:rsidP="0062542A">
      <w:pPr>
        <w:pStyle w:val="ListParagraph"/>
        <w:numPr>
          <w:ilvl w:val="0"/>
          <w:numId w:val="41"/>
        </w:numPr>
      </w:pPr>
      <w:r>
        <w:t>Appendix B: Funding Agreement</w:t>
      </w:r>
    </w:p>
    <w:p w14:paraId="70999C62" w14:textId="77777777" w:rsidR="0062542A" w:rsidRDefault="0062542A" w:rsidP="0062542A">
      <w:pPr>
        <w:pStyle w:val="ListParagraph"/>
        <w:numPr>
          <w:ilvl w:val="0"/>
          <w:numId w:val="41"/>
        </w:numPr>
      </w:pPr>
      <w:r>
        <w:t xml:space="preserve">Appendix C: </w:t>
      </w:r>
      <w:r w:rsidR="006E49E7">
        <w:t>Delivery Plan</w:t>
      </w:r>
    </w:p>
    <w:p w14:paraId="501152F6" w14:textId="77777777" w:rsidR="006E49E7" w:rsidRDefault="006E49E7" w:rsidP="0062542A">
      <w:pPr>
        <w:pStyle w:val="ListParagraph"/>
        <w:numPr>
          <w:ilvl w:val="0"/>
          <w:numId w:val="41"/>
        </w:numPr>
      </w:pPr>
      <w:r>
        <w:t>Appendix D: Legal opinion provided by Simpson Grierson relating to consultation requirements</w:t>
      </w:r>
    </w:p>
    <w:p w14:paraId="43A88ED8" w14:textId="77777777" w:rsidR="006E49E7" w:rsidRPr="00752EA9" w:rsidRDefault="006E49E7" w:rsidP="006E49E7">
      <w:pPr>
        <w:pStyle w:val="ListParagraph"/>
        <w:numPr>
          <w:ilvl w:val="0"/>
          <w:numId w:val="41"/>
        </w:numPr>
        <w:rPr>
          <w:b/>
        </w:rPr>
      </w:pPr>
      <w:r>
        <w:t xml:space="preserve">Appendix E: </w:t>
      </w:r>
      <w:r w:rsidRPr="006E49E7">
        <w:t>Information on Joint Three Waters Steering Committee</w:t>
      </w:r>
    </w:p>
    <w:p w14:paraId="347CC864" w14:textId="77777777" w:rsidR="00D57282" w:rsidRPr="006E49E7" w:rsidRDefault="00D57282" w:rsidP="006E49E7">
      <w:pPr>
        <w:pStyle w:val="ListParagraph"/>
        <w:numPr>
          <w:ilvl w:val="0"/>
          <w:numId w:val="41"/>
        </w:numPr>
        <w:rPr>
          <w:b/>
        </w:rPr>
      </w:pPr>
      <w:r>
        <w:t xml:space="preserve">Appendix F: Hypothetical example </w:t>
      </w:r>
    </w:p>
    <w:p w14:paraId="32206897" w14:textId="77777777" w:rsidR="006E49E7" w:rsidRPr="005F2661" w:rsidRDefault="006E49E7" w:rsidP="006E49E7">
      <w:pPr>
        <w:pStyle w:val="ListParagraph"/>
        <w:numPr>
          <w:ilvl w:val="0"/>
          <w:numId w:val="0"/>
        </w:numPr>
        <w:ind w:left="360"/>
      </w:pPr>
    </w:p>
    <w:p w14:paraId="20592E8B" w14:textId="77777777" w:rsidR="000C64E0" w:rsidRDefault="000C64E0" w:rsidP="00B73946">
      <w:pPr>
        <w:pStyle w:val="Numberedpara3level1"/>
        <w:keepLines w:val="0"/>
        <w:numPr>
          <w:ilvl w:val="0"/>
          <w:numId w:val="0"/>
        </w:numPr>
        <w:ind w:left="567" w:hanging="567"/>
      </w:pPr>
    </w:p>
    <w:p w14:paraId="185B3B21" w14:textId="77777777" w:rsidR="00B73946" w:rsidRPr="00B73946" w:rsidRDefault="00B73946" w:rsidP="00B73946">
      <w:pPr>
        <w:pStyle w:val="Numberedpara3level1"/>
        <w:keepLines w:val="0"/>
        <w:numPr>
          <w:ilvl w:val="0"/>
          <w:numId w:val="0"/>
        </w:numPr>
        <w:ind w:left="567" w:hanging="567"/>
        <w:rPr>
          <w:b/>
        </w:rPr>
      </w:pPr>
      <w:r w:rsidRPr="00B73946">
        <w:rPr>
          <w:b/>
        </w:rPr>
        <w:t xml:space="preserve">Appendix </w:t>
      </w:r>
      <w:r w:rsidR="006E49E7">
        <w:rPr>
          <w:b/>
        </w:rPr>
        <w:t>E</w:t>
      </w:r>
      <w:r w:rsidRPr="00B73946">
        <w:rPr>
          <w:b/>
        </w:rPr>
        <w:t xml:space="preserve"> – Information on Joint Three Waters Steering Committee</w:t>
      </w:r>
    </w:p>
    <w:p w14:paraId="7EF8100A" w14:textId="77777777" w:rsidR="00B73946" w:rsidRPr="00B73946" w:rsidRDefault="00B73946" w:rsidP="00B73946">
      <w:pPr>
        <w:pStyle w:val="ListParagraph"/>
        <w:numPr>
          <w:ilvl w:val="0"/>
          <w:numId w:val="25"/>
        </w:numPr>
      </w:pPr>
      <w:r w:rsidRPr="00B73946">
        <w:t>The Joint Three Waters Steering Committee has been established to provide oversight and guidance to support progress towards reform, and to assist in engaging with local government, iwi/Māori and other water sector stakeholders on options and proposals.</w:t>
      </w:r>
    </w:p>
    <w:p w14:paraId="0D8C5289" w14:textId="77777777" w:rsidR="00B73946" w:rsidRPr="00B73946" w:rsidRDefault="00B73946" w:rsidP="00B73946">
      <w:pPr>
        <w:pStyle w:val="ListParagraph"/>
        <w:numPr>
          <w:ilvl w:val="0"/>
          <w:numId w:val="25"/>
        </w:numPr>
      </w:pPr>
      <w:r w:rsidRPr="00B73946">
        <w:t>The Steering Committee comprises independent chair Brian Hanna, local government mayors, chairs and chief executives, representatives of Local Government New Zealand</w:t>
      </w:r>
      <w:r>
        <w:t xml:space="preserve"> (LGNZ)</w:t>
      </w:r>
      <w:r w:rsidRPr="00B73946">
        <w:t xml:space="preserve"> and the Society of Local Government Managers</w:t>
      </w:r>
      <w:r>
        <w:t xml:space="preserve"> (SOLGM)</w:t>
      </w:r>
      <w:r w:rsidRPr="00B73946">
        <w:t>,</w:t>
      </w:r>
      <w:r>
        <w:t xml:space="preserve"> and</w:t>
      </w:r>
      <w:r w:rsidRPr="00B73946">
        <w:t xml:space="preserve"> officials and advisors from the Department of Internal Affairs</w:t>
      </w:r>
      <w:r>
        <w:t xml:space="preserve"> (DIA)</w:t>
      </w:r>
      <w:r w:rsidRPr="00B73946">
        <w:t>, Taumata Arowai, and the Treasury.</w:t>
      </w:r>
    </w:p>
    <w:p w14:paraId="5B4711D5" w14:textId="77777777" w:rsidR="00B73946" w:rsidRPr="00B73946" w:rsidRDefault="00B73946" w:rsidP="00B73946">
      <w:pPr>
        <w:pStyle w:val="ListParagraph"/>
        <w:numPr>
          <w:ilvl w:val="0"/>
          <w:numId w:val="25"/>
        </w:numPr>
      </w:pPr>
      <w:r w:rsidRPr="00B73946">
        <w:t>The Steering Committee will ensure that the perspectives, interests and expertise of both central and local government, and of communities throughout New Zealand are considered, while the challenges facing water services and infrastructure are addressed. This will include periods of engagement, in the first instance with the local government sector. an overview is provided below.</w:t>
      </w:r>
    </w:p>
    <w:p w14:paraId="5083FDD5" w14:textId="77777777" w:rsidR="00B73946" w:rsidRDefault="00B73946" w:rsidP="00B73946">
      <w:pPr>
        <w:pStyle w:val="ListParagraph"/>
        <w:numPr>
          <w:ilvl w:val="0"/>
          <w:numId w:val="25"/>
        </w:numPr>
      </w:pPr>
      <w:r w:rsidRPr="00B73946">
        <w:t>The Steering Committee is supported by a secretariat made up of advisors and officials from L</w:t>
      </w:r>
      <w:r>
        <w:t>GNZ, SOLGM, DIA and the</w:t>
      </w:r>
      <w:r w:rsidRPr="00B73946">
        <w:t xml:space="preserve"> Treasury. This secretariat is hosted by </w:t>
      </w:r>
      <w:r>
        <w:t>DIA.</w:t>
      </w:r>
    </w:p>
    <w:p w14:paraId="72ADABF8" w14:textId="77777777" w:rsidR="00B73946" w:rsidRPr="00B73946" w:rsidRDefault="00B73946" w:rsidP="00B73946">
      <w:pPr>
        <w:pStyle w:val="ListParagraph"/>
        <w:numPr>
          <w:ilvl w:val="0"/>
          <w:numId w:val="25"/>
        </w:numPr>
      </w:pPr>
      <w:r>
        <w:t>The terms of reference for the Steering Committee is available on the DIA Three Waters website.</w:t>
      </w:r>
    </w:p>
    <w:p w14:paraId="0BAB2FE6" w14:textId="77777777" w:rsidR="00B73946" w:rsidRDefault="00B73946" w:rsidP="00B73946">
      <w:pPr>
        <w:pStyle w:val="Numberedpara3level1"/>
        <w:keepLines w:val="0"/>
        <w:numPr>
          <w:ilvl w:val="0"/>
          <w:numId w:val="0"/>
        </w:numPr>
        <w:ind w:left="567" w:hanging="567"/>
      </w:pPr>
    </w:p>
    <w:p w14:paraId="4159461F" w14:textId="77777777" w:rsidR="00F146E9" w:rsidRDefault="00F146E9">
      <w:pPr>
        <w:keepLines w:val="0"/>
        <w:rPr>
          <w:b/>
        </w:rPr>
      </w:pPr>
      <w:r>
        <w:rPr>
          <w:b/>
        </w:rPr>
        <w:br w:type="page"/>
      </w:r>
    </w:p>
    <w:p w14:paraId="18E3FC9D" w14:textId="77777777" w:rsidR="00B73946" w:rsidRPr="00F146E9" w:rsidRDefault="00F146E9" w:rsidP="00B73946">
      <w:pPr>
        <w:pStyle w:val="Numberedpara3level1"/>
        <w:keepLines w:val="0"/>
        <w:numPr>
          <w:ilvl w:val="0"/>
          <w:numId w:val="0"/>
        </w:numPr>
        <w:ind w:left="567" w:hanging="567"/>
        <w:rPr>
          <w:b/>
        </w:rPr>
      </w:pPr>
      <w:r w:rsidRPr="00F146E9">
        <w:rPr>
          <w:b/>
        </w:rPr>
        <w:t xml:space="preserve">Appendix F – Hypothetical scenario for </w:t>
      </w:r>
      <w:r>
        <w:rPr>
          <w:b/>
        </w:rPr>
        <w:t>agreeing</w:t>
      </w:r>
      <w:r w:rsidRPr="00F146E9">
        <w:rPr>
          <w:b/>
        </w:rPr>
        <w:t xml:space="preserve"> regional funding allocation</w:t>
      </w:r>
    </w:p>
    <w:p w14:paraId="7D5ED558" w14:textId="77777777" w:rsidR="00F146E9" w:rsidRPr="006B4F6B" w:rsidRDefault="00F146E9" w:rsidP="00F146E9">
      <w:pPr>
        <w:rPr>
          <w:rFonts w:asciiTheme="minorHAnsi" w:hAnsiTheme="minorHAnsi" w:cstheme="minorHAnsi"/>
          <w:b/>
          <w:bCs/>
          <w:i/>
          <w:lang w:val="en-US"/>
        </w:rPr>
      </w:pPr>
      <w:r w:rsidRPr="006B4F6B">
        <w:rPr>
          <w:rFonts w:asciiTheme="minorHAnsi" w:hAnsiTheme="minorHAnsi" w:cstheme="minorHAnsi"/>
          <w:b/>
          <w:bCs/>
          <w:i/>
          <w:lang w:val="en-US"/>
        </w:rPr>
        <w:t>The following is a hypothetical, worked example of how the funding allocation approach could work for a mythical Council and region</w:t>
      </w:r>
    </w:p>
    <w:p w14:paraId="3A2B87A8" w14:textId="77777777" w:rsidR="00F146E9" w:rsidRPr="006B4F6B" w:rsidRDefault="00F146E9" w:rsidP="00F146E9">
      <w:pPr>
        <w:rPr>
          <w:rFonts w:asciiTheme="minorHAnsi" w:hAnsiTheme="minorHAnsi" w:cstheme="minorHAnsi"/>
          <w:lang w:val="en-US"/>
        </w:rPr>
      </w:pPr>
      <w:r w:rsidRPr="006B4F6B">
        <w:rPr>
          <w:rFonts w:asciiTheme="minorHAnsi" w:hAnsiTheme="minorHAnsi" w:cstheme="minorHAnsi"/>
          <w:lang w:val="en-US"/>
        </w:rPr>
        <w:t>This is for Monkchester City Council in the Bernicia Region of New Zealand. Monkchester is a small city with a population of 80,000 in a region of 140,000. The rest of the Region is made up by Bidchester with 30,000 residents and Smithchester with 30,000 residents.</w:t>
      </w:r>
    </w:p>
    <w:p w14:paraId="33000715" w14:textId="77777777" w:rsidR="00F146E9" w:rsidRPr="006B4F6B" w:rsidRDefault="00F146E9" w:rsidP="00F146E9">
      <w:pPr>
        <w:rPr>
          <w:rFonts w:asciiTheme="minorHAnsi" w:hAnsiTheme="minorHAnsi" w:cstheme="minorHAnsi"/>
          <w:lang w:val="en-US"/>
        </w:rPr>
      </w:pPr>
      <w:r w:rsidRPr="006B4F6B">
        <w:rPr>
          <w:rFonts w:asciiTheme="minorHAnsi" w:hAnsiTheme="minorHAnsi" w:cstheme="minorHAnsi"/>
          <w:lang w:val="en-US"/>
        </w:rPr>
        <w:t>The notional funding allocated for the Bernicia Region, based on the national formula, is set out in Table 1.</w:t>
      </w:r>
    </w:p>
    <w:p w14:paraId="231C7C4F" w14:textId="77777777" w:rsidR="00F146E9" w:rsidRPr="006B4F6B" w:rsidRDefault="00F146E9" w:rsidP="00F146E9">
      <w:pPr>
        <w:rPr>
          <w:rFonts w:asciiTheme="minorHAnsi" w:hAnsiTheme="minorHAnsi" w:cstheme="minorHAnsi"/>
          <w:b/>
          <w:bCs/>
          <w:lang w:val="en-US"/>
        </w:rPr>
      </w:pPr>
      <w:r w:rsidRPr="006B4F6B">
        <w:rPr>
          <w:rFonts w:asciiTheme="minorHAnsi" w:hAnsiTheme="minorHAnsi" w:cstheme="minorHAnsi"/>
          <w:b/>
          <w:bCs/>
          <w:lang w:val="en-US"/>
        </w:rPr>
        <w:t>Table 1 Funding Allocation for Bernicia Regional</w:t>
      </w:r>
    </w:p>
    <w:tbl>
      <w:tblPr>
        <w:tblStyle w:val="TableGrid"/>
        <w:tblW w:w="0" w:type="auto"/>
        <w:tblLook w:val="04A0" w:firstRow="1" w:lastRow="0" w:firstColumn="1" w:lastColumn="0" w:noHBand="0" w:noVBand="1"/>
      </w:tblPr>
      <w:tblGrid>
        <w:gridCol w:w="3005"/>
        <w:gridCol w:w="3005"/>
        <w:gridCol w:w="3005"/>
      </w:tblGrid>
      <w:tr w:rsidR="00F146E9" w:rsidRPr="006B4F6B" w14:paraId="7C2430C5" w14:textId="77777777" w:rsidTr="009721C1">
        <w:tc>
          <w:tcPr>
            <w:tcW w:w="3005" w:type="dxa"/>
          </w:tcPr>
          <w:p w14:paraId="16D9A7B6" w14:textId="77777777" w:rsidR="00F146E9" w:rsidRPr="006B4F6B" w:rsidRDefault="00F146E9" w:rsidP="009721C1">
            <w:pPr>
              <w:rPr>
                <w:rFonts w:asciiTheme="minorHAnsi" w:hAnsiTheme="minorHAnsi" w:cstheme="minorHAnsi"/>
                <w:lang w:val="en-US"/>
              </w:rPr>
            </w:pPr>
            <w:r w:rsidRPr="006B4F6B">
              <w:rPr>
                <w:rFonts w:asciiTheme="minorHAnsi" w:hAnsiTheme="minorHAnsi" w:cstheme="minorHAnsi"/>
                <w:lang w:val="en-US"/>
              </w:rPr>
              <w:t>Area</w:t>
            </w:r>
          </w:p>
        </w:tc>
        <w:tc>
          <w:tcPr>
            <w:tcW w:w="3005" w:type="dxa"/>
          </w:tcPr>
          <w:p w14:paraId="3703AFC2" w14:textId="77777777" w:rsidR="00F146E9" w:rsidRPr="006B4F6B" w:rsidRDefault="00F146E9" w:rsidP="009721C1">
            <w:pPr>
              <w:rPr>
                <w:rFonts w:asciiTheme="minorHAnsi" w:hAnsiTheme="minorHAnsi" w:cstheme="minorHAnsi"/>
                <w:lang w:val="en-US"/>
              </w:rPr>
            </w:pPr>
            <w:r w:rsidRPr="006B4F6B">
              <w:rPr>
                <w:rFonts w:asciiTheme="minorHAnsi" w:hAnsiTheme="minorHAnsi" w:cstheme="minorHAnsi"/>
                <w:lang w:val="en-US"/>
              </w:rPr>
              <w:t xml:space="preserve">Direct council allocations </w:t>
            </w:r>
          </w:p>
          <w:p w14:paraId="237A79A0" w14:textId="77777777" w:rsidR="00F146E9" w:rsidRPr="006B4F6B" w:rsidRDefault="00F146E9" w:rsidP="009721C1">
            <w:pPr>
              <w:rPr>
                <w:rFonts w:asciiTheme="minorHAnsi" w:hAnsiTheme="minorHAnsi" w:cstheme="minorHAnsi"/>
                <w:lang w:val="en-US"/>
              </w:rPr>
            </w:pPr>
            <w:r w:rsidRPr="006B4F6B">
              <w:rPr>
                <w:rFonts w:asciiTheme="minorHAnsi" w:hAnsiTheme="minorHAnsi" w:cstheme="minorHAnsi"/>
                <w:lang w:val="en-US"/>
              </w:rPr>
              <w:t>$ Millions</w:t>
            </w:r>
          </w:p>
        </w:tc>
        <w:tc>
          <w:tcPr>
            <w:tcW w:w="3005" w:type="dxa"/>
          </w:tcPr>
          <w:p w14:paraId="2C98A1EE" w14:textId="77777777" w:rsidR="00F146E9" w:rsidRPr="006B4F6B" w:rsidRDefault="00F146E9" w:rsidP="009721C1">
            <w:pPr>
              <w:rPr>
                <w:rFonts w:asciiTheme="minorHAnsi" w:hAnsiTheme="minorHAnsi" w:cstheme="minorHAnsi"/>
                <w:lang w:val="en-US"/>
              </w:rPr>
            </w:pPr>
            <w:r w:rsidRPr="006B4F6B">
              <w:rPr>
                <w:rFonts w:asciiTheme="minorHAnsi" w:hAnsiTheme="minorHAnsi" w:cstheme="minorHAnsi"/>
                <w:lang w:val="en-US"/>
              </w:rPr>
              <w:t xml:space="preserve">Regional allocation </w:t>
            </w:r>
          </w:p>
          <w:p w14:paraId="7688E0C7" w14:textId="77777777" w:rsidR="00F146E9" w:rsidRPr="006B4F6B" w:rsidRDefault="00F146E9" w:rsidP="009721C1">
            <w:pPr>
              <w:rPr>
                <w:rFonts w:asciiTheme="minorHAnsi" w:hAnsiTheme="minorHAnsi" w:cstheme="minorHAnsi"/>
                <w:lang w:val="en-US"/>
              </w:rPr>
            </w:pPr>
            <w:r w:rsidRPr="006B4F6B">
              <w:rPr>
                <w:rFonts w:asciiTheme="minorHAnsi" w:hAnsiTheme="minorHAnsi" w:cstheme="minorHAnsi"/>
                <w:lang w:val="en-US"/>
              </w:rPr>
              <w:t>$ Millions</w:t>
            </w:r>
          </w:p>
        </w:tc>
      </w:tr>
      <w:tr w:rsidR="00F146E9" w:rsidRPr="006B4F6B" w14:paraId="5765B1C9" w14:textId="77777777" w:rsidTr="009721C1">
        <w:tc>
          <w:tcPr>
            <w:tcW w:w="3005" w:type="dxa"/>
          </w:tcPr>
          <w:p w14:paraId="136FE6C9" w14:textId="77777777" w:rsidR="00F146E9" w:rsidRPr="006B4F6B" w:rsidRDefault="00F146E9" w:rsidP="009721C1">
            <w:pPr>
              <w:rPr>
                <w:rFonts w:asciiTheme="minorHAnsi" w:hAnsiTheme="minorHAnsi" w:cstheme="minorHAnsi"/>
                <w:lang w:val="en-US"/>
              </w:rPr>
            </w:pPr>
            <w:r w:rsidRPr="006B4F6B">
              <w:rPr>
                <w:rFonts w:asciiTheme="minorHAnsi" w:hAnsiTheme="minorHAnsi" w:cstheme="minorHAnsi"/>
                <w:lang w:val="en-US"/>
              </w:rPr>
              <w:t>Monkchester</w:t>
            </w:r>
          </w:p>
        </w:tc>
        <w:tc>
          <w:tcPr>
            <w:tcW w:w="3005" w:type="dxa"/>
          </w:tcPr>
          <w:p w14:paraId="46F5722E" w14:textId="77777777" w:rsidR="00F146E9" w:rsidRPr="006B4F6B" w:rsidRDefault="00F146E9" w:rsidP="009721C1">
            <w:pPr>
              <w:rPr>
                <w:rFonts w:asciiTheme="minorHAnsi" w:hAnsiTheme="minorHAnsi" w:cstheme="minorHAnsi"/>
                <w:lang w:val="en-US"/>
              </w:rPr>
            </w:pPr>
            <w:r w:rsidRPr="006B4F6B">
              <w:rPr>
                <w:rFonts w:asciiTheme="minorHAnsi" w:hAnsiTheme="minorHAnsi" w:cstheme="minorHAnsi"/>
                <w:lang w:val="en-US"/>
              </w:rPr>
              <w:t>5</w:t>
            </w:r>
          </w:p>
        </w:tc>
        <w:tc>
          <w:tcPr>
            <w:tcW w:w="3005" w:type="dxa"/>
            <w:vMerge w:val="restart"/>
          </w:tcPr>
          <w:p w14:paraId="512A1B49" w14:textId="77777777" w:rsidR="00F146E9" w:rsidRPr="006B4F6B" w:rsidRDefault="00F146E9" w:rsidP="009721C1">
            <w:pPr>
              <w:spacing w:before="0" w:after="0" w:line="240" w:lineRule="auto"/>
              <w:rPr>
                <w:rFonts w:asciiTheme="minorHAnsi" w:hAnsiTheme="minorHAnsi" w:cstheme="minorHAnsi"/>
              </w:rPr>
            </w:pPr>
            <w:r w:rsidRPr="006B4F6B">
              <w:rPr>
                <w:rFonts w:asciiTheme="minorHAnsi" w:hAnsiTheme="minorHAnsi" w:cstheme="minorHAnsi"/>
                <w:lang w:val="en-US"/>
              </w:rPr>
              <w:t>10 (to be allocated to territorial authorities by agreement through a regional process)</w:t>
            </w:r>
          </w:p>
        </w:tc>
      </w:tr>
      <w:tr w:rsidR="00F146E9" w:rsidRPr="006B4F6B" w14:paraId="454FA8F8" w14:textId="77777777" w:rsidTr="009721C1">
        <w:tc>
          <w:tcPr>
            <w:tcW w:w="3005" w:type="dxa"/>
          </w:tcPr>
          <w:p w14:paraId="736245EE" w14:textId="77777777" w:rsidR="00F146E9" w:rsidRPr="006B4F6B" w:rsidRDefault="00F146E9" w:rsidP="009721C1">
            <w:pPr>
              <w:rPr>
                <w:rFonts w:asciiTheme="minorHAnsi" w:hAnsiTheme="minorHAnsi" w:cstheme="minorHAnsi"/>
                <w:lang w:val="en-US"/>
              </w:rPr>
            </w:pPr>
            <w:r w:rsidRPr="006B4F6B">
              <w:rPr>
                <w:rFonts w:asciiTheme="minorHAnsi" w:hAnsiTheme="minorHAnsi" w:cstheme="minorHAnsi"/>
                <w:lang w:val="en-US"/>
              </w:rPr>
              <w:t>Bidchester</w:t>
            </w:r>
          </w:p>
        </w:tc>
        <w:tc>
          <w:tcPr>
            <w:tcW w:w="3005" w:type="dxa"/>
          </w:tcPr>
          <w:p w14:paraId="1C21BA78" w14:textId="77777777" w:rsidR="00F146E9" w:rsidRPr="006B4F6B" w:rsidRDefault="00F146E9" w:rsidP="009721C1">
            <w:pPr>
              <w:rPr>
                <w:rFonts w:asciiTheme="minorHAnsi" w:hAnsiTheme="minorHAnsi" w:cstheme="minorHAnsi"/>
                <w:lang w:val="en-US"/>
              </w:rPr>
            </w:pPr>
            <w:r w:rsidRPr="006B4F6B">
              <w:rPr>
                <w:rFonts w:asciiTheme="minorHAnsi" w:hAnsiTheme="minorHAnsi" w:cstheme="minorHAnsi"/>
                <w:lang w:val="en-US"/>
              </w:rPr>
              <w:t>2.5</w:t>
            </w:r>
          </w:p>
        </w:tc>
        <w:tc>
          <w:tcPr>
            <w:tcW w:w="3005" w:type="dxa"/>
            <w:vMerge/>
          </w:tcPr>
          <w:p w14:paraId="54FB3C93" w14:textId="77777777" w:rsidR="00F146E9" w:rsidRPr="006B4F6B" w:rsidRDefault="00F146E9" w:rsidP="009721C1">
            <w:pPr>
              <w:spacing w:before="0" w:after="0" w:line="240" w:lineRule="auto"/>
              <w:rPr>
                <w:rFonts w:asciiTheme="minorHAnsi" w:hAnsiTheme="minorHAnsi" w:cstheme="minorHAnsi"/>
                <w:lang w:val="en-US"/>
              </w:rPr>
            </w:pPr>
          </w:p>
        </w:tc>
      </w:tr>
      <w:tr w:rsidR="00F146E9" w:rsidRPr="006B4F6B" w14:paraId="6204BC5B" w14:textId="77777777" w:rsidTr="009721C1">
        <w:trPr>
          <w:trHeight w:val="261"/>
        </w:trPr>
        <w:tc>
          <w:tcPr>
            <w:tcW w:w="3005" w:type="dxa"/>
          </w:tcPr>
          <w:p w14:paraId="1C121C92" w14:textId="77777777" w:rsidR="00F146E9" w:rsidRPr="006B4F6B" w:rsidRDefault="00F146E9" w:rsidP="009721C1">
            <w:pPr>
              <w:rPr>
                <w:rFonts w:asciiTheme="minorHAnsi" w:hAnsiTheme="minorHAnsi" w:cstheme="minorHAnsi"/>
                <w:lang w:val="en-US"/>
              </w:rPr>
            </w:pPr>
            <w:r w:rsidRPr="006B4F6B">
              <w:rPr>
                <w:rFonts w:asciiTheme="minorHAnsi" w:hAnsiTheme="minorHAnsi" w:cstheme="minorHAnsi"/>
                <w:lang w:val="en-US"/>
              </w:rPr>
              <w:t>Smithchester</w:t>
            </w:r>
          </w:p>
        </w:tc>
        <w:tc>
          <w:tcPr>
            <w:tcW w:w="3005" w:type="dxa"/>
          </w:tcPr>
          <w:p w14:paraId="7DDEC4C8" w14:textId="77777777" w:rsidR="00F146E9" w:rsidRPr="006B4F6B" w:rsidRDefault="00F146E9" w:rsidP="009721C1">
            <w:pPr>
              <w:rPr>
                <w:rFonts w:asciiTheme="minorHAnsi" w:hAnsiTheme="minorHAnsi" w:cstheme="minorHAnsi"/>
              </w:rPr>
            </w:pPr>
            <w:r w:rsidRPr="006B4F6B">
              <w:rPr>
                <w:rFonts w:asciiTheme="minorHAnsi" w:hAnsiTheme="minorHAnsi" w:cstheme="minorHAnsi"/>
                <w:lang w:val="en-US"/>
              </w:rPr>
              <w:t>2.5</w:t>
            </w:r>
          </w:p>
        </w:tc>
        <w:tc>
          <w:tcPr>
            <w:tcW w:w="3005" w:type="dxa"/>
            <w:vMerge/>
          </w:tcPr>
          <w:p w14:paraId="66303240" w14:textId="77777777" w:rsidR="00F146E9" w:rsidRPr="006B4F6B" w:rsidRDefault="00F146E9" w:rsidP="009721C1">
            <w:pPr>
              <w:spacing w:before="0" w:after="0" w:line="240" w:lineRule="auto"/>
              <w:rPr>
                <w:rFonts w:asciiTheme="minorHAnsi" w:hAnsiTheme="minorHAnsi" w:cstheme="minorHAnsi"/>
                <w:lang w:val="en-US"/>
              </w:rPr>
            </w:pPr>
          </w:p>
        </w:tc>
      </w:tr>
      <w:tr w:rsidR="00F146E9" w:rsidRPr="006B4F6B" w14:paraId="15D2B550" w14:textId="77777777" w:rsidTr="009721C1">
        <w:trPr>
          <w:trHeight w:val="279"/>
        </w:trPr>
        <w:tc>
          <w:tcPr>
            <w:tcW w:w="3005" w:type="dxa"/>
          </w:tcPr>
          <w:p w14:paraId="6ABAD99B" w14:textId="77777777" w:rsidR="00F146E9" w:rsidRPr="006B4F6B" w:rsidRDefault="00F146E9" w:rsidP="009721C1">
            <w:pPr>
              <w:rPr>
                <w:rFonts w:asciiTheme="minorHAnsi" w:hAnsiTheme="minorHAnsi" w:cstheme="minorHAnsi"/>
                <w:lang w:val="en-US"/>
              </w:rPr>
            </w:pPr>
            <w:r w:rsidRPr="006B4F6B">
              <w:rPr>
                <w:rFonts w:asciiTheme="minorHAnsi" w:hAnsiTheme="minorHAnsi" w:cstheme="minorHAnsi"/>
                <w:lang w:val="en-US"/>
              </w:rPr>
              <w:t>Bernicia Region</w:t>
            </w:r>
          </w:p>
        </w:tc>
        <w:tc>
          <w:tcPr>
            <w:tcW w:w="3005" w:type="dxa"/>
          </w:tcPr>
          <w:p w14:paraId="1D3AF464" w14:textId="77777777" w:rsidR="00F146E9" w:rsidRPr="006B4F6B" w:rsidRDefault="00F146E9" w:rsidP="009721C1">
            <w:pPr>
              <w:rPr>
                <w:rFonts w:asciiTheme="minorHAnsi" w:hAnsiTheme="minorHAnsi" w:cstheme="minorHAnsi"/>
                <w:lang w:val="en-US"/>
              </w:rPr>
            </w:pPr>
            <w:r w:rsidRPr="006B4F6B">
              <w:rPr>
                <w:rFonts w:asciiTheme="minorHAnsi" w:hAnsiTheme="minorHAnsi" w:cstheme="minorHAnsi"/>
                <w:lang w:val="en-US"/>
              </w:rPr>
              <w:t>10</w:t>
            </w:r>
          </w:p>
        </w:tc>
        <w:tc>
          <w:tcPr>
            <w:tcW w:w="3005" w:type="dxa"/>
            <w:vMerge/>
          </w:tcPr>
          <w:p w14:paraId="79BE5513" w14:textId="77777777" w:rsidR="00F146E9" w:rsidRPr="006B4F6B" w:rsidRDefault="00F146E9" w:rsidP="009721C1">
            <w:pPr>
              <w:spacing w:before="0" w:after="0" w:line="240" w:lineRule="auto"/>
              <w:rPr>
                <w:rFonts w:asciiTheme="minorHAnsi" w:hAnsiTheme="minorHAnsi" w:cstheme="minorHAnsi"/>
                <w:lang w:val="en-US"/>
              </w:rPr>
            </w:pPr>
          </w:p>
        </w:tc>
      </w:tr>
      <w:tr w:rsidR="00F146E9" w:rsidRPr="006B4F6B" w14:paraId="3BDA5DFB" w14:textId="77777777" w:rsidTr="009721C1">
        <w:tc>
          <w:tcPr>
            <w:tcW w:w="3005" w:type="dxa"/>
          </w:tcPr>
          <w:p w14:paraId="4F8277D5" w14:textId="77777777" w:rsidR="00F146E9" w:rsidRPr="006B4F6B" w:rsidRDefault="00F146E9" w:rsidP="009721C1">
            <w:pPr>
              <w:rPr>
                <w:rFonts w:asciiTheme="minorHAnsi" w:hAnsiTheme="minorHAnsi" w:cstheme="minorHAnsi"/>
                <w:lang w:val="en-US"/>
              </w:rPr>
            </w:pPr>
          </w:p>
          <w:p w14:paraId="5B3C01F1" w14:textId="77777777" w:rsidR="00F146E9" w:rsidRPr="006B4F6B" w:rsidRDefault="00F146E9" w:rsidP="009721C1">
            <w:pPr>
              <w:rPr>
                <w:rFonts w:asciiTheme="minorHAnsi" w:hAnsiTheme="minorHAnsi" w:cstheme="minorHAnsi"/>
                <w:lang w:val="en-US"/>
              </w:rPr>
            </w:pPr>
            <w:r w:rsidRPr="006B4F6B">
              <w:rPr>
                <w:rFonts w:asciiTheme="minorHAnsi" w:hAnsiTheme="minorHAnsi" w:cstheme="minorHAnsi"/>
                <w:lang w:val="en-US"/>
              </w:rPr>
              <w:t xml:space="preserve">Total direct and regional allocation </w:t>
            </w:r>
          </w:p>
        </w:tc>
        <w:tc>
          <w:tcPr>
            <w:tcW w:w="6010" w:type="dxa"/>
            <w:gridSpan w:val="2"/>
          </w:tcPr>
          <w:p w14:paraId="2823530B" w14:textId="77777777" w:rsidR="00F146E9" w:rsidRPr="006B4F6B" w:rsidRDefault="00F146E9" w:rsidP="009721C1">
            <w:pPr>
              <w:jc w:val="center"/>
              <w:rPr>
                <w:rFonts w:asciiTheme="minorHAnsi" w:hAnsiTheme="minorHAnsi" w:cstheme="minorHAnsi"/>
                <w:lang w:val="en-US"/>
              </w:rPr>
            </w:pPr>
          </w:p>
          <w:p w14:paraId="6E359453" w14:textId="77777777" w:rsidR="00F146E9" w:rsidRPr="006B4F6B" w:rsidRDefault="00F146E9" w:rsidP="009721C1">
            <w:pPr>
              <w:jc w:val="center"/>
              <w:rPr>
                <w:rFonts w:asciiTheme="minorHAnsi" w:hAnsiTheme="minorHAnsi" w:cstheme="minorHAnsi"/>
                <w:lang w:val="en-US"/>
              </w:rPr>
            </w:pPr>
            <w:r w:rsidRPr="006B4F6B">
              <w:rPr>
                <w:rFonts w:asciiTheme="minorHAnsi" w:hAnsiTheme="minorHAnsi" w:cstheme="minorHAnsi"/>
                <w:lang w:val="en-US"/>
              </w:rPr>
              <w:t>20</w:t>
            </w:r>
          </w:p>
          <w:p w14:paraId="1888315C" w14:textId="77777777" w:rsidR="00F146E9" w:rsidRPr="006B4F6B" w:rsidRDefault="00F146E9" w:rsidP="009721C1">
            <w:pPr>
              <w:jc w:val="center"/>
              <w:rPr>
                <w:rFonts w:asciiTheme="minorHAnsi" w:hAnsiTheme="minorHAnsi" w:cstheme="minorHAnsi"/>
                <w:lang w:val="en-US"/>
              </w:rPr>
            </w:pPr>
          </w:p>
        </w:tc>
      </w:tr>
    </w:tbl>
    <w:p w14:paraId="43542B91" w14:textId="77777777" w:rsidR="00F146E9" w:rsidRPr="006B4F6B" w:rsidRDefault="00F146E9" w:rsidP="00F146E9">
      <w:pPr>
        <w:autoSpaceDE w:val="0"/>
        <w:autoSpaceDN w:val="0"/>
        <w:adjustRightInd w:val="0"/>
        <w:rPr>
          <w:rFonts w:asciiTheme="minorHAnsi" w:hAnsiTheme="minorHAnsi" w:cstheme="minorHAnsi"/>
        </w:rPr>
      </w:pPr>
      <w:r w:rsidRPr="006B4F6B">
        <w:rPr>
          <w:rFonts w:asciiTheme="minorHAnsi" w:hAnsiTheme="minorHAnsi" w:cstheme="minorHAnsi"/>
        </w:rPr>
        <w:t xml:space="preserve">Council officers looked at a range of projects as candidates for the stimulus funding: </w:t>
      </w:r>
    </w:p>
    <w:p w14:paraId="0F183B29" w14:textId="77777777" w:rsidR="00F146E9" w:rsidRPr="006B4F6B" w:rsidRDefault="00F146E9" w:rsidP="00F146E9">
      <w:pPr>
        <w:pStyle w:val="ListParagraph"/>
        <w:keepLines w:val="0"/>
        <w:numPr>
          <w:ilvl w:val="0"/>
          <w:numId w:val="43"/>
        </w:numPr>
        <w:autoSpaceDE w:val="0"/>
        <w:autoSpaceDN w:val="0"/>
        <w:adjustRightInd w:val="0"/>
        <w:spacing w:before="0" w:after="0"/>
        <w:rPr>
          <w:rFonts w:asciiTheme="minorHAnsi" w:hAnsiTheme="minorHAnsi" w:cstheme="minorHAnsi"/>
        </w:rPr>
      </w:pPr>
      <w:r w:rsidRPr="006B4F6B">
        <w:rPr>
          <w:rFonts w:asciiTheme="minorHAnsi" w:hAnsiTheme="minorHAnsi" w:cstheme="minorHAnsi"/>
        </w:rPr>
        <w:t>An unsuccessful bid for the ‘Shovel Ready’ programme</w:t>
      </w:r>
    </w:p>
    <w:p w14:paraId="2FA2536F" w14:textId="77777777" w:rsidR="00F146E9" w:rsidRPr="006B4F6B" w:rsidRDefault="00F146E9" w:rsidP="00F146E9">
      <w:pPr>
        <w:pStyle w:val="ListParagraph"/>
        <w:keepLines w:val="0"/>
        <w:numPr>
          <w:ilvl w:val="0"/>
          <w:numId w:val="43"/>
        </w:numPr>
        <w:autoSpaceDE w:val="0"/>
        <w:autoSpaceDN w:val="0"/>
        <w:adjustRightInd w:val="0"/>
        <w:spacing w:before="0" w:after="0"/>
        <w:rPr>
          <w:rFonts w:asciiTheme="minorHAnsi" w:hAnsiTheme="minorHAnsi" w:cstheme="minorHAnsi"/>
        </w:rPr>
      </w:pPr>
      <w:r w:rsidRPr="006B4F6B">
        <w:rPr>
          <w:rFonts w:asciiTheme="minorHAnsi" w:hAnsiTheme="minorHAnsi" w:cstheme="minorHAnsi"/>
        </w:rPr>
        <w:t>Projects the Long-Term Plan</w:t>
      </w:r>
    </w:p>
    <w:p w14:paraId="0167A45E" w14:textId="77777777" w:rsidR="00F146E9" w:rsidRPr="006B4F6B" w:rsidRDefault="00F146E9" w:rsidP="00F146E9">
      <w:pPr>
        <w:pStyle w:val="ListParagraph"/>
        <w:keepLines w:val="0"/>
        <w:numPr>
          <w:ilvl w:val="0"/>
          <w:numId w:val="43"/>
        </w:numPr>
        <w:autoSpaceDE w:val="0"/>
        <w:autoSpaceDN w:val="0"/>
        <w:adjustRightInd w:val="0"/>
        <w:spacing w:before="0" w:after="0"/>
        <w:rPr>
          <w:rFonts w:asciiTheme="minorHAnsi" w:hAnsiTheme="minorHAnsi" w:cstheme="minorHAnsi"/>
        </w:rPr>
      </w:pPr>
      <w:r w:rsidRPr="006B4F6B">
        <w:rPr>
          <w:rFonts w:asciiTheme="minorHAnsi" w:hAnsiTheme="minorHAnsi" w:cstheme="minorHAnsi"/>
        </w:rPr>
        <w:t>Accelerating planned maintenance, renewals and renewals upgrades</w:t>
      </w:r>
    </w:p>
    <w:p w14:paraId="001951DD" w14:textId="77777777" w:rsidR="00F146E9" w:rsidRPr="006B4F6B" w:rsidRDefault="00F146E9" w:rsidP="00F146E9">
      <w:pPr>
        <w:pStyle w:val="ListParagraph"/>
        <w:keepLines w:val="0"/>
        <w:numPr>
          <w:ilvl w:val="0"/>
          <w:numId w:val="43"/>
        </w:numPr>
        <w:autoSpaceDE w:val="0"/>
        <w:autoSpaceDN w:val="0"/>
        <w:adjustRightInd w:val="0"/>
        <w:spacing w:before="0" w:after="0"/>
        <w:rPr>
          <w:rFonts w:asciiTheme="minorHAnsi" w:hAnsiTheme="minorHAnsi" w:cstheme="minorHAnsi"/>
        </w:rPr>
      </w:pPr>
      <w:r w:rsidRPr="006B4F6B">
        <w:rPr>
          <w:rFonts w:asciiTheme="minorHAnsi" w:hAnsiTheme="minorHAnsi" w:cstheme="minorHAnsi"/>
        </w:rPr>
        <w:t>A new project.</w:t>
      </w:r>
    </w:p>
    <w:p w14:paraId="6666491A" w14:textId="77777777" w:rsidR="00F146E9" w:rsidRPr="006B4F6B" w:rsidRDefault="00F146E9" w:rsidP="00F146E9">
      <w:pPr>
        <w:autoSpaceDE w:val="0"/>
        <w:autoSpaceDN w:val="0"/>
        <w:adjustRightInd w:val="0"/>
        <w:rPr>
          <w:rFonts w:asciiTheme="minorHAnsi" w:hAnsiTheme="minorHAnsi" w:cstheme="minorHAnsi"/>
        </w:rPr>
      </w:pPr>
      <w:r w:rsidRPr="006B4F6B">
        <w:rPr>
          <w:rFonts w:asciiTheme="minorHAnsi" w:hAnsiTheme="minorHAnsi" w:cstheme="minorHAnsi"/>
        </w:rPr>
        <w:t>Projects already fully-funded in the Annual Plan were excluded for obvious reasons.</w:t>
      </w:r>
    </w:p>
    <w:p w14:paraId="7D0F4A29" w14:textId="77777777" w:rsidR="00F146E9" w:rsidRPr="006B4F6B" w:rsidRDefault="00F146E9" w:rsidP="00F146E9">
      <w:pPr>
        <w:autoSpaceDE w:val="0"/>
        <w:autoSpaceDN w:val="0"/>
        <w:adjustRightInd w:val="0"/>
        <w:rPr>
          <w:rFonts w:asciiTheme="minorHAnsi" w:hAnsiTheme="minorHAnsi" w:cstheme="minorHAnsi"/>
        </w:rPr>
      </w:pPr>
      <w:r w:rsidRPr="006B4F6B">
        <w:rPr>
          <w:rFonts w:asciiTheme="minorHAnsi" w:hAnsiTheme="minorHAnsi" w:cstheme="minorHAnsi"/>
        </w:rPr>
        <w:t>A discussion was also held at regional level to agree how to allocate the regional element of funding. Three options were considered:</w:t>
      </w:r>
    </w:p>
    <w:p w14:paraId="4E9D072C" w14:textId="77777777" w:rsidR="00F146E9" w:rsidRPr="006B4F6B" w:rsidRDefault="00F146E9" w:rsidP="00F146E9">
      <w:pPr>
        <w:pStyle w:val="ListParagraph"/>
        <w:keepLines w:val="0"/>
        <w:numPr>
          <w:ilvl w:val="0"/>
          <w:numId w:val="42"/>
        </w:numPr>
        <w:autoSpaceDE w:val="0"/>
        <w:autoSpaceDN w:val="0"/>
        <w:adjustRightInd w:val="0"/>
        <w:spacing w:before="0" w:after="0"/>
        <w:rPr>
          <w:rFonts w:asciiTheme="minorHAnsi" w:hAnsiTheme="minorHAnsi" w:cstheme="minorHAnsi"/>
        </w:rPr>
      </w:pPr>
      <w:r w:rsidRPr="006B4F6B">
        <w:rPr>
          <w:rFonts w:asciiTheme="minorHAnsi" w:hAnsiTheme="minorHAnsi" w:cstheme="minorHAnsi"/>
        </w:rPr>
        <w:t xml:space="preserve">Discuss regional priorities and then allocate the monies based on </w:t>
      </w:r>
      <w:r>
        <w:rPr>
          <w:rFonts w:asciiTheme="minorHAnsi" w:hAnsiTheme="minorHAnsi" w:cstheme="minorHAnsi"/>
        </w:rPr>
        <w:t>the formula the Government used, as recommended by the Steering Committee.</w:t>
      </w:r>
    </w:p>
    <w:p w14:paraId="7928FB9F" w14:textId="77777777" w:rsidR="00F146E9" w:rsidRPr="006B4F6B" w:rsidRDefault="00F146E9" w:rsidP="00F146E9">
      <w:pPr>
        <w:pStyle w:val="ListParagraph"/>
        <w:keepLines w:val="0"/>
        <w:numPr>
          <w:ilvl w:val="0"/>
          <w:numId w:val="42"/>
        </w:numPr>
        <w:autoSpaceDE w:val="0"/>
        <w:autoSpaceDN w:val="0"/>
        <w:adjustRightInd w:val="0"/>
        <w:spacing w:before="0" w:after="0"/>
        <w:rPr>
          <w:rFonts w:asciiTheme="minorHAnsi" w:hAnsiTheme="minorHAnsi" w:cstheme="minorHAnsi"/>
        </w:rPr>
      </w:pPr>
      <w:r w:rsidRPr="006B4F6B">
        <w:rPr>
          <w:rFonts w:asciiTheme="minorHAnsi" w:hAnsiTheme="minorHAnsi" w:cstheme="minorHAnsi"/>
        </w:rPr>
        <w:t>Discuss regional priorities and allocate the money in three equal shares.</w:t>
      </w:r>
    </w:p>
    <w:p w14:paraId="3449FE65" w14:textId="77777777" w:rsidR="00F146E9" w:rsidRPr="006B4F6B" w:rsidRDefault="00F146E9" w:rsidP="00F146E9">
      <w:pPr>
        <w:pStyle w:val="ListParagraph"/>
        <w:keepLines w:val="0"/>
        <w:numPr>
          <w:ilvl w:val="0"/>
          <w:numId w:val="42"/>
        </w:numPr>
        <w:autoSpaceDE w:val="0"/>
        <w:autoSpaceDN w:val="0"/>
        <w:adjustRightInd w:val="0"/>
        <w:spacing w:before="0" w:after="0"/>
        <w:rPr>
          <w:rFonts w:asciiTheme="minorHAnsi" w:hAnsiTheme="minorHAnsi" w:cstheme="minorHAnsi"/>
        </w:rPr>
      </w:pPr>
      <w:r w:rsidRPr="006B4F6B">
        <w:rPr>
          <w:rFonts w:asciiTheme="minorHAnsi" w:hAnsiTheme="minorHAnsi" w:cstheme="minorHAnsi"/>
        </w:rPr>
        <w:t>Allocate all the regional money to a single project of regional importance.</w:t>
      </w:r>
    </w:p>
    <w:p w14:paraId="15B13772" w14:textId="77777777" w:rsidR="00F146E9" w:rsidRPr="006B4F6B" w:rsidRDefault="00F146E9" w:rsidP="00F146E9">
      <w:pPr>
        <w:autoSpaceDE w:val="0"/>
        <w:autoSpaceDN w:val="0"/>
        <w:adjustRightInd w:val="0"/>
        <w:rPr>
          <w:rFonts w:asciiTheme="minorHAnsi" w:hAnsiTheme="minorHAnsi" w:cstheme="minorHAnsi"/>
        </w:rPr>
      </w:pPr>
    </w:p>
    <w:p w14:paraId="4AA8C038" w14:textId="77777777" w:rsidR="00F146E9" w:rsidRPr="006B4F6B" w:rsidRDefault="00F146E9" w:rsidP="00F146E9">
      <w:pPr>
        <w:autoSpaceDE w:val="0"/>
        <w:autoSpaceDN w:val="0"/>
        <w:adjustRightInd w:val="0"/>
        <w:rPr>
          <w:rFonts w:asciiTheme="minorHAnsi" w:hAnsiTheme="minorHAnsi" w:cstheme="minorHAnsi"/>
        </w:rPr>
      </w:pPr>
      <w:r w:rsidRPr="006B4F6B">
        <w:rPr>
          <w:rFonts w:asciiTheme="minorHAnsi" w:hAnsiTheme="minorHAnsi" w:cstheme="minorHAnsi"/>
        </w:rPr>
        <w:t>After two meetings the Mayors and Chief Executives agreed two regional priorities for accelerating renewals and improving resilience for earthquakes. They decided against pursuing a new regional project because it required considerable preparatory work, design work, consents and a procurement programme. This would mean in practice a 4-year timescale and high risks and this would not meet the economic stimulus objective.</w:t>
      </w:r>
    </w:p>
    <w:p w14:paraId="46E2F9D6" w14:textId="77777777" w:rsidR="00F146E9" w:rsidRPr="006B4F6B" w:rsidRDefault="00F146E9" w:rsidP="00F146E9">
      <w:pPr>
        <w:autoSpaceDE w:val="0"/>
        <w:autoSpaceDN w:val="0"/>
        <w:adjustRightInd w:val="0"/>
        <w:rPr>
          <w:rFonts w:asciiTheme="minorHAnsi" w:hAnsiTheme="minorHAnsi" w:cstheme="minorHAnsi"/>
        </w:rPr>
      </w:pPr>
      <w:r w:rsidRPr="006B4F6B">
        <w:rPr>
          <w:rFonts w:asciiTheme="minorHAnsi" w:hAnsiTheme="minorHAnsi" w:cstheme="minorHAnsi"/>
        </w:rPr>
        <w:t>They also agreed to allocate the regional fund to territorial authorities using the Government’s formula. This means Monkchester’s overall allocation is $10 Million.</w:t>
      </w:r>
    </w:p>
    <w:p w14:paraId="0C976A40" w14:textId="77777777" w:rsidR="00F146E9" w:rsidRPr="006B4F6B" w:rsidRDefault="00F146E9" w:rsidP="00F146E9">
      <w:pPr>
        <w:autoSpaceDE w:val="0"/>
        <w:autoSpaceDN w:val="0"/>
        <w:adjustRightInd w:val="0"/>
        <w:rPr>
          <w:rFonts w:asciiTheme="minorHAnsi" w:hAnsiTheme="minorHAnsi" w:cstheme="minorHAnsi"/>
        </w:rPr>
      </w:pPr>
      <w:r w:rsidRPr="006B4F6B">
        <w:rPr>
          <w:rFonts w:asciiTheme="minorHAnsi" w:hAnsiTheme="minorHAnsi" w:cstheme="minorHAnsi"/>
        </w:rPr>
        <w:t xml:space="preserve">The criteria used to identify the best use of the investment were – priority for water and wastewater services, speed of delivery, job creation in the City and the risk profile of the project. An analysis of the candidates is set out below in Table 2. </w:t>
      </w:r>
    </w:p>
    <w:p w14:paraId="27D3D51F" w14:textId="77777777" w:rsidR="00F146E9" w:rsidRPr="006B4F6B" w:rsidRDefault="00F146E9" w:rsidP="00F146E9">
      <w:pPr>
        <w:autoSpaceDE w:val="0"/>
        <w:autoSpaceDN w:val="0"/>
        <w:adjustRightInd w:val="0"/>
        <w:rPr>
          <w:rFonts w:asciiTheme="minorHAnsi" w:hAnsiTheme="minorHAnsi" w:cstheme="minorHAnsi"/>
          <w:b/>
          <w:bCs/>
        </w:rPr>
      </w:pPr>
      <w:r w:rsidRPr="006B4F6B">
        <w:rPr>
          <w:rFonts w:asciiTheme="minorHAnsi" w:hAnsiTheme="minorHAnsi" w:cstheme="minorHAnsi"/>
          <w:b/>
          <w:bCs/>
        </w:rPr>
        <w:t>Table 2 Analysis of the Project Options</w:t>
      </w:r>
    </w:p>
    <w:tbl>
      <w:tblPr>
        <w:tblStyle w:val="TableGrid"/>
        <w:tblW w:w="9356" w:type="dxa"/>
        <w:tblInd w:w="-5" w:type="dxa"/>
        <w:tblLook w:val="04A0" w:firstRow="1" w:lastRow="0" w:firstColumn="1" w:lastColumn="0" w:noHBand="0" w:noVBand="1"/>
      </w:tblPr>
      <w:tblGrid>
        <w:gridCol w:w="1701"/>
        <w:gridCol w:w="1951"/>
        <w:gridCol w:w="1486"/>
        <w:gridCol w:w="1550"/>
        <w:gridCol w:w="1392"/>
        <w:gridCol w:w="1276"/>
      </w:tblGrid>
      <w:tr w:rsidR="00F146E9" w:rsidRPr="006B4F6B" w14:paraId="669F6FF1" w14:textId="77777777" w:rsidTr="009721C1">
        <w:tc>
          <w:tcPr>
            <w:tcW w:w="1701" w:type="dxa"/>
          </w:tcPr>
          <w:p w14:paraId="04A3BEC3" w14:textId="77777777" w:rsidR="00F146E9" w:rsidRPr="006B4F6B" w:rsidRDefault="00F146E9" w:rsidP="009721C1">
            <w:pPr>
              <w:autoSpaceDE w:val="0"/>
              <w:autoSpaceDN w:val="0"/>
              <w:adjustRightInd w:val="0"/>
              <w:rPr>
                <w:rFonts w:asciiTheme="minorHAnsi" w:hAnsiTheme="minorHAnsi" w:cstheme="minorHAnsi"/>
              </w:rPr>
            </w:pPr>
            <w:r w:rsidRPr="006B4F6B">
              <w:rPr>
                <w:rFonts w:asciiTheme="minorHAnsi" w:hAnsiTheme="minorHAnsi" w:cstheme="minorHAnsi"/>
              </w:rPr>
              <w:t>Project</w:t>
            </w:r>
          </w:p>
        </w:tc>
        <w:tc>
          <w:tcPr>
            <w:tcW w:w="1951" w:type="dxa"/>
          </w:tcPr>
          <w:p w14:paraId="18D9F0AB" w14:textId="77777777" w:rsidR="00F146E9" w:rsidRPr="006B4F6B" w:rsidRDefault="00F146E9" w:rsidP="009721C1">
            <w:pPr>
              <w:autoSpaceDE w:val="0"/>
              <w:autoSpaceDN w:val="0"/>
              <w:adjustRightInd w:val="0"/>
              <w:rPr>
                <w:rFonts w:asciiTheme="minorHAnsi" w:hAnsiTheme="minorHAnsi" w:cstheme="minorHAnsi"/>
              </w:rPr>
            </w:pPr>
            <w:r w:rsidRPr="006B4F6B">
              <w:rPr>
                <w:rFonts w:asciiTheme="minorHAnsi" w:hAnsiTheme="minorHAnsi" w:cstheme="minorHAnsi"/>
              </w:rPr>
              <w:t>Speed</w:t>
            </w:r>
          </w:p>
        </w:tc>
        <w:tc>
          <w:tcPr>
            <w:tcW w:w="1486" w:type="dxa"/>
          </w:tcPr>
          <w:p w14:paraId="7BF2A1F1" w14:textId="77777777" w:rsidR="00F146E9" w:rsidRPr="006B4F6B" w:rsidRDefault="00F146E9" w:rsidP="009721C1">
            <w:pPr>
              <w:autoSpaceDE w:val="0"/>
              <w:autoSpaceDN w:val="0"/>
              <w:adjustRightInd w:val="0"/>
              <w:rPr>
                <w:rFonts w:asciiTheme="minorHAnsi" w:hAnsiTheme="minorHAnsi" w:cstheme="minorHAnsi"/>
              </w:rPr>
            </w:pPr>
            <w:r w:rsidRPr="006B4F6B">
              <w:rPr>
                <w:rFonts w:asciiTheme="minorHAnsi" w:hAnsiTheme="minorHAnsi" w:cstheme="minorHAnsi"/>
              </w:rPr>
              <w:t>Job Implications</w:t>
            </w:r>
          </w:p>
        </w:tc>
        <w:tc>
          <w:tcPr>
            <w:tcW w:w="1550" w:type="dxa"/>
          </w:tcPr>
          <w:p w14:paraId="263B81E1" w14:textId="77777777" w:rsidR="00F146E9" w:rsidRPr="006B4F6B" w:rsidRDefault="00F146E9" w:rsidP="009721C1">
            <w:pPr>
              <w:autoSpaceDE w:val="0"/>
              <w:autoSpaceDN w:val="0"/>
              <w:adjustRightInd w:val="0"/>
              <w:rPr>
                <w:rFonts w:asciiTheme="minorHAnsi" w:hAnsiTheme="minorHAnsi" w:cstheme="minorHAnsi"/>
              </w:rPr>
            </w:pPr>
            <w:r w:rsidRPr="006B4F6B">
              <w:rPr>
                <w:rFonts w:asciiTheme="minorHAnsi" w:hAnsiTheme="minorHAnsi" w:cstheme="minorHAnsi"/>
              </w:rPr>
              <w:t>Risk</w:t>
            </w:r>
          </w:p>
        </w:tc>
        <w:tc>
          <w:tcPr>
            <w:tcW w:w="1392" w:type="dxa"/>
          </w:tcPr>
          <w:p w14:paraId="53F25ACC" w14:textId="77777777" w:rsidR="00F146E9" w:rsidRPr="006B4F6B" w:rsidRDefault="00F146E9" w:rsidP="009721C1">
            <w:pPr>
              <w:autoSpaceDE w:val="0"/>
              <w:autoSpaceDN w:val="0"/>
              <w:adjustRightInd w:val="0"/>
              <w:rPr>
                <w:rFonts w:asciiTheme="minorHAnsi" w:hAnsiTheme="minorHAnsi" w:cstheme="minorHAnsi"/>
              </w:rPr>
            </w:pPr>
            <w:r w:rsidRPr="006B4F6B">
              <w:rPr>
                <w:rFonts w:asciiTheme="minorHAnsi" w:hAnsiTheme="minorHAnsi" w:cstheme="minorHAnsi"/>
              </w:rPr>
              <w:t>Alignment with Regional Priorities</w:t>
            </w:r>
          </w:p>
        </w:tc>
        <w:tc>
          <w:tcPr>
            <w:tcW w:w="1276" w:type="dxa"/>
          </w:tcPr>
          <w:p w14:paraId="13921795" w14:textId="77777777" w:rsidR="00F146E9" w:rsidRPr="006B4F6B" w:rsidRDefault="00F146E9" w:rsidP="009721C1">
            <w:pPr>
              <w:autoSpaceDE w:val="0"/>
              <w:autoSpaceDN w:val="0"/>
              <w:adjustRightInd w:val="0"/>
              <w:rPr>
                <w:rFonts w:asciiTheme="minorHAnsi" w:hAnsiTheme="minorHAnsi" w:cstheme="minorHAnsi"/>
              </w:rPr>
            </w:pPr>
            <w:r w:rsidRPr="006B4F6B">
              <w:rPr>
                <w:rFonts w:asciiTheme="minorHAnsi" w:hAnsiTheme="minorHAnsi" w:cstheme="minorHAnsi"/>
              </w:rPr>
              <w:t>Overall Score</w:t>
            </w:r>
          </w:p>
        </w:tc>
      </w:tr>
      <w:tr w:rsidR="00F146E9" w:rsidRPr="006B4F6B" w14:paraId="70F557EA" w14:textId="77777777" w:rsidTr="009721C1">
        <w:tc>
          <w:tcPr>
            <w:tcW w:w="1701" w:type="dxa"/>
          </w:tcPr>
          <w:p w14:paraId="0D964EF7" w14:textId="77777777" w:rsidR="00F146E9" w:rsidRPr="006B4F6B" w:rsidRDefault="00F146E9" w:rsidP="009721C1">
            <w:pPr>
              <w:autoSpaceDE w:val="0"/>
              <w:autoSpaceDN w:val="0"/>
              <w:adjustRightInd w:val="0"/>
              <w:rPr>
                <w:rFonts w:asciiTheme="minorHAnsi" w:hAnsiTheme="minorHAnsi" w:cstheme="minorHAnsi"/>
              </w:rPr>
            </w:pPr>
            <w:r w:rsidRPr="006B4F6B">
              <w:rPr>
                <w:rFonts w:asciiTheme="minorHAnsi" w:hAnsiTheme="minorHAnsi" w:cstheme="minorHAnsi"/>
              </w:rPr>
              <w:t>Shovel Ready project – new water treatment plant</w:t>
            </w:r>
          </w:p>
        </w:tc>
        <w:tc>
          <w:tcPr>
            <w:tcW w:w="1951" w:type="dxa"/>
          </w:tcPr>
          <w:p w14:paraId="5A60081C" w14:textId="77777777" w:rsidR="00F146E9" w:rsidRPr="006B4F6B" w:rsidRDefault="00F146E9" w:rsidP="009721C1">
            <w:pPr>
              <w:autoSpaceDE w:val="0"/>
              <w:autoSpaceDN w:val="0"/>
              <w:adjustRightInd w:val="0"/>
              <w:rPr>
                <w:rFonts w:asciiTheme="minorHAnsi" w:hAnsiTheme="minorHAnsi" w:cstheme="minorHAnsi"/>
              </w:rPr>
            </w:pPr>
            <w:r w:rsidRPr="006B4F6B">
              <w:rPr>
                <w:rFonts w:asciiTheme="minorHAnsi" w:hAnsiTheme="minorHAnsi" w:cstheme="minorHAnsi"/>
              </w:rPr>
              <w:t>Low as it requires resource and building consents and procurement. Overall a 3 year project.</w:t>
            </w:r>
          </w:p>
          <w:p w14:paraId="312404B9" w14:textId="77777777" w:rsidR="00F146E9" w:rsidRPr="006B4F6B" w:rsidRDefault="00F146E9" w:rsidP="009721C1">
            <w:pPr>
              <w:autoSpaceDE w:val="0"/>
              <w:autoSpaceDN w:val="0"/>
              <w:adjustRightInd w:val="0"/>
              <w:rPr>
                <w:rFonts w:asciiTheme="minorHAnsi" w:hAnsiTheme="minorHAnsi" w:cstheme="minorHAnsi"/>
              </w:rPr>
            </w:pPr>
          </w:p>
        </w:tc>
        <w:tc>
          <w:tcPr>
            <w:tcW w:w="1486" w:type="dxa"/>
          </w:tcPr>
          <w:p w14:paraId="4DD5EBEC" w14:textId="77777777" w:rsidR="00F146E9" w:rsidRPr="006B4F6B" w:rsidRDefault="00F146E9" w:rsidP="009721C1">
            <w:pPr>
              <w:autoSpaceDE w:val="0"/>
              <w:autoSpaceDN w:val="0"/>
              <w:adjustRightInd w:val="0"/>
              <w:rPr>
                <w:rFonts w:asciiTheme="minorHAnsi" w:hAnsiTheme="minorHAnsi" w:cstheme="minorHAnsi"/>
              </w:rPr>
            </w:pPr>
            <w:r w:rsidRPr="006B4F6B">
              <w:rPr>
                <w:rFonts w:asciiTheme="minorHAnsi" w:hAnsiTheme="minorHAnsi" w:cstheme="minorHAnsi"/>
              </w:rPr>
              <w:t>Medium, creates 50 jobs directly</w:t>
            </w:r>
          </w:p>
        </w:tc>
        <w:tc>
          <w:tcPr>
            <w:tcW w:w="1550" w:type="dxa"/>
          </w:tcPr>
          <w:p w14:paraId="22C897D9" w14:textId="77777777" w:rsidR="00F146E9" w:rsidRPr="006B4F6B" w:rsidRDefault="00F146E9" w:rsidP="009721C1">
            <w:pPr>
              <w:autoSpaceDE w:val="0"/>
              <w:autoSpaceDN w:val="0"/>
              <w:adjustRightInd w:val="0"/>
              <w:rPr>
                <w:rFonts w:asciiTheme="minorHAnsi" w:hAnsiTheme="minorHAnsi" w:cstheme="minorHAnsi"/>
              </w:rPr>
            </w:pPr>
            <w:r w:rsidRPr="006B4F6B">
              <w:rPr>
                <w:rFonts w:asciiTheme="minorHAnsi" w:hAnsiTheme="minorHAnsi" w:cstheme="minorHAnsi"/>
              </w:rPr>
              <w:t>High, especially in an overheated construction market with extreme volatility</w:t>
            </w:r>
          </w:p>
        </w:tc>
        <w:tc>
          <w:tcPr>
            <w:tcW w:w="1392" w:type="dxa"/>
          </w:tcPr>
          <w:p w14:paraId="047634E1" w14:textId="77777777" w:rsidR="00F146E9" w:rsidRPr="006B4F6B" w:rsidRDefault="00F146E9" w:rsidP="009721C1">
            <w:pPr>
              <w:autoSpaceDE w:val="0"/>
              <w:autoSpaceDN w:val="0"/>
              <w:adjustRightInd w:val="0"/>
              <w:rPr>
                <w:rFonts w:asciiTheme="minorHAnsi" w:hAnsiTheme="minorHAnsi" w:cstheme="minorHAnsi"/>
              </w:rPr>
            </w:pPr>
            <w:r w:rsidRPr="006B4F6B">
              <w:rPr>
                <w:rFonts w:asciiTheme="minorHAnsi" w:hAnsiTheme="minorHAnsi" w:cstheme="minorHAnsi"/>
              </w:rPr>
              <w:t>Low</w:t>
            </w:r>
          </w:p>
        </w:tc>
        <w:tc>
          <w:tcPr>
            <w:tcW w:w="1276" w:type="dxa"/>
          </w:tcPr>
          <w:p w14:paraId="45D7556F" w14:textId="77777777" w:rsidR="00F146E9" w:rsidRPr="006B4F6B" w:rsidRDefault="00F146E9" w:rsidP="009721C1">
            <w:pPr>
              <w:autoSpaceDE w:val="0"/>
              <w:autoSpaceDN w:val="0"/>
              <w:adjustRightInd w:val="0"/>
              <w:rPr>
                <w:rFonts w:asciiTheme="minorHAnsi" w:hAnsiTheme="minorHAnsi" w:cstheme="minorHAnsi"/>
              </w:rPr>
            </w:pPr>
            <w:r w:rsidRPr="006B4F6B">
              <w:rPr>
                <w:rFonts w:asciiTheme="minorHAnsi" w:hAnsiTheme="minorHAnsi" w:cstheme="minorHAnsi"/>
              </w:rPr>
              <w:t>4 out of 10</w:t>
            </w:r>
          </w:p>
        </w:tc>
      </w:tr>
      <w:tr w:rsidR="00F146E9" w:rsidRPr="006B4F6B" w14:paraId="1E877F3C" w14:textId="77777777" w:rsidTr="009721C1">
        <w:tc>
          <w:tcPr>
            <w:tcW w:w="1701" w:type="dxa"/>
          </w:tcPr>
          <w:p w14:paraId="0F3AAEFC" w14:textId="77777777" w:rsidR="00F146E9" w:rsidRPr="006B4F6B" w:rsidRDefault="00F146E9" w:rsidP="009721C1">
            <w:pPr>
              <w:autoSpaceDE w:val="0"/>
              <w:autoSpaceDN w:val="0"/>
              <w:adjustRightInd w:val="0"/>
              <w:rPr>
                <w:rFonts w:asciiTheme="minorHAnsi" w:hAnsiTheme="minorHAnsi" w:cstheme="minorHAnsi"/>
              </w:rPr>
            </w:pPr>
            <w:r w:rsidRPr="006B4F6B">
              <w:rPr>
                <w:rFonts w:asciiTheme="minorHAnsi" w:hAnsiTheme="minorHAnsi" w:cstheme="minorHAnsi"/>
              </w:rPr>
              <w:t>Upgrade of wastewater treatment plant from year 3 of LTP</w:t>
            </w:r>
          </w:p>
        </w:tc>
        <w:tc>
          <w:tcPr>
            <w:tcW w:w="1951" w:type="dxa"/>
          </w:tcPr>
          <w:p w14:paraId="5957C081" w14:textId="77777777" w:rsidR="00F146E9" w:rsidRPr="006B4F6B" w:rsidRDefault="00F146E9" w:rsidP="009721C1">
            <w:pPr>
              <w:autoSpaceDE w:val="0"/>
              <w:autoSpaceDN w:val="0"/>
              <w:adjustRightInd w:val="0"/>
              <w:rPr>
                <w:rFonts w:asciiTheme="minorHAnsi" w:hAnsiTheme="minorHAnsi" w:cstheme="minorHAnsi"/>
              </w:rPr>
            </w:pPr>
            <w:r w:rsidRPr="006B4F6B">
              <w:rPr>
                <w:rFonts w:asciiTheme="minorHAnsi" w:hAnsiTheme="minorHAnsi" w:cstheme="minorHAnsi"/>
              </w:rPr>
              <w:t>Medium as it requires building consent and fresh procurement. Overall a 2-year project.</w:t>
            </w:r>
          </w:p>
        </w:tc>
        <w:tc>
          <w:tcPr>
            <w:tcW w:w="1486" w:type="dxa"/>
          </w:tcPr>
          <w:p w14:paraId="1680EF3B" w14:textId="77777777" w:rsidR="00F146E9" w:rsidRPr="006B4F6B" w:rsidRDefault="00F146E9" w:rsidP="009721C1">
            <w:pPr>
              <w:autoSpaceDE w:val="0"/>
              <w:autoSpaceDN w:val="0"/>
              <w:adjustRightInd w:val="0"/>
              <w:rPr>
                <w:rFonts w:asciiTheme="minorHAnsi" w:hAnsiTheme="minorHAnsi" w:cstheme="minorHAnsi"/>
              </w:rPr>
            </w:pPr>
            <w:r w:rsidRPr="006B4F6B">
              <w:rPr>
                <w:rFonts w:asciiTheme="minorHAnsi" w:hAnsiTheme="minorHAnsi" w:cstheme="minorHAnsi"/>
              </w:rPr>
              <w:t>Medium, creates 50 jobs</w:t>
            </w:r>
          </w:p>
        </w:tc>
        <w:tc>
          <w:tcPr>
            <w:tcW w:w="1550" w:type="dxa"/>
          </w:tcPr>
          <w:p w14:paraId="6B666028" w14:textId="77777777" w:rsidR="00F146E9" w:rsidRPr="006B4F6B" w:rsidRDefault="00F146E9" w:rsidP="009721C1">
            <w:pPr>
              <w:autoSpaceDE w:val="0"/>
              <w:autoSpaceDN w:val="0"/>
              <w:adjustRightInd w:val="0"/>
              <w:rPr>
                <w:rFonts w:asciiTheme="minorHAnsi" w:hAnsiTheme="minorHAnsi" w:cstheme="minorHAnsi"/>
              </w:rPr>
            </w:pPr>
            <w:r w:rsidRPr="006B4F6B">
              <w:rPr>
                <w:rFonts w:asciiTheme="minorHAnsi" w:hAnsiTheme="minorHAnsi" w:cstheme="minorHAnsi"/>
              </w:rPr>
              <w:t>Medium</w:t>
            </w:r>
          </w:p>
        </w:tc>
        <w:tc>
          <w:tcPr>
            <w:tcW w:w="1392" w:type="dxa"/>
          </w:tcPr>
          <w:p w14:paraId="5183C170" w14:textId="77777777" w:rsidR="00F146E9" w:rsidRPr="006B4F6B" w:rsidRDefault="00F146E9" w:rsidP="009721C1">
            <w:pPr>
              <w:autoSpaceDE w:val="0"/>
              <w:autoSpaceDN w:val="0"/>
              <w:adjustRightInd w:val="0"/>
              <w:rPr>
                <w:rFonts w:asciiTheme="minorHAnsi" w:hAnsiTheme="minorHAnsi" w:cstheme="minorHAnsi"/>
              </w:rPr>
            </w:pPr>
            <w:r w:rsidRPr="006B4F6B">
              <w:rPr>
                <w:rFonts w:asciiTheme="minorHAnsi" w:hAnsiTheme="minorHAnsi" w:cstheme="minorHAnsi"/>
              </w:rPr>
              <w:t>High</w:t>
            </w:r>
          </w:p>
        </w:tc>
        <w:tc>
          <w:tcPr>
            <w:tcW w:w="1276" w:type="dxa"/>
          </w:tcPr>
          <w:p w14:paraId="46A0B689" w14:textId="77777777" w:rsidR="00F146E9" w:rsidRPr="006B4F6B" w:rsidRDefault="00F146E9" w:rsidP="009721C1">
            <w:pPr>
              <w:autoSpaceDE w:val="0"/>
              <w:autoSpaceDN w:val="0"/>
              <w:adjustRightInd w:val="0"/>
              <w:rPr>
                <w:rFonts w:asciiTheme="minorHAnsi" w:hAnsiTheme="minorHAnsi" w:cstheme="minorHAnsi"/>
              </w:rPr>
            </w:pPr>
            <w:r w:rsidRPr="006B4F6B">
              <w:rPr>
                <w:rFonts w:asciiTheme="minorHAnsi" w:hAnsiTheme="minorHAnsi" w:cstheme="minorHAnsi"/>
              </w:rPr>
              <w:t>6 out of 10</w:t>
            </w:r>
          </w:p>
        </w:tc>
      </w:tr>
      <w:tr w:rsidR="00F146E9" w:rsidRPr="006B4F6B" w14:paraId="016CB8CB" w14:textId="77777777" w:rsidTr="009721C1">
        <w:tc>
          <w:tcPr>
            <w:tcW w:w="1701" w:type="dxa"/>
          </w:tcPr>
          <w:p w14:paraId="4F28F5FD" w14:textId="77777777" w:rsidR="00F146E9" w:rsidRPr="006B4F6B" w:rsidRDefault="00F146E9" w:rsidP="009721C1">
            <w:pPr>
              <w:autoSpaceDE w:val="0"/>
              <w:autoSpaceDN w:val="0"/>
              <w:adjustRightInd w:val="0"/>
              <w:rPr>
                <w:rFonts w:asciiTheme="minorHAnsi" w:hAnsiTheme="minorHAnsi" w:cstheme="minorHAnsi"/>
              </w:rPr>
            </w:pPr>
            <w:r w:rsidRPr="006B4F6B">
              <w:rPr>
                <w:rFonts w:asciiTheme="minorHAnsi" w:hAnsiTheme="minorHAnsi" w:cstheme="minorHAnsi"/>
              </w:rPr>
              <w:t>Renewal programme for the Central City’s sewer network</w:t>
            </w:r>
          </w:p>
        </w:tc>
        <w:tc>
          <w:tcPr>
            <w:tcW w:w="1951" w:type="dxa"/>
          </w:tcPr>
          <w:p w14:paraId="7171D8E7" w14:textId="77777777" w:rsidR="00F146E9" w:rsidRPr="006B4F6B" w:rsidRDefault="00F146E9" w:rsidP="009721C1">
            <w:pPr>
              <w:autoSpaceDE w:val="0"/>
              <w:autoSpaceDN w:val="0"/>
              <w:adjustRightInd w:val="0"/>
              <w:rPr>
                <w:rFonts w:asciiTheme="minorHAnsi" w:hAnsiTheme="minorHAnsi" w:cstheme="minorHAnsi"/>
              </w:rPr>
            </w:pPr>
            <w:r w:rsidRPr="006B4F6B">
              <w:rPr>
                <w:rFonts w:asciiTheme="minorHAnsi" w:hAnsiTheme="minorHAnsi" w:cstheme="minorHAnsi"/>
              </w:rPr>
              <w:t>High as no consents or procurement required. Overall an 18-month programme.</w:t>
            </w:r>
          </w:p>
        </w:tc>
        <w:tc>
          <w:tcPr>
            <w:tcW w:w="1486" w:type="dxa"/>
          </w:tcPr>
          <w:p w14:paraId="379B08A2" w14:textId="77777777" w:rsidR="00F146E9" w:rsidRPr="006B4F6B" w:rsidRDefault="00F146E9" w:rsidP="009721C1">
            <w:pPr>
              <w:autoSpaceDE w:val="0"/>
              <w:autoSpaceDN w:val="0"/>
              <w:adjustRightInd w:val="0"/>
              <w:rPr>
                <w:rFonts w:asciiTheme="minorHAnsi" w:hAnsiTheme="minorHAnsi" w:cstheme="minorHAnsi"/>
              </w:rPr>
            </w:pPr>
            <w:r w:rsidRPr="006B4F6B">
              <w:rPr>
                <w:rFonts w:asciiTheme="minorHAnsi" w:hAnsiTheme="minorHAnsi" w:cstheme="minorHAnsi"/>
              </w:rPr>
              <w:t>High with 100 jobs largely from the local area</w:t>
            </w:r>
          </w:p>
        </w:tc>
        <w:tc>
          <w:tcPr>
            <w:tcW w:w="1550" w:type="dxa"/>
          </w:tcPr>
          <w:p w14:paraId="51A70C49" w14:textId="77777777" w:rsidR="00F146E9" w:rsidRPr="006B4F6B" w:rsidRDefault="00F146E9" w:rsidP="009721C1">
            <w:pPr>
              <w:autoSpaceDE w:val="0"/>
              <w:autoSpaceDN w:val="0"/>
              <w:adjustRightInd w:val="0"/>
              <w:rPr>
                <w:rFonts w:asciiTheme="minorHAnsi" w:hAnsiTheme="minorHAnsi" w:cstheme="minorHAnsi"/>
              </w:rPr>
            </w:pPr>
            <w:r w:rsidRPr="006B4F6B">
              <w:rPr>
                <w:rFonts w:asciiTheme="minorHAnsi" w:hAnsiTheme="minorHAnsi" w:cstheme="minorHAnsi"/>
              </w:rPr>
              <w:t>Medium as the work is underground and we will find things we did not expect to so a sensible contingency will be needed.</w:t>
            </w:r>
          </w:p>
        </w:tc>
        <w:tc>
          <w:tcPr>
            <w:tcW w:w="1392" w:type="dxa"/>
          </w:tcPr>
          <w:p w14:paraId="108F39C5" w14:textId="77777777" w:rsidR="00F146E9" w:rsidRPr="006B4F6B" w:rsidRDefault="00F146E9" w:rsidP="009721C1">
            <w:pPr>
              <w:autoSpaceDE w:val="0"/>
              <w:autoSpaceDN w:val="0"/>
              <w:adjustRightInd w:val="0"/>
              <w:rPr>
                <w:rFonts w:asciiTheme="minorHAnsi" w:hAnsiTheme="minorHAnsi" w:cstheme="minorHAnsi"/>
              </w:rPr>
            </w:pPr>
            <w:r w:rsidRPr="006B4F6B">
              <w:rPr>
                <w:rFonts w:asciiTheme="minorHAnsi" w:hAnsiTheme="minorHAnsi" w:cstheme="minorHAnsi"/>
              </w:rPr>
              <w:t>High</w:t>
            </w:r>
          </w:p>
        </w:tc>
        <w:tc>
          <w:tcPr>
            <w:tcW w:w="1276" w:type="dxa"/>
          </w:tcPr>
          <w:p w14:paraId="61A7E799" w14:textId="77777777" w:rsidR="00F146E9" w:rsidRPr="006B4F6B" w:rsidRDefault="00F146E9" w:rsidP="009721C1">
            <w:pPr>
              <w:autoSpaceDE w:val="0"/>
              <w:autoSpaceDN w:val="0"/>
              <w:adjustRightInd w:val="0"/>
              <w:rPr>
                <w:rFonts w:asciiTheme="minorHAnsi" w:hAnsiTheme="minorHAnsi" w:cstheme="minorHAnsi"/>
              </w:rPr>
            </w:pPr>
            <w:r w:rsidRPr="006B4F6B">
              <w:rPr>
                <w:rFonts w:asciiTheme="minorHAnsi" w:hAnsiTheme="minorHAnsi" w:cstheme="minorHAnsi"/>
              </w:rPr>
              <w:t>8 out of 10</w:t>
            </w:r>
          </w:p>
        </w:tc>
      </w:tr>
      <w:tr w:rsidR="00F146E9" w:rsidRPr="006B4F6B" w14:paraId="694A6EA5" w14:textId="77777777" w:rsidTr="009721C1">
        <w:tc>
          <w:tcPr>
            <w:tcW w:w="1701" w:type="dxa"/>
          </w:tcPr>
          <w:p w14:paraId="42F9FFEA" w14:textId="77777777" w:rsidR="00F146E9" w:rsidRPr="006B4F6B" w:rsidRDefault="00F146E9" w:rsidP="009721C1">
            <w:pPr>
              <w:autoSpaceDE w:val="0"/>
              <w:autoSpaceDN w:val="0"/>
              <w:adjustRightInd w:val="0"/>
              <w:rPr>
                <w:rFonts w:asciiTheme="minorHAnsi" w:hAnsiTheme="minorHAnsi" w:cstheme="minorHAnsi"/>
              </w:rPr>
            </w:pPr>
            <w:r w:rsidRPr="006B4F6B">
              <w:rPr>
                <w:rFonts w:asciiTheme="minorHAnsi" w:hAnsiTheme="minorHAnsi" w:cstheme="minorHAnsi"/>
              </w:rPr>
              <w:t>Completely new project - a new reservoir</w:t>
            </w:r>
          </w:p>
        </w:tc>
        <w:tc>
          <w:tcPr>
            <w:tcW w:w="1951" w:type="dxa"/>
          </w:tcPr>
          <w:p w14:paraId="0BDB8862" w14:textId="77777777" w:rsidR="00F146E9" w:rsidRPr="006B4F6B" w:rsidRDefault="00F146E9" w:rsidP="009721C1">
            <w:pPr>
              <w:autoSpaceDE w:val="0"/>
              <w:autoSpaceDN w:val="0"/>
              <w:adjustRightInd w:val="0"/>
              <w:rPr>
                <w:rFonts w:asciiTheme="minorHAnsi" w:hAnsiTheme="minorHAnsi" w:cstheme="minorHAnsi"/>
              </w:rPr>
            </w:pPr>
            <w:r w:rsidRPr="006B4F6B">
              <w:rPr>
                <w:rFonts w:asciiTheme="minorHAnsi" w:hAnsiTheme="minorHAnsi" w:cstheme="minorHAnsi"/>
              </w:rPr>
              <w:t>Low as is requires community consultation, consents and a fresh procurement.</w:t>
            </w:r>
          </w:p>
        </w:tc>
        <w:tc>
          <w:tcPr>
            <w:tcW w:w="1486" w:type="dxa"/>
          </w:tcPr>
          <w:p w14:paraId="000BC46A" w14:textId="77777777" w:rsidR="00F146E9" w:rsidRPr="006B4F6B" w:rsidRDefault="00F146E9" w:rsidP="009721C1">
            <w:pPr>
              <w:autoSpaceDE w:val="0"/>
              <w:autoSpaceDN w:val="0"/>
              <w:adjustRightInd w:val="0"/>
              <w:rPr>
                <w:rFonts w:asciiTheme="minorHAnsi" w:hAnsiTheme="minorHAnsi" w:cstheme="minorHAnsi"/>
              </w:rPr>
            </w:pPr>
            <w:r w:rsidRPr="006B4F6B">
              <w:rPr>
                <w:rFonts w:asciiTheme="minorHAnsi" w:hAnsiTheme="minorHAnsi" w:cstheme="minorHAnsi"/>
              </w:rPr>
              <w:t>Low as will take a good 18 months to be shovel ready</w:t>
            </w:r>
          </w:p>
        </w:tc>
        <w:tc>
          <w:tcPr>
            <w:tcW w:w="1550" w:type="dxa"/>
          </w:tcPr>
          <w:p w14:paraId="5E7ABB72" w14:textId="77777777" w:rsidR="00F146E9" w:rsidRPr="006B4F6B" w:rsidRDefault="00F146E9" w:rsidP="009721C1">
            <w:pPr>
              <w:autoSpaceDE w:val="0"/>
              <w:autoSpaceDN w:val="0"/>
              <w:adjustRightInd w:val="0"/>
              <w:rPr>
                <w:rFonts w:asciiTheme="minorHAnsi" w:hAnsiTheme="minorHAnsi" w:cstheme="minorHAnsi"/>
              </w:rPr>
            </w:pPr>
            <w:r w:rsidRPr="006B4F6B">
              <w:rPr>
                <w:rFonts w:asciiTheme="minorHAnsi" w:hAnsiTheme="minorHAnsi" w:cstheme="minorHAnsi"/>
              </w:rPr>
              <w:t>High due to seismic issues</w:t>
            </w:r>
          </w:p>
        </w:tc>
        <w:tc>
          <w:tcPr>
            <w:tcW w:w="1392" w:type="dxa"/>
          </w:tcPr>
          <w:p w14:paraId="2575F350" w14:textId="77777777" w:rsidR="00F146E9" w:rsidRPr="006B4F6B" w:rsidRDefault="00F146E9" w:rsidP="009721C1">
            <w:pPr>
              <w:autoSpaceDE w:val="0"/>
              <w:autoSpaceDN w:val="0"/>
              <w:adjustRightInd w:val="0"/>
              <w:rPr>
                <w:rFonts w:asciiTheme="minorHAnsi" w:hAnsiTheme="minorHAnsi" w:cstheme="minorHAnsi"/>
              </w:rPr>
            </w:pPr>
            <w:r w:rsidRPr="006B4F6B">
              <w:rPr>
                <w:rFonts w:asciiTheme="minorHAnsi" w:hAnsiTheme="minorHAnsi" w:cstheme="minorHAnsi"/>
              </w:rPr>
              <w:t xml:space="preserve">Medium because improves long-term reliance </w:t>
            </w:r>
          </w:p>
        </w:tc>
        <w:tc>
          <w:tcPr>
            <w:tcW w:w="1276" w:type="dxa"/>
          </w:tcPr>
          <w:p w14:paraId="3903FE95" w14:textId="77777777" w:rsidR="00F146E9" w:rsidRPr="006B4F6B" w:rsidRDefault="00F146E9" w:rsidP="009721C1">
            <w:pPr>
              <w:autoSpaceDE w:val="0"/>
              <w:autoSpaceDN w:val="0"/>
              <w:adjustRightInd w:val="0"/>
              <w:rPr>
                <w:rFonts w:asciiTheme="minorHAnsi" w:hAnsiTheme="minorHAnsi" w:cstheme="minorHAnsi"/>
              </w:rPr>
            </w:pPr>
            <w:r w:rsidRPr="006B4F6B">
              <w:rPr>
                <w:rFonts w:asciiTheme="minorHAnsi" w:hAnsiTheme="minorHAnsi" w:cstheme="minorHAnsi"/>
              </w:rPr>
              <w:t>3 out of 10</w:t>
            </w:r>
          </w:p>
        </w:tc>
      </w:tr>
    </w:tbl>
    <w:p w14:paraId="6783ABF2" w14:textId="77777777" w:rsidR="00F146E9" w:rsidRDefault="00F146E9" w:rsidP="00F146E9">
      <w:pPr>
        <w:autoSpaceDE w:val="0"/>
        <w:autoSpaceDN w:val="0"/>
        <w:adjustRightInd w:val="0"/>
        <w:spacing w:after="0"/>
        <w:rPr>
          <w:rFonts w:asciiTheme="minorHAnsi" w:hAnsiTheme="minorHAnsi" w:cstheme="minorHAnsi"/>
        </w:rPr>
      </w:pPr>
    </w:p>
    <w:p w14:paraId="4168545B" w14:textId="77777777" w:rsidR="00F146E9" w:rsidRPr="006B4F6B" w:rsidRDefault="00F146E9" w:rsidP="00F146E9">
      <w:pPr>
        <w:autoSpaceDE w:val="0"/>
        <w:autoSpaceDN w:val="0"/>
        <w:adjustRightInd w:val="0"/>
        <w:rPr>
          <w:rFonts w:asciiTheme="minorHAnsi" w:hAnsiTheme="minorHAnsi" w:cstheme="minorHAnsi"/>
        </w:rPr>
      </w:pPr>
      <w:r w:rsidRPr="006B4F6B">
        <w:rPr>
          <w:rFonts w:asciiTheme="minorHAnsi" w:hAnsiTheme="minorHAnsi" w:cstheme="minorHAnsi"/>
        </w:rPr>
        <w:t>Accelerating investment in the renewals and renewal upgrade programme for the Central City’s sewer network is the preferred project. It can be done speedily. No resource consent is required. No fresh procurement is required either as the City Council already has a 5-year renewals partnership with Downers. It creates 100 direct jobs for 18 months whilst the network is upgraded. Moreover, it will enable significant expansion of activity in the Northern quarter of the CBD which could lead to 20000 square meters of new development and 2000 jobs. Work will begin on the ground by February 2021. Finally, it is a low risk project being contracted to a trusted partner. An appropriate contingency budget has been established and this will be the subject to a confidential pre-committee briefing with the CFO.</w:t>
      </w:r>
    </w:p>
    <w:p w14:paraId="5A79010C" w14:textId="77777777" w:rsidR="00F146E9" w:rsidRPr="006B4F6B" w:rsidRDefault="00F146E9" w:rsidP="00F146E9">
      <w:pPr>
        <w:autoSpaceDE w:val="0"/>
        <w:autoSpaceDN w:val="0"/>
        <w:adjustRightInd w:val="0"/>
        <w:rPr>
          <w:rFonts w:asciiTheme="minorHAnsi" w:hAnsiTheme="minorHAnsi" w:cstheme="minorHAnsi"/>
        </w:rPr>
      </w:pPr>
      <w:r w:rsidRPr="006B4F6B">
        <w:rPr>
          <w:rFonts w:asciiTheme="minorHAnsi" w:hAnsiTheme="minorHAnsi" w:cstheme="minorHAnsi"/>
        </w:rPr>
        <w:t>Through the Mayoral Forum, councils also agreed to progress further discussions on three water service delivery reform opportunities within the region.</w:t>
      </w:r>
    </w:p>
    <w:p w14:paraId="6F2A08F7" w14:textId="77777777" w:rsidR="00F146E9" w:rsidRPr="006B4F6B" w:rsidRDefault="00F146E9" w:rsidP="00F146E9">
      <w:pPr>
        <w:autoSpaceDE w:val="0"/>
        <w:autoSpaceDN w:val="0"/>
        <w:adjustRightInd w:val="0"/>
        <w:rPr>
          <w:rFonts w:asciiTheme="minorHAnsi" w:hAnsiTheme="minorHAnsi" w:cstheme="minorHAnsi"/>
        </w:rPr>
      </w:pPr>
      <w:r w:rsidRPr="006B4F6B">
        <w:rPr>
          <w:rFonts w:asciiTheme="minorHAnsi" w:hAnsiTheme="minorHAnsi" w:cstheme="minorHAnsi"/>
        </w:rPr>
        <w:t>Mayors of participating councils wrote to the Minister to communicate their decision on the regional allocation and the steps they were proposing to take to advance the objectives of the reform programme.</w:t>
      </w:r>
    </w:p>
    <w:p w14:paraId="3AA6E33E" w14:textId="77777777" w:rsidR="00F146E9" w:rsidRPr="0091722E" w:rsidRDefault="00F146E9" w:rsidP="00F146E9">
      <w:pPr>
        <w:autoSpaceDE w:val="0"/>
        <w:autoSpaceDN w:val="0"/>
        <w:adjustRightInd w:val="0"/>
        <w:rPr>
          <w:rFonts w:ascii="Arial" w:hAnsi="Arial" w:cs="Arial"/>
        </w:rPr>
      </w:pPr>
    </w:p>
    <w:p w14:paraId="2F689093" w14:textId="77777777" w:rsidR="00F146E9" w:rsidRPr="00603635" w:rsidRDefault="00F146E9" w:rsidP="00B73946">
      <w:pPr>
        <w:pStyle w:val="Numberedpara3level1"/>
        <w:keepLines w:val="0"/>
        <w:numPr>
          <w:ilvl w:val="0"/>
          <w:numId w:val="0"/>
        </w:numPr>
        <w:ind w:left="567" w:hanging="567"/>
      </w:pPr>
    </w:p>
    <w:sectPr w:rsidR="00F146E9" w:rsidRPr="00603635" w:rsidSect="00CF4BE3">
      <w:headerReference w:type="default" r:id="rId9"/>
      <w:footerReference w:type="default" r:id="rId10"/>
      <w:pgSz w:w="11907" w:h="16840" w:code="9"/>
      <w:pgMar w:top="1418" w:right="1418" w:bottom="992" w:left="1418" w:header="425" w:footer="6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19AEF3" w14:textId="77777777" w:rsidR="00F23B8F" w:rsidRDefault="00F23B8F">
      <w:r>
        <w:separator/>
      </w:r>
    </w:p>
    <w:p w14:paraId="67594896" w14:textId="77777777" w:rsidR="00F23B8F" w:rsidRDefault="00F23B8F"/>
    <w:p w14:paraId="6742980D" w14:textId="77777777" w:rsidR="00F23B8F" w:rsidRDefault="00F23B8F"/>
  </w:endnote>
  <w:endnote w:type="continuationSeparator" w:id="0">
    <w:p w14:paraId="4D02F828" w14:textId="77777777" w:rsidR="00F23B8F" w:rsidRDefault="00F23B8F">
      <w:r>
        <w:continuationSeparator/>
      </w:r>
    </w:p>
    <w:p w14:paraId="05F6FC4A" w14:textId="77777777" w:rsidR="00F23B8F" w:rsidRDefault="00F23B8F"/>
    <w:p w14:paraId="6F395515" w14:textId="77777777" w:rsidR="00F23B8F" w:rsidRDefault="00F23B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unga">
    <w:panose1 w:val="00000400000000000000"/>
    <w:charset w:val="00"/>
    <w:family w:val="swiss"/>
    <w:pitch w:val="variable"/>
    <w:sig w:usb0="004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3B7AC" w14:textId="77777777" w:rsidR="00E43D5C" w:rsidRDefault="00E43D5C" w:rsidP="00126FDE">
    <w:pPr>
      <w:pStyle w:val="Footer"/>
      <w:tabs>
        <w:tab w:val="right" w:pos="9071"/>
      </w:tabs>
      <w:ind w:right="-1"/>
    </w:pPr>
    <w:r>
      <w:tab/>
      <w:t xml:space="preserve">Page </w:t>
    </w:r>
    <w:r>
      <w:fldChar w:fldCharType="begin"/>
    </w:r>
    <w:r>
      <w:instrText xml:space="preserve"> PAGE  \* Arabic  \* MERGEFORMAT </w:instrText>
    </w:r>
    <w:r>
      <w:fldChar w:fldCharType="separate"/>
    </w:r>
    <w:r>
      <w:rPr>
        <w:noProof/>
      </w:rPr>
      <w:t>1</w:t>
    </w:r>
    <w:r>
      <w:fldChar w:fldCharType="end"/>
    </w:r>
    <w:r>
      <w:t xml:space="preserve"> of </w:t>
    </w:r>
    <w:r w:rsidR="00114B63">
      <w:rPr>
        <w:noProof/>
      </w:rPr>
      <w:fldChar w:fldCharType="begin"/>
    </w:r>
    <w:r w:rsidR="00114B63">
      <w:rPr>
        <w:noProof/>
      </w:rPr>
      <w:instrText xml:space="preserve"> NUMPAGES   \* MERGEFORMAT </w:instrText>
    </w:r>
    <w:r w:rsidR="00114B63">
      <w:rPr>
        <w:noProof/>
      </w:rPr>
      <w:fldChar w:fldCharType="separate"/>
    </w:r>
    <w:r>
      <w:rPr>
        <w:noProof/>
      </w:rPr>
      <w:t>1</w:t>
    </w:r>
    <w:r w:rsidR="00114B6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E60AAD" w14:textId="77777777" w:rsidR="00F23B8F" w:rsidRDefault="00F23B8F" w:rsidP="00FB1990">
      <w:pPr>
        <w:pStyle w:val="Spacer"/>
      </w:pPr>
      <w:r>
        <w:separator/>
      </w:r>
    </w:p>
    <w:p w14:paraId="7A345461" w14:textId="77777777" w:rsidR="00F23B8F" w:rsidRDefault="00F23B8F" w:rsidP="00FB1990">
      <w:pPr>
        <w:pStyle w:val="Spacer"/>
      </w:pPr>
    </w:p>
  </w:footnote>
  <w:footnote w:type="continuationSeparator" w:id="0">
    <w:p w14:paraId="490A96C4" w14:textId="77777777" w:rsidR="00F23B8F" w:rsidRDefault="00F23B8F">
      <w:r>
        <w:continuationSeparator/>
      </w:r>
    </w:p>
    <w:p w14:paraId="3646BFF6" w14:textId="77777777" w:rsidR="00F23B8F" w:rsidRDefault="00F23B8F"/>
    <w:p w14:paraId="533F0347" w14:textId="77777777" w:rsidR="00F23B8F" w:rsidRDefault="00F23B8F"/>
  </w:footnote>
  <w:footnote w:id="1">
    <w:p w14:paraId="3D039E21" w14:textId="77777777" w:rsidR="00562B88" w:rsidRPr="00752EA9" w:rsidRDefault="00562B88">
      <w:pPr>
        <w:pStyle w:val="FootnoteText"/>
        <w:rPr>
          <w:lang w:val="en-US"/>
        </w:rPr>
      </w:pPr>
      <w:r>
        <w:rPr>
          <w:rStyle w:val="FootnoteReference"/>
        </w:rPr>
        <w:footnoteRef/>
      </w:r>
      <w:r>
        <w:t xml:space="preserve"> </w:t>
      </w:r>
      <w:r>
        <w:rPr>
          <w:lang w:val="en-US"/>
        </w:rPr>
        <w:tab/>
        <w:t>Applying a 75% weighting for population and a 25% weighting for land area, excluding national parks.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DBCE3E" w14:textId="77777777" w:rsidR="00E43D5C" w:rsidRPr="00752EA9" w:rsidRDefault="00E43D5C" w:rsidP="00752EA9">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092F23C"/>
    <w:lvl w:ilvl="0">
      <w:start w:val="1"/>
      <w:numFmt w:val="decimal"/>
      <w:pStyle w:val="ListNumber5"/>
      <w:lvlText w:val="%1."/>
      <w:lvlJc w:val="left"/>
      <w:pPr>
        <w:tabs>
          <w:tab w:val="num" w:pos="7303"/>
        </w:tabs>
        <w:ind w:left="7303" w:hanging="360"/>
      </w:pPr>
    </w:lvl>
  </w:abstractNum>
  <w:abstractNum w:abstractNumId="1" w15:restartNumberingAfterBreak="0">
    <w:nsid w:val="FFFFFF7D"/>
    <w:multiLevelType w:val="singleLevel"/>
    <w:tmpl w:val="4900E3A0"/>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8A0463DC"/>
    <w:lvl w:ilvl="0">
      <w:start w:val="1"/>
      <w:numFmt w:val="bullet"/>
      <w:pStyle w:val="ListBullet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CCE04DEA"/>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B60EAF4E"/>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A29E0C6A"/>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02BA46F3"/>
    <w:multiLevelType w:val="multilevel"/>
    <w:tmpl w:val="96662BF2"/>
    <w:lvl w:ilvl="0">
      <w:start w:val="1"/>
      <w:numFmt w:val="decimal"/>
      <w:pStyle w:val="Numberedpara3level1"/>
      <w:lvlText w:val="%1."/>
      <w:lvlJc w:val="left"/>
      <w:pPr>
        <w:ind w:left="567" w:hanging="567"/>
      </w:pPr>
      <w:rPr>
        <w:rFonts w:hint="default"/>
      </w:rPr>
    </w:lvl>
    <w:lvl w:ilvl="1">
      <w:start w:val="1"/>
      <w:numFmt w:val="decimal"/>
      <w:pStyle w:val="Numberedpara3level211"/>
      <w:lvlText w:val="%1.%2"/>
      <w:lvlJc w:val="left"/>
      <w:pPr>
        <w:ind w:left="1247" w:hanging="680"/>
      </w:pPr>
      <w:rPr>
        <w:rFonts w:hint="default"/>
      </w:rPr>
    </w:lvl>
    <w:lvl w:ilvl="2">
      <w:start w:val="1"/>
      <w:numFmt w:val="decimal"/>
      <w:pStyle w:val="Numberedpara3level3111"/>
      <w:lvlText w:val="%1.%2.%3"/>
      <w:lvlJc w:val="left"/>
      <w:pPr>
        <w:tabs>
          <w:tab w:val="num" w:pos="1247"/>
        </w:tabs>
        <w:ind w:left="2155" w:hanging="90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3951E75"/>
    <w:multiLevelType w:val="hybridMultilevel"/>
    <w:tmpl w:val="52D8BDF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8" w15:restartNumberingAfterBreak="0">
    <w:nsid w:val="048801E9"/>
    <w:multiLevelType w:val="multilevel"/>
    <w:tmpl w:val="084A60DC"/>
    <w:lvl w:ilvl="0">
      <w:start w:val="1"/>
      <w:numFmt w:val="decimal"/>
      <w:pStyle w:val="Tablelist123"/>
      <w:lvlText w:val="%1."/>
      <w:lvlJc w:val="left"/>
      <w:pPr>
        <w:tabs>
          <w:tab w:val="num" w:pos="357"/>
        </w:tabs>
        <w:ind w:left="357" w:hanging="357"/>
      </w:pPr>
      <w:rPr>
        <w:rFonts w:ascii="Calibri" w:hAnsi="Calibri" w:hint="default"/>
        <w:caps w:val="0"/>
        <w:strike w:val="0"/>
        <w:dstrike w:val="0"/>
        <w:vanish w:val="0"/>
        <w:sz w:val="22"/>
        <w:vertAlign w:val="baseline"/>
      </w:rPr>
    </w:lvl>
    <w:lvl w:ilvl="1">
      <w:start w:val="1"/>
      <w:numFmt w:val="lowerLetter"/>
      <w:pStyle w:val="Tablelist123level2"/>
      <w:lvlText w:val="(%2)"/>
      <w:lvlJc w:val="left"/>
      <w:pPr>
        <w:tabs>
          <w:tab w:val="num" w:pos="714"/>
        </w:tabs>
        <w:ind w:left="714" w:hanging="357"/>
      </w:pPr>
      <w:rPr>
        <w:rFonts w:hint="default"/>
      </w:rPr>
    </w:lvl>
    <w:lvl w:ilvl="2">
      <w:start w:val="1"/>
      <w:numFmt w:val="lowerRoman"/>
      <w:lvlText w:val="(%3)"/>
      <w:lvlJc w:val="left"/>
      <w:pPr>
        <w:tabs>
          <w:tab w:val="num" w:pos="1071"/>
        </w:tabs>
        <w:ind w:left="1071" w:hanging="357"/>
      </w:pPr>
      <w:rPr>
        <w:rFonts w:hint="default"/>
      </w:rPr>
    </w:lvl>
    <w:lvl w:ilvl="3">
      <w:start w:val="1"/>
      <w:numFmt w:val="none"/>
      <w:pStyle w:val="BodyTextTableLevel3"/>
      <w:isLgl/>
      <w:suff w:val="nothing"/>
      <w:lvlText w:val=""/>
      <w:lvlJc w:val="left"/>
      <w:pPr>
        <w:ind w:left="1428" w:hanging="357"/>
      </w:pPr>
      <w:rPr>
        <w:rFonts w:hint="default"/>
      </w:rPr>
    </w:lvl>
    <w:lvl w:ilvl="4">
      <w:start w:val="1"/>
      <w:numFmt w:val="none"/>
      <w:isLgl/>
      <w:lvlText w:val=""/>
      <w:lvlJc w:val="left"/>
      <w:pPr>
        <w:tabs>
          <w:tab w:val="num" w:pos="1785"/>
        </w:tabs>
        <w:ind w:left="1785" w:hanging="357"/>
      </w:pPr>
      <w:rPr>
        <w:rFonts w:hint="default"/>
      </w:rPr>
    </w:lvl>
    <w:lvl w:ilvl="5">
      <w:start w:val="1"/>
      <w:numFmt w:val="none"/>
      <w:isLgl/>
      <w:lvlText w:val=""/>
      <w:lvlJc w:val="left"/>
      <w:pPr>
        <w:tabs>
          <w:tab w:val="num" w:pos="2142"/>
        </w:tabs>
        <w:ind w:left="2142" w:hanging="357"/>
      </w:pPr>
      <w:rPr>
        <w:rFonts w:hint="default"/>
      </w:rPr>
    </w:lvl>
    <w:lvl w:ilvl="6">
      <w:start w:val="1"/>
      <w:numFmt w:val="none"/>
      <w:isLgl/>
      <w:lvlText w:val=""/>
      <w:lvlJc w:val="left"/>
      <w:pPr>
        <w:tabs>
          <w:tab w:val="num" w:pos="2499"/>
        </w:tabs>
        <w:ind w:left="2499" w:hanging="357"/>
      </w:pPr>
      <w:rPr>
        <w:rFonts w:hint="default"/>
      </w:rPr>
    </w:lvl>
    <w:lvl w:ilvl="7">
      <w:start w:val="1"/>
      <w:numFmt w:val="none"/>
      <w:isLgl/>
      <w:lvlText w:val=""/>
      <w:lvlJc w:val="left"/>
      <w:pPr>
        <w:tabs>
          <w:tab w:val="num" w:pos="2856"/>
        </w:tabs>
        <w:ind w:left="2856" w:hanging="357"/>
      </w:pPr>
      <w:rPr>
        <w:rFonts w:hint="default"/>
      </w:rPr>
    </w:lvl>
    <w:lvl w:ilvl="8">
      <w:start w:val="1"/>
      <w:numFmt w:val="none"/>
      <w:isLgl/>
      <w:lvlText w:val=""/>
      <w:lvlJc w:val="left"/>
      <w:pPr>
        <w:tabs>
          <w:tab w:val="num" w:pos="3213"/>
        </w:tabs>
        <w:ind w:left="3213" w:hanging="357"/>
      </w:pPr>
      <w:rPr>
        <w:rFonts w:hint="default"/>
      </w:rPr>
    </w:lvl>
  </w:abstractNum>
  <w:abstractNum w:abstractNumId="9" w15:restartNumberingAfterBreak="0">
    <w:nsid w:val="07207D6C"/>
    <w:multiLevelType w:val="hybridMultilevel"/>
    <w:tmpl w:val="448AB678"/>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start w:val="1"/>
      <w:numFmt w:val="bullet"/>
      <w:lvlText w:val=""/>
      <w:lvlJc w:val="left"/>
      <w:pPr>
        <w:ind w:left="1800" w:hanging="360"/>
      </w:pPr>
      <w:rPr>
        <w:rFonts w:ascii="Wingdings" w:hAnsi="Wingdings" w:hint="default"/>
      </w:rPr>
    </w:lvl>
    <w:lvl w:ilvl="3" w:tplc="14090001">
      <w:start w:val="1"/>
      <w:numFmt w:val="bullet"/>
      <w:lvlText w:val=""/>
      <w:lvlJc w:val="left"/>
      <w:pPr>
        <w:ind w:left="2520" w:hanging="360"/>
      </w:pPr>
      <w:rPr>
        <w:rFonts w:ascii="Symbol" w:hAnsi="Symbol" w:hint="default"/>
      </w:rPr>
    </w:lvl>
    <w:lvl w:ilvl="4" w:tplc="14090003">
      <w:start w:val="1"/>
      <w:numFmt w:val="bullet"/>
      <w:lvlText w:val="o"/>
      <w:lvlJc w:val="left"/>
      <w:pPr>
        <w:ind w:left="3240" w:hanging="360"/>
      </w:pPr>
      <w:rPr>
        <w:rFonts w:ascii="Courier New" w:hAnsi="Courier New" w:cs="Courier New" w:hint="default"/>
      </w:rPr>
    </w:lvl>
    <w:lvl w:ilvl="5" w:tplc="14090005">
      <w:start w:val="1"/>
      <w:numFmt w:val="bullet"/>
      <w:lvlText w:val=""/>
      <w:lvlJc w:val="left"/>
      <w:pPr>
        <w:ind w:left="3960" w:hanging="360"/>
      </w:pPr>
      <w:rPr>
        <w:rFonts w:ascii="Wingdings" w:hAnsi="Wingdings" w:hint="default"/>
      </w:rPr>
    </w:lvl>
    <w:lvl w:ilvl="6" w:tplc="14090001">
      <w:start w:val="1"/>
      <w:numFmt w:val="bullet"/>
      <w:lvlText w:val=""/>
      <w:lvlJc w:val="left"/>
      <w:pPr>
        <w:ind w:left="4680" w:hanging="360"/>
      </w:pPr>
      <w:rPr>
        <w:rFonts w:ascii="Symbol" w:hAnsi="Symbol" w:hint="default"/>
      </w:rPr>
    </w:lvl>
    <w:lvl w:ilvl="7" w:tplc="14090003">
      <w:start w:val="1"/>
      <w:numFmt w:val="bullet"/>
      <w:lvlText w:val="o"/>
      <w:lvlJc w:val="left"/>
      <w:pPr>
        <w:ind w:left="5400" w:hanging="360"/>
      </w:pPr>
      <w:rPr>
        <w:rFonts w:ascii="Courier New" w:hAnsi="Courier New" w:cs="Courier New" w:hint="default"/>
      </w:rPr>
    </w:lvl>
    <w:lvl w:ilvl="8" w:tplc="14090005">
      <w:start w:val="1"/>
      <w:numFmt w:val="bullet"/>
      <w:lvlText w:val=""/>
      <w:lvlJc w:val="left"/>
      <w:pPr>
        <w:ind w:left="6120" w:hanging="360"/>
      </w:pPr>
      <w:rPr>
        <w:rFonts w:ascii="Wingdings" w:hAnsi="Wingdings" w:hint="default"/>
      </w:rPr>
    </w:lvl>
  </w:abstractNum>
  <w:abstractNum w:abstractNumId="10" w15:restartNumberingAfterBreak="0">
    <w:nsid w:val="08915A16"/>
    <w:multiLevelType w:val="multilevel"/>
    <w:tmpl w:val="E83A8BA2"/>
    <w:lvl w:ilvl="0">
      <w:start w:val="1"/>
      <w:numFmt w:val="decimal"/>
      <w:lvlText w:val="%1."/>
      <w:lvlJc w:val="left"/>
      <w:pPr>
        <w:ind w:left="924" w:hanging="357"/>
      </w:pPr>
      <w:rPr>
        <w:rFonts w:hint="default"/>
      </w:rPr>
    </w:lvl>
    <w:lvl w:ilvl="1">
      <w:start w:val="1"/>
      <w:numFmt w:val="lowerLetter"/>
      <w:lvlText w:val="(%2)"/>
      <w:lvlJc w:val="left"/>
      <w:pPr>
        <w:ind w:left="1281" w:hanging="357"/>
      </w:pPr>
      <w:rPr>
        <w:rFonts w:hint="default"/>
      </w:rPr>
    </w:lvl>
    <w:lvl w:ilvl="2">
      <w:start w:val="1"/>
      <w:numFmt w:val="lowerRoman"/>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11" w15:restartNumberingAfterBreak="0">
    <w:nsid w:val="0BB84FFD"/>
    <w:multiLevelType w:val="multilevel"/>
    <w:tmpl w:val="4DC84630"/>
    <w:lvl w:ilvl="0">
      <w:start w:val="1"/>
      <w:numFmt w:val="decimal"/>
      <w:pStyle w:val="Numberedpara11headingwithnumber"/>
      <w:lvlText w:val="%1."/>
      <w:lvlJc w:val="left"/>
      <w:pPr>
        <w:ind w:left="567" w:hanging="567"/>
      </w:pPr>
      <w:rPr>
        <w:rFonts w:cs="Tunga" w:hint="default"/>
      </w:rPr>
    </w:lvl>
    <w:lvl w:ilvl="1">
      <w:start w:val="1"/>
      <w:numFmt w:val="decimal"/>
      <w:pStyle w:val="Numberedpara1level211"/>
      <w:lvlText w:val="%1.%2"/>
      <w:lvlJc w:val="left"/>
      <w:pPr>
        <w:ind w:left="567" w:hanging="567"/>
      </w:pPr>
      <w:rPr>
        <w:rFonts w:cs="Tunga" w:hint="default"/>
      </w:rPr>
    </w:lvl>
    <w:lvl w:ilvl="2">
      <w:start w:val="1"/>
      <w:numFmt w:val="lowerLetter"/>
      <w:pStyle w:val="Numberedpara1level3a"/>
      <w:lvlText w:val="(%3)"/>
      <w:lvlJc w:val="left"/>
      <w:pPr>
        <w:ind w:left="924" w:hanging="357"/>
      </w:pPr>
      <w:rPr>
        <w:rFonts w:cs="Tunga" w:hint="default"/>
      </w:rPr>
    </w:lvl>
    <w:lvl w:ilvl="3">
      <w:start w:val="1"/>
      <w:numFmt w:val="lowerRoman"/>
      <w:pStyle w:val="Numberedpara1level4i"/>
      <w:lvlText w:val="(%4)"/>
      <w:lvlJc w:val="left"/>
      <w:pPr>
        <w:ind w:left="1281" w:hanging="357"/>
      </w:pPr>
      <w:rPr>
        <w:rFonts w:cs="Tunga" w:hint="default"/>
      </w:rPr>
    </w:lvl>
    <w:lvl w:ilvl="4">
      <w:start w:val="1"/>
      <w:numFmt w:val="none"/>
      <w:suff w:val="nothing"/>
      <w:lvlText w:val=""/>
      <w:lvlJc w:val="left"/>
      <w:pPr>
        <w:ind w:left="3544" w:firstLine="0"/>
      </w:pPr>
      <w:rPr>
        <w:rFonts w:cs="Tunga" w:hint="default"/>
      </w:rPr>
    </w:lvl>
    <w:lvl w:ilvl="5">
      <w:start w:val="1"/>
      <w:numFmt w:val="none"/>
      <w:lvlText w:val=""/>
      <w:lvlJc w:val="left"/>
      <w:pPr>
        <w:tabs>
          <w:tab w:val="num" w:pos="1701"/>
        </w:tabs>
        <w:ind w:left="1701" w:firstLine="0"/>
      </w:pPr>
      <w:rPr>
        <w:rFonts w:cs="Tunga" w:hint="default"/>
      </w:rPr>
    </w:lvl>
    <w:lvl w:ilvl="6">
      <w:start w:val="1"/>
      <w:numFmt w:val="none"/>
      <w:lvlText w:val=""/>
      <w:lvlJc w:val="left"/>
      <w:pPr>
        <w:tabs>
          <w:tab w:val="num" w:pos="1701"/>
        </w:tabs>
        <w:ind w:left="1701" w:firstLine="0"/>
      </w:pPr>
      <w:rPr>
        <w:rFonts w:cs="Tunga" w:hint="default"/>
      </w:rPr>
    </w:lvl>
    <w:lvl w:ilvl="7">
      <w:start w:val="1"/>
      <w:numFmt w:val="none"/>
      <w:lvlText w:val=""/>
      <w:lvlJc w:val="left"/>
      <w:pPr>
        <w:tabs>
          <w:tab w:val="num" w:pos="1701"/>
        </w:tabs>
        <w:ind w:left="1701" w:firstLine="0"/>
      </w:pPr>
      <w:rPr>
        <w:rFonts w:cs="Tunga" w:hint="default"/>
      </w:rPr>
    </w:lvl>
    <w:lvl w:ilvl="8">
      <w:start w:val="1"/>
      <w:numFmt w:val="none"/>
      <w:lvlText w:val=""/>
      <w:lvlJc w:val="left"/>
      <w:pPr>
        <w:tabs>
          <w:tab w:val="num" w:pos="1701"/>
        </w:tabs>
        <w:ind w:left="1701" w:firstLine="0"/>
      </w:pPr>
      <w:rPr>
        <w:rFonts w:cs="Tunga" w:hint="default"/>
      </w:rPr>
    </w:lvl>
  </w:abstractNum>
  <w:abstractNum w:abstractNumId="12" w15:restartNumberingAfterBreak="0">
    <w:nsid w:val="16C2F073"/>
    <w:multiLevelType w:val="hybridMultilevel"/>
    <w:tmpl w:val="EA09FAF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1984256C"/>
    <w:multiLevelType w:val="multilevel"/>
    <w:tmpl w:val="0430E66C"/>
    <w:lvl w:ilvl="0">
      <w:start w:val="1"/>
      <w:numFmt w:val="decimal"/>
      <w:pStyle w:val="Headingnumbered1"/>
      <w:lvlText w:val="%1."/>
      <w:lvlJc w:val="left"/>
      <w:pPr>
        <w:tabs>
          <w:tab w:val="num" w:pos="709"/>
        </w:tabs>
        <w:ind w:left="709" w:hanging="709"/>
      </w:pPr>
      <w:rPr>
        <w:rFonts w:cs="Gill Sans MT" w:hint="default"/>
      </w:rPr>
    </w:lvl>
    <w:lvl w:ilvl="1">
      <w:start w:val="1"/>
      <w:numFmt w:val="decimal"/>
      <w:pStyle w:val="Headingnumbered2"/>
      <w:lvlText w:val="%1.%2"/>
      <w:lvlJc w:val="left"/>
      <w:pPr>
        <w:tabs>
          <w:tab w:val="num" w:pos="709"/>
        </w:tabs>
        <w:ind w:left="709" w:hanging="709"/>
      </w:pPr>
      <w:rPr>
        <w:rFonts w:cs="Gill Sans MT" w:hint="default"/>
      </w:rPr>
    </w:lvl>
    <w:lvl w:ilvl="2">
      <w:start w:val="1"/>
      <w:numFmt w:val="decimal"/>
      <w:pStyle w:val="Headingnumbered3"/>
      <w:lvlText w:val="%3.%2.%1"/>
      <w:lvlJc w:val="left"/>
      <w:pPr>
        <w:tabs>
          <w:tab w:val="num" w:pos="709"/>
        </w:tabs>
        <w:ind w:left="709" w:hanging="709"/>
      </w:pPr>
      <w:rPr>
        <w:rFonts w:cs="Gill Sans MT" w:hint="default"/>
      </w:rPr>
    </w:lvl>
    <w:lvl w:ilvl="3">
      <w:start w:val="1"/>
      <w:numFmt w:val="none"/>
      <w:pStyle w:val="Headingnumbered4"/>
      <w:lvlText w:val="%4"/>
      <w:lvlJc w:val="left"/>
      <w:pPr>
        <w:tabs>
          <w:tab w:val="num" w:pos="0"/>
        </w:tabs>
        <w:ind w:left="0" w:firstLine="0"/>
      </w:pPr>
      <w:rPr>
        <w:rFonts w:ascii="Calibri" w:hAnsi="Calibri" w:cs="Gill Sans MT" w:hint="default"/>
        <w:b/>
        <w:i/>
        <w:caps w:val="0"/>
        <w:strike w:val="0"/>
        <w:dstrike w:val="0"/>
        <w:vanish w:val="0"/>
        <w:color w:val="1F546B" w:themeColor="text2"/>
        <w:sz w:val="24"/>
        <w:vertAlign w:val="baseline"/>
      </w:rPr>
    </w:lvl>
    <w:lvl w:ilvl="4">
      <w:start w:val="1"/>
      <w:numFmt w:val="none"/>
      <w:pStyle w:val="BodyTextIndentLevel3"/>
      <w:suff w:val="nothing"/>
      <w:lvlText w:val=""/>
      <w:lvlJc w:val="left"/>
      <w:pPr>
        <w:ind w:left="1843" w:firstLine="0"/>
      </w:pPr>
      <w:rPr>
        <w:rFonts w:cs="Gill Sans MT" w:hint="default"/>
      </w:rPr>
    </w:lvl>
    <w:lvl w:ilvl="5">
      <w:start w:val="1"/>
      <w:numFmt w:val="none"/>
      <w:lvlText w:val=""/>
      <w:lvlJc w:val="left"/>
      <w:pPr>
        <w:tabs>
          <w:tab w:val="num" w:pos="0"/>
        </w:tabs>
        <w:ind w:left="0" w:firstLine="0"/>
      </w:pPr>
      <w:rPr>
        <w:rFonts w:cs="Gill Sans MT" w:hint="default"/>
      </w:rPr>
    </w:lvl>
    <w:lvl w:ilvl="6">
      <w:start w:val="1"/>
      <w:numFmt w:val="none"/>
      <w:lvlText w:val=""/>
      <w:lvlJc w:val="left"/>
      <w:pPr>
        <w:tabs>
          <w:tab w:val="num" w:pos="0"/>
        </w:tabs>
        <w:ind w:left="0" w:firstLine="0"/>
      </w:pPr>
      <w:rPr>
        <w:rFonts w:cs="Gill Sans MT" w:hint="default"/>
      </w:rPr>
    </w:lvl>
    <w:lvl w:ilvl="7">
      <w:start w:val="1"/>
      <w:numFmt w:val="none"/>
      <w:lvlText w:val=""/>
      <w:lvlJc w:val="left"/>
      <w:pPr>
        <w:tabs>
          <w:tab w:val="num" w:pos="0"/>
        </w:tabs>
        <w:ind w:left="0" w:firstLine="0"/>
      </w:pPr>
      <w:rPr>
        <w:rFonts w:cs="Gill Sans MT" w:hint="default"/>
      </w:rPr>
    </w:lvl>
    <w:lvl w:ilvl="8">
      <w:start w:val="1"/>
      <w:numFmt w:val="none"/>
      <w:lvlText w:val=""/>
      <w:lvlJc w:val="left"/>
      <w:pPr>
        <w:tabs>
          <w:tab w:val="num" w:pos="0"/>
        </w:tabs>
        <w:ind w:left="0" w:firstLine="0"/>
      </w:pPr>
      <w:rPr>
        <w:rFonts w:cs="Gill Sans MT" w:hint="default"/>
      </w:rPr>
    </w:lvl>
  </w:abstractNum>
  <w:abstractNum w:abstractNumId="14" w15:restartNumberingAfterBreak="0">
    <w:nsid w:val="1A2245FD"/>
    <w:multiLevelType w:val="hybridMultilevel"/>
    <w:tmpl w:val="6646EB8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5" w15:restartNumberingAfterBreak="0">
    <w:nsid w:val="1F750BD7"/>
    <w:multiLevelType w:val="hybridMultilevel"/>
    <w:tmpl w:val="BE1EF45A"/>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2DDA45AB"/>
    <w:multiLevelType w:val="hybridMultilevel"/>
    <w:tmpl w:val="004A549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368F5832"/>
    <w:multiLevelType w:val="multilevel"/>
    <w:tmpl w:val="30B88CC8"/>
    <w:lvl w:ilvl="0">
      <w:start w:val="1"/>
      <w:numFmt w:val="upperLetter"/>
      <w:pStyle w:val="Headingappendix"/>
      <w:suff w:val="space"/>
      <w:lvlText w:val="Appendix %1:"/>
      <w:lvlJc w:val="left"/>
      <w:pPr>
        <w:ind w:left="0" w:firstLine="0"/>
      </w:pPr>
      <w:rPr>
        <w:rFonts w:hint="default"/>
        <w:color w:val="1F546B"/>
        <w:szCs w:val="20"/>
      </w:rPr>
    </w:lvl>
    <w:lvl w:ilvl="1">
      <w:start w:val="1"/>
      <w:numFmt w:val="none"/>
      <w:lvlText w:val=""/>
      <w:lvlJc w:val="left"/>
      <w:pPr>
        <w:tabs>
          <w:tab w:val="num" w:pos="0"/>
        </w:tabs>
        <w:ind w:left="0" w:firstLine="0"/>
      </w:pPr>
      <w:rPr>
        <w:rFonts w:hint="default"/>
        <w:szCs w:val="20"/>
      </w:rPr>
    </w:lvl>
    <w:lvl w:ilvl="2">
      <w:start w:val="1"/>
      <w:numFmt w:val="none"/>
      <w:lvlText w:val=""/>
      <w:lvlJc w:val="left"/>
      <w:pPr>
        <w:tabs>
          <w:tab w:val="num" w:pos="0"/>
        </w:tabs>
        <w:ind w:left="0" w:firstLine="0"/>
      </w:pPr>
      <w:rPr>
        <w:rFonts w:hint="default"/>
        <w:szCs w:val="20"/>
      </w:rPr>
    </w:lvl>
    <w:lvl w:ilvl="3">
      <w:start w:val="1"/>
      <w:numFmt w:val="none"/>
      <w:lvlText w:val=""/>
      <w:lvlJc w:val="left"/>
      <w:pPr>
        <w:tabs>
          <w:tab w:val="num" w:pos="0"/>
        </w:tabs>
        <w:ind w:left="0" w:firstLine="0"/>
      </w:pPr>
      <w:rPr>
        <w:rFonts w:hint="default"/>
        <w:szCs w:val="20"/>
      </w:rPr>
    </w:lvl>
    <w:lvl w:ilvl="4">
      <w:start w:val="1"/>
      <w:numFmt w:val="none"/>
      <w:lvlText w:val=""/>
      <w:lvlJc w:val="left"/>
      <w:pPr>
        <w:tabs>
          <w:tab w:val="num" w:pos="0"/>
        </w:tabs>
        <w:ind w:left="0" w:firstLine="0"/>
      </w:pPr>
      <w:rPr>
        <w:rFonts w:hint="default"/>
        <w:szCs w:val="20"/>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8" w15:restartNumberingAfterBreak="0">
    <w:nsid w:val="374F1B62"/>
    <w:multiLevelType w:val="multilevel"/>
    <w:tmpl w:val="48543978"/>
    <w:lvl w:ilvl="0">
      <w:start w:val="1"/>
      <w:numFmt w:val="decimal"/>
      <w:pStyle w:val="Numberedpara2level1"/>
      <w:lvlText w:val="%1."/>
      <w:lvlJc w:val="left"/>
      <w:pPr>
        <w:tabs>
          <w:tab w:val="num" w:pos="567"/>
        </w:tabs>
        <w:ind w:left="567" w:hanging="567"/>
      </w:pPr>
      <w:rPr>
        <w:rFonts w:hint="default"/>
      </w:rPr>
    </w:lvl>
    <w:lvl w:ilvl="1">
      <w:start w:val="1"/>
      <w:numFmt w:val="lowerLetter"/>
      <w:pStyle w:val="Numberedpara2level2a"/>
      <w:lvlText w:val="%2)"/>
      <w:lvlJc w:val="left"/>
      <w:pPr>
        <w:ind w:left="924" w:hanging="357"/>
      </w:pPr>
      <w:rPr>
        <w:rFonts w:hint="default"/>
      </w:rPr>
    </w:lvl>
    <w:lvl w:ilvl="2">
      <w:start w:val="1"/>
      <w:numFmt w:val="lowerRoman"/>
      <w:pStyle w:val="Numberedpara2level3i"/>
      <w:lvlText w:val="%3)"/>
      <w:lvlJc w:val="left"/>
      <w:pPr>
        <w:ind w:left="1298" w:hanging="37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C7A5AA8"/>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0" w15:restartNumberingAfterBreak="0">
    <w:nsid w:val="3D6E55C0"/>
    <w:multiLevelType w:val="hybridMultilevel"/>
    <w:tmpl w:val="4E043E6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380" w:hanging="360"/>
      </w:pPr>
      <w:rPr>
        <w:rFonts w:ascii="Courier New" w:hAnsi="Courier New" w:cs="Courier New" w:hint="default"/>
      </w:rPr>
    </w:lvl>
    <w:lvl w:ilvl="2" w:tplc="14090005" w:tentative="1">
      <w:start w:val="1"/>
      <w:numFmt w:val="bullet"/>
      <w:lvlText w:val=""/>
      <w:lvlJc w:val="left"/>
      <w:pPr>
        <w:ind w:left="2100" w:hanging="360"/>
      </w:pPr>
      <w:rPr>
        <w:rFonts w:ascii="Wingdings" w:hAnsi="Wingdings" w:hint="default"/>
      </w:rPr>
    </w:lvl>
    <w:lvl w:ilvl="3" w:tplc="14090001" w:tentative="1">
      <w:start w:val="1"/>
      <w:numFmt w:val="bullet"/>
      <w:lvlText w:val=""/>
      <w:lvlJc w:val="left"/>
      <w:pPr>
        <w:ind w:left="2820" w:hanging="360"/>
      </w:pPr>
      <w:rPr>
        <w:rFonts w:ascii="Symbol" w:hAnsi="Symbol" w:hint="default"/>
      </w:rPr>
    </w:lvl>
    <w:lvl w:ilvl="4" w:tplc="14090003" w:tentative="1">
      <w:start w:val="1"/>
      <w:numFmt w:val="bullet"/>
      <w:lvlText w:val="o"/>
      <w:lvlJc w:val="left"/>
      <w:pPr>
        <w:ind w:left="3540" w:hanging="360"/>
      </w:pPr>
      <w:rPr>
        <w:rFonts w:ascii="Courier New" w:hAnsi="Courier New" w:cs="Courier New" w:hint="default"/>
      </w:rPr>
    </w:lvl>
    <w:lvl w:ilvl="5" w:tplc="14090005" w:tentative="1">
      <w:start w:val="1"/>
      <w:numFmt w:val="bullet"/>
      <w:lvlText w:val=""/>
      <w:lvlJc w:val="left"/>
      <w:pPr>
        <w:ind w:left="4260" w:hanging="360"/>
      </w:pPr>
      <w:rPr>
        <w:rFonts w:ascii="Wingdings" w:hAnsi="Wingdings" w:hint="default"/>
      </w:rPr>
    </w:lvl>
    <w:lvl w:ilvl="6" w:tplc="14090001" w:tentative="1">
      <w:start w:val="1"/>
      <w:numFmt w:val="bullet"/>
      <w:lvlText w:val=""/>
      <w:lvlJc w:val="left"/>
      <w:pPr>
        <w:ind w:left="4980" w:hanging="360"/>
      </w:pPr>
      <w:rPr>
        <w:rFonts w:ascii="Symbol" w:hAnsi="Symbol" w:hint="default"/>
      </w:rPr>
    </w:lvl>
    <w:lvl w:ilvl="7" w:tplc="14090003" w:tentative="1">
      <w:start w:val="1"/>
      <w:numFmt w:val="bullet"/>
      <w:lvlText w:val="o"/>
      <w:lvlJc w:val="left"/>
      <w:pPr>
        <w:ind w:left="5700" w:hanging="360"/>
      </w:pPr>
      <w:rPr>
        <w:rFonts w:ascii="Courier New" w:hAnsi="Courier New" w:cs="Courier New" w:hint="default"/>
      </w:rPr>
    </w:lvl>
    <w:lvl w:ilvl="8" w:tplc="14090005" w:tentative="1">
      <w:start w:val="1"/>
      <w:numFmt w:val="bullet"/>
      <w:lvlText w:val=""/>
      <w:lvlJc w:val="left"/>
      <w:pPr>
        <w:ind w:left="6420" w:hanging="360"/>
      </w:pPr>
      <w:rPr>
        <w:rFonts w:ascii="Wingdings" w:hAnsi="Wingdings" w:hint="default"/>
      </w:rPr>
    </w:lvl>
  </w:abstractNum>
  <w:abstractNum w:abstractNumId="21" w15:restartNumberingAfterBreak="0">
    <w:nsid w:val="3E2B279D"/>
    <w:multiLevelType w:val="multilevel"/>
    <w:tmpl w:val="CD9EA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9185E3F"/>
    <w:multiLevelType w:val="multilevel"/>
    <w:tmpl w:val="8FEE1D12"/>
    <w:lvl w:ilvl="0">
      <w:start w:val="1"/>
      <w:numFmt w:val="decimal"/>
      <w:pStyle w:val="Legislationsection"/>
      <w:lvlText w:val="%1"/>
      <w:lvlJc w:val="left"/>
      <w:pPr>
        <w:ind w:left="567" w:hanging="567"/>
      </w:pPr>
      <w:rPr>
        <w:rFonts w:hint="default"/>
        <w:b/>
        <w:i w:val="0"/>
      </w:rPr>
    </w:lvl>
    <w:lvl w:ilvl="1">
      <w:start w:val="1"/>
      <w:numFmt w:val="decimal"/>
      <w:pStyle w:val="Legislationnumber"/>
      <w:lvlText w:val="(%2)"/>
      <w:lvlJc w:val="left"/>
      <w:pPr>
        <w:ind w:left="567" w:hanging="567"/>
      </w:pPr>
      <w:rPr>
        <w:rFonts w:hint="default"/>
      </w:rPr>
    </w:lvl>
    <w:lvl w:ilvl="2">
      <w:start w:val="1"/>
      <w:numFmt w:val="lowerLetter"/>
      <w:pStyle w:val="Legislationa"/>
      <w:lvlText w:val="(%3)"/>
      <w:lvlJc w:val="left"/>
      <w:pPr>
        <w:ind w:left="1134" w:hanging="567"/>
      </w:pPr>
      <w:rPr>
        <w:rFonts w:hint="default"/>
      </w:rPr>
    </w:lvl>
    <w:lvl w:ilvl="3">
      <w:start w:val="1"/>
      <w:numFmt w:val="lowerRoman"/>
      <w:pStyle w:val="Legislationi"/>
      <w:lvlText w:val="(%4)"/>
      <w:lvlJc w:val="left"/>
      <w:pPr>
        <w:ind w:left="1701"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4B194551"/>
    <w:multiLevelType w:val="hybridMultilevel"/>
    <w:tmpl w:val="F6CC91E4"/>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4" w15:restartNumberingAfterBreak="0">
    <w:nsid w:val="54C30E71"/>
    <w:multiLevelType w:val="hybridMultilevel"/>
    <w:tmpl w:val="7696CFAC"/>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5" w15:restartNumberingAfterBreak="0">
    <w:nsid w:val="58D47783"/>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5EB64413"/>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7" w15:restartNumberingAfterBreak="0">
    <w:nsid w:val="5FD40A31"/>
    <w:multiLevelType w:val="multilevel"/>
    <w:tmpl w:val="80BAD1D0"/>
    <w:lvl w:ilvl="0">
      <w:start w:val="1"/>
      <w:numFmt w:val="bullet"/>
      <w:pStyle w:val="Bullet"/>
      <w:lvlText w:val=""/>
      <w:lvlJc w:val="left"/>
      <w:pPr>
        <w:ind w:left="927" w:hanging="360"/>
      </w:pPr>
      <w:rPr>
        <w:rFonts w:ascii="Symbol" w:hAnsi="Symbol" w:hint="default"/>
        <w:sz w:val="20"/>
      </w:rPr>
    </w:lvl>
    <w:lvl w:ilvl="1">
      <w:start w:val="1"/>
      <w:numFmt w:val="bullet"/>
      <w:pStyle w:val="Bulletlevel2"/>
      <w:lvlText w:val="○"/>
      <w:lvlJc w:val="left"/>
      <w:pPr>
        <w:ind w:left="1281" w:hanging="357"/>
      </w:pPr>
      <w:rPr>
        <w:rFonts w:ascii="Courier New" w:hAnsi="Courier New" w:hint="default"/>
        <w:b/>
        <w:i w:val="0"/>
        <w:sz w:val="18"/>
      </w:rPr>
    </w:lvl>
    <w:lvl w:ilvl="2">
      <w:start w:val="1"/>
      <w:numFmt w:val="bullet"/>
      <w:pStyle w:val="Bulletlevel3"/>
      <w:lvlText w:val="-"/>
      <w:lvlJc w:val="left"/>
      <w:pPr>
        <w:ind w:left="1639" w:hanging="358"/>
      </w:pPr>
      <w:rPr>
        <w:rFonts w:ascii="Calibri" w:hAnsi="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28" w15:restartNumberingAfterBreak="0">
    <w:nsid w:val="6629776D"/>
    <w:multiLevelType w:val="hybridMultilevel"/>
    <w:tmpl w:val="355A3AAE"/>
    <w:lvl w:ilvl="0" w:tplc="FB2C7B5A">
      <w:start w:val="1"/>
      <w:numFmt w:val="decimal"/>
      <w:lvlText w:val="(%1)"/>
      <w:lvlJc w:val="left"/>
      <w:pPr>
        <w:ind w:left="360" w:hanging="360"/>
      </w:pPr>
      <w:rPr>
        <w:rFonts w:hint="default"/>
        <w:b w:val="0"/>
        <w:i w:val="0"/>
      </w:r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29" w15:restartNumberingAfterBreak="0">
    <w:nsid w:val="67532733"/>
    <w:multiLevelType w:val="multilevel"/>
    <w:tmpl w:val="D400BCB2"/>
    <w:lvl w:ilvl="0">
      <w:start w:val="1"/>
      <w:numFmt w:val="bullet"/>
      <w:pStyle w:val="Tablebullet"/>
      <w:lvlText w:val=""/>
      <w:lvlJc w:val="left"/>
      <w:pPr>
        <w:ind w:left="357" w:hanging="357"/>
      </w:pPr>
      <w:rPr>
        <w:rFonts w:ascii="Symbol" w:hAnsi="Symbol" w:hint="default"/>
        <w:sz w:val="18"/>
      </w:rPr>
    </w:lvl>
    <w:lvl w:ilvl="1">
      <w:start w:val="1"/>
      <w:numFmt w:val="bullet"/>
      <w:pStyle w:val="Tablebulletlevel2"/>
      <w:lvlText w:val="○"/>
      <w:lvlJc w:val="left"/>
      <w:pPr>
        <w:ind w:left="714" w:hanging="357"/>
      </w:pPr>
      <w:rPr>
        <w:rFonts w:ascii="Courier New" w:hAnsi="Courier New" w:hint="default"/>
        <w:b w:val="0"/>
        <w:i w:val="0"/>
        <w:caps w:val="0"/>
        <w:strike w:val="0"/>
        <w:dstrike w:val="0"/>
        <w:vanish w:val="0"/>
        <w:sz w:val="16"/>
        <w:vertAlign w:val="baseline"/>
      </w:rPr>
    </w:lvl>
    <w:lvl w:ilvl="2">
      <w:start w:val="1"/>
      <w:numFmt w:val="bullet"/>
      <w:lvlRestart w:val="0"/>
      <w:pStyle w:val="TableBulletListLevel3"/>
      <w:lvlText w:val="-"/>
      <w:lvlJc w:val="left"/>
      <w:pPr>
        <w:tabs>
          <w:tab w:val="num" w:pos="1106"/>
        </w:tabs>
        <w:ind w:left="1071" w:firstLine="210"/>
      </w:pPr>
      <w:rPr>
        <w:rFonts w:ascii="Arial" w:hAnsi="Arial" w:hint="default"/>
      </w:rPr>
    </w:lvl>
    <w:lvl w:ilvl="3">
      <w:start w:val="1"/>
      <w:numFmt w:val="none"/>
      <w:lvlRestart w:val="0"/>
      <w:suff w:val="nothing"/>
      <w:lvlText w:val=""/>
      <w:lvlJc w:val="left"/>
      <w:pPr>
        <w:ind w:left="1428" w:firstLine="210"/>
      </w:pPr>
      <w:rPr>
        <w:rFonts w:hint="default"/>
      </w:rPr>
    </w:lvl>
    <w:lvl w:ilvl="4">
      <w:start w:val="1"/>
      <w:numFmt w:val="none"/>
      <w:lvlRestart w:val="0"/>
      <w:lvlText w:val=""/>
      <w:lvlJc w:val="left"/>
      <w:pPr>
        <w:tabs>
          <w:tab w:val="num" w:pos="851"/>
        </w:tabs>
        <w:ind w:left="1785" w:firstLine="210"/>
      </w:pPr>
      <w:rPr>
        <w:rFonts w:hint="default"/>
      </w:rPr>
    </w:lvl>
    <w:lvl w:ilvl="5">
      <w:start w:val="1"/>
      <w:numFmt w:val="none"/>
      <w:lvlRestart w:val="0"/>
      <w:lvlText w:val=""/>
      <w:lvlJc w:val="left"/>
      <w:pPr>
        <w:tabs>
          <w:tab w:val="num" w:pos="851"/>
        </w:tabs>
        <w:ind w:left="2142" w:firstLine="210"/>
      </w:pPr>
      <w:rPr>
        <w:rFonts w:hint="default"/>
      </w:rPr>
    </w:lvl>
    <w:lvl w:ilvl="6">
      <w:start w:val="1"/>
      <w:numFmt w:val="none"/>
      <w:lvlRestart w:val="0"/>
      <w:lvlText w:val=""/>
      <w:lvlJc w:val="left"/>
      <w:pPr>
        <w:tabs>
          <w:tab w:val="num" w:pos="851"/>
        </w:tabs>
        <w:ind w:left="2499" w:firstLine="210"/>
      </w:pPr>
      <w:rPr>
        <w:rFonts w:hint="default"/>
      </w:rPr>
    </w:lvl>
    <w:lvl w:ilvl="7">
      <w:start w:val="1"/>
      <w:numFmt w:val="none"/>
      <w:lvlRestart w:val="0"/>
      <w:lvlText w:val=""/>
      <w:lvlJc w:val="left"/>
      <w:pPr>
        <w:tabs>
          <w:tab w:val="num" w:pos="851"/>
        </w:tabs>
        <w:ind w:left="2856" w:firstLine="210"/>
      </w:pPr>
      <w:rPr>
        <w:rFonts w:hint="default"/>
      </w:rPr>
    </w:lvl>
    <w:lvl w:ilvl="8">
      <w:start w:val="1"/>
      <w:numFmt w:val="none"/>
      <w:lvlRestart w:val="0"/>
      <w:lvlText w:val=""/>
      <w:lvlJc w:val="left"/>
      <w:pPr>
        <w:tabs>
          <w:tab w:val="num" w:pos="851"/>
        </w:tabs>
        <w:ind w:left="3213" w:firstLine="210"/>
      </w:pPr>
      <w:rPr>
        <w:rFonts w:hint="default"/>
      </w:rPr>
    </w:lvl>
  </w:abstractNum>
  <w:abstractNum w:abstractNumId="30" w15:restartNumberingAfterBreak="0">
    <w:nsid w:val="6B2A7B0B"/>
    <w:multiLevelType w:val="multilevel"/>
    <w:tmpl w:val="E83A8BA2"/>
    <w:lvl w:ilvl="0">
      <w:start w:val="1"/>
      <w:numFmt w:val="decimal"/>
      <w:pStyle w:val="List123"/>
      <w:lvlText w:val="%1."/>
      <w:lvlJc w:val="left"/>
      <w:pPr>
        <w:ind w:left="924" w:hanging="357"/>
      </w:pPr>
      <w:rPr>
        <w:rFonts w:hint="default"/>
      </w:rPr>
    </w:lvl>
    <w:lvl w:ilvl="1">
      <w:start w:val="1"/>
      <w:numFmt w:val="lowerLetter"/>
      <w:pStyle w:val="List123level2"/>
      <w:lvlText w:val="(%2)"/>
      <w:lvlJc w:val="left"/>
      <w:pPr>
        <w:ind w:left="1281" w:hanging="357"/>
      </w:pPr>
      <w:rPr>
        <w:rFonts w:hint="default"/>
      </w:rPr>
    </w:lvl>
    <w:lvl w:ilvl="2">
      <w:start w:val="1"/>
      <w:numFmt w:val="lowerRoman"/>
      <w:pStyle w:val="List123level3"/>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31" w15:restartNumberingAfterBreak="0">
    <w:nsid w:val="6DE824E7"/>
    <w:multiLevelType w:val="multilevel"/>
    <w:tmpl w:val="0380C358"/>
    <w:lvl w:ilvl="0">
      <w:numFmt w:val="none"/>
      <w:pStyle w:val="BodyTextTableLevel1"/>
      <w:suff w:val="nothing"/>
      <w:lvlText w:val=""/>
      <w:lvlJc w:val="left"/>
      <w:pPr>
        <w:ind w:left="425" w:firstLine="0"/>
      </w:pPr>
      <w:rPr>
        <w:rFonts w:hint="default"/>
      </w:rPr>
    </w:lvl>
    <w:lvl w:ilvl="1">
      <w:start w:val="1"/>
      <w:numFmt w:val="none"/>
      <w:pStyle w:val="BodyTextTableLevel2"/>
      <w:suff w:val="nothing"/>
      <w:lvlText w:val="%2%1"/>
      <w:lvlJc w:val="left"/>
      <w:pPr>
        <w:ind w:left="709" w:firstLine="0"/>
      </w:pPr>
      <w:rPr>
        <w:rFonts w:hint="default"/>
      </w:rPr>
    </w:lvl>
    <w:lvl w:ilvl="2">
      <w:start w:val="1"/>
      <w:numFmt w:val="none"/>
      <w:suff w:val="nothing"/>
      <w:lvlText w:val="%3%1"/>
      <w:lvlJc w:val="left"/>
      <w:pPr>
        <w:ind w:left="1134" w:firstLine="0"/>
      </w:pPr>
      <w:rPr>
        <w:rFonts w:hint="default"/>
      </w:rPr>
    </w:lvl>
    <w:lvl w:ilvl="3">
      <w:start w:val="1"/>
      <w:numFmt w:val="none"/>
      <w:isLgl/>
      <w:lvlText w:val=""/>
      <w:lvlJc w:val="left"/>
      <w:pPr>
        <w:tabs>
          <w:tab w:val="num" w:pos="0"/>
        </w:tabs>
        <w:ind w:left="0" w:firstLine="0"/>
      </w:pPr>
      <w:rPr>
        <w:rFonts w:hint="default"/>
      </w:rPr>
    </w:lvl>
    <w:lvl w:ilvl="4">
      <w:start w:val="1"/>
      <w:numFmt w:val="none"/>
      <w:isLgl/>
      <w:lvlText w:val=""/>
      <w:lvlJc w:val="left"/>
      <w:pPr>
        <w:tabs>
          <w:tab w:val="num" w:pos="0"/>
        </w:tabs>
        <w:ind w:left="0" w:firstLine="0"/>
      </w:pPr>
      <w:rPr>
        <w:rFonts w:hint="default"/>
      </w:rPr>
    </w:lvl>
    <w:lvl w:ilvl="5">
      <w:start w:val="1"/>
      <w:numFmt w:val="none"/>
      <w:isLgl/>
      <w:lvlText w:val=""/>
      <w:lvlJc w:val="left"/>
      <w:pPr>
        <w:tabs>
          <w:tab w:val="num" w:pos="0"/>
        </w:tabs>
        <w:ind w:left="0" w:firstLine="0"/>
      </w:pPr>
      <w:rPr>
        <w:rFonts w:hint="default"/>
      </w:rPr>
    </w:lvl>
    <w:lvl w:ilvl="6">
      <w:start w:val="1"/>
      <w:numFmt w:val="none"/>
      <w:isLgl/>
      <w:lvlText w:val=""/>
      <w:lvlJc w:val="left"/>
      <w:pPr>
        <w:tabs>
          <w:tab w:val="num" w:pos="0"/>
        </w:tabs>
        <w:ind w:left="0" w:firstLine="0"/>
      </w:pPr>
      <w:rPr>
        <w:rFonts w:hint="default"/>
      </w:rPr>
    </w:lvl>
    <w:lvl w:ilvl="7">
      <w:start w:val="1"/>
      <w:numFmt w:val="none"/>
      <w:isLgl/>
      <w:lvlText w:val=""/>
      <w:lvlJc w:val="left"/>
      <w:pPr>
        <w:tabs>
          <w:tab w:val="num" w:pos="0"/>
        </w:tabs>
        <w:ind w:left="0" w:firstLine="0"/>
      </w:pPr>
      <w:rPr>
        <w:rFonts w:hint="default"/>
      </w:rPr>
    </w:lvl>
    <w:lvl w:ilvl="8">
      <w:start w:val="1"/>
      <w:numFmt w:val="none"/>
      <w:isLgl/>
      <w:lvlText w:val=""/>
      <w:lvlJc w:val="left"/>
      <w:pPr>
        <w:tabs>
          <w:tab w:val="num" w:pos="0"/>
        </w:tabs>
        <w:ind w:left="0" w:firstLine="0"/>
      </w:pPr>
      <w:rPr>
        <w:rFonts w:hint="default"/>
      </w:rPr>
    </w:lvl>
  </w:abstractNum>
  <w:abstractNum w:abstractNumId="32" w15:restartNumberingAfterBreak="0">
    <w:nsid w:val="70AD7F0B"/>
    <w:multiLevelType w:val="hybridMultilevel"/>
    <w:tmpl w:val="3C6EA01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3" w15:restartNumberingAfterBreak="0">
    <w:nsid w:val="76585497"/>
    <w:multiLevelType w:val="multilevel"/>
    <w:tmpl w:val="54B65A0C"/>
    <w:lvl w:ilvl="0">
      <w:start w:val="1"/>
      <w:numFmt w:val="upperLetter"/>
      <w:pStyle w:val="ListABC"/>
      <w:lvlText w:val="%1."/>
      <w:lvlJc w:val="left"/>
      <w:pPr>
        <w:ind w:left="924" w:hanging="357"/>
      </w:pPr>
      <w:rPr>
        <w:rFonts w:hint="default"/>
        <w:caps w:val="0"/>
        <w:strike w:val="0"/>
        <w:dstrike w:val="0"/>
        <w:vanish w:val="0"/>
        <w:sz w:val="24"/>
        <w:vertAlign w:val="baseline"/>
      </w:rPr>
    </w:lvl>
    <w:lvl w:ilvl="1">
      <w:start w:val="1"/>
      <w:numFmt w:val="lowerLetter"/>
      <w:pStyle w:val="ListABClevel2"/>
      <w:lvlText w:val="(%2)"/>
      <w:lvlJc w:val="left"/>
      <w:pPr>
        <w:ind w:left="1281" w:hanging="357"/>
      </w:pPr>
      <w:rPr>
        <w:rFonts w:hint="default"/>
      </w:rPr>
    </w:lvl>
    <w:lvl w:ilvl="2">
      <w:start w:val="1"/>
      <w:numFmt w:val="lowerRoman"/>
      <w:pStyle w:val="ListABClevel3"/>
      <w:lvlText w:val="(%3)"/>
      <w:lvlJc w:val="left"/>
      <w:pPr>
        <w:ind w:left="1638" w:hanging="357"/>
      </w:pPr>
      <w:rPr>
        <w:rFonts w:hint="default"/>
      </w:rPr>
    </w:lvl>
    <w:lvl w:ilvl="3">
      <w:start w:val="1"/>
      <w:numFmt w:val="none"/>
      <w:isLgl/>
      <w:suff w:val="nothing"/>
      <w:lvlText w:val=""/>
      <w:lvlJc w:val="left"/>
      <w:pPr>
        <w:ind w:left="1995" w:hanging="357"/>
      </w:pPr>
      <w:rPr>
        <w:rFonts w:hint="default"/>
      </w:rPr>
    </w:lvl>
    <w:lvl w:ilvl="4">
      <w:start w:val="1"/>
      <w:numFmt w:val="none"/>
      <w:isLgl/>
      <w:lvlText w:val=""/>
      <w:lvlJc w:val="left"/>
      <w:pPr>
        <w:tabs>
          <w:tab w:val="num" w:pos="1995"/>
        </w:tabs>
        <w:ind w:left="2352" w:hanging="357"/>
      </w:pPr>
      <w:rPr>
        <w:rFonts w:hint="default"/>
      </w:rPr>
    </w:lvl>
    <w:lvl w:ilvl="5">
      <w:start w:val="1"/>
      <w:numFmt w:val="none"/>
      <w:isLgl/>
      <w:lvlText w:val=""/>
      <w:lvlJc w:val="left"/>
      <w:pPr>
        <w:tabs>
          <w:tab w:val="num" w:pos="2352"/>
        </w:tabs>
        <w:ind w:left="2709" w:hanging="357"/>
      </w:pPr>
      <w:rPr>
        <w:rFonts w:hint="default"/>
      </w:rPr>
    </w:lvl>
    <w:lvl w:ilvl="6">
      <w:start w:val="1"/>
      <w:numFmt w:val="none"/>
      <w:isLgl/>
      <w:lvlText w:val=""/>
      <w:lvlJc w:val="left"/>
      <w:pPr>
        <w:tabs>
          <w:tab w:val="num" w:pos="2709"/>
        </w:tabs>
        <w:ind w:left="3066" w:hanging="357"/>
      </w:pPr>
      <w:rPr>
        <w:rFonts w:hint="default"/>
      </w:rPr>
    </w:lvl>
    <w:lvl w:ilvl="7">
      <w:start w:val="1"/>
      <w:numFmt w:val="none"/>
      <w:isLgl/>
      <w:lvlText w:val=""/>
      <w:lvlJc w:val="left"/>
      <w:pPr>
        <w:tabs>
          <w:tab w:val="num" w:pos="3066"/>
        </w:tabs>
        <w:ind w:left="3423" w:hanging="357"/>
      </w:pPr>
      <w:rPr>
        <w:rFonts w:hint="default"/>
      </w:rPr>
    </w:lvl>
    <w:lvl w:ilvl="8">
      <w:start w:val="1"/>
      <w:numFmt w:val="none"/>
      <w:isLgl/>
      <w:lvlText w:val=""/>
      <w:lvlJc w:val="left"/>
      <w:pPr>
        <w:tabs>
          <w:tab w:val="num" w:pos="3423"/>
        </w:tabs>
        <w:ind w:left="3780" w:hanging="357"/>
      </w:pPr>
      <w:rPr>
        <w:rFonts w:hint="default"/>
      </w:rPr>
    </w:lvl>
  </w:abstractNum>
  <w:abstractNum w:abstractNumId="34" w15:restartNumberingAfterBreak="0">
    <w:nsid w:val="7EFB262D"/>
    <w:multiLevelType w:val="hybridMultilevel"/>
    <w:tmpl w:val="935A718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25"/>
  </w:num>
  <w:num w:numId="8">
    <w:abstractNumId w:val="26"/>
  </w:num>
  <w:num w:numId="9">
    <w:abstractNumId w:val="19"/>
  </w:num>
  <w:num w:numId="10">
    <w:abstractNumId w:val="13"/>
  </w:num>
  <w:num w:numId="11">
    <w:abstractNumId w:val="27"/>
  </w:num>
  <w:num w:numId="12">
    <w:abstractNumId w:val="29"/>
  </w:num>
  <w:num w:numId="13">
    <w:abstractNumId w:val="31"/>
  </w:num>
  <w:num w:numId="14">
    <w:abstractNumId w:val="8"/>
  </w:num>
  <w:num w:numId="15">
    <w:abstractNumId w:val="17"/>
  </w:num>
  <w:num w:numId="16">
    <w:abstractNumId w:val="33"/>
  </w:num>
  <w:num w:numId="17">
    <w:abstractNumId w:val="30"/>
  </w:num>
  <w:num w:numId="18">
    <w:abstractNumId w:val="28"/>
  </w:num>
  <w:num w:numId="19">
    <w:abstractNumId w:val="22"/>
  </w:num>
  <w:num w:numId="20">
    <w:abstractNumId w:val="18"/>
  </w:num>
  <w:num w:numId="21">
    <w:abstractNumId w:val="11"/>
  </w:num>
  <w:num w:numId="22">
    <w:abstractNumId w:val="6"/>
  </w:num>
  <w:num w:numId="23">
    <w:abstractNumId w:val="15"/>
  </w:num>
  <w:num w:numId="24">
    <w:abstractNumId w:val="10"/>
  </w:num>
  <w:num w:numId="25">
    <w:abstractNumId w:val="24"/>
  </w:num>
  <w:num w:numId="26">
    <w:abstractNumId w:val="23"/>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num>
  <w:num w:numId="29">
    <w:abstractNumId w:val="9"/>
  </w:num>
  <w:num w:numId="30">
    <w:abstractNumId w:val="32"/>
  </w:num>
  <w:num w:numId="31">
    <w:abstractNumId w:val="6"/>
  </w:num>
  <w:num w:numId="32">
    <w:abstractNumId w:val="21"/>
  </w:num>
  <w:num w:numId="33">
    <w:abstractNumId w:val="30"/>
  </w:num>
  <w:num w:numId="34">
    <w:abstractNumId w:val="30"/>
  </w:num>
  <w:num w:numId="35">
    <w:abstractNumId w:val="16"/>
  </w:num>
  <w:num w:numId="36">
    <w:abstractNumId w:val="6"/>
  </w:num>
  <w:num w:numId="37">
    <w:abstractNumId w:val="30"/>
  </w:num>
  <w:num w:numId="38">
    <w:abstractNumId w:val="12"/>
  </w:num>
  <w:num w:numId="39">
    <w:abstractNumId w:val="30"/>
  </w:num>
  <w:num w:numId="40">
    <w:abstractNumId w:val="7"/>
  </w:num>
  <w:num w:numId="41">
    <w:abstractNumId w:val="34"/>
  </w:num>
  <w:num w:numId="42">
    <w:abstractNumId w:val="20"/>
  </w:num>
  <w:num w:numId="43">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567"/>
  <w:characterSpacingControl w:val="doNotCompress"/>
  <w:hdrShapeDefaults>
    <o:shapedefaults v:ext="edit" spidmax="4097"/>
  </w:hdrShapeDefaults>
  <w:footnotePr>
    <w:footnote w:id="-1"/>
    <w:footnote w:id="0"/>
  </w:footnotePr>
  <w:endnotePr>
    <w:endnote w:id="-1"/>
    <w:endnote w:id="0"/>
  </w:endnotePr>
  <w:compat>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07A"/>
    <w:rsid w:val="00003360"/>
    <w:rsid w:val="00003FC7"/>
    <w:rsid w:val="00005919"/>
    <w:rsid w:val="00007C42"/>
    <w:rsid w:val="000136F2"/>
    <w:rsid w:val="00015020"/>
    <w:rsid w:val="0001647B"/>
    <w:rsid w:val="00020010"/>
    <w:rsid w:val="00026720"/>
    <w:rsid w:val="00034673"/>
    <w:rsid w:val="00036671"/>
    <w:rsid w:val="00037226"/>
    <w:rsid w:val="000409E2"/>
    <w:rsid w:val="00044EA1"/>
    <w:rsid w:val="00047F77"/>
    <w:rsid w:val="00054574"/>
    <w:rsid w:val="00055AF7"/>
    <w:rsid w:val="0005649A"/>
    <w:rsid w:val="00063BB2"/>
    <w:rsid w:val="00065F18"/>
    <w:rsid w:val="00067005"/>
    <w:rsid w:val="00076035"/>
    <w:rsid w:val="00077013"/>
    <w:rsid w:val="00086B35"/>
    <w:rsid w:val="00091C3A"/>
    <w:rsid w:val="0009565E"/>
    <w:rsid w:val="000C64E0"/>
    <w:rsid w:val="000D61F6"/>
    <w:rsid w:val="000E3240"/>
    <w:rsid w:val="000E5358"/>
    <w:rsid w:val="000E677B"/>
    <w:rsid w:val="000F4ADF"/>
    <w:rsid w:val="000F61AF"/>
    <w:rsid w:val="0010171C"/>
    <w:rsid w:val="00102FAD"/>
    <w:rsid w:val="0010439B"/>
    <w:rsid w:val="00107F8B"/>
    <w:rsid w:val="00114B63"/>
    <w:rsid w:val="00121870"/>
    <w:rsid w:val="00126FDE"/>
    <w:rsid w:val="001270B5"/>
    <w:rsid w:val="0013703F"/>
    <w:rsid w:val="00140ED2"/>
    <w:rsid w:val="00143E7C"/>
    <w:rsid w:val="0014415C"/>
    <w:rsid w:val="0014565E"/>
    <w:rsid w:val="001536C9"/>
    <w:rsid w:val="0016433D"/>
    <w:rsid w:val="001835CF"/>
    <w:rsid w:val="00184C0F"/>
    <w:rsid w:val="001A5F55"/>
    <w:rsid w:val="001C0031"/>
    <w:rsid w:val="001C0C30"/>
    <w:rsid w:val="001D0111"/>
    <w:rsid w:val="001D7EAE"/>
    <w:rsid w:val="001E64FC"/>
    <w:rsid w:val="001F0724"/>
    <w:rsid w:val="002007DF"/>
    <w:rsid w:val="00203991"/>
    <w:rsid w:val="00205612"/>
    <w:rsid w:val="00205FE8"/>
    <w:rsid w:val="00206BA3"/>
    <w:rsid w:val="00210680"/>
    <w:rsid w:val="00215160"/>
    <w:rsid w:val="002224B4"/>
    <w:rsid w:val="00226D5E"/>
    <w:rsid w:val="00237A3D"/>
    <w:rsid w:val="00240E83"/>
    <w:rsid w:val="002502D1"/>
    <w:rsid w:val="00253D6E"/>
    <w:rsid w:val="00257039"/>
    <w:rsid w:val="00260A17"/>
    <w:rsid w:val="00270EEC"/>
    <w:rsid w:val="002777D8"/>
    <w:rsid w:val="002806A2"/>
    <w:rsid w:val="00297CC7"/>
    <w:rsid w:val="002A194F"/>
    <w:rsid w:val="002A32AD"/>
    <w:rsid w:val="002A4BD9"/>
    <w:rsid w:val="002A4FE7"/>
    <w:rsid w:val="002B1CEB"/>
    <w:rsid w:val="002D3125"/>
    <w:rsid w:val="002D4F42"/>
    <w:rsid w:val="002F09BE"/>
    <w:rsid w:val="002F2D05"/>
    <w:rsid w:val="0030084C"/>
    <w:rsid w:val="003039E1"/>
    <w:rsid w:val="003129BA"/>
    <w:rsid w:val="003148FC"/>
    <w:rsid w:val="0032132E"/>
    <w:rsid w:val="00330820"/>
    <w:rsid w:val="003465C8"/>
    <w:rsid w:val="0037016B"/>
    <w:rsid w:val="00370FC0"/>
    <w:rsid w:val="00373206"/>
    <w:rsid w:val="003737ED"/>
    <w:rsid w:val="0037569B"/>
    <w:rsid w:val="00375B80"/>
    <w:rsid w:val="00377352"/>
    <w:rsid w:val="003837D8"/>
    <w:rsid w:val="0039443B"/>
    <w:rsid w:val="003A0E32"/>
    <w:rsid w:val="003A10DA"/>
    <w:rsid w:val="003A12C8"/>
    <w:rsid w:val="003A6FFE"/>
    <w:rsid w:val="003A7695"/>
    <w:rsid w:val="003B1F31"/>
    <w:rsid w:val="003B3A23"/>
    <w:rsid w:val="003B6592"/>
    <w:rsid w:val="003C1BFD"/>
    <w:rsid w:val="003C772C"/>
    <w:rsid w:val="003E3DE2"/>
    <w:rsid w:val="003F2B58"/>
    <w:rsid w:val="003F5886"/>
    <w:rsid w:val="0040020C"/>
    <w:rsid w:val="00401CA0"/>
    <w:rsid w:val="0040700B"/>
    <w:rsid w:val="00407F54"/>
    <w:rsid w:val="00411341"/>
    <w:rsid w:val="00413966"/>
    <w:rsid w:val="00415015"/>
    <w:rsid w:val="00415CDB"/>
    <w:rsid w:val="00421A99"/>
    <w:rsid w:val="004231DC"/>
    <w:rsid w:val="0042551E"/>
    <w:rsid w:val="00425DBB"/>
    <w:rsid w:val="004272E6"/>
    <w:rsid w:val="00433AD8"/>
    <w:rsid w:val="00437A53"/>
    <w:rsid w:val="004552A0"/>
    <w:rsid w:val="00457E34"/>
    <w:rsid w:val="00460A83"/>
    <w:rsid w:val="00460B3F"/>
    <w:rsid w:val="00464752"/>
    <w:rsid w:val="00470D20"/>
    <w:rsid w:val="0047141D"/>
    <w:rsid w:val="00472A55"/>
    <w:rsid w:val="00476068"/>
    <w:rsid w:val="004763B3"/>
    <w:rsid w:val="0047729A"/>
    <w:rsid w:val="00477619"/>
    <w:rsid w:val="00486E6E"/>
    <w:rsid w:val="004875DF"/>
    <w:rsid w:val="00487C1D"/>
    <w:rsid w:val="00494C6F"/>
    <w:rsid w:val="004A56E3"/>
    <w:rsid w:val="004A5823"/>
    <w:rsid w:val="004B0AAF"/>
    <w:rsid w:val="004B214C"/>
    <w:rsid w:val="004B3924"/>
    <w:rsid w:val="004C4DDD"/>
    <w:rsid w:val="004C5F40"/>
    <w:rsid w:val="004C6953"/>
    <w:rsid w:val="004C7001"/>
    <w:rsid w:val="004D1706"/>
    <w:rsid w:val="004D243F"/>
    <w:rsid w:val="004D7473"/>
    <w:rsid w:val="004E355A"/>
    <w:rsid w:val="004E407A"/>
    <w:rsid w:val="004F2E8A"/>
    <w:rsid w:val="004F55E1"/>
    <w:rsid w:val="00501C4B"/>
    <w:rsid w:val="005028A7"/>
    <w:rsid w:val="005078B7"/>
    <w:rsid w:val="00510388"/>
    <w:rsid w:val="00510D73"/>
    <w:rsid w:val="00512ACB"/>
    <w:rsid w:val="005151DE"/>
    <w:rsid w:val="005205B6"/>
    <w:rsid w:val="0052216D"/>
    <w:rsid w:val="00526115"/>
    <w:rsid w:val="005331AA"/>
    <w:rsid w:val="00533FAF"/>
    <w:rsid w:val="005366B6"/>
    <w:rsid w:val="00554BCD"/>
    <w:rsid w:val="00555F60"/>
    <w:rsid w:val="005605A5"/>
    <w:rsid w:val="00560B3C"/>
    <w:rsid w:val="00561A97"/>
    <w:rsid w:val="00562B88"/>
    <w:rsid w:val="00563DAC"/>
    <w:rsid w:val="00566472"/>
    <w:rsid w:val="005675E0"/>
    <w:rsid w:val="00570A71"/>
    <w:rsid w:val="00570C00"/>
    <w:rsid w:val="00574B8D"/>
    <w:rsid w:val="005764EE"/>
    <w:rsid w:val="00576AAA"/>
    <w:rsid w:val="00581FBC"/>
    <w:rsid w:val="0058206B"/>
    <w:rsid w:val="00585690"/>
    <w:rsid w:val="00591BDC"/>
    <w:rsid w:val="00594AAA"/>
    <w:rsid w:val="00595B33"/>
    <w:rsid w:val="0059662F"/>
    <w:rsid w:val="005A73F7"/>
    <w:rsid w:val="005B7254"/>
    <w:rsid w:val="005D3066"/>
    <w:rsid w:val="005D6E96"/>
    <w:rsid w:val="005E4B13"/>
    <w:rsid w:val="005E4C02"/>
    <w:rsid w:val="005F01DF"/>
    <w:rsid w:val="005F2661"/>
    <w:rsid w:val="005F76CC"/>
    <w:rsid w:val="005F7FF8"/>
    <w:rsid w:val="006004C4"/>
    <w:rsid w:val="00600CA4"/>
    <w:rsid w:val="00602416"/>
    <w:rsid w:val="006025CE"/>
    <w:rsid w:val="00603635"/>
    <w:rsid w:val="006041F2"/>
    <w:rsid w:val="006064F5"/>
    <w:rsid w:val="00617298"/>
    <w:rsid w:val="0062542A"/>
    <w:rsid w:val="00633AF6"/>
    <w:rsid w:val="00637753"/>
    <w:rsid w:val="00660CE4"/>
    <w:rsid w:val="00662716"/>
    <w:rsid w:val="00670A2D"/>
    <w:rsid w:val="00676C9F"/>
    <w:rsid w:val="00677B13"/>
    <w:rsid w:val="00677F4E"/>
    <w:rsid w:val="00677F8A"/>
    <w:rsid w:val="00681A08"/>
    <w:rsid w:val="00685ECF"/>
    <w:rsid w:val="006875B8"/>
    <w:rsid w:val="00687CEA"/>
    <w:rsid w:val="00694E01"/>
    <w:rsid w:val="00695171"/>
    <w:rsid w:val="00695B75"/>
    <w:rsid w:val="006A1A95"/>
    <w:rsid w:val="006A38B7"/>
    <w:rsid w:val="006A5C31"/>
    <w:rsid w:val="006B1CB2"/>
    <w:rsid w:val="006B1DD1"/>
    <w:rsid w:val="006B3396"/>
    <w:rsid w:val="006B4FE7"/>
    <w:rsid w:val="006C195E"/>
    <w:rsid w:val="006D638F"/>
    <w:rsid w:val="006D7384"/>
    <w:rsid w:val="006E49E7"/>
    <w:rsid w:val="006E7BF7"/>
    <w:rsid w:val="006F1D2D"/>
    <w:rsid w:val="00702F2C"/>
    <w:rsid w:val="007068C8"/>
    <w:rsid w:val="00715B8F"/>
    <w:rsid w:val="00717904"/>
    <w:rsid w:val="0072393F"/>
    <w:rsid w:val="0073106E"/>
    <w:rsid w:val="00752EA9"/>
    <w:rsid w:val="00755142"/>
    <w:rsid w:val="00756BB7"/>
    <w:rsid w:val="0075764B"/>
    <w:rsid w:val="00760C01"/>
    <w:rsid w:val="00761293"/>
    <w:rsid w:val="007678A2"/>
    <w:rsid w:val="00767C04"/>
    <w:rsid w:val="00773072"/>
    <w:rsid w:val="007736A2"/>
    <w:rsid w:val="007A0051"/>
    <w:rsid w:val="007A6226"/>
    <w:rsid w:val="007B3C61"/>
    <w:rsid w:val="007D1918"/>
    <w:rsid w:val="007E4A07"/>
    <w:rsid w:val="007F03F2"/>
    <w:rsid w:val="008031DF"/>
    <w:rsid w:val="008065D7"/>
    <w:rsid w:val="008111A3"/>
    <w:rsid w:val="00816E30"/>
    <w:rsid w:val="0082264B"/>
    <w:rsid w:val="00825115"/>
    <w:rsid w:val="0082765B"/>
    <w:rsid w:val="008352B1"/>
    <w:rsid w:val="008353E7"/>
    <w:rsid w:val="00835BD7"/>
    <w:rsid w:val="008428E8"/>
    <w:rsid w:val="00843D71"/>
    <w:rsid w:val="00846F11"/>
    <w:rsid w:val="0084745A"/>
    <w:rsid w:val="008504D0"/>
    <w:rsid w:val="00870045"/>
    <w:rsid w:val="00873CE4"/>
    <w:rsid w:val="00876E5F"/>
    <w:rsid w:val="00884A12"/>
    <w:rsid w:val="00890CE4"/>
    <w:rsid w:val="00891ED7"/>
    <w:rsid w:val="008B7B54"/>
    <w:rsid w:val="008C3187"/>
    <w:rsid w:val="008C5E4F"/>
    <w:rsid w:val="008C5E77"/>
    <w:rsid w:val="008D63B7"/>
    <w:rsid w:val="008D6A03"/>
    <w:rsid w:val="008D6CA7"/>
    <w:rsid w:val="008D7D66"/>
    <w:rsid w:val="008E508C"/>
    <w:rsid w:val="008E7FEE"/>
    <w:rsid w:val="008F2F06"/>
    <w:rsid w:val="008F31F5"/>
    <w:rsid w:val="008F67F5"/>
    <w:rsid w:val="008F6BCE"/>
    <w:rsid w:val="008F7F66"/>
    <w:rsid w:val="00900D4B"/>
    <w:rsid w:val="00905F9B"/>
    <w:rsid w:val="00913E95"/>
    <w:rsid w:val="00914E86"/>
    <w:rsid w:val="009170B9"/>
    <w:rsid w:val="00917FF8"/>
    <w:rsid w:val="00923A87"/>
    <w:rsid w:val="00927482"/>
    <w:rsid w:val="00936FF5"/>
    <w:rsid w:val="009451CA"/>
    <w:rsid w:val="0094654B"/>
    <w:rsid w:val="0095112B"/>
    <w:rsid w:val="0095712A"/>
    <w:rsid w:val="00973A6D"/>
    <w:rsid w:val="009804E0"/>
    <w:rsid w:val="00983735"/>
    <w:rsid w:val="009865AA"/>
    <w:rsid w:val="00987080"/>
    <w:rsid w:val="0098765A"/>
    <w:rsid w:val="00987E5B"/>
    <w:rsid w:val="00991620"/>
    <w:rsid w:val="009968B0"/>
    <w:rsid w:val="009A23D0"/>
    <w:rsid w:val="009A3AA6"/>
    <w:rsid w:val="009A4F84"/>
    <w:rsid w:val="009A6CB2"/>
    <w:rsid w:val="009B0982"/>
    <w:rsid w:val="009B4C99"/>
    <w:rsid w:val="009C13FB"/>
    <w:rsid w:val="009D28CF"/>
    <w:rsid w:val="009E455A"/>
    <w:rsid w:val="009E5D36"/>
    <w:rsid w:val="009E6375"/>
    <w:rsid w:val="009E797F"/>
    <w:rsid w:val="009E7CA0"/>
    <w:rsid w:val="00A04392"/>
    <w:rsid w:val="00A069CE"/>
    <w:rsid w:val="00A102D1"/>
    <w:rsid w:val="00A109D8"/>
    <w:rsid w:val="00A16003"/>
    <w:rsid w:val="00A167D7"/>
    <w:rsid w:val="00A23D39"/>
    <w:rsid w:val="00A23EC2"/>
    <w:rsid w:val="00A24FBB"/>
    <w:rsid w:val="00A3453E"/>
    <w:rsid w:val="00A37124"/>
    <w:rsid w:val="00A42ED2"/>
    <w:rsid w:val="00A44B33"/>
    <w:rsid w:val="00A50E00"/>
    <w:rsid w:val="00A52529"/>
    <w:rsid w:val="00A53624"/>
    <w:rsid w:val="00A55EAF"/>
    <w:rsid w:val="00A561B1"/>
    <w:rsid w:val="00A5766B"/>
    <w:rsid w:val="00A77512"/>
    <w:rsid w:val="00A863E3"/>
    <w:rsid w:val="00A94161"/>
    <w:rsid w:val="00A97BFB"/>
    <w:rsid w:val="00AB0BBC"/>
    <w:rsid w:val="00AB3A92"/>
    <w:rsid w:val="00AB478B"/>
    <w:rsid w:val="00AB47AC"/>
    <w:rsid w:val="00AB4AD9"/>
    <w:rsid w:val="00AC3E07"/>
    <w:rsid w:val="00AD6E77"/>
    <w:rsid w:val="00AD7A25"/>
    <w:rsid w:val="00AE2666"/>
    <w:rsid w:val="00AE478C"/>
    <w:rsid w:val="00AF3A5A"/>
    <w:rsid w:val="00AF3E15"/>
    <w:rsid w:val="00AF5218"/>
    <w:rsid w:val="00AF5E6D"/>
    <w:rsid w:val="00AF60A0"/>
    <w:rsid w:val="00B01A6F"/>
    <w:rsid w:val="00B0480E"/>
    <w:rsid w:val="00B1026A"/>
    <w:rsid w:val="00B21166"/>
    <w:rsid w:val="00B26092"/>
    <w:rsid w:val="00B263AE"/>
    <w:rsid w:val="00B33A6C"/>
    <w:rsid w:val="00B42F17"/>
    <w:rsid w:val="00B43A02"/>
    <w:rsid w:val="00B47091"/>
    <w:rsid w:val="00B5621A"/>
    <w:rsid w:val="00B56534"/>
    <w:rsid w:val="00B57A21"/>
    <w:rsid w:val="00B62C3E"/>
    <w:rsid w:val="00B645DE"/>
    <w:rsid w:val="00B65857"/>
    <w:rsid w:val="00B66698"/>
    <w:rsid w:val="00B73946"/>
    <w:rsid w:val="00B745DC"/>
    <w:rsid w:val="00B84350"/>
    <w:rsid w:val="00B84D6A"/>
    <w:rsid w:val="00B855A6"/>
    <w:rsid w:val="00B91098"/>
    <w:rsid w:val="00B91904"/>
    <w:rsid w:val="00B92735"/>
    <w:rsid w:val="00B92F01"/>
    <w:rsid w:val="00B969ED"/>
    <w:rsid w:val="00BA77F1"/>
    <w:rsid w:val="00BB0D90"/>
    <w:rsid w:val="00BB60C6"/>
    <w:rsid w:val="00BB7984"/>
    <w:rsid w:val="00BC168D"/>
    <w:rsid w:val="00BC45F7"/>
    <w:rsid w:val="00BC6A06"/>
    <w:rsid w:val="00BD137C"/>
    <w:rsid w:val="00BE3BC7"/>
    <w:rsid w:val="00BF1AB7"/>
    <w:rsid w:val="00BF7FE9"/>
    <w:rsid w:val="00C03596"/>
    <w:rsid w:val="00C05EEC"/>
    <w:rsid w:val="00C15A13"/>
    <w:rsid w:val="00C238D9"/>
    <w:rsid w:val="00C24A9D"/>
    <w:rsid w:val="00C2677E"/>
    <w:rsid w:val="00C31542"/>
    <w:rsid w:val="00C43BFF"/>
    <w:rsid w:val="00C5028E"/>
    <w:rsid w:val="00C511EF"/>
    <w:rsid w:val="00C54E78"/>
    <w:rsid w:val="00C6078D"/>
    <w:rsid w:val="00C657CF"/>
    <w:rsid w:val="00C80D62"/>
    <w:rsid w:val="00C8388B"/>
    <w:rsid w:val="00C84944"/>
    <w:rsid w:val="00C90217"/>
    <w:rsid w:val="00C90E6F"/>
    <w:rsid w:val="00C96BFD"/>
    <w:rsid w:val="00C96C98"/>
    <w:rsid w:val="00CA5358"/>
    <w:rsid w:val="00CB0B17"/>
    <w:rsid w:val="00CB1DCA"/>
    <w:rsid w:val="00CC4FEC"/>
    <w:rsid w:val="00CD1D50"/>
    <w:rsid w:val="00CD502A"/>
    <w:rsid w:val="00CF12CF"/>
    <w:rsid w:val="00CF4BE3"/>
    <w:rsid w:val="00D00D08"/>
    <w:rsid w:val="00D060D2"/>
    <w:rsid w:val="00D13E2D"/>
    <w:rsid w:val="00D14394"/>
    <w:rsid w:val="00D242CD"/>
    <w:rsid w:val="00D26F74"/>
    <w:rsid w:val="00D341C3"/>
    <w:rsid w:val="00D42843"/>
    <w:rsid w:val="00D47A86"/>
    <w:rsid w:val="00D5152A"/>
    <w:rsid w:val="00D560EB"/>
    <w:rsid w:val="00D57282"/>
    <w:rsid w:val="00D65145"/>
    <w:rsid w:val="00D73D87"/>
    <w:rsid w:val="00D74314"/>
    <w:rsid w:val="00D81410"/>
    <w:rsid w:val="00D873FB"/>
    <w:rsid w:val="00D92505"/>
    <w:rsid w:val="00DA267C"/>
    <w:rsid w:val="00DA27B3"/>
    <w:rsid w:val="00DA5101"/>
    <w:rsid w:val="00DA6CBE"/>
    <w:rsid w:val="00DA79EF"/>
    <w:rsid w:val="00DB0C0B"/>
    <w:rsid w:val="00DB3B74"/>
    <w:rsid w:val="00DC5870"/>
    <w:rsid w:val="00DD0384"/>
    <w:rsid w:val="00DD0901"/>
    <w:rsid w:val="00DD4AB0"/>
    <w:rsid w:val="00DE16B6"/>
    <w:rsid w:val="00DE3323"/>
    <w:rsid w:val="00DE36CA"/>
    <w:rsid w:val="00DE7E63"/>
    <w:rsid w:val="00DF77A2"/>
    <w:rsid w:val="00E159E0"/>
    <w:rsid w:val="00E367C5"/>
    <w:rsid w:val="00E37E71"/>
    <w:rsid w:val="00E42486"/>
    <w:rsid w:val="00E42847"/>
    <w:rsid w:val="00E43D5C"/>
    <w:rsid w:val="00E45DF3"/>
    <w:rsid w:val="00E46064"/>
    <w:rsid w:val="00E604A1"/>
    <w:rsid w:val="00E7293C"/>
    <w:rsid w:val="00E73AA8"/>
    <w:rsid w:val="00E76812"/>
    <w:rsid w:val="00E76B14"/>
    <w:rsid w:val="00E80228"/>
    <w:rsid w:val="00E86D2A"/>
    <w:rsid w:val="00E8711A"/>
    <w:rsid w:val="00EA2ED4"/>
    <w:rsid w:val="00EA491A"/>
    <w:rsid w:val="00EB1583"/>
    <w:rsid w:val="00EB54A9"/>
    <w:rsid w:val="00EC23FB"/>
    <w:rsid w:val="00EC7017"/>
    <w:rsid w:val="00EC7A0B"/>
    <w:rsid w:val="00ED4356"/>
    <w:rsid w:val="00ED7681"/>
    <w:rsid w:val="00EE243C"/>
    <w:rsid w:val="00EF63C6"/>
    <w:rsid w:val="00EF73B5"/>
    <w:rsid w:val="00F034FB"/>
    <w:rsid w:val="00F05606"/>
    <w:rsid w:val="00F07ACD"/>
    <w:rsid w:val="00F105F5"/>
    <w:rsid w:val="00F1075A"/>
    <w:rsid w:val="00F146E9"/>
    <w:rsid w:val="00F14CFC"/>
    <w:rsid w:val="00F158F5"/>
    <w:rsid w:val="00F22E82"/>
    <w:rsid w:val="00F23B8F"/>
    <w:rsid w:val="00F2483A"/>
    <w:rsid w:val="00F337BF"/>
    <w:rsid w:val="00F33D14"/>
    <w:rsid w:val="00F473B6"/>
    <w:rsid w:val="00F52E57"/>
    <w:rsid w:val="00F53E06"/>
    <w:rsid w:val="00F54188"/>
    <w:rsid w:val="00F54CC0"/>
    <w:rsid w:val="00F66DBD"/>
    <w:rsid w:val="00F7089F"/>
    <w:rsid w:val="00F727A5"/>
    <w:rsid w:val="00F847A9"/>
    <w:rsid w:val="00F927B8"/>
    <w:rsid w:val="00FA5FE9"/>
    <w:rsid w:val="00FA67D2"/>
    <w:rsid w:val="00FB1990"/>
    <w:rsid w:val="00FB302F"/>
    <w:rsid w:val="00FB4F85"/>
    <w:rsid w:val="00FB5A92"/>
    <w:rsid w:val="00FC1203"/>
    <w:rsid w:val="00FC1C69"/>
    <w:rsid w:val="00FC3739"/>
    <w:rsid w:val="00FD4A73"/>
    <w:rsid w:val="00FE5AD9"/>
    <w:rsid w:val="00FE7A33"/>
    <w:rsid w:val="00FF341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A0449EC"/>
  <w15:chartTrackingRefBased/>
  <w15:docId w15:val="{3D3B7078-0D2D-4768-85AF-DAA674494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Times New Roman"/>
        <w:sz w:val="24"/>
        <w:szCs w:val="24"/>
        <w:lang w:val="en-NZ" w:eastAsia="en-NZ" w:bidi="ar-SA"/>
      </w:rPr>
    </w:rPrDefault>
    <w:pPrDefault>
      <w:pPr>
        <w:spacing w:before="120" w:after="240"/>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unhideWhenUsed="1" w:qFormat="1"/>
    <w:lsdException w:name="heading 4" w:uiPriority="0" w:unhideWhenUsed="1" w:qFormat="1"/>
    <w:lsdException w:name="heading 5" w:uiPriority="1" w:unhideWhenUsed="1" w:qFormat="1"/>
    <w:lsdException w:name="heading 6" w:uiPriority="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3" w:unhideWhenUsed="1"/>
    <w:lsdException w:name="List 3" w:semiHidden="1" w:unhideWhenUsed="1"/>
    <w:lsdException w:name="List 4" w:unhideWhenUsed="1"/>
    <w:lsdException w:name="List 5"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unhideWhenUsed="1"/>
    <w:lsdException w:name="Date" w:unhideWhenUsed="1"/>
    <w:lsdException w:name="Body Text First Indent"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39"/>
    <w:lsdException w:name="Table Theme" w:semiHidden="1" w:uiPriority="0"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72A55"/>
    <w:pPr>
      <w:keepLines/>
    </w:pPr>
    <w:rPr>
      <w:lang w:eastAsia="en-US"/>
    </w:rPr>
  </w:style>
  <w:style w:type="paragraph" w:styleId="Heading1">
    <w:name w:val="heading 1"/>
    <w:basedOn w:val="Normal"/>
    <w:next w:val="Normal"/>
    <w:link w:val="Heading1Char"/>
    <w:qFormat/>
    <w:rsid w:val="005028A7"/>
    <w:pPr>
      <w:keepNext/>
      <w:spacing w:before="360" w:after="120"/>
      <w:contextualSpacing/>
      <w:outlineLvl w:val="0"/>
    </w:pPr>
    <w:rPr>
      <w:rFonts w:cs="Arial"/>
      <w:b/>
      <w:bCs/>
      <w:color w:val="1F546B" w:themeColor="text2"/>
      <w:kern w:val="32"/>
      <w:sz w:val="52"/>
      <w:szCs w:val="32"/>
    </w:rPr>
  </w:style>
  <w:style w:type="paragraph" w:styleId="Heading2">
    <w:name w:val="heading 2"/>
    <w:basedOn w:val="Normal"/>
    <w:next w:val="Normal"/>
    <w:link w:val="Heading2Char"/>
    <w:qFormat/>
    <w:rsid w:val="00065F18"/>
    <w:pPr>
      <w:keepNext/>
      <w:spacing w:before="360" w:after="120"/>
      <w:contextualSpacing/>
      <w:outlineLvl w:val="1"/>
    </w:pPr>
    <w:rPr>
      <w:rFonts w:cs="Arial"/>
      <w:b/>
      <w:bCs/>
      <w:iCs/>
      <w:color w:val="1F546B"/>
      <w:sz w:val="36"/>
      <w:szCs w:val="28"/>
    </w:rPr>
  </w:style>
  <w:style w:type="paragraph" w:styleId="Heading3">
    <w:name w:val="heading 3"/>
    <w:basedOn w:val="Normal"/>
    <w:next w:val="Normal"/>
    <w:link w:val="Heading3Char"/>
    <w:qFormat/>
    <w:rsid w:val="00AF60A0"/>
    <w:pPr>
      <w:keepNext/>
      <w:spacing w:before="360" w:after="120"/>
      <w:contextualSpacing/>
      <w:outlineLvl w:val="2"/>
    </w:pPr>
    <w:rPr>
      <w:rFonts w:cs="Arial"/>
      <w:b/>
      <w:bCs/>
      <w:color w:val="1F546B"/>
      <w:sz w:val="28"/>
      <w:szCs w:val="26"/>
    </w:rPr>
  </w:style>
  <w:style w:type="paragraph" w:styleId="Heading4">
    <w:name w:val="heading 4"/>
    <w:basedOn w:val="Normal"/>
    <w:next w:val="Normal"/>
    <w:link w:val="Heading4Char"/>
    <w:qFormat/>
    <w:rsid w:val="00065F18"/>
    <w:pPr>
      <w:keepNext/>
      <w:spacing w:before="360" w:after="120"/>
      <w:contextualSpacing/>
      <w:outlineLvl w:val="3"/>
    </w:pPr>
    <w:rPr>
      <w:b/>
      <w:bCs/>
      <w:i/>
      <w:color w:val="1F546B" w:themeColor="text2"/>
      <w:szCs w:val="28"/>
    </w:rPr>
  </w:style>
  <w:style w:type="paragraph" w:styleId="Heading5">
    <w:name w:val="heading 5"/>
    <w:basedOn w:val="Normal"/>
    <w:next w:val="BodyText"/>
    <w:link w:val="Heading5Char"/>
    <w:uiPriority w:val="1"/>
    <w:semiHidden/>
    <w:qFormat/>
    <w:rsid w:val="00065F18"/>
    <w:pPr>
      <w:keepNext/>
      <w:spacing w:before="360"/>
      <w:outlineLvl w:val="4"/>
    </w:pPr>
    <w:rPr>
      <w:b/>
      <w:bCs/>
      <w:iCs/>
      <w:szCs w:val="26"/>
    </w:rPr>
  </w:style>
  <w:style w:type="paragraph" w:styleId="Heading6">
    <w:name w:val="heading 6"/>
    <w:basedOn w:val="Normal"/>
    <w:next w:val="Normal"/>
    <w:link w:val="Heading6Char"/>
    <w:uiPriority w:val="1"/>
    <w:semiHidden/>
    <w:qFormat/>
    <w:rsid w:val="00065F18"/>
    <w:pPr>
      <w:spacing w:before="360"/>
      <w:outlineLvl w:val="5"/>
    </w:pPr>
    <w:rPr>
      <w:b/>
      <w:bCs/>
      <w:i/>
      <w:szCs w:val="22"/>
    </w:rPr>
  </w:style>
  <w:style w:type="paragraph" w:styleId="Heading7">
    <w:name w:val="heading 7"/>
    <w:basedOn w:val="Normal"/>
    <w:next w:val="Normal"/>
    <w:uiPriority w:val="99"/>
    <w:semiHidden/>
    <w:qFormat/>
    <w:rsid w:val="00065F18"/>
    <w:pPr>
      <w:spacing w:after="60"/>
      <w:outlineLvl w:val="6"/>
    </w:pPr>
  </w:style>
  <w:style w:type="paragraph" w:styleId="Heading8">
    <w:name w:val="heading 8"/>
    <w:basedOn w:val="Normal"/>
    <w:next w:val="Normal"/>
    <w:uiPriority w:val="99"/>
    <w:semiHidden/>
    <w:qFormat/>
    <w:rsid w:val="00065F18"/>
    <w:pPr>
      <w:spacing w:after="60"/>
      <w:outlineLvl w:val="7"/>
    </w:pPr>
    <w:rPr>
      <w:i/>
      <w:iCs/>
    </w:rPr>
  </w:style>
  <w:style w:type="paragraph" w:styleId="Heading9">
    <w:name w:val="heading 9"/>
    <w:basedOn w:val="Normal"/>
    <w:next w:val="Normal"/>
    <w:uiPriority w:val="99"/>
    <w:semiHidden/>
    <w:qFormat/>
    <w:rsid w:val="00065F18"/>
    <w:pPr>
      <w:spacing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065F18"/>
    <w:pPr>
      <w:numPr>
        <w:numId w:val="8"/>
      </w:numPr>
    </w:pPr>
  </w:style>
  <w:style w:type="paragraph" w:styleId="BodyText">
    <w:name w:val="Body Text"/>
    <w:basedOn w:val="Normal"/>
    <w:link w:val="BodyTextChar"/>
    <w:uiPriority w:val="99"/>
    <w:semiHidden/>
    <w:rsid w:val="00065F18"/>
    <w:pPr>
      <w:spacing w:after="200"/>
    </w:pPr>
  </w:style>
  <w:style w:type="numbering" w:styleId="1ai">
    <w:name w:val="Outline List 1"/>
    <w:basedOn w:val="NoList"/>
    <w:semiHidden/>
    <w:rsid w:val="00065F18"/>
    <w:pPr>
      <w:numPr>
        <w:numId w:val="7"/>
      </w:numPr>
    </w:pPr>
  </w:style>
  <w:style w:type="numbering" w:styleId="ArticleSection">
    <w:name w:val="Outline List 3"/>
    <w:basedOn w:val="NoList"/>
    <w:semiHidden/>
    <w:rsid w:val="00065F18"/>
    <w:pPr>
      <w:numPr>
        <w:numId w:val="9"/>
      </w:numPr>
    </w:pPr>
  </w:style>
  <w:style w:type="paragraph" w:styleId="BlockText">
    <w:name w:val="Block Text"/>
    <w:basedOn w:val="Normal"/>
    <w:uiPriority w:val="99"/>
    <w:semiHidden/>
    <w:rsid w:val="00065F18"/>
    <w:pPr>
      <w:ind w:left="1440" w:right="1440"/>
    </w:pPr>
  </w:style>
  <w:style w:type="paragraph" w:styleId="BodyText2">
    <w:name w:val="Body Text 2"/>
    <w:basedOn w:val="Normal"/>
    <w:uiPriority w:val="99"/>
    <w:semiHidden/>
    <w:rsid w:val="00065F18"/>
    <w:pPr>
      <w:spacing w:line="480" w:lineRule="auto"/>
    </w:pPr>
  </w:style>
  <w:style w:type="paragraph" w:styleId="BodyText3">
    <w:name w:val="Body Text 3"/>
    <w:basedOn w:val="Normal"/>
    <w:uiPriority w:val="99"/>
    <w:semiHidden/>
    <w:rsid w:val="00065F18"/>
    <w:rPr>
      <w:sz w:val="16"/>
      <w:szCs w:val="16"/>
    </w:rPr>
  </w:style>
  <w:style w:type="paragraph" w:styleId="BodyTextFirstIndent">
    <w:name w:val="Body Text First Indent"/>
    <w:basedOn w:val="BodyText"/>
    <w:uiPriority w:val="99"/>
    <w:semiHidden/>
    <w:rsid w:val="00065F18"/>
    <w:pPr>
      <w:spacing w:after="120"/>
      <w:ind w:firstLine="210"/>
    </w:pPr>
  </w:style>
  <w:style w:type="paragraph" w:styleId="BodyTextIndent">
    <w:name w:val="Body Text Indent"/>
    <w:basedOn w:val="Normal"/>
    <w:uiPriority w:val="99"/>
    <w:semiHidden/>
    <w:rsid w:val="00065F18"/>
    <w:pPr>
      <w:ind w:left="283"/>
    </w:pPr>
  </w:style>
  <w:style w:type="paragraph" w:styleId="BodyTextFirstIndent2">
    <w:name w:val="Body Text First Indent 2"/>
    <w:basedOn w:val="BodyTextIndent"/>
    <w:uiPriority w:val="99"/>
    <w:semiHidden/>
    <w:rsid w:val="00065F18"/>
    <w:pPr>
      <w:ind w:firstLine="210"/>
    </w:pPr>
  </w:style>
  <w:style w:type="paragraph" w:styleId="BodyTextIndent2">
    <w:name w:val="Body Text Indent 2"/>
    <w:basedOn w:val="Normal"/>
    <w:uiPriority w:val="99"/>
    <w:semiHidden/>
    <w:rsid w:val="00065F18"/>
    <w:pPr>
      <w:spacing w:line="480" w:lineRule="auto"/>
      <w:ind w:left="283"/>
    </w:pPr>
  </w:style>
  <w:style w:type="paragraph" w:styleId="BodyTextIndent3">
    <w:name w:val="Body Text Indent 3"/>
    <w:basedOn w:val="Normal"/>
    <w:uiPriority w:val="99"/>
    <w:semiHidden/>
    <w:rsid w:val="00065F18"/>
    <w:pPr>
      <w:ind w:left="283"/>
    </w:pPr>
    <w:rPr>
      <w:sz w:val="16"/>
      <w:szCs w:val="16"/>
    </w:rPr>
  </w:style>
  <w:style w:type="paragraph" w:styleId="Closing">
    <w:name w:val="Closing"/>
    <w:basedOn w:val="Normal"/>
    <w:uiPriority w:val="99"/>
    <w:semiHidden/>
    <w:rsid w:val="00065F18"/>
    <w:pPr>
      <w:ind w:left="4252"/>
    </w:pPr>
  </w:style>
  <w:style w:type="paragraph" w:styleId="Date">
    <w:name w:val="Date"/>
    <w:basedOn w:val="Normal"/>
    <w:next w:val="Normal"/>
    <w:uiPriority w:val="99"/>
    <w:semiHidden/>
    <w:rsid w:val="00065F18"/>
  </w:style>
  <w:style w:type="paragraph" w:styleId="E-mailSignature">
    <w:name w:val="E-mail Signature"/>
    <w:basedOn w:val="Normal"/>
    <w:uiPriority w:val="99"/>
    <w:semiHidden/>
    <w:rsid w:val="00065F18"/>
  </w:style>
  <w:style w:type="character" w:styleId="Emphasis">
    <w:name w:val="Emphasis"/>
    <w:uiPriority w:val="99"/>
    <w:semiHidden/>
    <w:qFormat/>
    <w:rsid w:val="00065F18"/>
    <w:rPr>
      <w:rFonts w:ascii="Calibri" w:hAnsi="Calibri"/>
      <w:i/>
      <w:iCs/>
    </w:rPr>
  </w:style>
  <w:style w:type="paragraph" w:styleId="EnvelopeAddress">
    <w:name w:val="envelope address"/>
    <w:basedOn w:val="Normal"/>
    <w:uiPriority w:val="99"/>
    <w:semiHidden/>
    <w:rsid w:val="00065F18"/>
    <w:pPr>
      <w:framePr w:w="7920" w:h="1980" w:hRule="exact" w:hSpace="180" w:wrap="auto" w:hAnchor="page" w:xAlign="center" w:yAlign="bottom"/>
      <w:ind w:left="2880"/>
    </w:pPr>
    <w:rPr>
      <w:rFonts w:cs="Arial"/>
    </w:rPr>
  </w:style>
  <w:style w:type="paragraph" w:styleId="EnvelopeReturn">
    <w:name w:val="envelope return"/>
    <w:basedOn w:val="Normal"/>
    <w:uiPriority w:val="99"/>
    <w:semiHidden/>
    <w:rsid w:val="00065F18"/>
    <w:rPr>
      <w:rFonts w:cs="Arial"/>
      <w:sz w:val="20"/>
      <w:szCs w:val="20"/>
    </w:rPr>
  </w:style>
  <w:style w:type="character" w:styleId="FollowedHyperlink">
    <w:name w:val="FollowedHyperlink"/>
    <w:uiPriority w:val="99"/>
    <w:semiHidden/>
    <w:rsid w:val="00065F18"/>
    <w:rPr>
      <w:color w:val="800080"/>
      <w:u w:val="single"/>
    </w:rPr>
  </w:style>
  <w:style w:type="paragraph" w:styleId="Footer">
    <w:name w:val="footer"/>
    <w:basedOn w:val="Normal"/>
    <w:link w:val="FooterChar"/>
    <w:rsid w:val="00065F18"/>
    <w:pPr>
      <w:spacing w:before="40" w:after="40"/>
      <w:contextualSpacing/>
    </w:pPr>
    <w:rPr>
      <w:i/>
      <w:sz w:val="20"/>
    </w:rPr>
  </w:style>
  <w:style w:type="paragraph" w:styleId="Header">
    <w:name w:val="header"/>
    <w:basedOn w:val="Normal"/>
    <w:link w:val="HeaderChar"/>
    <w:rsid w:val="00065F18"/>
    <w:pPr>
      <w:spacing w:before="40" w:after="40"/>
    </w:pPr>
    <w:rPr>
      <w:color w:val="808080" w:themeColor="background1" w:themeShade="80"/>
      <w:sz w:val="22"/>
    </w:rPr>
  </w:style>
  <w:style w:type="character" w:styleId="HTMLAcronym">
    <w:name w:val="HTML Acronym"/>
    <w:basedOn w:val="DefaultParagraphFont"/>
    <w:uiPriority w:val="99"/>
    <w:semiHidden/>
    <w:rsid w:val="00065F18"/>
  </w:style>
  <w:style w:type="paragraph" w:styleId="HTMLAddress">
    <w:name w:val="HTML Address"/>
    <w:basedOn w:val="Normal"/>
    <w:uiPriority w:val="99"/>
    <w:semiHidden/>
    <w:rsid w:val="00065F18"/>
    <w:rPr>
      <w:i/>
      <w:iCs/>
    </w:rPr>
  </w:style>
  <w:style w:type="character" w:styleId="HTMLCite">
    <w:name w:val="HTML Cite"/>
    <w:uiPriority w:val="99"/>
    <w:semiHidden/>
    <w:rsid w:val="00065F18"/>
    <w:rPr>
      <w:i/>
      <w:iCs/>
    </w:rPr>
  </w:style>
  <w:style w:type="character" w:styleId="HTMLCode">
    <w:name w:val="HTML Code"/>
    <w:uiPriority w:val="99"/>
    <w:semiHidden/>
    <w:rsid w:val="00065F18"/>
    <w:rPr>
      <w:rFonts w:ascii="Courier New" w:hAnsi="Courier New" w:cs="Courier New"/>
      <w:sz w:val="20"/>
      <w:szCs w:val="20"/>
    </w:rPr>
  </w:style>
  <w:style w:type="character" w:styleId="HTMLDefinition">
    <w:name w:val="HTML Definition"/>
    <w:uiPriority w:val="99"/>
    <w:semiHidden/>
    <w:rsid w:val="00065F18"/>
    <w:rPr>
      <w:i/>
      <w:iCs/>
    </w:rPr>
  </w:style>
  <w:style w:type="character" w:styleId="HTMLKeyboard">
    <w:name w:val="HTML Keyboard"/>
    <w:uiPriority w:val="99"/>
    <w:semiHidden/>
    <w:rsid w:val="00065F18"/>
    <w:rPr>
      <w:rFonts w:ascii="Courier New" w:hAnsi="Courier New" w:cs="Courier New"/>
      <w:sz w:val="20"/>
      <w:szCs w:val="20"/>
    </w:rPr>
  </w:style>
  <w:style w:type="paragraph" w:styleId="HTMLPreformatted">
    <w:name w:val="HTML Preformatted"/>
    <w:basedOn w:val="Normal"/>
    <w:uiPriority w:val="99"/>
    <w:semiHidden/>
    <w:rsid w:val="00065F18"/>
    <w:rPr>
      <w:rFonts w:ascii="Courier New" w:hAnsi="Courier New" w:cs="Courier New"/>
      <w:sz w:val="20"/>
      <w:szCs w:val="20"/>
    </w:rPr>
  </w:style>
  <w:style w:type="character" w:styleId="HTMLSample">
    <w:name w:val="HTML Sample"/>
    <w:uiPriority w:val="99"/>
    <w:semiHidden/>
    <w:rsid w:val="00065F18"/>
    <w:rPr>
      <w:rFonts w:ascii="Courier New" w:hAnsi="Courier New" w:cs="Courier New"/>
    </w:rPr>
  </w:style>
  <w:style w:type="character" w:styleId="HTMLTypewriter">
    <w:name w:val="HTML Typewriter"/>
    <w:uiPriority w:val="99"/>
    <w:semiHidden/>
    <w:rsid w:val="00065F18"/>
    <w:rPr>
      <w:rFonts w:ascii="Courier New" w:hAnsi="Courier New" w:cs="Courier New"/>
      <w:sz w:val="20"/>
      <w:szCs w:val="20"/>
    </w:rPr>
  </w:style>
  <w:style w:type="character" w:styleId="HTMLVariable">
    <w:name w:val="HTML Variable"/>
    <w:uiPriority w:val="99"/>
    <w:semiHidden/>
    <w:rsid w:val="00065F18"/>
    <w:rPr>
      <w:i/>
      <w:iCs/>
    </w:rPr>
  </w:style>
  <w:style w:type="character" w:styleId="Hyperlink">
    <w:name w:val="Hyperlink"/>
    <w:uiPriority w:val="99"/>
    <w:rsid w:val="00065F18"/>
    <w:rPr>
      <w:color w:val="1F546B" w:themeColor="text2"/>
      <w:u w:val="single"/>
    </w:rPr>
  </w:style>
  <w:style w:type="character" w:styleId="LineNumber">
    <w:name w:val="line number"/>
    <w:basedOn w:val="DefaultParagraphFont"/>
    <w:uiPriority w:val="99"/>
    <w:semiHidden/>
    <w:rsid w:val="00065F18"/>
  </w:style>
  <w:style w:type="paragraph" w:styleId="List">
    <w:name w:val="List"/>
    <w:basedOn w:val="Normal"/>
    <w:uiPriority w:val="99"/>
    <w:semiHidden/>
    <w:rsid w:val="00065F18"/>
    <w:pPr>
      <w:ind w:left="283" w:hanging="283"/>
    </w:pPr>
  </w:style>
  <w:style w:type="paragraph" w:styleId="List2">
    <w:name w:val="List 2"/>
    <w:basedOn w:val="Normal"/>
    <w:uiPriority w:val="3"/>
    <w:semiHidden/>
    <w:rsid w:val="00065F18"/>
    <w:pPr>
      <w:ind w:left="566" w:hanging="283"/>
    </w:pPr>
  </w:style>
  <w:style w:type="paragraph" w:styleId="List3">
    <w:name w:val="List 3"/>
    <w:basedOn w:val="Normal"/>
    <w:uiPriority w:val="99"/>
    <w:semiHidden/>
    <w:rsid w:val="00065F18"/>
    <w:pPr>
      <w:ind w:left="849" w:hanging="283"/>
    </w:pPr>
  </w:style>
  <w:style w:type="paragraph" w:styleId="List4">
    <w:name w:val="List 4"/>
    <w:basedOn w:val="Normal"/>
    <w:uiPriority w:val="99"/>
    <w:semiHidden/>
    <w:rsid w:val="00065F18"/>
    <w:pPr>
      <w:ind w:left="1132" w:hanging="283"/>
    </w:pPr>
  </w:style>
  <w:style w:type="paragraph" w:styleId="List5">
    <w:name w:val="List 5"/>
    <w:basedOn w:val="Normal"/>
    <w:uiPriority w:val="99"/>
    <w:semiHidden/>
    <w:rsid w:val="00065F18"/>
    <w:pPr>
      <w:ind w:left="1415" w:hanging="283"/>
    </w:pPr>
  </w:style>
  <w:style w:type="paragraph" w:styleId="ListBullet">
    <w:name w:val="List Bullet"/>
    <w:basedOn w:val="Bullet"/>
    <w:uiPriority w:val="99"/>
    <w:semiHidden/>
    <w:rsid w:val="00003FC7"/>
  </w:style>
  <w:style w:type="paragraph" w:styleId="ListBullet2">
    <w:name w:val="List Bullet 2"/>
    <w:basedOn w:val="Normal"/>
    <w:uiPriority w:val="99"/>
    <w:semiHidden/>
    <w:rsid w:val="00065F18"/>
    <w:pPr>
      <w:numPr>
        <w:numId w:val="1"/>
      </w:numPr>
    </w:pPr>
  </w:style>
  <w:style w:type="paragraph" w:styleId="ListBullet3">
    <w:name w:val="List Bullet 3"/>
    <w:basedOn w:val="Normal"/>
    <w:uiPriority w:val="99"/>
    <w:semiHidden/>
    <w:rsid w:val="00065F18"/>
    <w:pPr>
      <w:numPr>
        <w:numId w:val="2"/>
      </w:numPr>
    </w:pPr>
  </w:style>
  <w:style w:type="paragraph" w:styleId="ListBullet4">
    <w:name w:val="List Bullet 4"/>
    <w:basedOn w:val="Normal"/>
    <w:uiPriority w:val="99"/>
    <w:semiHidden/>
    <w:rsid w:val="00065F18"/>
    <w:pPr>
      <w:numPr>
        <w:numId w:val="3"/>
      </w:numPr>
    </w:pPr>
  </w:style>
  <w:style w:type="paragraph" w:styleId="ListBullet5">
    <w:name w:val="List Bullet 5"/>
    <w:basedOn w:val="Normal"/>
    <w:uiPriority w:val="99"/>
    <w:semiHidden/>
    <w:rsid w:val="00065F18"/>
    <w:pPr>
      <w:numPr>
        <w:numId w:val="4"/>
      </w:numPr>
    </w:pPr>
  </w:style>
  <w:style w:type="paragraph" w:styleId="ListContinue">
    <w:name w:val="List Continue"/>
    <w:basedOn w:val="Normal"/>
    <w:uiPriority w:val="99"/>
    <w:semiHidden/>
    <w:rsid w:val="00065F18"/>
    <w:pPr>
      <w:ind w:left="283"/>
    </w:pPr>
  </w:style>
  <w:style w:type="paragraph" w:styleId="ListContinue2">
    <w:name w:val="List Continue 2"/>
    <w:basedOn w:val="Normal"/>
    <w:uiPriority w:val="99"/>
    <w:semiHidden/>
    <w:rsid w:val="00065F18"/>
    <w:pPr>
      <w:ind w:left="566"/>
    </w:pPr>
  </w:style>
  <w:style w:type="paragraph" w:styleId="ListContinue3">
    <w:name w:val="List Continue 3"/>
    <w:basedOn w:val="Normal"/>
    <w:uiPriority w:val="99"/>
    <w:semiHidden/>
    <w:rsid w:val="00065F18"/>
    <w:pPr>
      <w:ind w:left="849"/>
    </w:pPr>
  </w:style>
  <w:style w:type="paragraph" w:styleId="ListContinue4">
    <w:name w:val="List Continue 4"/>
    <w:basedOn w:val="Normal"/>
    <w:uiPriority w:val="99"/>
    <w:semiHidden/>
    <w:rsid w:val="00065F18"/>
    <w:pPr>
      <w:ind w:left="1132"/>
    </w:pPr>
  </w:style>
  <w:style w:type="paragraph" w:styleId="ListContinue5">
    <w:name w:val="List Continue 5"/>
    <w:basedOn w:val="Normal"/>
    <w:uiPriority w:val="99"/>
    <w:semiHidden/>
    <w:rsid w:val="00065F18"/>
    <w:pPr>
      <w:ind w:left="1415"/>
    </w:pPr>
  </w:style>
  <w:style w:type="paragraph" w:styleId="ListNumber">
    <w:name w:val="List Number"/>
    <w:basedOn w:val="List123"/>
    <w:uiPriority w:val="99"/>
    <w:semiHidden/>
    <w:rsid w:val="00B42F17"/>
  </w:style>
  <w:style w:type="paragraph" w:styleId="ListNumber2">
    <w:name w:val="List Number 2"/>
    <w:basedOn w:val="List123level2"/>
    <w:uiPriority w:val="99"/>
    <w:semiHidden/>
    <w:rsid w:val="00B42F17"/>
  </w:style>
  <w:style w:type="paragraph" w:styleId="ListNumber3">
    <w:name w:val="List Number 3"/>
    <w:basedOn w:val="List123level3"/>
    <w:uiPriority w:val="99"/>
    <w:semiHidden/>
    <w:rsid w:val="00B42F17"/>
  </w:style>
  <w:style w:type="paragraph" w:styleId="ListNumber4">
    <w:name w:val="List Number 4"/>
    <w:basedOn w:val="Normal"/>
    <w:uiPriority w:val="99"/>
    <w:semiHidden/>
    <w:rsid w:val="00065F18"/>
    <w:pPr>
      <w:numPr>
        <w:numId w:val="5"/>
      </w:numPr>
    </w:pPr>
  </w:style>
  <w:style w:type="paragraph" w:styleId="ListNumber5">
    <w:name w:val="List Number 5"/>
    <w:basedOn w:val="Normal"/>
    <w:uiPriority w:val="99"/>
    <w:semiHidden/>
    <w:rsid w:val="00065F18"/>
    <w:pPr>
      <w:numPr>
        <w:numId w:val="6"/>
      </w:numPr>
    </w:pPr>
  </w:style>
  <w:style w:type="paragraph" w:styleId="MessageHeader">
    <w:name w:val="Message Header"/>
    <w:basedOn w:val="Normal"/>
    <w:uiPriority w:val="99"/>
    <w:semiHidden/>
    <w:rsid w:val="00065F1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rsid w:val="00065F18"/>
    <w:rPr>
      <w:rFonts w:ascii="Times New Roman" w:hAnsi="Times New Roman"/>
    </w:rPr>
  </w:style>
  <w:style w:type="paragraph" w:styleId="NormalIndent">
    <w:name w:val="Normal Indent"/>
    <w:basedOn w:val="Normal"/>
    <w:uiPriority w:val="99"/>
    <w:semiHidden/>
    <w:rsid w:val="00065F18"/>
    <w:pPr>
      <w:ind w:left="709"/>
    </w:pPr>
  </w:style>
  <w:style w:type="paragraph" w:styleId="NoteHeading">
    <w:name w:val="Note Heading"/>
    <w:basedOn w:val="Normal"/>
    <w:next w:val="Normal"/>
    <w:uiPriority w:val="99"/>
    <w:semiHidden/>
    <w:rsid w:val="00065F18"/>
  </w:style>
  <w:style w:type="character" w:customStyle="1" w:styleId="Heading1Char">
    <w:name w:val="Heading 1 Char"/>
    <w:basedOn w:val="DefaultParagraphFont"/>
    <w:link w:val="Heading1"/>
    <w:rsid w:val="005028A7"/>
    <w:rPr>
      <w:rFonts w:eastAsiaTheme="minorHAnsi" w:cs="Arial"/>
      <w:b/>
      <w:bCs/>
      <w:color w:val="1F546B" w:themeColor="text2"/>
      <w:kern w:val="32"/>
      <w:sz w:val="52"/>
      <w:szCs w:val="32"/>
      <w:lang w:eastAsia="en-US"/>
    </w:rPr>
  </w:style>
  <w:style w:type="paragraph" w:styleId="PlainText">
    <w:name w:val="Plain Text"/>
    <w:basedOn w:val="Normal"/>
    <w:uiPriority w:val="99"/>
    <w:semiHidden/>
    <w:rsid w:val="00065F18"/>
    <w:rPr>
      <w:rFonts w:ascii="Courier New" w:hAnsi="Courier New" w:cs="Courier New"/>
      <w:sz w:val="20"/>
      <w:szCs w:val="20"/>
    </w:rPr>
  </w:style>
  <w:style w:type="paragraph" w:styleId="Salutation">
    <w:name w:val="Salutation"/>
    <w:basedOn w:val="Normal"/>
    <w:next w:val="Normal"/>
    <w:uiPriority w:val="99"/>
    <w:semiHidden/>
    <w:rsid w:val="00065F18"/>
  </w:style>
  <w:style w:type="paragraph" w:styleId="Signature">
    <w:name w:val="Signature"/>
    <w:basedOn w:val="Normal"/>
    <w:uiPriority w:val="99"/>
    <w:semiHidden/>
    <w:rsid w:val="00065F18"/>
    <w:pPr>
      <w:ind w:left="4252"/>
    </w:pPr>
  </w:style>
  <w:style w:type="character" w:styleId="Strong">
    <w:name w:val="Strong"/>
    <w:uiPriority w:val="99"/>
    <w:semiHidden/>
    <w:qFormat/>
    <w:rsid w:val="00065F18"/>
    <w:rPr>
      <w:b/>
      <w:bCs/>
    </w:rPr>
  </w:style>
  <w:style w:type="paragraph" w:styleId="Subtitle">
    <w:name w:val="Subtitle"/>
    <w:basedOn w:val="Normal"/>
    <w:uiPriority w:val="1"/>
    <w:semiHidden/>
    <w:qFormat/>
    <w:rsid w:val="00065F18"/>
    <w:pPr>
      <w:jc w:val="center"/>
    </w:pPr>
    <w:rPr>
      <w:b/>
      <w:color w:val="7BC7CE"/>
      <w:sz w:val="36"/>
      <w:szCs w:val="36"/>
    </w:rPr>
  </w:style>
  <w:style w:type="table" w:styleId="Table3Deffects1">
    <w:name w:val="Table 3D effects 1"/>
    <w:basedOn w:val="TableNormal"/>
    <w:semiHidden/>
    <w:rsid w:val="00065F18"/>
    <w:pPr>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065F18"/>
    <w:pPr>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065F18"/>
    <w:pPr>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065F18"/>
    <w:pPr>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065F18"/>
    <w:pPr>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065F18"/>
    <w:pPr>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065F18"/>
    <w:pPr>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065F18"/>
    <w:pPr>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065F18"/>
    <w:pPr>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065F18"/>
    <w:pPr>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065F18"/>
    <w:pPr>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065F18"/>
    <w:pPr>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065F18"/>
    <w:pPr>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065F18"/>
    <w:pPr>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065F18"/>
    <w:pPr>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39"/>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065F18"/>
    <w:pPr>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065F18"/>
    <w:pPr>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065F18"/>
    <w:pPr>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065F18"/>
    <w:pPr>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065F18"/>
    <w:pPr>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065F18"/>
    <w:pPr>
      <w:spacing w:line="28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065F18"/>
    <w:pPr>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065F18"/>
    <w:pPr>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065F18"/>
    <w:pPr>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065F18"/>
    <w:pPr>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065F18"/>
    <w:pPr>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065F18"/>
    <w:pPr>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065F18"/>
    <w:pPr>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065F18"/>
    <w:pPr>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065F18"/>
    <w:pPr>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065F18"/>
    <w:pPr>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065F18"/>
    <w:pPr>
      <w:contextualSpacing/>
      <w:jc w:val="right"/>
    </w:pPr>
    <w:rPr>
      <w:b/>
      <w:color w:val="1F546B"/>
      <w:sz w:val="80"/>
      <w:szCs w:val="80"/>
    </w:rPr>
  </w:style>
  <w:style w:type="paragraph" w:customStyle="1" w:styleId="BodyTextIndentLevel1">
    <w:name w:val="Body Text Indent Level 1"/>
    <w:basedOn w:val="BodyText"/>
    <w:uiPriority w:val="3"/>
    <w:semiHidden/>
    <w:rsid w:val="00065F18"/>
    <w:pPr>
      <w:ind w:left="709"/>
    </w:pPr>
  </w:style>
  <w:style w:type="paragraph" w:customStyle="1" w:styleId="BodyTextIndentLevel2">
    <w:name w:val="Body Text Indent Level 2"/>
    <w:basedOn w:val="BodyText"/>
    <w:uiPriority w:val="3"/>
    <w:semiHidden/>
    <w:rsid w:val="00065F18"/>
    <w:pPr>
      <w:ind w:left="1276"/>
    </w:pPr>
  </w:style>
  <w:style w:type="paragraph" w:customStyle="1" w:styleId="BodyTextIndentLevel3">
    <w:name w:val="Body Text Indent Level 3"/>
    <w:basedOn w:val="BodyText"/>
    <w:uiPriority w:val="3"/>
    <w:semiHidden/>
    <w:rsid w:val="00065F18"/>
    <w:pPr>
      <w:numPr>
        <w:ilvl w:val="4"/>
        <w:numId w:val="10"/>
      </w:numPr>
    </w:pPr>
  </w:style>
  <w:style w:type="paragraph" w:customStyle="1" w:styleId="SingleSpacedParagraph">
    <w:name w:val="Single Spaced Paragraph"/>
    <w:basedOn w:val="Normal"/>
    <w:uiPriority w:val="99"/>
    <w:semiHidden/>
    <w:rsid w:val="00065F18"/>
  </w:style>
  <w:style w:type="paragraph" w:customStyle="1" w:styleId="Headingnumbered1">
    <w:name w:val="Heading numbered 1"/>
    <w:basedOn w:val="Heading1"/>
    <w:next w:val="Normal"/>
    <w:uiPriority w:val="1"/>
    <w:semiHidden/>
    <w:rsid w:val="00AF60A0"/>
    <w:pPr>
      <w:numPr>
        <w:numId w:val="10"/>
      </w:numPr>
      <w:outlineLvl w:val="5"/>
    </w:pPr>
  </w:style>
  <w:style w:type="paragraph" w:customStyle="1" w:styleId="Headingnumbered2">
    <w:name w:val="Heading numbered 2"/>
    <w:basedOn w:val="Heading2"/>
    <w:next w:val="Normal"/>
    <w:uiPriority w:val="1"/>
    <w:semiHidden/>
    <w:rsid w:val="00AF60A0"/>
    <w:pPr>
      <w:numPr>
        <w:ilvl w:val="1"/>
        <w:numId w:val="10"/>
      </w:numPr>
      <w:outlineLvl w:val="6"/>
    </w:pPr>
  </w:style>
  <w:style w:type="paragraph" w:customStyle="1" w:styleId="Headingnumbered3">
    <w:name w:val="Heading numbered 3"/>
    <w:basedOn w:val="Normal"/>
    <w:next w:val="Normal"/>
    <w:uiPriority w:val="1"/>
    <w:semiHidden/>
    <w:rsid w:val="00AF60A0"/>
    <w:pPr>
      <w:keepNext/>
      <w:numPr>
        <w:ilvl w:val="2"/>
        <w:numId w:val="10"/>
      </w:numPr>
      <w:spacing w:before="360" w:after="120"/>
      <w:contextualSpacing/>
    </w:pPr>
    <w:rPr>
      <w:b/>
      <w:color w:val="1F546B"/>
      <w:sz w:val="28"/>
    </w:rPr>
  </w:style>
  <w:style w:type="paragraph" w:customStyle="1" w:styleId="Headingnumbered4">
    <w:name w:val="Heading numbered 4"/>
    <w:basedOn w:val="Normal"/>
    <w:next w:val="Normal"/>
    <w:uiPriority w:val="1"/>
    <w:semiHidden/>
    <w:rsid w:val="00AF60A0"/>
    <w:pPr>
      <w:keepNext/>
      <w:numPr>
        <w:ilvl w:val="3"/>
        <w:numId w:val="10"/>
      </w:numPr>
      <w:spacing w:before="360" w:after="120"/>
      <w:contextualSpacing/>
    </w:pPr>
    <w:rPr>
      <w:b/>
      <w:i/>
      <w:color w:val="1F546B"/>
    </w:rPr>
  </w:style>
  <w:style w:type="paragraph" w:customStyle="1" w:styleId="Tinyline">
    <w:name w:val="Tiny line"/>
    <w:basedOn w:val="Normal"/>
    <w:qFormat/>
    <w:rsid w:val="00065F18"/>
    <w:pPr>
      <w:spacing w:before="0" w:after="0"/>
    </w:pPr>
    <w:rPr>
      <w:sz w:val="8"/>
    </w:rPr>
  </w:style>
  <w:style w:type="paragraph" w:customStyle="1" w:styleId="Numberedpara1level3a">
    <w:name w:val="Numbered para (1) level 3 (a)"/>
    <w:basedOn w:val="Normal"/>
    <w:semiHidden/>
    <w:rsid w:val="00065F18"/>
    <w:pPr>
      <w:numPr>
        <w:ilvl w:val="2"/>
        <w:numId w:val="21"/>
      </w:numPr>
      <w:spacing w:after="120"/>
    </w:pPr>
  </w:style>
  <w:style w:type="paragraph" w:customStyle="1" w:styleId="Numberedpara1level4i">
    <w:name w:val="Numbered para (1) level 4 (i)"/>
    <w:basedOn w:val="Normal"/>
    <w:semiHidden/>
    <w:rsid w:val="00065F18"/>
    <w:pPr>
      <w:numPr>
        <w:ilvl w:val="3"/>
        <w:numId w:val="21"/>
      </w:numPr>
      <w:spacing w:after="120"/>
    </w:pPr>
  </w:style>
  <w:style w:type="paragraph" w:customStyle="1" w:styleId="Bullet">
    <w:name w:val="Bullet"/>
    <w:basedOn w:val="Normal"/>
    <w:rsid w:val="0014565E"/>
    <w:pPr>
      <w:numPr>
        <w:numId w:val="11"/>
      </w:numPr>
      <w:spacing w:before="80" w:after="80"/>
    </w:pPr>
  </w:style>
  <w:style w:type="paragraph" w:customStyle="1" w:styleId="Bulletlevel2">
    <w:name w:val="Bullet level 2"/>
    <w:basedOn w:val="Normal"/>
    <w:uiPriority w:val="1"/>
    <w:semiHidden/>
    <w:rsid w:val="00065F18"/>
    <w:pPr>
      <w:numPr>
        <w:ilvl w:val="1"/>
        <w:numId w:val="11"/>
      </w:numPr>
      <w:spacing w:before="80" w:after="80"/>
    </w:pPr>
  </w:style>
  <w:style w:type="paragraph" w:customStyle="1" w:styleId="Bulletlevel3">
    <w:name w:val="Bullet level 3"/>
    <w:basedOn w:val="Normal"/>
    <w:uiPriority w:val="1"/>
    <w:semiHidden/>
    <w:rsid w:val="00991620"/>
    <w:pPr>
      <w:numPr>
        <w:ilvl w:val="2"/>
        <w:numId w:val="11"/>
      </w:numPr>
      <w:spacing w:before="80" w:after="80"/>
    </w:pPr>
  </w:style>
  <w:style w:type="paragraph" w:customStyle="1" w:styleId="BodyTextBulletIndentLevel1">
    <w:name w:val="Body Text Bullet Indent Level 1"/>
    <w:basedOn w:val="BodyText"/>
    <w:uiPriority w:val="99"/>
    <w:semiHidden/>
    <w:rsid w:val="00065F18"/>
    <w:pPr>
      <w:ind w:left="567"/>
    </w:pPr>
  </w:style>
  <w:style w:type="paragraph" w:customStyle="1" w:styleId="BodyTextBulletIndentLevel2">
    <w:name w:val="Body Text Bullet Indent Level 2"/>
    <w:basedOn w:val="BodyText"/>
    <w:uiPriority w:val="99"/>
    <w:semiHidden/>
    <w:rsid w:val="00065F18"/>
    <w:pPr>
      <w:ind w:left="1134"/>
    </w:pPr>
  </w:style>
  <w:style w:type="paragraph" w:customStyle="1" w:styleId="BodyTextBulletIndentLevel3">
    <w:name w:val="Body Text Bullet Indent Level 3"/>
    <w:basedOn w:val="BodyText"/>
    <w:uiPriority w:val="99"/>
    <w:semiHidden/>
    <w:rsid w:val="00065F18"/>
    <w:pPr>
      <w:ind w:left="1701"/>
    </w:pPr>
  </w:style>
  <w:style w:type="paragraph" w:customStyle="1" w:styleId="ListABC">
    <w:name w:val="List A B C"/>
    <w:basedOn w:val="Normal"/>
    <w:semiHidden/>
    <w:rsid w:val="00065F18"/>
    <w:pPr>
      <w:numPr>
        <w:numId w:val="16"/>
      </w:numPr>
      <w:spacing w:before="80" w:after="80"/>
    </w:pPr>
  </w:style>
  <w:style w:type="paragraph" w:customStyle="1" w:styleId="List123">
    <w:name w:val="List 1 2 3"/>
    <w:basedOn w:val="Normal"/>
    <w:rsid w:val="00065F18"/>
    <w:pPr>
      <w:numPr>
        <w:numId w:val="17"/>
      </w:numPr>
      <w:spacing w:before="80" w:after="80"/>
    </w:pPr>
  </w:style>
  <w:style w:type="paragraph" w:styleId="FootnoteText">
    <w:name w:val="footnote text"/>
    <w:basedOn w:val="Normal"/>
    <w:semiHidden/>
    <w:rsid w:val="00065F18"/>
    <w:pPr>
      <w:spacing w:before="60" w:after="60" w:line="192" w:lineRule="auto"/>
      <w:ind w:left="130" w:hanging="130"/>
    </w:pPr>
    <w:rPr>
      <w:sz w:val="20"/>
      <w:szCs w:val="20"/>
    </w:rPr>
  </w:style>
  <w:style w:type="character" w:styleId="FootnoteReference">
    <w:name w:val="footnote reference"/>
    <w:semiHidden/>
    <w:rsid w:val="00065F18"/>
    <w:rPr>
      <w:rFonts w:ascii="Calibri" w:hAnsi="Calibri"/>
      <w:sz w:val="24"/>
      <w:vertAlign w:val="superscript"/>
    </w:rPr>
  </w:style>
  <w:style w:type="paragraph" w:styleId="TOC1">
    <w:name w:val="toc 1"/>
    <w:basedOn w:val="Normal"/>
    <w:next w:val="Normal"/>
    <w:uiPriority w:val="39"/>
    <w:semiHidden/>
    <w:rsid w:val="00576AAA"/>
    <w:pPr>
      <w:tabs>
        <w:tab w:val="right" w:leader="dot" w:pos="9072"/>
      </w:tabs>
      <w:spacing w:before="200" w:after="60"/>
      <w:ind w:right="567"/>
    </w:pPr>
    <w:rPr>
      <w:b/>
      <w:color w:val="1F546B"/>
    </w:rPr>
  </w:style>
  <w:style w:type="paragraph" w:styleId="TOC2">
    <w:name w:val="toc 2"/>
    <w:basedOn w:val="Normal"/>
    <w:next w:val="Normal"/>
    <w:uiPriority w:val="39"/>
    <w:semiHidden/>
    <w:rsid w:val="00576AAA"/>
    <w:pPr>
      <w:tabs>
        <w:tab w:val="right" w:leader="dot" w:pos="9072"/>
      </w:tabs>
      <w:spacing w:before="60" w:after="60"/>
      <w:ind w:left="425" w:right="567"/>
    </w:pPr>
    <w:rPr>
      <w:noProof/>
    </w:rPr>
  </w:style>
  <w:style w:type="paragraph" w:styleId="TOC3">
    <w:name w:val="toc 3"/>
    <w:basedOn w:val="Normal"/>
    <w:next w:val="Normal"/>
    <w:autoRedefine/>
    <w:uiPriority w:val="39"/>
    <w:semiHidden/>
    <w:rsid w:val="00576AAA"/>
    <w:pPr>
      <w:tabs>
        <w:tab w:val="right" w:leader="dot" w:pos="9072"/>
      </w:tabs>
      <w:spacing w:before="60" w:after="60"/>
      <w:ind w:left="992" w:right="567"/>
    </w:pPr>
    <w:rPr>
      <w:noProof/>
    </w:rPr>
  </w:style>
  <w:style w:type="paragraph" w:styleId="TOC4">
    <w:name w:val="toc 4"/>
    <w:basedOn w:val="Normal"/>
    <w:next w:val="Normal"/>
    <w:autoRedefine/>
    <w:uiPriority w:val="39"/>
    <w:semiHidden/>
    <w:rsid w:val="00576AAA"/>
    <w:pPr>
      <w:tabs>
        <w:tab w:val="right" w:leader="dot" w:pos="9072"/>
      </w:tabs>
      <w:spacing w:before="60" w:after="60"/>
      <w:ind w:left="1701" w:right="567"/>
    </w:pPr>
    <w:rPr>
      <w:noProof/>
    </w:rPr>
  </w:style>
  <w:style w:type="paragraph" w:styleId="TOC5">
    <w:name w:val="toc 5"/>
    <w:aliases w:val="appendix heading"/>
    <w:basedOn w:val="Normal"/>
    <w:next w:val="Normal"/>
    <w:autoRedefine/>
    <w:uiPriority w:val="39"/>
    <w:semiHidden/>
    <w:rsid w:val="00065F18"/>
    <w:pPr>
      <w:tabs>
        <w:tab w:val="right" w:leader="dot" w:pos="9072"/>
      </w:tabs>
      <w:spacing w:after="60"/>
      <w:ind w:right="567"/>
      <w:contextualSpacing/>
    </w:pPr>
    <w:rPr>
      <w:noProof/>
    </w:rPr>
  </w:style>
  <w:style w:type="paragraph" w:customStyle="1" w:styleId="HeadingContents">
    <w:name w:val="Heading Contents"/>
    <w:basedOn w:val="HeadingTableofFigures"/>
    <w:uiPriority w:val="99"/>
    <w:semiHidden/>
    <w:rsid w:val="00065F18"/>
  </w:style>
  <w:style w:type="paragraph" w:customStyle="1" w:styleId="Tableheading">
    <w:name w:val="Table heading"/>
    <w:basedOn w:val="Normal"/>
    <w:rsid w:val="00AF60A0"/>
    <w:pPr>
      <w:keepNext/>
      <w:spacing w:before="40" w:after="40"/>
    </w:pPr>
    <w:rPr>
      <w:b/>
      <w:color w:val="FFFFFF" w:themeColor="background1"/>
      <w:sz w:val="22"/>
    </w:rPr>
  </w:style>
  <w:style w:type="character" w:customStyle="1" w:styleId="Heading2Char">
    <w:name w:val="Heading 2 Char"/>
    <w:basedOn w:val="DefaultParagraphFont"/>
    <w:link w:val="Heading2"/>
    <w:rsid w:val="00065F18"/>
    <w:rPr>
      <w:rFonts w:eastAsiaTheme="minorHAnsi" w:cs="Arial"/>
      <w:b/>
      <w:bCs/>
      <w:iCs/>
      <w:color w:val="1F546B"/>
      <w:sz w:val="36"/>
      <w:szCs w:val="28"/>
      <w:lang w:eastAsia="en-US"/>
    </w:rPr>
  </w:style>
  <w:style w:type="paragraph" w:customStyle="1" w:styleId="BodyTextTable">
    <w:name w:val="Body Text Table"/>
    <w:basedOn w:val="BodyText"/>
    <w:uiPriority w:val="11"/>
    <w:semiHidden/>
    <w:rsid w:val="00065F18"/>
    <w:pPr>
      <w:spacing w:after="180" w:line="260" w:lineRule="atLeast"/>
    </w:pPr>
    <w:rPr>
      <w:sz w:val="22"/>
    </w:rPr>
  </w:style>
  <w:style w:type="paragraph" w:customStyle="1" w:styleId="BodyTextTableLastLine">
    <w:name w:val="Body Text Table Last Line"/>
    <w:basedOn w:val="BodyTextTable"/>
    <w:uiPriority w:val="99"/>
    <w:semiHidden/>
    <w:rsid w:val="00065F18"/>
    <w:pPr>
      <w:spacing w:after="0"/>
    </w:pPr>
  </w:style>
  <w:style w:type="paragraph" w:customStyle="1" w:styleId="Tablebullet">
    <w:name w:val="Table bullet"/>
    <w:basedOn w:val="Tablenormal0"/>
    <w:rsid w:val="00065F18"/>
    <w:pPr>
      <w:numPr>
        <w:numId w:val="12"/>
      </w:numPr>
    </w:pPr>
  </w:style>
  <w:style w:type="paragraph" w:customStyle="1" w:styleId="Tablebulletlevel2">
    <w:name w:val="Table bullet level 2"/>
    <w:basedOn w:val="Tablenormal0"/>
    <w:uiPriority w:val="99"/>
    <w:semiHidden/>
    <w:rsid w:val="00065F18"/>
    <w:pPr>
      <w:numPr>
        <w:ilvl w:val="1"/>
        <w:numId w:val="12"/>
      </w:numPr>
    </w:pPr>
  </w:style>
  <w:style w:type="paragraph" w:customStyle="1" w:styleId="TableBulletListLevel3">
    <w:name w:val="Table Bullet List Level 3"/>
    <w:basedOn w:val="BodyTextTable"/>
    <w:uiPriority w:val="11"/>
    <w:semiHidden/>
    <w:rsid w:val="00065F18"/>
    <w:pPr>
      <w:numPr>
        <w:ilvl w:val="2"/>
        <w:numId w:val="12"/>
      </w:numPr>
      <w:spacing w:before="60" w:after="60"/>
    </w:pPr>
  </w:style>
  <w:style w:type="paragraph" w:customStyle="1" w:styleId="Tablelist123">
    <w:name w:val="Table list 1 2 3"/>
    <w:basedOn w:val="Tablenormal0"/>
    <w:rsid w:val="00065F18"/>
    <w:pPr>
      <w:numPr>
        <w:numId w:val="14"/>
      </w:numPr>
    </w:pPr>
  </w:style>
  <w:style w:type="paragraph" w:customStyle="1" w:styleId="Tablelist123level2">
    <w:name w:val="Table list 1 2 3 level 2"/>
    <w:basedOn w:val="Tablenormal0"/>
    <w:semiHidden/>
    <w:rsid w:val="00065F18"/>
    <w:pPr>
      <w:numPr>
        <w:ilvl w:val="1"/>
        <w:numId w:val="14"/>
      </w:numPr>
    </w:pPr>
  </w:style>
  <w:style w:type="character" w:customStyle="1" w:styleId="Heading4Char">
    <w:name w:val="Heading 4 Char"/>
    <w:basedOn w:val="DefaultParagraphFont"/>
    <w:link w:val="Heading4"/>
    <w:rsid w:val="00065F18"/>
    <w:rPr>
      <w:rFonts w:eastAsiaTheme="minorHAnsi"/>
      <w:b/>
      <w:bCs/>
      <w:i/>
      <w:color w:val="1F546B" w:themeColor="text2"/>
      <w:szCs w:val="28"/>
      <w:lang w:eastAsia="en-US"/>
    </w:rPr>
  </w:style>
  <w:style w:type="paragraph" w:customStyle="1" w:styleId="BodyTextTableLevel1">
    <w:name w:val="Body Text Table Level 1"/>
    <w:basedOn w:val="BodyTextTable"/>
    <w:uiPriority w:val="11"/>
    <w:semiHidden/>
    <w:rsid w:val="00065F18"/>
    <w:pPr>
      <w:numPr>
        <w:numId w:val="13"/>
      </w:numPr>
    </w:pPr>
  </w:style>
  <w:style w:type="paragraph" w:customStyle="1" w:styleId="BodyTextTableLevel2">
    <w:name w:val="Body Text Table Level 2"/>
    <w:basedOn w:val="BodyTextTable"/>
    <w:uiPriority w:val="11"/>
    <w:semiHidden/>
    <w:rsid w:val="00065F18"/>
    <w:pPr>
      <w:numPr>
        <w:ilvl w:val="1"/>
        <w:numId w:val="13"/>
      </w:numPr>
    </w:pPr>
  </w:style>
  <w:style w:type="paragraph" w:customStyle="1" w:styleId="BodyTextTableLevel3">
    <w:name w:val="Body Text Table Level 3"/>
    <w:basedOn w:val="BodyTextTable"/>
    <w:uiPriority w:val="11"/>
    <w:semiHidden/>
    <w:rsid w:val="00065F18"/>
    <w:pPr>
      <w:numPr>
        <w:ilvl w:val="3"/>
        <w:numId w:val="14"/>
      </w:numPr>
    </w:pPr>
  </w:style>
  <w:style w:type="paragraph" w:styleId="Caption">
    <w:name w:val="caption"/>
    <w:basedOn w:val="Normal"/>
    <w:next w:val="Normal"/>
    <w:qFormat/>
    <w:rsid w:val="00AF60A0"/>
    <w:pPr>
      <w:keepNext/>
      <w:spacing w:before="80" w:after="80"/>
      <w:jc w:val="center"/>
    </w:pPr>
    <w:rPr>
      <w:b/>
      <w:bCs/>
      <w:sz w:val="22"/>
      <w:szCs w:val="20"/>
    </w:rPr>
  </w:style>
  <w:style w:type="paragraph" w:customStyle="1" w:styleId="WhiteSpace">
    <w:name w:val="White Space"/>
    <w:basedOn w:val="Normal"/>
    <w:uiPriority w:val="99"/>
    <w:semiHidden/>
    <w:rsid w:val="00065F18"/>
    <w:rPr>
      <w:sz w:val="12"/>
    </w:rPr>
  </w:style>
  <w:style w:type="table" w:customStyle="1" w:styleId="DIAplaintable">
    <w:name w:val="DIA plain table"/>
    <w:basedOn w:val="TableNormal"/>
    <w:uiPriority w:val="99"/>
    <w:rsid w:val="00594AAA"/>
    <w:pPr>
      <w:spacing w:before="56" w:after="32"/>
    </w:pPr>
    <w:rPr>
      <w:sz w:val="22"/>
    </w:rPr>
    <w:tblPr>
      <w:tblInd w:w="10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Pr>
    <w:tblStylePr w:type="firstRow">
      <w:rPr>
        <w:b/>
      </w:rPr>
      <w:tblPr/>
      <w:tcPr>
        <w:tcBorders>
          <w:top w:val="single" w:sz="12" w:space="0" w:color="000000" w:themeColor="text1"/>
          <w:left w:val="single" w:sz="12" w:space="0" w:color="000000" w:themeColor="text1"/>
          <w:bottom w:val="single" w:sz="12" w:space="0" w:color="000000" w:themeColor="text1"/>
          <w:right w:val="single" w:sz="12" w:space="0" w:color="000000" w:themeColor="text1"/>
          <w:insideH w:val="nil"/>
          <w:insideV w:val="single" w:sz="6" w:space="0" w:color="000000" w:themeColor="text1"/>
          <w:tl2br w:val="nil"/>
          <w:tr2bl w:val="nil"/>
        </w:tcBorders>
      </w:tcPr>
    </w:tblStylePr>
  </w:style>
  <w:style w:type="paragraph" w:customStyle="1" w:styleId="Headingappendix">
    <w:name w:val="Heading appendix"/>
    <w:basedOn w:val="Heading1"/>
    <w:next w:val="Normal"/>
    <w:rsid w:val="00065F18"/>
    <w:pPr>
      <w:pageBreakBefore/>
      <w:numPr>
        <w:numId w:val="15"/>
      </w:numPr>
      <w:tabs>
        <w:tab w:val="left" w:pos="2268"/>
      </w:tabs>
      <w:spacing w:before="0"/>
      <w:outlineLvl w:val="7"/>
    </w:pPr>
  </w:style>
  <w:style w:type="paragraph" w:customStyle="1" w:styleId="NotforContentsheading1">
    <w:name w:val="Not for Contents heading 1"/>
    <w:basedOn w:val="Normal"/>
    <w:next w:val="Normal"/>
    <w:rsid w:val="005028A7"/>
    <w:pPr>
      <w:keepNext/>
      <w:spacing w:before="360" w:after="120"/>
      <w:contextualSpacing/>
    </w:pPr>
    <w:rPr>
      <w:b/>
      <w:color w:val="1F546B"/>
      <w:kern w:val="32"/>
      <w:sz w:val="52"/>
    </w:rPr>
  </w:style>
  <w:style w:type="paragraph" w:styleId="TOC6">
    <w:name w:val="toc 6"/>
    <w:basedOn w:val="Normal"/>
    <w:next w:val="Normal"/>
    <w:autoRedefine/>
    <w:uiPriority w:val="99"/>
    <w:semiHidden/>
    <w:rsid w:val="00065F18"/>
    <w:pPr>
      <w:tabs>
        <w:tab w:val="right" w:pos="9072"/>
      </w:tabs>
      <w:spacing w:before="200"/>
      <w:ind w:left="567" w:right="567" w:hanging="567"/>
    </w:pPr>
    <w:rPr>
      <w:b/>
    </w:rPr>
  </w:style>
  <w:style w:type="paragraph" w:styleId="TOC7">
    <w:name w:val="toc 7"/>
    <w:basedOn w:val="Normal"/>
    <w:next w:val="Normal"/>
    <w:autoRedefine/>
    <w:uiPriority w:val="99"/>
    <w:semiHidden/>
    <w:rsid w:val="00065F18"/>
    <w:pPr>
      <w:tabs>
        <w:tab w:val="left" w:pos="567"/>
        <w:tab w:val="right" w:pos="9072"/>
      </w:tabs>
      <w:ind w:left="567" w:right="567" w:hanging="567"/>
    </w:pPr>
  </w:style>
  <w:style w:type="paragraph" w:styleId="TOC8">
    <w:name w:val="toc 8"/>
    <w:basedOn w:val="Normal"/>
    <w:next w:val="Normal"/>
    <w:autoRedefine/>
    <w:uiPriority w:val="99"/>
    <w:semiHidden/>
    <w:rsid w:val="00065F18"/>
    <w:pPr>
      <w:tabs>
        <w:tab w:val="right" w:pos="9072"/>
      </w:tabs>
      <w:spacing w:before="200"/>
      <w:ind w:left="284" w:hanging="284"/>
    </w:pPr>
    <w:rPr>
      <w:b/>
    </w:rPr>
  </w:style>
  <w:style w:type="paragraph" w:customStyle="1" w:styleId="ListABClevel2">
    <w:name w:val="List A B C level 2"/>
    <w:basedOn w:val="Normal"/>
    <w:uiPriority w:val="1"/>
    <w:semiHidden/>
    <w:qFormat/>
    <w:rsid w:val="00065F18"/>
    <w:pPr>
      <w:numPr>
        <w:ilvl w:val="1"/>
        <w:numId w:val="16"/>
      </w:numPr>
      <w:spacing w:before="80" w:after="80"/>
    </w:pPr>
  </w:style>
  <w:style w:type="paragraph" w:customStyle="1" w:styleId="NotforContentsheading2">
    <w:name w:val="Not for Contents heading 2"/>
    <w:basedOn w:val="Normal"/>
    <w:next w:val="Normal"/>
    <w:rsid w:val="00AF60A0"/>
    <w:pPr>
      <w:keepNext/>
      <w:spacing w:before="360" w:after="120"/>
      <w:contextualSpacing/>
    </w:pPr>
    <w:rPr>
      <w:b/>
      <w:color w:val="1F546B"/>
      <w:sz w:val="36"/>
    </w:rPr>
  </w:style>
  <w:style w:type="character" w:customStyle="1" w:styleId="Heading3Char">
    <w:name w:val="Heading 3 Char"/>
    <w:link w:val="Heading3"/>
    <w:rsid w:val="00AF60A0"/>
    <w:rPr>
      <w:rFonts w:eastAsiaTheme="minorHAnsi" w:cs="Arial"/>
      <w:b/>
      <w:bCs/>
      <w:color w:val="1F546B"/>
      <w:sz w:val="28"/>
      <w:szCs w:val="26"/>
      <w:lang w:eastAsia="en-US"/>
    </w:rPr>
  </w:style>
  <w:style w:type="paragraph" w:styleId="BalloonText">
    <w:name w:val="Balloon Text"/>
    <w:basedOn w:val="Normal"/>
    <w:uiPriority w:val="99"/>
    <w:semiHidden/>
    <w:rsid w:val="00065F18"/>
    <w:rPr>
      <w:rFonts w:ascii="Tahoma" w:hAnsi="Tahoma" w:cs="Tahoma"/>
      <w:sz w:val="16"/>
      <w:szCs w:val="16"/>
    </w:rPr>
  </w:style>
  <w:style w:type="paragraph" w:styleId="TableofFigures">
    <w:name w:val="table of figures"/>
    <w:basedOn w:val="Normal"/>
    <w:next w:val="Normal"/>
    <w:uiPriority w:val="99"/>
    <w:semiHidden/>
    <w:rsid w:val="00065F18"/>
    <w:pPr>
      <w:keepNext/>
      <w:spacing w:before="480" w:after="0"/>
    </w:pPr>
    <w:rPr>
      <w:rFonts w:eastAsiaTheme="majorEastAsia" w:cstheme="majorBidi"/>
      <w:b/>
      <w:bCs/>
      <w:color w:val="1F546B"/>
      <w:sz w:val="60"/>
      <w:szCs w:val="28"/>
      <w:lang w:val="en-US" w:eastAsia="ja-JP"/>
    </w:rPr>
  </w:style>
  <w:style w:type="paragraph" w:customStyle="1" w:styleId="HeadingTableofTables">
    <w:name w:val="Heading Table of Tables"/>
    <w:basedOn w:val="HeadingContents"/>
    <w:next w:val="BodyText"/>
    <w:uiPriority w:val="4"/>
    <w:semiHidden/>
    <w:rsid w:val="00065F18"/>
    <w:pPr>
      <w:spacing w:after="60"/>
    </w:pPr>
  </w:style>
  <w:style w:type="paragraph" w:customStyle="1" w:styleId="HeadingTableofFigures">
    <w:name w:val="Heading Table of Figures"/>
    <w:next w:val="BodyText"/>
    <w:uiPriority w:val="4"/>
    <w:semiHidden/>
    <w:rsid w:val="00065F18"/>
    <w:rPr>
      <w:rFonts w:eastAsiaTheme="majorEastAsia" w:cstheme="majorBidi"/>
      <w:b/>
      <w:bCs/>
      <w:color w:val="1F546B"/>
      <w:sz w:val="60"/>
      <w:szCs w:val="28"/>
      <w:lang w:val="en-US" w:eastAsia="ja-JP"/>
    </w:rPr>
  </w:style>
  <w:style w:type="table" w:customStyle="1" w:styleId="DIATable">
    <w:name w:val="_DIA Table"/>
    <w:basedOn w:val="TableNormal"/>
    <w:uiPriority w:val="99"/>
    <w:rsid w:val="00594AAA"/>
    <w:pPr>
      <w:spacing w:before="56" w:after="32"/>
    </w:pPr>
    <w:rPr>
      <w:rFonts w:cstheme="minorBidi"/>
      <w:sz w:val="22"/>
      <w:lang w:eastAsia="en-US"/>
    </w:rPr>
    <w:tblPr>
      <w:tblInd w:w="108" w:type="dxa"/>
      <w:tblBorders>
        <w:top w:val="single" w:sz="12" w:space="0" w:color="1F546B" w:themeColor="text2"/>
        <w:left w:val="single" w:sz="12" w:space="0" w:color="1F546B" w:themeColor="text2"/>
        <w:bottom w:val="single" w:sz="12" w:space="0" w:color="1F546B" w:themeColor="text2"/>
        <w:right w:val="single" w:sz="12" w:space="0" w:color="1F546B" w:themeColor="text2"/>
        <w:insideH w:val="single" w:sz="6" w:space="0" w:color="1F546B" w:themeColor="text2"/>
        <w:insideV w:val="single" w:sz="6" w:space="0" w:color="1F546B" w:themeColor="text2"/>
      </w:tblBorders>
    </w:tblPr>
    <w:trPr>
      <w:cantSplit/>
    </w:trPr>
    <w:tblStylePr w:type="firstRow">
      <w:pPr>
        <w:keepNext/>
        <w:wordWrap/>
        <w:spacing w:beforeLines="0" w:before="60" w:beforeAutospacing="0" w:afterLines="0" w:after="32" w:afterAutospacing="0" w:line="240" w:lineRule="auto"/>
        <w:contextualSpacing w:val="0"/>
      </w:pPr>
      <w:rPr>
        <w:rFonts w:ascii="Calibri" w:hAnsi="Calibri"/>
        <w:b/>
        <w:color w:val="FFFFFF" w:themeColor="background1"/>
        <w:sz w:val="22"/>
      </w:rPr>
      <w:tblPr/>
      <w:tcPr>
        <w:tcBorders>
          <w:top w:val="single" w:sz="6" w:space="0" w:color="1F546B" w:themeColor="text2"/>
          <w:left w:val="single" w:sz="12" w:space="0" w:color="1F546B" w:themeColor="text2"/>
          <w:bottom w:val="nil"/>
          <w:right w:val="single" w:sz="12" w:space="0" w:color="1F546B" w:themeColor="text2"/>
          <w:insideH w:val="single" w:sz="6" w:space="0" w:color="FFFFFF" w:themeColor="background1"/>
          <w:insideV w:val="single" w:sz="6" w:space="0" w:color="FFFFFF" w:themeColor="background1"/>
          <w:tl2br w:val="nil"/>
          <w:tr2bl w:val="nil"/>
        </w:tcBorders>
        <w:shd w:val="clear" w:color="auto" w:fill="1F546B" w:themeFill="text2"/>
      </w:tcPr>
    </w:tblStylePr>
  </w:style>
  <w:style w:type="character" w:styleId="SubtleEmphasis">
    <w:name w:val="Subtle Emphasis"/>
    <w:basedOn w:val="DefaultParagraphFont"/>
    <w:uiPriority w:val="99"/>
    <w:semiHidden/>
    <w:qFormat/>
    <w:rsid w:val="00065F18"/>
    <w:rPr>
      <w:i/>
      <w:iCs/>
    </w:rPr>
  </w:style>
  <w:style w:type="character" w:styleId="IntenseEmphasis">
    <w:name w:val="Intense Emphasis"/>
    <w:uiPriority w:val="99"/>
    <w:semiHidden/>
    <w:qFormat/>
    <w:rsid w:val="00065F18"/>
    <w:rPr>
      <w:b/>
      <w:i/>
    </w:rPr>
  </w:style>
  <w:style w:type="paragraph" w:styleId="ListParagraph">
    <w:name w:val="List Paragraph"/>
    <w:basedOn w:val="List123"/>
    <w:uiPriority w:val="34"/>
    <w:qFormat/>
    <w:rsid w:val="00C5028E"/>
  </w:style>
  <w:style w:type="character" w:customStyle="1" w:styleId="Heading5Char">
    <w:name w:val="Heading 5 Char"/>
    <w:basedOn w:val="DefaultParagraphFont"/>
    <w:link w:val="Heading5"/>
    <w:uiPriority w:val="1"/>
    <w:semiHidden/>
    <w:rsid w:val="00065F18"/>
    <w:rPr>
      <w:rFonts w:eastAsiaTheme="minorHAnsi"/>
      <w:b/>
      <w:bCs/>
      <w:iCs/>
      <w:szCs w:val="26"/>
      <w:lang w:eastAsia="en-US"/>
    </w:rPr>
  </w:style>
  <w:style w:type="character" w:styleId="SubtleReference">
    <w:name w:val="Subtle Reference"/>
    <w:basedOn w:val="DefaultParagraphFont"/>
    <w:uiPriority w:val="99"/>
    <w:semiHidden/>
    <w:qFormat/>
    <w:rsid w:val="00065F18"/>
    <w:rPr>
      <w:rFonts w:ascii="Calibri" w:hAnsi="Calibri"/>
      <w:smallCaps/>
      <w:color w:val="A42F13" w:themeColor="accent2"/>
      <w:u w:val="single"/>
    </w:rPr>
  </w:style>
  <w:style w:type="character" w:styleId="BookTitle">
    <w:name w:val="Book Title"/>
    <w:basedOn w:val="DefaultParagraphFont"/>
    <w:uiPriority w:val="33"/>
    <w:semiHidden/>
    <w:qFormat/>
    <w:rsid w:val="00065F18"/>
    <w:rPr>
      <w:rFonts w:ascii="Calibri" w:hAnsi="Calibri"/>
      <w:b/>
      <w:bCs/>
      <w:smallCaps/>
      <w:spacing w:val="5"/>
    </w:rPr>
  </w:style>
  <w:style w:type="character" w:styleId="IntenseReference">
    <w:name w:val="Intense Reference"/>
    <w:basedOn w:val="DefaultParagraphFont"/>
    <w:uiPriority w:val="99"/>
    <w:semiHidden/>
    <w:qFormat/>
    <w:rsid w:val="00065F18"/>
    <w:rPr>
      <w:rFonts w:ascii="Calibri" w:hAnsi="Calibri"/>
      <w:b/>
      <w:bCs/>
      <w:smallCaps/>
      <w:color w:val="A42F13" w:themeColor="accent2"/>
      <w:spacing w:val="5"/>
      <w:u w:val="single"/>
    </w:rPr>
  </w:style>
  <w:style w:type="paragraph" w:styleId="Index1">
    <w:name w:val="index 1"/>
    <w:basedOn w:val="Normal"/>
    <w:next w:val="Normal"/>
    <w:autoRedefine/>
    <w:uiPriority w:val="99"/>
    <w:semiHidden/>
    <w:rsid w:val="00065F18"/>
    <w:pPr>
      <w:ind w:left="240" w:hanging="240"/>
    </w:pPr>
  </w:style>
  <w:style w:type="paragraph" w:styleId="IndexHeading">
    <w:name w:val="index heading"/>
    <w:basedOn w:val="Normal"/>
    <w:next w:val="Index1"/>
    <w:uiPriority w:val="99"/>
    <w:semiHidden/>
    <w:rsid w:val="00065F18"/>
    <w:rPr>
      <w:rFonts w:eastAsiaTheme="majorEastAsia" w:cstheme="majorBidi"/>
      <w:b/>
      <w:bCs/>
    </w:rPr>
  </w:style>
  <w:style w:type="character" w:styleId="EndnoteReference">
    <w:name w:val="endnote reference"/>
    <w:basedOn w:val="DefaultParagraphFont"/>
    <w:uiPriority w:val="99"/>
    <w:semiHidden/>
    <w:rsid w:val="00065F18"/>
    <w:rPr>
      <w:rFonts w:ascii="Calibri" w:hAnsi="Calibri"/>
      <w:vertAlign w:val="superscript"/>
    </w:rPr>
  </w:style>
  <w:style w:type="paragraph" w:styleId="TOAHeading">
    <w:name w:val="toa heading"/>
    <w:basedOn w:val="Normal"/>
    <w:next w:val="Normal"/>
    <w:uiPriority w:val="99"/>
    <w:semiHidden/>
    <w:rsid w:val="00065F18"/>
    <w:rPr>
      <w:rFonts w:eastAsiaTheme="majorEastAsia" w:cstheme="majorBidi"/>
      <w:b/>
      <w:bCs/>
    </w:rPr>
  </w:style>
  <w:style w:type="paragraph" w:styleId="MacroText">
    <w:name w:val="macro"/>
    <w:link w:val="MacroTextChar"/>
    <w:uiPriority w:val="99"/>
    <w:semiHidden/>
    <w:rsid w:val="00065F18"/>
    <w:pPr>
      <w:tabs>
        <w:tab w:val="left" w:pos="480"/>
        <w:tab w:val="left" w:pos="960"/>
        <w:tab w:val="left" w:pos="1440"/>
        <w:tab w:val="left" w:pos="1920"/>
        <w:tab w:val="left" w:pos="2400"/>
        <w:tab w:val="left" w:pos="2880"/>
        <w:tab w:val="left" w:pos="3360"/>
        <w:tab w:val="left" w:pos="3840"/>
        <w:tab w:val="left" w:pos="4320"/>
      </w:tabs>
      <w:spacing w:line="280" w:lineRule="atLeast"/>
    </w:pPr>
    <w:rPr>
      <w:rFonts w:cs="Consolas"/>
      <w:lang w:eastAsia="en-US"/>
    </w:rPr>
  </w:style>
  <w:style w:type="character" w:customStyle="1" w:styleId="MacroTextChar">
    <w:name w:val="Macro Text Char"/>
    <w:basedOn w:val="DefaultParagraphFont"/>
    <w:link w:val="MacroText"/>
    <w:uiPriority w:val="99"/>
    <w:semiHidden/>
    <w:rsid w:val="00065F18"/>
    <w:rPr>
      <w:rFonts w:cs="Consolas"/>
      <w:lang w:eastAsia="en-US"/>
    </w:rPr>
  </w:style>
  <w:style w:type="character" w:styleId="CommentReference">
    <w:name w:val="annotation reference"/>
    <w:basedOn w:val="DefaultParagraphFont"/>
    <w:uiPriority w:val="99"/>
    <w:semiHidden/>
    <w:rsid w:val="00065F18"/>
    <w:rPr>
      <w:rFonts w:ascii="Calibri" w:hAnsi="Calibri"/>
      <w:sz w:val="16"/>
      <w:szCs w:val="16"/>
    </w:rPr>
  </w:style>
  <w:style w:type="character" w:customStyle="1" w:styleId="BodyTextChar">
    <w:name w:val="Body Text Char"/>
    <w:basedOn w:val="DefaultParagraphFont"/>
    <w:link w:val="BodyText"/>
    <w:uiPriority w:val="99"/>
    <w:semiHidden/>
    <w:rsid w:val="00065F18"/>
    <w:rPr>
      <w:rFonts w:eastAsiaTheme="minorHAnsi"/>
      <w:lang w:eastAsia="en-US"/>
    </w:rPr>
  </w:style>
  <w:style w:type="paragraph" w:styleId="IntenseQuote">
    <w:name w:val="Intense Quote"/>
    <w:basedOn w:val="Normal"/>
    <w:next w:val="Normal"/>
    <w:link w:val="IntenseQuoteChar"/>
    <w:uiPriority w:val="99"/>
    <w:semiHidden/>
    <w:qFormat/>
    <w:rsid w:val="00065F18"/>
    <w:pPr>
      <w:pBdr>
        <w:bottom w:val="single" w:sz="4" w:space="4" w:color="7BC7CE" w:themeColor="accent1"/>
      </w:pBdr>
      <w:spacing w:before="200" w:after="280"/>
      <w:ind w:left="936" w:right="936"/>
    </w:pPr>
    <w:rPr>
      <w:b/>
      <w:bCs/>
      <w:i/>
      <w:iCs/>
      <w:color w:val="1F546B" w:themeColor="text2"/>
    </w:rPr>
  </w:style>
  <w:style w:type="character" w:customStyle="1" w:styleId="IntenseQuoteChar">
    <w:name w:val="Intense Quote Char"/>
    <w:basedOn w:val="DefaultParagraphFont"/>
    <w:link w:val="IntenseQuote"/>
    <w:uiPriority w:val="99"/>
    <w:semiHidden/>
    <w:rsid w:val="00065F18"/>
    <w:rPr>
      <w:rFonts w:eastAsiaTheme="minorHAnsi"/>
      <w:b/>
      <w:bCs/>
      <w:i/>
      <w:iCs/>
      <w:color w:val="1F546B" w:themeColor="text2"/>
      <w:lang w:eastAsia="en-US"/>
    </w:rPr>
  </w:style>
  <w:style w:type="paragraph" w:customStyle="1" w:styleId="Headingpage">
    <w:name w:val="Heading page"/>
    <w:basedOn w:val="Normal"/>
    <w:next w:val="Normal"/>
    <w:semiHidden/>
    <w:rsid w:val="00065F18"/>
    <w:pPr>
      <w:spacing w:before="400"/>
    </w:pPr>
    <w:rPr>
      <w:b/>
      <w:color w:val="1F546B" w:themeColor="text2"/>
      <w:sz w:val="48"/>
    </w:rPr>
  </w:style>
  <w:style w:type="paragraph" w:customStyle="1" w:styleId="Tablenormal0">
    <w:name w:val="Table normal"/>
    <w:basedOn w:val="Normal"/>
    <w:qFormat/>
    <w:rsid w:val="00065F18"/>
    <w:pPr>
      <w:spacing w:before="40" w:after="40"/>
    </w:pPr>
    <w:rPr>
      <w:sz w:val="22"/>
    </w:rPr>
  </w:style>
  <w:style w:type="character" w:customStyle="1" w:styleId="Heading6Char">
    <w:name w:val="Heading 6 Char"/>
    <w:basedOn w:val="DefaultParagraphFont"/>
    <w:link w:val="Heading6"/>
    <w:uiPriority w:val="1"/>
    <w:semiHidden/>
    <w:rsid w:val="00065F18"/>
    <w:rPr>
      <w:rFonts w:eastAsiaTheme="minorHAnsi"/>
      <w:b/>
      <w:bCs/>
      <w:i/>
      <w:szCs w:val="22"/>
      <w:lang w:eastAsia="en-US"/>
    </w:rPr>
  </w:style>
  <w:style w:type="paragraph" w:customStyle="1" w:styleId="ListABClevel3">
    <w:name w:val="List A B C level 3"/>
    <w:basedOn w:val="Normal"/>
    <w:uiPriority w:val="1"/>
    <w:semiHidden/>
    <w:qFormat/>
    <w:rsid w:val="00065F18"/>
    <w:pPr>
      <w:numPr>
        <w:ilvl w:val="2"/>
        <w:numId w:val="16"/>
      </w:numPr>
      <w:spacing w:before="80" w:after="80"/>
    </w:pPr>
  </w:style>
  <w:style w:type="paragraph" w:customStyle="1" w:styleId="List123level2">
    <w:name w:val="List 1 2 3 level 2"/>
    <w:basedOn w:val="Normal"/>
    <w:uiPriority w:val="1"/>
    <w:semiHidden/>
    <w:qFormat/>
    <w:rsid w:val="00FF3414"/>
    <w:pPr>
      <w:numPr>
        <w:ilvl w:val="1"/>
        <w:numId w:val="17"/>
      </w:numPr>
      <w:spacing w:before="80" w:after="80"/>
    </w:pPr>
  </w:style>
  <w:style w:type="paragraph" w:customStyle="1" w:styleId="List123level3">
    <w:name w:val="List 1 2 3 level 3"/>
    <w:basedOn w:val="Normal"/>
    <w:uiPriority w:val="1"/>
    <w:semiHidden/>
    <w:qFormat/>
    <w:rsid w:val="00FF3414"/>
    <w:pPr>
      <w:numPr>
        <w:ilvl w:val="2"/>
        <w:numId w:val="17"/>
      </w:numPr>
      <w:spacing w:before="80" w:after="80"/>
    </w:pPr>
  </w:style>
  <w:style w:type="paragraph" w:customStyle="1" w:styleId="Legislationsection">
    <w:name w:val="Legislation section"/>
    <w:basedOn w:val="Normal"/>
    <w:semiHidden/>
    <w:qFormat/>
    <w:rsid w:val="00ED4356"/>
    <w:pPr>
      <w:keepNext/>
      <w:numPr>
        <w:numId w:val="19"/>
      </w:numPr>
      <w:tabs>
        <w:tab w:val="left" w:pos="567"/>
      </w:tabs>
      <w:spacing w:after="60"/>
    </w:pPr>
    <w:rPr>
      <w:b/>
      <w:sz w:val="22"/>
    </w:rPr>
  </w:style>
  <w:style w:type="paragraph" w:customStyle="1" w:styleId="Legislationnumber">
    <w:name w:val="Legislation number"/>
    <w:basedOn w:val="Normal"/>
    <w:semiHidden/>
    <w:qFormat/>
    <w:rsid w:val="00054574"/>
    <w:pPr>
      <w:numPr>
        <w:ilvl w:val="1"/>
        <w:numId w:val="19"/>
      </w:numPr>
      <w:tabs>
        <w:tab w:val="left" w:pos="567"/>
      </w:tabs>
      <w:spacing w:before="60" w:after="60"/>
    </w:pPr>
    <w:rPr>
      <w:sz w:val="22"/>
    </w:rPr>
  </w:style>
  <w:style w:type="paragraph" w:customStyle="1" w:styleId="Legislationa">
    <w:name w:val="Legislation (a)"/>
    <w:basedOn w:val="Normal"/>
    <w:semiHidden/>
    <w:qFormat/>
    <w:rsid w:val="00065F18"/>
    <w:pPr>
      <w:numPr>
        <w:ilvl w:val="2"/>
        <w:numId w:val="19"/>
      </w:numPr>
      <w:spacing w:before="60" w:after="60"/>
    </w:pPr>
    <w:rPr>
      <w:sz w:val="22"/>
    </w:rPr>
  </w:style>
  <w:style w:type="paragraph" w:customStyle="1" w:styleId="Legislationi">
    <w:name w:val="Legislation (i)"/>
    <w:basedOn w:val="Normal"/>
    <w:semiHidden/>
    <w:qFormat/>
    <w:rsid w:val="00065F18"/>
    <w:pPr>
      <w:numPr>
        <w:ilvl w:val="3"/>
        <w:numId w:val="19"/>
      </w:numPr>
      <w:spacing w:before="60" w:after="60"/>
    </w:pPr>
    <w:rPr>
      <w:sz w:val="22"/>
    </w:rPr>
  </w:style>
  <w:style w:type="paragraph" w:customStyle="1" w:styleId="Numberedparaindentonly">
    <w:name w:val="Numbered para indent only"/>
    <w:basedOn w:val="Normal"/>
    <w:semiHidden/>
    <w:qFormat/>
    <w:rsid w:val="00065F18"/>
    <w:pPr>
      <w:spacing w:after="120"/>
      <w:ind w:left="567"/>
    </w:pPr>
  </w:style>
  <w:style w:type="paragraph" w:customStyle="1" w:styleId="Spacer">
    <w:name w:val="Spacer"/>
    <w:basedOn w:val="Normal"/>
    <w:qFormat/>
    <w:rsid w:val="00065F18"/>
    <w:pPr>
      <w:spacing w:before="0" w:after="0"/>
    </w:pPr>
  </w:style>
  <w:style w:type="paragraph" w:customStyle="1" w:styleId="Page">
    <w:name w:val="Page"/>
    <w:basedOn w:val="Spacer"/>
    <w:semiHidden/>
    <w:qFormat/>
    <w:rsid w:val="00065F18"/>
    <w:pPr>
      <w:jc w:val="right"/>
    </w:pPr>
    <w:rPr>
      <w:color w:val="000000" w:themeColor="text1"/>
    </w:rPr>
  </w:style>
  <w:style w:type="table" w:customStyle="1" w:styleId="Blanktable">
    <w:name w:val="Blank table"/>
    <w:basedOn w:val="TableNormal"/>
    <w:uiPriority w:val="99"/>
    <w:rsid w:val="00065F18"/>
    <w:tblPr>
      <w:tblInd w:w="108" w:type="dxa"/>
    </w:tblPr>
  </w:style>
  <w:style w:type="paragraph" w:customStyle="1" w:styleId="Tablenormal12pt">
    <w:name w:val="Table normal 12pt"/>
    <w:basedOn w:val="Tablenormal0"/>
    <w:semiHidden/>
    <w:qFormat/>
    <w:rsid w:val="00065F18"/>
    <w:rPr>
      <w:sz w:val="24"/>
    </w:rPr>
  </w:style>
  <w:style w:type="paragraph" w:customStyle="1" w:styleId="Tableheading12pt">
    <w:name w:val="Table heading 12pt"/>
    <w:basedOn w:val="Tableheading"/>
    <w:semiHidden/>
    <w:qFormat/>
    <w:rsid w:val="00065F18"/>
    <w:rPr>
      <w:sz w:val="24"/>
    </w:rPr>
  </w:style>
  <w:style w:type="paragraph" w:customStyle="1" w:styleId="Documentationpageheading">
    <w:name w:val="Documentation page heading"/>
    <w:basedOn w:val="Normal"/>
    <w:semiHidden/>
    <w:qFormat/>
    <w:rsid w:val="00065F18"/>
    <w:pPr>
      <w:spacing w:after="0"/>
    </w:pPr>
    <w:rPr>
      <w:b/>
      <w:color w:val="1F546B" w:themeColor="text2"/>
      <w:sz w:val="36"/>
    </w:rPr>
  </w:style>
  <w:style w:type="paragraph" w:customStyle="1" w:styleId="Documentationpagesubheading">
    <w:name w:val="Documentation page subheading"/>
    <w:basedOn w:val="Documentationpageheading"/>
    <w:semiHidden/>
    <w:qFormat/>
    <w:rsid w:val="00065F18"/>
    <w:rPr>
      <w:sz w:val="28"/>
    </w:rPr>
  </w:style>
  <w:style w:type="paragraph" w:customStyle="1" w:styleId="Documentationpagetable">
    <w:name w:val="Documentation page table"/>
    <w:basedOn w:val="Normal"/>
    <w:semiHidden/>
    <w:qFormat/>
    <w:rsid w:val="00065F18"/>
    <w:pPr>
      <w:spacing w:before="44" w:after="24"/>
    </w:pPr>
    <w:rPr>
      <w:rFonts w:cstheme="minorBidi"/>
      <w:sz w:val="20"/>
    </w:rPr>
  </w:style>
  <w:style w:type="paragraph" w:customStyle="1" w:styleId="Documentationpagetableheading">
    <w:name w:val="Documentation page table heading"/>
    <w:basedOn w:val="Normal"/>
    <w:semiHidden/>
    <w:qFormat/>
    <w:rsid w:val="00065F18"/>
    <w:pPr>
      <w:spacing w:before="40" w:after="40"/>
    </w:pPr>
    <w:rPr>
      <w:rFonts w:cstheme="minorBidi"/>
      <w:b/>
      <w:color w:val="FFFFFF" w:themeColor="background1"/>
      <w:sz w:val="20"/>
    </w:rPr>
  </w:style>
  <w:style w:type="paragraph" w:customStyle="1" w:styleId="Numberedpara2subheading">
    <w:name w:val="Numbered para (2) subheading"/>
    <w:basedOn w:val="Normal"/>
    <w:next w:val="Normal"/>
    <w:semiHidden/>
    <w:qFormat/>
    <w:rsid w:val="00ED4356"/>
    <w:pPr>
      <w:keepNext/>
      <w:spacing w:before="240" w:after="120"/>
    </w:pPr>
    <w:rPr>
      <w:b/>
      <w:i/>
    </w:rPr>
  </w:style>
  <w:style w:type="paragraph" w:customStyle="1" w:styleId="Numberedpara2level1">
    <w:name w:val="Numbered para (2) level 1"/>
    <w:basedOn w:val="Normal"/>
    <w:semiHidden/>
    <w:qFormat/>
    <w:rsid w:val="00065F18"/>
    <w:pPr>
      <w:numPr>
        <w:numId w:val="20"/>
      </w:numPr>
      <w:spacing w:after="120"/>
    </w:pPr>
  </w:style>
  <w:style w:type="paragraph" w:customStyle="1" w:styleId="Numberedpara2level2a">
    <w:name w:val="Numbered para (2) level 2 (a)"/>
    <w:basedOn w:val="Normal"/>
    <w:semiHidden/>
    <w:qFormat/>
    <w:rsid w:val="00065F18"/>
    <w:pPr>
      <w:numPr>
        <w:ilvl w:val="1"/>
        <w:numId w:val="20"/>
      </w:numPr>
      <w:spacing w:after="120"/>
    </w:pPr>
  </w:style>
  <w:style w:type="paragraph" w:customStyle="1" w:styleId="Numberedpara2level3i">
    <w:name w:val="Numbered para (2) level 3 (i)"/>
    <w:basedOn w:val="Normal"/>
    <w:semiHidden/>
    <w:qFormat/>
    <w:rsid w:val="00065F18"/>
    <w:pPr>
      <w:numPr>
        <w:ilvl w:val="2"/>
        <w:numId w:val="20"/>
      </w:numPr>
      <w:spacing w:after="120"/>
    </w:pPr>
  </w:style>
  <w:style w:type="paragraph" w:customStyle="1" w:styleId="Title2">
    <w:name w:val="Title 2"/>
    <w:basedOn w:val="Title"/>
    <w:qFormat/>
    <w:rsid w:val="00065F18"/>
    <w:rPr>
      <w:sz w:val="52"/>
    </w:rPr>
  </w:style>
  <w:style w:type="paragraph" w:customStyle="1" w:styleId="Numberedpara2heading">
    <w:name w:val="Numbered para (2) heading"/>
    <w:basedOn w:val="Normal"/>
    <w:semiHidden/>
    <w:qFormat/>
    <w:rsid w:val="00ED4356"/>
    <w:pPr>
      <w:keepNext/>
      <w:spacing w:before="240" w:after="120"/>
    </w:pPr>
    <w:rPr>
      <w:b/>
      <w:sz w:val="28"/>
    </w:rPr>
  </w:style>
  <w:style w:type="character" w:customStyle="1" w:styleId="HeaderChar">
    <w:name w:val="Header Char"/>
    <w:basedOn w:val="DefaultParagraphFont"/>
    <w:link w:val="Header"/>
    <w:rsid w:val="00065F18"/>
    <w:rPr>
      <w:rFonts w:eastAsiaTheme="minorHAnsi"/>
      <w:color w:val="808080" w:themeColor="background1" w:themeShade="80"/>
      <w:sz w:val="22"/>
      <w:lang w:eastAsia="en-US"/>
    </w:rPr>
  </w:style>
  <w:style w:type="character" w:customStyle="1" w:styleId="FooterChar">
    <w:name w:val="Footer Char"/>
    <w:basedOn w:val="DefaultParagraphFont"/>
    <w:link w:val="Footer"/>
    <w:rsid w:val="00065F18"/>
    <w:rPr>
      <w:rFonts w:eastAsiaTheme="minorHAnsi"/>
      <w:i/>
      <w:sz w:val="20"/>
      <w:lang w:eastAsia="en-US"/>
    </w:rPr>
  </w:style>
  <w:style w:type="character" w:customStyle="1" w:styleId="Footersecurityclassification">
    <w:name w:val="Footer security classification"/>
    <w:basedOn w:val="DefaultParagraphFont"/>
    <w:uiPriority w:val="1"/>
    <w:qFormat/>
    <w:rsid w:val="00065F18"/>
    <w:rPr>
      <w:b/>
      <w:i/>
      <w:caps/>
      <w:smallCaps w:val="0"/>
      <w:sz w:val="22"/>
    </w:rPr>
  </w:style>
  <w:style w:type="paragraph" w:customStyle="1" w:styleId="Numberedpara1level211">
    <w:name w:val="Numbered para (1) level 2 (1.1)"/>
    <w:basedOn w:val="Normal"/>
    <w:semiHidden/>
    <w:rsid w:val="00065F18"/>
    <w:pPr>
      <w:numPr>
        <w:ilvl w:val="1"/>
        <w:numId w:val="21"/>
      </w:numPr>
      <w:spacing w:after="120"/>
    </w:pPr>
  </w:style>
  <w:style w:type="paragraph" w:customStyle="1" w:styleId="Numberedpara11headingwithnumber">
    <w:name w:val="Numbered para (1) 1 (heading with number)"/>
    <w:basedOn w:val="Normal"/>
    <w:semiHidden/>
    <w:qFormat/>
    <w:rsid w:val="00ED4356"/>
    <w:pPr>
      <w:keepNext/>
      <w:numPr>
        <w:numId w:val="21"/>
      </w:numPr>
      <w:spacing w:before="240" w:after="120"/>
    </w:pPr>
    <w:rPr>
      <w:b/>
      <w:sz w:val="28"/>
    </w:rPr>
  </w:style>
  <w:style w:type="paragraph" w:customStyle="1" w:styleId="Crossreference">
    <w:name w:val="Cross reference"/>
    <w:basedOn w:val="Normal"/>
    <w:semiHidden/>
    <w:qFormat/>
    <w:rsid w:val="00065F18"/>
    <w:rPr>
      <w:i/>
      <w:color w:val="1F546B" w:themeColor="text2"/>
      <w:u w:val="single"/>
    </w:rPr>
  </w:style>
  <w:style w:type="paragraph" w:customStyle="1" w:styleId="Numberedpara3heading">
    <w:name w:val="Numbered para (3) heading"/>
    <w:basedOn w:val="Normal"/>
    <w:semiHidden/>
    <w:qFormat/>
    <w:rsid w:val="004F2E8A"/>
    <w:pPr>
      <w:keepNext/>
      <w:spacing w:before="200" w:after="120"/>
    </w:pPr>
    <w:rPr>
      <w:b/>
    </w:rPr>
  </w:style>
  <w:style w:type="paragraph" w:customStyle="1" w:styleId="Numberedpara3subheading">
    <w:name w:val="Numbered para (3) subheading"/>
    <w:basedOn w:val="Normal"/>
    <w:semiHidden/>
    <w:qFormat/>
    <w:rsid w:val="00ED4356"/>
    <w:pPr>
      <w:keepNext/>
      <w:spacing w:before="240" w:after="120"/>
    </w:pPr>
    <w:rPr>
      <w:b/>
      <w:i/>
    </w:rPr>
  </w:style>
  <w:style w:type="paragraph" w:customStyle="1" w:styleId="Numberedpara3level1">
    <w:name w:val="Numbered para (3) level 1"/>
    <w:basedOn w:val="Normal"/>
    <w:qFormat/>
    <w:rsid w:val="004F2E8A"/>
    <w:pPr>
      <w:numPr>
        <w:numId w:val="22"/>
      </w:numPr>
      <w:spacing w:after="120"/>
    </w:pPr>
  </w:style>
  <w:style w:type="paragraph" w:customStyle="1" w:styleId="Numberedpara3level211">
    <w:name w:val="Numbered para (3) level 2 (1.1)"/>
    <w:basedOn w:val="Normal"/>
    <w:qFormat/>
    <w:rsid w:val="004F2E8A"/>
    <w:pPr>
      <w:numPr>
        <w:ilvl w:val="1"/>
        <w:numId w:val="22"/>
      </w:numPr>
      <w:spacing w:after="120"/>
    </w:pPr>
  </w:style>
  <w:style w:type="paragraph" w:customStyle="1" w:styleId="Numberedpara3level3111">
    <w:name w:val="Numbered para (3) level 3 (1.1.1)"/>
    <w:basedOn w:val="Normal"/>
    <w:qFormat/>
    <w:rsid w:val="004F2E8A"/>
    <w:pPr>
      <w:numPr>
        <w:ilvl w:val="2"/>
        <w:numId w:val="22"/>
      </w:numPr>
      <w:spacing w:after="120"/>
    </w:pPr>
  </w:style>
  <w:style w:type="paragraph" w:styleId="EndnoteText">
    <w:name w:val="endnote text"/>
    <w:basedOn w:val="Normal"/>
    <w:link w:val="EndnoteTextChar"/>
    <w:uiPriority w:val="99"/>
    <w:semiHidden/>
    <w:rsid w:val="00ED4356"/>
    <w:pPr>
      <w:tabs>
        <w:tab w:val="left" w:pos="170"/>
      </w:tabs>
      <w:spacing w:before="0" w:after="0"/>
      <w:ind w:left="57" w:hanging="57"/>
    </w:pPr>
    <w:rPr>
      <w:sz w:val="20"/>
      <w:szCs w:val="20"/>
    </w:rPr>
  </w:style>
  <w:style w:type="character" w:customStyle="1" w:styleId="EndnoteTextChar">
    <w:name w:val="Endnote Text Char"/>
    <w:basedOn w:val="DefaultParagraphFont"/>
    <w:link w:val="EndnoteText"/>
    <w:uiPriority w:val="99"/>
    <w:semiHidden/>
    <w:rsid w:val="00ED4356"/>
    <w:rPr>
      <w:rFonts w:eastAsiaTheme="minorHAnsi"/>
      <w:sz w:val="20"/>
      <w:szCs w:val="20"/>
      <w:lang w:eastAsia="en-US"/>
    </w:rPr>
  </w:style>
  <w:style w:type="character" w:customStyle="1" w:styleId="Crossreferences">
    <w:name w:val="Cross references"/>
    <w:basedOn w:val="DefaultParagraphFont"/>
    <w:uiPriority w:val="1"/>
    <w:qFormat/>
    <w:rsid w:val="00C90217"/>
    <w:rPr>
      <w:i/>
      <w:color w:val="1F546B" w:themeColor="text2"/>
      <w:u w:val="single"/>
    </w:rPr>
  </w:style>
  <w:style w:type="character" w:styleId="UnresolvedMention">
    <w:name w:val="Unresolved Mention"/>
    <w:basedOn w:val="DefaultParagraphFont"/>
    <w:uiPriority w:val="99"/>
    <w:semiHidden/>
    <w:unhideWhenUsed/>
    <w:rsid w:val="00B73946"/>
    <w:rPr>
      <w:color w:val="605E5C"/>
      <w:shd w:val="clear" w:color="auto" w:fill="E1DFDD"/>
    </w:rPr>
  </w:style>
  <w:style w:type="paragraph" w:customStyle="1" w:styleId="Default">
    <w:name w:val="Default"/>
    <w:rsid w:val="00917FF8"/>
    <w:pPr>
      <w:autoSpaceDE w:val="0"/>
      <w:autoSpaceDN w:val="0"/>
      <w:adjustRightInd w:val="0"/>
      <w:spacing w:before="0" w:after="0"/>
    </w:pPr>
    <w:rPr>
      <w:rFonts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373223">
      <w:bodyDiv w:val="1"/>
      <w:marLeft w:val="0"/>
      <w:marRight w:val="0"/>
      <w:marTop w:val="0"/>
      <w:marBottom w:val="0"/>
      <w:divBdr>
        <w:top w:val="none" w:sz="0" w:space="0" w:color="auto"/>
        <w:left w:val="none" w:sz="0" w:space="0" w:color="auto"/>
        <w:bottom w:val="none" w:sz="0" w:space="0" w:color="auto"/>
        <w:right w:val="none" w:sz="0" w:space="0" w:color="auto"/>
      </w:divBdr>
      <w:divsChild>
        <w:div w:id="289751391">
          <w:marLeft w:val="0"/>
          <w:marRight w:val="0"/>
          <w:marTop w:val="0"/>
          <w:marBottom w:val="0"/>
          <w:divBdr>
            <w:top w:val="none" w:sz="0" w:space="0" w:color="auto"/>
            <w:left w:val="none" w:sz="0" w:space="0" w:color="auto"/>
            <w:bottom w:val="none" w:sz="0" w:space="0" w:color="auto"/>
            <w:right w:val="none" w:sz="0" w:space="0" w:color="auto"/>
          </w:divBdr>
          <w:divsChild>
            <w:div w:id="1920282998">
              <w:marLeft w:val="0"/>
              <w:marRight w:val="0"/>
              <w:marTop w:val="0"/>
              <w:marBottom w:val="0"/>
              <w:divBdr>
                <w:top w:val="none" w:sz="0" w:space="0" w:color="auto"/>
                <w:left w:val="none" w:sz="0" w:space="0" w:color="auto"/>
                <w:bottom w:val="none" w:sz="0" w:space="0" w:color="auto"/>
                <w:right w:val="none" w:sz="0" w:space="0" w:color="auto"/>
              </w:divBdr>
              <w:divsChild>
                <w:div w:id="756025464">
                  <w:marLeft w:val="0"/>
                  <w:marRight w:val="0"/>
                  <w:marTop w:val="0"/>
                  <w:marBottom w:val="0"/>
                  <w:divBdr>
                    <w:top w:val="none" w:sz="0" w:space="0" w:color="auto"/>
                    <w:left w:val="none" w:sz="0" w:space="0" w:color="auto"/>
                    <w:bottom w:val="none" w:sz="0" w:space="0" w:color="auto"/>
                    <w:right w:val="none" w:sz="0" w:space="0" w:color="auto"/>
                  </w:divBdr>
                  <w:divsChild>
                    <w:div w:id="370687258">
                      <w:marLeft w:val="0"/>
                      <w:marRight w:val="0"/>
                      <w:marTop w:val="0"/>
                      <w:marBottom w:val="0"/>
                      <w:divBdr>
                        <w:top w:val="none" w:sz="0" w:space="0" w:color="auto"/>
                        <w:left w:val="none" w:sz="0" w:space="0" w:color="auto"/>
                        <w:bottom w:val="none" w:sz="0" w:space="0" w:color="auto"/>
                        <w:right w:val="none" w:sz="0" w:space="0" w:color="auto"/>
                      </w:divBdr>
                      <w:divsChild>
                        <w:div w:id="1760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1668590">
      <w:bodyDiv w:val="1"/>
      <w:marLeft w:val="0"/>
      <w:marRight w:val="0"/>
      <w:marTop w:val="0"/>
      <w:marBottom w:val="0"/>
      <w:divBdr>
        <w:top w:val="none" w:sz="0" w:space="0" w:color="auto"/>
        <w:left w:val="none" w:sz="0" w:space="0" w:color="auto"/>
        <w:bottom w:val="none" w:sz="0" w:space="0" w:color="auto"/>
        <w:right w:val="none" w:sz="0" w:space="0" w:color="auto"/>
      </w:divBdr>
    </w:div>
    <w:div w:id="2071882983">
      <w:bodyDiv w:val="1"/>
      <w:marLeft w:val="0"/>
      <w:marRight w:val="0"/>
      <w:marTop w:val="0"/>
      <w:marBottom w:val="0"/>
      <w:divBdr>
        <w:top w:val="none" w:sz="0" w:space="0" w:color="auto"/>
        <w:left w:val="none" w:sz="0" w:space="0" w:color="auto"/>
        <w:bottom w:val="none" w:sz="0" w:space="0" w:color="auto"/>
        <w:right w:val="none" w:sz="0" w:space="0" w:color="auto"/>
      </w:divBdr>
      <w:divsChild>
        <w:div w:id="127474066">
          <w:marLeft w:val="0"/>
          <w:marRight w:val="0"/>
          <w:marTop w:val="0"/>
          <w:marBottom w:val="0"/>
          <w:divBdr>
            <w:top w:val="none" w:sz="0" w:space="0" w:color="auto"/>
            <w:left w:val="none" w:sz="0" w:space="0" w:color="auto"/>
            <w:bottom w:val="none" w:sz="0" w:space="0" w:color="auto"/>
            <w:right w:val="none" w:sz="0" w:space="0" w:color="auto"/>
          </w:divBdr>
          <w:divsChild>
            <w:div w:id="2127776560">
              <w:marLeft w:val="0"/>
              <w:marRight w:val="0"/>
              <w:marTop w:val="0"/>
              <w:marBottom w:val="0"/>
              <w:divBdr>
                <w:top w:val="none" w:sz="0" w:space="0" w:color="auto"/>
                <w:left w:val="none" w:sz="0" w:space="0" w:color="auto"/>
                <w:bottom w:val="none" w:sz="0" w:space="0" w:color="auto"/>
                <w:right w:val="none" w:sz="0" w:space="0" w:color="auto"/>
              </w:divBdr>
              <w:divsChild>
                <w:div w:id="1988589630">
                  <w:marLeft w:val="0"/>
                  <w:marRight w:val="0"/>
                  <w:marTop w:val="0"/>
                  <w:marBottom w:val="0"/>
                  <w:divBdr>
                    <w:top w:val="none" w:sz="0" w:space="0" w:color="auto"/>
                    <w:left w:val="none" w:sz="0" w:space="0" w:color="auto"/>
                    <w:bottom w:val="none" w:sz="0" w:space="0" w:color="auto"/>
                    <w:right w:val="none" w:sz="0" w:space="0" w:color="auto"/>
                  </w:divBdr>
                  <w:divsChild>
                    <w:div w:id="82798409">
                      <w:marLeft w:val="0"/>
                      <w:marRight w:val="0"/>
                      <w:marTop w:val="0"/>
                      <w:marBottom w:val="0"/>
                      <w:divBdr>
                        <w:top w:val="none" w:sz="0" w:space="0" w:color="auto"/>
                        <w:left w:val="none" w:sz="0" w:space="0" w:color="auto"/>
                        <w:bottom w:val="none" w:sz="0" w:space="0" w:color="auto"/>
                        <w:right w:val="none" w:sz="0" w:space="0" w:color="auto"/>
                      </w:divBdr>
                      <w:divsChild>
                        <w:div w:id="214107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DIA">
      <a:dk1>
        <a:sysClr val="windowText" lastClr="000000"/>
      </a:dk1>
      <a:lt1>
        <a:srgbClr val="FFFFFF"/>
      </a:lt1>
      <a:dk2>
        <a:srgbClr val="1F546B"/>
      </a:dk2>
      <a:lt2>
        <a:srgbClr val="FAD53D"/>
      </a:lt2>
      <a:accent1>
        <a:srgbClr val="7BC7CE"/>
      </a:accent1>
      <a:accent2>
        <a:srgbClr val="A42F13"/>
      </a:accent2>
      <a:accent3>
        <a:srgbClr val="DD8E00"/>
      </a:accent3>
      <a:accent4>
        <a:srgbClr val="4F7D29"/>
      </a:accent4>
      <a:accent5>
        <a:srgbClr val="563774"/>
      </a:accent5>
      <a:accent6>
        <a:srgbClr val="F06A22"/>
      </a:accent6>
      <a:hlink>
        <a:srgbClr val="348087"/>
      </a:hlink>
      <a:folHlink>
        <a:srgbClr val="AA923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E03D89-8266-4C48-9EE5-3460D5663D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4128</Words>
  <Characters>23003</Characters>
  <Application>Microsoft Office Word</Application>
  <DocSecurity>4</DocSecurity>
  <Lines>191</Lines>
  <Paragraphs>54</Paragraphs>
  <ScaleCrop>false</ScaleCrop>
  <HeadingPairs>
    <vt:vector size="2" baseType="variant">
      <vt:variant>
        <vt:lpstr>Title</vt:lpstr>
      </vt:variant>
      <vt:variant>
        <vt:i4>1</vt:i4>
      </vt:variant>
    </vt:vector>
  </HeadingPairs>
  <TitlesOfParts>
    <vt:vector size="1" baseType="lpstr">
      <vt:lpstr/>
    </vt:vector>
  </TitlesOfParts>
  <Company>DIA</Company>
  <LinksUpToDate>false</LinksUpToDate>
  <CharactersWithSpaces>27077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Fleetwood</dc:creator>
  <cp:keywords/>
  <dc:description/>
  <cp:lastModifiedBy>Josephine Clarke</cp:lastModifiedBy>
  <cp:revision>2</cp:revision>
  <cp:lastPrinted>2020-07-31T01:56:00Z</cp:lastPrinted>
  <dcterms:created xsi:type="dcterms:W3CDTF">2020-08-05T20:38:00Z</dcterms:created>
  <dcterms:modified xsi:type="dcterms:W3CDTF">2020-08-05T20:38:00Z</dcterms:modified>
</cp:coreProperties>
</file>