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86E2" w14:textId="77777777" w:rsidR="00CF7F2A" w:rsidRDefault="00CF7F2A" w:rsidP="00E07D49">
      <w:pPr>
        <w:spacing w:before="0" w:after="0"/>
        <w:jc w:val="center"/>
        <w:rPr>
          <w:b/>
          <w:sz w:val="32"/>
          <w:u w:val="single"/>
        </w:rPr>
      </w:pPr>
      <w:r>
        <w:rPr>
          <w:b/>
          <w:sz w:val="32"/>
          <w:u w:val="single"/>
        </w:rPr>
        <w:t xml:space="preserve">TAUMATA AROWAI </w:t>
      </w:r>
    </w:p>
    <w:p w14:paraId="2E0D5D7A" w14:textId="77777777" w:rsidR="00CF7F2A" w:rsidRPr="006A4519" w:rsidRDefault="00833CF8" w:rsidP="00E07D49">
      <w:pPr>
        <w:spacing w:before="0" w:after="0"/>
        <w:jc w:val="center"/>
        <w:rPr>
          <w:b/>
          <w:sz w:val="32"/>
          <w:u w:val="single"/>
        </w:rPr>
      </w:pPr>
      <w:r w:rsidRPr="006A4519">
        <w:rPr>
          <w:b/>
          <w:sz w:val="32"/>
          <w:u w:val="single"/>
        </w:rPr>
        <w:t>FAQs</w:t>
      </w:r>
      <w:r w:rsidR="004F6436">
        <w:rPr>
          <w:b/>
          <w:sz w:val="32"/>
          <w:u w:val="single"/>
        </w:rPr>
        <w:t xml:space="preserve"> </w:t>
      </w:r>
      <w:r w:rsidR="00CF7F2A">
        <w:rPr>
          <w:b/>
          <w:sz w:val="32"/>
          <w:u w:val="single"/>
        </w:rPr>
        <w:t>July 2020</w:t>
      </w:r>
    </w:p>
    <w:tbl>
      <w:tblPr>
        <w:tblStyle w:val="GridTable2-Accent1"/>
        <w:tblW w:w="9072" w:type="dxa"/>
        <w:tblLook w:val="04A0" w:firstRow="1" w:lastRow="0" w:firstColumn="1" w:lastColumn="0" w:noHBand="0" w:noVBand="1"/>
      </w:tblPr>
      <w:tblGrid>
        <w:gridCol w:w="9072"/>
      </w:tblGrid>
      <w:tr w:rsidR="004F6436" w14:paraId="7956C673" w14:textId="77777777" w:rsidTr="004F6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1C7CED6" w14:textId="77777777" w:rsidR="004F6436" w:rsidRDefault="004F6436" w:rsidP="00E07D49">
            <w:pPr>
              <w:spacing w:before="0"/>
            </w:pPr>
          </w:p>
        </w:tc>
      </w:tr>
      <w:tr w:rsidR="00547732" w:rsidRPr="004F6436" w14:paraId="7EE96ED4"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1081A66" w14:textId="77777777" w:rsidR="00547732" w:rsidRPr="00BA57CA" w:rsidRDefault="00547732" w:rsidP="00E07D49">
            <w:pPr>
              <w:spacing w:before="0"/>
              <w:rPr>
                <w:b w:val="0"/>
              </w:rPr>
            </w:pPr>
            <w:r w:rsidRPr="00BA57CA">
              <w:t xml:space="preserve">Why </w:t>
            </w:r>
            <w:r>
              <w:t>is Taumata Arowai being established</w:t>
            </w:r>
            <w:r w:rsidRPr="00BA57CA">
              <w:t>?</w:t>
            </w:r>
            <w:r w:rsidR="001137C9">
              <w:br/>
            </w:r>
          </w:p>
        </w:tc>
      </w:tr>
      <w:tr w:rsidR="00547732" w:rsidRPr="00547732" w14:paraId="2A48655F"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5C4DA88F" w14:textId="5AB68637" w:rsidR="00547732" w:rsidRPr="00547732" w:rsidRDefault="00547732" w:rsidP="00E07D49">
            <w:pPr>
              <w:spacing w:before="0"/>
              <w:rPr>
                <w:b w:val="0"/>
              </w:rPr>
            </w:pPr>
            <w:r w:rsidRPr="00547732">
              <w:rPr>
                <w:b w:val="0"/>
              </w:rPr>
              <w:t>The Government implemented the</w:t>
            </w:r>
            <w:r w:rsidR="00974484">
              <w:rPr>
                <w:b w:val="0"/>
              </w:rPr>
              <w:t xml:space="preserve"> recommendation from the</w:t>
            </w:r>
            <w:r w:rsidRPr="00547732">
              <w:rPr>
                <w:b w:val="0"/>
              </w:rPr>
              <w:t xml:space="preserve"> Inquiry into Havelock North Drinking Water</w:t>
            </w:r>
            <w:r w:rsidR="00974484">
              <w:rPr>
                <w:b w:val="0"/>
              </w:rPr>
              <w:t xml:space="preserve">, </w:t>
            </w:r>
            <w:r w:rsidRPr="00547732">
              <w:rPr>
                <w:b w:val="0"/>
              </w:rPr>
              <w:t xml:space="preserve">for the creation of a dedicated, centralised drinking water regulator, which the Three Waters Review also endorsed. Taumata Arowai will have the basic aims of ensuring New Zealand communities have access to safe drinking water and will have an oversight role in improving environmental outcomes from our wastewater and stormwater systems. </w:t>
            </w:r>
            <w:r>
              <w:rPr>
                <w:b w:val="0"/>
              </w:rPr>
              <w:br/>
            </w:r>
          </w:p>
        </w:tc>
      </w:tr>
      <w:tr w:rsidR="00547732" w:rsidRPr="004F6436" w14:paraId="747074FC"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665A4CF" w14:textId="77777777" w:rsidR="00547732" w:rsidRPr="004F6436" w:rsidRDefault="00547732" w:rsidP="00E07D49">
            <w:pPr>
              <w:spacing w:before="0"/>
            </w:pPr>
            <w:r w:rsidRPr="00BA57CA">
              <w:t>What is the Taumata Arowai Establishment Unit?</w:t>
            </w:r>
            <w:r w:rsidR="001137C9">
              <w:br/>
            </w:r>
          </w:p>
        </w:tc>
      </w:tr>
      <w:tr w:rsidR="00547732" w:rsidRPr="004F6436" w14:paraId="153D7012"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1944D4F2" w14:textId="2747D16F" w:rsidR="00547732" w:rsidRDefault="00547732" w:rsidP="00E07D49">
            <w:pPr>
              <w:spacing w:before="0"/>
              <w:rPr>
                <w:b w:val="0"/>
              </w:rPr>
            </w:pPr>
            <w:r>
              <w:rPr>
                <w:b w:val="0"/>
              </w:rPr>
              <w:t xml:space="preserve">The Taumata Arowai </w:t>
            </w:r>
            <w:r w:rsidR="00E03B62">
              <w:rPr>
                <w:b w:val="0"/>
              </w:rPr>
              <w:t xml:space="preserve">(Water Services Regulator) </w:t>
            </w:r>
            <w:r w:rsidRPr="00547732">
              <w:rPr>
                <w:b w:val="0"/>
              </w:rPr>
              <w:t xml:space="preserve">Establishment Unit has been set up within the Department of Internal Affairs to carry out </w:t>
            </w:r>
            <w:r>
              <w:rPr>
                <w:b w:val="0"/>
              </w:rPr>
              <w:t>preliminary</w:t>
            </w:r>
            <w:r w:rsidRPr="00547732">
              <w:rPr>
                <w:b w:val="0"/>
              </w:rPr>
              <w:t xml:space="preserve"> work towards the establishment of Taumata Arowai – </w:t>
            </w:r>
            <w:r>
              <w:rPr>
                <w:b w:val="0"/>
              </w:rPr>
              <w:t>a new</w:t>
            </w:r>
            <w:r w:rsidRPr="00547732">
              <w:rPr>
                <w:b w:val="0"/>
              </w:rPr>
              <w:t xml:space="preserve"> Water Services Regulator – to ensure it is able to </w:t>
            </w:r>
            <w:r>
              <w:rPr>
                <w:b w:val="0"/>
              </w:rPr>
              <w:t xml:space="preserve">fully </w:t>
            </w:r>
            <w:r w:rsidRPr="00547732">
              <w:rPr>
                <w:b w:val="0"/>
              </w:rPr>
              <w:t xml:space="preserve">operate </w:t>
            </w:r>
            <w:r w:rsidRPr="004F6436">
              <w:rPr>
                <w:b w:val="0"/>
              </w:rPr>
              <w:t xml:space="preserve">following </w:t>
            </w:r>
            <w:r w:rsidR="00974484">
              <w:rPr>
                <w:b w:val="0"/>
              </w:rPr>
              <w:t>commencement</w:t>
            </w:r>
            <w:r w:rsidR="00974484" w:rsidRPr="004F6436">
              <w:rPr>
                <w:b w:val="0"/>
              </w:rPr>
              <w:t xml:space="preserve"> </w:t>
            </w:r>
            <w:r w:rsidRPr="004F6436">
              <w:rPr>
                <w:b w:val="0"/>
              </w:rPr>
              <w:t>of the Water Services Bill, expected to be in mid-2021.</w:t>
            </w:r>
          </w:p>
          <w:p w14:paraId="00AA02E3" w14:textId="77777777" w:rsidR="00547732" w:rsidRPr="004F6436" w:rsidRDefault="00547732" w:rsidP="00E07D49">
            <w:pPr>
              <w:spacing w:before="0"/>
            </w:pPr>
          </w:p>
        </w:tc>
      </w:tr>
      <w:tr w:rsidR="00547732" w:rsidRPr="004F6436" w14:paraId="5320A455"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1011F74" w14:textId="77777777" w:rsidR="00547732" w:rsidRPr="004F6436" w:rsidRDefault="00186002" w:rsidP="00E07D49">
            <w:pPr>
              <w:pStyle w:val="NormalWeb"/>
              <w:spacing w:before="0"/>
            </w:pPr>
            <w:r w:rsidRPr="00BA57CA">
              <w:rPr>
                <w:rFonts w:asciiTheme="minorHAnsi" w:eastAsia="Times New Roman" w:hAnsiTheme="minorHAnsi" w:cstheme="minorHAnsi"/>
                <w:color w:val="000000"/>
              </w:rPr>
              <w:t>What will Taumata Arowai do?</w:t>
            </w:r>
            <w:r w:rsidR="001137C9">
              <w:rPr>
                <w:rFonts w:asciiTheme="minorHAnsi" w:eastAsia="Times New Roman" w:hAnsiTheme="minorHAnsi" w:cstheme="minorHAnsi"/>
                <w:color w:val="000000"/>
              </w:rPr>
              <w:br/>
            </w:r>
          </w:p>
        </w:tc>
      </w:tr>
      <w:tr w:rsidR="00547732" w:rsidRPr="00186002" w14:paraId="787B3160"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264D246D" w14:textId="77777777" w:rsidR="001137C9" w:rsidRPr="00186002" w:rsidRDefault="001137C9" w:rsidP="00E07D49">
            <w:pPr>
              <w:pStyle w:val="NormalWeb"/>
              <w:spacing w:before="0"/>
              <w:rPr>
                <w:b w:val="0"/>
              </w:rPr>
            </w:pPr>
            <w:r w:rsidRPr="001137C9">
              <w:rPr>
                <w:rFonts w:asciiTheme="minorHAnsi" w:eastAsia="Times New Roman" w:hAnsiTheme="minorHAnsi" w:cstheme="minorHAnsi"/>
                <w:b w:val="0"/>
                <w:color w:val="000000"/>
              </w:rPr>
              <w:t>Taumata Arowai will be Aotearoa's dedicated regulator of drinking water suppliers and have an oversight role in improving environmental outcomes from our wastewater and stormwater systems.</w:t>
            </w:r>
            <w:r>
              <w:rPr>
                <w:rFonts w:asciiTheme="minorHAnsi" w:eastAsia="Times New Roman" w:hAnsiTheme="minorHAnsi" w:cstheme="minorHAnsi"/>
                <w:b w:val="0"/>
                <w:color w:val="000000"/>
              </w:rPr>
              <w:t xml:space="preserve"> </w:t>
            </w:r>
            <w:r w:rsidRPr="001137C9">
              <w:rPr>
                <w:rFonts w:asciiTheme="minorHAnsi" w:eastAsia="Times New Roman" w:hAnsiTheme="minorHAnsi" w:cstheme="minorHAnsi"/>
                <w:b w:val="0"/>
                <w:bCs w:val="0"/>
                <w:color w:val="000000"/>
              </w:rPr>
              <w:t xml:space="preserve"> </w:t>
            </w:r>
            <w:r w:rsidR="00A46CD9" w:rsidRPr="001137C9">
              <w:rPr>
                <w:rFonts w:asciiTheme="minorHAnsi" w:eastAsia="Times New Roman" w:hAnsiTheme="minorHAnsi" w:cstheme="minorHAnsi"/>
                <w:b w:val="0"/>
                <w:color w:val="000000"/>
              </w:rPr>
              <w:t xml:space="preserve">Taumata Arowai </w:t>
            </w:r>
            <w:r w:rsidR="00A46CD9">
              <w:rPr>
                <w:rFonts w:asciiTheme="minorHAnsi" w:eastAsia="Times New Roman" w:hAnsiTheme="minorHAnsi" w:cstheme="minorHAnsi"/>
                <w:b w:val="0"/>
                <w:color w:val="000000"/>
              </w:rPr>
              <w:t xml:space="preserve">will be a </w:t>
            </w:r>
            <w:r w:rsidRPr="001137C9">
              <w:rPr>
                <w:rFonts w:asciiTheme="minorHAnsi" w:eastAsia="Times New Roman" w:hAnsiTheme="minorHAnsi" w:cstheme="minorHAnsi"/>
                <w:b w:val="0"/>
                <w:bCs w:val="0"/>
                <w:color w:val="000000"/>
              </w:rPr>
              <w:t>fit-for-purpose body that regulates and answers to all of Aotearoa.</w:t>
            </w:r>
            <w:r>
              <w:rPr>
                <w:rFonts w:asciiTheme="minorHAnsi" w:eastAsia="Times New Roman" w:hAnsiTheme="minorHAnsi" w:cstheme="minorHAnsi"/>
                <w:b w:val="0"/>
                <w:bCs w:val="0"/>
                <w:color w:val="000000"/>
              </w:rPr>
              <w:t xml:space="preserve"> </w:t>
            </w:r>
            <w:r>
              <w:rPr>
                <w:rFonts w:asciiTheme="minorHAnsi" w:eastAsia="Times New Roman" w:hAnsiTheme="minorHAnsi" w:cstheme="minorHAnsi"/>
                <w:b w:val="0"/>
                <w:color w:val="000000"/>
              </w:rPr>
              <w:t xml:space="preserve">The </w:t>
            </w:r>
            <w:r w:rsidR="00186002" w:rsidRPr="00186002">
              <w:rPr>
                <w:rFonts w:asciiTheme="minorHAnsi" w:eastAsia="Times New Roman" w:hAnsiTheme="minorHAnsi" w:cstheme="minorHAnsi"/>
                <w:b w:val="0"/>
                <w:color w:val="000000"/>
              </w:rPr>
              <w:t>new drinking water regulatory system will include assessing and reporting on the performance of drinking water suppliers</w:t>
            </w:r>
            <w:r>
              <w:rPr>
                <w:rFonts w:asciiTheme="minorHAnsi" w:eastAsia="Times New Roman" w:hAnsiTheme="minorHAnsi" w:cstheme="minorHAnsi"/>
                <w:b w:val="0"/>
                <w:color w:val="000000"/>
              </w:rPr>
              <w:t xml:space="preserve"> (</w:t>
            </w:r>
            <w:r w:rsidR="00186002" w:rsidRPr="00186002">
              <w:rPr>
                <w:rFonts w:asciiTheme="minorHAnsi" w:eastAsia="Times New Roman" w:hAnsiTheme="minorHAnsi" w:cstheme="minorHAnsi"/>
                <w:b w:val="0"/>
                <w:color w:val="000000"/>
              </w:rPr>
              <w:t xml:space="preserve">except domestic </w:t>
            </w:r>
            <w:r w:rsidR="00B841DC">
              <w:rPr>
                <w:rFonts w:asciiTheme="minorHAnsi" w:eastAsia="Times New Roman" w:hAnsiTheme="minorHAnsi" w:cstheme="minorHAnsi"/>
                <w:b w:val="0"/>
                <w:color w:val="000000"/>
              </w:rPr>
              <w:t xml:space="preserve">household </w:t>
            </w:r>
            <w:r w:rsidR="00186002" w:rsidRPr="00186002">
              <w:rPr>
                <w:rFonts w:asciiTheme="minorHAnsi" w:eastAsia="Times New Roman" w:hAnsiTheme="minorHAnsi" w:cstheme="minorHAnsi"/>
                <w:b w:val="0"/>
                <w:color w:val="000000"/>
              </w:rPr>
              <w:t>supplies</w:t>
            </w:r>
            <w:r>
              <w:rPr>
                <w:rFonts w:asciiTheme="minorHAnsi" w:eastAsia="Times New Roman" w:hAnsiTheme="minorHAnsi" w:cstheme="minorHAnsi"/>
                <w:b w:val="0"/>
                <w:color w:val="000000"/>
              </w:rPr>
              <w:t>)</w:t>
            </w:r>
            <w:r w:rsidR="00186002" w:rsidRPr="00186002">
              <w:rPr>
                <w:rFonts w:asciiTheme="minorHAnsi" w:eastAsia="Times New Roman" w:hAnsiTheme="minorHAnsi" w:cstheme="minorHAnsi"/>
                <w:b w:val="0"/>
                <w:color w:val="000000"/>
              </w:rPr>
              <w:t xml:space="preserve"> to ensure </w:t>
            </w:r>
            <w:r w:rsidR="00A46CD9">
              <w:rPr>
                <w:rFonts w:asciiTheme="minorHAnsi" w:eastAsia="Times New Roman" w:hAnsiTheme="minorHAnsi" w:cstheme="minorHAnsi"/>
                <w:b w:val="0"/>
                <w:color w:val="000000"/>
              </w:rPr>
              <w:t xml:space="preserve">all </w:t>
            </w:r>
            <w:r w:rsidR="00186002" w:rsidRPr="00186002">
              <w:rPr>
                <w:rFonts w:asciiTheme="minorHAnsi" w:eastAsia="Times New Roman" w:hAnsiTheme="minorHAnsi" w:cstheme="minorHAnsi"/>
                <w:b w:val="0"/>
                <w:color w:val="000000"/>
              </w:rPr>
              <w:t>New Zealand communities have access to safe drinking water</w:t>
            </w:r>
            <w:r>
              <w:rPr>
                <w:rFonts w:asciiTheme="minorHAnsi" w:eastAsia="Times New Roman" w:hAnsiTheme="minorHAnsi" w:cstheme="minorHAnsi"/>
                <w:b w:val="0"/>
                <w:color w:val="000000"/>
              </w:rPr>
              <w:t>.</w:t>
            </w:r>
            <w:r>
              <w:rPr>
                <w:rFonts w:asciiTheme="minorHAnsi" w:eastAsia="Times New Roman" w:hAnsiTheme="minorHAnsi" w:cstheme="minorHAnsi"/>
                <w:b w:val="0"/>
                <w:color w:val="000000"/>
              </w:rPr>
              <w:br/>
            </w:r>
          </w:p>
        </w:tc>
      </w:tr>
      <w:tr w:rsidR="00A33D2B" w:rsidRPr="004F6436" w14:paraId="1FAC803D"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9223087" w14:textId="77777777" w:rsidR="00A33D2B" w:rsidRPr="004F6436" w:rsidRDefault="00A33D2B" w:rsidP="00E07D49">
            <w:pPr>
              <w:pStyle w:val="NormalWeb"/>
              <w:spacing w:before="0"/>
            </w:pPr>
            <w:r w:rsidRPr="00BD3B95">
              <w:rPr>
                <w:rFonts w:asciiTheme="minorHAnsi" w:eastAsia="Times New Roman" w:hAnsiTheme="minorHAnsi" w:cstheme="minorHAnsi"/>
                <w:color w:val="000000"/>
              </w:rPr>
              <w:t>What is the significance of the regulator’s name, Taumata Arowai?</w:t>
            </w:r>
            <w:r w:rsidR="00A859F3">
              <w:rPr>
                <w:rFonts w:asciiTheme="minorHAnsi" w:eastAsia="Times New Roman" w:hAnsiTheme="minorHAnsi" w:cstheme="minorHAnsi"/>
                <w:color w:val="000000"/>
              </w:rPr>
              <w:br/>
            </w:r>
          </w:p>
        </w:tc>
      </w:tr>
      <w:tr w:rsidR="00A33D2B" w:rsidRPr="004F6436" w14:paraId="6BF41718"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37C06BCB" w14:textId="77777777" w:rsidR="00A33D2B" w:rsidRPr="004F6436" w:rsidRDefault="00A33D2B" w:rsidP="00E07D49">
            <w:pPr>
              <w:pStyle w:val="NormalWeb"/>
              <w:spacing w:before="0"/>
            </w:pPr>
            <w:r>
              <w:rPr>
                <w:rFonts w:asciiTheme="minorHAnsi" w:eastAsia="Times New Roman" w:hAnsiTheme="minorHAnsi" w:cstheme="minorHAnsi"/>
                <w:b w:val="0"/>
                <w:color w:val="000000"/>
              </w:rPr>
              <w:t xml:space="preserve">The name </w:t>
            </w:r>
            <w:r w:rsidRPr="00A33D2B">
              <w:rPr>
                <w:rFonts w:asciiTheme="minorHAnsi" w:eastAsia="Times New Roman" w:hAnsiTheme="minorHAnsi" w:cstheme="minorHAnsi"/>
                <w:b w:val="0"/>
                <w:color w:val="000000"/>
              </w:rPr>
              <w:t>Taumata Arowai, conveys the weight, responsibility and authority of the regulator. Taumata is a term associated with a summit, symposium or congress. Taumata invokes a sense of protection</w:t>
            </w:r>
            <w:r w:rsidR="00312BA5">
              <w:rPr>
                <w:rFonts w:asciiTheme="minorHAnsi" w:eastAsia="Times New Roman" w:hAnsiTheme="minorHAnsi" w:cstheme="minorHAnsi"/>
                <w:b w:val="0"/>
                <w:color w:val="000000"/>
              </w:rPr>
              <w:t>, leadership</w:t>
            </w:r>
            <w:r w:rsidRPr="00A33D2B">
              <w:rPr>
                <w:rFonts w:asciiTheme="minorHAnsi" w:eastAsia="Times New Roman" w:hAnsiTheme="minorHAnsi" w:cstheme="minorHAnsi"/>
                <w:b w:val="0"/>
                <w:color w:val="000000"/>
              </w:rPr>
              <w:t xml:space="preserve"> and wisdom. Aro means to give attention to, to focus on, or be in the presence of. Wai is water.   </w:t>
            </w:r>
            <w:r w:rsidR="00312BA5">
              <w:rPr>
                <w:rFonts w:asciiTheme="minorHAnsi" w:eastAsia="Times New Roman" w:hAnsiTheme="minorHAnsi" w:cstheme="minorHAnsi"/>
                <w:b w:val="0"/>
                <w:color w:val="000000"/>
              </w:rPr>
              <w:br/>
            </w:r>
          </w:p>
        </w:tc>
      </w:tr>
      <w:tr w:rsidR="00312BA5" w:rsidRPr="004F6436" w14:paraId="07EF907B"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E26F772" w14:textId="77777777" w:rsidR="00312BA5" w:rsidRPr="004F6436" w:rsidRDefault="00C871D6" w:rsidP="00E07D49">
            <w:pPr>
              <w:spacing w:before="0"/>
            </w:pPr>
            <w:r>
              <w:t xml:space="preserve">What </w:t>
            </w:r>
            <w:r w:rsidR="00312BA5">
              <w:t>type of organisation will Taumata Arowai be?</w:t>
            </w:r>
            <w:r w:rsidR="00A859F3">
              <w:br/>
            </w:r>
          </w:p>
        </w:tc>
      </w:tr>
      <w:tr w:rsidR="00312BA5" w:rsidRPr="004F6436" w14:paraId="1E93EC86"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0C867DC7" w14:textId="77777777" w:rsidR="00312BA5" w:rsidRPr="004F6436" w:rsidRDefault="00A859F3" w:rsidP="00E07D49">
            <w:pPr>
              <w:spacing w:before="0"/>
            </w:pPr>
            <w:r w:rsidRPr="00A859F3">
              <w:rPr>
                <w:rFonts w:asciiTheme="minorHAnsi" w:eastAsia="Times New Roman" w:hAnsiTheme="minorHAnsi" w:cstheme="minorHAnsi"/>
                <w:b w:val="0"/>
                <w:color w:val="000000"/>
              </w:rPr>
              <w:t xml:space="preserve">Taumata Arowai will be a standalone Crown agent with a dedicated focus on regulating drinking water, and with an oversight role relating to wastewater and stormwater. A Crown agent is a category of Crown entity with a Minister-appointed board. Crown entities are part of the state sector and are owned by the Crown. </w:t>
            </w:r>
            <w:r>
              <w:rPr>
                <w:rFonts w:asciiTheme="minorHAnsi" w:eastAsia="Times New Roman" w:hAnsiTheme="minorHAnsi" w:cstheme="minorHAnsi"/>
                <w:b w:val="0"/>
                <w:color w:val="000000"/>
              </w:rPr>
              <w:br/>
            </w:r>
          </w:p>
        </w:tc>
      </w:tr>
      <w:tr w:rsidR="004F6436" w:rsidRPr="004F6436" w14:paraId="2708675E"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BE5911F" w14:textId="77777777" w:rsidR="004F6436" w:rsidRPr="004F6436" w:rsidRDefault="004F6436" w:rsidP="00E07D49">
            <w:pPr>
              <w:spacing w:before="0"/>
            </w:pPr>
            <w:r w:rsidRPr="004F6436">
              <w:t xml:space="preserve">What is the work that Taumata Arowai </w:t>
            </w:r>
            <w:r>
              <w:t xml:space="preserve">is </w:t>
            </w:r>
            <w:r w:rsidRPr="004F6436">
              <w:t>currently doing?</w:t>
            </w:r>
          </w:p>
          <w:p w14:paraId="20FD0DD5" w14:textId="77777777" w:rsidR="004F6436" w:rsidRPr="004F6436" w:rsidRDefault="004F6436" w:rsidP="00E07D49">
            <w:pPr>
              <w:spacing w:before="0"/>
            </w:pPr>
          </w:p>
        </w:tc>
      </w:tr>
      <w:tr w:rsidR="004F6436" w:rsidRPr="004F6436" w14:paraId="762FE4D9"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08724377" w14:textId="77777777" w:rsidR="004F6436" w:rsidRDefault="00AC5F10" w:rsidP="00E07D49">
            <w:pPr>
              <w:spacing w:before="0"/>
              <w:rPr>
                <w:b w:val="0"/>
              </w:rPr>
            </w:pPr>
            <w:r>
              <w:rPr>
                <w:b w:val="0"/>
              </w:rPr>
              <w:lastRenderedPageBreak/>
              <w:t xml:space="preserve">The Taumata Arowai </w:t>
            </w:r>
            <w:r w:rsidR="00974484">
              <w:rPr>
                <w:b w:val="0"/>
              </w:rPr>
              <w:t xml:space="preserve">(Water Services Regulator) </w:t>
            </w:r>
            <w:r w:rsidR="00547732">
              <w:rPr>
                <w:b w:val="0"/>
              </w:rPr>
              <w:t>E</w:t>
            </w:r>
            <w:r w:rsidR="004F6436" w:rsidRPr="004F6436">
              <w:rPr>
                <w:b w:val="0"/>
              </w:rPr>
              <w:t xml:space="preserve">stablishment </w:t>
            </w:r>
            <w:r w:rsidR="00547732">
              <w:rPr>
                <w:b w:val="0"/>
              </w:rPr>
              <w:t>Unit</w:t>
            </w:r>
            <w:r w:rsidR="004F6436" w:rsidRPr="004F6436">
              <w:rPr>
                <w:b w:val="0"/>
              </w:rPr>
              <w:t xml:space="preserve">, </w:t>
            </w:r>
            <w:r>
              <w:rPr>
                <w:b w:val="0"/>
              </w:rPr>
              <w:t>is currently</w:t>
            </w:r>
            <w:r w:rsidR="004F6436" w:rsidRPr="004F6436">
              <w:rPr>
                <w:b w:val="0"/>
              </w:rPr>
              <w:t xml:space="preserve"> in </w:t>
            </w:r>
            <w:r>
              <w:rPr>
                <w:b w:val="0"/>
              </w:rPr>
              <w:t xml:space="preserve">design, </w:t>
            </w:r>
            <w:r w:rsidR="004F6436" w:rsidRPr="004F6436">
              <w:rPr>
                <w:b w:val="0"/>
              </w:rPr>
              <w:t xml:space="preserve">planning and engagement mode.  </w:t>
            </w:r>
            <w:r w:rsidR="008D521F">
              <w:rPr>
                <w:b w:val="0"/>
              </w:rPr>
              <w:t>Several</w:t>
            </w:r>
            <w:r>
              <w:rPr>
                <w:b w:val="0"/>
              </w:rPr>
              <w:t xml:space="preserve"> </w:t>
            </w:r>
            <w:r w:rsidR="004F6436" w:rsidRPr="005276DC">
              <w:rPr>
                <w:b w:val="0"/>
              </w:rPr>
              <w:t xml:space="preserve">reference and advisory groups </w:t>
            </w:r>
            <w:r>
              <w:rPr>
                <w:b w:val="0"/>
              </w:rPr>
              <w:t xml:space="preserve">have been </w:t>
            </w:r>
            <w:r w:rsidR="008D521F">
              <w:rPr>
                <w:b w:val="0"/>
              </w:rPr>
              <w:t xml:space="preserve">(and are yet to be) </w:t>
            </w:r>
            <w:r>
              <w:rPr>
                <w:b w:val="0"/>
              </w:rPr>
              <w:t xml:space="preserve">established </w:t>
            </w:r>
            <w:r w:rsidR="004F6436" w:rsidRPr="005276DC">
              <w:rPr>
                <w:b w:val="0"/>
              </w:rPr>
              <w:t>to work in partnership, gain insights and feedback</w:t>
            </w:r>
            <w:r w:rsidR="004F6436" w:rsidRPr="004F6436">
              <w:rPr>
                <w:b w:val="0"/>
              </w:rPr>
              <w:t xml:space="preserve">. </w:t>
            </w:r>
            <w:r>
              <w:rPr>
                <w:b w:val="0"/>
              </w:rPr>
              <w:t>The establishment team will be</w:t>
            </w:r>
            <w:r w:rsidR="004F6436" w:rsidRPr="004F6436">
              <w:rPr>
                <w:b w:val="0"/>
              </w:rPr>
              <w:t xml:space="preserve"> working right across the water sector, with </w:t>
            </w:r>
            <w:r w:rsidR="008D521F">
              <w:rPr>
                <w:b w:val="0"/>
              </w:rPr>
              <w:t>Iwi/Māori</w:t>
            </w:r>
            <w:r w:rsidR="004F6436" w:rsidRPr="004F6436">
              <w:rPr>
                <w:b w:val="0"/>
              </w:rPr>
              <w:t xml:space="preserve"> and stakeholder partners to help develop brand fundamentals, guidance material and standards etc.</w:t>
            </w:r>
          </w:p>
          <w:p w14:paraId="2292D631" w14:textId="77777777" w:rsidR="00AC5F10" w:rsidRPr="004F6436" w:rsidRDefault="00AC5F10" w:rsidP="00E07D49">
            <w:pPr>
              <w:spacing w:before="0"/>
              <w:rPr>
                <w:b w:val="0"/>
              </w:rPr>
            </w:pPr>
          </w:p>
        </w:tc>
      </w:tr>
      <w:tr w:rsidR="00A859F3" w:rsidRPr="004F6436" w14:paraId="7D243888"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66B4AE0" w14:textId="77777777" w:rsidR="00A859F3" w:rsidRDefault="00A859F3" w:rsidP="00E07D49">
            <w:pPr>
              <w:spacing w:before="0"/>
            </w:pPr>
            <w:r w:rsidRPr="00BA57CA">
              <w:rPr>
                <w:rFonts w:asciiTheme="minorHAnsi" w:eastAsia="Times New Roman" w:hAnsiTheme="minorHAnsi" w:cstheme="minorHAnsi"/>
                <w:color w:val="000000"/>
              </w:rPr>
              <w:t xml:space="preserve">What </w:t>
            </w:r>
            <w:r>
              <w:rPr>
                <w:rFonts w:asciiTheme="minorHAnsi" w:eastAsia="Times New Roman" w:hAnsiTheme="minorHAnsi" w:cstheme="minorHAnsi"/>
                <w:color w:val="000000"/>
              </w:rPr>
              <w:t>will be Taumata Arowai’s</w:t>
            </w:r>
            <w:r w:rsidRPr="00BA57CA">
              <w:rPr>
                <w:rFonts w:asciiTheme="minorHAnsi" w:eastAsia="Times New Roman" w:hAnsiTheme="minorHAnsi" w:cstheme="minorHAnsi"/>
                <w:color w:val="000000"/>
              </w:rPr>
              <w:t xml:space="preserve"> statutory objectives?</w:t>
            </w:r>
            <w:r w:rsidR="00CD78B9">
              <w:rPr>
                <w:rFonts w:asciiTheme="minorHAnsi" w:eastAsia="Times New Roman" w:hAnsiTheme="minorHAnsi" w:cstheme="minorHAnsi"/>
                <w:color w:val="000000"/>
              </w:rPr>
              <w:br/>
            </w:r>
          </w:p>
        </w:tc>
      </w:tr>
      <w:tr w:rsidR="00A859F3" w:rsidRPr="004F6436" w14:paraId="38895752"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7199AC58" w14:textId="77777777" w:rsidR="008D521F" w:rsidRPr="008D521F" w:rsidRDefault="008D521F" w:rsidP="00E07D49">
            <w:pPr>
              <w:spacing w:before="0"/>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 xml:space="preserve">The </w:t>
            </w:r>
            <w:r w:rsidRPr="008D521F">
              <w:rPr>
                <w:rFonts w:asciiTheme="minorHAnsi" w:eastAsia="Times New Roman" w:hAnsiTheme="minorHAnsi" w:cstheme="minorHAnsi"/>
                <w:b w:val="0"/>
                <w:i/>
                <w:color w:val="000000"/>
              </w:rPr>
              <w:t>Taumata Arowai – the Water Services Regulator Bill</w:t>
            </w:r>
            <w:r w:rsidRPr="008D521F">
              <w:rPr>
                <w:rFonts w:asciiTheme="minorHAnsi" w:eastAsia="Times New Roman" w:hAnsiTheme="minorHAnsi" w:cstheme="minorHAnsi"/>
                <w:b w:val="0"/>
                <w:color w:val="000000"/>
              </w:rPr>
              <w:t xml:space="preserve"> sets out Taumata Arowai’s statutory objectives.  These include:</w:t>
            </w:r>
          </w:p>
          <w:p w14:paraId="2F759E63"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Promote safe drinking water and improved public health outcomes</w:t>
            </w:r>
          </w:p>
          <w:p w14:paraId="4E49FD87"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Effectively administer the drinking water regulatory system</w:t>
            </w:r>
            <w:r w:rsidRPr="008D521F">
              <w:rPr>
                <w:rFonts w:asciiTheme="minorHAnsi" w:eastAsia="Times New Roman" w:hAnsiTheme="minorHAnsi" w:cstheme="minorHAnsi"/>
                <w:b w:val="0"/>
                <w:color w:val="000000"/>
              </w:rPr>
              <w:tab/>
            </w:r>
          </w:p>
          <w:p w14:paraId="078FFB6A"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 xml:space="preserve">Strengthen compliance, monitoring, and enforcement relating to drinking water regulation </w:t>
            </w:r>
          </w:p>
          <w:p w14:paraId="39ACBD0B"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Build and maintain capability among drinking water suppliers and across the wider industry</w:t>
            </w:r>
          </w:p>
          <w:p w14:paraId="32DD16EE"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Give effect to Te Mana o te Wai, to the extent that Te Mana o te Wai applies to the functions and duties of Taumata Arowai</w:t>
            </w:r>
          </w:p>
          <w:p w14:paraId="66C56A52" w14:textId="77777777" w:rsidR="008D521F" w:rsidRPr="008D521F" w:rsidRDefault="008D521F" w:rsidP="00E07D49">
            <w:pPr>
              <w:pStyle w:val="NormalWeb"/>
              <w:keepLines w:val="0"/>
              <w:numPr>
                <w:ilvl w:val="0"/>
                <w:numId w:val="26"/>
              </w:numPr>
              <w:spacing w:before="0"/>
              <w:ind w:left="714" w:hanging="357"/>
              <w:rPr>
                <w:rFonts w:asciiTheme="minorHAnsi" w:eastAsia="Times New Roman" w:hAnsiTheme="minorHAnsi" w:cstheme="minorHAnsi"/>
                <w:b w:val="0"/>
                <w:color w:val="000000"/>
              </w:rPr>
            </w:pPr>
            <w:r w:rsidRPr="008D521F">
              <w:rPr>
                <w:rFonts w:asciiTheme="minorHAnsi" w:eastAsia="Times New Roman" w:hAnsiTheme="minorHAnsi" w:cstheme="minorHAnsi"/>
                <w:b w:val="0"/>
                <w:color w:val="000000"/>
              </w:rPr>
              <w:t>Provide oversight of, and advice on the regulation, management, and environmental performance of wastewater and stormwater networks</w:t>
            </w:r>
          </w:p>
          <w:p w14:paraId="3E8CBF07" w14:textId="77777777" w:rsidR="00A859F3" w:rsidRDefault="008D521F" w:rsidP="00E07D49">
            <w:pPr>
              <w:pStyle w:val="NormalWeb"/>
              <w:keepLines w:val="0"/>
              <w:numPr>
                <w:ilvl w:val="0"/>
                <w:numId w:val="26"/>
              </w:numPr>
              <w:spacing w:before="0"/>
              <w:ind w:left="714" w:hanging="357"/>
            </w:pPr>
            <w:r w:rsidRPr="008D521F">
              <w:rPr>
                <w:rFonts w:asciiTheme="minorHAnsi" w:eastAsia="Times New Roman" w:hAnsiTheme="minorHAnsi" w:cstheme="minorHAnsi"/>
                <w:b w:val="0"/>
                <w:color w:val="000000"/>
              </w:rPr>
              <w:t>Promote public understanding of the environmental performance of wastewater and stormwater networks.</w:t>
            </w:r>
            <w:r w:rsidR="00C76F9A">
              <w:rPr>
                <w:rFonts w:asciiTheme="minorHAnsi" w:eastAsia="Times New Roman" w:hAnsiTheme="minorHAnsi" w:cstheme="minorHAnsi"/>
                <w:b w:val="0"/>
                <w:color w:val="000000"/>
              </w:rPr>
              <w:br/>
            </w:r>
          </w:p>
        </w:tc>
      </w:tr>
      <w:tr w:rsidR="008D521F" w:rsidRPr="004F6436" w14:paraId="5E13747B" w14:textId="77777777" w:rsidTr="00FD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7E7AE39" w14:textId="77777777" w:rsidR="008D521F" w:rsidRPr="004F6436" w:rsidRDefault="008D521F" w:rsidP="00E07D49">
            <w:pPr>
              <w:spacing w:before="0"/>
              <w:rPr>
                <w:b w:val="0"/>
              </w:rPr>
            </w:pPr>
            <w:r>
              <w:t>When will Taumata Arowai come into existence and when will it be taking over from the Ministry of Health?</w:t>
            </w:r>
            <w:r>
              <w:br/>
            </w:r>
          </w:p>
        </w:tc>
      </w:tr>
      <w:tr w:rsidR="008D521F" w:rsidRPr="004F6436" w14:paraId="61D86F8B" w14:textId="77777777" w:rsidTr="00FD0D47">
        <w:tc>
          <w:tcPr>
            <w:cnfStyle w:val="001000000000" w:firstRow="0" w:lastRow="0" w:firstColumn="1" w:lastColumn="0" w:oddVBand="0" w:evenVBand="0" w:oddHBand="0" w:evenHBand="0" w:firstRowFirstColumn="0" w:firstRowLastColumn="0" w:lastRowFirstColumn="0" w:lastRowLastColumn="0"/>
            <w:tcW w:w="9072" w:type="dxa"/>
          </w:tcPr>
          <w:p w14:paraId="2B68803B" w14:textId="106AB822" w:rsidR="008D521F" w:rsidRPr="008D521F" w:rsidRDefault="008D521F" w:rsidP="00E07D49">
            <w:pPr>
              <w:spacing w:before="0"/>
              <w:outlineLvl w:val="1"/>
              <w:rPr>
                <w:rFonts w:asciiTheme="minorHAnsi" w:eastAsia="Times New Roman" w:hAnsiTheme="minorHAnsi" w:cstheme="minorHAnsi"/>
                <w:b w:val="0"/>
                <w:bCs w:val="0"/>
                <w:color w:val="000000"/>
              </w:rPr>
            </w:pPr>
            <w:r w:rsidRPr="008D521F">
              <w:rPr>
                <w:rFonts w:asciiTheme="minorHAnsi" w:eastAsia="Times New Roman" w:hAnsiTheme="minorHAnsi" w:cstheme="minorHAnsi"/>
                <w:b w:val="0"/>
                <w:color w:val="000000"/>
              </w:rPr>
              <w:t xml:space="preserve">Taumata Arowai will exist as a legal entity on </w:t>
            </w:r>
            <w:r w:rsidR="00974484">
              <w:rPr>
                <w:rFonts w:asciiTheme="minorHAnsi" w:eastAsia="Times New Roman" w:hAnsiTheme="minorHAnsi" w:cstheme="minorHAnsi"/>
                <w:b w:val="0"/>
                <w:color w:val="000000"/>
              </w:rPr>
              <w:t>commencement</w:t>
            </w:r>
            <w:r w:rsidRPr="008D521F">
              <w:rPr>
                <w:rFonts w:asciiTheme="minorHAnsi" w:eastAsia="Times New Roman" w:hAnsiTheme="minorHAnsi" w:cstheme="minorHAnsi"/>
                <w:b w:val="0"/>
                <w:color w:val="000000"/>
              </w:rPr>
              <w:t xml:space="preserve"> of the </w:t>
            </w:r>
            <w:r w:rsidRPr="008D521F">
              <w:rPr>
                <w:rFonts w:asciiTheme="minorHAnsi" w:eastAsia="Times New Roman" w:hAnsiTheme="minorHAnsi" w:cstheme="minorHAnsi"/>
                <w:b w:val="0"/>
                <w:i/>
                <w:color w:val="000000"/>
              </w:rPr>
              <w:t xml:space="preserve">Taumata Arowai – Water Services Regulator </w:t>
            </w:r>
            <w:r w:rsidR="00974484">
              <w:rPr>
                <w:rFonts w:asciiTheme="minorHAnsi" w:eastAsia="Times New Roman" w:hAnsiTheme="minorHAnsi" w:cstheme="minorHAnsi"/>
                <w:b w:val="0"/>
                <w:i/>
                <w:color w:val="000000"/>
              </w:rPr>
              <w:t>Act</w:t>
            </w:r>
            <w:r w:rsidRPr="008D521F">
              <w:rPr>
                <w:rFonts w:asciiTheme="minorHAnsi" w:eastAsia="Times New Roman" w:hAnsiTheme="minorHAnsi" w:cstheme="minorHAnsi"/>
                <w:b w:val="0"/>
                <w:color w:val="000000"/>
              </w:rPr>
              <w:t xml:space="preserve">. This is anticipated to occur </w:t>
            </w:r>
            <w:r w:rsidR="00974484">
              <w:rPr>
                <w:rFonts w:asciiTheme="minorHAnsi" w:eastAsia="Times New Roman" w:hAnsiTheme="minorHAnsi" w:cstheme="minorHAnsi"/>
                <w:b w:val="0"/>
                <w:color w:val="000000"/>
              </w:rPr>
              <w:t>in late</w:t>
            </w:r>
            <w:r w:rsidRPr="008D521F">
              <w:rPr>
                <w:rFonts w:asciiTheme="minorHAnsi" w:eastAsia="Times New Roman" w:hAnsiTheme="minorHAnsi" w:cstheme="minorHAnsi"/>
                <w:b w:val="0"/>
                <w:color w:val="000000"/>
              </w:rPr>
              <w:t xml:space="preserve"> 2020. </w:t>
            </w:r>
          </w:p>
          <w:p w14:paraId="630C2056" w14:textId="0CBAD2EC" w:rsidR="008D521F" w:rsidRDefault="008D521F" w:rsidP="00E07D49">
            <w:pPr>
              <w:spacing w:before="0"/>
              <w:rPr>
                <w:b w:val="0"/>
              </w:rPr>
            </w:pPr>
            <w:r w:rsidRPr="003E7547">
              <w:rPr>
                <w:b w:val="0"/>
              </w:rPr>
              <w:t xml:space="preserve">Taumata Arowai </w:t>
            </w:r>
            <w:r>
              <w:rPr>
                <w:b w:val="0"/>
              </w:rPr>
              <w:t xml:space="preserve">will take </w:t>
            </w:r>
            <w:r w:rsidRPr="003E7547">
              <w:rPr>
                <w:b w:val="0"/>
              </w:rPr>
              <w:t>over from</w:t>
            </w:r>
            <w:r w:rsidR="00C871D6">
              <w:rPr>
                <w:b w:val="0"/>
              </w:rPr>
              <w:t xml:space="preserve"> the</w:t>
            </w:r>
            <w:r w:rsidRPr="003E7547">
              <w:rPr>
                <w:b w:val="0"/>
              </w:rPr>
              <w:t xml:space="preserve"> Ministry of Health</w:t>
            </w:r>
            <w:r>
              <w:rPr>
                <w:b w:val="0"/>
              </w:rPr>
              <w:t xml:space="preserve"> when it is</w:t>
            </w:r>
            <w:r w:rsidRPr="003E7547">
              <w:rPr>
                <w:b w:val="0"/>
              </w:rPr>
              <w:t xml:space="preserve"> </w:t>
            </w:r>
            <w:r>
              <w:rPr>
                <w:b w:val="0"/>
              </w:rPr>
              <w:t>fully operational</w:t>
            </w:r>
            <w:r w:rsidRPr="00547732">
              <w:rPr>
                <w:b w:val="0"/>
              </w:rPr>
              <w:t xml:space="preserve"> </w:t>
            </w:r>
            <w:r w:rsidRPr="004F6436">
              <w:rPr>
                <w:b w:val="0"/>
              </w:rPr>
              <w:t xml:space="preserve">following </w:t>
            </w:r>
            <w:r w:rsidR="00974484">
              <w:rPr>
                <w:b w:val="0"/>
              </w:rPr>
              <w:t>commencement</w:t>
            </w:r>
            <w:r w:rsidR="00974484" w:rsidRPr="004F6436">
              <w:rPr>
                <w:b w:val="0"/>
              </w:rPr>
              <w:t xml:space="preserve"> </w:t>
            </w:r>
            <w:r w:rsidRPr="004F6436">
              <w:rPr>
                <w:b w:val="0"/>
              </w:rPr>
              <w:t xml:space="preserve">of the </w:t>
            </w:r>
            <w:r w:rsidR="00BC78C5">
              <w:rPr>
                <w:b w:val="0"/>
              </w:rPr>
              <w:t xml:space="preserve">second act known as the </w:t>
            </w:r>
            <w:r w:rsidRPr="004F6436">
              <w:rPr>
                <w:b w:val="0"/>
              </w:rPr>
              <w:t xml:space="preserve">Water Services </w:t>
            </w:r>
            <w:r w:rsidR="00974484">
              <w:rPr>
                <w:b w:val="0"/>
              </w:rPr>
              <w:t>Act</w:t>
            </w:r>
            <w:r w:rsidRPr="004F6436">
              <w:rPr>
                <w:b w:val="0"/>
              </w:rPr>
              <w:t>, expected to be in mid-2021.</w:t>
            </w:r>
          </w:p>
          <w:p w14:paraId="63417954" w14:textId="77777777" w:rsidR="008D521F" w:rsidRPr="004F6436" w:rsidRDefault="008D521F" w:rsidP="00E07D49">
            <w:pPr>
              <w:spacing w:before="0"/>
            </w:pPr>
          </w:p>
        </w:tc>
      </w:tr>
      <w:tr w:rsidR="008D521F" w:rsidRPr="004F6436" w14:paraId="5D21E9F4"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DEAE793" w14:textId="77777777" w:rsidR="009556FB" w:rsidRPr="009556FB" w:rsidRDefault="009556FB" w:rsidP="009556FB">
            <w:pPr>
              <w:rPr>
                <w:bCs w:val="0"/>
              </w:rPr>
            </w:pPr>
            <w:r w:rsidRPr="009556FB">
              <w:rPr>
                <w:bCs w:val="0"/>
              </w:rPr>
              <w:t xml:space="preserve">How will Taumata Arowai demonstrate its commitment to Te Tiriti o Waitangi? </w:t>
            </w:r>
          </w:p>
          <w:p w14:paraId="66DD9174" w14:textId="77777777" w:rsidR="008D521F" w:rsidRDefault="008D521F" w:rsidP="00E07D49">
            <w:pPr>
              <w:spacing w:before="0"/>
            </w:pPr>
            <w:r w:rsidRPr="001C447D">
              <w:t xml:space="preserve"> </w:t>
            </w:r>
          </w:p>
        </w:tc>
      </w:tr>
      <w:tr w:rsidR="008D521F" w:rsidRPr="004F6436" w14:paraId="48D13027"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34319B8C" w14:textId="77777777" w:rsidR="009556FB" w:rsidRPr="009556FB" w:rsidRDefault="009556FB" w:rsidP="009556FB">
            <w:pPr>
              <w:rPr>
                <w:b w:val="0"/>
              </w:rPr>
            </w:pPr>
            <w:r w:rsidRPr="009556FB">
              <w:rPr>
                <w:b w:val="0"/>
              </w:rPr>
              <w:t>Taumata Arowai is committed to resetting and improving relationships with Treaty partners and intends to design and build with this at the forefront.  The enabling legislation requires Taumata Arowai to give effect to Te Mana o te Wai.  The Establishment Unit is currently engaging with iwi/Māori to work through how it will embed Te Mana o Te Wai in its decision making and how it behaves.  This will require a close relationship between Taumata Arowai and Treaty partners and kaitiaki who are best placed to advise on the tikanga and mātauranga which underpin Te Mana o te Wai.</w:t>
            </w:r>
          </w:p>
          <w:p w14:paraId="6E291E00" w14:textId="77777777" w:rsidR="009556FB" w:rsidRPr="009556FB" w:rsidRDefault="009556FB" w:rsidP="009556FB">
            <w:pPr>
              <w:rPr>
                <w:b w:val="0"/>
              </w:rPr>
            </w:pPr>
            <w:bookmarkStart w:id="0" w:name="_GoBack"/>
            <w:bookmarkEnd w:id="0"/>
          </w:p>
          <w:p w14:paraId="1B9BF34A" w14:textId="3A70E587" w:rsidR="008D521F" w:rsidRPr="009556FB" w:rsidRDefault="009556FB" w:rsidP="009556FB">
            <w:pPr>
              <w:spacing w:before="0"/>
              <w:rPr>
                <w:b w:val="0"/>
              </w:rPr>
            </w:pPr>
            <w:r w:rsidRPr="009556FB">
              <w:rPr>
                <w:b w:val="0"/>
              </w:rPr>
              <w:t>The Māori Advisory Group will provide support and guidance to the Board, the Chief Executive and the organisation to assist in this.</w:t>
            </w:r>
            <w:r w:rsidR="00C76F9A" w:rsidRPr="009556FB">
              <w:rPr>
                <w:b w:val="0"/>
              </w:rPr>
              <w:br/>
            </w:r>
          </w:p>
        </w:tc>
      </w:tr>
      <w:tr w:rsidR="008D521F" w:rsidRPr="004F6436" w14:paraId="022B35BD"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C3132F1" w14:textId="77777777" w:rsidR="008D521F" w:rsidRDefault="008D521F" w:rsidP="00E07D49">
            <w:pPr>
              <w:spacing w:before="0"/>
            </w:pPr>
            <w:r>
              <w:t>Which water supplies will be regulated by Taumata Arowai?</w:t>
            </w:r>
          </w:p>
          <w:p w14:paraId="267C1B2C" w14:textId="77777777" w:rsidR="008D521F" w:rsidRDefault="008D521F" w:rsidP="00E07D49">
            <w:pPr>
              <w:spacing w:before="0"/>
            </w:pPr>
          </w:p>
        </w:tc>
      </w:tr>
      <w:tr w:rsidR="008D521F" w:rsidRPr="004F6436" w14:paraId="157510B8"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4EB94377" w14:textId="77777777" w:rsidR="008D521F" w:rsidRDefault="008D521F" w:rsidP="00E07D49">
            <w:pPr>
              <w:spacing w:before="0"/>
              <w:rPr>
                <w:b w:val="0"/>
              </w:rPr>
            </w:pPr>
            <w:r>
              <w:rPr>
                <w:b w:val="0"/>
              </w:rPr>
              <w:t xml:space="preserve">Every drinking water supply, except domestic household supplies. </w:t>
            </w:r>
          </w:p>
          <w:p w14:paraId="345E01BA" w14:textId="77777777" w:rsidR="008D521F" w:rsidRPr="004F6436" w:rsidRDefault="008D521F" w:rsidP="00E07D49">
            <w:pPr>
              <w:spacing w:before="0"/>
              <w:rPr>
                <w:b w:val="0"/>
              </w:rPr>
            </w:pPr>
          </w:p>
        </w:tc>
      </w:tr>
      <w:tr w:rsidR="003B1B11" w:rsidRPr="004F6436" w14:paraId="24DBE43E"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70F15A5" w14:textId="77777777" w:rsidR="003B1B11" w:rsidRDefault="003B1B11" w:rsidP="003B1B11">
            <w:pPr>
              <w:spacing w:before="0"/>
              <w:rPr>
                <w:b w:val="0"/>
              </w:rPr>
            </w:pPr>
            <w:r>
              <w:lastRenderedPageBreak/>
              <w:t xml:space="preserve">As a </w:t>
            </w:r>
            <w:r w:rsidR="00A526D4">
              <w:t xml:space="preserve">drinking </w:t>
            </w:r>
            <w:r>
              <w:t>water supplier, when will we need to meet new regulations?</w:t>
            </w:r>
          </w:p>
          <w:p w14:paraId="28BE3AA0" w14:textId="77777777" w:rsidR="003B1B11" w:rsidRDefault="003B1B11" w:rsidP="00E07D49">
            <w:pPr>
              <w:spacing w:before="0"/>
              <w:rPr>
                <w:b w:val="0"/>
              </w:rPr>
            </w:pPr>
          </w:p>
        </w:tc>
      </w:tr>
      <w:tr w:rsidR="003B1B11" w:rsidRPr="004F6436" w14:paraId="1D38F353"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3B2D3171" w14:textId="77777777" w:rsidR="003B1B11" w:rsidRDefault="003B1B11" w:rsidP="003B1B11">
            <w:pPr>
              <w:spacing w:before="0"/>
              <w:rPr>
                <w:b w:val="0"/>
              </w:rPr>
            </w:pPr>
            <w:r w:rsidRPr="00B841DC">
              <w:rPr>
                <w:b w:val="0"/>
              </w:rPr>
              <w:t>Every</w:t>
            </w:r>
            <w:r w:rsidR="00A526D4">
              <w:rPr>
                <w:b w:val="0"/>
              </w:rPr>
              <w:t xml:space="preserve"> drinking</w:t>
            </w:r>
            <w:r w:rsidRPr="00B841DC">
              <w:rPr>
                <w:b w:val="0"/>
              </w:rPr>
              <w:t xml:space="preserve"> water supplier (exc</w:t>
            </w:r>
            <w:r>
              <w:rPr>
                <w:b w:val="0"/>
              </w:rPr>
              <w:t xml:space="preserve">luding domestic household supplies) </w:t>
            </w:r>
            <w:r w:rsidRPr="00B841DC">
              <w:rPr>
                <w:b w:val="0"/>
              </w:rPr>
              <w:t xml:space="preserve">must provide safe drinking water </w:t>
            </w:r>
            <w:r>
              <w:rPr>
                <w:b w:val="0"/>
              </w:rPr>
              <w:t xml:space="preserve">when Taumata Arowai is able to fully operate, following </w:t>
            </w:r>
            <w:r w:rsidR="00974484">
              <w:rPr>
                <w:b w:val="0"/>
              </w:rPr>
              <w:t>commencement</w:t>
            </w:r>
            <w:r w:rsidR="00974484" w:rsidRPr="004F6436">
              <w:rPr>
                <w:b w:val="0"/>
              </w:rPr>
              <w:t xml:space="preserve"> </w:t>
            </w:r>
            <w:r w:rsidRPr="004F6436">
              <w:rPr>
                <w:b w:val="0"/>
              </w:rPr>
              <w:t>of the Water Services Bill, expected to be in mid-2021.</w:t>
            </w:r>
            <w:r>
              <w:rPr>
                <w:b w:val="0"/>
              </w:rPr>
              <w:t xml:space="preserve"> Every</w:t>
            </w:r>
            <w:r w:rsidR="00A526D4">
              <w:rPr>
                <w:b w:val="0"/>
              </w:rPr>
              <w:t xml:space="preserve"> drinking</w:t>
            </w:r>
            <w:r>
              <w:rPr>
                <w:b w:val="0"/>
              </w:rPr>
              <w:t xml:space="preserve"> water supplier must be registered by mid-2022. All</w:t>
            </w:r>
            <w:r w:rsidR="00A526D4">
              <w:rPr>
                <w:b w:val="0"/>
              </w:rPr>
              <w:t xml:space="preserve"> drinking</w:t>
            </w:r>
            <w:r>
              <w:rPr>
                <w:b w:val="0"/>
              </w:rPr>
              <w:t xml:space="preserve"> water suppliers that are currently regulated, and those that supply more than 500 people (that are not currently regulated) must meet all regulatory requirements by mid-2021. Suppliers serving fewer than 500 people are not required to meet </w:t>
            </w:r>
            <w:r w:rsidR="009556FB">
              <w:rPr>
                <w:b w:val="0"/>
              </w:rPr>
              <w:t>the new</w:t>
            </w:r>
            <w:r w:rsidR="009556FB">
              <w:rPr>
                <w:b w:val="0"/>
              </w:rPr>
              <w:t xml:space="preserve"> </w:t>
            </w:r>
            <w:r>
              <w:rPr>
                <w:b w:val="0"/>
              </w:rPr>
              <w:t xml:space="preserve">regulatory duties until mid-2026. </w:t>
            </w:r>
          </w:p>
          <w:p w14:paraId="22CFE961" w14:textId="40F6126A" w:rsidR="009556FB" w:rsidRDefault="009556FB" w:rsidP="003B1B11">
            <w:pPr>
              <w:spacing w:before="0"/>
              <w:rPr>
                <w:b w:val="0"/>
              </w:rPr>
            </w:pPr>
          </w:p>
        </w:tc>
      </w:tr>
      <w:tr w:rsidR="00A46CD9" w:rsidRPr="004F6436" w14:paraId="7D833BD2" w14:textId="77777777" w:rsidTr="00FD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CDB7CC3" w14:textId="77777777" w:rsidR="00A46CD9" w:rsidRDefault="00A46CD9" w:rsidP="00FD0D47">
            <w:pPr>
              <w:spacing w:before="0"/>
            </w:pPr>
            <w:r>
              <w:t>Will existing Drinking Water Assessors be employed by Taumata Arowai?</w:t>
            </w:r>
          </w:p>
          <w:p w14:paraId="7B4E14DC" w14:textId="77777777" w:rsidR="00A46CD9" w:rsidRPr="00B841DC" w:rsidRDefault="00A46CD9" w:rsidP="00FD0D47">
            <w:pPr>
              <w:spacing w:before="0"/>
              <w:rPr>
                <w:b w:val="0"/>
              </w:rPr>
            </w:pPr>
          </w:p>
        </w:tc>
      </w:tr>
      <w:tr w:rsidR="00A46CD9" w:rsidRPr="004F6436" w14:paraId="402E712D" w14:textId="77777777" w:rsidTr="00FD0D47">
        <w:tc>
          <w:tcPr>
            <w:cnfStyle w:val="001000000000" w:firstRow="0" w:lastRow="0" w:firstColumn="1" w:lastColumn="0" w:oddVBand="0" w:evenVBand="0" w:oddHBand="0" w:evenHBand="0" w:firstRowFirstColumn="0" w:firstRowLastColumn="0" w:lastRowFirstColumn="0" w:lastRowLastColumn="0"/>
            <w:tcW w:w="9072" w:type="dxa"/>
          </w:tcPr>
          <w:p w14:paraId="2E9AE9E4" w14:textId="3F41A9D9" w:rsidR="00A46CD9" w:rsidRDefault="00974484" w:rsidP="00FD0D47">
            <w:pPr>
              <w:spacing w:before="0"/>
              <w:rPr>
                <w:b w:val="0"/>
              </w:rPr>
            </w:pPr>
            <w:r>
              <w:rPr>
                <w:b w:val="0"/>
              </w:rPr>
              <w:t xml:space="preserve">Taumata Arowai is developing a new operating model that takes account of the outcomes and accountabilities it must deliver to under relevant legislation.  Once the organisation design, and </w:t>
            </w:r>
            <w:r w:rsidR="00BC78C5">
              <w:rPr>
                <w:b w:val="0"/>
              </w:rPr>
              <w:t>position</w:t>
            </w:r>
            <w:r>
              <w:rPr>
                <w:b w:val="0"/>
              </w:rPr>
              <w:t xml:space="preserve"> descriptions are finalised, </w:t>
            </w:r>
            <w:r w:rsidR="00BC78C5">
              <w:rPr>
                <w:b w:val="0"/>
              </w:rPr>
              <w:t xml:space="preserve">then </w:t>
            </w:r>
            <w:r w:rsidR="00857FDC">
              <w:rPr>
                <w:b w:val="0"/>
              </w:rPr>
              <w:t xml:space="preserve">external advertising will begin for new </w:t>
            </w:r>
            <w:r w:rsidR="00A46CD9">
              <w:rPr>
                <w:b w:val="0"/>
              </w:rPr>
              <w:t xml:space="preserve">positions </w:t>
            </w:r>
            <w:r w:rsidR="00BC78C5">
              <w:rPr>
                <w:b w:val="0"/>
              </w:rPr>
              <w:t xml:space="preserve">in the </w:t>
            </w:r>
            <w:r w:rsidR="00857FDC">
              <w:rPr>
                <w:b w:val="0"/>
              </w:rPr>
              <w:t>o</w:t>
            </w:r>
            <w:r w:rsidR="00BC78C5">
              <w:rPr>
                <w:b w:val="0"/>
              </w:rPr>
              <w:t>rganisation</w:t>
            </w:r>
            <w:r w:rsidR="00A46CD9">
              <w:rPr>
                <w:b w:val="0"/>
              </w:rPr>
              <w:t xml:space="preserve">. Existing </w:t>
            </w:r>
            <w:r w:rsidR="00A46CD9" w:rsidRPr="003E7547">
              <w:rPr>
                <w:b w:val="0"/>
              </w:rPr>
              <w:t>Drinking Water Assessors</w:t>
            </w:r>
            <w:r w:rsidR="00A46CD9">
              <w:rPr>
                <w:b w:val="0"/>
              </w:rPr>
              <w:t xml:space="preserve"> may apply for </w:t>
            </w:r>
            <w:r w:rsidR="00BC78C5">
              <w:rPr>
                <w:b w:val="0"/>
              </w:rPr>
              <w:t xml:space="preserve">any new </w:t>
            </w:r>
            <w:r w:rsidR="00A46CD9">
              <w:rPr>
                <w:b w:val="0"/>
              </w:rPr>
              <w:t>positions</w:t>
            </w:r>
            <w:r w:rsidR="00857FDC">
              <w:rPr>
                <w:b w:val="0"/>
              </w:rPr>
              <w:t xml:space="preserve"> they have the skills and capability to undertake</w:t>
            </w:r>
            <w:r w:rsidR="00A46CD9">
              <w:rPr>
                <w:b w:val="0"/>
              </w:rPr>
              <w:t xml:space="preserve">. </w:t>
            </w:r>
          </w:p>
          <w:p w14:paraId="080B9A63" w14:textId="77777777" w:rsidR="00A46CD9" w:rsidRPr="004F6436" w:rsidRDefault="00A46CD9" w:rsidP="00FD0D47">
            <w:pPr>
              <w:spacing w:before="0"/>
              <w:rPr>
                <w:b w:val="0"/>
              </w:rPr>
            </w:pPr>
          </w:p>
        </w:tc>
      </w:tr>
      <w:tr w:rsidR="008D521F" w:rsidRPr="004F6436" w14:paraId="2DD20108"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0B8A171" w14:textId="77777777" w:rsidR="008D521F" w:rsidRDefault="008D521F" w:rsidP="00E07D49">
            <w:pPr>
              <w:spacing w:before="0"/>
            </w:pPr>
            <w:r>
              <w:t>Will Taumata Arowai be employing engineers? And if so what level of expertise will be required?</w:t>
            </w:r>
          </w:p>
          <w:p w14:paraId="56163A93" w14:textId="77777777" w:rsidR="008D521F" w:rsidRPr="004F6436" w:rsidRDefault="008D521F" w:rsidP="00E07D49">
            <w:pPr>
              <w:spacing w:before="0"/>
              <w:rPr>
                <w:b w:val="0"/>
              </w:rPr>
            </w:pPr>
          </w:p>
        </w:tc>
      </w:tr>
      <w:tr w:rsidR="008D521F" w:rsidRPr="004F6436" w14:paraId="04431133"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6C7E4B66" w14:textId="2F7DF819" w:rsidR="008D521F" w:rsidRDefault="001D6605" w:rsidP="00E07D49">
            <w:pPr>
              <w:spacing w:before="0"/>
              <w:rPr>
                <w:b w:val="0"/>
              </w:rPr>
            </w:pPr>
            <w:r>
              <w:rPr>
                <w:b w:val="0"/>
              </w:rPr>
              <w:t>As a</w:t>
            </w:r>
            <w:r w:rsidR="00BC78C5">
              <w:rPr>
                <w:b w:val="0"/>
              </w:rPr>
              <w:t xml:space="preserve"> regulator </w:t>
            </w:r>
            <w:r w:rsidR="00857FDC">
              <w:rPr>
                <w:b w:val="0"/>
              </w:rPr>
              <w:t>our focus will primarily be on recruiting regulatory capability.  We will have the need for technical expertise including engineering and we are currently considering options on how to source that expertise for when it is required.</w:t>
            </w:r>
          </w:p>
          <w:p w14:paraId="441F6A70" w14:textId="77777777" w:rsidR="008D521F" w:rsidRPr="004F6436" w:rsidRDefault="008D521F" w:rsidP="00E07D49">
            <w:pPr>
              <w:spacing w:before="0"/>
              <w:rPr>
                <w:b w:val="0"/>
              </w:rPr>
            </w:pPr>
          </w:p>
        </w:tc>
      </w:tr>
      <w:tr w:rsidR="008D521F" w:rsidRPr="004F6436" w14:paraId="7C6295EB"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BF78215" w14:textId="77777777" w:rsidR="008D521F" w:rsidRDefault="008D521F" w:rsidP="00E07D49">
            <w:pPr>
              <w:spacing w:before="0"/>
            </w:pPr>
            <w:r>
              <w:t>Will Water Safety Plans be the same or different?</w:t>
            </w:r>
          </w:p>
          <w:p w14:paraId="01462E15" w14:textId="77777777" w:rsidR="008D521F" w:rsidRPr="004F6436" w:rsidRDefault="008D521F" w:rsidP="00E07D49">
            <w:pPr>
              <w:spacing w:before="0"/>
              <w:rPr>
                <w:b w:val="0"/>
              </w:rPr>
            </w:pPr>
          </w:p>
        </w:tc>
      </w:tr>
      <w:tr w:rsidR="008D521F" w:rsidRPr="004F6436" w14:paraId="29062D9C"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6D1E64B6" w14:textId="77777777" w:rsidR="008D521F" w:rsidRDefault="008D521F" w:rsidP="00E07D49">
            <w:pPr>
              <w:spacing w:before="0"/>
              <w:rPr>
                <w:b w:val="0"/>
              </w:rPr>
            </w:pPr>
            <w:r w:rsidRPr="00854AA1">
              <w:rPr>
                <w:b w:val="0"/>
              </w:rPr>
              <w:t xml:space="preserve">The basic </w:t>
            </w:r>
            <w:r>
              <w:rPr>
                <w:b w:val="0"/>
              </w:rPr>
              <w:t xml:space="preserve">requirements for Water Safety Plans will remain the same and will be set out in the Water Services Bill and regulations. </w:t>
            </w:r>
            <w:r w:rsidR="00C76F9A">
              <w:rPr>
                <w:b w:val="0"/>
              </w:rPr>
              <w:t>However,</w:t>
            </w:r>
            <w:r>
              <w:rPr>
                <w:b w:val="0"/>
              </w:rPr>
              <w:t xml:space="preserve"> there may be some differences in the requirements, to ensure that what is required takes account of the size and complexity of the supplier.</w:t>
            </w:r>
          </w:p>
          <w:p w14:paraId="420A87BD" w14:textId="77777777" w:rsidR="008D521F" w:rsidRPr="004F6436" w:rsidRDefault="008D521F" w:rsidP="00E07D49">
            <w:pPr>
              <w:spacing w:before="0"/>
            </w:pPr>
          </w:p>
        </w:tc>
      </w:tr>
      <w:tr w:rsidR="008D521F" w:rsidRPr="004F6436" w14:paraId="09CEF66A"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D108C3E" w14:textId="77777777" w:rsidR="008D521F" w:rsidRDefault="008D521F" w:rsidP="00E07D49">
            <w:pPr>
              <w:spacing w:before="0"/>
            </w:pPr>
            <w:r>
              <w:t>What’s happening with drinking water standards?</w:t>
            </w:r>
          </w:p>
          <w:p w14:paraId="2EE106CF" w14:textId="77777777" w:rsidR="008D521F" w:rsidRPr="00854AA1" w:rsidRDefault="008D521F" w:rsidP="00E07D49">
            <w:pPr>
              <w:spacing w:before="0"/>
              <w:rPr>
                <w:b w:val="0"/>
              </w:rPr>
            </w:pPr>
          </w:p>
        </w:tc>
      </w:tr>
      <w:tr w:rsidR="008D521F" w:rsidRPr="004F6436" w14:paraId="1C9FAF90"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63CFF15C" w14:textId="77777777" w:rsidR="008D521F" w:rsidRDefault="008D521F" w:rsidP="00E07D49">
            <w:pPr>
              <w:spacing w:before="0"/>
              <w:rPr>
                <w:b w:val="0"/>
              </w:rPr>
            </w:pPr>
            <w:r>
              <w:rPr>
                <w:b w:val="0"/>
              </w:rPr>
              <w:t>The drinking water standards are being reviewed and redesigned</w:t>
            </w:r>
            <w:r w:rsidR="00C871D6">
              <w:rPr>
                <w:b w:val="0"/>
              </w:rPr>
              <w:t>,</w:t>
            </w:r>
            <w:r>
              <w:rPr>
                <w:b w:val="0"/>
              </w:rPr>
              <w:t xml:space="preserve"> however will initially be based on the existing standards. Some changes may be made in future years</w:t>
            </w:r>
            <w:r w:rsidR="00C871D6">
              <w:rPr>
                <w:b w:val="0"/>
              </w:rPr>
              <w:t>.</w:t>
            </w:r>
          </w:p>
          <w:p w14:paraId="3B6B40BF" w14:textId="77777777" w:rsidR="008D521F" w:rsidRDefault="008D521F" w:rsidP="00E07D49">
            <w:pPr>
              <w:spacing w:before="0"/>
            </w:pPr>
          </w:p>
        </w:tc>
      </w:tr>
      <w:tr w:rsidR="008D521F" w:rsidRPr="004F6436" w14:paraId="675ABF93"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51EE86D" w14:textId="77777777" w:rsidR="00C76F9A" w:rsidRPr="00BD3B95" w:rsidRDefault="00C76F9A" w:rsidP="00C76F9A">
            <w:pPr>
              <w:rPr>
                <w:rFonts w:eastAsia="Times New Roman"/>
                <w:b w:val="0"/>
              </w:rPr>
            </w:pPr>
            <w:r w:rsidRPr="00BD3B95">
              <w:rPr>
                <w:rFonts w:eastAsia="Times New Roman"/>
              </w:rPr>
              <w:t xml:space="preserve">What support is Taumata Arowai expected to give small suppliers to assist them </w:t>
            </w:r>
            <w:r>
              <w:rPr>
                <w:rFonts w:eastAsia="Times New Roman"/>
              </w:rPr>
              <w:t xml:space="preserve">in </w:t>
            </w:r>
            <w:r w:rsidRPr="00BD3B95">
              <w:rPr>
                <w:rFonts w:eastAsia="Times New Roman"/>
              </w:rPr>
              <w:t>provid</w:t>
            </w:r>
            <w:r>
              <w:rPr>
                <w:rFonts w:eastAsia="Times New Roman"/>
              </w:rPr>
              <w:t>ing</w:t>
            </w:r>
            <w:r w:rsidRPr="00BD3B95">
              <w:rPr>
                <w:rFonts w:eastAsia="Times New Roman"/>
              </w:rPr>
              <w:t xml:space="preserve"> safe drinking water?</w:t>
            </w:r>
          </w:p>
          <w:p w14:paraId="7DC77184" w14:textId="77777777" w:rsidR="008D521F" w:rsidRDefault="008D521F" w:rsidP="00E07D49">
            <w:pPr>
              <w:spacing w:before="0"/>
            </w:pPr>
          </w:p>
        </w:tc>
      </w:tr>
      <w:tr w:rsidR="008D521F" w:rsidRPr="004F6436" w14:paraId="1499724A"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1F745687" w14:textId="77777777" w:rsidR="00974484" w:rsidRPr="009556FB" w:rsidRDefault="00974484" w:rsidP="009556FB">
            <w:pPr>
              <w:keepLines w:val="0"/>
              <w:spacing w:before="0"/>
              <w:rPr>
                <w:b w:val="0"/>
              </w:rPr>
            </w:pPr>
            <w:r w:rsidRPr="009556FB">
              <w:rPr>
                <w:b w:val="0"/>
              </w:rPr>
              <w:t>Taumata Arowai is engaging with a wide range of people and organisations in the water sector and is seeking feedback and insights from them. This will assist the development of technical guidance and other material that will assist water suppliers to achieve compliance. The aim will be to produce pragmatic and user-friendly guides.</w:t>
            </w:r>
          </w:p>
          <w:p w14:paraId="19DED4E1" w14:textId="11A8C7EA" w:rsidR="00C76F9A" w:rsidRPr="009556FB" w:rsidRDefault="00974484" w:rsidP="00E07D49">
            <w:pPr>
              <w:spacing w:before="0"/>
              <w:rPr>
                <w:b w:val="0"/>
              </w:rPr>
            </w:pPr>
            <w:r w:rsidRPr="009556FB" w:rsidDel="00974484">
              <w:rPr>
                <w:rFonts w:eastAsia="Times New Roman"/>
                <w:b w:val="0"/>
              </w:rPr>
              <w:t xml:space="preserve"> </w:t>
            </w:r>
          </w:p>
        </w:tc>
      </w:tr>
      <w:tr w:rsidR="008D521F" w:rsidRPr="009F2BD8" w14:paraId="619D37FC"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DC23D59" w14:textId="77777777" w:rsidR="008D521F" w:rsidRDefault="00A46CD9" w:rsidP="00E07D49">
            <w:pPr>
              <w:spacing w:before="0"/>
              <w:rPr>
                <w:rFonts w:eastAsia="Times New Roman"/>
              </w:rPr>
            </w:pPr>
            <w:r w:rsidRPr="00BD3B95">
              <w:rPr>
                <w:rFonts w:eastAsia="Times New Roman"/>
              </w:rPr>
              <w:t>How will Taumata Arowai work with councils to ensure communities in their districts or regions have access to safe drinking water?</w:t>
            </w:r>
          </w:p>
          <w:p w14:paraId="7FB86F92" w14:textId="77777777" w:rsidR="00A46CD9" w:rsidRPr="009F2BD8" w:rsidRDefault="00A46CD9" w:rsidP="00E07D49">
            <w:pPr>
              <w:spacing w:before="0"/>
              <w:rPr>
                <w:b w:val="0"/>
              </w:rPr>
            </w:pPr>
          </w:p>
        </w:tc>
      </w:tr>
      <w:tr w:rsidR="00A46CD9" w:rsidRPr="00A46CD9" w14:paraId="1957C4D8"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6779B9CD" w14:textId="77777777" w:rsidR="00A46CD9" w:rsidRDefault="00A46CD9" w:rsidP="00E07D49">
            <w:pPr>
              <w:spacing w:before="0"/>
              <w:rPr>
                <w:rFonts w:eastAsia="Times New Roman"/>
                <w:b w:val="0"/>
              </w:rPr>
            </w:pPr>
            <w:r w:rsidRPr="00A46CD9">
              <w:rPr>
                <w:rFonts w:eastAsia="Times New Roman"/>
                <w:b w:val="0"/>
              </w:rPr>
              <w:lastRenderedPageBreak/>
              <w:t>Taumata Arowai will work closely and collaboratively with councils on developing approaches to legislative requirements under the new regulatory regime.</w:t>
            </w:r>
          </w:p>
          <w:p w14:paraId="43D9E5F5" w14:textId="77777777" w:rsidR="00A46CD9" w:rsidRPr="00A46CD9" w:rsidRDefault="00A46CD9" w:rsidP="00E07D49">
            <w:pPr>
              <w:spacing w:before="0"/>
              <w:rPr>
                <w:rFonts w:eastAsia="Times New Roman"/>
                <w:b w:val="0"/>
              </w:rPr>
            </w:pPr>
          </w:p>
        </w:tc>
      </w:tr>
      <w:tr w:rsidR="00A46CD9" w:rsidRPr="00A46CD9" w14:paraId="1900C319"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572747F7" w14:textId="77777777" w:rsidR="00A46CD9" w:rsidRPr="00A46CD9" w:rsidRDefault="00A46CD9" w:rsidP="00E07D49">
            <w:pPr>
              <w:spacing w:before="0"/>
              <w:rPr>
                <w:rFonts w:eastAsia="Times New Roman"/>
              </w:rPr>
            </w:pPr>
            <w:r w:rsidRPr="00286816">
              <w:rPr>
                <w:rFonts w:eastAsia="Times New Roman"/>
              </w:rPr>
              <w:t xml:space="preserve">Will councils be responsible for making sure the </w:t>
            </w:r>
            <w:r>
              <w:rPr>
                <w:rFonts w:eastAsia="Times New Roman"/>
              </w:rPr>
              <w:t>output</w:t>
            </w:r>
            <w:r w:rsidRPr="00286816">
              <w:rPr>
                <w:rFonts w:eastAsia="Times New Roman"/>
              </w:rPr>
              <w:t xml:space="preserve"> of small rural water schemes in their districts meet</w:t>
            </w:r>
            <w:r>
              <w:rPr>
                <w:rFonts w:eastAsia="Times New Roman"/>
              </w:rPr>
              <w:t>s</w:t>
            </w:r>
            <w:r w:rsidRPr="00286816">
              <w:rPr>
                <w:rFonts w:eastAsia="Times New Roman"/>
              </w:rPr>
              <w:t xml:space="preserve"> the drinking water standards?</w:t>
            </w:r>
            <w:r>
              <w:rPr>
                <w:rFonts w:eastAsia="Times New Roman"/>
              </w:rPr>
              <w:br/>
            </w:r>
          </w:p>
        </w:tc>
      </w:tr>
      <w:tr w:rsidR="00A46CD9" w:rsidRPr="00A46CD9" w14:paraId="2EBF7E3B"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4D494CEE" w14:textId="77777777" w:rsidR="00A46CD9" w:rsidRPr="00A46CD9" w:rsidRDefault="00A46CD9" w:rsidP="00A46CD9">
            <w:pPr>
              <w:rPr>
                <w:rFonts w:eastAsia="Times New Roman"/>
                <w:b w:val="0"/>
              </w:rPr>
            </w:pPr>
            <w:r w:rsidRPr="00A46CD9">
              <w:rPr>
                <w:rFonts w:eastAsia="Times New Roman"/>
                <w:b w:val="0"/>
              </w:rPr>
              <w:t xml:space="preserve">No, this will be the role of the regulator. Councils will however work with their communities to ensure they have access to safe and quality drinking water. </w:t>
            </w:r>
          </w:p>
          <w:p w14:paraId="10191ECE" w14:textId="77777777" w:rsidR="00A46CD9" w:rsidRPr="00286816" w:rsidRDefault="00A46CD9" w:rsidP="00E07D49">
            <w:pPr>
              <w:spacing w:before="0"/>
              <w:rPr>
                <w:rFonts w:eastAsia="Times New Roman"/>
                <w:b w:val="0"/>
              </w:rPr>
            </w:pPr>
          </w:p>
        </w:tc>
      </w:tr>
      <w:tr w:rsidR="00A46CD9" w:rsidRPr="00A46CD9" w14:paraId="4465D52E" w14:textId="77777777" w:rsidTr="004F6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35A7C86" w14:textId="77777777" w:rsidR="00A46CD9" w:rsidRPr="00341DDF" w:rsidRDefault="00A46CD9" w:rsidP="00A46CD9">
            <w:pPr>
              <w:rPr>
                <w:rFonts w:eastAsia="Times New Roman"/>
                <w:b w:val="0"/>
              </w:rPr>
            </w:pPr>
            <w:r w:rsidRPr="00341DDF">
              <w:rPr>
                <w:rFonts w:eastAsia="Times New Roman"/>
              </w:rPr>
              <w:t xml:space="preserve">Why </w:t>
            </w:r>
            <w:r>
              <w:rPr>
                <w:rFonts w:eastAsia="Times New Roman"/>
              </w:rPr>
              <w:t xml:space="preserve">will </w:t>
            </w:r>
            <w:r w:rsidRPr="00341DDF">
              <w:rPr>
                <w:rFonts w:eastAsia="Times New Roman"/>
              </w:rPr>
              <w:t xml:space="preserve">Taumata Arowai </w:t>
            </w:r>
            <w:r>
              <w:rPr>
                <w:rFonts w:eastAsia="Times New Roman"/>
              </w:rPr>
              <w:t xml:space="preserve">be </w:t>
            </w:r>
            <w:r w:rsidRPr="00341DDF">
              <w:rPr>
                <w:rFonts w:eastAsia="Times New Roman"/>
              </w:rPr>
              <w:t>concerning itself with rural community water supplies</w:t>
            </w:r>
            <w:r>
              <w:rPr>
                <w:rFonts w:eastAsia="Times New Roman"/>
              </w:rPr>
              <w:t xml:space="preserve"> when they’ve always been managed locally</w:t>
            </w:r>
            <w:r w:rsidRPr="00341DDF">
              <w:rPr>
                <w:rFonts w:eastAsia="Times New Roman"/>
              </w:rPr>
              <w:t>?</w:t>
            </w:r>
          </w:p>
          <w:p w14:paraId="4167C10D" w14:textId="77777777" w:rsidR="00A46CD9" w:rsidRPr="00A46CD9" w:rsidRDefault="00A46CD9" w:rsidP="00A46CD9">
            <w:pPr>
              <w:rPr>
                <w:rFonts w:eastAsia="Times New Roman"/>
                <w:b w:val="0"/>
              </w:rPr>
            </w:pPr>
          </w:p>
        </w:tc>
      </w:tr>
      <w:tr w:rsidR="00A46CD9" w:rsidRPr="00A46CD9" w14:paraId="2EE7BCAD" w14:textId="77777777" w:rsidTr="004F6436">
        <w:tc>
          <w:tcPr>
            <w:cnfStyle w:val="001000000000" w:firstRow="0" w:lastRow="0" w:firstColumn="1" w:lastColumn="0" w:oddVBand="0" w:evenVBand="0" w:oddHBand="0" w:evenHBand="0" w:firstRowFirstColumn="0" w:firstRowLastColumn="0" w:lastRowFirstColumn="0" w:lastRowLastColumn="0"/>
            <w:tcW w:w="9072" w:type="dxa"/>
          </w:tcPr>
          <w:p w14:paraId="11B02E2A" w14:textId="77777777" w:rsidR="00A46CD9" w:rsidRPr="00A46CD9" w:rsidRDefault="00A46CD9" w:rsidP="00A46CD9">
            <w:pPr>
              <w:rPr>
                <w:rFonts w:eastAsia="Times New Roman"/>
                <w:b w:val="0"/>
              </w:rPr>
            </w:pPr>
            <w:r w:rsidRPr="00A46CD9">
              <w:rPr>
                <w:rFonts w:eastAsia="Times New Roman"/>
                <w:b w:val="0"/>
              </w:rPr>
              <w:t>Evidence indicates that some small</w:t>
            </w:r>
            <w:r w:rsidR="00A526D4">
              <w:rPr>
                <w:rFonts w:eastAsia="Times New Roman"/>
                <w:b w:val="0"/>
              </w:rPr>
              <w:t xml:space="preserve"> drinking</w:t>
            </w:r>
            <w:r w:rsidRPr="00A46CD9">
              <w:rPr>
                <w:rFonts w:eastAsia="Times New Roman"/>
                <w:b w:val="0"/>
              </w:rPr>
              <w:t xml:space="preserve"> water supplie</w:t>
            </w:r>
            <w:r>
              <w:rPr>
                <w:rFonts w:eastAsia="Times New Roman"/>
                <w:b w:val="0"/>
              </w:rPr>
              <w:t>r</w:t>
            </w:r>
            <w:r w:rsidRPr="00A46CD9">
              <w:rPr>
                <w:rFonts w:eastAsia="Times New Roman"/>
                <w:b w:val="0"/>
              </w:rPr>
              <w:t>s face difficulties in providing safe and acceptable drinking water to their communities. Taumata Arowai’s starting position is that rural communities should not be second-class citizens when it comes to the safety and quality of their drinking water. To this end, Taumata Arowa</w:t>
            </w:r>
            <w:r w:rsidR="00C871D6">
              <w:rPr>
                <w:rFonts w:eastAsia="Times New Roman"/>
                <w:b w:val="0"/>
              </w:rPr>
              <w:t>i</w:t>
            </w:r>
            <w:r w:rsidRPr="00A46CD9">
              <w:rPr>
                <w:rFonts w:eastAsia="Times New Roman"/>
                <w:b w:val="0"/>
              </w:rPr>
              <w:t xml:space="preserve"> will work with rural drinking water schemes to ensure they are aware of their obligations to provide safe drinking water, and that they have practical technical advice on how to affordably do so. </w:t>
            </w:r>
            <w:r>
              <w:rPr>
                <w:rFonts w:eastAsia="Times New Roman"/>
                <w:b w:val="0"/>
              </w:rPr>
              <w:br/>
            </w:r>
          </w:p>
        </w:tc>
      </w:tr>
    </w:tbl>
    <w:p w14:paraId="0B3E1444" w14:textId="77777777" w:rsidR="00833CF8" w:rsidRPr="00603635" w:rsidRDefault="00833CF8" w:rsidP="00E07D49">
      <w:pPr>
        <w:spacing w:before="0" w:after="0"/>
      </w:pPr>
    </w:p>
    <w:sectPr w:rsidR="00833CF8" w:rsidRPr="00603635" w:rsidSect="00E07D49">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851"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3014" w14:textId="77777777" w:rsidR="00011BDC" w:rsidRDefault="00011BDC">
      <w:r>
        <w:separator/>
      </w:r>
    </w:p>
    <w:p w14:paraId="3D2922BE" w14:textId="77777777" w:rsidR="00011BDC" w:rsidRDefault="00011BDC"/>
    <w:p w14:paraId="6E26A4B1" w14:textId="77777777" w:rsidR="00011BDC" w:rsidRDefault="00011BDC"/>
  </w:endnote>
  <w:endnote w:type="continuationSeparator" w:id="0">
    <w:p w14:paraId="35B95963" w14:textId="77777777" w:rsidR="00011BDC" w:rsidRDefault="00011BDC">
      <w:r>
        <w:continuationSeparator/>
      </w:r>
    </w:p>
    <w:p w14:paraId="22A6FDB0" w14:textId="77777777" w:rsidR="00011BDC" w:rsidRDefault="00011BDC"/>
    <w:p w14:paraId="7B5F10CA" w14:textId="77777777" w:rsidR="00011BDC" w:rsidRDefault="0001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738"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EC9D"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4560"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9EAE" w14:textId="77777777" w:rsidR="00011BDC" w:rsidRDefault="00011BDC" w:rsidP="00FB1990">
      <w:pPr>
        <w:pStyle w:val="Spacer"/>
      </w:pPr>
      <w:r>
        <w:separator/>
      </w:r>
    </w:p>
    <w:p w14:paraId="1E1540BB" w14:textId="77777777" w:rsidR="00011BDC" w:rsidRDefault="00011BDC" w:rsidP="00FB1990">
      <w:pPr>
        <w:pStyle w:val="Spacer"/>
      </w:pPr>
    </w:p>
  </w:footnote>
  <w:footnote w:type="continuationSeparator" w:id="0">
    <w:p w14:paraId="1857A8C0" w14:textId="77777777" w:rsidR="00011BDC" w:rsidRDefault="00011BDC">
      <w:r>
        <w:continuationSeparator/>
      </w:r>
    </w:p>
    <w:p w14:paraId="75F19E38" w14:textId="77777777" w:rsidR="00011BDC" w:rsidRDefault="00011BDC"/>
    <w:p w14:paraId="514FCDB1" w14:textId="77777777" w:rsidR="00011BDC" w:rsidRDefault="0001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8082"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AF63"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107C"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79115C"/>
    <w:multiLevelType w:val="hybridMultilevel"/>
    <w:tmpl w:val="5B146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0EA3BAB"/>
    <w:multiLevelType w:val="hybridMultilevel"/>
    <w:tmpl w:val="9F0405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32C631A"/>
    <w:multiLevelType w:val="hybridMultilevel"/>
    <w:tmpl w:val="5D24ACA0"/>
    <w:lvl w:ilvl="0" w:tplc="066217F0">
      <w:start w:val="1"/>
      <w:numFmt w:val="bullet"/>
      <w:lvlText w:val=""/>
      <w:lvlJc w:val="left"/>
      <w:pPr>
        <w:tabs>
          <w:tab w:val="num" w:pos="720"/>
        </w:tabs>
        <w:ind w:left="720" w:hanging="360"/>
      </w:pPr>
      <w:rPr>
        <w:rFonts w:ascii="Wingdings 3" w:hAnsi="Wingdings 3" w:hint="default"/>
      </w:rPr>
    </w:lvl>
    <w:lvl w:ilvl="1" w:tplc="9DE4B798" w:tentative="1">
      <w:start w:val="1"/>
      <w:numFmt w:val="bullet"/>
      <w:lvlText w:val=""/>
      <w:lvlJc w:val="left"/>
      <w:pPr>
        <w:tabs>
          <w:tab w:val="num" w:pos="1440"/>
        </w:tabs>
        <w:ind w:left="1440" w:hanging="360"/>
      </w:pPr>
      <w:rPr>
        <w:rFonts w:ascii="Wingdings 3" w:hAnsi="Wingdings 3" w:hint="default"/>
      </w:rPr>
    </w:lvl>
    <w:lvl w:ilvl="2" w:tplc="CB0E5CA6" w:tentative="1">
      <w:start w:val="1"/>
      <w:numFmt w:val="bullet"/>
      <w:lvlText w:val=""/>
      <w:lvlJc w:val="left"/>
      <w:pPr>
        <w:tabs>
          <w:tab w:val="num" w:pos="2160"/>
        </w:tabs>
        <w:ind w:left="2160" w:hanging="360"/>
      </w:pPr>
      <w:rPr>
        <w:rFonts w:ascii="Wingdings 3" w:hAnsi="Wingdings 3" w:hint="default"/>
      </w:rPr>
    </w:lvl>
    <w:lvl w:ilvl="3" w:tplc="A394D03A" w:tentative="1">
      <w:start w:val="1"/>
      <w:numFmt w:val="bullet"/>
      <w:lvlText w:val=""/>
      <w:lvlJc w:val="left"/>
      <w:pPr>
        <w:tabs>
          <w:tab w:val="num" w:pos="2880"/>
        </w:tabs>
        <w:ind w:left="2880" w:hanging="360"/>
      </w:pPr>
      <w:rPr>
        <w:rFonts w:ascii="Wingdings 3" w:hAnsi="Wingdings 3" w:hint="default"/>
      </w:rPr>
    </w:lvl>
    <w:lvl w:ilvl="4" w:tplc="E74601BA" w:tentative="1">
      <w:start w:val="1"/>
      <w:numFmt w:val="bullet"/>
      <w:lvlText w:val=""/>
      <w:lvlJc w:val="left"/>
      <w:pPr>
        <w:tabs>
          <w:tab w:val="num" w:pos="3600"/>
        </w:tabs>
        <w:ind w:left="3600" w:hanging="360"/>
      </w:pPr>
      <w:rPr>
        <w:rFonts w:ascii="Wingdings 3" w:hAnsi="Wingdings 3" w:hint="default"/>
      </w:rPr>
    </w:lvl>
    <w:lvl w:ilvl="5" w:tplc="9528BF18" w:tentative="1">
      <w:start w:val="1"/>
      <w:numFmt w:val="bullet"/>
      <w:lvlText w:val=""/>
      <w:lvlJc w:val="left"/>
      <w:pPr>
        <w:tabs>
          <w:tab w:val="num" w:pos="4320"/>
        </w:tabs>
        <w:ind w:left="4320" w:hanging="360"/>
      </w:pPr>
      <w:rPr>
        <w:rFonts w:ascii="Wingdings 3" w:hAnsi="Wingdings 3" w:hint="default"/>
      </w:rPr>
    </w:lvl>
    <w:lvl w:ilvl="6" w:tplc="B4023E88" w:tentative="1">
      <w:start w:val="1"/>
      <w:numFmt w:val="bullet"/>
      <w:lvlText w:val=""/>
      <w:lvlJc w:val="left"/>
      <w:pPr>
        <w:tabs>
          <w:tab w:val="num" w:pos="5040"/>
        </w:tabs>
        <w:ind w:left="5040" w:hanging="360"/>
      </w:pPr>
      <w:rPr>
        <w:rFonts w:ascii="Wingdings 3" w:hAnsi="Wingdings 3" w:hint="default"/>
      </w:rPr>
    </w:lvl>
    <w:lvl w:ilvl="7" w:tplc="32E86634" w:tentative="1">
      <w:start w:val="1"/>
      <w:numFmt w:val="bullet"/>
      <w:lvlText w:val=""/>
      <w:lvlJc w:val="left"/>
      <w:pPr>
        <w:tabs>
          <w:tab w:val="num" w:pos="5760"/>
        </w:tabs>
        <w:ind w:left="5760" w:hanging="360"/>
      </w:pPr>
      <w:rPr>
        <w:rFonts w:ascii="Wingdings 3" w:hAnsi="Wingdings 3" w:hint="default"/>
      </w:rPr>
    </w:lvl>
    <w:lvl w:ilvl="8" w:tplc="5C2A2FD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1"/>
  </w:num>
  <w:num w:numId="11">
    <w:abstractNumId w:val="19"/>
  </w:num>
  <w:num w:numId="12">
    <w:abstractNumId w:val="23"/>
  </w:num>
  <w:num w:numId="13">
    <w:abstractNumId w:val="25"/>
  </w:num>
  <w:num w:numId="14">
    <w:abstractNumId w:val="8"/>
  </w:num>
  <w:num w:numId="15">
    <w:abstractNumId w:val="13"/>
  </w:num>
  <w:num w:numId="16">
    <w:abstractNumId w:val="26"/>
  </w:num>
  <w:num w:numId="17">
    <w:abstractNumId w:val="24"/>
  </w:num>
  <w:num w:numId="18">
    <w:abstractNumId w:val="22"/>
  </w:num>
  <w:num w:numId="19">
    <w:abstractNumId w:val="16"/>
  </w:num>
  <w:num w:numId="20">
    <w:abstractNumId w:val="14"/>
  </w:num>
  <w:num w:numId="21">
    <w:abstractNumId w:val="10"/>
  </w:num>
  <w:num w:numId="22">
    <w:abstractNumId w:val="7"/>
  </w:num>
  <w:num w:numId="23">
    <w:abstractNumId w:val="12"/>
  </w:num>
  <w:num w:numId="24">
    <w:abstractNumId w:val="9"/>
  </w:num>
  <w:num w:numId="25">
    <w:abstractNumId w:val="21"/>
  </w:num>
  <w:num w:numId="26">
    <w:abstractNumId w:val="6"/>
  </w:num>
  <w:num w:numId="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F8"/>
    <w:rsid w:val="00003360"/>
    <w:rsid w:val="00003FC7"/>
    <w:rsid w:val="00005919"/>
    <w:rsid w:val="00007C42"/>
    <w:rsid w:val="00011BDC"/>
    <w:rsid w:val="00015020"/>
    <w:rsid w:val="0001647B"/>
    <w:rsid w:val="00020010"/>
    <w:rsid w:val="00034673"/>
    <w:rsid w:val="00036671"/>
    <w:rsid w:val="00037226"/>
    <w:rsid w:val="000409E2"/>
    <w:rsid w:val="00044EA1"/>
    <w:rsid w:val="00054574"/>
    <w:rsid w:val="0005649A"/>
    <w:rsid w:val="00056943"/>
    <w:rsid w:val="00063BB2"/>
    <w:rsid w:val="00065F18"/>
    <w:rsid w:val="00067005"/>
    <w:rsid w:val="00076035"/>
    <w:rsid w:val="00077013"/>
    <w:rsid w:val="00091C3A"/>
    <w:rsid w:val="000D61F6"/>
    <w:rsid w:val="000E3240"/>
    <w:rsid w:val="000E677B"/>
    <w:rsid w:val="000F4ADF"/>
    <w:rsid w:val="000F61AF"/>
    <w:rsid w:val="0010171C"/>
    <w:rsid w:val="00102FAD"/>
    <w:rsid w:val="001137C9"/>
    <w:rsid w:val="001167DC"/>
    <w:rsid w:val="00121870"/>
    <w:rsid w:val="00126FDE"/>
    <w:rsid w:val="0013703F"/>
    <w:rsid w:val="00140ED2"/>
    <w:rsid w:val="00143E7C"/>
    <w:rsid w:val="0014415C"/>
    <w:rsid w:val="0014565E"/>
    <w:rsid w:val="001536C9"/>
    <w:rsid w:val="0016433D"/>
    <w:rsid w:val="00184C0F"/>
    <w:rsid w:val="00186002"/>
    <w:rsid w:val="001A5F55"/>
    <w:rsid w:val="001C0031"/>
    <w:rsid w:val="001C0C30"/>
    <w:rsid w:val="001C447D"/>
    <w:rsid w:val="001D0111"/>
    <w:rsid w:val="001D6605"/>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2BA5"/>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1B11"/>
    <w:rsid w:val="003B3A23"/>
    <w:rsid w:val="003B6592"/>
    <w:rsid w:val="003C772C"/>
    <w:rsid w:val="003E7547"/>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4F6436"/>
    <w:rsid w:val="00501C4B"/>
    <w:rsid w:val="005028A7"/>
    <w:rsid w:val="005078B7"/>
    <w:rsid w:val="00510D73"/>
    <w:rsid w:val="00512ACB"/>
    <w:rsid w:val="0052216D"/>
    <w:rsid w:val="00526115"/>
    <w:rsid w:val="005276DC"/>
    <w:rsid w:val="00533FAF"/>
    <w:rsid w:val="005366B6"/>
    <w:rsid w:val="00547732"/>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519"/>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3CF8"/>
    <w:rsid w:val="008352B1"/>
    <w:rsid w:val="008353E7"/>
    <w:rsid w:val="00835BD7"/>
    <w:rsid w:val="008428E8"/>
    <w:rsid w:val="00843D71"/>
    <w:rsid w:val="00846F11"/>
    <w:rsid w:val="0084745A"/>
    <w:rsid w:val="008504D0"/>
    <w:rsid w:val="00854AA1"/>
    <w:rsid w:val="00857FDC"/>
    <w:rsid w:val="00870045"/>
    <w:rsid w:val="00876E5F"/>
    <w:rsid w:val="00884A12"/>
    <w:rsid w:val="00890CE4"/>
    <w:rsid w:val="00891ED7"/>
    <w:rsid w:val="008B7B54"/>
    <w:rsid w:val="008C3187"/>
    <w:rsid w:val="008C5E4F"/>
    <w:rsid w:val="008D521F"/>
    <w:rsid w:val="008D63B7"/>
    <w:rsid w:val="008D6A03"/>
    <w:rsid w:val="008D6CA7"/>
    <w:rsid w:val="008E3A13"/>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56FB"/>
    <w:rsid w:val="0095712A"/>
    <w:rsid w:val="00973A6D"/>
    <w:rsid w:val="00974484"/>
    <w:rsid w:val="009804E0"/>
    <w:rsid w:val="00983735"/>
    <w:rsid w:val="009865AA"/>
    <w:rsid w:val="00987080"/>
    <w:rsid w:val="0098765A"/>
    <w:rsid w:val="00987E5B"/>
    <w:rsid w:val="00991620"/>
    <w:rsid w:val="009968B0"/>
    <w:rsid w:val="009A6CB2"/>
    <w:rsid w:val="009B0982"/>
    <w:rsid w:val="009B4C99"/>
    <w:rsid w:val="009C0CEA"/>
    <w:rsid w:val="009C13FB"/>
    <w:rsid w:val="009D28CF"/>
    <w:rsid w:val="009E5D36"/>
    <w:rsid w:val="009E6375"/>
    <w:rsid w:val="009E7CA0"/>
    <w:rsid w:val="009F2BD8"/>
    <w:rsid w:val="00A04392"/>
    <w:rsid w:val="00A069CE"/>
    <w:rsid w:val="00A109D8"/>
    <w:rsid w:val="00A16003"/>
    <w:rsid w:val="00A167D7"/>
    <w:rsid w:val="00A23D39"/>
    <w:rsid w:val="00A23EC2"/>
    <w:rsid w:val="00A24FBB"/>
    <w:rsid w:val="00A33D2B"/>
    <w:rsid w:val="00A3453E"/>
    <w:rsid w:val="00A42ED2"/>
    <w:rsid w:val="00A44B33"/>
    <w:rsid w:val="00A46CD9"/>
    <w:rsid w:val="00A50E00"/>
    <w:rsid w:val="00A52529"/>
    <w:rsid w:val="00A526D4"/>
    <w:rsid w:val="00A53624"/>
    <w:rsid w:val="00A55EAF"/>
    <w:rsid w:val="00A5766B"/>
    <w:rsid w:val="00A7681C"/>
    <w:rsid w:val="00A77512"/>
    <w:rsid w:val="00A859F3"/>
    <w:rsid w:val="00A863E3"/>
    <w:rsid w:val="00A94161"/>
    <w:rsid w:val="00A97BFB"/>
    <w:rsid w:val="00AB0BBC"/>
    <w:rsid w:val="00AB3A92"/>
    <w:rsid w:val="00AB478B"/>
    <w:rsid w:val="00AB47AC"/>
    <w:rsid w:val="00AB4AD9"/>
    <w:rsid w:val="00AC5F10"/>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1DC"/>
    <w:rsid w:val="00B84350"/>
    <w:rsid w:val="00B855A6"/>
    <w:rsid w:val="00B91098"/>
    <w:rsid w:val="00B91904"/>
    <w:rsid w:val="00B92735"/>
    <w:rsid w:val="00B969ED"/>
    <w:rsid w:val="00BA77F1"/>
    <w:rsid w:val="00BB0D90"/>
    <w:rsid w:val="00BB60C6"/>
    <w:rsid w:val="00BB7984"/>
    <w:rsid w:val="00BC45F7"/>
    <w:rsid w:val="00BC6A06"/>
    <w:rsid w:val="00BC78C5"/>
    <w:rsid w:val="00BD137C"/>
    <w:rsid w:val="00BE3BC7"/>
    <w:rsid w:val="00BF1AB7"/>
    <w:rsid w:val="00BF7FE9"/>
    <w:rsid w:val="00C03596"/>
    <w:rsid w:val="00C05EEC"/>
    <w:rsid w:val="00C15A13"/>
    <w:rsid w:val="00C238D9"/>
    <w:rsid w:val="00C24A9D"/>
    <w:rsid w:val="00C2677E"/>
    <w:rsid w:val="00C31542"/>
    <w:rsid w:val="00C5028E"/>
    <w:rsid w:val="00C53E5B"/>
    <w:rsid w:val="00C54E78"/>
    <w:rsid w:val="00C6078D"/>
    <w:rsid w:val="00C657CF"/>
    <w:rsid w:val="00C76F9A"/>
    <w:rsid w:val="00C80D62"/>
    <w:rsid w:val="00C8388B"/>
    <w:rsid w:val="00C84944"/>
    <w:rsid w:val="00C871D6"/>
    <w:rsid w:val="00C90217"/>
    <w:rsid w:val="00C96BFD"/>
    <w:rsid w:val="00C96C98"/>
    <w:rsid w:val="00CA5358"/>
    <w:rsid w:val="00CB0B17"/>
    <w:rsid w:val="00CB1DCA"/>
    <w:rsid w:val="00CD502A"/>
    <w:rsid w:val="00CD78B9"/>
    <w:rsid w:val="00CF12CF"/>
    <w:rsid w:val="00CF4BE3"/>
    <w:rsid w:val="00CF7F2A"/>
    <w:rsid w:val="00D060D2"/>
    <w:rsid w:val="00D13E2D"/>
    <w:rsid w:val="00D14394"/>
    <w:rsid w:val="00D242CD"/>
    <w:rsid w:val="00D26F74"/>
    <w:rsid w:val="00D341C3"/>
    <w:rsid w:val="00D3658C"/>
    <w:rsid w:val="00D42843"/>
    <w:rsid w:val="00D5152A"/>
    <w:rsid w:val="00D560EB"/>
    <w:rsid w:val="00D65145"/>
    <w:rsid w:val="00D67EF9"/>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03B62"/>
    <w:rsid w:val="00E042D5"/>
    <w:rsid w:val="00E07D49"/>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671E"/>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CDE0B2"/>
  <w15:chartTrackingRefBased/>
  <w15:docId w15:val="{503343DB-F11E-4CA9-BE23-3FC0DF1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GridTable2-Accent1">
    <w:name w:val="Grid Table 2 Accent 1"/>
    <w:basedOn w:val="TableNormal"/>
    <w:uiPriority w:val="47"/>
    <w:rsid w:val="00CF7F2A"/>
    <w:pPr>
      <w:spacing w:after="0"/>
    </w:pPr>
    <w:tblPr>
      <w:tblStyleRowBandSize w:val="1"/>
      <w:tblStyleColBandSize w:val="1"/>
      <w:tblBorders>
        <w:top w:val="single" w:sz="2" w:space="0" w:color="AFDDE1" w:themeColor="accent1" w:themeTint="99"/>
        <w:bottom w:val="single" w:sz="2" w:space="0" w:color="AFDDE1" w:themeColor="accent1" w:themeTint="99"/>
        <w:insideH w:val="single" w:sz="2" w:space="0" w:color="AFDDE1" w:themeColor="accent1" w:themeTint="99"/>
        <w:insideV w:val="single" w:sz="2" w:space="0" w:color="AFDDE1" w:themeColor="accent1" w:themeTint="99"/>
      </w:tblBorders>
    </w:tblPr>
    <w:tblStylePr w:type="firstRow">
      <w:rPr>
        <w:b/>
        <w:bCs/>
      </w:rPr>
      <w:tblPr/>
      <w:tcPr>
        <w:tcBorders>
          <w:top w:val="nil"/>
          <w:bottom w:val="single" w:sz="12" w:space="0" w:color="AFDDE1" w:themeColor="accent1" w:themeTint="99"/>
          <w:insideH w:val="nil"/>
          <w:insideV w:val="nil"/>
        </w:tcBorders>
        <w:shd w:val="clear" w:color="auto" w:fill="FFFFFF" w:themeFill="background1"/>
      </w:tcPr>
    </w:tblStylePr>
    <w:tblStylePr w:type="lastRow">
      <w:rPr>
        <w:b/>
        <w:bCs/>
      </w:rPr>
      <w:tblPr/>
      <w:tcPr>
        <w:tcBorders>
          <w:top w:val="double" w:sz="2" w:space="0" w:color="AFDD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3F5" w:themeFill="accent1" w:themeFillTint="33"/>
      </w:tcPr>
    </w:tblStylePr>
    <w:tblStylePr w:type="band1Horz">
      <w:tblPr/>
      <w:tcPr>
        <w:shd w:val="clear" w:color="auto" w:fill="E4F3F5" w:themeFill="accent1" w:themeFillTint="33"/>
      </w:tcPr>
    </w:tblStylePr>
  </w:style>
  <w:style w:type="paragraph" w:styleId="CommentText">
    <w:name w:val="annotation text"/>
    <w:basedOn w:val="Normal"/>
    <w:link w:val="CommentTextChar"/>
    <w:uiPriority w:val="99"/>
    <w:semiHidden/>
    <w:unhideWhenUsed/>
    <w:rsid w:val="00974484"/>
    <w:rPr>
      <w:sz w:val="20"/>
      <w:szCs w:val="20"/>
    </w:rPr>
  </w:style>
  <w:style w:type="character" w:customStyle="1" w:styleId="CommentTextChar">
    <w:name w:val="Comment Text Char"/>
    <w:basedOn w:val="DefaultParagraphFont"/>
    <w:link w:val="CommentText"/>
    <w:uiPriority w:val="99"/>
    <w:semiHidden/>
    <w:rsid w:val="00974484"/>
    <w:rPr>
      <w:sz w:val="20"/>
      <w:szCs w:val="20"/>
      <w:lang w:eastAsia="en-US"/>
    </w:rPr>
  </w:style>
  <w:style w:type="paragraph" w:styleId="CommentSubject">
    <w:name w:val="annotation subject"/>
    <w:basedOn w:val="CommentText"/>
    <w:next w:val="CommentText"/>
    <w:link w:val="CommentSubjectChar"/>
    <w:uiPriority w:val="99"/>
    <w:semiHidden/>
    <w:unhideWhenUsed/>
    <w:rsid w:val="00974484"/>
    <w:rPr>
      <w:b/>
      <w:bCs/>
    </w:rPr>
  </w:style>
  <w:style w:type="character" w:customStyle="1" w:styleId="CommentSubjectChar">
    <w:name w:val="Comment Subject Char"/>
    <w:basedOn w:val="CommentTextChar"/>
    <w:link w:val="CommentSubject"/>
    <w:uiPriority w:val="99"/>
    <w:semiHidden/>
    <w:rsid w:val="0097448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108">
      <w:bodyDiv w:val="1"/>
      <w:marLeft w:val="0"/>
      <w:marRight w:val="0"/>
      <w:marTop w:val="0"/>
      <w:marBottom w:val="0"/>
      <w:divBdr>
        <w:top w:val="none" w:sz="0" w:space="0" w:color="auto"/>
        <w:left w:val="none" w:sz="0" w:space="0" w:color="auto"/>
        <w:bottom w:val="none" w:sz="0" w:space="0" w:color="auto"/>
        <w:right w:val="none" w:sz="0" w:space="0" w:color="auto"/>
      </w:divBdr>
    </w:div>
    <w:div w:id="98572461">
      <w:bodyDiv w:val="1"/>
      <w:marLeft w:val="0"/>
      <w:marRight w:val="0"/>
      <w:marTop w:val="0"/>
      <w:marBottom w:val="0"/>
      <w:divBdr>
        <w:top w:val="none" w:sz="0" w:space="0" w:color="auto"/>
        <w:left w:val="none" w:sz="0" w:space="0" w:color="auto"/>
        <w:bottom w:val="none" w:sz="0" w:space="0" w:color="auto"/>
        <w:right w:val="none" w:sz="0" w:space="0" w:color="auto"/>
      </w:divBdr>
      <w:divsChild>
        <w:div w:id="799418294">
          <w:marLeft w:val="562"/>
          <w:marRight w:val="0"/>
          <w:marTop w:val="360"/>
          <w:marBottom w:val="0"/>
          <w:divBdr>
            <w:top w:val="none" w:sz="0" w:space="0" w:color="auto"/>
            <w:left w:val="none" w:sz="0" w:space="0" w:color="auto"/>
            <w:bottom w:val="none" w:sz="0" w:space="0" w:color="auto"/>
            <w:right w:val="none" w:sz="0" w:space="0" w:color="auto"/>
          </w:divBdr>
        </w:div>
      </w:divsChild>
    </w:div>
    <w:div w:id="297690507">
      <w:bodyDiv w:val="1"/>
      <w:marLeft w:val="0"/>
      <w:marRight w:val="0"/>
      <w:marTop w:val="0"/>
      <w:marBottom w:val="0"/>
      <w:divBdr>
        <w:top w:val="none" w:sz="0" w:space="0" w:color="auto"/>
        <w:left w:val="none" w:sz="0" w:space="0" w:color="auto"/>
        <w:bottom w:val="none" w:sz="0" w:space="0" w:color="auto"/>
        <w:right w:val="none" w:sz="0" w:space="0" w:color="auto"/>
      </w:divBdr>
    </w:div>
    <w:div w:id="499545598">
      <w:bodyDiv w:val="1"/>
      <w:marLeft w:val="0"/>
      <w:marRight w:val="0"/>
      <w:marTop w:val="0"/>
      <w:marBottom w:val="0"/>
      <w:divBdr>
        <w:top w:val="none" w:sz="0" w:space="0" w:color="auto"/>
        <w:left w:val="none" w:sz="0" w:space="0" w:color="auto"/>
        <w:bottom w:val="none" w:sz="0" w:space="0" w:color="auto"/>
        <w:right w:val="none" w:sz="0" w:space="0" w:color="auto"/>
      </w:divBdr>
    </w:div>
    <w:div w:id="944774103">
      <w:bodyDiv w:val="1"/>
      <w:marLeft w:val="0"/>
      <w:marRight w:val="0"/>
      <w:marTop w:val="0"/>
      <w:marBottom w:val="0"/>
      <w:divBdr>
        <w:top w:val="none" w:sz="0" w:space="0" w:color="auto"/>
        <w:left w:val="none" w:sz="0" w:space="0" w:color="auto"/>
        <w:bottom w:val="none" w:sz="0" w:space="0" w:color="auto"/>
        <w:right w:val="none" w:sz="0" w:space="0" w:color="auto"/>
      </w:divBdr>
    </w:div>
    <w:div w:id="1074551633">
      <w:bodyDiv w:val="1"/>
      <w:marLeft w:val="0"/>
      <w:marRight w:val="0"/>
      <w:marTop w:val="0"/>
      <w:marBottom w:val="0"/>
      <w:divBdr>
        <w:top w:val="none" w:sz="0" w:space="0" w:color="auto"/>
        <w:left w:val="none" w:sz="0" w:space="0" w:color="auto"/>
        <w:bottom w:val="none" w:sz="0" w:space="0" w:color="auto"/>
        <w:right w:val="none" w:sz="0" w:space="0" w:color="auto"/>
      </w:divBdr>
    </w:div>
    <w:div w:id="1345935475">
      <w:bodyDiv w:val="1"/>
      <w:marLeft w:val="0"/>
      <w:marRight w:val="0"/>
      <w:marTop w:val="0"/>
      <w:marBottom w:val="0"/>
      <w:divBdr>
        <w:top w:val="none" w:sz="0" w:space="0" w:color="auto"/>
        <w:left w:val="none" w:sz="0" w:space="0" w:color="auto"/>
        <w:bottom w:val="none" w:sz="0" w:space="0" w:color="auto"/>
        <w:right w:val="none" w:sz="0" w:space="0" w:color="auto"/>
      </w:divBdr>
      <w:divsChild>
        <w:div w:id="668368580">
          <w:marLeft w:val="288"/>
          <w:marRight w:val="0"/>
          <w:marTop w:val="360"/>
          <w:marBottom w:val="0"/>
          <w:divBdr>
            <w:top w:val="none" w:sz="0" w:space="0" w:color="auto"/>
            <w:left w:val="none" w:sz="0" w:space="0" w:color="auto"/>
            <w:bottom w:val="none" w:sz="0" w:space="0" w:color="auto"/>
            <w:right w:val="none" w:sz="0" w:space="0" w:color="auto"/>
          </w:divBdr>
        </w:div>
        <w:div w:id="179047438">
          <w:marLeft w:val="288"/>
          <w:marRight w:val="0"/>
          <w:marTop w:val="360"/>
          <w:marBottom w:val="0"/>
          <w:divBdr>
            <w:top w:val="none" w:sz="0" w:space="0" w:color="auto"/>
            <w:left w:val="none" w:sz="0" w:space="0" w:color="auto"/>
            <w:bottom w:val="none" w:sz="0" w:space="0" w:color="auto"/>
            <w:right w:val="none" w:sz="0" w:space="0" w:color="auto"/>
          </w:divBdr>
        </w:div>
        <w:div w:id="85538664">
          <w:marLeft w:val="288"/>
          <w:marRight w:val="0"/>
          <w:marTop w:val="360"/>
          <w:marBottom w:val="0"/>
          <w:divBdr>
            <w:top w:val="none" w:sz="0" w:space="0" w:color="auto"/>
            <w:left w:val="none" w:sz="0" w:space="0" w:color="auto"/>
            <w:bottom w:val="none" w:sz="0" w:space="0" w:color="auto"/>
            <w:right w:val="none" w:sz="0" w:space="0" w:color="auto"/>
          </w:divBdr>
        </w:div>
        <w:div w:id="315034766">
          <w:marLeft w:val="288"/>
          <w:marRight w:val="0"/>
          <w:marTop w:val="360"/>
          <w:marBottom w:val="0"/>
          <w:divBdr>
            <w:top w:val="none" w:sz="0" w:space="0" w:color="auto"/>
            <w:left w:val="none" w:sz="0" w:space="0" w:color="auto"/>
            <w:bottom w:val="none" w:sz="0" w:space="0" w:color="auto"/>
            <w:right w:val="none" w:sz="0" w:space="0" w:color="auto"/>
          </w:divBdr>
        </w:div>
        <w:div w:id="1563952066">
          <w:marLeft w:val="288"/>
          <w:marRight w:val="0"/>
          <w:marTop w:val="360"/>
          <w:marBottom w:val="0"/>
          <w:divBdr>
            <w:top w:val="none" w:sz="0" w:space="0" w:color="auto"/>
            <w:left w:val="none" w:sz="0" w:space="0" w:color="auto"/>
            <w:bottom w:val="none" w:sz="0" w:space="0" w:color="auto"/>
            <w:right w:val="none" w:sz="0" w:space="0" w:color="auto"/>
          </w:divBdr>
        </w:div>
        <w:div w:id="1993823683">
          <w:marLeft w:val="288"/>
          <w:marRight w:val="0"/>
          <w:marTop w:val="360"/>
          <w:marBottom w:val="0"/>
          <w:divBdr>
            <w:top w:val="none" w:sz="0" w:space="0" w:color="auto"/>
            <w:left w:val="none" w:sz="0" w:space="0" w:color="auto"/>
            <w:bottom w:val="none" w:sz="0" w:space="0" w:color="auto"/>
            <w:right w:val="none" w:sz="0" w:space="0" w:color="auto"/>
          </w:divBdr>
        </w:div>
        <w:div w:id="575558447">
          <w:marLeft w:val="288"/>
          <w:marRight w:val="0"/>
          <w:marTop w:val="360"/>
          <w:marBottom w:val="0"/>
          <w:divBdr>
            <w:top w:val="none" w:sz="0" w:space="0" w:color="auto"/>
            <w:left w:val="none" w:sz="0" w:space="0" w:color="auto"/>
            <w:bottom w:val="none" w:sz="0" w:space="0" w:color="auto"/>
            <w:right w:val="none" w:sz="0" w:space="0" w:color="auto"/>
          </w:divBdr>
        </w:div>
      </w:divsChild>
    </w:div>
    <w:div w:id="1394084229">
      <w:bodyDiv w:val="1"/>
      <w:marLeft w:val="0"/>
      <w:marRight w:val="0"/>
      <w:marTop w:val="0"/>
      <w:marBottom w:val="0"/>
      <w:divBdr>
        <w:top w:val="none" w:sz="0" w:space="0" w:color="auto"/>
        <w:left w:val="none" w:sz="0" w:space="0" w:color="auto"/>
        <w:bottom w:val="none" w:sz="0" w:space="0" w:color="auto"/>
        <w:right w:val="none" w:sz="0" w:space="0" w:color="auto"/>
      </w:divBdr>
    </w:div>
    <w:div w:id="1442533352">
      <w:bodyDiv w:val="1"/>
      <w:marLeft w:val="0"/>
      <w:marRight w:val="0"/>
      <w:marTop w:val="0"/>
      <w:marBottom w:val="0"/>
      <w:divBdr>
        <w:top w:val="none" w:sz="0" w:space="0" w:color="auto"/>
        <w:left w:val="none" w:sz="0" w:space="0" w:color="auto"/>
        <w:bottom w:val="none" w:sz="0" w:space="0" w:color="auto"/>
        <w:right w:val="none" w:sz="0" w:space="0" w:color="auto"/>
      </w:divBdr>
      <w:divsChild>
        <w:div w:id="85198633">
          <w:marLeft w:val="562"/>
          <w:marRight w:val="0"/>
          <w:marTop w:val="240"/>
          <w:marBottom w:val="0"/>
          <w:divBdr>
            <w:top w:val="none" w:sz="0" w:space="0" w:color="auto"/>
            <w:left w:val="none" w:sz="0" w:space="0" w:color="auto"/>
            <w:bottom w:val="none" w:sz="0" w:space="0" w:color="auto"/>
            <w:right w:val="none" w:sz="0" w:space="0" w:color="auto"/>
          </w:divBdr>
        </w:div>
        <w:div w:id="802043604">
          <w:marLeft w:val="562"/>
          <w:marRight w:val="0"/>
          <w:marTop w:val="240"/>
          <w:marBottom w:val="0"/>
          <w:divBdr>
            <w:top w:val="none" w:sz="0" w:space="0" w:color="auto"/>
            <w:left w:val="none" w:sz="0" w:space="0" w:color="auto"/>
            <w:bottom w:val="none" w:sz="0" w:space="0" w:color="auto"/>
            <w:right w:val="none" w:sz="0" w:space="0" w:color="auto"/>
          </w:divBdr>
        </w:div>
        <w:div w:id="685136386">
          <w:marLeft w:val="562"/>
          <w:marRight w:val="0"/>
          <w:marTop w:val="240"/>
          <w:marBottom w:val="0"/>
          <w:divBdr>
            <w:top w:val="none" w:sz="0" w:space="0" w:color="auto"/>
            <w:left w:val="none" w:sz="0" w:space="0" w:color="auto"/>
            <w:bottom w:val="none" w:sz="0" w:space="0" w:color="auto"/>
            <w:right w:val="none" w:sz="0" w:space="0" w:color="auto"/>
          </w:divBdr>
        </w:div>
        <w:div w:id="682122739">
          <w:marLeft w:val="562"/>
          <w:marRight w:val="0"/>
          <w:marTop w:val="240"/>
          <w:marBottom w:val="0"/>
          <w:divBdr>
            <w:top w:val="none" w:sz="0" w:space="0" w:color="auto"/>
            <w:left w:val="none" w:sz="0" w:space="0" w:color="auto"/>
            <w:bottom w:val="none" w:sz="0" w:space="0" w:color="auto"/>
            <w:right w:val="none" w:sz="0" w:space="0" w:color="auto"/>
          </w:divBdr>
        </w:div>
        <w:div w:id="324404490">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1D37-7B3C-41D7-BBBA-189576E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1331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Peacock</dc:creator>
  <cp:keywords/>
  <dc:description/>
  <cp:lastModifiedBy>Sarah Peacock</cp:lastModifiedBy>
  <cp:revision>3</cp:revision>
  <cp:lastPrinted>2014-03-27T01:47:00Z</cp:lastPrinted>
  <dcterms:created xsi:type="dcterms:W3CDTF">2020-07-06T04:57:00Z</dcterms:created>
  <dcterms:modified xsi:type="dcterms:W3CDTF">2020-07-17T03:33:00Z</dcterms:modified>
</cp:coreProperties>
</file>