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1C1FE" w14:textId="77777777" w:rsidR="00C94D4A" w:rsidRDefault="00C94D4A" w:rsidP="00C94D4A">
      <w:pPr>
        <w:keepLines w:val="0"/>
        <w:spacing w:after="120"/>
        <w:rPr>
          <w:rFonts w:eastAsia="SimSun" w:cs="Calibri"/>
          <w:b/>
          <w:bCs/>
          <w:spacing w:val="-10"/>
          <w:kern w:val="28"/>
          <w:sz w:val="32"/>
          <w:szCs w:val="32"/>
        </w:rPr>
      </w:pPr>
      <w:r>
        <w:rPr>
          <w:rFonts w:eastAsia="SimSun" w:cs="Calibri"/>
          <w:b/>
          <w:bCs/>
          <w:spacing w:val="-10"/>
          <w:kern w:val="28"/>
          <w:sz w:val="32"/>
          <w:szCs w:val="32"/>
        </w:rPr>
        <w:t xml:space="preserve">Candidate Information Sheet - Community Trusts 2024 Appointments </w:t>
      </w:r>
    </w:p>
    <w:p w14:paraId="788BFF9E" w14:textId="77777777" w:rsidR="00C94D4A" w:rsidRDefault="00C94D4A" w:rsidP="00C94D4A">
      <w:pPr>
        <w:keepLines w:val="0"/>
        <w:spacing w:after="120"/>
        <w:rPr>
          <w:rFonts w:eastAsia="Calibri" w:cs="Calibri"/>
          <w:b/>
          <w:szCs w:val="22"/>
        </w:rPr>
      </w:pPr>
      <w:r>
        <w:rPr>
          <w:rFonts w:eastAsia="Calibri" w:cs="Calibri"/>
          <w:b/>
          <w:szCs w:val="22"/>
        </w:rPr>
        <w:t xml:space="preserve">Community trusts fund activities that directly benefit their communities </w:t>
      </w:r>
    </w:p>
    <w:p w14:paraId="2DDA4224" w14:textId="77777777" w:rsidR="00C94D4A" w:rsidRDefault="00C94D4A" w:rsidP="00C94D4A">
      <w:pPr>
        <w:spacing w:after="120"/>
        <w:rPr>
          <w:rFonts w:eastAsia="Calibri"/>
          <w:sz w:val="22"/>
          <w:szCs w:val="22"/>
        </w:rPr>
      </w:pPr>
      <w:r>
        <w:rPr>
          <w:rFonts w:eastAsia="Calibri"/>
          <w:sz w:val="22"/>
          <w:szCs w:val="22"/>
        </w:rPr>
        <w:t>The community trusts (the trusts) are governed by their individual trust deed, and the Community Trusts Act 1999. Each trust is responsible for managing a large investment portfolio, as well as carrying out policies to ensure the distribution of grants for charitable, cultural, philanthropic, recreational and other purposes beneficial to its community.</w:t>
      </w:r>
    </w:p>
    <w:p w14:paraId="29282EBB" w14:textId="77777777" w:rsidR="00C94D4A" w:rsidRDefault="00C94D4A" w:rsidP="00C94D4A">
      <w:pPr>
        <w:spacing w:after="120"/>
        <w:rPr>
          <w:rFonts w:eastAsia="Calibri"/>
          <w:sz w:val="22"/>
          <w:szCs w:val="22"/>
        </w:rPr>
      </w:pPr>
      <w:r>
        <w:rPr>
          <w:rFonts w:eastAsia="Calibri"/>
          <w:sz w:val="22"/>
          <w:szCs w:val="22"/>
        </w:rPr>
        <w:t xml:space="preserve">The number of trustees on each trusts board varies, in relation to the size of the region served and their workload. Trustees are appointed for terms of up to four years, and are eligible for reappointment. Trustees continue in office, despite the expiry of their term, until a further appointment decision is made. </w:t>
      </w:r>
    </w:p>
    <w:p w14:paraId="059572A3" w14:textId="77777777" w:rsidR="00C94D4A" w:rsidRDefault="00C94D4A" w:rsidP="00C94D4A">
      <w:pPr>
        <w:spacing w:after="120"/>
        <w:rPr>
          <w:rFonts w:eastAsia="Calibri"/>
          <w:sz w:val="22"/>
          <w:szCs w:val="22"/>
        </w:rPr>
      </w:pPr>
      <w:r>
        <w:rPr>
          <w:rFonts w:eastAsia="Calibri"/>
          <w:sz w:val="22"/>
          <w:szCs w:val="22"/>
        </w:rPr>
        <w:t>Trustees work together to make investment decisions, to grant funding for community projects and activities, and to set the trust’s policy direction and strategic plans.</w:t>
      </w:r>
    </w:p>
    <w:p w14:paraId="515B7B41" w14:textId="77777777" w:rsidR="00C94D4A" w:rsidRDefault="00C94D4A" w:rsidP="00C94D4A">
      <w:pPr>
        <w:spacing w:after="120"/>
        <w:rPr>
          <w:rFonts w:eastAsia="Calibri"/>
          <w:sz w:val="22"/>
          <w:szCs w:val="22"/>
        </w:rPr>
      </w:pPr>
      <w:r>
        <w:rPr>
          <w:rFonts w:eastAsia="Calibri"/>
          <w:sz w:val="22"/>
          <w:szCs w:val="22"/>
        </w:rPr>
        <w:t xml:space="preserve">Trustees need to have a good understanding of, and connections to, the communities which they serve. </w:t>
      </w:r>
    </w:p>
    <w:p w14:paraId="3D94549D" w14:textId="77777777" w:rsidR="00C94D4A" w:rsidRDefault="00C94D4A" w:rsidP="00C94D4A">
      <w:pPr>
        <w:keepLines w:val="0"/>
        <w:spacing w:after="120"/>
        <w:rPr>
          <w:rFonts w:eastAsia="Calibri" w:cs="Calibri"/>
          <w:b/>
          <w:szCs w:val="22"/>
        </w:rPr>
      </w:pPr>
      <w:r>
        <w:rPr>
          <w:rFonts w:eastAsia="Calibri" w:cs="Calibri"/>
          <w:b/>
          <w:szCs w:val="22"/>
        </w:rPr>
        <w:t>Skills and attributes desired</w:t>
      </w:r>
    </w:p>
    <w:p w14:paraId="7E7EE95E" w14:textId="77777777" w:rsidR="00C94D4A" w:rsidRDefault="00C94D4A" w:rsidP="00C94D4A">
      <w:pPr>
        <w:spacing w:after="120"/>
        <w:rPr>
          <w:rFonts w:eastAsia="Calibri"/>
          <w:sz w:val="22"/>
          <w:szCs w:val="22"/>
        </w:rPr>
      </w:pPr>
      <w:r>
        <w:rPr>
          <w:rFonts w:eastAsia="Calibri"/>
          <w:sz w:val="22"/>
          <w:szCs w:val="22"/>
        </w:rPr>
        <w:t>Each trust should ideally have the following mix of skills and experience:</w:t>
      </w:r>
    </w:p>
    <w:p w14:paraId="65CBAF49" w14:textId="77777777" w:rsidR="00C94D4A" w:rsidRDefault="00C94D4A" w:rsidP="00C94D4A">
      <w:pPr>
        <w:keepLines w:val="0"/>
        <w:numPr>
          <w:ilvl w:val="0"/>
          <w:numId w:val="26"/>
        </w:numPr>
        <w:spacing w:after="120"/>
        <w:rPr>
          <w:rFonts w:eastAsia="Calibri"/>
          <w:sz w:val="22"/>
          <w:szCs w:val="22"/>
        </w:rPr>
      </w:pPr>
      <w:r>
        <w:rPr>
          <w:rFonts w:eastAsia="Calibri"/>
          <w:sz w:val="22"/>
          <w:szCs w:val="22"/>
        </w:rPr>
        <w:t>governance experience;</w:t>
      </w:r>
    </w:p>
    <w:p w14:paraId="52107256" w14:textId="77777777" w:rsidR="00C94D4A" w:rsidRDefault="00C94D4A" w:rsidP="00C94D4A">
      <w:pPr>
        <w:keepLines w:val="0"/>
        <w:numPr>
          <w:ilvl w:val="0"/>
          <w:numId w:val="26"/>
        </w:numPr>
        <w:spacing w:after="120"/>
        <w:rPr>
          <w:rFonts w:eastAsia="Calibri"/>
          <w:sz w:val="22"/>
          <w:szCs w:val="22"/>
        </w:rPr>
      </w:pPr>
      <w:r>
        <w:rPr>
          <w:rFonts w:eastAsia="Calibri"/>
          <w:sz w:val="22"/>
          <w:szCs w:val="22"/>
        </w:rPr>
        <w:t>community involvement;</w:t>
      </w:r>
    </w:p>
    <w:p w14:paraId="5BFF3FE2" w14:textId="77777777" w:rsidR="00C94D4A" w:rsidRDefault="00C94D4A" w:rsidP="00C94D4A">
      <w:pPr>
        <w:keepLines w:val="0"/>
        <w:numPr>
          <w:ilvl w:val="0"/>
          <w:numId w:val="26"/>
        </w:numPr>
        <w:spacing w:after="120"/>
        <w:rPr>
          <w:rFonts w:eastAsia="Calibri"/>
          <w:sz w:val="22"/>
          <w:szCs w:val="22"/>
        </w:rPr>
      </w:pPr>
      <w:r>
        <w:rPr>
          <w:rFonts w:eastAsia="Calibri"/>
          <w:sz w:val="22"/>
          <w:szCs w:val="22"/>
        </w:rPr>
        <w:t>investment experience;</w:t>
      </w:r>
    </w:p>
    <w:p w14:paraId="6A42977E" w14:textId="77777777" w:rsidR="00C94D4A" w:rsidRDefault="00C94D4A" w:rsidP="00C94D4A">
      <w:pPr>
        <w:keepLines w:val="0"/>
        <w:numPr>
          <w:ilvl w:val="0"/>
          <w:numId w:val="26"/>
        </w:numPr>
        <w:spacing w:after="120"/>
        <w:rPr>
          <w:rFonts w:eastAsia="Calibri"/>
          <w:sz w:val="22"/>
          <w:szCs w:val="22"/>
        </w:rPr>
      </w:pPr>
      <w:r>
        <w:rPr>
          <w:rFonts w:eastAsia="Calibri"/>
          <w:sz w:val="22"/>
          <w:szCs w:val="22"/>
        </w:rPr>
        <w:t>grant making experience;</w:t>
      </w:r>
    </w:p>
    <w:p w14:paraId="17BAA72D" w14:textId="77777777" w:rsidR="00C94D4A" w:rsidRDefault="00C94D4A" w:rsidP="00C94D4A">
      <w:pPr>
        <w:keepLines w:val="0"/>
        <w:numPr>
          <w:ilvl w:val="0"/>
          <w:numId w:val="26"/>
        </w:numPr>
        <w:spacing w:after="120"/>
        <w:rPr>
          <w:rFonts w:eastAsia="Calibri"/>
          <w:sz w:val="22"/>
          <w:szCs w:val="22"/>
        </w:rPr>
      </w:pPr>
      <w:r>
        <w:rPr>
          <w:rFonts w:eastAsia="Calibri"/>
          <w:sz w:val="22"/>
          <w:szCs w:val="22"/>
        </w:rPr>
        <w:t>strategic thinking; and</w:t>
      </w:r>
    </w:p>
    <w:p w14:paraId="6EAC1A20" w14:textId="77777777" w:rsidR="00C94D4A" w:rsidRDefault="00C94D4A" w:rsidP="00C94D4A">
      <w:pPr>
        <w:keepLines w:val="0"/>
        <w:numPr>
          <w:ilvl w:val="0"/>
          <w:numId w:val="26"/>
        </w:numPr>
        <w:spacing w:after="120"/>
        <w:rPr>
          <w:rFonts w:eastAsia="Calibri"/>
          <w:sz w:val="22"/>
          <w:szCs w:val="22"/>
        </w:rPr>
      </w:pPr>
      <w:r>
        <w:rPr>
          <w:rFonts w:eastAsia="Calibri"/>
          <w:sz w:val="22"/>
          <w:szCs w:val="22"/>
        </w:rPr>
        <w:t>legal expertise.</w:t>
      </w:r>
    </w:p>
    <w:p w14:paraId="5B7320FB" w14:textId="77777777" w:rsidR="00C94D4A" w:rsidRDefault="00C94D4A" w:rsidP="00C94D4A">
      <w:pPr>
        <w:spacing w:after="120"/>
        <w:rPr>
          <w:rFonts w:eastAsia="Calibri"/>
          <w:sz w:val="22"/>
          <w:szCs w:val="22"/>
        </w:rPr>
      </w:pPr>
      <w:r>
        <w:rPr>
          <w:rFonts w:eastAsia="Calibri"/>
          <w:sz w:val="22"/>
          <w:szCs w:val="22"/>
        </w:rPr>
        <w:t xml:space="preserve">Māori and ethnic, and geographic representation is also desirable. </w:t>
      </w:r>
    </w:p>
    <w:p w14:paraId="6AC511A0" w14:textId="77777777" w:rsidR="00C94D4A" w:rsidRDefault="00C94D4A" w:rsidP="00C94D4A">
      <w:pPr>
        <w:spacing w:after="120"/>
        <w:rPr>
          <w:rFonts w:eastAsia="Calibri"/>
          <w:sz w:val="22"/>
          <w:szCs w:val="22"/>
          <w:u w:val="single"/>
        </w:rPr>
      </w:pPr>
      <w:r>
        <w:rPr>
          <w:rFonts w:eastAsia="Calibri"/>
          <w:sz w:val="22"/>
          <w:szCs w:val="22"/>
          <w:u w:val="single"/>
        </w:rPr>
        <w:t xml:space="preserve">People considered for appointment must reside within the grant distribution area of the relevant trust. </w:t>
      </w:r>
    </w:p>
    <w:p w14:paraId="25421C2A" w14:textId="77777777" w:rsidR="00C94D4A" w:rsidRDefault="00C94D4A" w:rsidP="00C94D4A">
      <w:pPr>
        <w:spacing w:before="80" w:after="80"/>
        <w:rPr>
          <w:rFonts w:eastAsia="Calibri"/>
          <w:sz w:val="22"/>
          <w:szCs w:val="22"/>
        </w:rPr>
      </w:pPr>
      <w:r>
        <w:rPr>
          <w:rFonts w:eastAsia="Calibri"/>
          <w:sz w:val="22"/>
          <w:szCs w:val="22"/>
        </w:rPr>
        <w:t xml:space="preserve">Appointed trustees must be politically impartial. Irrespective of political interests, trustees must conduct themselves in a way that enables them to act effectively under current and future governments.  </w:t>
      </w:r>
    </w:p>
    <w:p w14:paraId="743F469B" w14:textId="77777777" w:rsidR="00C94D4A" w:rsidRDefault="00C94D4A" w:rsidP="00C94D4A">
      <w:pPr>
        <w:keepLines w:val="0"/>
        <w:spacing w:after="120"/>
        <w:rPr>
          <w:rFonts w:eastAsia="Calibri" w:cs="Calibri"/>
          <w:b/>
          <w:szCs w:val="22"/>
        </w:rPr>
      </w:pPr>
      <w:r>
        <w:rPr>
          <w:rFonts w:eastAsia="Calibri" w:cs="Calibri"/>
          <w:b/>
          <w:szCs w:val="22"/>
        </w:rPr>
        <w:t>Public servants seeking appointment to trusts</w:t>
      </w:r>
    </w:p>
    <w:p w14:paraId="3A848FDC" w14:textId="77777777" w:rsidR="00C94D4A" w:rsidRDefault="00C94D4A" w:rsidP="00C94D4A">
      <w:pPr>
        <w:spacing w:before="60" w:after="60"/>
        <w:textAlignment w:val="baseline"/>
        <w:rPr>
          <w:rFonts w:asciiTheme="minorHAnsi" w:eastAsia="Times New Roman" w:hAnsiTheme="minorHAnsi" w:cstheme="minorHAnsi"/>
          <w:color w:val="333333"/>
          <w:sz w:val="22"/>
          <w:szCs w:val="22"/>
          <w:lang w:eastAsia="en-NZ"/>
        </w:rPr>
      </w:pPr>
      <w:r>
        <w:rPr>
          <w:rFonts w:asciiTheme="minorHAnsi" w:eastAsia="Times New Roman" w:hAnsiTheme="minorHAnsi" w:cstheme="minorHAnsi"/>
          <w:color w:val="333333"/>
          <w:sz w:val="22"/>
          <w:szCs w:val="22"/>
          <w:lang w:eastAsia="en-NZ"/>
        </w:rPr>
        <w:t>Cabinet has agreed that Ministers should not generally appoint public servants to statutory bodies but that there may be special circumstances in which employees of Public Service departments can be appointed. Further information is provided in </w:t>
      </w:r>
      <w:hyperlink r:id="rId11" w:history="1">
        <w:r>
          <w:rPr>
            <w:rStyle w:val="Hyperlink"/>
            <w:rFonts w:asciiTheme="minorHAnsi" w:eastAsia="Times New Roman" w:hAnsiTheme="minorHAnsi" w:cstheme="minorHAnsi"/>
            <w:sz w:val="22"/>
            <w:szCs w:val="22"/>
            <w:bdr w:val="none" w:sz="0" w:space="0" w:color="auto" w:frame="1"/>
            <w:lang w:eastAsia="en-NZ"/>
          </w:rPr>
          <w:t>the State Services Commission’s Board Appointment and Induction Guidelines (see page 16)</w:t>
        </w:r>
      </w:hyperlink>
      <w:r>
        <w:rPr>
          <w:rFonts w:asciiTheme="minorHAnsi" w:eastAsia="Times New Roman" w:hAnsiTheme="minorHAnsi" w:cstheme="minorHAnsi"/>
          <w:color w:val="333333"/>
          <w:sz w:val="22"/>
          <w:szCs w:val="22"/>
          <w:lang w:eastAsia="en-NZ"/>
        </w:rPr>
        <w:t>, and Cabinet Office circulars </w:t>
      </w:r>
      <w:hyperlink r:id="rId12" w:history="1">
        <w:r>
          <w:rPr>
            <w:rStyle w:val="Hyperlink"/>
            <w:rFonts w:asciiTheme="minorHAnsi" w:eastAsia="Times New Roman" w:hAnsiTheme="minorHAnsi" w:cstheme="minorHAnsi"/>
            <w:color w:val="002299"/>
            <w:sz w:val="22"/>
            <w:szCs w:val="22"/>
            <w:bdr w:val="none" w:sz="0" w:space="0" w:color="auto" w:frame="1"/>
            <w:lang w:eastAsia="en-NZ"/>
          </w:rPr>
          <w:t>CO (02) 5: Appointment of Public Servants to Statutory Board</w:t>
        </w:r>
      </w:hyperlink>
      <w:r>
        <w:rPr>
          <w:rFonts w:asciiTheme="minorHAnsi" w:eastAsia="Times New Roman" w:hAnsiTheme="minorHAnsi" w:cstheme="minorHAnsi"/>
          <w:color w:val="333333"/>
          <w:sz w:val="22"/>
          <w:szCs w:val="22"/>
          <w:u w:val="single"/>
          <w:lang w:eastAsia="en-NZ"/>
        </w:rPr>
        <w:t>,</w:t>
      </w:r>
      <w:r>
        <w:rPr>
          <w:rFonts w:asciiTheme="minorHAnsi" w:eastAsia="Times New Roman" w:hAnsiTheme="minorHAnsi" w:cstheme="minorHAnsi"/>
          <w:color w:val="333333"/>
          <w:sz w:val="22"/>
          <w:szCs w:val="22"/>
          <w:lang w:eastAsia="en-NZ"/>
        </w:rPr>
        <w:t xml:space="preserve"> and </w:t>
      </w:r>
      <w:hyperlink r:id="rId13" w:anchor="revised-fees-framework-for-members-appointed-to-bodies-in-which-the-crown-has-an-interest" w:history="1">
        <w:r>
          <w:rPr>
            <w:rStyle w:val="Hyperlink"/>
            <w:rFonts w:asciiTheme="minorHAnsi" w:eastAsia="Times New Roman" w:hAnsiTheme="minorHAnsi" w:cstheme="minorHAnsi"/>
            <w:color w:val="002299"/>
            <w:sz w:val="22"/>
            <w:szCs w:val="22"/>
            <w:bdr w:val="none" w:sz="0" w:space="0" w:color="auto" w:frame="1"/>
            <w:lang w:eastAsia="en-NZ"/>
          </w:rPr>
          <w:t>CO (22) 2: Revised Fees Framework for members appointed to bodies in which the Crown has an interest</w:t>
        </w:r>
      </w:hyperlink>
      <w:r>
        <w:rPr>
          <w:color w:val="002299"/>
          <w:sz w:val="22"/>
          <w:szCs w:val="22"/>
          <w:lang w:eastAsia="en-NZ"/>
        </w:rPr>
        <w:t xml:space="preserve"> </w:t>
      </w:r>
      <w:r>
        <w:rPr>
          <w:sz w:val="22"/>
          <w:szCs w:val="22"/>
          <w:lang w:eastAsia="en-NZ"/>
        </w:rPr>
        <w:t>(especially paragraphs</w:t>
      </w:r>
      <w:r>
        <w:rPr>
          <w:color w:val="002299"/>
          <w:sz w:val="22"/>
          <w:szCs w:val="22"/>
          <w:lang w:eastAsia="en-NZ"/>
        </w:rPr>
        <w:t xml:space="preserve"> </w:t>
      </w:r>
      <w:r>
        <w:rPr>
          <w:sz w:val="22"/>
          <w:szCs w:val="22"/>
          <w:lang w:eastAsia="en-NZ"/>
        </w:rPr>
        <w:t>73-7</w:t>
      </w:r>
      <w:r>
        <w:rPr>
          <w:rFonts w:asciiTheme="minorHAnsi" w:eastAsia="Times New Roman" w:hAnsiTheme="minorHAnsi" w:cstheme="minorHAnsi"/>
          <w:sz w:val="22"/>
          <w:szCs w:val="22"/>
          <w:bdr w:val="none" w:sz="0" w:space="0" w:color="auto" w:frame="1"/>
          <w:lang w:eastAsia="en-NZ"/>
        </w:rPr>
        <w:t>9</w:t>
      </w:r>
      <w:r>
        <w:rPr>
          <w:rFonts w:asciiTheme="minorHAnsi" w:eastAsia="Times New Roman" w:hAnsiTheme="minorHAnsi" w:cstheme="minorHAnsi"/>
          <w:color w:val="002299"/>
          <w:sz w:val="22"/>
          <w:szCs w:val="22"/>
          <w:bdr w:val="none" w:sz="0" w:space="0" w:color="auto" w:frame="1"/>
          <w:lang w:eastAsia="en-NZ"/>
        </w:rPr>
        <w:t>).</w:t>
      </w:r>
    </w:p>
    <w:p w14:paraId="0A8FC5F7" w14:textId="77777777" w:rsidR="00C94D4A" w:rsidRDefault="00C94D4A" w:rsidP="00C94D4A">
      <w:pPr>
        <w:keepLines w:val="0"/>
        <w:spacing w:after="120"/>
        <w:rPr>
          <w:rFonts w:eastAsia="Calibri" w:cs="Calibri"/>
          <w:b/>
          <w:szCs w:val="22"/>
        </w:rPr>
      </w:pPr>
      <w:r>
        <w:rPr>
          <w:rFonts w:eastAsia="Calibri" w:cs="Calibri"/>
          <w:b/>
          <w:szCs w:val="22"/>
        </w:rPr>
        <w:t xml:space="preserve">Nomination process </w:t>
      </w:r>
    </w:p>
    <w:p w14:paraId="48AA3C71" w14:textId="77777777" w:rsidR="00C94D4A" w:rsidRDefault="00C94D4A" w:rsidP="00C94D4A">
      <w:pPr>
        <w:keepLines w:val="0"/>
        <w:spacing w:before="60" w:after="60"/>
        <w:rPr>
          <w:rFonts w:eastAsia="Calibri"/>
          <w:sz w:val="22"/>
          <w:szCs w:val="22"/>
        </w:rPr>
      </w:pPr>
      <w:r>
        <w:rPr>
          <w:rFonts w:eastAsia="Calibri"/>
          <w:sz w:val="22"/>
          <w:szCs w:val="22"/>
        </w:rPr>
        <w:t xml:space="preserve">Any person seeking appointment to a community trust should provide a full and up-to-date curriculum vitae and complete the conflicts of interest declaration on the nomination form found on the Department of Internal Affairs website at </w:t>
      </w:r>
      <w:hyperlink r:id="rId14" w:history="1">
        <w:r>
          <w:rPr>
            <w:rStyle w:val="Hyperlink"/>
            <w:rFonts w:eastAsia="Calibri"/>
            <w:color w:val="1F546B"/>
            <w:sz w:val="22"/>
            <w:szCs w:val="22"/>
          </w:rPr>
          <w:t>www.dia.govt.nz/Appointments-to-Statutory-Bodies</w:t>
        </w:r>
      </w:hyperlink>
      <w:r>
        <w:rPr>
          <w:rFonts w:eastAsia="Calibri"/>
          <w:sz w:val="22"/>
          <w:szCs w:val="22"/>
        </w:rPr>
        <w:t xml:space="preserve">. </w:t>
      </w:r>
    </w:p>
    <w:p w14:paraId="45DD9F3B" w14:textId="77777777" w:rsidR="00C94D4A" w:rsidRDefault="00C94D4A" w:rsidP="00C94D4A">
      <w:pPr>
        <w:spacing w:before="60" w:after="60"/>
        <w:rPr>
          <w:rFonts w:eastAsia="Calibri"/>
          <w:sz w:val="22"/>
          <w:szCs w:val="22"/>
        </w:rPr>
      </w:pPr>
      <w:r>
        <w:rPr>
          <w:rFonts w:eastAsia="Calibri"/>
          <w:sz w:val="22"/>
          <w:szCs w:val="22"/>
        </w:rPr>
        <w:t xml:space="preserve">Send your completed nomination form to </w:t>
      </w:r>
      <w:hyperlink r:id="rId15" w:history="1">
        <w:r>
          <w:rPr>
            <w:rStyle w:val="Hyperlink"/>
            <w:rFonts w:eastAsia="Calibri"/>
            <w:color w:val="1F546B"/>
            <w:sz w:val="22"/>
            <w:szCs w:val="22"/>
          </w:rPr>
          <w:t>appointments@dia.govt.nz</w:t>
        </w:r>
      </w:hyperlink>
      <w:r>
        <w:rPr>
          <w:rFonts w:eastAsia="Calibri"/>
          <w:sz w:val="22"/>
          <w:szCs w:val="22"/>
        </w:rPr>
        <w:t xml:space="preserve"> by </w:t>
      </w:r>
      <w:r>
        <w:rPr>
          <w:rFonts w:eastAsia="Calibri"/>
          <w:b/>
          <w:bCs/>
          <w:sz w:val="22"/>
          <w:szCs w:val="22"/>
        </w:rPr>
        <w:t>14 June 2024.</w:t>
      </w:r>
    </w:p>
    <w:p w14:paraId="62326EA7" w14:textId="77777777" w:rsidR="00C94D4A" w:rsidRDefault="00C94D4A" w:rsidP="00C94D4A">
      <w:pPr>
        <w:keepLines w:val="0"/>
        <w:spacing w:after="120"/>
        <w:rPr>
          <w:rFonts w:eastAsia="SimSun" w:cs="Calibri"/>
          <w:b/>
          <w:bCs/>
          <w:spacing w:val="-10"/>
          <w:kern w:val="28"/>
          <w:sz w:val="32"/>
          <w:szCs w:val="32"/>
        </w:rPr>
      </w:pPr>
    </w:p>
    <w:p w14:paraId="43CBDCCD" w14:textId="77777777" w:rsidR="00C94D4A" w:rsidRPr="00F42FB1" w:rsidRDefault="00C94D4A" w:rsidP="00C94D4A">
      <w:pPr>
        <w:keepLines w:val="0"/>
        <w:spacing w:after="120"/>
        <w:rPr>
          <w:rFonts w:eastAsia="SimSun" w:cs="Calibri"/>
          <w:b/>
          <w:bCs/>
          <w:spacing w:val="-10"/>
          <w:kern w:val="28"/>
          <w:sz w:val="32"/>
          <w:szCs w:val="32"/>
        </w:rPr>
      </w:pPr>
      <w:r w:rsidRPr="00F42FB1">
        <w:rPr>
          <w:rFonts w:eastAsia="SimSun" w:cs="Calibri"/>
          <w:b/>
          <w:bCs/>
          <w:spacing w:val="-10"/>
          <w:kern w:val="28"/>
          <w:sz w:val="32"/>
          <w:szCs w:val="32"/>
        </w:rPr>
        <w:t xml:space="preserve">Whanganui Community Foundation </w:t>
      </w:r>
    </w:p>
    <w:p w14:paraId="7EE28008" w14:textId="77777777" w:rsidR="00C94D4A" w:rsidRDefault="00C94D4A" w:rsidP="00C94D4A">
      <w:pPr>
        <w:spacing w:before="60" w:after="60"/>
        <w:rPr>
          <w:rFonts w:eastAsia="Calibri"/>
          <w:sz w:val="22"/>
          <w:szCs w:val="22"/>
          <w:lang w:val="en-US"/>
        </w:rPr>
      </w:pPr>
      <w:r>
        <w:rPr>
          <w:rFonts w:eastAsia="Calibri"/>
          <w:sz w:val="22"/>
          <w:szCs w:val="22"/>
          <w:lang w:val="en-US"/>
        </w:rPr>
        <w:t xml:space="preserve">The Whanganui Community Foundation (The Foundation) </w:t>
      </w:r>
      <w:r w:rsidRPr="00DC4D55">
        <w:rPr>
          <w:rFonts w:eastAsia="Calibri"/>
          <w:sz w:val="22"/>
          <w:szCs w:val="22"/>
          <w:lang w:val="en-US"/>
        </w:rPr>
        <w:t>is governed by a board of trustees</w:t>
      </w:r>
      <w:r>
        <w:rPr>
          <w:rFonts w:eastAsia="Calibri"/>
          <w:sz w:val="22"/>
          <w:szCs w:val="22"/>
          <w:lang w:val="en-US"/>
        </w:rPr>
        <w:t xml:space="preserve"> who are</w:t>
      </w:r>
      <w:r w:rsidRPr="00DC4D55">
        <w:rPr>
          <w:rFonts w:eastAsia="Calibri"/>
          <w:sz w:val="22"/>
          <w:szCs w:val="22"/>
          <w:lang w:val="en-US"/>
        </w:rPr>
        <w:t xml:space="preserve"> appointed by the Associate Minister of Finance. The board elects its own Chair.</w:t>
      </w:r>
    </w:p>
    <w:p w14:paraId="5256B1C2" w14:textId="77777777" w:rsidR="00C94D4A" w:rsidRDefault="00C94D4A" w:rsidP="00C94D4A">
      <w:pPr>
        <w:spacing w:before="60" w:after="60"/>
        <w:rPr>
          <w:rFonts w:eastAsia="Calibri"/>
          <w:sz w:val="22"/>
          <w:szCs w:val="22"/>
        </w:rPr>
      </w:pPr>
      <w:r w:rsidRPr="00DC4D55">
        <w:rPr>
          <w:rFonts w:eastAsia="Calibri"/>
          <w:sz w:val="22"/>
          <w:szCs w:val="22"/>
        </w:rPr>
        <w:t xml:space="preserve">The </w:t>
      </w:r>
      <w:r>
        <w:rPr>
          <w:rFonts w:eastAsia="Calibri"/>
          <w:sz w:val="22"/>
          <w:szCs w:val="22"/>
          <w:lang w:val="en-US"/>
        </w:rPr>
        <w:t>Foundation</w:t>
      </w:r>
      <w:r w:rsidRPr="00DC4D55">
        <w:rPr>
          <w:rFonts w:eastAsia="Calibri"/>
          <w:sz w:val="22"/>
          <w:szCs w:val="22"/>
        </w:rPr>
        <w:t xml:space="preserve"> serves communities in the Whanganui, Rangitikei and </w:t>
      </w:r>
      <w:proofErr w:type="spellStart"/>
      <w:r w:rsidRPr="00DC4D55">
        <w:rPr>
          <w:rFonts w:eastAsia="Calibri"/>
          <w:sz w:val="22"/>
          <w:szCs w:val="22"/>
        </w:rPr>
        <w:t>Waimarino</w:t>
      </w:r>
      <w:proofErr w:type="spellEnd"/>
      <w:r w:rsidRPr="00DC4D55">
        <w:rPr>
          <w:rFonts w:eastAsia="Calibri"/>
          <w:sz w:val="22"/>
          <w:szCs w:val="22"/>
        </w:rPr>
        <w:t xml:space="preserve"> districts. </w:t>
      </w:r>
    </w:p>
    <w:p w14:paraId="62EE4D3F" w14:textId="77777777" w:rsidR="00C94D4A" w:rsidRPr="00DC4D55" w:rsidRDefault="00C94D4A" w:rsidP="00C94D4A">
      <w:pPr>
        <w:spacing w:before="60" w:after="60"/>
        <w:rPr>
          <w:rFonts w:eastAsia="Calibri"/>
          <w:sz w:val="22"/>
          <w:szCs w:val="22"/>
        </w:rPr>
      </w:pPr>
      <w:r w:rsidRPr="00DC4D55">
        <w:rPr>
          <w:rFonts w:eastAsia="Calibri"/>
          <w:sz w:val="22"/>
          <w:szCs w:val="22"/>
          <w:lang w:val="en-US"/>
        </w:rPr>
        <w:t>To be eligible for appointment, candidates must reside within this area.</w:t>
      </w:r>
    </w:p>
    <w:p w14:paraId="6B1647B2" w14:textId="77777777" w:rsidR="00C94D4A" w:rsidRPr="00DC4D55" w:rsidRDefault="00C94D4A" w:rsidP="00C94D4A">
      <w:pPr>
        <w:keepLines w:val="0"/>
        <w:spacing w:before="60" w:after="60" w:line="259" w:lineRule="auto"/>
        <w:rPr>
          <w:rFonts w:eastAsia="Calibri"/>
          <w:sz w:val="22"/>
          <w:szCs w:val="22"/>
          <w:lang w:val="en-US"/>
        </w:rPr>
      </w:pPr>
      <w:r w:rsidRPr="00DC4D55">
        <w:rPr>
          <w:rFonts w:eastAsia="Calibri"/>
          <w:sz w:val="22"/>
          <w:szCs w:val="22"/>
          <w:lang w:val="en-US"/>
        </w:rPr>
        <w:t xml:space="preserve">The </w:t>
      </w:r>
      <w:r>
        <w:rPr>
          <w:rFonts w:eastAsia="Calibri"/>
          <w:sz w:val="22"/>
          <w:szCs w:val="22"/>
          <w:lang w:val="en-US"/>
        </w:rPr>
        <w:t>Foundation</w:t>
      </w:r>
      <w:r w:rsidRPr="00DC4D55">
        <w:rPr>
          <w:rFonts w:eastAsia="Calibri"/>
          <w:sz w:val="22"/>
          <w:szCs w:val="22"/>
          <w:lang w:val="en-US"/>
        </w:rPr>
        <w:t xml:space="preserve"> enhances the lives of all people in its region and supports communities to determine their own futures by:</w:t>
      </w:r>
    </w:p>
    <w:p w14:paraId="50C96163" w14:textId="77777777" w:rsidR="00C94D4A" w:rsidRPr="00DC4D55" w:rsidRDefault="00C94D4A" w:rsidP="00C94D4A">
      <w:pPr>
        <w:keepLines w:val="0"/>
        <w:numPr>
          <w:ilvl w:val="0"/>
          <w:numId w:val="25"/>
        </w:numPr>
        <w:spacing w:before="60" w:after="60" w:line="259" w:lineRule="auto"/>
        <w:rPr>
          <w:rFonts w:eastAsia="Calibri"/>
          <w:sz w:val="22"/>
          <w:szCs w:val="22"/>
        </w:rPr>
      </w:pPr>
      <w:r w:rsidRPr="00DC4D55">
        <w:rPr>
          <w:rFonts w:eastAsia="Calibri"/>
          <w:sz w:val="22"/>
          <w:szCs w:val="22"/>
        </w:rPr>
        <w:t>improving the wellbeing of children;</w:t>
      </w:r>
    </w:p>
    <w:p w14:paraId="58A9F831" w14:textId="77777777" w:rsidR="00C94D4A" w:rsidRPr="00DC4D55" w:rsidRDefault="00C94D4A" w:rsidP="00C94D4A">
      <w:pPr>
        <w:keepLines w:val="0"/>
        <w:numPr>
          <w:ilvl w:val="0"/>
          <w:numId w:val="25"/>
        </w:numPr>
        <w:spacing w:before="60" w:after="60" w:line="259" w:lineRule="auto"/>
        <w:rPr>
          <w:rFonts w:eastAsia="Calibri"/>
          <w:sz w:val="22"/>
          <w:szCs w:val="22"/>
        </w:rPr>
      </w:pPr>
      <w:r w:rsidRPr="00DC4D55">
        <w:rPr>
          <w:rFonts w:eastAsia="Calibri"/>
          <w:sz w:val="22"/>
          <w:szCs w:val="22"/>
        </w:rPr>
        <w:t>fostering youth development and positive outcomes;</w:t>
      </w:r>
    </w:p>
    <w:p w14:paraId="0BA358DB" w14:textId="77777777" w:rsidR="00C94D4A" w:rsidRPr="00DC4D55" w:rsidRDefault="00C94D4A" w:rsidP="00C94D4A">
      <w:pPr>
        <w:keepLines w:val="0"/>
        <w:numPr>
          <w:ilvl w:val="0"/>
          <w:numId w:val="25"/>
        </w:numPr>
        <w:spacing w:before="60" w:after="60" w:line="259" w:lineRule="auto"/>
        <w:rPr>
          <w:rFonts w:eastAsia="Calibri"/>
          <w:sz w:val="22"/>
          <w:szCs w:val="22"/>
        </w:rPr>
      </w:pPr>
      <w:r w:rsidRPr="00DC4D55">
        <w:rPr>
          <w:rFonts w:eastAsia="Calibri"/>
          <w:sz w:val="22"/>
          <w:szCs w:val="22"/>
        </w:rPr>
        <w:t xml:space="preserve">increasing the wellbeing of elderly residents, particularly those who may be isolated; and </w:t>
      </w:r>
    </w:p>
    <w:p w14:paraId="14947000" w14:textId="77777777" w:rsidR="00C94D4A" w:rsidRPr="00DC4D55" w:rsidRDefault="00C94D4A" w:rsidP="00C94D4A">
      <w:pPr>
        <w:keepLines w:val="0"/>
        <w:numPr>
          <w:ilvl w:val="0"/>
          <w:numId w:val="25"/>
        </w:numPr>
        <w:spacing w:before="60" w:after="60" w:line="259" w:lineRule="auto"/>
        <w:rPr>
          <w:rFonts w:eastAsia="Calibri"/>
          <w:sz w:val="22"/>
          <w:szCs w:val="22"/>
        </w:rPr>
      </w:pPr>
      <w:r w:rsidRPr="00DC4D55">
        <w:rPr>
          <w:rFonts w:eastAsia="Calibri"/>
          <w:sz w:val="22"/>
          <w:szCs w:val="22"/>
        </w:rPr>
        <w:t>providing activities for community connectiveness and wellbeing.</w:t>
      </w:r>
    </w:p>
    <w:p w14:paraId="1D996A72" w14:textId="77777777" w:rsidR="00C94D4A" w:rsidRPr="00DC4D55" w:rsidRDefault="00C94D4A" w:rsidP="00C94D4A">
      <w:pPr>
        <w:keepLines w:val="0"/>
        <w:spacing w:before="60" w:after="60" w:line="259" w:lineRule="auto"/>
        <w:rPr>
          <w:rFonts w:eastAsia="Calibri"/>
          <w:sz w:val="22"/>
          <w:szCs w:val="22"/>
          <w:lang w:val="en-US"/>
        </w:rPr>
      </w:pPr>
      <w:r w:rsidRPr="00DC4D55">
        <w:rPr>
          <w:rFonts w:eastAsia="Calibri"/>
          <w:sz w:val="22"/>
          <w:szCs w:val="22"/>
          <w:lang w:val="en-US"/>
        </w:rPr>
        <w:t xml:space="preserve">For more information about the Foundation please visit </w:t>
      </w:r>
      <w:r>
        <w:rPr>
          <w:rFonts w:eastAsia="Calibri"/>
          <w:sz w:val="22"/>
          <w:szCs w:val="22"/>
          <w:lang w:val="en-US"/>
        </w:rPr>
        <w:t xml:space="preserve">its </w:t>
      </w:r>
      <w:r w:rsidRPr="00DC4D55">
        <w:rPr>
          <w:rFonts w:eastAsia="Calibri"/>
          <w:sz w:val="22"/>
          <w:szCs w:val="22"/>
          <w:lang w:val="en-US"/>
        </w:rPr>
        <w:t xml:space="preserve">website at </w:t>
      </w:r>
      <w:hyperlink r:id="rId16" w:history="1">
        <w:r w:rsidRPr="00DC4D55">
          <w:rPr>
            <w:rStyle w:val="Hyperlink"/>
            <w:rFonts w:eastAsia="Calibri"/>
            <w:sz w:val="22"/>
            <w:szCs w:val="22"/>
            <w:lang w:val="en-US"/>
          </w:rPr>
          <w:t>www.whanganuicommunityfoundation.org.nz</w:t>
        </w:r>
      </w:hyperlink>
      <w:r w:rsidRPr="00DC4D55">
        <w:rPr>
          <w:rFonts w:eastAsia="Calibri"/>
          <w:sz w:val="22"/>
          <w:szCs w:val="22"/>
          <w:lang w:val="en-US"/>
        </w:rPr>
        <w:t xml:space="preserve">. </w:t>
      </w:r>
    </w:p>
    <w:p w14:paraId="219564F8" w14:textId="77777777" w:rsidR="00C94D4A" w:rsidRPr="00F42FB1" w:rsidRDefault="00C94D4A" w:rsidP="00C94D4A">
      <w:pPr>
        <w:keepLines w:val="0"/>
        <w:spacing w:before="60" w:after="60" w:line="259" w:lineRule="auto"/>
        <w:rPr>
          <w:rFonts w:eastAsia="Calibri" w:cs="Calibri"/>
          <w:b/>
          <w:sz w:val="22"/>
          <w:szCs w:val="22"/>
          <w:lang w:val="en-US"/>
        </w:rPr>
      </w:pPr>
      <w:r w:rsidRPr="00F42FB1">
        <w:rPr>
          <w:rFonts w:eastAsia="Calibri" w:cs="Calibri"/>
          <w:b/>
          <w:sz w:val="22"/>
          <w:szCs w:val="22"/>
          <w:lang w:val="en-US"/>
        </w:rPr>
        <w:t>Additional selection criteria for the 2024 appointments round</w:t>
      </w:r>
    </w:p>
    <w:p w14:paraId="7B4F317E" w14:textId="77777777" w:rsidR="00C94D4A" w:rsidRPr="00DC4D55" w:rsidRDefault="00C94D4A" w:rsidP="00C94D4A">
      <w:pPr>
        <w:keepLines w:val="0"/>
        <w:spacing w:before="60" w:after="60" w:line="259" w:lineRule="auto"/>
        <w:rPr>
          <w:rFonts w:eastAsia="Calibri"/>
          <w:sz w:val="22"/>
          <w:szCs w:val="22"/>
          <w:lang w:val="en-US"/>
        </w:rPr>
      </w:pPr>
      <w:r w:rsidRPr="00DC4D55">
        <w:rPr>
          <w:rFonts w:eastAsia="Calibri"/>
          <w:sz w:val="22"/>
          <w:szCs w:val="22"/>
          <w:lang w:val="en-US"/>
        </w:rPr>
        <w:t>The critical, core and desirable selection criteria for all of the trusts are listed on page one. Additional selection criteria for the Whanganui Community Foundation are:</w:t>
      </w:r>
    </w:p>
    <w:p w14:paraId="282A9FD8" w14:textId="77777777" w:rsidR="00C94D4A" w:rsidRPr="00DC4D55" w:rsidRDefault="00C94D4A" w:rsidP="00C94D4A">
      <w:pPr>
        <w:keepLines w:val="0"/>
        <w:numPr>
          <w:ilvl w:val="0"/>
          <w:numId w:val="25"/>
        </w:numPr>
        <w:spacing w:before="60" w:after="60" w:line="259" w:lineRule="auto"/>
        <w:rPr>
          <w:rFonts w:eastAsia="Calibri"/>
          <w:sz w:val="22"/>
          <w:szCs w:val="22"/>
          <w:lang w:val="en-US"/>
        </w:rPr>
      </w:pPr>
      <w:r w:rsidRPr="00DC4D55">
        <w:rPr>
          <w:rFonts w:eastAsia="Calibri"/>
          <w:sz w:val="22"/>
          <w:szCs w:val="22"/>
          <w:lang w:val="en-US"/>
        </w:rPr>
        <w:t>legal expertise and experience;</w:t>
      </w:r>
    </w:p>
    <w:p w14:paraId="0642D8B2" w14:textId="77777777" w:rsidR="00C94D4A" w:rsidRPr="00DC4D55" w:rsidRDefault="00C94D4A" w:rsidP="00C94D4A">
      <w:pPr>
        <w:keepLines w:val="0"/>
        <w:numPr>
          <w:ilvl w:val="0"/>
          <w:numId w:val="25"/>
        </w:numPr>
        <w:spacing w:before="60" w:after="60" w:line="259" w:lineRule="auto"/>
        <w:rPr>
          <w:rFonts w:eastAsia="Calibri"/>
          <w:sz w:val="22"/>
          <w:szCs w:val="22"/>
          <w:lang w:val="en-US"/>
        </w:rPr>
      </w:pPr>
      <w:r w:rsidRPr="00DC4D55">
        <w:rPr>
          <w:rFonts w:eastAsia="Calibri"/>
          <w:sz w:val="22"/>
          <w:szCs w:val="22"/>
          <w:lang w:val="en-US"/>
        </w:rPr>
        <w:t xml:space="preserve">well-developed investment experience and skills; </w:t>
      </w:r>
    </w:p>
    <w:p w14:paraId="4D7FD31E" w14:textId="77777777" w:rsidR="00C94D4A" w:rsidRPr="00DC4D55" w:rsidRDefault="00C94D4A" w:rsidP="00C94D4A">
      <w:pPr>
        <w:keepLines w:val="0"/>
        <w:numPr>
          <w:ilvl w:val="0"/>
          <w:numId w:val="25"/>
        </w:numPr>
        <w:spacing w:before="60" w:after="60" w:line="259" w:lineRule="auto"/>
        <w:rPr>
          <w:rFonts w:eastAsia="Calibri"/>
          <w:sz w:val="22"/>
          <w:szCs w:val="22"/>
          <w:lang w:val="en-US"/>
        </w:rPr>
      </w:pPr>
      <w:r w:rsidRPr="00DC4D55">
        <w:rPr>
          <w:rFonts w:eastAsia="Calibri"/>
          <w:sz w:val="22"/>
          <w:szCs w:val="22"/>
          <w:lang w:val="en-US"/>
        </w:rPr>
        <w:t>a youth perspective; and</w:t>
      </w:r>
    </w:p>
    <w:p w14:paraId="3BD3176A" w14:textId="77777777" w:rsidR="00C94D4A" w:rsidRPr="00DC4D55" w:rsidRDefault="00C94D4A" w:rsidP="00C94D4A">
      <w:pPr>
        <w:keepLines w:val="0"/>
        <w:numPr>
          <w:ilvl w:val="0"/>
          <w:numId w:val="25"/>
        </w:numPr>
        <w:spacing w:before="60" w:after="60" w:line="259" w:lineRule="auto"/>
        <w:rPr>
          <w:rFonts w:eastAsia="Calibri"/>
          <w:sz w:val="22"/>
          <w:szCs w:val="22"/>
        </w:rPr>
      </w:pPr>
      <w:r w:rsidRPr="00DC4D55">
        <w:rPr>
          <w:rFonts w:eastAsia="Calibri"/>
          <w:sz w:val="22"/>
          <w:szCs w:val="22"/>
        </w:rPr>
        <w:t>an understanding of and connections with Māori communities, including hapū and iwi who have mana whenua in the region.</w:t>
      </w:r>
    </w:p>
    <w:p w14:paraId="2C361E77" w14:textId="77777777" w:rsidR="00C94D4A" w:rsidRPr="00DC4D55" w:rsidRDefault="00C94D4A" w:rsidP="00C94D4A">
      <w:pPr>
        <w:keepLines w:val="0"/>
        <w:spacing w:before="60" w:after="60" w:line="259" w:lineRule="auto"/>
        <w:rPr>
          <w:rFonts w:eastAsia="Calibri"/>
          <w:sz w:val="22"/>
          <w:szCs w:val="22"/>
          <w:lang w:val="en-US"/>
        </w:rPr>
      </w:pPr>
      <w:r w:rsidRPr="00DC4D55">
        <w:rPr>
          <w:rFonts w:eastAsia="Calibri"/>
          <w:sz w:val="22"/>
          <w:szCs w:val="22"/>
          <w:lang w:val="en-US"/>
        </w:rPr>
        <w:t xml:space="preserve">Appointed trustees must be politically impartial. Irrespective of political interests, trustees must conduct themselves in a way that enables them to act effectively under current and future governments.  </w:t>
      </w:r>
    </w:p>
    <w:p w14:paraId="333B96B8" w14:textId="77777777" w:rsidR="00C94D4A" w:rsidRPr="00F42FB1" w:rsidRDefault="00C94D4A" w:rsidP="00C94D4A">
      <w:pPr>
        <w:keepLines w:val="0"/>
        <w:spacing w:before="60" w:after="60" w:line="259" w:lineRule="auto"/>
        <w:rPr>
          <w:rFonts w:eastAsia="Calibri" w:cs="Calibri"/>
          <w:b/>
          <w:sz w:val="22"/>
          <w:szCs w:val="22"/>
          <w:lang w:val="en-US"/>
        </w:rPr>
      </w:pPr>
      <w:r w:rsidRPr="00F42FB1">
        <w:rPr>
          <w:rFonts w:eastAsia="Calibri" w:cs="Calibri"/>
          <w:b/>
          <w:sz w:val="22"/>
          <w:szCs w:val="22"/>
          <w:lang w:val="en-US"/>
        </w:rPr>
        <w:t>Time commitment and remuneration</w:t>
      </w:r>
    </w:p>
    <w:p w14:paraId="1011E25E" w14:textId="77777777" w:rsidR="00C94D4A" w:rsidRPr="00F42FB1" w:rsidRDefault="00C94D4A" w:rsidP="00C94D4A">
      <w:pPr>
        <w:keepLines w:val="0"/>
        <w:spacing w:after="120"/>
        <w:rPr>
          <w:rFonts w:eastAsia="Calibri"/>
          <w:sz w:val="22"/>
          <w:szCs w:val="22"/>
          <w:lang w:val="en-US"/>
        </w:rPr>
      </w:pPr>
      <w:r w:rsidRPr="00F42FB1">
        <w:rPr>
          <w:rFonts w:eastAsia="Calibri"/>
          <w:sz w:val="22"/>
          <w:szCs w:val="22"/>
          <w:lang w:val="en-US"/>
        </w:rPr>
        <w:t>Terms for trustees are up to four years.  Exact term dates will be confirmed with successful candidates.</w:t>
      </w:r>
    </w:p>
    <w:p w14:paraId="1925FB9B" w14:textId="77777777" w:rsidR="00C94D4A" w:rsidRPr="00F42FB1" w:rsidRDefault="00C94D4A" w:rsidP="00C94D4A">
      <w:pPr>
        <w:keepLines w:val="0"/>
        <w:spacing w:before="60" w:after="60" w:line="259" w:lineRule="auto"/>
        <w:rPr>
          <w:rFonts w:eastAsia="Calibri"/>
          <w:sz w:val="22"/>
          <w:szCs w:val="22"/>
          <w:lang w:val="en-US"/>
        </w:rPr>
      </w:pPr>
      <w:r w:rsidRPr="00F42FB1">
        <w:rPr>
          <w:rFonts w:eastAsia="Calibri"/>
          <w:sz w:val="22"/>
          <w:szCs w:val="22"/>
          <w:lang w:val="en-US"/>
        </w:rPr>
        <w:t xml:space="preserve">The time commitment for a trustee is estimated at 10 – 12 hours per month. This may include meeting attendance, preparation, necessary travel, professional development, and representative duties. </w:t>
      </w:r>
    </w:p>
    <w:p w14:paraId="61321969" w14:textId="77777777" w:rsidR="00C94D4A" w:rsidRPr="00F42FB1" w:rsidRDefault="00C94D4A" w:rsidP="00C94D4A">
      <w:pPr>
        <w:keepLines w:val="0"/>
        <w:spacing w:before="60" w:after="60" w:line="259" w:lineRule="auto"/>
        <w:rPr>
          <w:rFonts w:eastAsia="Calibri"/>
          <w:sz w:val="22"/>
          <w:szCs w:val="22"/>
          <w:lang w:val="en-US"/>
        </w:rPr>
      </w:pPr>
      <w:r w:rsidRPr="00F42FB1">
        <w:rPr>
          <w:rFonts w:eastAsia="Calibri"/>
          <w:sz w:val="22"/>
          <w:szCs w:val="22"/>
          <w:lang w:val="en-US"/>
        </w:rPr>
        <w:t xml:space="preserve">The trusts are classified as Group 3a (governance boards) under the Cabinet Fees Framework [CO 22 2]. The current annual fees (excluding disbursements) for trustees of </w:t>
      </w:r>
      <w:r>
        <w:rPr>
          <w:rFonts w:eastAsia="Calibri"/>
          <w:sz w:val="22"/>
          <w:szCs w:val="22"/>
          <w:lang w:val="en-US"/>
        </w:rPr>
        <w:t>the</w:t>
      </w:r>
      <w:r w:rsidRPr="00F42FB1">
        <w:rPr>
          <w:rFonts w:eastAsia="Calibri"/>
          <w:sz w:val="22"/>
          <w:szCs w:val="22"/>
          <w:lang w:val="en-US"/>
        </w:rPr>
        <w:t xml:space="preserve"> Fund is $6,600 for board members, and $13,200 for the Chair. </w:t>
      </w:r>
    </w:p>
    <w:p w14:paraId="5A05C283" w14:textId="77777777" w:rsidR="00C94D4A" w:rsidRPr="00D07E3B" w:rsidRDefault="00C94D4A" w:rsidP="00C94D4A">
      <w:pPr>
        <w:keepLines w:val="0"/>
        <w:spacing w:after="120"/>
        <w:rPr>
          <w:rFonts w:eastAsia="Calibri" w:cs="Calibri"/>
          <w:b/>
          <w:szCs w:val="22"/>
        </w:rPr>
      </w:pPr>
      <w:r w:rsidRPr="00D07E3B">
        <w:rPr>
          <w:rFonts w:eastAsia="Calibri" w:cs="Calibri"/>
          <w:b/>
          <w:szCs w:val="22"/>
        </w:rPr>
        <w:t>Public servants seeking appointment to trusts</w:t>
      </w:r>
    </w:p>
    <w:p w14:paraId="2A03EE9D" w14:textId="77777777" w:rsidR="00C94D4A" w:rsidRDefault="00C94D4A" w:rsidP="00C94D4A">
      <w:pPr>
        <w:spacing w:before="60" w:after="60"/>
        <w:textAlignment w:val="baseline"/>
        <w:rPr>
          <w:rFonts w:asciiTheme="minorHAnsi" w:eastAsia="Times New Roman" w:hAnsiTheme="minorHAnsi" w:cstheme="minorHAnsi"/>
          <w:color w:val="333333"/>
          <w:sz w:val="22"/>
          <w:szCs w:val="22"/>
          <w:lang w:eastAsia="en-NZ"/>
        </w:rPr>
      </w:pPr>
      <w:r>
        <w:rPr>
          <w:rFonts w:asciiTheme="minorHAnsi" w:eastAsia="Times New Roman" w:hAnsiTheme="minorHAnsi" w:cstheme="minorHAnsi"/>
          <w:color w:val="333333"/>
          <w:sz w:val="22"/>
          <w:szCs w:val="22"/>
          <w:lang w:eastAsia="en-NZ"/>
        </w:rPr>
        <w:t>Cabinet has agreed that Ministers should not generally appoint public servants to statutory bodies but that there may be special circumstances in which employees of Public Service departments can be appointed. Further information is provided in </w:t>
      </w:r>
      <w:hyperlink r:id="rId17" w:history="1">
        <w:r>
          <w:rPr>
            <w:rStyle w:val="Hyperlink"/>
            <w:rFonts w:asciiTheme="minorHAnsi" w:eastAsia="Times New Roman" w:hAnsiTheme="minorHAnsi" w:cstheme="minorHAnsi"/>
            <w:sz w:val="22"/>
            <w:szCs w:val="22"/>
            <w:bdr w:val="none" w:sz="0" w:space="0" w:color="auto" w:frame="1"/>
            <w:lang w:eastAsia="en-NZ"/>
          </w:rPr>
          <w:t>the State Services Commission’s Board Appointment and Induction Guidelines (see page 16)</w:t>
        </w:r>
      </w:hyperlink>
      <w:r>
        <w:rPr>
          <w:rFonts w:asciiTheme="minorHAnsi" w:eastAsia="Times New Roman" w:hAnsiTheme="minorHAnsi" w:cstheme="minorHAnsi"/>
          <w:color w:val="333333"/>
          <w:sz w:val="22"/>
          <w:szCs w:val="22"/>
          <w:lang w:eastAsia="en-NZ"/>
        </w:rPr>
        <w:t>, and Cabinet Office circulars </w:t>
      </w:r>
      <w:hyperlink r:id="rId18" w:history="1">
        <w:r>
          <w:rPr>
            <w:rStyle w:val="Hyperlink"/>
            <w:rFonts w:asciiTheme="minorHAnsi" w:eastAsia="Times New Roman" w:hAnsiTheme="minorHAnsi" w:cstheme="minorHAnsi"/>
            <w:color w:val="002299"/>
            <w:sz w:val="22"/>
            <w:szCs w:val="22"/>
            <w:bdr w:val="none" w:sz="0" w:space="0" w:color="auto" w:frame="1"/>
            <w:lang w:eastAsia="en-NZ"/>
          </w:rPr>
          <w:t>CO (02) 5: Appointment of Public Servants to Statutory Board</w:t>
        </w:r>
      </w:hyperlink>
      <w:r>
        <w:rPr>
          <w:rFonts w:asciiTheme="minorHAnsi" w:eastAsia="Times New Roman" w:hAnsiTheme="minorHAnsi" w:cstheme="minorHAnsi"/>
          <w:color w:val="333333"/>
          <w:sz w:val="22"/>
          <w:szCs w:val="22"/>
          <w:u w:val="single"/>
          <w:lang w:eastAsia="en-NZ"/>
        </w:rPr>
        <w:t>,</w:t>
      </w:r>
      <w:r>
        <w:rPr>
          <w:rFonts w:asciiTheme="minorHAnsi" w:eastAsia="Times New Roman" w:hAnsiTheme="minorHAnsi" w:cstheme="minorHAnsi"/>
          <w:color w:val="333333"/>
          <w:sz w:val="22"/>
          <w:szCs w:val="22"/>
          <w:lang w:eastAsia="en-NZ"/>
        </w:rPr>
        <w:t xml:space="preserve"> and </w:t>
      </w:r>
      <w:hyperlink r:id="rId19" w:anchor="revised-fees-framework-for-members-appointed-to-bodies-in-which-the-crown-has-an-interest" w:history="1">
        <w:r>
          <w:rPr>
            <w:rStyle w:val="Hyperlink"/>
            <w:rFonts w:asciiTheme="minorHAnsi" w:eastAsia="Times New Roman" w:hAnsiTheme="minorHAnsi" w:cstheme="minorHAnsi"/>
            <w:color w:val="002299"/>
            <w:sz w:val="22"/>
            <w:szCs w:val="22"/>
            <w:bdr w:val="none" w:sz="0" w:space="0" w:color="auto" w:frame="1"/>
            <w:lang w:eastAsia="en-NZ"/>
          </w:rPr>
          <w:t>CO (22) 2: Revised Fees Framework for members appointed to bodies in which the Crown has an interest</w:t>
        </w:r>
      </w:hyperlink>
      <w:r>
        <w:rPr>
          <w:color w:val="002299"/>
          <w:sz w:val="22"/>
          <w:szCs w:val="22"/>
          <w:lang w:eastAsia="en-NZ"/>
        </w:rPr>
        <w:t xml:space="preserve"> </w:t>
      </w:r>
      <w:r>
        <w:rPr>
          <w:sz w:val="22"/>
          <w:szCs w:val="22"/>
          <w:lang w:eastAsia="en-NZ"/>
        </w:rPr>
        <w:t>(especially paragraphs</w:t>
      </w:r>
      <w:r>
        <w:rPr>
          <w:color w:val="002299"/>
          <w:sz w:val="22"/>
          <w:szCs w:val="22"/>
          <w:lang w:eastAsia="en-NZ"/>
        </w:rPr>
        <w:t xml:space="preserve"> </w:t>
      </w:r>
      <w:r>
        <w:rPr>
          <w:sz w:val="22"/>
          <w:szCs w:val="22"/>
          <w:lang w:eastAsia="en-NZ"/>
        </w:rPr>
        <w:t>73-7</w:t>
      </w:r>
      <w:r>
        <w:rPr>
          <w:rFonts w:asciiTheme="minorHAnsi" w:eastAsia="Times New Roman" w:hAnsiTheme="minorHAnsi" w:cstheme="minorHAnsi"/>
          <w:sz w:val="22"/>
          <w:szCs w:val="22"/>
          <w:bdr w:val="none" w:sz="0" w:space="0" w:color="auto" w:frame="1"/>
          <w:lang w:eastAsia="en-NZ"/>
        </w:rPr>
        <w:t>9</w:t>
      </w:r>
      <w:r>
        <w:rPr>
          <w:rFonts w:asciiTheme="minorHAnsi" w:eastAsia="Times New Roman" w:hAnsiTheme="minorHAnsi" w:cstheme="minorHAnsi"/>
          <w:color w:val="002299"/>
          <w:sz w:val="22"/>
          <w:szCs w:val="22"/>
          <w:bdr w:val="none" w:sz="0" w:space="0" w:color="auto" w:frame="1"/>
          <w:lang w:eastAsia="en-NZ"/>
        </w:rPr>
        <w:t>).</w:t>
      </w:r>
    </w:p>
    <w:p w14:paraId="73E5BA66" w14:textId="77777777" w:rsidR="00C94D4A" w:rsidRPr="00D07E3B" w:rsidRDefault="00C94D4A" w:rsidP="00C94D4A">
      <w:pPr>
        <w:keepLines w:val="0"/>
        <w:spacing w:after="120"/>
        <w:rPr>
          <w:rFonts w:eastAsia="Calibri" w:cs="Calibri"/>
          <w:b/>
          <w:szCs w:val="22"/>
        </w:rPr>
      </w:pPr>
      <w:r w:rsidRPr="00D07E3B">
        <w:rPr>
          <w:rFonts w:eastAsia="Calibri" w:cs="Calibri"/>
          <w:b/>
          <w:szCs w:val="22"/>
        </w:rPr>
        <w:t xml:space="preserve">Nomination process </w:t>
      </w:r>
    </w:p>
    <w:p w14:paraId="4F2CD231" w14:textId="77777777" w:rsidR="00C94D4A" w:rsidRPr="00FB7BF9" w:rsidRDefault="00C94D4A" w:rsidP="00C94D4A">
      <w:pPr>
        <w:keepLines w:val="0"/>
        <w:spacing w:before="60" w:after="60"/>
        <w:rPr>
          <w:rFonts w:eastAsia="Calibri"/>
          <w:sz w:val="22"/>
          <w:szCs w:val="22"/>
        </w:rPr>
      </w:pPr>
      <w:r w:rsidRPr="00FB7BF9">
        <w:rPr>
          <w:rFonts w:eastAsia="Calibri"/>
          <w:sz w:val="22"/>
          <w:szCs w:val="22"/>
        </w:rPr>
        <w:t xml:space="preserve">Any person seeking appointment to a community trust should provide a full and up-to-date curriculum vitae and complete the conflicts of interest declaration on the nomination form found on the Department of Internal Affairs website at </w:t>
      </w:r>
      <w:hyperlink r:id="rId20" w:history="1">
        <w:r w:rsidRPr="00FB7BF9">
          <w:rPr>
            <w:rFonts w:eastAsia="Calibri"/>
            <w:color w:val="1F546B"/>
            <w:sz w:val="22"/>
            <w:szCs w:val="22"/>
            <w:u w:val="single"/>
          </w:rPr>
          <w:t>www.dia.govt.nz/Appointments-to-Statutory-Bodies</w:t>
        </w:r>
      </w:hyperlink>
      <w:r w:rsidRPr="00FB7BF9">
        <w:rPr>
          <w:rFonts w:eastAsia="Calibri"/>
          <w:sz w:val="22"/>
          <w:szCs w:val="22"/>
        </w:rPr>
        <w:t xml:space="preserve">. </w:t>
      </w:r>
    </w:p>
    <w:p w14:paraId="05887473" w14:textId="77777777" w:rsidR="00C94D4A" w:rsidRPr="00FB7BF9" w:rsidRDefault="00C94D4A" w:rsidP="00C94D4A">
      <w:pPr>
        <w:spacing w:before="60" w:after="60"/>
        <w:rPr>
          <w:rFonts w:eastAsia="Calibri"/>
          <w:sz w:val="22"/>
          <w:szCs w:val="22"/>
        </w:rPr>
      </w:pPr>
      <w:r w:rsidRPr="00FB7BF9">
        <w:rPr>
          <w:rFonts w:eastAsia="Calibri"/>
          <w:sz w:val="22"/>
          <w:szCs w:val="22"/>
        </w:rPr>
        <w:t xml:space="preserve">Send your completed nomination form to </w:t>
      </w:r>
      <w:hyperlink r:id="rId21" w:history="1">
        <w:r w:rsidRPr="00FB7BF9">
          <w:rPr>
            <w:rFonts w:eastAsia="Calibri"/>
            <w:color w:val="1F546B"/>
            <w:sz w:val="22"/>
            <w:szCs w:val="22"/>
            <w:u w:val="single"/>
          </w:rPr>
          <w:t>appointments@dia.govt.nz</w:t>
        </w:r>
      </w:hyperlink>
      <w:r w:rsidRPr="00FB7BF9">
        <w:rPr>
          <w:rFonts w:eastAsia="Calibri"/>
          <w:sz w:val="22"/>
          <w:szCs w:val="22"/>
        </w:rPr>
        <w:t xml:space="preserve"> by </w:t>
      </w:r>
      <w:r w:rsidRPr="00FB7BF9">
        <w:rPr>
          <w:rFonts w:eastAsia="Calibri"/>
          <w:b/>
          <w:bCs/>
          <w:sz w:val="22"/>
          <w:szCs w:val="22"/>
        </w:rPr>
        <w:t>14 June 2024.</w:t>
      </w:r>
    </w:p>
    <w:p w14:paraId="450A1360" w14:textId="77777777" w:rsidR="00AE478C" w:rsidRPr="00603635" w:rsidRDefault="00AE478C" w:rsidP="00603635"/>
    <w:sectPr w:rsidR="00AE478C" w:rsidRPr="00603635" w:rsidSect="005708DC">
      <w:headerReference w:type="even" r:id="rId22"/>
      <w:headerReference w:type="default" r:id="rId23"/>
      <w:footerReference w:type="even" r:id="rId24"/>
      <w:footerReference w:type="default" r:id="rId25"/>
      <w:headerReference w:type="first" r:id="rId26"/>
      <w:footerReference w:type="first" r:id="rId27"/>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D0E04" w14:textId="77777777" w:rsidR="005708DC" w:rsidRDefault="005708DC">
      <w:r>
        <w:separator/>
      </w:r>
    </w:p>
    <w:p w14:paraId="1A0F6D0C" w14:textId="77777777" w:rsidR="005708DC" w:rsidRDefault="005708DC"/>
    <w:p w14:paraId="5CD724AC" w14:textId="77777777" w:rsidR="005708DC" w:rsidRDefault="005708DC"/>
  </w:endnote>
  <w:endnote w:type="continuationSeparator" w:id="0">
    <w:p w14:paraId="4D2C659F" w14:textId="77777777" w:rsidR="005708DC" w:rsidRDefault="005708DC">
      <w:r>
        <w:continuationSeparator/>
      </w:r>
    </w:p>
    <w:p w14:paraId="3B4367D1" w14:textId="77777777" w:rsidR="005708DC" w:rsidRDefault="005708DC"/>
    <w:p w14:paraId="23F29BB6" w14:textId="77777777" w:rsidR="005708DC" w:rsidRDefault="00570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E153"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CC78"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5708DC">
      <w:fldChar w:fldCharType="begin"/>
    </w:r>
    <w:r w:rsidR="005708DC">
      <w:instrText xml:space="preserve"> NUMPAGES   \* MERGEFORMAT </w:instrText>
    </w:r>
    <w:r w:rsidR="005708DC">
      <w:fldChar w:fldCharType="separate"/>
    </w:r>
    <w:r w:rsidR="00603635">
      <w:rPr>
        <w:noProof/>
      </w:rPr>
      <w:t>1</w:t>
    </w:r>
    <w:r w:rsidR="005708D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A5F0"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92EC2" w14:textId="77777777" w:rsidR="005708DC" w:rsidRDefault="005708DC" w:rsidP="00FB1990">
      <w:pPr>
        <w:pStyle w:val="Spacer"/>
      </w:pPr>
      <w:r>
        <w:separator/>
      </w:r>
    </w:p>
    <w:p w14:paraId="115390C9" w14:textId="77777777" w:rsidR="005708DC" w:rsidRDefault="005708DC" w:rsidP="00FB1990">
      <w:pPr>
        <w:pStyle w:val="Spacer"/>
      </w:pPr>
    </w:p>
  </w:footnote>
  <w:footnote w:type="continuationSeparator" w:id="0">
    <w:p w14:paraId="1267010F" w14:textId="77777777" w:rsidR="005708DC" w:rsidRDefault="005708DC">
      <w:r>
        <w:continuationSeparator/>
      </w:r>
    </w:p>
    <w:p w14:paraId="14A05FBD" w14:textId="77777777" w:rsidR="005708DC" w:rsidRDefault="005708DC"/>
    <w:p w14:paraId="67858D7B" w14:textId="77777777" w:rsidR="005708DC" w:rsidRDefault="005708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5B3F"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F8CB"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2FAB"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A551542"/>
    <w:multiLevelType w:val="hybridMultilevel"/>
    <w:tmpl w:val="6038CC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16cid:durableId="220486937">
    <w:abstractNumId w:val="5"/>
  </w:num>
  <w:num w:numId="2" w16cid:durableId="1111317974">
    <w:abstractNumId w:val="4"/>
  </w:num>
  <w:num w:numId="3" w16cid:durableId="1674380443">
    <w:abstractNumId w:val="3"/>
  </w:num>
  <w:num w:numId="4" w16cid:durableId="1351184422">
    <w:abstractNumId w:val="2"/>
  </w:num>
  <w:num w:numId="5" w16cid:durableId="1808668438">
    <w:abstractNumId w:val="1"/>
  </w:num>
  <w:num w:numId="6" w16cid:durableId="233243103">
    <w:abstractNumId w:val="0"/>
  </w:num>
  <w:num w:numId="7" w16cid:durableId="222643692">
    <w:abstractNumId w:val="17"/>
  </w:num>
  <w:num w:numId="8" w16cid:durableId="1041828556">
    <w:abstractNumId w:val="18"/>
  </w:num>
  <w:num w:numId="9" w16cid:durableId="1694500779">
    <w:abstractNumId w:val="15"/>
  </w:num>
  <w:num w:numId="10" w16cid:durableId="1336153737">
    <w:abstractNumId w:val="11"/>
  </w:num>
  <w:num w:numId="11" w16cid:durableId="2081556639">
    <w:abstractNumId w:val="19"/>
  </w:num>
  <w:num w:numId="12" w16cid:durableId="364257635">
    <w:abstractNumId w:val="21"/>
  </w:num>
  <w:num w:numId="13" w16cid:durableId="1182620791">
    <w:abstractNumId w:val="23"/>
  </w:num>
  <w:num w:numId="14" w16cid:durableId="601035814">
    <w:abstractNumId w:val="7"/>
  </w:num>
  <w:num w:numId="15" w16cid:durableId="570165293">
    <w:abstractNumId w:val="13"/>
  </w:num>
  <w:num w:numId="16" w16cid:durableId="491797154">
    <w:abstractNumId w:val="24"/>
  </w:num>
  <w:num w:numId="17" w16cid:durableId="1423450718">
    <w:abstractNumId w:val="22"/>
  </w:num>
  <w:num w:numId="18" w16cid:durableId="2041734856">
    <w:abstractNumId w:val="20"/>
  </w:num>
  <w:num w:numId="19" w16cid:durableId="1143233183">
    <w:abstractNumId w:val="16"/>
  </w:num>
  <w:num w:numId="20" w16cid:durableId="1634948799">
    <w:abstractNumId w:val="14"/>
  </w:num>
  <w:num w:numId="21" w16cid:durableId="23794153">
    <w:abstractNumId w:val="10"/>
  </w:num>
  <w:num w:numId="22" w16cid:durableId="431825538">
    <w:abstractNumId w:val="6"/>
  </w:num>
  <w:num w:numId="23" w16cid:durableId="1481003109">
    <w:abstractNumId w:val="12"/>
  </w:num>
  <w:num w:numId="24" w16cid:durableId="1362972124">
    <w:abstractNumId w:val="8"/>
  </w:num>
  <w:num w:numId="25" w16cid:durableId="1003582146">
    <w:abstractNumId w:val="9"/>
  </w:num>
  <w:num w:numId="26" w16cid:durableId="51195996">
    <w:abstractNumId w:val="9"/>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savePreviewPicture/>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94D4A"/>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C5617"/>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8DC"/>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4D4A"/>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644CB"/>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6C036"/>
  <w15:chartTrackingRefBased/>
  <w15:docId w15:val="{193C9018-3EE4-4EFB-9B03-01F02AA5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D4A"/>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pmc.govt.nz/publications/co-22-2-revised-fees-framework-members-appointed-bodies-which-crown-has-interest" TargetMode="External"/><Relationship Id="rId18" Type="http://schemas.openxmlformats.org/officeDocument/2006/relationships/hyperlink" Target="https://dpmc.govt.nz/publications/co-02-5-appointment-public-servants-statutory-board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ppointments@dia.govt.nz" TargetMode="External"/><Relationship Id="rId7" Type="http://schemas.openxmlformats.org/officeDocument/2006/relationships/settings" Target="settings.xml"/><Relationship Id="rId12" Type="http://schemas.openxmlformats.org/officeDocument/2006/relationships/hyperlink" Target="https://dpmc.govt.nz/publications/co-02-5-appointment-public-servants-statutory-boards" TargetMode="External"/><Relationship Id="rId17" Type="http://schemas.openxmlformats.org/officeDocument/2006/relationships/hyperlink" Target="https://ssc.govt.nz/assets/Legacy/resources/board-appt-guidelines-oct15.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whanganuicommunityfoundation.org.nz" TargetMode="External"/><Relationship Id="rId20" Type="http://schemas.openxmlformats.org/officeDocument/2006/relationships/hyperlink" Target="http://www.dia.govt.nz/Appointments-to-Statutory-Bod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sc.govt.nz/assets/Legacy/resources/board-appt-guidelines-oct15.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ppointments@dia.govt.nz"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pmc.govt.nz/publications/co-22-2-revised-fees-framework-members-appointed-bodies-which-crown-has-inter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a.govt.nz/Appointments-to-Statutory-Bodie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01036E65E8724482AE883717927971" ma:contentTypeVersion="4" ma:contentTypeDescription="Create a new document." ma:contentTypeScope="" ma:versionID="e5dacc9a6fc851d7e4afadeec534a9d7">
  <xsd:schema xmlns:xsd="http://www.w3.org/2001/XMLSchema" xmlns:xs="http://www.w3.org/2001/XMLSchema" xmlns:p="http://schemas.microsoft.com/office/2006/metadata/properties" xmlns:ns3="1766d3c0-159f-4edd-ace6-6abe19533fed" targetNamespace="http://schemas.microsoft.com/office/2006/metadata/properties" ma:root="true" ma:fieldsID="dca2f9a641668a940db2a3c8493738d2" ns3:_="">
    <xsd:import namespace="1766d3c0-159f-4edd-ace6-6abe19533fe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6d3c0-159f-4edd-ace6-6abe19533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51C24-2D77-4480-ABD8-6BC65FC7CA82}">
  <ds:schemaRefs>
    <ds:schemaRef ds:uri="http://schemas.openxmlformats.org/officeDocument/2006/bibliography"/>
  </ds:schemaRefs>
</ds:datastoreItem>
</file>

<file path=customXml/itemProps2.xml><?xml version="1.0" encoding="utf-8"?>
<ds:datastoreItem xmlns:ds="http://schemas.openxmlformats.org/officeDocument/2006/customXml" ds:itemID="{CFBE6FF6-92A5-42FF-87A4-F65AFF11F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6d3c0-159f-4edd-ace6-6abe19533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B59A25-AA51-484F-AAC4-96F52A4FEA46}">
  <ds:schemaRefs>
    <ds:schemaRef ds:uri="http://schemas.microsoft.com/sharepoint/v3/contenttype/forms"/>
  </ds:schemaRefs>
</ds:datastoreItem>
</file>

<file path=customXml/itemProps4.xml><?xml version="1.0" encoding="utf-8"?>
<ds:datastoreItem xmlns:ds="http://schemas.openxmlformats.org/officeDocument/2006/customXml" ds:itemID="{8635A5A0-11FB-4CCB-B7E0-BFF7F01446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1032</Words>
  <Characters>5888</Characters>
  <Application>Microsoft Office Word</Application>
  <DocSecurity>0</DocSecurity>
  <Lines>49</Lines>
  <Paragraphs>13</Paragraphs>
  <ScaleCrop>false</ScaleCrop>
  <Company>Te Tari Taiwhenua Department of Internal Affairs</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Vincent</dc:creator>
  <cp:keywords/>
  <dc:description/>
  <cp:lastModifiedBy>Nick Vincent</cp:lastModifiedBy>
  <cp:revision>1</cp:revision>
  <cp:lastPrinted>2014-03-27T01:47:00Z</cp:lastPrinted>
  <dcterms:created xsi:type="dcterms:W3CDTF">2024-05-16T05:41:00Z</dcterms:created>
  <dcterms:modified xsi:type="dcterms:W3CDTF">2024-05-16T05:42:00Z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0x0101000D01036E65E8724482AE883717927971</vt:lpwstr>
  </property>
</Properties>
</file>