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485DA" w14:textId="77777777" w:rsidR="003E082A" w:rsidRDefault="003E082A" w:rsidP="003E082A">
      <w:pPr>
        <w:pStyle w:val="NormalWeb"/>
        <w:rPr>
          <w:sz w:val="27"/>
          <w:szCs w:val="27"/>
        </w:rPr>
      </w:pPr>
      <w:r>
        <w:rPr>
          <w:rFonts w:asciiTheme="minorHAnsi" w:eastAsia="Calibri" w:hAnsiTheme="minorHAnsi" w:cstheme="minorHAnsi"/>
          <w:b/>
          <w:sz w:val="28"/>
          <w:szCs w:val="26"/>
        </w:rPr>
        <w:t>INFORMATION SHEET</w:t>
      </w:r>
      <w:r>
        <w:rPr>
          <w:sz w:val="27"/>
          <w:szCs w:val="27"/>
        </w:rPr>
        <w:t xml:space="preserve"> </w:t>
      </w:r>
    </w:p>
    <w:p w14:paraId="50FFDEBA" w14:textId="77777777" w:rsidR="003E082A" w:rsidRDefault="003E082A" w:rsidP="003E082A">
      <w:pPr>
        <w:pStyle w:val="Heading2"/>
        <w:rPr>
          <w:rFonts w:asciiTheme="minorHAnsi" w:hAnsiTheme="minorHAnsi" w:cstheme="minorHAnsi"/>
          <w:color w:val="auto"/>
        </w:rPr>
      </w:pPr>
      <w:r>
        <w:rPr>
          <w:rFonts w:asciiTheme="minorHAnsi" w:hAnsiTheme="minorHAnsi" w:cstheme="minorHAnsi"/>
          <w:color w:val="auto"/>
        </w:rPr>
        <w:t>Lottery Community Committees</w:t>
      </w:r>
    </w:p>
    <w:p w14:paraId="031059F2" w14:textId="77777777" w:rsidR="003E082A" w:rsidRDefault="003E082A" w:rsidP="003E082A">
      <w:pPr>
        <w:pStyle w:val="Heading3"/>
        <w:spacing w:before="120"/>
        <w:rPr>
          <w:rFonts w:asciiTheme="minorHAnsi" w:hAnsiTheme="minorHAnsi" w:cstheme="minorHAnsi"/>
          <w:color w:val="auto"/>
        </w:rPr>
      </w:pPr>
      <w:r>
        <w:rPr>
          <w:rFonts w:asciiTheme="minorHAnsi" w:hAnsiTheme="minorHAnsi" w:cstheme="minorHAnsi"/>
          <w:color w:val="auto"/>
        </w:rPr>
        <w:t>Purpose</w:t>
      </w:r>
    </w:p>
    <w:p w14:paraId="25573A42" w14:textId="77777777" w:rsidR="003E082A" w:rsidRDefault="003E082A" w:rsidP="003E082A">
      <w:pPr>
        <w:spacing w:after="120"/>
        <w:rPr>
          <w:rFonts w:asciiTheme="minorHAnsi" w:hAnsiTheme="minorHAnsi" w:cstheme="minorHAnsi"/>
        </w:rPr>
      </w:pPr>
      <w:r>
        <w:rPr>
          <w:rFonts w:asciiTheme="minorHAnsi" w:hAnsiTheme="minorHAnsi" w:cstheme="minorHAnsi"/>
        </w:rPr>
        <w:t xml:space="preserve">There are 11 regionally-based Lottery community distribution committees. These committees consider applications for funding from the profits of New Zealand Lotteries. The following committees are part of the call for nominations in this year’s appointment round: </w:t>
      </w:r>
    </w:p>
    <w:tbl>
      <w:tblPr>
        <w:tblStyle w:val="DIATable"/>
        <w:tblW w:w="9091" w:type="dxa"/>
        <w:tblLook w:val="04A0" w:firstRow="1" w:lastRow="0" w:firstColumn="1" w:lastColumn="0" w:noHBand="0" w:noVBand="1"/>
      </w:tblPr>
      <w:tblGrid>
        <w:gridCol w:w="4464"/>
        <w:gridCol w:w="4627"/>
      </w:tblGrid>
      <w:tr w:rsidR="003E082A" w14:paraId="504A80C8" w14:textId="77777777" w:rsidTr="003E082A">
        <w:trPr>
          <w:cnfStyle w:val="100000000000" w:firstRow="1" w:lastRow="0" w:firstColumn="0" w:lastColumn="0" w:oddVBand="0" w:evenVBand="0" w:oddHBand="0" w:evenHBand="0" w:firstRowFirstColumn="0" w:firstRowLastColumn="0" w:lastRowFirstColumn="0" w:lastRowLastColumn="0"/>
        </w:trPr>
        <w:tc>
          <w:tcPr>
            <w:tcW w:w="4464" w:type="dxa"/>
            <w:tcBorders>
              <w:top w:val="nil"/>
              <w:left w:val="nil"/>
              <w:bottom w:val="single" w:sz="6" w:space="0" w:color="1F546B" w:themeColor="text2"/>
            </w:tcBorders>
          </w:tcPr>
          <w:p w14:paraId="1E62C94D" w14:textId="77777777" w:rsidR="003E082A" w:rsidRDefault="003E082A">
            <w:pPr>
              <w:spacing w:before="40" w:after="120"/>
              <w:rPr>
                <w:rFonts w:asciiTheme="minorHAnsi" w:hAnsiTheme="minorHAnsi" w:cstheme="minorHAnsi"/>
                <w:color w:val="auto"/>
              </w:rPr>
            </w:pPr>
          </w:p>
        </w:tc>
        <w:tc>
          <w:tcPr>
            <w:tcW w:w="4627" w:type="dxa"/>
            <w:tcBorders>
              <w:top w:val="nil"/>
              <w:bottom w:val="single" w:sz="6" w:space="0" w:color="1F546B" w:themeColor="text2"/>
              <w:right w:val="nil"/>
            </w:tcBorders>
          </w:tcPr>
          <w:p w14:paraId="4ED158DA" w14:textId="77777777" w:rsidR="003E082A" w:rsidRDefault="003E082A">
            <w:pPr>
              <w:spacing w:before="40" w:after="120"/>
              <w:rPr>
                <w:rFonts w:asciiTheme="minorHAnsi" w:hAnsiTheme="minorHAnsi" w:cstheme="minorHAnsi"/>
                <w:color w:val="auto"/>
              </w:rPr>
            </w:pPr>
          </w:p>
        </w:tc>
      </w:tr>
      <w:tr w:rsidR="003E082A" w14:paraId="233E6284" w14:textId="77777777" w:rsidTr="003E082A">
        <w:tc>
          <w:tcPr>
            <w:tcW w:w="4464" w:type="dxa"/>
            <w:tcBorders>
              <w:top w:val="single" w:sz="6" w:space="0" w:color="1F546B" w:themeColor="text2"/>
              <w:left w:val="single" w:sz="12" w:space="0" w:color="1F546B" w:themeColor="text2"/>
              <w:bottom w:val="single" w:sz="12" w:space="0" w:color="1F546B" w:themeColor="text2"/>
              <w:right w:val="single" w:sz="6" w:space="0" w:color="1F546B" w:themeColor="text2"/>
            </w:tcBorders>
            <w:hideMark/>
          </w:tcPr>
          <w:p w14:paraId="553B4D79"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Bay of Plenty / Gisborne (2 members)</w:t>
            </w:r>
          </w:p>
          <w:p w14:paraId="5F180C79"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 xml:space="preserve">Canterbury / </w:t>
            </w:r>
            <w:proofErr w:type="spellStart"/>
            <w:r>
              <w:rPr>
                <w:rFonts w:asciiTheme="minorHAnsi" w:eastAsia="Times New Roman" w:hAnsiTheme="minorHAnsi" w:cstheme="minorHAnsi"/>
                <w:lang w:eastAsia="en-NZ"/>
              </w:rPr>
              <w:t>Kaikōura</w:t>
            </w:r>
            <w:proofErr w:type="spellEnd"/>
            <w:r>
              <w:rPr>
                <w:rFonts w:asciiTheme="minorHAnsi" w:eastAsia="Times New Roman" w:hAnsiTheme="minorHAnsi" w:cstheme="minorHAnsi"/>
                <w:lang w:eastAsia="en-NZ"/>
              </w:rPr>
              <w:t xml:space="preserve"> (1 member)</w:t>
            </w:r>
          </w:p>
          <w:p w14:paraId="38A35EEA"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Hawke’s Bay (1 member)</w:t>
            </w:r>
          </w:p>
          <w:p w14:paraId="6E7D127E"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proofErr w:type="spellStart"/>
            <w:r>
              <w:rPr>
                <w:rFonts w:asciiTheme="minorHAnsi" w:eastAsia="Times New Roman" w:hAnsiTheme="minorHAnsi" w:cstheme="minorHAnsi"/>
                <w:lang w:eastAsia="en-NZ"/>
              </w:rPr>
              <w:t>Manawatū</w:t>
            </w:r>
            <w:proofErr w:type="spellEnd"/>
            <w:r>
              <w:rPr>
                <w:rFonts w:asciiTheme="minorHAnsi" w:eastAsia="Times New Roman" w:hAnsiTheme="minorHAnsi" w:cstheme="minorHAnsi"/>
                <w:lang w:eastAsia="en-NZ"/>
              </w:rPr>
              <w:t xml:space="preserve"> / Whanganui (2 members)</w:t>
            </w:r>
          </w:p>
          <w:p w14:paraId="4F3B63A8"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Northland (1 member)</w:t>
            </w:r>
          </w:p>
        </w:tc>
        <w:tc>
          <w:tcPr>
            <w:tcW w:w="4627" w:type="dxa"/>
            <w:tcBorders>
              <w:top w:val="single" w:sz="6" w:space="0" w:color="1F546B" w:themeColor="text2"/>
              <w:left w:val="single" w:sz="6" w:space="0" w:color="1F546B" w:themeColor="text2"/>
              <w:bottom w:val="single" w:sz="12" w:space="0" w:color="1F546B" w:themeColor="text2"/>
              <w:right w:val="single" w:sz="12" w:space="0" w:color="1F546B" w:themeColor="text2"/>
            </w:tcBorders>
            <w:hideMark/>
          </w:tcPr>
          <w:p w14:paraId="346B15D9"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Otago / Southland (1 member)</w:t>
            </w:r>
          </w:p>
          <w:p w14:paraId="0B31FC4E"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proofErr w:type="gramStart"/>
            <w:r>
              <w:rPr>
                <w:rFonts w:asciiTheme="minorHAnsi" w:eastAsia="Times New Roman" w:hAnsiTheme="minorHAnsi" w:cstheme="minorHAnsi"/>
                <w:lang w:eastAsia="en-NZ"/>
              </w:rPr>
              <w:t>Taranaki  (</w:t>
            </w:r>
            <w:proofErr w:type="gramEnd"/>
            <w:r>
              <w:rPr>
                <w:rFonts w:asciiTheme="minorHAnsi" w:eastAsia="Times New Roman" w:hAnsiTheme="minorHAnsi" w:cstheme="minorHAnsi"/>
                <w:lang w:eastAsia="en-NZ"/>
              </w:rPr>
              <w:t>1 member)</w:t>
            </w:r>
          </w:p>
          <w:p w14:paraId="17A8E0FB"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Waikato (1 member)</w:t>
            </w:r>
          </w:p>
          <w:p w14:paraId="44CBA9D7"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Wellington / Wairarapa (1 member)</w:t>
            </w:r>
          </w:p>
          <w:p w14:paraId="543F80D6" w14:textId="77777777" w:rsidR="003E082A" w:rsidRDefault="003E082A" w:rsidP="003E082A">
            <w:pPr>
              <w:numPr>
                <w:ilvl w:val="0"/>
                <w:numId w:val="25"/>
              </w:numPr>
              <w:spacing w:before="100" w:beforeAutospacing="1" w:after="60"/>
              <w:ind w:left="714" w:hanging="357"/>
              <w:rPr>
                <w:rFonts w:asciiTheme="minorHAnsi" w:eastAsia="Times New Roman" w:hAnsiTheme="minorHAnsi" w:cstheme="minorHAnsi"/>
                <w:lang w:eastAsia="en-NZ"/>
              </w:rPr>
            </w:pPr>
            <w:r>
              <w:rPr>
                <w:rFonts w:asciiTheme="minorHAnsi" w:eastAsia="Times New Roman" w:hAnsiTheme="minorHAnsi" w:cstheme="minorHAnsi"/>
                <w:lang w:eastAsia="en-NZ"/>
              </w:rPr>
              <w:t xml:space="preserve">West Coast / Nelson / Marlborough </w:t>
            </w:r>
            <w:r>
              <w:rPr>
                <w:rFonts w:asciiTheme="minorHAnsi" w:eastAsia="Times New Roman" w:hAnsiTheme="minorHAnsi" w:cstheme="minorHAnsi"/>
                <w:lang w:eastAsia="en-NZ"/>
              </w:rPr>
              <w:br/>
              <w:t>(1 member)</w:t>
            </w:r>
          </w:p>
        </w:tc>
      </w:tr>
    </w:tbl>
    <w:p w14:paraId="2B563473"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Required skills and experience</w:t>
      </w:r>
    </w:p>
    <w:p w14:paraId="2526F918"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632ED4F9"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community groups;</w:t>
      </w:r>
    </w:p>
    <w:p w14:paraId="16AD4AB2"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management skills and or extensive business knowledge; </w:t>
      </w:r>
    </w:p>
    <w:p w14:paraId="11175A45"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grant distribution experience; and </w:t>
      </w:r>
    </w:p>
    <w:p w14:paraId="47EEC71B"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knowledge of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Māori including tikanga Māori.</w:t>
      </w:r>
    </w:p>
    <w:p w14:paraId="2E593FEF" w14:textId="77777777" w:rsidR="003E082A" w:rsidRDefault="003E082A" w:rsidP="003E082A">
      <w:pPr>
        <w:keepLines/>
        <w:spacing w:before="0" w:after="0"/>
        <w:rPr>
          <w:rFonts w:asciiTheme="minorHAnsi" w:hAnsiTheme="minorHAnsi" w:cstheme="minorHAnsi"/>
        </w:rPr>
      </w:pPr>
    </w:p>
    <w:p w14:paraId="30F68798" w14:textId="77777777" w:rsidR="003E082A" w:rsidRDefault="003E082A" w:rsidP="003E082A">
      <w:pPr>
        <w:spacing w:after="120"/>
        <w:rPr>
          <w:rFonts w:asciiTheme="minorHAnsi" w:hAnsiTheme="minorHAnsi" w:cstheme="minorHAnsi"/>
          <w:i/>
        </w:rPr>
      </w:pPr>
      <w:r>
        <w:rPr>
          <w:rFonts w:asciiTheme="minorHAnsi" w:hAnsiTheme="minorHAnsi" w:cstheme="minorHAnsi"/>
          <w:i/>
        </w:rPr>
        <w:t>Representational considerations for the 2022 recruitment round</w:t>
      </w:r>
    </w:p>
    <w:p w14:paraId="7CBCAEE7" w14:textId="77777777" w:rsidR="003E082A" w:rsidRDefault="003E082A" w:rsidP="003E082A">
      <w:pPr>
        <w:keepLines/>
        <w:numPr>
          <w:ilvl w:val="0"/>
          <w:numId w:val="26"/>
        </w:numPr>
        <w:shd w:val="clear" w:color="auto" w:fill="FFFFFF" w:themeFill="background1"/>
        <w:spacing w:before="0" w:after="0"/>
        <w:ind w:left="714" w:hanging="357"/>
        <w:rPr>
          <w:rFonts w:asciiTheme="minorHAnsi" w:hAnsiTheme="minorHAnsi" w:cstheme="minorHAnsi"/>
        </w:rPr>
      </w:pPr>
      <w:r>
        <w:rPr>
          <w:rFonts w:asciiTheme="minorHAnsi" w:hAnsiTheme="minorHAnsi" w:cstheme="minorHAnsi"/>
        </w:rPr>
        <w:t>Hawke’s Bay: representation from Central Hawke’s Bay and Pasifika representation;</w:t>
      </w:r>
    </w:p>
    <w:p w14:paraId="6D8EC834" w14:textId="77777777" w:rsidR="003E082A" w:rsidRDefault="003E082A" w:rsidP="003E082A">
      <w:pPr>
        <w:keepLines/>
        <w:numPr>
          <w:ilvl w:val="0"/>
          <w:numId w:val="26"/>
        </w:numPr>
        <w:shd w:val="clear" w:color="auto" w:fill="FFFFFF" w:themeFill="background1"/>
        <w:spacing w:before="0" w:after="0"/>
        <w:ind w:left="714" w:hanging="357"/>
        <w:rPr>
          <w:rFonts w:asciiTheme="minorHAnsi" w:hAnsiTheme="minorHAnsi" w:cstheme="minorHAnsi"/>
        </w:rPr>
      </w:pPr>
      <w:proofErr w:type="spellStart"/>
      <w:r>
        <w:rPr>
          <w:rFonts w:asciiTheme="minorHAnsi" w:hAnsiTheme="minorHAnsi" w:cstheme="minorHAnsi"/>
        </w:rPr>
        <w:t>Manawatū</w:t>
      </w:r>
      <w:proofErr w:type="spellEnd"/>
      <w:r>
        <w:rPr>
          <w:rFonts w:asciiTheme="minorHAnsi" w:hAnsiTheme="minorHAnsi" w:cstheme="minorHAnsi"/>
        </w:rPr>
        <w:t xml:space="preserve"> / Whanganui: Pasifika representation, representation from the Horowhenua;</w:t>
      </w:r>
    </w:p>
    <w:p w14:paraId="19A36F80" w14:textId="77777777" w:rsidR="003E082A" w:rsidRDefault="003E082A" w:rsidP="003E082A">
      <w:pPr>
        <w:keepLines/>
        <w:numPr>
          <w:ilvl w:val="0"/>
          <w:numId w:val="26"/>
        </w:numPr>
        <w:shd w:val="clear" w:color="auto" w:fill="FFFFFF" w:themeFill="background1"/>
        <w:spacing w:before="0" w:after="0"/>
        <w:ind w:left="714" w:hanging="357"/>
        <w:rPr>
          <w:rFonts w:asciiTheme="minorHAnsi" w:hAnsiTheme="minorHAnsi" w:cstheme="minorHAnsi"/>
        </w:rPr>
      </w:pPr>
      <w:r>
        <w:rPr>
          <w:rFonts w:asciiTheme="minorHAnsi" w:hAnsiTheme="minorHAnsi" w:cstheme="minorHAnsi"/>
        </w:rPr>
        <w:t>Northland: Pasifika representation;</w:t>
      </w:r>
    </w:p>
    <w:p w14:paraId="2DF937AD" w14:textId="77777777" w:rsidR="003E082A" w:rsidRDefault="003E082A" w:rsidP="003E082A">
      <w:pPr>
        <w:keepLines/>
        <w:numPr>
          <w:ilvl w:val="0"/>
          <w:numId w:val="26"/>
        </w:numPr>
        <w:shd w:val="clear" w:color="auto" w:fill="FFFFFF" w:themeFill="background1"/>
        <w:spacing w:before="0" w:after="0"/>
        <w:ind w:left="714" w:hanging="357"/>
        <w:rPr>
          <w:rFonts w:asciiTheme="minorHAnsi" w:hAnsiTheme="minorHAnsi" w:cstheme="minorHAnsi"/>
        </w:rPr>
      </w:pPr>
      <w:r>
        <w:rPr>
          <w:rFonts w:asciiTheme="minorHAnsi" w:hAnsiTheme="minorHAnsi" w:cstheme="minorHAnsi"/>
        </w:rPr>
        <w:t>Otago / Southland: representation from North Otago and Invercargill;</w:t>
      </w:r>
    </w:p>
    <w:p w14:paraId="4CD9A7D6" w14:textId="77777777" w:rsidR="003E082A" w:rsidRDefault="003E082A" w:rsidP="003E082A">
      <w:pPr>
        <w:keepLines/>
        <w:numPr>
          <w:ilvl w:val="0"/>
          <w:numId w:val="26"/>
        </w:numPr>
        <w:shd w:val="clear" w:color="auto" w:fill="FFFFFF" w:themeFill="background1"/>
        <w:spacing w:before="0" w:after="0"/>
        <w:ind w:left="714" w:hanging="357"/>
        <w:rPr>
          <w:rFonts w:asciiTheme="minorHAnsi" w:hAnsiTheme="minorHAnsi" w:cstheme="minorHAnsi"/>
        </w:rPr>
      </w:pPr>
      <w:r>
        <w:rPr>
          <w:rFonts w:asciiTheme="minorHAnsi" w:hAnsiTheme="minorHAnsi" w:cstheme="minorHAnsi"/>
        </w:rPr>
        <w:t>Taranaki: male candidates to provide gender balance; and</w:t>
      </w:r>
    </w:p>
    <w:p w14:paraId="55089B3A"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Waikato: male candidates to provide gender balance.</w:t>
      </w:r>
    </w:p>
    <w:p w14:paraId="4637DBC8"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Commitment</w:t>
      </w:r>
    </w:p>
    <w:p w14:paraId="67F76E15" w14:textId="77777777" w:rsidR="003E082A" w:rsidRDefault="003E082A" w:rsidP="003E082A">
      <w:pPr>
        <w:spacing w:after="120"/>
        <w:rPr>
          <w:rFonts w:asciiTheme="minorHAnsi" w:hAnsiTheme="minorHAnsi" w:cstheme="minorHAnsi"/>
        </w:rPr>
      </w:pPr>
      <w:r>
        <w:rPr>
          <w:rFonts w:asciiTheme="minorHAnsi" w:hAnsiTheme="minorHAnsi" w:cstheme="minorHAnsi"/>
        </w:rPr>
        <w:t xml:space="preserve">Members are usually required to attend two one-day meetings a year, generally in March and October. Prior to each meeting, members will usually spend up to eight hours in preparation work. </w:t>
      </w:r>
    </w:p>
    <w:p w14:paraId="1A470116"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Remuneration</w:t>
      </w:r>
    </w:p>
    <w:p w14:paraId="31015A39"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paid a $232 meeting fee for each full day meeting, up to $116 as a reading fee, and $58.00 for conference calls. The Presiding Member is paid $313 for each full day meeting, up to $156.50 as a reading fee, and $78.25 for conference calls.</w:t>
      </w:r>
    </w:p>
    <w:p w14:paraId="1BEEFD26" w14:textId="77777777" w:rsidR="003E082A" w:rsidRDefault="003E082A" w:rsidP="003E082A">
      <w:pPr>
        <w:spacing w:after="120"/>
        <w:rPr>
          <w:rFonts w:asciiTheme="minorHAnsi" w:hAnsiTheme="minorHAnsi" w:cstheme="minorHAnsi"/>
        </w:rPr>
      </w:pPr>
      <w:r>
        <w:rPr>
          <w:rFonts w:asciiTheme="minorHAnsi" w:hAnsiTheme="minorHAnsi" w:cstheme="minorHAnsi"/>
        </w:rPr>
        <w:br w:type="page"/>
      </w:r>
    </w:p>
    <w:p w14:paraId="3A725660"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lastRenderedPageBreak/>
        <w:t>INFORMATION SHEET</w:t>
      </w:r>
    </w:p>
    <w:p w14:paraId="4F6863DC" w14:textId="77777777" w:rsidR="003E082A" w:rsidRDefault="003E082A" w:rsidP="003E082A">
      <w:pPr>
        <w:pStyle w:val="Heading2"/>
        <w:rPr>
          <w:rFonts w:asciiTheme="minorHAnsi" w:hAnsiTheme="minorHAnsi" w:cstheme="minorHAnsi"/>
          <w:color w:val="auto"/>
        </w:rPr>
      </w:pPr>
      <w:r>
        <w:rPr>
          <w:rFonts w:asciiTheme="minorHAnsi" w:hAnsiTheme="minorHAnsi" w:cstheme="minorHAnsi"/>
          <w:color w:val="auto"/>
        </w:rPr>
        <w:t>Lottery Community Facilities Committee and Lottery Significant Projects Committee</w:t>
      </w:r>
    </w:p>
    <w:p w14:paraId="72CBD798" w14:textId="77777777" w:rsidR="003E082A" w:rsidRDefault="003E082A" w:rsidP="003E082A">
      <w:pPr>
        <w:pStyle w:val="Heading3"/>
        <w:spacing w:before="120"/>
        <w:rPr>
          <w:rFonts w:asciiTheme="minorHAnsi" w:hAnsiTheme="minorHAnsi" w:cstheme="minorHAnsi"/>
          <w:color w:val="auto"/>
        </w:rPr>
      </w:pPr>
      <w:r>
        <w:rPr>
          <w:rFonts w:asciiTheme="minorHAnsi" w:hAnsiTheme="minorHAnsi" w:cstheme="minorHAnsi"/>
          <w:color w:val="auto"/>
        </w:rPr>
        <w:t>Purpose</w:t>
      </w:r>
    </w:p>
    <w:p w14:paraId="111AD8E9" w14:textId="77777777" w:rsidR="003E082A" w:rsidRDefault="003E082A" w:rsidP="003E082A">
      <w:pPr>
        <w:spacing w:after="120"/>
        <w:rPr>
          <w:rFonts w:asciiTheme="minorHAnsi" w:hAnsiTheme="minorHAnsi" w:cstheme="minorHAnsi"/>
        </w:rPr>
      </w:pPr>
      <w:r>
        <w:rPr>
          <w:rFonts w:asciiTheme="minorHAnsi" w:hAnsiTheme="minorHAnsi" w:cstheme="minorHAnsi"/>
        </w:rPr>
        <w:t xml:space="preserve">These two committees share the same members and consider applications for: </w:t>
      </w:r>
    </w:p>
    <w:p w14:paraId="4E000B54" w14:textId="77777777" w:rsidR="003E082A" w:rsidRDefault="003E082A" w:rsidP="003E082A">
      <w:pPr>
        <w:numPr>
          <w:ilvl w:val="0"/>
          <w:numId w:val="25"/>
        </w:numPr>
        <w:spacing w:before="0" w:after="100" w:afterAutospacing="1"/>
        <w:ind w:left="714" w:hanging="357"/>
        <w:rPr>
          <w:rFonts w:asciiTheme="minorHAnsi" w:eastAsia="Times New Roman" w:hAnsiTheme="minorHAnsi" w:cstheme="minorHAnsi"/>
          <w:lang w:eastAsia="en-NZ"/>
        </w:rPr>
      </w:pPr>
      <w:r>
        <w:rPr>
          <w:rFonts w:asciiTheme="minorHAnsi" w:eastAsia="Times New Roman" w:hAnsiTheme="minorHAnsi" w:cstheme="minorHAnsi"/>
          <w:lang w:eastAsia="en-NZ"/>
        </w:rPr>
        <w:t>Community Facilities – grants to support organisations to build new community facilities or to improve existing community facilities; and</w:t>
      </w:r>
    </w:p>
    <w:p w14:paraId="72BF878E"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Significant Projects – support grants for major community-based capital expenditure projects.</w:t>
      </w:r>
    </w:p>
    <w:p w14:paraId="38C03DF5"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Required skills and experience</w:t>
      </w:r>
    </w:p>
    <w:p w14:paraId="4215C515"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583691BE"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a community group/s;</w:t>
      </w:r>
    </w:p>
    <w:p w14:paraId="4081FB11"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management skills and/or extensive business knowledge; </w:t>
      </w:r>
    </w:p>
    <w:p w14:paraId="55899B3C"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grant distribution experience; and</w:t>
      </w:r>
    </w:p>
    <w:p w14:paraId="1B152165"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knowledge of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Māori including tikanga Māori.</w:t>
      </w:r>
    </w:p>
    <w:p w14:paraId="14AED5F1" w14:textId="77777777" w:rsidR="003E082A" w:rsidRDefault="003E082A" w:rsidP="003E082A">
      <w:pPr>
        <w:spacing w:before="0" w:after="0"/>
        <w:rPr>
          <w:rFonts w:asciiTheme="minorHAnsi" w:hAnsiTheme="minorHAnsi" w:cstheme="minorHAnsi"/>
          <w:i/>
        </w:rPr>
      </w:pPr>
      <w:r>
        <w:rPr>
          <w:rFonts w:asciiTheme="minorHAnsi" w:hAnsiTheme="minorHAnsi" w:cstheme="minorHAnsi"/>
          <w:i/>
        </w:rPr>
        <w:t>Technical</w:t>
      </w:r>
    </w:p>
    <w:p w14:paraId="12524583"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experience and knowledge of capital works; and</w:t>
      </w:r>
    </w:p>
    <w:p w14:paraId="79416696"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experience and knowledge of community development.</w:t>
      </w:r>
    </w:p>
    <w:p w14:paraId="5D098AF1"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Commitment</w:t>
      </w:r>
    </w:p>
    <w:p w14:paraId="52242288" w14:textId="77777777" w:rsidR="003E082A" w:rsidRDefault="003E082A" w:rsidP="003E082A">
      <w:pPr>
        <w:spacing w:before="0" w:after="0"/>
        <w:rPr>
          <w:rFonts w:asciiTheme="minorHAnsi" w:hAnsiTheme="minorHAnsi" w:cstheme="minorHAnsi"/>
        </w:rPr>
      </w:pPr>
      <w:r>
        <w:rPr>
          <w:rFonts w:asciiTheme="minorHAnsi" w:hAnsiTheme="minorHAnsi" w:cstheme="minorHAnsi"/>
        </w:rPr>
        <w:t>National Community Facilities applications are generally considered twice a year. Significant Project applications are generally considered once a year. Members usually spend up to eight hours preparing for each meeting.</w:t>
      </w:r>
    </w:p>
    <w:p w14:paraId="4F4D9339"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Remuneration</w:t>
      </w:r>
    </w:p>
    <w:p w14:paraId="6E15C70C"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paid a $232 meeting fee for each full day meeting, up to $116 as a reading fee, and $58.00 for conference calls. The Presiding Member is paid $313 for each full day meeting, up to $156.50 as a reading fee, and $78.25 for conference calls.</w:t>
      </w:r>
    </w:p>
    <w:p w14:paraId="5482134A" w14:textId="77777777" w:rsidR="003E082A" w:rsidRDefault="003E082A" w:rsidP="003E082A">
      <w:pPr>
        <w:spacing w:before="0" w:after="0"/>
        <w:rPr>
          <w:rFonts w:asciiTheme="minorHAnsi" w:hAnsiTheme="minorHAnsi" w:cstheme="minorHAnsi"/>
        </w:rPr>
      </w:pPr>
    </w:p>
    <w:p w14:paraId="1D2AE882" w14:textId="77777777" w:rsidR="003E082A" w:rsidRDefault="003E082A" w:rsidP="003E082A">
      <w:pPr>
        <w:spacing w:before="0" w:after="0"/>
        <w:rPr>
          <w:rFonts w:asciiTheme="minorHAnsi" w:hAnsiTheme="minorHAnsi" w:cstheme="minorHAnsi"/>
        </w:rPr>
      </w:pPr>
    </w:p>
    <w:p w14:paraId="122688EA" w14:textId="77777777" w:rsidR="003E082A" w:rsidRDefault="003E082A" w:rsidP="003E082A">
      <w:pPr>
        <w:spacing w:before="0" w:after="0"/>
        <w:rPr>
          <w:rFonts w:ascii="Times New Roman" w:eastAsia="Times New Roman" w:hAnsi="Times New Roman"/>
          <w:sz w:val="27"/>
          <w:szCs w:val="27"/>
          <w:lang w:eastAsia="en-NZ"/>
        </w:rPr>
      </w:pPr>
      <w:r>
        <w:rPr>
          <w:sz w:val="27"/>
          <w:szCs w:val="27"/>
        </w:rPr>
        <w:br w:type="page"/>
      </w:r>
    </w:p>
    <w:p w14:paraId="6B5F29A2"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lastRenderedPageBreak/>
        <w:t>INFORMATION SHEET</w:t>
      </w:r>
    </w:p>
    <w:p w14:paraId="3CCD27A2" w14:textId="77777777" w:rsidR="003E082A" w:rsidRDefault="003E082A" w:rsidP="003E082A">
      <w:pPr>
        <w:pStyle w:val="Heading2"/>
        <w:rPr>
          <w:rFonts w:asciiTheme="minorHAnsi" w:hAnsiTheme="minorHAnsi" w:cstheme="minorHAnsi"/>
          <w:color w:val="auto"/>
        </w:rPr>
      </w:pPr>
      <w:r>
        <w:rPr>
          <w:rFonts w:asciiTheme="minorHAnsi" w:hAnsiTheme="minorHAnsi" w:cstheme="minorHAnsi"/>
          <w:color w:val="auto"/>
        </w:rPr>
        <w:t>Lottery Environmental and Heritage Committee</w:t>
      </w:r>
    </w:p>
    <w:p w14:paraId="25764E64" w14:textId="77777777" w:rsidR="003E082A" w:rsidRDefault="003E082A" w:rsidP="003E082A">
      <w:pPr>
        <w:pStyle w:val="Heading3"/>
        <w:spacing w:before="240"/>
        <w:rPr>
          <w:rFonts w:asciiTheme="minorHAnsi" w:hAnsiTheme="minorHAnsi" w:cstheme="minorHAnsi"/>
          <w:color w:val="auto"/>
        </w:rPr>
      </w:pPr>
      <w:r>
        <w:rPr>
          <w:rFonts w:asciiTheme="minorHAnsi" w:hAnsiTheme="minorHAnsi" w:cstheme="minorHAnsi"/>
          <w:color w:val="auto"/>
        </w:rPr>
        <w:t>Purpose</w:t>
      </w:r>
    </w:p>
    <w:p w14:paraId="46AA1251" w14:textId="77777777" w:rsidR="003E082A" w:rsidRDefault="003E082A" w:rsidP="003E082A">
      <w:pPr>
        <w:pStyle w:val="NormalWeb"/>
        <w:spacing w:after="120"/>
        <w:rPr>
          <w:rFonts w:asciiTheme="minorHAnsi" w:eastAsia="Calibri" w:hAnsiTheme="minorHAnsi" w:cstheme="minorHAnsi"/>
        </w:rPr>
      </w:pPr>
      <w:r>
        <w:rPr>
          <w:rFonts w:asciiTheme="minorHAnsi" w:eastAsia="Calibri" w:hAnsiTheme="minorHAnsi" w:cstheme="minorHAnsi"/>
        </w:rPr>
        <w:t xml:space="preserve">The Lottery Environment and Heritage Committee considers grants for projects which promote, protect and conserve New Zealand's natural, physical and cultural heritage: </w:t>
      </w:r>
    </w:p>
    <w:p w14:paraId="058D8BEA"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native flora and fauna regeneration projects; </w:t>
      </w:r>
    </w:p>
    <w:p w14:paraId="223D455C"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captive breeding programmes including animal release programmes; </w:t>
      </w:r>
    </w:p>
    <w:p w14:paraId="239A9A7D"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pest and predator eradication programmes; </w:t>
      </w:r>
    </w:p>
    <w:p w14:paraId="7D256C7F"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historical publications and oral histories; </w:t>
      </w:r>
    </w:p>
    <w:p w14:paraId="1FC04218"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conservation of moveable cultural property; </w:t>
      </w:r>
    </w:p>
    <w:p w14:paraId="2DB4533C"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museum, </w:t>
      </w:r>
      <w:proofErr w:type="spellStart"/>
      <w:r>
        <w:rPr>
          <w:rFonts w:asciiTheme="minorHAnsi" w:hAnsiTheme="minorHAnsi" w:cstheme="minorHAnsi"/>
        </w:rPr>
        <w:t>whare</w:t>
      </w:r>
      <w:proofErr w:type="spellEnd"/>
      <w:r>
        <w:rPr>
          <w:rFonts w:asciiTheme="minorHAnsi" w:hAnsiTheme="minorHAnsi" w:cstheme="minorHAnsi"/>
        </w:rPr>
        <w:t xml:space="preserve"> taonga, archive facility and art gallery capital works; and</w:t>
      </w:r>
    </w:p>
    <w:p w14:paraId="79E9E754"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conservation of historic buildings, structures, rolling stock, archaeological sites and </w:t>
      </w:r>
      <w:proofErr w:type="spellStart"/>
      <w:r>
        <w:rPr>
          <w:rFonts w:asciiTheme="minorHAnsi" w:hAnsiTheme="minorHAnsi" w:cstheme="minorHAnsi"/>
        </w:rPr>
        <w:t>Wahi</w:t>
      </w:r>
      <w:proofErr w:type="spellEnd"/>
      <w:r>
        <w:rPr>
          <w:rFonts w:asciiTheme="minorHAnsi" w:hAnsiTheme="minorHAnsi" w:cstheme="minorHAnsi"/>
        </w:rPr>
        <w:t xml:space="preserve"> Tapu.</w:t>
      </w:r>
    </w:p>
    <w:p w14:paraId="1D5C8D1C" w14:textId="77777777" w:rsidR="003E082A" w:rsidRDefault="003E082A" w:rsidP="003E082A">
      <w:pPr>
        <w:pStyle w:val="Heading3"/>
        <w:spacing w:before="240"/>
        <w:rPr>
          <w:rFonts w:asciiTheme="minorHAnsi" w:hAnsiTheme="minorHAnsi" w:cstheme="minorHAnsi"/>
          <w:color w:val="auto"/>
        </w:rPr>
      </w:pPr>
      <w:r>
        <w:rPr>
          <w:rFonts w:asciiTheme="minorHAnsi" w:hAnsiTheme="minorHAnsi" w:cstheme="minorHAnsi"/>
          <w:color w:val="auto"/>
        </w:rPr>
        <w:t>Skills</w:t>
      </w:r>
    </w:p>
    <w:p w14:paraId="029E2DF0"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0954FD99"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a community group/s;</w:t>
      </w:r>
    </w:p>
    <w:p w14:paraId="1C918CE9"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management skills and/or extensive business knowledge;</w:t>
      </w:r>
    </w:p>
    <w:p w14:paraId="16D78534"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grant distribution experience; and</w:t>
      </w:r>
    </w:p>
    <w:p w14:paraId="651DD9D1" w14:textId="77777777" w:rsidR="003E082A" w:rsidRDefault="003E082A" w:rsidP="003E082A">
      <w:pPr>
        <w:keepLines/>
        <w:numPr>
          <w:ilvl w:val="0"/>
          <w:numId w:val="26"/>
        </w:numPr>
        <w:spacing w:before="0" w:after="120"/>
        <w:ind w:left="714" w:hanging="357"/>
        <w:rPr>
          <w:rFonts w:asciiTheme="minorHAnsi" w:hAnsiTheme="minorHAnsi" w:cstheme="minorHAnsi"/>
        </w:rPr>
      </w:pPr>
      <w:r>
        <w:rPr>
          <w:rFonts w:asciiTheme="minorHAnsi" w:hAnsiTheme="minorHAnsi" w:cstheme="minorHAnsi"/>
        </w:rPr>
        <w:t xml:space="preserve">knowledge of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Māori including tikanga Māori.</w:t>
      </w:r>
    </w:p>
    <w:p w14:paraId="453A18C8" w14:textId="77777777" w:rsidR="003E082A" w:rsidRDefault="003E082A" w:rsidP="003E082A">
      <w:pPr>
        <w:spacing w:after="120"/>
        <w:rPr>
          <w:rFonts w:asciiTheme="minorHAnsi" w:hAnsiTheme="minorHAnsi" w:cstheme="minorHAnsi"/>
          <w:i/>
        </w:rPr>
      </w:pPr>
      <w:r>
        <w:rPr>
          <w:rFonts w:asciiTheme="minorHAnsi" w:hAnsiTheme="minorHAnsi" w:cstheme="minorHAnsi"/>
          <w:i/>
        </w:rPr>
        <w:t>Specialised technical knowledge</w:t>
      </w:r>
    </w:p>
    <w:p w14:paraId="60D57763"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an understanding of the natural, physical and cultural heritage of New Zealand including Māori cultural perspectives;</w:t>
      </w:r>
    </w:p>
    <w:p w14:paraId="7851FCC9"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knowledge of heritage building restoration; and</w:t>
      </w:r>
    </w:p>
    <w:p w14:paraId="7C5B9377"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knowledge of environmental restoration.</w:t>
      </w:r>
    </w:p>
    <w:p w14:paraId="60354486" w14:textId="77777777" w:rsidR="003E082A" w:rsidRDefault="003E082A" w:rsidP="003E082A">
      <w:pPr>
        <w:spacing w:after="0"/>
        <w:rPr>
          <w:rFonts w:asciiTheme="minorHAnsi" w:hAnsiTheme="minorHAnsi" w:cstheme="minorHAnsi"/>
          <w:i/>
        </w:rPr>
      </w:pPr>
      <w:r>
        <w:rPr>
          <w:rFonts w:asciiTheme="minorHAnsi" w:hAnsiTheme="minorHAnsi" w:cstheme="minorHAnsi"/>
          <w:i/>
        </w:rPr>
        <w:t>Representational considerations for the 2022 recruitment round</w:t>
      </w:r>
    </w:p>
    <w:p w14:paraId="7692B21A" w14:textId="77777777" w:rsidR="003E082A" w:rsidRDefault="003E082A" w:rsidP="003E082A">
      <w:pPr>
        <w:keepLines/>
        <w:numPr>
          <w:ilvl w:val="0"/>
          <w:numId w:val="26"/>
        </w:numPr>
        <w:spacing w:after="0"/>
        <w:ind w:left="714" w:hanging="357"/>
        <w:rPr>
          <w:rFonts w:asciiTheme="minorHAnsi" w:hAnsiTheme="minorHAnsi" w:cstheme="minorHAnsi"/>
        </w:rPr>
      </w:pPr>
      <w:r>
        <w:rPr>
          <w:rFonts w:asciiTheme="minorHAnsi" w:hAnsiTheme="minorHAnsi" w:cstheme="minorHAnsi"/>
        </w:rPr>
        <w:t>Māori representation; and</w:t>
      </w:r>
    </w:p>
    <w:p w14:paraId="74C77F16" w14:textId="77777777" w:rsidR="003E082A" w:rsidRDefault="003E082A" w:rsidP="003E082A">
      <w:pPr>
        <w:keepLines/>
        <w:numPr>
          <w:ilvl w:val="0"/>
          <w:numId w:val="26"/>
        </w:numPr>
        <w:spacing w:before="0" w:after="120"/>
        <w:ind w:left="714" w:hanging="357"/>
        <w:rPr>
          <w:rFonts w:asciiTheme="minorHAnsi" w:hAnsiTheme="minorHAnsi" w:cstheme="minorHAnsi"/>
        </w:rPr>
      </w:pPr>
      <w:r>
        <w:rPr>
          <w:rFonts w:asciiTheme="minorHAnsi" w:hAnsiTheme="minorHAnsi" w:cstheme="minorHAnsi"/>
        </w:rPr>
        <w:t>Male candidates.</w:t>
      </w:r>
    </w:p>
    <w:p w14:paraId="246361B6" w14:textId="77777777" w:rsidR="003E082A" w:rsidRDefault="003E082A" w:rsidP="003E082A">
      <w:pPr>
        <w:pStyle w:val="Heading3"/>
        <w:spacing w:before="240"/>
        <w:rPr>
          <w:rFonts w:asciiTheme="minorHAnsi" w:hAnsiTheme="minorHAnsi" w:cstheme="minorHAnsi"/>
          <w:color w:val="auto"/>
        </w:rPr>
      </w:pPr>
      <w:r>
        <w:rPr>
          <w:rFonts w:asciiTheme="minorHAnsi" w:hAnsiTheme="minorHAnsi" w:cstheme="minorHAnsi"/>
          <w:color w:val="auto"/>
        </w:rPr>
        <w:t>Commitment</w:t>
      </w:r>
    </w:p>
    <w:p w14:paraId="13A83A31" w14:textId="77777777" w:rsidR="003E082A" w:rsidRDefault="003E082A" w:rsidP="003E082A">
      <w:pPr>
        <w:spacing w:before="0" w:after="0"/>
        <w:rPr>
          <w:rFonts w:asciiTheme="minorHAnsi" w:hAnsiTheme="minorHAnsi" w:cstheme="minorHAnsi"/>
        </w:rPr>
      </w:pPr>
      <w:r>
        <w:rPr>
          <w:rFonts w:asciiTheme="minorHAnsi" w:hAnsiTheme="minorHAnsi" w:cstheme="minorHAnsi"/>
        </w:rPr>
        <w:t>The Committee usually holds three one or two-day meetings per year. Members usually spend up to eight hours preparing for each meeting.</w:t>
      </w:r>
    </w:p>
    <w:p w14:paraId="37CD30AF" w14:textId="77777777" w:rsidR="003E082A" w:rsidRDefault="003E082A" w:rsidP="003E082A">
      <w:pPr>
        <w:pStyle w:val="Heading3"/>
        <w:spacing w:before="240"/>
        <w:rPr>
          <w:rFonts w:asciiTheme="minorHAnsi" w:hAnsiTheme="minorHAnsi" w:cstheme="minorHAnsi"/>
          <w:color w:val="auto"/>
        </w:rPr>
      </w:pPr>
      <w:r>
        <w:rPr>
          <w:rFonts w:asciiTheme="minorHAnsi" w:hAnsiTheme="minorHAnsi" w:cstheme="minorHAnsi"/>
          <w:color w:val="auto"/>
        </w:rPr>
        <w:t>Remuneration</w:t>
      </w:r>
    </w:p>
    <w:p w14:paraId="55D17CF8"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paid a $232 meeting fee for each full day meeting, up to $116 as a reading fee, and $58.00 for conference calls. The Presiding Member is paid $313 for each full day meeting, up to $156.50 as a reading fee, and $78.25 for conference calls.</w:t>
      </w:r>
    </w:p>
    <w:p w14:paraId="60B4164D" w14:textId="77777777" w:rsidR="003E082A" w:rsidRDefault="003E082A" w:rsidP="003E082A">
      <w:pPr>
        <w:spacing w:before="0" w:after="0"/>
        <w:rPr>
          <w:rFonts w:asciiTheme="minorHAnsi" w:hAnsiTheme="minorHAnsi" w:cstheme="minorHAnsi"/>
        </w:rPr>
      </w:pPr>
    </w:p>
    <w:p w14:paraId="77C86A80" w14:textId="77777777" w:rsidR="003E082A" w:rsidRDefault="003E082A" w:rsidP="003E082A">
      <w:pPr>
        <w:spacing w:before="0" w:after="0"/>
        <w:rPr>
          <w:rFonts w:asciiTheme="minorHAnsi" w:hAnsiTheme="minorHAnsi" w:cstheme="minorHAnsi"/>
        </w:rPr>
      </w:pPr>
    </w:p>
    <w:p w14:paraId="5EAAAB3B" w14:textId="77777777" w:rsidR="003E082A" w:rsidRDefault="003E082A" w:rsidP="003E082A">
      <w:pPr>
        <w:spacing w:before="0" w:after="0"/>
        <w:rPr>
          <w:rFonts w:asciiTheme="minorHAnsi" w:hAnsiTheme="minorHAnsi" w:cstheme="minorHAnsi"/>
        </w:rPr>
      </w:pPr>
      <w:r>
        <w:rPr>
          <w:rFonts w:asciiTheme="minorHAnsi" w:hAnsiTheme="minorHAnsi" w:cstheme="minorHAnsi"/>
        </w:rPr>
        <w:br w:type="page"/>
      </w:r>
    </w:p>
    <w:p w14:paraId="5477E4A7" w14:textId="77777777" w:rsidR="003E082A" w:rsidRDefault="003E082A" w:rsidP="003E082A">
      <w:pPr>
        <w:pStyle w:val="Heading3"/>
        <w:rPr>
          <w:color w:val="auto"/>
        </w:rPr>
      </w:pPr>
      <w:r>
        <w:rPr>
          <w:color w:val="auto"/>
        </w:rPr>
        <w:lastRenderedPageBreak/>
        <w:t>INFORMATION SHEET</w:t>
      </w:r>
    </w:p>
    <w:p w14:paraId="168BBBEE" w14:textId="77777777" w:rsidR="003E082A" w:rsidRDefault="003E082A" w:rsidP="003E082A">
      <w:pPr>
        <w:pStyle w:val="Heading2"/>
        <w:rPr>
          <w:color w:val="auto"/>
        </w:rPr>
      </w:pPr>
      <w:r>
        <w:rPr>
          <w:color w:val="auto"/>
        </w:rPr>
        <w:t>Lottery Individuals with Disabilities Committee</w:t>
      </w:r>
    </w:p>
    <w:p w14:paraId="09B54419" w14:textId="77777777" w:rsidR="003E082A" w:rsidRDefault="003E082A" w:rsidP="003E082A">
      <w:pPr>
        <w:pStyle w:val="Heading3"/>
        <w:rPr>
          <w:color w:val="auto"/>
        </w:rPr>
      </w:pPr>
      <w:r>
        <w:rPr>
          <w:color w:val="auto"/>
        </w:rPr>
        <w:t>Purpose</w:t>
      </w:r>
    </w:p>
    <w:p w14:paraId="0A023420" w14:textId="77777777" w:rsidR="003E082A" w:rsidRDefault="003E082A" w:rsidP="003E082A">
      <w:pPr>
        <w:spacing w:before="0" w:after="0"/>
        <w:rPr>
          <w:rFonts w:asciiTheme="minorHAnsi" w:hAnsiTheme="minorHAnsi" w:cstheme="minorHAnsi"/>
        </w:rPr>
      </w:pPr>
      <w:r>
        <w:rPr>
          <w:rFonts w:asciiTheme="minorHAnsi" w:hAnsiTheme="minorHAnsi" w:cstheme="minorHAnsi"/>
        </w:rPr>
        <w:t>The Committee allocates grants for mobility and communication equipment to help people with disabilities achieve independence and gain access to the community. This can include assistance dogs, communication equipment, vehicles, vehicle modifications, scooters and other mobility equipment.</w:t>
      </w:r>
    </w:p>
    <w:p w14:paraId="11965637" w14:textId="77777777" w:rsidR="003E082A" w:rsidRDefault="003E082A" w:rsidP="003E082A">
      <w:pPr>
        <w:pStyle w:val="Heading3"/>
        <w:rPr>
          <w:color w:val="auto"/>
        </w:rPr>
      </w:pPr>
      <w:r>
        <w:rPr>
          <w:color w:val="auto"/>
        </w:rPr>
        <w:t>Required skills and experience</w:t>
      </w:r>
    </w:p>
    <w:p w14:paraId="4F76445C"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07296919"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a community group/s;</w:t>
      </w:r>
    </w:p>
    <w:p w14:paraId="5AB1983B"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management skills and/or extensive business knowledge;</w:t>
      </w:r>
    </w:p>
    <w:p w14:paraId="6A29F974"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grant distribution experience; and </w:t>
      </w:r>
    </w:p>
    <w:p w14:paraId="6753D82A" w14:textId="77777777" w:rsidR="003E082A" w:rsidRDefault="003E082A" w:rsidP="003E082A">
      <w:pPr>
        <w:keepLines/>
        <w:numPr>
          <w:ilvl w:val="0"/>
          <w:numId w:val="26"/>
        </w:numPr>
        <w:spacing w:before="0" w:after="120"/>
        <w:ind w:left="714" w:hanging="357"/>
        <w:rPr>
          <w:rFonts w:asciiTheme="minorHAnsi" w:hAnsiTheme="minorHAnsi" w:cstheme="minorHAnsi"/>
        </w:rPr>
      </w:pPr>
      <w:r>
        <w:rPr>
          <w:rFonts w:asciiTheme="minorHAnsi" w:hAnsiTheme="minorHAnsi" w:cstheme="minorHAnsi"/>
        </w:rPr>
        <w:t xml:space="preserve">knowledge of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Māori including tikanga Māori.</w:t>
      </w:r>
    </w:p>
    <w:p w14:paraId="1698BB39" w14:textId="77777777" w:rsidR="003E082A" w:rsidRDefault="003E082A" w:rsidP="003E082A">
      <w:pPr>
        <w:spacing w:after="120"/>
        <w:rPr>
          <w:rFonts w:asciiTheme="minorHAnsi" w:hAnsiTheme="minorHAnsi" w:cstheme="minorHAnsi"/>
          <w:i/>
        </w:rPr>
      </w:pPr>
      <w:r>
        <w:rPr>
          <w:rFonts w:asciiTheme="minorHAnsi" w:hAnsiTheme="minorHAnsi" w:cstheme="minorHAnsi"/>
          <w:i/>
        </w:rPr>
        <w:t>Specialised skills and experience</w:t>
      </w:r>
    </w:p>
    <w:p w14:paraId="7C5325C3"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an understanding of mobility and communication difficulties facing disabled people;</w:t>
      </w:r>
    </w:p>
    <w:p w14:paraId="1CDCA28D"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knowledge of the disability sector; and</w:t>
      </w:r>
    </w:p>
    <w:p w14:paraId="5754C6AD"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understanding the nature of acquiring a disability and/or congenital conditions.</w:t>
      </w:r>
    </w:p>
    <w:p w14:paraId="6A56B150" w14:textId="77777777" w:rsidR="003E082A" w:rsidRDefault="003E082A" w:rsidP="003E082A">
      <w:pPr>
        <w:spacing w:after="0"/>
        <w:rPr>
          <w:rFonts w:asciiTheme="minorHAnsi" w:hAnsiTheme="minorHAnsi" w:cstheme="minorHAnsi"/>
          <w:i/>
        </w:rPr>
      </w:pPr>
      <w:r>
        <w:rPr>
          <w:rFonts w:asciiTheme="minorHAnsi" w:hAnsiTheme="minorHAnsi" w:cstheme="minorHAnsi"/>
          <w:i/>
        </w:rPr>
        <w:t>Representational considerations for the 2022 recruitment round</w:t>
      </w:r>
    </w:p>
    <w:p w14:paraId="1ADD3B6E"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South Island representation;</w:t>
      </w:r>
    </w:p>
    <w:p w14:paraId="343DBDFC"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Candidates with non-metropolitan and rural perspectives;</w:t>
      </w:r>
    </w:p>
    <w:p w14:paraId="3FAE29EA"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Male candidates to provide for gender balance; and</w:t>
      </w:r>
    </w:p>
    <w:p w14:paraId="178AC6C9"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Younger and diverse candidates.</w:t>
      </w:r>
    </w:p>
    <w:p w14:paraId="41F8B927" w14:textId="77777777" w:rsidR="003E082A" w:rsidRDefault="003E082A" w:rsidP="003E082A">
      <w:pPr>
        <w:pStyle w:val="Heading3"/>
        <w:rPr>
          <w:color w:val="auto"/>
        </w:rPr>
      </w:pPr>
      <w:r>
        <w:rPr>
          <w:color w:val="auto"/>
        </w:rPr>
        <w:t>Commitment</w:t>
      </w:r>
    </w:p>
    <w:p w14:paraId="7DE3E67B" w14:textId="77777777" w:rsidR="003E082A" w:rsidRDefault="003E082A" w:rsidP="003E082A">
      <w:pPr>
        <w:spacing w:before="0" w:after="0"/>
        <w:rPr>
          <w:rFonts w:asciiTheme="minorHAnsi" w:hAnsiTheme="minorHAnsi" w:cstheme="minorHAnsi"/>
        </w:rPr>
      </w:pPr>
      <w:r>
        <w:rPr>
          <w:rFonts w:asciiTheme="minorHAnsi" w:hAnsiTheme="minorHAnsi" w:cstheme="minorHAnsi"/>
        </w:rPr>
        <w:t xml:space="preserve">Decisions are made six to 16 weeks after applications have been lodged. The Committee meets in February, April, June, August, October and December of each year. Five of these meetings are telephone conferences and the remainder </w:t>
      </w:r>
      <w:proofErr w:type="gramStart"/>
      <w:r>
        <w:rPr>
          <w:rFonts w:asciiTheme="minorHAnsi" w:hAnsiTheme="minorHAnsi" w:cstheme="minorHAnsi"/>
        </w:rPr>
        <w:t>are  “</w:t>
      </w:r>
      <w:proofErr w:type="gramEnd"/>
      <w:r>
        <w:rPr>
          <w:rFonts w:asciiTheme="minorHAnsi" w:hAnsiTheme="minorHAnsi" w:cstheme="minorHAnsi"/>
        </w:rPr>
        <w:t>face to face” meetings. Meetings are held in Wellington.</w:t>
      </w:r>
    </w:p>
    <w:p w14:paraId="2B0DEA4E" w14:textId="77777777" w:rsidR="003E082A" w:rsidRDefault="003E082A" w:rsidP="003E082A">
      <w:pPr>
        <w:spacing w:before="0" w:after="0"/>
        <w:rPr>
          <w:rFonts w:asciiTheme="minorHAnsi" w:hAnsiTheme="minorHAnsi" w:cstheme="minorHAnsi"/>
        </w:rPr>
      </w:pPr>
    </w:p>
    <w:p w14:paraId="4FE28249" w14:textId="77777777" w:rsidR="003E082A" w:rsidRDefault="003E082A" w:rsidP="003E082A">
      <w:pPr>
        <w:spacing w:before="0" w:after="0"/>
        <w:rPr>
          <w:rFonts w:asciiTheme="minorHAnsi" w:hAnsiTheme="minorHAnsi" w:cstheme="minorHAnsi"/>
        </w:rPr>
      </w:pPr>
      <w:r>
        <w:rPr>
          <w:rFonts w:asciiTheme="minorHAnsi" w:hAnsiTheme="minorHAnsi" w:cstheme="minorHAnsi"/>
        </w:rPr>
        <w:t xml:space="preserve">A significant amount of work in determining the relative priority of applicants </w:t>
      </w:r>
      <w:proofErr w:type="gramStart"/>
      <w:r>
        <w:rPr>
          <w:rFonts w:asciiTheme="minorHAnsi" w:hAnsiTheme="minorHAnsi" w:cstheme="minorHAnsi"/>
        </w:rPr>
        <w:t>has to</w:t>
      </w:r>
      <w:proofErr w:type="gramEnd"/>
      <w:r>
        <w:rPr>
          <w:rFonts w:asciiTheme="minorHAnsi" w:hAnsiTheme="minorHAnsi" w:cstheme="minorHAnsi"/>
        </w:rPr>
        <w:t xml:space="preserve"> be completed individually by each member prior to every telephone conference call or meeting. The time involved in doing this is estimated to be around 15 - 20 hours per member. Members are reimbursed for travelling expenses and travel to these meetings is arranged through the Department of Internal Affairs. </w:t>
      </w:r>
    </w:p>
    <w:p w14:paraId="3FACFD17"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t>Remuneration</w:t>
      </w:r>
    </w:p>
    <w:p w14:paraId="6A763BA3"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paid a $232 meeting fee for each full day meeting, up to $116 as a reading fee, and $58.00 for Zoom meetings. The Presiding Member is paid $313 for each full day meeting, up to $156.50 as a reading fee, and $78.25 for Zoom meetings.</w:t>
      </w:r>
    </w:p>
    <w:p w14:paraId="54DAC5B7" w14:textId="77777777" w:rsidR="003E082A" w:rsidRDefault="003E082A" w:rsidP="003E082A">
      <w:pPr>
        <w:spacing w:before="0" w:after="0"/>
        <w:rPr>
          <w:rFonts w:asciiTheme="minorHAnsi" w:hAnsiTheme="minorHAnsi" w:cstheme="minorHAnsi"/>
        </w:rPr>
      </w:pPr>
    </w:p>
    <w:p w14:paraId="67DFCDBA"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lastRenderedPageBreak/>
        <w:t>INFORMATION SHEET</w:t>
      </w:r>
    </w:p>
    <w:p w14:paraId="0FE44705" w14:textId="77777777" w:rsidR="003E082A" w:rsidRDefault="003E082A" w:rsidP="003E082A">
      <w:pPr>
        <w:pStyle w:val="Heading2"/>
        <w:rPr>
          <w:rFonts w:asciiTheme="minorHAnsi" w:hAnsiTheme="minorHAnsi" w:cstheme="minorHAnsi"/>
          <w:color w:val="auto"/>
        </w:rPr>
      </w:pPr>
      <w:r>
        <w:rPr>
          <w:rFonts w:asciiTheme="minorHAnsi" w:hAnsiTheme="minorHAnsi" w:cstheme="minorHAnsi"/>
          <w:color w:val="auto"/>
        </w:rPr>
        <w:t>Lottery National Community Committee and Lottery Outdoor Safety Committee</w:t>
      </w:r>
    </w:p>
    <w:p w14:paraId="43853440" w14:textId="77777777" w:rsidR="003E082A" w:rsidRDefault="003E082A" w:rsidP="003E082A">
      <w:pPr>
        <w:pStyle w:val="Heading3"/>
        <w:rPr>
          <w:color w:val="auto"/>
        </w:rPr>
      </w:pPr>
      <w:r>
        <w:rPr>
          <w:color w:val="auto"/>
        </w:rPr>
        <w:t>Purpose</w:t>
      </w:r>
    </w:p>
    <w:p w14:paraId="6832663F" w14:textId="77777777" w:rsidR="003E082A" w:rsidRDefault="003E082A" w:rsidP="003E082A">
      <w:pPr>
        <w:spacing w:after="120"/>
        <w:rPr>
          <w:rFonts w:asciiTheme="minorHAnsi" w:hAnsiTheme="minorHAnsi" w:cstheme="minorHAnsi"/>
        </w:rPr>
      </w:pPr>
      <w:r>
        <w:rPr>
          <w:rFonts w:asciiTheme="minorHAnsi" w:hAnsiTheme="minorHAnsi" w:cstheme="minorHAnsi"/>
        </w:rPr>
        <w:t xml:space="preserve">These two committees share the same members and consider applications for: </w:t>
      </w:r>
    </w:p>
    <w:p w14:paraId="70896769" w14:textId="77777777" w:rsidR="003E082A" w:rsidRDefault="003E082A" w:rsidP="003E082A">
      <w:pPr>
        <w:numPr>
          <w:ilvl w:val="0"/>
          <w:numId w:val="25"/>
        </w:numPr>
        <w:spacing w:before="100" w:beforeAutospacing="1" w:after="120"/>
        <w:ind w:left="714" w:hanging="357"/>
        <w:rPr>
          <w:rFonts w:asciiTheme="minorHAnsi" w:eastAsia="Times New Roman" w:hAnsiTheme="minorHAnsi" w:cstheme="minorHAnsi"/>
          <w:lang w:eastAsia="en-NZ"/>
        </w:rPr>
      </w:pPr>
      <w:r>
        <w:rPr>
          <w:rFonts w:asciiTheme="minorHAnsi" w:eastAsia="Times New Roman" w:hAnsiTheme="minorHAnsi" w:cstheme="minorHAnsi"/>
          <w:lang w:eastAsia="en-NZ"/>
        </w:rPr>
        <w:t xml:space="preserve">National Community - projects, activities, resources or services that have a community/social service focus, or projects that help improve the wellbeing of people in the community; and </w:t>
      </w:r>
    </w:p>
    <w:p w14:paraId="62510FE4" w14:textId="77777777" w:rsidR="003E082A" w:rsidRDefault="003E082A" w:rsidP="003E082A">
      <w:pPr>
        <w:numPr>
          <w:ilvl w:val="0"/>
          <w:numId w:val="25"/>
        </w:numPr>
        <w:spacing w:before="100" w:beforeAutospacing="1" w:after="100" w:afterAutospacing="1"/>
        <w:rPr>
          <w:rFonts w:asciiTheme="minorHAnsi" w:eastAsia="Times New Roman" w:hAnsiTheme="minorHAnsi" w:cstheme="minorHAnsi"/>
          <w:lang w:eastAsia="en-NZ"/>
        </w:rPr>
      </w:pPr>
      <w:r>
        <w:rPr>
          <w:rFonts w:asciiTheme="minorHAnsi" w:eastAsia="Times New Roman" w:hAnsiTheme="minorHAnsi" w:cstheme="minorHAnsi"/>
          <w:lang w:eastAsia="en-NZ"/>
        </w:rPr>
        <w:t>Outdoor Safety - major outdoor safety groups, and other national and regional groups, that have outdoor safety or water safety as their main purpose.</w:t>
      </w:r>
    </w:p>
    <w:p w14:paraId="5ADB9BA2" w14:textId="77777777" w:rsidR="003E082A" w:rsidRDefault="003E082A" w:rsidP="003E082A">
      <w:pPr>
        <w:pStyle w:val="Heading3"/>
        <w:rPr>
          <w:color w:val="auto"/>
        </w:rPr>
      </w:pPr>
      <w:r>
        <w:rPr>
          <w:color w:val="auto"/>
        </w:rPr>
        <w:t>Required skills and experience</w:t>
      </w:r>
    </w:p>
    <w:p w14:paraId="35EE6EB8"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171A4CA8"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a community group/s;</w:t>
      </w:r>
    </w:p>
    <w:p w14:paraId="66FB8B44"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management skills and/or extensive business knowledge;</w:t>
      </w:r>
    </w:p>
    <w:p w14:paraId="5B1A9F6B"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grant distribution experience; and</w:t>
      </w:r>
    </w:p>
    <w:p w14:paraId="2762C568" w14:textId="77777777" w:rsidR="003E082A" w:rsidRDefault="003E082A" w:rsidP="003E082A">
      <w:pPr>
        <w:keepLines/>
        <w:numPr>
          <w:ilvl w:val="0"/>
          <w:numId w:val="26"/>
        </w:numPr>
        <w:spacing w:before="0" w:after="120"/>
        <w:ind w:left="714" w:hanging="357"/>
        <w:rPr>
          <w:rFonts w:asciiTheme="minorHAnsi" w:hAnsiTheme="minorHAnsi" w:cstheme="minorHAnsi"/>
        </w:rPr>
      </w:pPr>
      <w:r>
        <w:rPr>
          <w:rFonts w:asciiTheme="minorHAnsi" w:hAnsiTheme="minorHAnsi" w:cstheme="minorHAnsi"/>
        </w:rPr>
        <w:t xml:space="preserve">knowledge of </w:t>
      </w:r>
      <w:proofErr w:type="spellStart"/>
      <w:r>
        <w:rPr>
          <w:rFonts w:asciiTheme="minorHAnsi" w:hAnsiTheme="minorHAnsi" w:cstheme="minorHAnsi"/>
        </w:rPr>
        <w:t>te</w:t>
      </w:r>
      <w:proofErr w:type="spellEnd"/>
      <w:r>
        <w:rPr>
          <w:rFonts w:asciiTheme="minorHAnsi" w:hAnsiTheme="minorHAnsi" w:cstheme="minorHAnsi"/>
        </w:rPr>
        <w:t xml:space="preserve"> </w:t>
      </w:r>
      <w:proofErr w:type="spellStart"/>
      <w:r>
        <w:rPr>
          <w:rFonts w:asciiTheme="minorHAnsi" w:hAnsiTheme="minorHAnsi" w:cstheme="minorHAnsi"/>
        </w:rPr>
        <w:t>ao</w:t>
      </w:r>
      <w:proofErr w:type="spellEnd"/>
      <w:r>
        <w:rPr>
          <w:rFonts w:asciiTheme="minorHAnsi" w:hAnsiTheme="minorHAnsi" w:cstheme="minorHAnsi"/>
        </w:rPr>
        <w:t xml:space="preserve"> Māori including tikanga Māori.</w:t>
      </w:r>
    </w:p>
    <w:p w14:paraId="133BF216" w14:textId="77777777" w:rsidR="003E082A" w:rsidRDefault="003E082A" w:rsidP="003E082A">
      <w:pPr>
        <w:spacing w:after="120"/>
        <w:rPr>
          <w:rFonts w:asciiTheme="minorHAnsi" w:hAnsiTheme="minorHAnsi" w:cstheme="minorHAnsi"/>
          <w:i/>
        </w:rPr>
      </w:pPr>
      <w:r>
        <w:rPr>
          <w:rFonts w:asciiTheme="minorHAnsi" w:hAnsiTheme="minorHAnsi" w:cstheme="minorHAnsi"/>
          <w:i/>
        </w:rPr>
        <w:t>Desirable specialised skills and experience</w:t>
      </w:r>
    </w:p>
    <w:p w14:paraId="7DC2FE85"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experience in outdoor and water safety; and</w:t>
      </w:r>
    </w:p>
    <w:p w14:paraId="3CAB2DED"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rPr>
          <w:rFonts w:asciiTheme="minorHAnsi" w:hAnsiTheme="minorHAnsi" w:cstheme="minorHAnsi"/>
          <w:szCs w:val="22"/>
        </w:rPr>
        <w:t>knowledge of social impact concepts and assessment tools.</w:t>
      </w:r>
    </w:p>
    <w:p w14:paraId="0E0DAF72" w14:textId="77777777" w:rsidR="003E082A" w:rsidRDefault="003E082A" w:rsidP="003E082A">
      <w:pPr>
        <w:pStyle w:val="Heading3"/>
        <w:rPr>
          <w:color w:val="auto"/>
        </w:rPr>
      </w:pPr>
      <w:r>
        <w:rPr>
          <w:color w:val="auto"/>
        </w:rPr>
        <w:t>Commitment</w:t>
      </w:r>
    </w:p>
    <w:p w14:paraId="3E1073CB"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attend meetings to discuss the applications received for each funding round. Applications for funding for the National Community criteria are generally considered twice a year. Outdoor Safety applications are generally considered once a year. Members usually spend up to eight hours preparing for each meeting.</w:t>
      </w:r>
    </w:p>
    <w:p w14:paraId="1837023F" w14:textId="77777777" w:rsidR="003E082A" w:rsidRDefault="003E082A" w:rsidP="003E082A">
      <w:pPr>
        <w:pStyle w:val="Heading3"/>
        <w:rPr>
          <w:color w:val="auto"/>
        </w:rPr>
      </w:pPr>
      <w:r>
        <w:rPr>
          <w:color w:val="auto"/>
        </w:rPr>
        <w:t>Remuneration</w:t>
      </w:r>
    </w:p>
    <w:p w14:paraId="115DFA04"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paid a $232 meeting fee for each full day meeting, up to $116 as a reading fee, and $58.00 for conference calls. The Presiding Member is paid $313 for each full day meeting, up to $156.50 as a reading fee, and $78.25 for conference calls.</w:t>
      </w:r>
    </w:p>
    <w:p w14:paraId="5D4D17BC" w14:textId="77777777" w:rsidR="003E082A" w:rsidRDefault="003E082A" w:rsidP="003E082A">
      <w:pPr>
        <w:spacing w:before="0" w:after="0"/>
        <w:rPr>
          <w:rFonts w:asciiTheme="minorHAnsi" w:hAnsiTheme="minorHAnsi" w:cstheme="minorHAnsi"/>
        </w:rPr>
      </w:pPr>
    </w:p>
    <w:p w14:paraId="71946E8C" w14:textId="77777777" w:rsidR="003E082A" w:rsidRDefault="003E082A" w:rsidP="003E082A">
      <w:pPr>
        <w:pStyle w:val="Heading3"/>
        <w:rPr>
          <w:rFonts w:asciiTheme="minorHAnsi" w:hAnsiTheme="minorHAnsi" w:cstheme="minorHAnsi"/>
          <w:color w:val="auto"/>
        </w:rPr>
      </w:pPr>
      <w:r>
        <w:rPr>
          <w:rFonts w:asciiTheme="minorHAnsi" w:hAnsiTheme="minorHAnsi" w:cstheme="minorHAnsi"/>
          <w:color w:val="auto"/>
        </w:rPr>
        <w:lastRenderedPageBreak/>
        <w:t>INFORMATION SHEET</w:t>
      </w:r>
    </w:p>
    <w:p w14:paraId="6661D63C" w14:textId="77777777" w:rsidR="003E082A" w:rsidRDefault="003E082A" w:rsidP="003E082A">
      <w:pPr>
        <w:pStyle w:val="Heading2"/>
        <w:rPr>
          <w:rFonts w:asciiTheme="minorHAnsi" w:hAnsiTheme="minorHAnsi" w:cstheme="minorHAnsi"/>
          <w:color w:val="auto"/>
        </w:rPr>
      </w:pPr>
      <w:proofErr w:type="spellStart"/>
      <w:r>
        <w:rPr>
          <w:rFonts w:asciiTheme="minorHAnsi" w:hAnsiTheme="minorHAnsi" w:cstheme="minorHAnsi"/>
          <w:color w:val="auto"/>
        </w:rPr>
        <w:t>Oranga</w:t>
      </w:r>
      <w:proofErr w:type="spellEnd"/>
      <w:r>
        <w:rPr>
          <w:rFonts w:asciiTheme="minorHAnsi" w:hAnsiTheme="minorHAnsi" w:cstheme="minorHAnsi"/>
          <w:color w:val="auto"/>
        </w:rPr>
        <w:t xml:space="preserve"> Marae Committee</w:t>
      </w:r>
    </w:p>
    <w:p w14:paraId="5264B2DB" w14:textId="77777777" w:rsidR="003E082A" w:rsidRDefault="003E082A" w:rsidP="003E082A">
      <w:pPr>
        <w:pStyle w:val="Heading3"/>
        <w:spacing w:before="120"/>
        <w:rPr>
          <w:rFonts w:asciiTheme="minorHAnsi" w:hAnsiTheme="minorHAnsi" w:cstheme="minorHAnsi"/>
          <w:color w:val="auto"/>
        </w:rPr>
      </w:pPr>
      <w:r>
        <w:rPr>
          <w:rFonts w:asciiTheme="minorHAnsi" w:hAnsiTheme="minorHAnsi" w:cstheme="minorHAnsi"/>
          <w:color w:val="auto"/>
        </w:rPr>
        <w:t>Purpose</w:t>
      </w:r>
    </w:p>
    <w:p w14:paraId="7C2E6D72" w14:textId="77777777" w:rsidR="003E082A" w:rsidRDefault="003E082A" w:rsidP="003E082A">
      <w:pPr>
        <w:spacing w:after="120"/>
        <w:rPr>
          <w:rFonts w:asciiTheme="minorHAnsi" w:hAnsiTheme="minorHAnsi" w:cstheme="minorHAnsi"/>
        </w:rPr>
      </w:pPr>
      <w:proofErr w:type="spellStart"/>
      <w:r>
        <w:rPr>
          <w:rFonts w:asciiTheme="minorHAnsi" w:hAnsiTheme="minorHAnsi" w:cstheme="minorHAnsi"/>
        </w:rPr>
        <w:t>Oranga</w:t>
      </w:r>
      <w:proofErr w:type="spellEnd"/>
      <w:r>
        <w:rPr>
          <w:rFonts w:asciiTheme="minorHAnsi" w:hAnsiTheme="minorHAnsi" w:cstheme="minorHAnsi"/>
        </w:rPr>
        <w:t xml:space="preserve"> Marae is a programme of support, advice and investment for marae. This support may include building projects and activities to restore cultural knowledge and funding for:</w:t>
      </w:r>
    </w:p>
    <w:p w14:paraId="1C29B237"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marae development planning;</w:t>
      </w:r>
    </w:p>
    <w:p w14:paraId="06A6AEF1"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technical or feasibility study support (for capital works);</w:t>
      </w:r>
    </w:p>
    <w:p w14:paraId="4392078D"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cultural revitalisation activities; and</w:t>
      </w:r>
    </w:p>
    <w:p w14:paraId="5438884F" w14:textId="77777777" w:rsidR="003E082A" w:rsidRDefault="003E082A" w:rsidP="003E082A">
      <w:pPr>
        <w:keepLines/>
        <w:numPr>
          <w:ilvl w:val="0"/>
          <w:numId w:val="26"/>
        </w:numPr>
        <w:spacing w:before="0" w:after="120"/>
        <w:ind w:left="714" w:hanging="357"/>
        <w:rPr>
          <w:rFonts w:asciiTheme="minorHAnsi" w:hAnsiTheme="minorHAnsi" w:cstheme="minorHAnsi"/>
        </w:rPr>
      </w:pPr>
      <w:r>
        <w:rPr>
          <w:rFonts w:asciiTheme="minorHAnsi" w:hAnsiTheme="minorHAnsi" w:cstheme="minorHAnsi"/>
        </w:rPr>
        <w:t>capital works.</w:t>
      </w:r>
    </w:p>
    <w:p w14:paraId="17D2219B" w14:textId="77777777" w:rsidR="003E082A" w:rsidRDefault="003E082A" w:rsidP="003E082A">
      <w:pPr>
        <w:spacing w:after="120"/>
        <w:rPr>
          <w:rFonts w:asciiTheme="minorHAnsi" w:hAnsiTheme="minorHAnsi" w:cstheme="minorHAnsi"/>
        </w:rPr>
      </w:pPr>
      <w:r>
        <w:rPr>
          <w:rFonts w:asciiTheme="minorHAnsi" w:hAnsiTheme="minorHAnsi" w:cstheme="minorHAnsi"/>
        </w:rPr>
        <w:t xml:space="preserve">A key goal of the programme is to strengthen the ability of marae to pass on their ancestral knowledge of </w:t>
      </w:r>
      <w:proofErr w:type="spellStart"/>
      <w:r>
        <w:rPr>
          <w:rFonts w:asciiTheme="minorHAnsi" w:hAnsiTheme="minorHAnsi" w:cstheme="minorHAnsi"/>
        </w:rPr>
        <w:t>whaikōrero</w:t>
      </w:r>
      <w:proofErr w:type="spellEnd"/>
      <w:r>
        <w:rPr>
          <w:rFonts w:asciiTheme="minorHAnsi" w:hAnsiTheme="minorHAnsi" w:cstheme="minorHAnsi"/>
        </w:rPr>
        <w:t xml:space="preserve">, </w:t>
      </w:r>
      <w:proofErr w:type="spellStart"/>
      <w:r>
        <w:rPr>
          <w:rFonts w:asciiTheme="minorHAnsi" w:hAnsiTheme="minorHAnsi" w:cstheme="minorHAnsi"/>
        </w:rPr>
        <w:t>karanga</w:t>
      </w:r>
      <w:proofErr w:type="spellEnd"/>
      <w:r>
        <w:rPr>
          <w:rFonts w:asciiTheme="minorHAnsi" w:hAnsiTheme="minorHAnsi" w:cstheme="minorHAnsi"/>
        </w:rPr>
        <w:t xml:space="preserve"> and local </w:t>
      </w:r>
      <w:proofErr w:type="spellStart"/>
      <w:r>
        <w:rPr>
          <w:rFonts w:asciiTheme="minorHAnsi" w:hAnsiTheme="minorHAnsi" w:cstheme="minorHAnsi"/>
        </w:rPr>
        <w:t>mātauranga</w:t>
      </w:r>
      <w:proofErr w:type="spellEnd"/>
      <w:r>
        <w:rPr>
          <w:rFonts w:asciiTheme="minorHAnsi" w:hAnsiTheme="minorHAnsi" w:cstheme="minorHAnsi"/>
        </w:rPr>
        <w:t>, tikanga and kawa.</w:t>
      </w:r>
    </w:p>
    <w:p w14:paraId="73600827" w14:textId="77777777" w:rsidR="003E082A" w:rsidRDefault="003E082A" w:rsidP="003E082A">
      <w:pPr>
        <w:pStyle w:val="Heading3"/>
        <w:spacing w:before="240"/>
        <w:rPr>
          <w:rFonts w:asciiTheme="minorHAnsi" w:hAnsiTheme="minorHAnsi" w:cstheme="minorHAnsi"/>
          <w:color w:val="auto"/>
        </w:rPr>
      </w:pPr>
      <w:bookmarkStart w:id="0" w:name="Members"/>
      <w:bookmarkStart w:id="1" w:name="Skills"/>
      <w:bookmarkEnd w:id="0"/>
      <w:bookmarkEnd w:id="1"/>
      <w:r>
        <w:rPr>
          <w:rFonts w:asciiTheme="minorHAnsi" w:hAnsiTheme="minorHAnsi" w:cstheme="minorHAnsi"/>
          <w:color w:val="auto"/>
        </w:rPr>
        <w:t>Required skills and experience</w:t>
      </w:r>
    </w:p>
    <w:p w14:paraId="4625BFFF" w14:textId="77777777" w:rsidR="003E082A" w:rsidRDefault="003E082A" w:rsidP="003E082A">
      <w:pPr>
        <w:spacing w:after="120"/>
        <w:rPr>
          <w:rFonts w:asciiTheme="minorHAnsi" w:hAnsiTheme="minorHAnsi" w:cstheme="minorHAnsi"/>
          <w:i/>
        </w:rPr>
      </w:pPr>
      <w:r>
        <w:rPr>
          <w:rFonts w:asciiTheme="minorHAnsi" w:hAnsiTheme="minorHAnsi" w:cstheme="minorHAnsi"/>
          <w:i/>
        </w:rPr>
        <w:t>General</w:t>
      </w:r>
    </w:p>
    <w:p w14:paraId="31436EFB"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first-hand experience in a community group/s;</w:t>
      </w:r>
    </w:p>
    <w:p w14:paraId="030568C1" w14:textId="77777777" w:rsidR="003E082A" w:rsidRDefault="003E082A" w:rsidP="003E082A">
      <w:pPr>
        <w:keepLines/>
        <w:numPr>
          <w:ilvl w:val="0"/>
          <w:numId w:val="26"/>
        </w:numPr>
        <w:spacing w:before="0" w:after="0"/>
        <w:ind w:left="714" w:hanging="357"/>
        <w:rPr>
          <w:rFonts w:asciiTheme="minorHAnsi" w:hAnsiTheme="minorHAnsi" w:cstheme="minorHAnsi"/>
        </w:rPr>
      </w:pPr>
      <w:r>
        <w:rPr>
          <w:rFonts w:asciiTheme="minorHAnsi" w:hAnsiTheme="minorHAnsi" w:cstheme="minorHAnsi"/>
        </w:rPr>
        <w:t xml:space="preserve">management skills and/or extensive business knowledge; and </w:t>
      </w:r>
    </w:p>
    <w:p w14:paraId="0190783A" w14:textId="77777777" w:rsidR="003E082A" w:rsidRDefault="003E082A" w:rsidP="003E082A">
      <w:pPr>
        <w:keepLines/>
        <w:numPr>
          <w:ilvl w:val="0"/>
          <w:numId w:val="26"/>
        </w:numPr>
        <w:spacing w:before="0"/>
        <w:ind w:left="714" w:hanging="357"/>
        <w:rPr>
          <w:rFonts w:asciiTheme="minorHAnsi" w:hAnsiTheme="minorHAnsi" w:cstheme="minorHAnsi"/>
        </w:rPr>
      </w:pPr>
      <w:r>
        <w:rPr>
          <w:rFonts w:asciiTheme="minorHAnsi" w:hAnsiTheme="minorHAnsi" w:cstheme="minorHAnsi"/>
        </w:rPr>
        <w:t xml:space="preserve">grant distribution experience. </w:t>
      </w:r>
    </w:p>
    <w:p w14:paraId="1E6100D2" w14:textId="77777777" w:rsidR="003E082A" w:rsidRDefault="003E082A" w:rsidP="003E082A">
      <w:pPr>
        <w:spacing w:after="120"/>
        <w:rPr>
          <w:rFonts w:asciiTheme="minorHAnsi" w:hAnsiTheme="minorHAnsi" w:cstheme="minorHAnsi"/>
          <w:i/>
        </w:rPr>
      </w:pPr>
      <w:r>
        <w:rPr>
          <w:rFonts w:asciiTheme="minorHAnsi" w:hAnsiTheme="minorHAnsi" w:cstheme="minorHAnsi"/>
          <w:i/>
        </w:rPr>
        <w:t>Cultural and technical knowledge</w:t>
      </w:r>
    </w:p>
    <w:p w14:paraId="0A694829"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t xml:space="preserve">an understanding of how marae support cultural expression and identity for </w:t>
      </w:r>
      <w:proofErr w:type="spellStart"/>
      <w:r>
        <w:t>whānau</w:t>
      </w:r>
      <w:proofErr w:type="spellEnd"/>
      <w:r>
        <w:t xml:space="preserve">, </w:t>
      </w:r>
      <w:proofErr w:type="spellStart"/>
      <w:r>
        <w:t>hāpu</w:t>
      </w:r>
      <w:proofErr w:type="spellEnd"/>
      <w:r>
        <w:t xml:space="preserve"> and iwi;</w:t>
      </w:r>
    </w:p>
    <w:p w14:paraId="0402055B"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t>an understanding of the role of marae as hubs for Māori communities;</w:t>
      </w:r>
    </w:p>
    <w:p w14:paraId="5C943595"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t xml:space="preserve">an ability to speak and understand Te </w:t>
      </w:r>
      <w:proofErr w:type="spellStart"/>
      <w:r>
        <w:t>Reo</w:t>
      </w:r>
      <w:proofErr w:type="spellEnd"/>
      <w:r>
        <w:t xml:space="preserve"> Māori would be advantageous; and</w:t>
      </w:r>
    </w:p>
    <w:p w14:paraId="3CD87C31" w14:textId="77777777" w:rsidR="003E082A" w:rsidRDefault="003E082A" w:rsidP="003E082A">
      <w:pPr>
        <w:keepLines/>
        <w:numPr>
          <w:ilvl w:val="0"/>
          <w:numId w:val="26"/>
        </w:numPr>
        <w:spacing w:before="0" w:after="0"/>
        <w:ind w:left="714" w:hanging="357"/>
        <w:rPr>
          <w:rFonts w:asciiTheme="minorHAnsi" w:hAnsiTheme="minorHAnsi" w:cstheme="minorHAnsi"/>
          <w:szCs w:val="22"/>
        </w:rPr>
      </w:pPr>
      <w:r>
        <w:t>an in-depth knowledge and understanding of at least one of the following areas:</w:t>
      </w:r>
    </w:p>
    <w:p w14:paraId="58214AE7" w14:textId="77777777" w:rsidR="003E082A" w:rsidRDefault="003E082A" w:rsidP="003E082A">
      <w:pPr>
        <w:pStyle w:val="ListParagraph"/>
        <w:widowControl w:val="0"/>
        <w:numPr>
          <w:ilvl w:val="1"/>
          <w:numId w:val="26"/>
        </w:numPr>
        <w:tabs>
          <w:tab w:val="left" w:pos="1039"/>
        </w:tabs>
        <w:autoSpaceDE w:val="0"/>
        <w:autoSpaceDN w:val="0"/>
        <w:spacing w:before="1" w:after="0"/>
      </w:pPr>
      <w:r>
        <w:t>marae operations;</w:t>
      </w:r>
    </w:p>
    <w:p w14:paraId="1043575D" w14:textId="77777777" w:rsidR="003E082A" w:rsidRDefault="003E082A" w:rsidP="003E082A">
      <w:pPr>
        <w:pStyle w:val="ListParagraph"/>
        <w:widowControl w:val="0"/>
        <w:numPr>
          <w:ilvl w:val="1"/>
          <w:numId w:val="26"/>
        </w:numPr>
        <w:tabs>
          <w:tab w:val="left" w:pos="1039"/>
        </w:tabs>
        <w:autoSpaceDE w:val="0"/>
        <w:autoSpaceDN w:val="0"/>
        <w:spacing w:before="1" w:after="0" w:line="305" w:lineRule="exact"/>
      </w:pPr>
      <w:r>
        <w:t>legal issues pertaining to marae lands and</w:t>
      </w:r>
      <w:r>
        <w:rPr>
          <w:spacing w:val="-5"/>
        </w:rPr>
        <w:t xml:space="preserve"> </w:t>
      </w:r>
      <w:r>
        <w:t>structures;</w:t>
      </w:r>
    </w:p>
    <w:p w14:paraId="027B3D4A" w14:textId="77777777" w:rsidR="003E082A" w:rsidRDefault="003E082A" w:rsidP="003E082A">
      <w:pPr>
        <w:pStyle w:val="ListParagraph"/>
        <w:widowControl w:val="0"/>
        <w:numPr>
          <w:ilvl w:val="1"/>
          <w:numId w:val="26"/>
        </w:numPr>
        <w:tabs>
          <w:tab w:val="left" w:pos="1039"/>
        </w:tabs>
        <w:autoSpaceDE w:val="0"/>
        <w:autoSpaceDN w:val="0"/>
        <w:spacing w:before="0" w:after="0" w:line="305" w:lineRule="exact"/>
      </w:pPr>
      <w:r>
        <w:t>financial analysis; and</w:t>
      </w:r>
    </w:p>
    <w:p w14:paraId="4CEB03B1" w14:textId="77777777" w:rsidR="003E082A" w:rsidRDefault="003E082A" w:rsidP="003E082A">
      <w:pPr>
        <w:keepLines/>
        <w:numPr>
          <w:ilvl w:val="1"/>
          <w:numId w:val="26"/>
        </w:numPr>
        <w:spacing w:before="0" w:after="0"/>
        <w:rPr>
          <w:rFonts w:asciiTheme="minorHAnsi" w:hAnsiTheme="minorHAnsi" w:cstheme="minorHAnsi"/>
          <w:szCs w:val="22"/>
        </w:rPr>
      </w:pPr>
      <w:r>
        <w:t>conservation principles particularly relating to the restoration of buildings.</w:t>
      </w:r>
    </w:p>
    <w:p w14:paraId="6EF985E7" w14:textId="77777777" w:rsidR="003E082A" w:rsidRDefault="003E082A" w:rsidP="003E082A">
      <w:pPr>
        <w:spacing w:after="120"/>
        <w:rPr>
          <w:rFonts w:asciiTheme="minorHAnsi" w:hAnsiTheme="minorHAnsi" w:cstheme="minorHAnsi"/>
          <w:i/>
        </w:rPr>
      </w:pPr>
      <w:bookmarkStart w:id="2" w:name="Commitment"/>
      <w:bookmarkEnd w:id="2"/>
      <w:r>
        <w:rPr>
          <w:rFonts w:asciiTheme="minorHAnsi" w:hAnsiTheme="minorHAnsi" w:cstheme="minorHAnsi"/>
          <w:i/>
        </w:rPr>
        <w:t>Representational considerations for the 2022 recruitment round</w:t>
      </w:r>
    </w:p>
    <w:p w14:paraId="7592CF46" w14:textId="77777777" w:rsidR="003E082A" w:rsidRDefault="003E082A" w:rsidP="003E082A">
      <w:pPr>
        <w:keepLines/>
        <w:numPr>
          <w:ilvl w:val="0"/>
          <w:numId w:val="26"/>
        </w:numPr>
        <w:spacing w:before="0" w:after="120"/>
        <w:ind w:left="714" w:hanging="357"/>
        <w:rPr>
          <w:rFonts w:asciiTheme="minorHAnsi" w:hAnsiTheme="minorHAnsi" w:cstheme="minorHAnsi"/>
          <w:szCs w:val="22"/>
        </w:rPr>
      </w:pPr>
      <w:r>
        <w:rPr>
          <w:rFonts w:asciiTheme="minorHAnsi" w:hAnsiTheme="minorHAnsi" w:cstheme="minorHAnsi"/>
          <w:szCs w:val="22"/>
        </w:rPr>
        <w:t>Representation from Te Waipounamu.</w:t>
      </w:r>
    </w:p>
    <w:p w14:paraId="1C26A10D" w14:textId="77777777" w:rsidR="003E082A" w:rsidRDefault="003E082A" w:rsidP="003E082A">
      <w:pPr>
        <w:pStyle w:val="Heading3"/>
        <w:spacing w:before="240"/>
        <w:rPr>
          <w:color w:val="auto"/>
        </w:rPr>
      </w:pPr>
      <w:r>
        <w:rPr>
          <w:color w:val="auto"/>
        </w:rPr>
        <w:t>Commitment</w:t>
      </w:r>
    </w:p>
    <w:p w14:paraId="10FD2380" w14:textId="77777777" w:rsidR="003E082A" w:rsidRDefault="003E082A" w:rsidP="003E082A">
      <w:pPr>
        <w:spacing w:before="0" w:after="0"/>
        <w:rPr>
          <w:rFonts w:asciiTheme="minorHAnsi" w:hAnsiTheme="minorHAnsi" w:cstheme="minorHAnsi"/>
        </w:rPr>
      </w:pPr>
      <w:r>
        <w:rPr>
          <w:rFonts w:asciiTheme="minorHAnsi" w:hAnsiTheme="minorHAnsi" w:cstheme="minorHAnsi"/>
        </w:rPr>
        <w:t>Members are required to attend four meetings a year (usually around March, June, September and November) which may be one or two days in duration. Prior to each meeting, members will usually spend up to eight hours in preparation work. Meetings are generally held in Wellington.</w:t>
      </w:r>
    </w:p>
    <w:p w14:paraId="5A47ACAE" w14:textId="77777777" w:rsidR="003E082A" w:rsidRDefault="003E082A" w:rsidP="003E082A">
      <w:pPr>
        <w:pStyle w:val="Heading3"/>
        <w:spacing w:before="240"/>
        <w:rPr>
          <w:color w:val="auto"/>
        </w:rPr>
      </w:pPr>
      <w:r>
        <w:rPr>
          <w:color w:val="auto"/>
        </w:rPr>
        <w:t>Remuneration</w:t>
      </w:r>
    </w:p>
    <w:p w14:paraId="0AB87E7C" w14:textId="77777777" w:rsidR="003E082A" w:rsidRDefault="003E082A" w:rsidP="003E082A">
      <w:pPr>
        <w:spacing w:before="0" w:after="0"/>
      </w:pPr>
      <w:r>
        <w:rPr>
          <w:rFonts w:asciiTheme="minorHAnsi" w:hAnsiTheme="minorHAnsi" w:cstheme="minorHAnsi"/>
        </w:rPr>
        <w:t>Members are paid a $232 meeting fee for each full day meeting, up to $116 as a reading fee, and $58.00 for conference calls. The Presiding Member is paid $313 for each full day meeting, up to $156.50 as a reading fee, and $78.25 for conference calls.</w:t>
      </w:r>
    </w:p>
    <w:p w14:paraId="62D90468" w14:textId="77777777" w:rsidR="00AE478C" w:rsidRPr="00603635" w:rsidRDefault="00AE478C" w:rsidP="00603635"/>
    <w:sectPr w:rsidR="00AE478C" w:rsidRPr="00603635" w:rsidSect="00CF4BE3">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A7F3B" w14:textId="77777777" w:rsidR="003E082A" w:rsidRDefault="003E082A">
      <w:r>
        <w:separator/>
      </w:r>
    </w:p>
    <w:p w14:paraId="7ABFD4B8" w14:textId="77777777" w:rsidR="003E082A" w:rsidRDefault="003E082A"/>
    <w:p w14:paraId="2C509254" w14:textId="77777777" w:rsidR="003E082A" w:rsidRDefault="003E082A"/>
  </w:endnote>
  <w:endnote w:type="continuationSeparator" w:id="0">
    <w:p w14:paraId="6B3EF22E" w14:textId="77777777" w:rsidR="003E082A" w:rsidRDefault="003E082A">
      <w:r>
        <w:continuationSeparator/>
      </w:r>
    </w:p>
    <w:p w14:paraId="68DDD20F" w14:textId="77777777" w:rsidR="003E082A" w:rsidRDefault="003E082A"/>
    <w:p w14:paraId="20D07353" w14:textId="77777777" w:rsidR="003E082A" w:rsidRDefault="003E08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CBBB" w14:textId="77777777"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0D1C" w14:textId="77777777"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A93CF5">
      <w:fldChar w:fldCharType="begin"/>
    </w:r>
    <w:r w:rsidR="00A93CF5">
      <w:instrText xml:space="preserve"> NUMPAGES   \* MERGEFORMAT </w:instrText>
    </w:r>
    <w:r w:rsidR="00A93CF5">
      <w:fldChar w:fldCharType="separate"/>
    </w:r>
    <w:r w:rsidR="00603635">
      <w:rPr>
        <w:noProof/>
      </w:rPr>
      <w:t>1</w:t>
    </w:r>
    <w:r w:rsidR="00A93CF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BDB28"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AEDD0" w14:textId="77777777" w:rsidR="003E082A" w:rsidRDefault="003E082A" w:rsidP="00FB1990">
      <w:pPr>
        <w:pStyle w:val="Spacer"/>
      </w:pPr>
      <w:r>
        <w:separator/>
      </w:r>
    </w:p>
    <w:p w14:paraId="7ED20AD7" w14:textId="77777777" w:rsidR="003E082A" w:rsidRDefault="003E082A" w:rsidP="00FB1990">
      <w:pPr>
        <w:pStyle w:val="Spacer"/>
      </w:pPr>
    </w:p>
  </w:footnote>
  <w:footnote w:type="continuationSeparator" w:id="0">
    <w:p w14:paraId="4D4F815B" w14:textId="77777777" w:rsidR="003E082A" w:rsidRDefault="003E082A">
      <w:r>
        <w:continuationSeparator/>
      </w:r>
    </w:p>
    <w:p w14:paraId="7E22668F" w14:textId="77777777" w:rsidR="003E082A" w:rsidRDefault="003E082A"/>
    <w:p w14:paraId="08C56860" w14:textId="77777777" w:rsidR="003E082A" w:rsidRDefault="003E08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A894"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0CF3"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D4A5"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FB003FF"/>
    <w:multiLevelType w:val="hybridMultilevel"/>
    <w:tmpl w:val="9D4600A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06A444F"/>
    <w:multiLevelType w:val="hybridMultilevel"/>
    <w:tmpl w:val="C01EB37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19"/>
  </w:num>
  <w:num w:numId="9">
    <w:abstractNumId w:val="15"/>
  </w:num>
  <w:num w:numId="10">
    <w:abstractNumId w:val="11"/>
  </w:num>
  <w:num w:numId="11">
    <w:abstractNumId w:val="20"/>
  </w:num>
  <w:num w:numId="12">
    <w:abstractNumId w:val="22"/>
  </w:num>
  <w:num w:numId="13">
    <w:abstractNumId w:val="24"/>
  </w:num>
  <w:num w:numId="14">
    <w:abstractNumId w:val="7"/>
  </w:num>
  <w:num w:numId="15">
    <w:abstractNumId w:val="13"/>
  </w:num>
  <w:num w:numId="16">
    <w:abstractNumId w:val="25"/>
  </w:num>
  <w:num w:numId="17">
    <w:abstractNumId w:val="23"/>
  </w:num>
  <w:num w:numId="18">
    <w:abstractNumId w:val="21"/>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num>
  <w:num w:numId="26">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2A"/>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E082A"/>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3CF5"/>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8256F7"/>
  <w15:chartTrackingRefBased/>
  <w15:docId w15:val="{F5C57234-044C-486B-BA4B-415DBE7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82A"/>
    <w:rPr>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AE088-C778-4521-9E0E-6E6D176F1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1441</Words>
  <Characters>8578</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Allcock</dc:creator>
  <cp:keywords/>
  <dc:description/>
  <cp:lastModifiedBy>Sian Gunkel</cp:lastModifiedBy>
  <cp:revision>2</cp:revision>
  <cp:lastPrinted>2014-03-27T01:47:00Z</cp:lastPrinted>
  <dcterms:created xsi:type="dcterms:W3CDTF">2022-05-09T00:36:00Z</dcterms:created>
  <dcterms:modified xsi:type="dcterms:W3CDTF">2022-05-09T00:36:00Z</dcterms:modified>
</cp:coreProperties>
</file>