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85054" w14:textId="2A5C3476" w:rsidR="003D548C" w:rsidRDefault="00974AFC" w:rsidP="003D548C">
      <w:pPr>
        <w:pStyle w:val="Heading2"/>
        <w:spacing w:before="120"/>
      </w:pPr>
      <w:r>
        <w:t>Community Trusts</w:t>
      </w:r>
      <w:r w:rsidR="00AF2550">
        <w:t xml:space="preserve"> </w:t>
      </w:r>
      <w:r w:rsidR="00417E29">
        <w:t>20</w:t>
      </w:r>
      <w:r w:rsidR="00060A1E">
        <w:t>20</w:t>
      </w:r>
      <w:r w:rsidR="003D548C">
        <w:t xml:space="preserve"> </w:t>
      </w:r>
      <w:r w:rsidR="00AF2550">
        <w:t xml:space="preserve">– </w:t>
      </w:r>
      <w:r w:rsidR="00690E15">
        <w:t>Candidate Information Sheet</w:t>
      </w:r>
    </w:p>
    <w:p w14:paraId="43285056" w14:textId="77777777" w:rsidR="00AF2550" w:rsidRDefault="00AF2550" w:rsidP="00AF2550">
      <w:pPr>
        <w:pStyle w:val="Heading3"/>
      </w:pPr>
      <w:r>
        <w:t xml:space="preserve">About </w:t>
      </w:r>
      <w:r w:rsidR="00974AFC">
        <w:t>the community trusts</w:t>
      </w:r>
    </w:p>
    <w:p w14:paraId="43285057" w14:textId="1BED0416" w:rsidR="00AF2550" w:rsidRDefault="00974AFC" w:rsidP="00690E15">
      <w:pPr>
        <w:spacing w:after="120"/>
      </w:pPr>
      <w:r>
        <w:t>The community trusts are</w:t>
      </w:r>
      <w:r w:rsidR="00AF2550">
        <w:t xml:space="preserve"> governed by the Community Trusts Act 1999 (the Act), which makes provision for the operation of community trusts established under the Trust Banks Restructuring Act 1988. </w:t>
      </w:r>
      <w:r>
        <w:t>Each trust</w:t>
      </w:r>
      <w:r w:rsidR="00AF2550">
        <w:t xml:space="preserve"> </w:t>
      </w:r>
      <w:r w:rsidR="00BE648A">
        <w:t>is responsible</w:t>
      </w:r>
      <w:r w:rsidR="00AF2550">
        <w:t xml:space="preserve"> for managing a large investment portfolio, as well as carrying out policies to ensure the distribution of grants for charitable, cultural, philanthropic, recreational and </w:t>
      </w:r>
      <w:r w:rsidR="00060A1E">
        <w:t>other purposes beneficial to its</w:t>
      </w:r>
      <w:r w:rsidR="00AF2550">
        <w:t xml:space="preserve"> community.</w:t>
      </w:r>
    </w:p>
    <w:p w14:paraId="43285058" w14:textId="77777777" w:rsidR="00AF2550" w:rsidRDefault="00F968A8" w:rsidP="00690E15">
      <w:pPr>
        <w:spacing w:after="120"/>
      </w:pPr>
      <w:r>
        <w:t>Terms of appointment are for</w:t>
      </w:r>
      <w:r w:rsidR="00F029BC">
        <w:t xml:space="preserve"> up to four years and </w:t>
      </w:r>
      <w:r>
        <w:t xml:space="preserve">trustees </w:t>
      </w:r>
      <w:r w:rsidR="00F029BC">
        <w:t>are eligible for reappointment. Trustees continue in office</w:t>
      </w:r>
      <w:r w:rsidR="00D91E49">
        <w:t>,</w:t>
      </w:r>
      <w:r w:rsidR="00F029BC">
        <w:t xml:space="preserve"> despite the expiry of their term</w:t>
      </w:r>
      <w:r w:rsidR="00D91E49">
        <w:t>,</w:t>
      </w:r>
      <w:r w:rsidR="00F029BC">
        <w:t xml:space="preserve"> until </w:t>
      </w:r>
      <w:r>
        <w:t>a</w:t>
      </w:r>
      <w:r w:rsidR="00D91E49">
        <w:t xml:space="preserve"> further</w:t>
      </w:r>
      <w:r>
        <w:t xml:space="preserve"> appointment decision is made</w:t>
      </w:r>
      <w:r w:rsidR="00F029BC">
        <w:t>.</w:t>
      </w:r>
    </w:p>
    <w:p w14:paraId="43285059" w14:textId="77777777" w:rsidR="00F968A8" w:rsidRPr="00F968A8" w:rsidRDefault="00F968A8" w:rsidP="00F968A8">
      <w:pPr>
        <w:pStyle w:val="Heading3"/>
      </w:pPr>
      <w:r>
        <w:t>Time commitment and remuneration</w:t>
      </w:r>
    </w:p>
    <w:p w14:paraId="4328505A" w14:textId="7BDDE411" w:rsidR="00F968A8" w:rsidRDefault="00F968A8" w:rsidP="00690E15">
      <w:pPr>
        <w:spacing w:after="120"/>
      </w:pPr>
      <w:r>
        <w:t xml:space="preserve">The time commitment </w:t>
      </w:r>
      <w:r w:rsidR="00AE523F">
        <w:t>varies and</w:t>
      </w:r>
      <w:r>
        <w:t xml:space="preserve"> may include meeting attendance, preparation, necessary travel, professional development, and representative duties. </w:t>
      </w:r>
      <w:r w:rsidR="00264BCC">
        <w:t>Some guidance has been included in the table below.</w:t>
      </w:r>
      <w:r w:rsidR="001929E0">
        <w:t xml:space="preserve"> Remuneration levels vary between trusts, and are dependent on factors such as size of region,</w:t>
      </w:r>
      <w:r w:rsidR="00BD770D">
        <w:t xml:space="preserve"> the size of their fund</w:t>
      </w:r>
      <w:bookmarkStart w:id="0" w:name="_GoBack"/>
      <w:bookmarkEnd w:id="0"/>
      <w:r w:rsidR="001929E0">
        <w:t>, and the levels of experience and commitment required of trustees.</w:t>
      </w:r>
    </w:p>
    <w:p w14:paraId="4B066BCB" w14:textId="7903AE03" w:rsidR="006A0F44" w:rsidRDefault="00974AFC" w:rsidP="003226C5">
      <w:pPr>
        <w:spacing w:after="120"/>
      </w:pPr>
      <w:r>
        <w:t>The trusts are</w:t>
      </w:r>
      <w:r w:rsidR="00615F26">
        <w:t xml:space="preserve"> c</w:t>
      </w:r>
      <w:r w:rsidR="00D91E49">
        <w:t>lassified as</w:t>
      </w:r>
      <w:r>
        <w:t xml:space="preserve"> Group 3a </w:t>
      </w:r>
      <w:r w:rsidR="00615F26">
        <w:t>(governance boards</w:t>
      </w:r>
      <w:r w:rsidR="00F968A8">
        <w:t>)</w:t>
      </w:r>
      <w:r w:rsidR="00D91E49">
        <w:t xml:space="preserve"> </w:t>
      </w:r>
      <w:r w:rsidR="007929A6">
        <w:t>under the Cabinet Fees F</w:t>
      </w:r>
      <w:r w:rsidR="00F968A8">
        <w:t>ramework [</w:t>
      </w:r>
      <w:r w:rsidR="001929E0">
        <w:t>CO 19 1</w:t>
      </w:r>
      <w:r w:rsidR="00F968A8">
        <w:t>]</w:t>
      </w:r>
      <w:r w:rsidR="001929E0">
        <w:t xml:space="preserve"> (</w:t>
      </w:r>
      <w:hyperlink r:id="rId12" w:history="1">
        <w:r w:rsidR="001929E0" w:rsidRPr="00B23105">
          <w:rPr>
            <w:rStyle w:val="Hyperlink"/>
          </w:rPr>
          <w:t>www.ssc.govt.nz/our-work/fees/</w:t>
        </w:r>
      </w:hyperlink>
      <w:r w:rsidR="001929E0">
        <w:t>)</w:t>
      </w:r>
      <w:r w:rsidR="00F968A8">
        <w:t xml:space="preserve">. The </w:t>
      </w:r>
      <w:r w:rsidR="008B5BB2">
        <w:t xml:space="preserve">current </w:t>
      </w:r>
      <w:r w:rsidR="00F968A8">
        <w:t>annual fees (excluding disbursements)</w:t>
      </w:r>
      <w:r>
        <w:t xml:space="preserve"> are set out in the following table</w:t>
      </w:r>
      <w:r w:rsidR="00F968A8">
        <w:t>:</w:t>
      </w:r>
    </w:p>
    <w:tbl>
      <w:tblPr>
        <w:tblStyle w:val="Cabinetpaper"/>
        <w:tblW w:w="9179" w:type="dxa"/>
        <w:tblInd w:w="108" w:type="dxa"/>
        <w:tblLook w:val="04A0" w:firstRow="1" w:lastRow="0" w:firstColumn="1" w:lastColumn="0" w:noHBand="0" w:noVBand="1"/>
      </w:tblPr>
      <w:tblGrid>
        <w:gridCol w:w="2854"/>
        <w:gridCol w:w="1134"/>
        <w:gridCol w:w="1134"/>
        <w:gridCol w:w="4057"/>
      </w:tblGrid>
      <w:tr w:rsidR="00264BCC" w14:paraId="61B06B12" w14:textId="77777777" w:rsidTr="00264BCC">
        <w:trPr>
          <w:cnfStyle w:val="100000000000" w:firstRow="1" w:lastRow="0" w:firstColumn="0" w:lastColumn="0" w:oddVBand="0" w:evenVBand="0" w:oddHBand="0" w:evenHBand="0" w:firstRowFirstColumn="0" w:firstRowLastColumn="0" w:lastRowFirstColumn="0" w:lastRowLastColumn="0"/>
          <w:trHeight w:val="180"/>
        </w:trPr>
        <w:tc>
          <w:tcPr>
            <w:tcW w:w="2854" w:type="dxa"/>
            <w:vMerge w:val="restart"/>
            <w:tcBorders>
              <w:bottom w:val="single" w:sz="6" w:space="0" w:color="auto"/>
            </w:tcBorders>
            <w:hideMark/>
          </w:tcPr>
          <w:p w14:paraId="45BB9B71" w14:textId="77777777" w:rsidR="00264BCC" w:rsidRDefault="00264BCC" w:rsidP="002D58C7">
            <w:r>
              <w:rPr>
                <w:b w:val="0"/>
              </w:rPr>
              <w:br w:type="page"/>
            </w:r>
            <w:r>
              <w:t>Trust</w:t>
            </w:r>
          </w:p>
        </w:tc>
        <w:tc>
          <w:tcPr>
            <w:tcW w:w="2268" w:type="dxa"/>
            <w:gridSpan w:val="2"/>
            <w:tcBorders>
              <w:bottom w:val="single" w:sz="6" w:space="0" w:color="FFFFFF" w:themeColor="background1"/>
            </w:tcBorders>
            <w:hideMark/>
          </w:tcPr>
          <w:p w14:paraId="49470CCD" w14:textId="77777777" w:rsidR="00264BCC" w:rsidRPr="00CD6014" w:rsidRDefault="00264BCC" w:rsidP="002D58C7">
            <w:r w:rsidRPr="00CD6014">
              <w:t>Annual remuneration</w:t>
            </w:r>
          </w:p>
        </w:tc>
        <w:tc>
          <w:tcPr>
            <w:tcW w:w="4057" w:type="dxa"/>
            <w:tcBorders>
              <w:bottom w:val="single" w:sz="6" w:space="0" w:color="FFFFFF" w:themeColor="background1"/>
            </w:tcBorders>
          </w:tcPr>
          <w:p w14:paraId="45C2EAA4" w14:textId="1B7E1842" w:rsidR="00264BCC" w:rsidRPr="00CD6014" w:rsidRDefault="00264BCC" w:rsidP="002D58C7">
            <w:pPr>
              <w:rPr>
                <w:b w:val="0"/>
              </w:rPr>
            </w:pPr>
            <w:r>
              <w:t>Estimated t</w:t>
            </w:r>
            <w:r w:rsidRPr="00CD6014">
              <w:t>ime commitment</w:t>
            </w:r>
          </w:p>
        </w:tc>
      </w:tr>
      <w:tr w:rsidR="00264BCC" w14:paraId="5E14867D" w14:textId="77777777" w:rsidTr="00264BCC">
        <w:trPr>
          <w:trHeight w:val="180"/>
        </w:trPr>
        <w:tc>
          <w:tcPr>
            <w:tcW w:w="2854" w:type="dxa"/>
            <w:vMerge/>
            <w:tcBorders>
              <w:top w:val="single" w:sz="6" w:space="0" w:color="1F546B" w:themeColor="text2"/>
              <w:left w:val="single" w:sz="12" w:space="0" w:color="000000" w:themeColor="text1"/>
              <w:bottom w:val="single" w:sz="6" w:space="0" w:color="auto"/>
              <w:right w:val="single" w:sz="6" w:space="0" w:color="FFFFFF" w:themeColor="background1"/>
            </w:tcBorders>
            <w:vAlign w:val="center"/>
            <w:hideMark/>
          </w:tcPr>
          <w:p w14:paraId="4808750B" w14:textId="77777777" w:rsidR="00264BCC" w:rsidRDefault="00264BCC" w:rsidP="002D58C7">
            <w:pPr>
              <w:keepLines w:val="0"/>
              <w:spacing w:before="0" w:after="0"/>
              <w:rPr>
                <w:b/>
                <w:color w:val="FFFFFF" w:themeColor="background1"/>
              </w:rPr>
            </w:pPr>
          </w:p>
        </w:tc>
        <w:tc>
          <w:tcPr>
            <w:tcW w:w="113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00" w:themeFill="text1"/>
            <w:hideMark/>
          </w:tcPr>
          <w:p w14:paraId="077F093B" w14:textId="77777777" w:rsidR="00264BCC" w:rsidRDefault="00264BCC" w:rsidP="002D58C7">
            <w:pPr>
              <w:rPr>
                <w:b/>
              </w:rPr>
            </w:pPr>
            <w:r>
              <w:rPr>
                <w:b/>
              </w:rPr>
              <w:t>Chair</w:t>
            </w:r>
          </w:p>
        </w:tc>
        <w:tc>
          <w:tcPr>
            <w:tcW w:w="1134" w:type="dxa"/>
            <w:tcBorders>
              <w:top w:val="single" w:sz="6" w:space="0" w:color="FFFFFF" w:themeColor="background1"/>
              <w:left w:val="single" w:sz="6" w:space="0" w:color="FFFFFF" w:themeColor="background1"/>
              <w:bottom w:val="single" w:sz="6" w:space="0" w:color="auto"/>
              <w:right w:val="single" w:sz="12" w:space="0" w:color="auto"/>
            </w:tcBorders>
            <w:shd w:val="clear" w:color="auto" w:fill="000000" w:themeFill="text1"/>
            <w:hideMark/>
          </w:tcPr>
          <w:p w14:paraId="2F91D4EE" w14:textId="77777777" w:rsidR="00264BCC" w:rsidRDefault="00264BCC" w:rsidP="002D58C7">
            <w:pPr>
              <w:rPr>
                <w:b/>
              </w:rPr>
            </w:pPr>
            <w:r>
              <w:rPr>
                <w:b/>
              </w:rPr>
              <w:t>Member</w:t>
            </w:r>
          </w:p>
        </w:tc>
        <w:tc>
          <w:tcPr>
            <w:tcW w:w="4057" w:type="dxa"/>
            <w:tcBorders>
              <w:top w:val="single" w:sz="6" w:space="0" w:color="FFFFFF" w:themeColor="background1"/>
              <w:left w:val="single" w:sz="6" w:space="0" w:color="FFFFFF" w:themeColor="background1"/>
              <w:bottom w:val="single" w:sz="6" w:space="0" w:color="auto"/>
              <w:right w:val="single" w:sz="12" w:space="0" w:color="auto"/>
            </w:tcBorders>
            <w:shd w:val="clear" w:color="auto" w:fill="000000" w:themeFill="text1"/>
          </w:tcPr>
          <w:p w14:paraId="08A286A8" w14:textId="77777777" w:rsidR="00264BCC" w:rsidRPr="00CD6014" w:rsidRDefault="00264BCC" w:rsidP="002D58C7">
            <w:pPr>
              <w:rPr>
                <w:b/>
              </w:rPr>
            </w:pPr>
          </w:p>
        </w:tc>
      </w:tr>
      <w:tr w:rsidR="00264BCC" w14:paraId="2AA9645E" w14:textId="77777777" w:rsidTr="00264BCC">
        <w:tc>
          <w:tcPr>
            <w:tcW w:w="2854" w:type="dxa"/>
            <w:tcBorders>
              <w:top w:val="single" w:sz="6" w:space="0" w:color="auto"/>
              <w:left w:val="single" w:sz="12" w:space="0" w:color="auto"/>
              <w:bottom w:val="single" w:sz="6" w:space="0" w:color="auto"/>
              <w:right w:val="single" w:sz="6" w:space="0" w:color="auto"/>
            </w:tcBorders>
            <w:hideMark/>
          </w:tcPr>
          <w:p w14:paraId="547850BC" w14:textId="77777777" w:rsidR="00264BCC" w:rsidRDefault="00264BCC" w:rsidP="002D58C7">
            <w:r>
              <w:t>Bay of Plenty (</w:t>
            </w:r>
            <w:proofErr w:type="spellStart"/>
            <w:r>
              <w:t>BayTrust</w:t>
            </w:r>
            <w:proofErr w:type="spellEnd"/>
            <w:r>
              <w:t>)</w:t>
            </w:r>
          </w:p>
        </w:tc>
        <w:tc>
          <w:tcPr>
            <w:tcW w:w="1134" w:type="dxa"/>
            <w:tcBorders>
              <w:top w:val="single" w:sz="6" w:space="0" w:color="auto"/>
              <w:left w:val="single" w:sz="6" w:space="0" w:color="auto"/>
              <w:bottom w:val="single" w:sz="6" w:space="0" w:color="auto"/>
              <w:right w:val="single" w:sz="6" w:space="0" w:color="auto"/>
            </w:tcBorders>
            <w:hideMark/>
          </w:tcPr>
          <w:p w14:paraId="26BE28A5" w14:textId="77777777" w:rsidR="00264BCC" w:rsidRDefault="00264BCC" w:rsidP="002D58C7">
            <w:r>
              <w:t>$24,000</w:t>
            </w:r>
          </w:p>
        </w:tc>
        <w:tc>
          <w:tcPr>
            <w:tcW w:w="1134" w:type="dxa"/>
            <w:tcBorders>
              <w:top w:val="single" w:sz="6" w:space="0" w:color="auto"/>
              <w:left w:val="single" w:sz="6" w:space="0" w:color="auto"/>
              <w:bottom w:val="single" w:sz="6" w:space="0" w:color="auto"/>
              <w:right w:val="single" w:sz="12" w:space="0" w:color="auto"/>
            </w:tcBorders>
            <w:hideMark/>
          </w:tcPr>
          <w:p w14:paraId="682A0E71" w14:textId="77777777" w:rsidR="00264BCC" w:rsidRDefault="00264BCC" w:rsidP="002D58C7">
            <w:r>
              <w:t>$12,000</w:t>
            </w:r>
          </w:p>
        </w:tc>
        <w:tc>
          <w:tcPr>
            <w:tcW w:w="4057" w:type="dxa"/>
            <w:tcBorders>
              <w:top w:val="single" w:sz="6" w:space="0" w:color="auto"/>
              <w:left w:val="single" w:sz="6" w:space="0" w:color="auto"/>
              <w:bottom w:val="single" w:sz="6" w:space="0" w:color="auto"/>
              <w:right w:val="single" w:sz="12" w:space="0" w:color="auto"/>
            </w:tcBorders>
          </w:tcPr>
          <w:p w14:paraId="3078F059" w14:textId="5FECE041" w:rsidR="00264BCC" w:rsidRDefault="00264BCC" w:rsidP="002D58C7">
            <w:r>
              <w:t>10-12 hours per month</w:t>
            </w:r>
            <w:r w:rsidR="00B21DB0">
              <w:t>.</w:t>
            </w:r>
          </w:p>
        </w:tc>
      </w:tr>
      <w:tr w:rsidR="00264BCC" w14:paraId="67E73531" w14:textId="77777777" w:rsidTr="00264BCC">
        <w:tc>
          <w:tcPr>
            <w:tcW w:w="2854" w:type="dxa"/>
            <w:tcBorders>
              <w:top w:val="single" w:sz="6" w:space="0" w:color="auto"/>
              <w:left w:val="single" w:sz="12" w:space="0" w:color="auto"/>
              <w:bottom w:val="single" w:sz="6" w:space="0" w:color="auto"/>
              <w:right w:val="single" w:sz="6" w:space="0" w:color="auto"/>
            </w:tcBorders>
            <w:hideMark/>
          </w:tcPr>
          <w:p w14:paraId="3F7C426A" w14:textId="77777777" w:rsidR="00264BCC" w:rsidRDefault="00264BCC" w:rsidP="002D58C7">
            <w:r>
              <w:t>The Community Trust of Mid and South Canterbury</w:t>
            </w:r>
          </w:p>
        </w:tc>
        <w:tc>
          <w:tcPr>
            <w:tcW w:w="1134" w:type="dxa"/>
            <w:tcBorders>
              <w:top w:val="single" w:sz="6" w:space="0" w:color="auto"/>
              <w:left w:val="single" w:sz="6" w:space="0" w:color="auto"/>
              <w:bottom w:val="single" w:sz="6" w:space="0" w:color="auto"/>
              <w:right w:val="single" w:sz="6" w:space="0" w:color="auto"/>
            </w:tcBorders>
            <w:hideMark/>
          </w:tcPr>
          <w:p w14:paraId="1D0CB54D" w14:textId="77777777" w:rsidR="00264BCC" w:rsidRDefault="00264BCC" w:rsidP="002D58C7">
            <w:r>
              <w:t>$13,910</w:t>
            </w:r>
          </w:p>
        </w:tc>
        <w:tc>
          <w:tcPr>
            <w:tcW w:w="1134" w:type="dxa"/>
            <w:tcBorders>
              <w:top w:val="single" w:sz="6" w:space="0" w:color="auto"/>
              <w:left w:val="single" w:sz="6" w:space="0" w:color="auto"/>
              <w:bottom w:val="single" w:sz="6" w:space="0" w:color="auto"/>
              <w:right w:val="single" w:sz="12" w:space="0" w:color="auto"/>
            </w:tcBorders>
            <w:hideMark/>
          </w:tcPr>
          <w:p w14:paraId="0B9407D1" w14:textId="77777777" w:rsidR="00264BCC" w:rsidRDefault="00264BCC" w:rsidP="002D58C7">
            <w:r>
              <w:t>$6,955</w:t>
            </w:r>
          </w:p>
        </w:tc>
        <w:tc>
          <w:tcPr>
            <w:tcW w:w="4057" w:type="dxa"/>
            <w:tcBorders>
              <w:top w:val="single" w:sz="6" w:space="0" w:color="auto"/>
              <w:left w:val="single" w:sz="6" w:space="0" w:color="auto"/>
              <w:bottom w:val="single" w:sz="6" w:space="0" w:color="auto"/>
              <w:right w:val="single" w:sz="12" w:space="0" w:color="auto"/>
            </w:tcBorders>
          </w:tcPr>
          <w:p w14:paraId="48FCA349" w14:textId="77777777" w:rsidR="00264BCC" w:rsidRDefault="00264BCC" w:rsidP="002D58C7">
            <w:r>
              <w:t xml:space="preserve">12-15 hours per month. </w:t>
            </w:r>
          </w:p>
          <w:p w14:paraId="1F10F081" w14:textId="122E89ED" w:rsidR="00264BCC" w:rsidRDefault="00264BCC" w:rsidP="002D58C7">
            <w:r>
              <w:t>Meetings held Mondays six weekly, 10</w:t>
            </w:r>
            <w:r w:rsidR="0080217D">
              <w:t>:</w:t>
            </w:r>
            <w:r>
              <w:t>30am -</w:t>
            </w:r>
            <w:r w:rsidR="0080217D">
              <w:t xml:space="preserve"> </w:t>
            </w:r>
            <w:r>
              <w:t xml:space="preserve">4pm; </w:t>
            </w:r>
            <w:proofErr w:type="gramStart"/>
            <w:r>
              <w:t>also</w:t>
            </w:r>
            <w:proofErr w:type="gramEnd"/>
            <w:r>
              <w:t xml:space="preserve"> must attend training when available.</w:t>
            </w:r>
          </w:p>
        </w:tc>
      </w:tr>
      <w:tr w:rsidR="00264BCC" w14:paraId="5D26078D" w14:textId="77777777" w:rsidTr="00264BCC">
        <w:tc>
          <w:tcPr>
            <w:tcW w:w="2854" w:type="dxa"/>
            <w:tcBorders>
              <w:top w:val="single" w:sz="6" w:space="0" w:color="auto"/>
              <w:left w:val="single" w:sz="12" w:space="0" w:color="auto"/>
              <w:bottom w:val="single" w:sz="6" w:space="0" w:color="auto"/>
              <w:right w:val="single" w:sz="6" w:space="0" w:color="auto"/>
            </w:tcBorders>
            <w:hideMark/>
          </w:tcPr>
          <w:p w14:paraId="2BF078B6" w14:textId="77777777" w:rsidR="00264BCC" w:rsidRDefault="00264BCC" w:rsidP="002D58C7">
            <w:r>
              <w:t>Community Trust South</w:t>
            </w:r>
          </w:p>
        </w:tc>
        <w:tc>
          <w:tcPr>
            <w:tcW w:w="1134" w:type="dxa"/>
            <w:tcBorders>
              <w:top w:val="single" w:sz="6" w:space="0" w:color="auto"/>
              <w:left w:val="single" w:sz="6" w:space="0" w:color="auto"/>
              <w:bottom w:val="single" w:sz="6" w:space="0" w:color="auto"/>
              <w:right w:val="single" w:sz="6" w:space="0" w:color="auto"/>
            </w:tcBorders>
            <w:hideMark/>
          </w:tcPr>
          <w:p w14:paraId="4353A4C6" w14:textId="77777777" w:rsidR="00264BCC" w:rsidRDefault="00264BCC" w:rsidP="002D58C7">
            <w:r>
              <w:t>$28,500</w:t>
            </w:r>
          </w:p>
        </w:tc>
        <w:tc>
          <w:tcPr>
            <w:tcW w:w="1134" w:type="dxa"/>
            <w:tcBorders>
              <w:top w:val="single" w:sz="6" w:space="0" w:color="auto"/>
              <w:left w:val="single" w:sz="6" w:space="0" w:color="auto"/>
              <w:bottom w:val="single" w:sz="6" w:space="0" w:color="auto"/>
              <w:right w:val="single" w:sz="12" w:space="0" w:color="auto"/>
            </w:tcBorders>
            <w:hideMark/>
          </w:tcPr>
          <w:p w14:paraId="7AE524C8" w14:textId="77777777" w:rsidR="00264BCC" w:rsidRDefault="00264BCC" w:rsidP="002D58C7">
            <w:r>
              <w:t>$14,250</w:t>
            </w:r>
          </w:p>
        </w:tc>
        <w:tc>
          <w:tcPr>
            <w:tcW w:w="4057" w:type="dxa"/>
            <w:tcBorders>
              <w:top w:val="single" w:sz="6" w:space="0" w:color="auto"/>
              <w:left w:val="single" w:sz="6" w:space="0" w:color="auto"/>
              <w:bottom w:val="single" w:sz="6" w:space="0" w:color="auto"/>
              <w:right w:val="single" w:sz="12" w:space="0" w:color="auto"/>
            </w:tcBorders>
          </w:tcPr>
          <w:p w14:paraId="43C0F93A" w14:textId="1D6419EC" w:rsidR="00264BCC" w:rsidRDefault="00264BCC" w:rsidP="002D58C7">
            <w:r>
              <w:t>30 days per year</w:t>
            </w:r>
            <w:r w:rsidR="00B21DB0">
              <w:t>.</w:t>
            </w:r>
          </w:p>
        </w:tc>
      </w:tr>
      <w:tr w:rsidR="00264BCC" w14:paraId="739B63E9" w14:textId="77777777" w:rsidTr="00264BCC">
        <w:tc>
          <w:tcPr>
            <w:tcW w:w="2854" w:type="dxa"/>
            <w:tcBorders>
              <w:top w:val="single" w:sz="6" w:space="0" w:color="auto"/>
              <w:left w:val="single" w:sz="12" w:space="0" w:color="auto"/>
              <w:bottom w:val="single" w:sz="6" w:space="0" w:color="auto"/>
              <w:right w:val="single" w:sz="6" w:space="0" w:color="auto"/>
            </w:tcBorders>
            <w:hideMark/>
          </w:tcPr>
          <w:p w14:paraId="16FC9221" w14:textId="77777777" w:rsidR="00264BCC" w:rsidRDefault="00264BCC" w:rsidP="002D58C7">
            <w:r>
              <w:t>The Eastern and Central Community Trust</w:t>
            </w:r>
          </w:p>
        </w:tc>
        <w:tc>
          <w:tcPr>
            <w:tcW w:w="1134" w:type="dxa"/>
            <w:tcBorders>
              <w:top w:val="single" w:sz="6" w:space="0" w:color="auto"/>
              <w:left w:val="single" w:sz="6" w:space="0" w:color="auto"/>
              <w:bottom w:val="single" w:sz="6" w:space="0" w:color="auto"/>
              <w:right w:val="single" w:sz="6" w:space="0" w:color="auto"/>
            </w:tcBorders>
            <w:hideMark/>
          </w:tcPr>
          <w:p w14:paraId="727EB0A9" w14:textId="77777777" w:rsidR="00264BCC" w:rsidRDefault="00264BCC" w:rsidP="002D58C7">
            <w:r>
              <w:t>$24,000</w:t>
            </w:r>
          </w:p>
        </w:tc>
        <w:tc>
          <w:tcPr>
            <w:tcW w:w="1134" w:type="dxa"/>
            <w:tcBorders>
              <w:top w:val="single" w:sz="6" w:space="0" w:color="auto"/>
              <w:left w:val="single" w:sz="6" w:space="0" w:color="auto"/>
              <w:bottom w:val="single" w:sz="6" w:space="0" w:color="auto"/>
              <w:right w:val="single" w:sz="12" w:space="0" w:color="auto"/>
            </w:tcBorders>
            <w:hideMark/>
          </w:tcPr>
          <w:p w14:paraId="014C37D6" w14:textId="77777777" w:rsidR="00264BCC" w:rsidRDefault="00264BCC" w:rsidP="002D58C7">
            <w:r>
              <w:t>$12,000</w:t>
            </w:r>
          </w:p>
        </w:tc>
        <w:tc>
          <w:tcPr>
            <w:tcW w:w="4057" w:type="dxa"/>
            <w:tcBorders>
              <w:top w:val="single" w:sz="6" w:space="0" w:color="auto"/>
              <w:left w:val="single" w:sz="6" w:space="0" w:color="auto"/>
              <w:bottom w:val="single" w:sz="6" w:space="0" w:color="auto"/>
              <w:right w:val="single" w:sz="12" w:space="0" w:color="auto"/>
            </w:tcBorders>
          </w:tcPr>
          <w:p w14:paraId="6406CAB5" w14:textId="77777777" w:rsidR="00264BCC" w:rsidRDefault="00264BCC" w:rsidP="002D58C7">
            <w:r>
              <w:t>30 days per year.</w:t>
            </w:r>
          </w:p>
        </w:tc>
      </w:tr>
      <w:tr w:rsidR="00264BCC" w14:paraId="73512A4F" w14:textId="77777777" w:rsidTr="00264BCC">
        <w:tc>
          <w:tcPr>
            <w:tcW w:w="2854" w:type="dxa"/>
            <w:tcBorders>
              <w:top w:val="single" w:sz="6" w:space="0" w:color="auto"/>
              <w:left w:val="single" w:sz="12" w:space="0" w:color="auto"/>
              <w:bottom w:val="single" w:sz="6" w:space="0" w:color="auto"/>
              <w:right w:val="single" w:sz="6" w:space="0" w:color="auto"/>
            </w:tcBorders>
            <w:hideMark/>
          </w:tcPr>
          <w:p w14:paraId="2B54C500" w14:textId="77777777" w:rsidR="00264BCC" w:rsidRDefault="00264BCC" w:rsidP="002D58C7">
            <w:r>
              <w:t>Foundation North</w:t>
            </w:r>
          </w:p>
        </w:tc>
        <w:tc>
          <w:tcPr>
            <w:tcW w:w="1134" w:type="dxa"/>
            <w:tcBorders>
              <w:top w:val="single" w:sz="6" w:space="0" w:color="auto"/>
              <w:left w:val="single" w:sz="6" w:space="0" w:color="auto"/>
              <w:bottom w:val="single" w:sz="6" w:space="0" w:color="auto"/>
              <w:right w:val="single" w:sz="6" w:space="0" w:color="auto"/>
            </w:tcBorders>
            <w:hideMark/>
          </w:tcPr>
          <w:p w14:paraId="6E166571" w14:textId="77777777" w:rsidR="00264BCC" w:rsidRDefault="00264BCC" w:rsidP="002D58C7">
            <w:r>
              <w:t>$34,000</w:t>
            </w:r>
          </w:p>
        </w:tc>
        <w:tc>
          <w:tcPr>
            <w:tcW w:w="1134" w:type="dxa"/>
            <w:tcBorders>
              <w:top w:val="single" w:sz="6" w:space="0" w:color="auto"/>
              <w:left w:val="single" w:sz="6" w:space="0" w:color="auto"/>
              <w:bottom w:val="single" w:sz="6" w:space="0" w:color="auto"/>
              <w:right w:val="single" w:sz="12" w:space="0" w:color="auto"/>
            </w:tcBorders>
            <w:hideMark/>
          </w:tcPr>
          <w:p w14:paraId="6C3E9516" w14:textId="77777777" w:rsidR="00264BCC" w:rsidRDefault="00264BCC" w:rsidP="002D58C7">
            <w:r>
              <w:t>$17,000</w:t>
            </w:r>
          </w:p>
        </w:tc>
        <w:tc>
          <w:tcPr>
            <w:tcW w:w="4057" w:type="dxa"/>
            <w:tcBorders>
              <w:top w:val="single" w:sz="6" w:space="0" w:color="auto"/>
              <w:left w:val="single" w:sz="6" w:space="0" w:color="auto"/>
              <w:bottom w:val="single" w:sz="6" w:space="0" w:color="auto"/>
              <w:right w:val="single" w:sz="12" w:space="0" w:color="auto"/>
            </w:tcBorders>
          </w:tcPr>
          <w:p w14:paraId="37EA62B5" w14:textId="77777777" w:rsidR="00264BCC" w:rsidRDefault="00264BCC" w:rsidP="002D58C7">
            <w:r>
              <w:t>30 days per year (50 days per year for the Chair).</w:t>
            </w:r>
          </w:p>
          <w:p w14:paraId="35D97B04" w14:textId="295738E6" w:rsidR="00264BCC" w:rsidRDefault="00264BCC" w:rsidP="002D58C7">
            <w:r>
              <w:t xml:space="preserve">Meetings are held on Mondays. Trustees are asked to leave all Mondays free to be able to fully participate in Board, committee, sub-committee meetings, grantee visits and workshops. </w:t>
            </w:r>
            <w:r w:rsidR="0080217D">
              <w:t xml:space="preserve">Trustees should also be available to </w:t>
            </w:r>
            <w:r>
              <w:t>attend two strategy</w:t>
            </w:r>
            <w:r w:rsidR="0014145F">
              <w:t xml:space="preserve"> meetings</w:t>
            </w:r>
            <w:r>
              <w:t xml:space="preserve"> retreats annually, in February and October, and take place off-site over a Sunday</w:t>
            </w:r>
            <w:r w:rsidR="0080217D">
              <w:t xml:space="preserve"> to </w:t>
            </w:r>
            <w:r>
              <w:t>Monday.</w:t>
            </w:r>
          </w:p>
        </w:tc>
      </w:tr>
      <w:tr w:rsidR="00264BCC" w14:paraId="67E07977" w14:textId="77777777" w:rsidTr="00264BCC">
        <w:tc>
          <w:tcPr>
            <w:tcW w:w="2854" w:type="dxa"/>
            <w:tcBorders>
              <w:top w:val="single" w:sz="6" w:space="0" w:color="auto"/>
              <w:left w:val="single" w:sz="12" w:space="0" w:color="auto"/>
              <w:bottom w:val="single" w:sz="6" w:space="0" w:color="auto"/>
              <w:right w:val="single" w:sz="6" w:space="0" w:color="auto"/>
            </w:tcBorders>
            <w:hideMark/>
          </w:tcPr>
          <w:p w14:paraId="0BD0FB15" w14:textId="77777777" w:rsidR="00264BCC" w:rsidRDefault="00264BCC" w:rsidP="002D58C7">
            <w:r>
              <w:lastRenderedPageBreak/>
              <w:t>Otago Community Trust</w:t>
            </w:r>
          </w:p>
        </w:tc>
        <w:tc>
          <w:tcPr>
            <w:tcW w:w="1134" w:type="dxa"/>
            <w:tcBorders>
              <w:top w:val="single" w:sz="6" w:space="0" w:color="auto"/>
              <w:left w:val="single" w:sz="6" w:space="0" w:color="auto"/>
              <w:bottom w:val="single" w:sz="6" w:space="0" w:color="auto"/>
              <w:right w:val="single" w:sz="6" w:space="0" w:color="auto"/>
            </w:tcBorders>
            <w:hideMark/>
          </w:tcPr>
          <w:p w14:paraId="6B3D1B22" w14:textId="77777777" w:rsidR="00264BCC" w:rsidRDefault="00264BCC" w:rsidP="002D58C7">
            <w:r>
              <w:t>$24,000</w:t>
            </w:r>
          </w:p>
        </w:tc>
        <w:tc>
          <w:tcPr>
            <w:tcW w:w="1134" w:type="dxa"/>
            <w:tcBorders>
              <w:top w:val="single" w:sz="6" w:space="0" w:color="auto"/>
              <w:left w:val="single" w:sz="6" w:space="0" w:color="auto"/>
              <w:bottom w:val="single" w:sz="6" w:space="0" w:color="auto"/>
              <w:right w:val="single" w:sz="12" w:space="0" w:color="auto"/>
            </w:tcBorders>
            <w:hideMark/>
          </w:tcPr>
          <w:p w14:paraId="2246E4A2" w14:textId="77777777" w:rsidR="00264BCC" w:rsidRDefault="00264BCC" w:rsidP="002D58C7">
            <w:r>
              <w:t>$12,000</w:t>
            </w:r>
          </w:p>
        </w:tc>
        <w:tc>
          <w:tcPr>
            <w:tcW w:w="4057" w:type="dxa"/>
            <w:tcBorders>
              <w:top w:val="single" w:sz="6" w:space="0" w:color="auto"/>
              <w:left w:val="single" w:sz="6" w:space="0" w:color="auto"/>
              <w:bottom w:val="single" w:sz="6" w:space="0" w:color="auto"/>
              <w:right w:val="single" w:sz="12" w:space="0" w:color="auto"/>
            </w:tcBorders>
          </w:tcPr>
          <w:p w14:paraId="14BDE94E" w14:textId="77777777" w:rsidR="00264BCC" w:rsidRDefault="00264BCC" w:rsidP="002D58C7">
            <w:r>
              <w:t>10-12 hours per month.</w:t>
            </w:r>
          </w:p>
          <w:p w14:paraId="54AC0FA1" w14:textId="0B4B2E29" w:rsidR="00264BCC" w:rsidRPr="00CD6014" w:rsidRDefault="00264BCC" w:rsidP="002D58C7">
            <w:pPr>
              <w:rPr>
                <w:rFonts w:eastAsia="Times New Roman"/>
              </w:rPr>
            </w:pPr>
            <w:r>
              <w:rPr>
                <w:rFonts w:eastAsia="Times New Roman"/>
              </w:rPr>
              <w:t xml:space="preserve">Four visits to locations across the year. </w:t>
            </w:r>
            <w:r w:rsidR="0080217D">
              <w:rPr>
                <w:rFonts w:eastAsia="Times New Roman"/>
              </w:rPr>
              <w:t xml:space="preserve">Visits </w:t>
            </w:r>
            <w:r>
              <w:rPr>
                <w:rFonts w:eastAsia="Times New Roman"/>
              </w:rPr>
              <w:t>coincide with a Board meeting</w:t>
            </w:r>
            <w:r w:rsidR="0080217D">
              <w:rPr>
                <w:rFonts w:eastAsia="Times New Roman"/>
              </w:rPr>
              <w:t>.</w:t>
            </w:r>
          </w:p>
        </w:tc>
      </w:tr>
      <w:tr w:rsidR="00264BCC" w14:paraId="49578E78" w14:textId="77777777" w:rsidTr="00264BCC">
        <w:tc>
          <w:tcPr>
            <w:tcW w:w="2854" w:type="dxa"/>
            <w:tcBorders>
              <w:top w:val="single" w:sz="6" w:space="0" w:color="auto"/>
              <w:left w:val="single" w:sz="12" w:space="0" w:color="auto"/>
              <w:bottom w:val="single" w:sz="6" w:space="0" w:color="auto"/>
              <w:right w:val="single" w:sz="6" w:space="0" w:color="auto"/>
            </w:tcBorders>
            <w:hideMark/>
          </w:tcPr>
          <w:p w14:paraId="29A0AC3D" w14:textId="77777777" w:rsidR="00264BCC" w:rsidRDefault="00264BCC" w:rsidP="002D58C7">
            <w:r>
              <w:t>Rāt</w:t>
            </w:r>
            <w:r>
              <w:rPr>
                <w:rFonts w:asciiTheme="minorHAnsi" w:hAnsiTheme="minorHAnsi"/>
              </w:rPr>
              <w:t>ā</w:t>
            </w:r>
            <w:r>
              <w:t xml:space="preserve"> Foundation</w:t>
            </w:r>
          </w:p>
        </w:tc>
        <w:tc>
          <w:tcPr>
            <w:tcW w:w="1134" w:type="dxa"/>
            <w:tcBorders>
              <w:top w:val="single" w:sz="6" w:space="0" w:color="auto"/>
              <w:left w:val="single" w:sz="6" w:space="0" w:color="auto"/>
              <w:bottom w:val="single" w:sz="6" w:space="0" w:color="auto"/>
              <w:right w:val="single" w:sz="6" w:space="0" w:color="auto"/>
            </w:tcBorders>
            <w:hideMark/>
          </w:tcPr>
          <w:p w14:paraId="13FC6A1E" w14:textId="77777777" w:rsidR="00264BCC" w:rsidRDefault="00264BCC" w:rsidP="002D58C7">
            <w:r>
              <w:t>$28,000</w:t>
            </w:r>
          </w:p>
        </w:tc>
        <w:tc>
          <w:tcPr>
            <w:tcW w:w="1134" w:type="dxa"/>
            <w:tcBorders>
              <w:top w:val="single" w:sz="6" w:space="0" w:color="auto"/>
              <w:left w:val="single" w:sz="6" w:space="0" w:color="auto"/>
              <w:bottom w:val="single" w:sz="6" w:space="0" w:color="auto"/>
              <w:right w:val="single" w:sz="12" w:space="0" w:color="auto"/>
            </w:tcBorders>
            <w:hideMark/>
          </w:tcPr>
          <w:p w14:paraId="557FBF17" w14:textId="77777777" w:rsidR="00264BCC" w:rsidRDefault="00264BCC" w:rsidP="002D58C7">
            <w:r>
              <w:t>$14,000</w:t>
            </w:r>
          </w:p>
        </w:tc>
        <w:tc>
          <w:tcPr>
            <w:tcW w:w="4057" w:type="dxa"/>
            <w:tcBorders>
              <w:top w:val="single" w:sz="6" w:space="0" w:color="auto"/>
              <w:left w:val="single" w:sz="6" w:space="0" w:color="auto"/>
              <w:bottom w:val="single" w:sz="6" w:space="0" w:color="auto"/>
              <w:right w:val="single" w:sz="12" w:space="0" w:color="auto"/>
            </w:tcBorders>
          </w:tcPr>
          <w:p w14:paraId="20D2A60E" w14:textId="77777777" w:rsidR="00264BCC" w:rsidRDefault="00264BCC" w:rsidP="002D58C7">
            <w:r>
              <w:t>2 days per month.</w:t>
            </w:r>
          </w:p>
          <w:p w14:paraId="4C39329D" w14:textId="77777777" w:rsidR="00264BCC" w:rsidRDefault="00264BCC" w:rsidP="002D58C7">
            <w:r>
              <w:t>Attendance at evening functions required from time to time.</w:t>
            </w:r>
          </w:p>
        </w:tc>
      </w:tr>
      <w:tr w:rsidR="00264BCC" w14:paraId="30799F89" w14:textId="77777777" w:rsidTr="00264BCC">
        <w:tc>
          <w:tcPr>
            <w:tcW w:w="2854" w:type="dxa"/>
            <w:tcBorders>
              <w:top w:val="single" w:sz="6" w:space="0" w:color="auto"/>
              <w:left w:val="single" w:sz="12" w:space="0" w:color="auto"/>
              <w:bottom w:val="single" w:sz="6" w:space="0" w:color="auto"/>
              <w:right w:val="single" w:sz="6" w:space="0" w:color="auto"/>
            </w:tcBorders>
            <w:hideMark/>
          </w:tcPr>
          <w:p w14:paraId="3F017ED7" w14:textId="77777777" w:rsidR="00264BCC" w:rsidRDefault="00264BCC" w:rsidP="002D58C7">
            <w:r>
              <w:t>TSB Community Trust</w:t>
            </w:r>
          </w:p>
        </w:tc>
        <w:tc>
          <w:tcPr>
            <w:tcW w:w="1134" w:type="dxa"/>
            <w:tcBorders>
              <w:top w:val="single" w:sz="6" w:space="0" w:color="auto"/>
              <w:left w:val="single" w:sz="6" w:space="0" w:color="auto"/>
              <w:bottom w:val="single" w:sz="6" w:space="0" w:color="auto"/>
              <w:right w:val="single" w:sz="6" w:space="0" w:color="auto"/>
            </w:tcBorders>
            <w:hideMark/>
          </w:tcPr>
          <w:p w14:paraId="376BD180" w14:textId="77777777" w:rsidR="00264BCC" w:rsidRDefault="00264BCC" w:rsidP="002D58C7">
            <w:r>
              <w:t>$20,000</w:t>
            </w:r>
          </w:p>
        </w:tc>
        <w:tc>
          <w:tcPr>
            <w:tcW w:w="1134" w:type="dxa"/>
            <w:tcBorders>
              <w:top w:val="single" w:sz="6" w:space="0" w:color="auto"/>
              <w:left w:val="single" w:sz="6" w:space="0" w:color="auto"/>
              <w:bottom w:val="single" w:sz="6" w:space="0" w:color="auto"/>
              <w:right w:val="single" w:sz="12" w:space="0" w:color="auto"/>
            </w:tcBorders>
            <w:hideMark/>
          </w:tcPr>
          <w:p w14:paraId="3E50FBB5" w14:textId="77777777" w:rsidR="00264BCC" w:rsidRDefault="00264BCC" w:rsidP="002D58C7">
            <w:r>
              <w:t>$10,000</w:t>
            </w:r>
          </w:p>
        </w:tc>
        <w:tc>
          <w:tcPr>
            <w:tcW w:w="4057" w:type="dxa"/>
            <w:tcBorders>
              <w:top w:val="single" w:sz="6" w:space="0" w:color="auto"/>
              <w:left w:val="single" w:sz="6" w:space="0" w:color="auto"/>
              <w:bottom w:val="single" w:sz="6" w:space="0" w:color="auto"/>
              <w:right w:val="single" w:sz="12" w:space="0" w:color="auto"/>
            </w:tcBorders>
          </w:tcPr>
          <w:p w14:paraId="43D53149" w14:textId="77777777" w:rsidR="00264BCC" w:rsidRDefault="00264BCC" w:rsidP="002D58C7">
            <w:r>
              <w:t>Approximately 35 days per year (55 days per year for the Chair).</w:t>
            </w:r>
          </w:p>
          <w:p w14:paraId="64D091E3" w14:textId="764AEC89" w:rsidR="00264BCC" w:rsidRDefault="00264BCC" w:rsidP="002D58C7">
            <w:r>
              <w:t>This</w:t>
            </w:r>
            <w:r w:rsidR="009E7BBD">
              <w:t xml:space="preserve"> does not</w:t>
            </w:r>
            <w:r>
              <w:t xml:space="preserve"> include</w:t>
            </w:r>
            <w:r w:rsidR="000B4394">
              <w:t xml:space="preserve"> the</w:t>
            </w:r>
            <w:r>
              <w:t xml:space="preserve"> time commitment for those </w:t>
            </w:r>
            <w:r w:rsidR="0014145F">
              <w:t>trustees</w:t>
            </w:r>
            <w:r w:rsidR="0080217D">
              <w:t xml:space="preserve"> </w:t>
            </w:r>
            <w:r w:rsidR="0014145F">
              <w:t>who may be further</w:t>
            </w:r>
            <w:r>
              <w:t xml:space="preserve"> appointed as </w:t>
            </w:r>
            <w:r w:rsidR="00060A1E">
              <w:t>d</w:t>
            </w:r>
            <w:r>
              <w:t>irectors to the subsidiary companies.</w:t>
            </w:r>
          </w:p>
        </w:tc>
      </w:tr>
      <w:tr w:rsidR="00264BCC" w14:paraId="0049AC92" w14:textId="77777777" w:rsidTr="00264BCC">
        <w:tc>
          <w:tcPr>
            <w:tcW w:w="2854" w:type="dxa"/>
            <w:tcBorders>
              <w:top w:val="single" w:sz="6" w:space="0" w:color="auto"/>
              <w:left w:val="single" w:sz="12" w:space="0" w:color="auto"/>
              <w:bottom w:val="single" w:sz="6" w:space="0" w:color="auto"/>
              <w:right w:val="single" w:sz="6" w:space="0" w:color="auto"/>
            </w:tcBorders>
            <w:hideMark/>
          </w:tcPr>
          <w:p w14:paraId="44EA1E17" w14:textId="77777777" w:rsidR="00264BCC" w:rsidRDefault="00264BCC" w:rsidP="002D58C7">
            <w:r>
              <w:t>Trust Waikato</w:t>
            </w:r>
          </w:p>
        </w:tc>
        <w:tc>
          <w:tcPr>
            <w:tcW w:w="1134" w:type="dxa"/>
            <w:tcBorders>
              <w:top w:val="single" w:sz="6" w:space="0" w:color="auto"/>
              <w:left w:val="single" w:sz="6" w:space="0" w:color="auto"/>
              <w:bottom w:val="single" w:sz="6" w:space="0" w:color="auto"/>
              <w:right w:val="single" w:sz="6" w:space="0" w:color="auto"/>
            </w:tcBorders>
            <w:hideMark/>
          </w:tcPr>
          <w:p w14:paraId="64913198" w14:textId="77777777" w:rsidR="00264BCC" w:rsidRDefault="00264BCC" w:rsidP="002D58C7">
            <w:r>
              <w:t>$25,330</w:t>
            </w:r>
          </w:p>
        </w:tc>
        <w:tc>
          <w:tcPr>
            <w:tcW w:w="1134" w:type="dxa"/>
            <w:tcBorders>
              <w:top w:val="single" w:sz="6" w:space="0" w:color="auto"/>
              <w:left w:val="single" w:sz="6" w:space="0" w:color="auto"/>
              <w:bottom w:val="single" w:sz="6" w:space="0" w:color="auto"/>
              <w:right w:val="single" w:sz="12" w:space="0" w:color="auto"/>
            </w:tcBorders>
            <w:hideMark/>
          </w:tcPr>
          <w:p w14:paraId="31287ADF" w14:textId="77777777" w:rsidR="00264BCC" w:rsidRDefault="00264BCC" w:rsidP="002D58C7">
            <w:r>
              <w:t>$12,665</w:t>
            </w:r>
          </w:p>
        </w:tc>
        <w:tc>
          <w:tcPr>
            <w:tcW w:w="4057" w:type="dxa"/>
            <w:tcBorders>
              <w:top w:val="single" w:sz="6" w:space="0" w:color="auto"/>
              <w:left w:val="single" w:sz="6" w:space="0" w:color="auto"/>
              <w:bottom w:val="single" w:sz="6" w:space="0" w:color="auto"/>
              <w:right w:val="single" w:sz="12" w:space="0" w:color="auto"/>
            </w:tcBorders>
          </w:tcPr>
          <w:p w14:paraId="78FE9101" w14:textId="77777777" w:rsidR="00264BCC" w:rsidRDefault="00264BCC" w:rsidP="002D58C7">
            <w:r>
              <w:t>30 days per year.</w:t>
            </w:r>
          </w:p>
          <w:p w14:paraId="590DC4F4" w14:textId="1F035590" w:rsidR="00264BCC" w:rsidRDefault="00264BCC" w:rsidP="002D58C7">
            <w:r>
              <w:t>Workload includes attending board meetings, committee meetings, community catch-ups, community events and any professional development. Trustees are encouraged to attend the Philanthropy New Zealand Conference and the Combined Community Trust Conference, which are held on alternate years. Included in the time allocation is meeting preparation time.  </w:t>
            </w:r>
          </w:p>
        </w:tc>
      </w:tr>
      <w:tr w:rsidR="00264BCC" w14:paraId="3A27B660" w14:textId="77777777" w:rsidTr="00264BCC">
        <w:tc>
          <w:tcPr>
            <w:tcW w:w="2854" w:type="dxa"/>
            <w:tcBorders>
              <w:top w:val="single" w:sz="6" w:space="0" w:color="auto"/>
              <w:left w:val="single" w:sz="12" w:space="0" w:color="auto"/>
              <w:bottom w:val="single" w:sz="6" w:space="0" w:color="auto"/>
              <w:right w:val="single" w:sz="6" w:space="0" w:color="auto"/>
            </w:tcBorders>
            <w:hideMark/>
          </w:tcPr>
          <w:p w14:paraId="256E0E0B" w14:textId="77777777" w:rsidR="00264BCC" w:rsidRDefault="00264BCC" w:rsidP="002D58C7">
            <w:r>
              <w:t>Whanganui Community Foundation</w:t>
            </w:r>
          </w:p>
        </w:tc>
        <w:tc>
          <w:tcPr>
            <w:tcW w:w="1134" w:type="dxa"/>
            <w:tcBorders>
              <w:top w:val="single" w:sz="6" w:space="0" w:color="auto"/>
              <w:left w:val="single" w:sz="6" w:space="0" w:color="auto"/>
              <w:bottom w:val="single" w:sz="6" w:space="0" w:color="auto"/>
              <w:right w:val="single" w:sz="6" w:space="0" w:color="auto"/>
            </w:tcBorders>
            <w:hideMark/>
          </w:tcPr>
          <w:p w14:paraId="0A1D8DE6" w14:textId="77777777" w:rsidR="00264BCC" w:rsidRDefault="00264BCC" w:rsidP="002D58C7">
            <w:r>
              <w:t>$12,000</w:t>
            </w:r>
          </w:p>
        </w:tc>
        <w:tc>
          <w:tcPr>
            <w:tcW w:w="1134" w:type="dxa"/>
            <w:tcBorders>
              <w:top w:val="single" w:sz="6" w:space="0" w:color="auto"/>
              <w:left w:val="single" w:sz="6" w:space="0" w:color="auto"/>
              <w:bottom w:val="single" w:sz="6" w:space="0" w:color="auto"/>
              <w:right w:val="single" w:sz="12" w:space="0" w:color="auto"/>
            </w:tcBorders>
            <w:hideMark/>
          </w:tcPr>
          <w:p w14:paraId="2AD96083" w14:textId="77777777" w:rsidR="00264BCC" w:rsidRDefault="00264BCC" w:rsidP="002D58C7">
            <w:r>
              <w:t>$6,000</w:t>
            </w:r>
          </w:p>
        </w:tc>
        <w:tc>
          <w:tcPr>
            <w:tcW w:w="4057" w:type="dxa"/>
            <w:tcBorders>
              <w:top w:val="single" w:sz="6" w:space="0" w:color="auto"/>
              <w:left w:val="single" w:sz="6" w:space="0" w:color="auto"/>
              <w:bottom w:val="single" w:sz="6" w:space="0" w:color="auto"/>
              <w:right w:val="single" w:sz="12" w:space="0" w:color="auto"/>
            </w:tcBorders>
          </w:tcPr>
          <w:p w14:paraId="70583EA7" w14:textId="77777777" w:rsidR="00264BCC" w:rsidRDefault="00264BCC" w:rsidP="002D58C7">
            <w:r>
              <w:t>10-12 hours per month.</w:t>
            </w:r>
          </w:p>
          <w:p w14:paraId="04688E4C" w14:textId="6B4256B4" w:rsidR="00264BCC" w:rsidRPr="00CD6014" w:rsidRDefault="00271AF2" w:rsidP="002D58C7">
            <w:pPr>
              <w:rPr>
                <w:rFonts w:eastAsia="Times New Roman"/>
              </w:rPr>
            </w:pPr>
            <w:r>
              <w:rPr>
                <w:rFonts w:eastAsia="Times New Roman"/>
              </w:rPr>
              <w:t>Ten</w:t>
            </w:r>
            <w:r w:rsidR="00264BCC" w:rsidRPr="00987C44">
              <w:rPr>
                <w:rFonts w:eastAsia="Times New Roman"/>
              </w:rPr>
              <w:t xml:space="preserve"> half</w:t>
            </w:r>
            <w:r w:rsidR="0080217D">
              <w:rPr>
                <w:rFonts w:eastAsia="Times New Roman"/>
              </w:rPr>
              <w:t>-</w:t>
            </w:r>
            <w:r w:rsidR="00264BCC" w:rsidRPr="00987C44">
              <w:rPr>
                <w:rFonts w:eastAsia="Times New Roman"/>
              </w:rPr>
              <w:t xml:space="preserve">day meetings </w:t>
            </w:r>
            <w:r w:rsidR="00264BCC">
              <w:rPr>
                <w:rFonts w:eastAsia="Times New Roman"/>
              </w:rPr>
              <w:t>per</w:t>
            </w:r>
            <w:r w:rsidR="00264BCC" w:rsidRPr="00987C44">
              <w:rPr>
                <w:rFonts w:eastAsia="Times New Roman"/>
              </w:rPr>
              <w:t xml:space="preserve"> year</w:t>
            </w:r>
            <w:r w:rsidR="00264BCC">
              <w:rPr>
                <w:rFonts w:eastAsia="Times New Roman"/>
              </w:rPr>
              <w:t xml:space="preserve"> and </w:t>
            </w:r>
            <w:r w:rsidR="00264BCC" w:rsidRPr="00987C44">
              <w:rPr>
                <w:rFonts w:eastAsia="Times New Roman"/>
              </w:rPr>
              <w:t>2 full day professional development opportunities per year</w:t>
            </w:r>
            <w:r w:rsidR="00B21DB0">
              <w:rPr>
                <w:rFonts w:eastAsia="Times New Roman"/>
              </w:rPr>
              <w:t>.</w:t>
            </w:r>
          </w:p>
        </w:tc>
      </w:tr>
      <w:tr w:rsidR="00264BCC" w14:paraId="28CFE28C" w14:textId="77777777" w:rsidTr="00264BCC">
        <w:tc>
          <w:tcPr>
            <w:tcW w:w="2854" w:type="dxa"/>
            <w:tcBorders>
              <w:top w:val="single" w:sz="6" w:space="0" w:color="auto"/>
              <w:left w:val="single" w:sz="12" w:space="0" w:color="auto"/>
              <w:bottom w:val="single" w:sz="6" w:space="0" w:color="auto"/>
              <w:right w:val="single" w:sz="6" w:space="0" w:color="auto"/>
            </w:tcBorders>
            <w:hideMark/>
          </w:tcPr>
          <w:p w14:paraId="208C66A1" w14:textId="77777777" w:rsidR="00264BCC" w:rsidRDefault="00264BCC" w:rsidP="002D58C7">
            <w:r>
              <w:t>Wellington Community Trust</w:t>
            </w:r>
          </w:p>
        </w:tc>
        <w:tc>
          <w:tcPr>
            <w:tcW w:w="1134" w:type="dxa"/>
            <w:tcBorders>
              <w:top w:val="single" w:sz="6" w:space="0" w:color="auto"/>
              <w:left w:val="single" w:sz="6" w:space="0" w:color="auto"/>
              <w:bottom w:val="single" w:sz="6" w:space="0" w:color="auto"/>
              <w:right w:val="single" w:sz="6" w:space="0" w:color="auto"/>
            </w:tcBorders>
            <w:hideMark/>
          </w:tcPr>
          <w:p w14:paraId="4549FB97" w14:textId="77777777" w:rsidR="00264BCC" w:rsidRDefault="00264BCC" w:rsidP="002D58C7">
            <w:r>
              <w:t>$12,000</w:t>
            </w:r>
          </w:p>
        </w:tc>
        <w:tc>
          <w:tcPr>
            <w:tcW w:w="1134" w:type="dxa"/>
            <w:tcBorders>
              <w:top w:val="single" w:sz="6" w:space="0" w:color="auto"/>
              <w:left w:val="single" w:sz="6" w:space="0" w:color="auto"/>
              <w:bottom w:val="single" w:sz="6" w:space="0" w:color="auto"/>
              <w:right w:val="single" w:sz="12" w:space="0" w:color="auto"/>
            </w:tcBorders>
            <w:hideMark/>
          </w:tcPr>
          <w:p w14:paraId="4245A62C" w14:textId="77777777" w:rsidR="00264BCC" w:rsidRDefault="00264BCC" w:rsidP="002D58C7">
            <w:r>
              <w:t>$6,000</w:t>
            </w:r>
          </w:p>
        </w:tc>
        <w:tc>
          <w:tcPr>
            <w:tcW w:w="4057" w:type="dxa"/>
            <w:tcBorders>
              <w:top w:val="single" w:sz="6" w:space="0" w:color="auto"/>
              <w:left w:val="single" w:sz="6" w:space="0" w:color="auto"/>
              <w:bottom w:val="single" w:sz="6" w:space="0" w:color="auto"/>
              <w:right w:val="single" w:sz="12" w:space="0" w:color="auto"/>
            </w:tcBorders>
          </w:tcPr>
          <w:p w14:paraId="0504C96B" w14:textId="77777777" w:rsidR="00264BCC" w:rsidRDefault="00264BCC" w:rsidP="002D58C7">
            <w:r>
              <w:t>14-16 hours per month.</w:t>
            </w:r>
          </w:p>
          <w:p w14:paraId="23AFC2C6" w14:textId="7AFDC2F9" w:rsidR="00264BCC" w:rsidRDefault="00264BCC" w:rsidP="002D58C7">
            <w:r>
              <w:t xml:space="preserve">Two planning days per year (week days); evening functions where appropriate.  Board meetings </w:t>
            </w:r>
            <w:r w:rsidR="00271AF2">
              <w:t xml:space="preserve">are </w:t>
            </w:r>
            <w:r>
              <w:t>held monthly during business hours.</w:t>
            </w:r>
          </w:p>
        </w:tc>
      </w:tr>
      <w:tr w:rsidR="00264BCC" w14:paraId="76DC7CDE" w14:textId="77777777" w:rsidTr="00264BCC">
        <w:tc>
          <w:tcPr>
            <w:tcW w:w="2854" w:type="dxa"/>
            <w:tcBorders>
              <w:top w:val="single" w:sz="6" w:space="0" w:color="auto"/>
              <w:left w:val="single" w:sz="12" w:space="0" w:color="auto"/>
              <w:bottom w:val="single" w:sz="12" w:space="0" w:color="auto"/>
              <w:right w:val="single" w:sz="6" w:space="0" w:color="auto"/>
            </w:tcBorders>
            <w:hideMark/>
          </w:tcPr>
          <w:p w14:paraId="4A32ECAD" w14:textId="77777777" w:rsidR="00264BCC" w:rsidRDefault="00264BCC" w:rsidP="002D58C7">
            <w:r>
              <w:t>West Coast Community Trust</w:t>
            </w:r>
          </w:p>
        </w:tc>
        <w:tc>
          <w:tcPr>
            <w:tcW w:w="1134" w:type="dxa"/>
            <w:tcBorders>
              <w:top w:val="single" w:sz="6" w:space="0" w:color="auto"/>
              <w:left w:val="single" w:sz="6" w:space="0" w:color="auto"/>
              <w:bottom w:val="single" w:sz="12" w:space="0" w:color="auto"/>
              <w:right w:val="single" w:sz="6" w:space="0" w:color="auto"/>
            </w:tcBorders>
            <w:hideMark/>
          </w:tcPr>
          <w:p w14:paraId="1EAE7E31" w14:textId="77777777" w:rsidR="00264BCC" w:rsidRDefault="00264BCC" w:rsidP="002D58C7">
            <w:r>
              <w:t>$4,800</w:t>
            </w:r>
          </w:p>
        </w:tc>
        <w:tc>
          <w:tcPr>
            <w:tcW w:w="1134" w:type="dxa"/>
            <w:tcBorders>
              <w:top w:val="single" w:sz="6" w:space="0" w:color="auto"/>
              <w:left w:val="single" w:sz="6" w:space="0" w:color="auto"/>
              <w:bottom w:val="single" w:sz="12" w:space="0" w:color="auto"/>
              <w:right w:val="single" w:sz="12" w:space="0" w:color="auto"/>
            </w:tcBorders>
            <w:hideMark/>
          </w:tcPr>
          <w:p w14:paraId="272BF35F" w14:textId="77777777" w:rsidR="00264BCC" w:rsidRDefault="00264BCC" w:rsidP="002D58C7">
            <w:r>
              <w:t>$2,400</w:t>
            </w:r>
          </w:p>
        </w:tc>
        <w:tc>
          <w:tcPr>
            <w:tcW w:w="4057" w:type="dxa"/>
            <w:tcBorders>
              <w:top w:val="single" w:sz="6" w:space="0" w:color="auto"/>
              <w:left w:val="single" w:sz="6" w:space="0" w:color="auto"/>
              <w:bottom w:val="single" w:sz="12" w:space="0" w:color="auto"/>
              <w:right w:val="single" w:sz="12" w:space="0" w:color="auto"/>
            </w:tcBorders>
          </w:tcPr>
          <w:p w14:paraId="5C24479F" w14:textId="77777777" w:rsidR="00264BCC" w:rsidRDefault="00264BCC" w:rsidP="002D58C7">
            <w:r>
              <w:t>12 days per year (20 days per year for the Chair).</w:t>
            </w:r>
          </w:p>
        </w:tc>
      </w:tr>
    </w:tbl>
    <w:p w14:paraId="236292E2" w14:textId="16120294" w:rsidR="00060A1E" w:rsidRDefault="00060A1E" w:rsidP="00060A1E">
      <w:pPr>
        <w:spacing w:before="240"/>
        <w:rPr>
          <w:rFonts w:cs="Arial"/>
          <w:color w:val="1F546B"/>
          <w:sz w:val="28"/>
          <w:szCs w:val="26"/>
        </w:rPr>
      </w:pPr>
      <w:r>
        <w:t xml:space="preserve">A review of trustees’ fees will be undertaken in </w:t>
      </w:r>
      <w:r w:rsidR="008B5BB2">
        <w:t>parallel with this appointment process.</w:t>
      </w:r>
    </w:p>
    <w:p w14:paraId="43285094" w14:textId="6821D65F" w:rsidR="00F968A8" w:rsidRDefault="00F968A8" w:rsidP="00597FF0">
      <w:pPr>
        <w:pStyle w:val="Heading3"/>
        <w:spacing w:before="120"/>
      </w:pPr>
      <w:r>
        <w:t>Skills and attributes desired</w:t>
      </w:r>
    </w:p>
    <w:p w14:paraId="43285095" w14:textId="77777777" w:rsidR="00974AFC" w:rsidRDefault="00974AFC" w:rsidP="00DB5DB0">
      <w:pPr>
        <w:pStyle w:val="Bullet"/>
        <w:numPr>
          <w:ilvl w:val="0"/>
          <w:numId w:val="0"/>
        </w:numPr>
      </w:pPr>
      <w:r>
        <w:t>Each trust should ideally have the following mix of skills and experience:</w:t>
      </w:r>
    </w:p>
    <w:p w14:paraId="43285096" w14:textId="1FECB0A8" w:rsidR="00974AFC" w:rsidRDefault="006A0F44" w:rsidP="00974AFC">
      <w:pPr>
        <w:pStyle w:val="Bullet"/>
        <w:numPr>
          <w:ilvl w:val="0"/>
          <w:numId w:val="25"/>
        </w:numPr>
      </w:pPr>
      <w:r>
        <w:t>g</w:t>
      </w:r>
      <w:r w:rsidR="00974AFC">
        <w:t>overnance experience</w:t>
      </w:r>
      <w:r w:rsidR="0066223E">
        <w:t>;</w:t>
      </w:r>
    </w:p>
    <w:p w14:paraId="43285097" w14:textId="7B0D0ECD" w:rsidR="00974AFC" w:rsidRDefault="006A0F44" w:rsidP="00974AFC">
      <w:pPr>
        <w:pStyle w:val="Bullet"/>
        <w:numPr>
          <w:ilvl w:val="0"/>
          <w:numId w:val="25"/>
        </w:numPr>
      </w:pPr>
      <w:r>
        <w:t>c</w:t>
      </w:r>
      <w:r w:rsidR="00974AFC">
        <w:t>ommunity involvement</w:t>
      </w:r>
      <w:r w:rsidR="0066223E">
        <w:t>;</w:t>
      </w:r>
    </w:p>
    <w:p w14:paraId="43285098" w14:textId="1CA6ED82" w:rsidR="00974AFC" w:rsidRDefault="006A0F44" w:rsidP="00974AFC">
      <w:pPr>
        <w:pStyle w:val="Bullet"/>
        <w:numPr>
          <w:ilvl w:val="0"/>
          <w:numId w:val="25"/>
        </w:numPr>
      </w:pPr>
      <w:r>
        <w:t>i</w:t>
      </w:r>
      <w:r w:rsidR="00974AFC">
        <w:t>nvestment experience</w:t>
      </w:r>
      <w:r w:rsidR="0066223E">
        <w:t>;</w:t>
      </w:r>
    </w:p>
    <w:p w14:paraId="43285099" w14:textId="0DA07871" w:rsidR="00974AFC" w:rsidRDefault="006A0F44" w:rsidP="00974AFC">
      <w:pPr>
        <w:pStyle w:val="Bullet"/>
        <w:numPr>
          <w:ilvl w:val="0"/>
          <w:numId w:val="25"/>
        </w:numPr>
      </w:pPr>
      <w:r>
        <w:t>g</w:t>
      </w:r>
      <w:r w:rsidR="00974AFC">
        <w:t>rant making experience</w:t>
      </w:r>
      <w:r w:rsidR="0066223E">
        <w:t>;</w:t>
      </w:r>
    </w:p>
    <w:p w14:paraId="4328509A" w14:textId="5FCF95D7" w:rsidR="00974AFC" w:rsidRDefault="006A0F44" w:rsidP="00974AFC">
      <w:pPr>
        <w:pStyle w:val="Bullet"/>
        <w:numPr>
          <w:ilvl w:val="0"/>
          <w:numId w:val="25"/>
        </w:numPr>
      </w:pPr>
      <w:r>
        <w:t>s</w:t>
      </w:r>
      <w:r w:rsidR="00974AFC">
        <w:t>trategic thinking</w:t>
      </w:r>
      <w:r w:rsidR="0066223E">
        <w:t>; and</w:t>
      </w:r>
    </w:p>
    <w:p w14:paraId="4328509B" w14:textId="19224241" w:rsidR="00974AFC" w:rsidRDefault="006A0F44" w:rsidP="00974AFC">
      <w:pPr>
        <w:pStyle w:val="Bullet"/>
        <w:numPr>
          <w:ilvl w:val="0"/>
          <w:numId w:val="25"/>
        </w:numPr>
      </w:pPr>
      <w:r>
        <w:lastRenderedPageBreak/>
        <w:t>l</w:t>
      </w:r>
      <w:r w:rsidR="00974AFC">
        <w:t>egal expertise</w:t>
      </w:r>
      <w:r w:rsidR="0066223E">
        <w:t>.</w:t>
      </w:r>
    </w:p>
    <w:p w14:paraId="4328509C" w14:textId="3C4631AA" w:rsidR="00F968A8" w:rsidRDefault="00791509" w:rsidP="00DB5DB0">
      <w:pPr>
        <w:pStyle w:val="Bullet"/>
        <w:numPr>
          <w:ilvl w:val="0"/>
          <w:numId w:val="0"/>
        </w:numPr>
      </w:pPr>
      <w:r>
        <w:t>Māori and ethnic</w:t>
      </w:r>
      <w:r w:rsidR="00BE648A">
        <w:t>,</w:t>
      </w:r>
      <w:r w:rsidR="00974AFC">
        <w:t xml:space="preserve"> and geographic</w:t>
      </w:r>
      <w:r>
        <w:t xml:space="preserve"> representation is also desirable.</w:t>
      </w:r>
      <w:r w:rsidR="00DB5DB0">
        <w:t xml:space="preserve"> People considered f</w:t>
      </w:r>
      <w:r w:rsidR="00974AFC">
        <w:t>or appointment</w:t>
      </w:r>
      <w:r w:rsidR="00DB5DB0">
        <w:t xml:space="preserve"> must reside within the </w:t>
      </w:r>
      <w:r w:rsidR="00D91E49">
        <w:t>grant distribution area</w:t>
      </w:r>
      <w:r w:rsidR="00DB5DB0">
        <w:t xml:space="preserve"> </w:t>
      </w:r>
      <w:r w:rsidR="00974AFC">
        <w:t>of the relevant trust</w:t>
      </w:r>
      <w:r w:rsidR="00DB5DB0">
        <w:t>.</w:t>
      </w:r>
      <w:r w:rsidR="001929E0">
        <w:t xml:space="preserve"> Please see individual community trust websites for details of their </w:t>
      </w:r>
      <w:proofErr w:type="gramStart"/>
      <w:r w:rsidR="001929E0">
        <w:t>particular boundary</w:t>
      </w:r>
      <w:proofErr w:type="gramEnd"/>
      <w:r w:rsidR="001929E0">
        <w:t>.</w:t>
      </w:r>
    </w:p>
    <w:p w14:paraId="432850B6" w14:textId="77777777" w:rsidR="00DB5DB0" w:rsidRDefault="0089681F" w:rsidP="0089681F">
      <w:pPr>
        <w:pStyle w:val="Heading3"/>
      </w:pPr>
      <w:r>
        <w:t>Nomination process</w:t>
      </w:r>
    </w:p>
    <w:p w14:paraId="432850C5" w14:textId="4984B128" w:rsidR="0089681F" w:rsidRPr="0089681F" w:rsidRDefault="0089681F" w:rsidP="0089681F">
      <w:r>
        <w:t>Any person</w:t>
      </w:r>
      <w:r w:rsidR="0098295B">
        <w:t xml:space="preserve"> seeking appointment to </w:t>
      </w:r>
      <w:r w:rsidR="00974AFC">
        <w:t>a community trust</w:t>
      </w:r>
      <w:r>
        <w:t xml:space="preserve"> should provide </w:t>
      </w:r>
      <w:r w:rsidR="00271AF2">
        <w:t xml:space="preserve">a </w:t>
      </w:r>
      <w:r w:rsidR="0066223E">
        <w:t>full</w:t>
      </w:r>
      <w:r w:rsidR="006A0F44">
        <w:t xml:space="preserve"> and</w:t>
      </w:r>
      <w:r>
        <w:t xml:space="preserve"> up-to-date curriculum vitae </w:t>
      </w:r>
      <w:r w:rsidR="00060A1E">
        <w:t>and complete the conflicts of interest declaration on the nomination form.</w:t>
      </w:r>
      <w:r w:rsidR="001929E0">
        <w:t xml:space="preserve"> Send your completed nomination form to </w:t>
      </w:r>
      <w:hyperlink r:id="rId13" w:history="1">
        <w:r w:rsidR="001929E0" w:rsidRPr="00B23105">
          <w:rPr>
            <w:rStyle w:val="Hyperlink"/>
          </w:rPr>
          <w:t>appointments@dia.govt.nz</w:t>
        </w:r>
      </w:hyperlink>
      <w:r w:rsidR="001929E0">
        <w:t xml:space="preserve"> by 14 February 2020.</w:t>
      </w:r>
    </w:p>
    <w:sectPr w:rsidR="0089681F" w:rsidRPr="0089681F" w:rsidSect="00CF4BE3">
      <w:headerReference w:type="default" r:id="rId14"/>
      <w:footerReference w:type="default" r:id="rId15"/>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33929" w14:textId="77777777" w:rsidR="00DA6BDF" w:rsidRDefault="00DA6BDF">
      <w:r>
        <w:separator/>
      </w:r>
    </w:p>
    <w:p w14:paraId="0AD4C4AC" w14:textId="77777777" w:rsidR="00DA6BDF" w:rsidRDefault="00DA6BDF"/>
    <w:p w14:paraId="1F89A7BE" w14:textId="77777777" w:rsidR="00DA6BDF" w:rsidRDefault="00DA6BDF"/>
  </w:endnote>
  <w:endnote w:type="continuationSeparator" w:id="0">
    <w:p w14:paraId="16126C1A" w14:textId="77777777" w:rsidR="00DA6BDF" w:rsidRDefault="00DA6BDF">
      <w:r>
        <w:continuationSeparator/>
      </w:r>
    </w:p>
    <w:p w14:paraId="5BC9D0B9" w14:textId="77777777" w:rsidR="00DA6BDF" w:rsidRDefault="00DA6BDF"/>
    <w:p w14:paraId="68593AA5" w14:textId="77777777" w:rsidR="00DA6BDF" w:rsidRDefault="00DA6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50D2" w14:textId="77777777" w:rsidR="0098295B" w:rsidRDefault="0098295B"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32464A">
      <w:rPr>
        <w:noProof/>
      </w:rPr>
      <w:t>1</w:t>
    </w:r>
    <w:r>
      <w:fldChar w:fldCharType="end"/>
    </w:r>
    <w:r>
      <w:t xml:space="preserve"> of </w:t>
    </w:r>
    <w:r w:rsidR="00DA6BDF">
      <w:fldChar w:fldCharType="begin"/>
    </w:r>
    <w:r w:rsidR="00DA6BDF">
      <w:instrText xml:space="preserve"> NUMPAGES   \* MERGEFORMAT </w:instrText>
    </w:r>
    <w:r w:rsidR="00DA6BDF">
      <w:fldChar w:fldCharType="separate"/>
    </w:r>
    <w:r w:rsidR="0032464A">
      <w:rPr>
        <w:noProof/>
      </w:rPr>
      <w:t>2</w:t>
    </w:r>
    <w:r w:rsidR="00DA6BD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C58C3" w14:textId="77777777" w:rsidR="00DA6BDF" w:rsidRDefault="00DA6BDF" w:rsidP="00FB1990">
      <w:pPr>
        <w:pStyle w:val="Spacer"/>
      </w:pPr>
      <w:r>
        <w:separator/>
      </w:r>
    </w:p>
    <w:p w14:paraId="30A5EE82" w14:textId="77777777" w:rsidR="00DA6BDF" w:rsidRDefault="00DA6BDF" w:rsidP="00FB1990">
      <w:pPr>
        <w:pStyle w:val="Spacer"/>
      </w:pPr>
    </w:p>
  </w:footnote>
  <w:footnote w:type="continuationSeparator" w:id="0">
    <w:p w14:paraId="047BDE9B" w14:textId="77777777" w:rsidR="00DA6BDF" w:rsidRDefault="00DA6BDF">
      <w:r>
        <w:continuationSeparator/>
      </w:r>
    </w:p>
    <w:p w14:paraId="1F1794C3" w14:textId="77777777" w:rsidR="00DA6BDF" w:rsidRDefault="00DA6BDF"/>
    <w:p w14:paraId="66B2B602" w14:textId="77777777" w:rsidR="00DA6BDF" w:rsidRDefault="00DA6B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50D1" w14:textId="77777777" w:rsidR="0098295B" w:rsidRDefault="0098295B" w:rsidP="00460B3F">
    <w:pPr>
      <w:pStyle w:val="Header"/>
      <w:tabs>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44058CF"/>
    <w:multiLevelType w:val="hybridMultilevel"/>
    <w:tmpl w:val="782245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360" w:hanging="360"/>
      </w:pPr>
      <w:rPr>
        <w:rFonts w:ascii="Symbol" w:hAnsi="Symbol" w:hint="default"/>
        <w:sz w:val="20"/>
      </w:rPr>
    </w:lvl>
    <w:lvl w:ilvl="1">
      <w:start w:val="1"/>
      <w:numFmt w:val="bullet"/>
      <w:pStyle w:val="Bulletlevel2"/>
      <w:lvlText w:val="○"/>
      <w:lvlJc w:val="left"/>
      <w:pPr>
        <w:ind w:left="714" w:hanging="357"/>
      </w:pPr>
      <w:rPr>
        <w:rFonts w:ascii="Courier New" w:hAnsi="Courier New" w:hint="default"/>
        <w:b/>
        <w:i w:val="0"/>
        <w:sz w:val="18"/>
      </w:rPr>
    </w:lvl>
    <w:lvl w:ilvl="2">
      <w:start w:val="1"/>
      <w:numFmt w:val="bullet"/>
      <w:pStyle w:val="Bulletlevel3"/>
      <w:lvlText w:val="-"/>
      <w:lvlJc w:val="left"/>
      <w:pPr>
        <w:ind w:left="1072" w:hanging="358"/>
      </w:pPr>
      <w:rPr>
        <w:rFonts w:ascii="Calibri" w:hAnsi="Calibri" w:hint="default"/>
      </w:rPr>
    </w:lvl>
    <w:lvl w:ilvl="3">
      <w:start w:val="1"/>
      <w:numFmt w:val="none"/>
      <w:lvlRestart w:val="0"/>
      <w:suff w:val="nothing"/>
      <w:lvlText w:val=""/>
      <w:lvlJc w:val="left"/>
      <w:pPr>
        <w:ind w:left="1134"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5" w15:restartNumberingAfterBreak="0">
    <w:nsid w:val="7926021A"/>
    <w:multiLevelType w:val="multilevel"/>
    <w:tmpl w:val="A468B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B43801"/>
    <w:multiLevelType w:val="hybridMultilevel"/>
    <w:tmpl w:val="92008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 w:numId="26">
    <w:abstractNumId w:val="26"/>
  </w:num>
  <w:num w:numId="27">
    <w:abstractNumId w:val="25"/>
  </w:num>
  <w:num w:numId="2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9E"/>
    <w:rsid w:val="00003360"/>
    <w:rsid w:val="00003FC7"/>
    <w:rsid w:val="00005919"/>
    <w:rsid w:val="00007C42"/>
    <w:rsid w:val="00015020"/>
    <w:rsid w:val="00015704"/>
    <w:rsid w:val="0001647B"/>
    <w:rsid w:val="00020010"/>
    <w:rsid w:val="00025F7F"/>
    <w:rsid w:val="00034673"/>
    <w:rsid w:val="00036671"/>
    <w:rsid w:val="00037226"/>
    <w:rsid w:val="000409E2"/>
    <w:rsid w:val="00044EA1"/>
    <w:rsid w:val="00054574"/>
    <w:rsid w:val="0005649A"/>
    <w:rsid w:val="00060A1E"/>
    <w:rsid w:val="00063BB2"/>
    <w:rsid w:val="00065F18"/>
    <w:rsid w:val="00067005"/>
    <w:rsid w:val="00076035"/>
    <w:rsid w:val="00077013"/>
    <w:rsid w:val="00086904"/>
    <w:rsid w:val="00091C3A"/>
    <w:rsid w:val="000A5BF7"/>
    <w:rsid w:val="000A7767"/>
    <w:rsid w:val="000B4394"/>
    <w:rsid w:val="000D61F6"/>
    <w:rsid w:val="000E3240"/>
    <w:rsid w:val="000E677B"/>
    <w:rsid w:val="000F4ADF"/>
    <w:rsid w:val="000F61AF"/>
    <w:rsid w:val="0010171C"/>
    <w:rsid w:val="00102FAD"/>
    <w:rsid w:val="00121870"/>
    <w:rsid w:val="00124948"/>
    <w:rsid w:val="00126FDE"/>
    <w:rsid w:val="0013703F"/>
    <w:rsid w:val="00140ED2"/>
    <w:rsid w:val="0014145F"/>
    <w:rsid w:val="00143E7C"/>
    <w:rsid w:val="0014415C"/>
    <w:rsid w:val="0014565E"/>
    <w:rsid w:val="001536C9"/>
    <w:rsid w:val="0016433D"/>
    <w:rsid w:val="00184C0F"/>
    <w:rsid w:val="001929E0"/>
    <w:rsid w:val="001A5F55"/>
    <w:rsid w:val="001B5F17"/>
    <w:rsid w:val="001C0031"/>
    <w:rsid w:val="001C0C30"/>
    <w:rsid w:val="001C1397"/>
    <w:rsid w:val="001D0111"/>
    <w:rsid w:val="001D7EAE"/>
    <w:rsid w:val="001E64FC"/>
    <w:rsid w:val="001F0724"/>
    <w:rsid w:val="001F2901"/>
    <w:rsid w:val="002007DF"/>
    <w:rsid w:val="00205FE8"/>
    <w:rsid w:val="00206BA3"/>
    <w:rsid w:val="00215160"/>
    <w:rsid w:val="002224B4"/>
    <w:rsid w:val="00226D5E"/>
    <w:rsid w:val="00237A3D"/>
    <w:rsid w:val="00240E83"/>
    <w:rsid w:val="002502D1"/>
    <w:rsid w:val="00254EA5"/>
    <w:rsid w:val="00260A17"/>
    <w:rsid w:val="00264BCC"/>
    <w:rsid w:val="00270EEC"/>
    <w:rsid w:val="00271AF2"/>
    <w:rsid w:val="002777D8"/>
    <w:rsid w:val="002806A2"/>
    <w:rsid w:val="00297CC7"/>
    <w:rsid w:val="002A194F"/>
    <w:rsid w:val="002A4BD9"/>
    <w:rsid w:val="002A4FE7"/>
    <w:rsid w:val="002A79F3"/>
    <w:rsid w:val="002B1CEB"/>
    <w:rsid w:val="002D3125"/>
    <w:rsid w:val="002D4F42"/>
    <w:rsid w:val="0030084C"/>
    <w:rsid w:val="003039E1"/>
    <w:rsid w:val="0030519E"/>
    <w:rsid w:val="003129BA"/>
    <w:rsid w:val="003148FC"/>
    <w:rsid w:val="0032132E"/>
    <w:rsid w:val="003226C5"/>
    <w:rsid w:val="0032464A"/>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D548C"/>
    <w:rsid w:val="003F2B46"/>
    <w:rsid w:val="003F2B58"/>
    <w:rsid w:val="003F5886"/>
    <w:rsid w:val="0040020C"/>
    <w:rsid w:val="00401CA0"/>
    <w:rsid w:val="0040700B"/>
    <w:rsid w:val="00407F54"/>
    <w:rsid w:val="00411341"/>
    <w:rsid w:val="00413966"/>
    <w:rsid w:val="00415015"/>
    <w:rsid w:val="00415CDB"/>
    <w:rsid w:val="00417E29"/>
    <w:rsid w:val="004231DC"/>
    <w:rsid w:val="0042551E"/>
    <w:rsid w:val="00433AD8"/>
    <w:rsid w:val="00437A53"/>
    <w:rsid w:val="0044092C"/>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4AAA"/>
    <w:rsid w:val="00595B33"/>
    <w:rsid w:val="0059662F"/>
    <w:rsid w:val="00597FF0"/>
    <w:rsid w:val="005B7254"/>
    <w:rsid w:val="005D3066"/>
    <w:rsid w:val="005E4B13"/>
    <w:rsid w:val="005E4C02"/>
    <w:rsid w:val="005F01DF"/>
    <w:rsid w:val="005F76CC"/>
    <w:rsid w:val="005F7FF8"/>
    <w:rsid w:val="006004C4"/>
    <w:rsid w:val="00600CA4"/>
    <w:rsid w:val="00602416"/>
    <w:rsid w:val="006025CE"/>
    <w:rsid w:val="006041F2"/>
    <w:rsid w:val="006064F5"/>
    <w:rsid w:val="00614C25"/>
    <w:rsid w:val="00615F26"/>
    <w:rsid w:val="00617298"/>
    <w:rsid w:val="006210B3"/>
    <w:rsid w:val="00637753"/>
    <w:rsid w:val="00643D3F"/>
    <w:rsid w:val="00660CE4"/>
    <w:rsid w:val="0066223E"/>
    <w:rsid w:val="00662716"/>
    <w:rsid w:val="00676C9F"/>
    <w:rsid w:val="00677B13"/>
    <w:rsid w:val="00677F4E"/>
    <w:rsid w:val="00681A08"/>
    <w:rsid w:val="00685ECF"/>
    <w:rsid w:val="006875B8"/>
    <w:rsid w:val="00687CEA"/>
    <w:rsid w:val="00690E15"/>
    <w:rsid w:val="00694E01"/>
    <w:rsid w:val="00695171"/>
    <w:rsid w:val="00695B75"/>
    <w:rsid w:val="006A0F44"/>
    <w:rsid w:val="006A1A95"/>
    <w:rsid w:val="006A38B7"/>
    <w:rsid w:val="006A5C31"/>
    <w:rsid w:val="006B1CB2"/>
    <w:rsid w:val="006B1DD1"/>
    <w:rsid w:val="006B3396"/>
    <w:rsid w:val="006B4FE7"/>
    <w:rsid w:val="006C195E"/>
    <w:rsid w:val="006C3865"/>
    <w:rsid w:val="006C5EB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91509"/>
    <w:rsid w:val="007929A6"/>
    <w:rsid w:val="007A6226"/>
    <w:rsid w:val="007B3C61"/>
    <w:rsid w:val="007D1918"/>
    <w:rsid w:val="007F03F2"/>
    <w:rsid w:val="0080217D"/>
    <w:rsid w:val="008031DF"/>
    <w:rsid w:val="008065D7"/>
    <w:rsid w:val="008111A3"/>
    <w:rsid w:val="00814BD0"/>
    <w:rsid w:val="00816E30"/>
    <w:rsid w:val="0082264B"/>
    <w:rsid w:val="0082765B"/>
    <w:rsid w:val="008352B1"/>
    <w:rsid w:val="008353E7"/>
    <w:rsid w:val="00835BD7"/>
    <w:rsid w:val="008428E8"/>
    <w:rsid w:val="00843D71"/>
    <w:rsid w:val="00846F11"/>
    <w:rsid w:val="0084745A"/>
    <w:rsid w:val="00866FC4"/>
    <w:rsid w:val="00870045"/>
    <w:rsid w:val="00876E5F"/>
    <w:rsid w:val="00884A12"/>
    <w:rsid w:val="00890CE4"/>
    <w:rsid w:val="00891ED7"/>
    <w:rsid w:val="0089681F"/>
    <w:rsid w:val="008B5BB2"/>
    <w:rsid w:val="008B7B54"/>
    <w:rsid w:val="008C3187"/>
    <w:rsid w:val="008C5E4F"/>
    <w:rsid w:val="008D63B7"/>
    <w:rsid w:val="008D6A03"/>
    <w:rsid w:val="008D6CA7"/>
    <w:rsid w:val="008E3D90"/>
    <w:rsid w:val="008E508C"/>
    <w:rsid w:val="008E7FEE"/>
    <w:rsid w:val="008F2F06"/>
    <w:rsid w:val="008F31F5"/>
    <w:rsid w:val="008F67F5"/>
    <w:rsid w:val="008F6BCE"/>
    <w:rsid w:val="00900D4B"/>
    <w:rsid w:val="00905F9B"/>
    <w:rsid w:val="00913E95"/>
    <w:rsid w:val="009170B9"/>
    <w:rsid w:val="009231A6"/>
    <w:rsid w:val="00923A87"/>
    <w:rsid w:val="00924E5A"/>
    <w:rsid w:val="009256CC"/>
    <w:rsid w:val="00927482"/>
    <w:rsid w:val="00936FF5"/>
    <w:rsid w:val="0094654B"/>
    <w:rsid w:val="0095112B"/>
    <w:rsid w:val="0095712A"/>
    <w:rsid w:val="00964328"/>
    <w:rsid w:val="00973A6D"/>
    <w:rsid w:val="00974AFC"/>
    <w:rsid w:val="009804E0"/>
    <w:rsid w:val="0098295B"/>
    <w:rsid w:val="00983735"/>
    <w:rsid w:val="009865AA"/>
    <w:rsid w:val="00987080"/>
    <w:rsid w:val="0098765A"/>
    <w:rsid w:val="00987E5B"/>
    <w:rsid w:val="00991620"/>
    <w:rsid w:val="009968B0"/>
    <w:rsid w:val="009A6CB2"/>
    <w:rsid w:val="009B0982"/>
    <w:rsid w:val="009B4C99"/>
    <w:rsid w:val="009C13FB"/>
    <w:rsid w:val="009C6380"/>
    <w:rsid w:val="009D12F8"/>
    <w:rsid w:val="009D28CF"/>
    <w:rsid w:val="009E48E5"/>
    <w:rsid w:val="009E5D36"/>
    <w:rsid w:val="009E6375"/>
    <w:rsid w:val="009E7BBD"/>
    <w:rsid w:val="009E7CA0"/>
    <w:rsid w:val="00A04392"/>
    <w:rsid w:val="00A069CE"/>
    <w:rsid w:val="00A109D8"/>
    <w:rsid w:val="00A16003"/>
    <w:rsid w:val="00A167D7"/>
    <w:rsid w:val="00A2374C"/>
    <w:rsid w:val="00A23D39"/>
    <w:rsid w:val="00A23EC2"/>
    <w:rsid w:val="00A24FBB"/>
    <w:rsid w:val="00A3453E"/>
    <w:rsid w:val="00A35FC1"/>
    <w:rsid w:val="00A42ED2"/>
    <w:rsid w:val="00A44B33"/>
    <w:rsid w:val="00A50E00"/>
    <w:rsid w:val="00A52529"/>
    <w:rsid w:val="00A53624"/>
    <w:rsid w:val="00A55EAF"/>
    <w:rsid w:val="00A5766B"/>
    <w:rsid w:val="00A77512"/>
    <w:rsid w:val="00A863E3"/>
    <w:rsid w:val="00A93D24"/>
    <w:rsid w:val="00A94161"/>
    <w:rsid w:val="00A97BFB"/>
    <w:rsid w:val="00AB0BBC"/>
    <w:rsid w:val="00AB1180"/>
    <w:rsid w:val="00AB3A92"/>
    <w:rsid w:val="00AB478B"/>
    <w:rsid w:val="00AB47AC"/>
    <w:rsid w:val="00AB4AD9"/>
    <w:rsid w:val="00AC79DB"/>
    <w:rsid w:val="00AD6E77"/>
    <w:rsid w:val="00AD7A25"/>
    <w:rsid w:val="00AE2666"/>
    <w:rsid w:val="00AE523F"/>
    <w:rsid w:val="00AE5C67"/>
    <w:rsid w:val="00AF2550"/>
    <w:rsid w:val="00AF3A5A"/>
    <w:rsid w:val="00AF3E15"/>
    <w:rsid w:val="00AF5218"/>
    <w:rsid w:val="00AF60A0"/>
    <w:rsid w:val="00B0480E"/>
    <w:rsid w:val="00B1026A"/>
    <w:rsid w:val="00B21166"/>
    <w:rsid w:val="00B21DB0"/>
    <w:rsid w:val="00B263AE"/>
    <w:rsid w:val="00B33A6C"/>
    <w:rsid w:val="00B348D1"/>
    <w:rsid w:val="00B42F17"/>
    <w:rsid w:val="00B43A02"/>
    <w:rsid w:val="00B47091"/>
    <w:rsid w:val="00B56534"/>
    <w:rsid w:val="00B57A21"/>
    <w:rsid w:val="00B62C3E"/>
    <w:rsid w:val="00B645DE"/>
    <w:rsid w:val="00B65857"/>
    <w:rsid w:val="00B66698"/>
    <w:rsid w:val="00B745DC"/>
    <w:rsid w:val="00B84350"/>
    <w:rsid w:val="00B855A6"/>
    <w:rsid w:val="00B8581E"/>
    <w:rsid w:val="00B91098"/>
    <w:rsid w:val="00B91904"/>
    <w:rsid w:val="00B92735"/>
    <w:rsid w:val="00B969ED"/>
    <w:rsid w:val="00BA77F1"/>
    <w:rsid w:val="00BB0D90"/>
    <w:rsid w:val="00BB60C6"/>
    <w:rsid w:val="00BB7317"/>
    <w:rsid w:val="00BB7984"/>
    <w:rsid w:val="00BC45F7"/>
    <w:rsid w:val="00BC6A06"/>
    <w:rsid w:val="00BD137C"/>
    <w:rsid w:val="00BD770D"/>
    <w:rsid w:val="00BE3BC7"/>
    <w:rsid w:val="00BE648A"/>
    <w:rsid w:val="00BF1AB7"/>
    <w:rsid w:val="00BF7FE9"/>
    <w:rsid w:val="00C03596"/>
    <w:rsid w:val="00C05EEC"/>
    <w:rsid w:val="00C15A13"/>
    <w:rsid w:val="00C238D9"/>
    <w:rsid w:val="00C23ACD"/>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1DCA"/>
    <w:rsid w:val="00CD502A"/>
    <w:rsid w:val="00CE16C8"/>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1E49"/>
    <w:rsid w:val="00D92505"/>
    <w:rsid w:val="00DA267C"/>
    <w:rsid w:val="00DA27B3"/>
    <w:rsid w:val="00DA5101"/>
    <w:rsid w:val="00DA6BDF"/>
    <w:rsid w:val="00DA79EF"/>
    <w:rsid w:val="00DB0C0B"/>
    <w:rsid w:val="00DB3B74"/>
    <w:rsid w:val="00DB5DB0"/>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4D29"/>
    <w:rsid w:val="00E86D2A"/>
    <w:rsid w:val="00E8711A"/>
    <w:rsid w:val="00EA2ED4"/>
    <w:rsid w:val="00EA491A"/>
    <w:rsid w:val="00EB1583"/>
    <w:rsid w:val="00EB54A9"/>
    <w:rsid w:val="00EC23FB"/>
    <w:rsid w:val="00EC5099"/>
    <w:rsid w:val="00EC7017"/>
    <w:rsid w:val="00ED4356"/>
    <w:rsid w:val="00ED7681"/>
    <w:rsid w:val="00EE243C"/>
    <w:rsid w:val="00EF63C6"/>
    <w:rsid w:val="00F029BC"/>
    <w:rsid w:val="00F034FB"/>
    <w:rsid w:val="00F05606"/>
    <w:rsid w:val="00F105F5"/>
    <w:rsid w:val="00F1075A"/>
    <w:rsid w:val="00F22E82"/>
    <w:rsid w:val="00F2483A"/>
    <w:rsid w:val="00F337BF"/>
    <w:rsid w:val="00F33D14"/>
    <w:rsid w:val="00F473B6"/>
    <w:rsid w:val="00F52E57"/>
    <w:rsid w:val="00F53E06"/>
    <w:rsid w:val="00F54188"/>
    <w:rsid w:val="00F54CC0"/>
    <w:rsid w:val="00F62DD6"/>
    <w:rsid w:val="00F727A5"/>
    <w:rsid w:val="00F847A9"/>
    <w:rsid w:val="00F968A8"/>
    <w:rsid w:val="00FA5FE9"/>
    <w:rsid w:val="00FA67D2"/>
    <w:rsid w:val="00FB1990"/>
    <w:rsid w:val="00FB302F"/>
    <w:rsid w:val="00FB5A92"/>
    <w:rsid w:val="00FC1C69"/>
    <w:rsid w:val="00FC3739"/>
    <w:rsid w:val="00FC7963"/>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85054"/>
  <w15:docId w15:val="{FC32C3EA-99C3-4778-8116-BF8C332C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customStyle="1" w:styleId="Cabinetpaper">
    <w:name w:val="_Cabinet paper"/>
    <w:basedOn w:val="TableNormal"/>
    <w:uiPriority w:val="99"/>
    <w:rsid w:val="00974AFC"/>
    <w:pPr>
      <w:spacing w:before="56" w:after="32"/>
    </w:pPr>
    <w:rPr>
      <w:rFonts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6" w:space="0" w:color="1F546B"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styleId="CommentText">
    <w:name w:val="annotation text"/>
    <w:basedOn w:val="Normal"/>
    <w:link w:val="CommentTextChar"/>
    <w:uiPriority w:val="99"/>
    <w:semiHidden/>
    <w:unhideWhenUsed/>
    <w:rsid w:val="0080217D"/>
    <w:rPr>
      <w:sz w:val="20"/>
      <w:szCs w:val="20"/>
    </w:rPr>
  </w:style>
  <w:style w:type="character" w:customStyle="1" w:styleId="CommentTextChar">
    <w:name w:val="Comment Text Char"/>
    <w:basedOn w:val="DefaultParagraphFont"/>
    <w:link w:val="CommentText"/>
    <w:uiPriority w:val="99"/>
    <w:semiHidden/>
    <w:rsid w:val="0080217D"/>
    <w:rPr>
      <w:sz w:val="20"/>
      <w:szCs w:val="20"/>
      <w:lang w:eastAsia="en-US"/>
    </w:rPr>
  </w:style>
  <w:style w:type="paragraph" w:styleId="CommentSubject">
    <w:name w:val="annotation subject"/>
    <w:basedOn w:val="CommentText"/>
    <w:next w:val="CommentText"/>
    <w:link w:val="CommentSubjectChar"/>
    <w:uiPriority w:val="99"/>
    <w:semiHidden/>
    <w:unhideWhenUsed/>
    <w:rsid w:val="0080217D"/>
    <w:rPr>
      <w:b/>
      <w:bCs/>
    </w:rPr>
  </w:style>
  <w:style w:type="character" w:customStyle="1" w:styleId="CommentSubjectChar">
    <w:name w:val="Comment Subject Char"/>
    <w:basedOn w:val="CommentTextChar"/>
    <w:link w:val="CommentSubject"/>
    <w:uiPriority w:val="99"/>
    <w:semiHidden/>
    <w:rsid w:val="0080217D"/>
    <w:rPr>
      <w:b/>
      <w:bCs/>
      <w:sz w:val="20"/>
      <w:szCs w:val="20"/>
      <w:lang w:eastAsia="en-US"/>
    </w:rPr>
  </w:style>
  <w:style w:type="character" w:styleId="UnresolvedMention">
    <w:name w:val="Unresolved Mention"/>
    <w:basedOn w:val="DefaultParagraphFont"/>
    <w:uiPriority w:val="99"/>
    <w:semiHidden/>
    <w:unhideWhenUsed/>
    <w:rsid w:val="00192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0525">
      <w:bodyDiv w:val="1"/>
      <w:marLeft w:val="0"/>
      <w:marRight w:val="0"/>
      <w:marTop w:val="0"/>
      <w:marBottom w:val="0"/>
      <w:divBdr>
        <w:top w:val="none" w:sz="0" w:space="0" w:color="auto"/>
        <w:left w:val="none" w:sz="0" w:space="0" w:color="auto"/>
        <w:bottom w:val="none" w:sz="0" w:space="0" w:color="auto"/>
        <w:right w:val="none" w:sz="0" w:space="0" w:color="auto"/>
      </w:divBdr>
    </w:div>
    <w:div w:id="1638754964">
      <w:bodyDiv w:val="1"/>
      <w:marLeft w:val="0"/>
      <w:marRight w:val="0"/>
      <w:marTop w:val="0"/>
      <w:marBottom w:val="0"/>
      <w:divBdr>
        <w:top w:val="none" w:sz="0" w:space="0" w:color="auto"/>
        <w:left w:val="none" w:sz="0" w:space="0" w:color="auto"/>
        <w:bottom w:val="none" w:sz="0" w:space="0" w:color="auto"/>
        <w:right w:val="none" w:sz="0" w:space="0" w:color="auto"/>
      </w:divBdr>
    </w:div>
    <w:div w:id="18173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ointments@dia.govt.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sc.govt.nz/our-work/fe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upporting Document DIA" ma:contentTypeID="0x0101005496552013C0BA46BE88192D5C6EB20B00C2C5910C8399FC46941A1FD0C776B0990007F317BC833D124F8D2C5E124E63242F" ma:contentTypeVersion="4" ma:contentTypeDescription="Use for all documents that provide supporting or additional information within an activity and have no other specific content type" ma:contentTypeScope="" ma:versionID="25e6de4143499aa15c3580728855659d">
  <xsd:schema xmlns:xsd="http://www.w3.org/2001/XMLSchema" xmlns:xs="http://www.w3.org/2001/XMLSchema" xmlns:p="http://schemas.microsoft.com/office/2006/metadata/properties" xmlns:ns3="01be4277-2979-4a68-876d-b92b25fceece" xmlns:ns4="bcc54be1-4478-48d0-948b-c440a912a3a6" targetNamespace="http://schemas.microsoft.com/office/2006/metadata/properties" ma:root="true" ma:fieldsID="5248ed9f22a9203a0a3d5cfc0522f835" ns3:_="" ns4:_="">
    <xsd:import namespace="01be4277-2979-4a68-876d-b92b25fceece"/>
    <xsd:import namespace="bcc54be1-4478-48d0-948b-c440a912a3a6"/>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ebb20aec8a413f8e478850bad3b4a4" minOccurs="0"/>
                <xsd:element ref="ns4:DIANotes" minOccurs="0"/>
                <xsd:element ref="ns4:a20c9a0120c9414d955f866a460bad36" minOccurs="0"/>
                <xsd:element ref="ns4:DIAPrivateEntit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fab62865-4357-4d4e-95ea-48989c585587" ma:anchorId="0b12426a-fb0c-449a-b07a-66c4cc73f5e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c54be1-4478-48d0-948b-c440a912a3a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5c40cc35-e504-4a3f-8c55-ddb5d9219309}" ma:internalName="TaxCatchAll" ma:showField="CatchAllData"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c40cc35-e504-4a3f-8c55-ddb5d9219309}" ma:internalName="TaxCatchAllLabel" ma:readOnly="true" ma:showField="CatchAllDataLabel"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k1ebb20aec8a413f8e478850bad3b4a4" ma:index="14" ma:taxonomy="true" ma:internalName="k1ebb20aec8a413f8e478850bad3b4a4" ma:taxonomyFieldName="DIASecurityClassification" ma:displayName="Security Classification" ma:readOnly="false" ma:default="4;#UNCLASSIFIED|875d92a8-67e2-4a32-9472-8fe99549e1eb" ma:fieldId="{41ebb20a-ec8a-413f-8e47-8850bad3b4a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a20c9a0120c9414d955f866a460bad36" ma:index="17" nillable="true" ma:taxonomy="true" ma:internalName="a20c9a0120c9414d955f866a460bad36" ma:taxonomyFieldName="DIAOfficialEntity" ma:displayName="Official Entity" ma:fieldId="{a20c9a01-20c9-414d-955f-866a460bad36}"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19"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Commencement stage</TermName>
          <TermId xmlns="http://schemas.microsoft.com/office/infopath/2007/PartnerControls">1826319d-78c7-401f-b155-9402bcb369f3</TermId>
        </TermInfo>
      </Terms>
    </C3TopicNote>
    <TaxKeywordTaxHTField xmlns="bcc54be1-4478-48d0-948b-c440a912a3a6">
      <Terms xmlns="http://schemas.microsoft.com/office/infopath/2007/PartnerControls"/>
    </TaxKeywordTaxHTField>
    <TaxCatchAll xmlns="bcc54be1-4478-48d0-948b-c440a912a3a6">
      <Value>90</Value>
      <Value>4</Value>
      <Value>3</Value>
    </TaxCatchAll>
    <k1ebb20aec8a413f8e478850bad3b4a4 xmlns="bcc54be1-4478-48d0-948b-c440a912a3a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k1ebb20aec8a413f8e478850bad3b4a4>
    <DIANotes xmlns="bcc54be1-4478-48d0-948b-c440a912a3a6" xsi:nil="true"/>
    <a20c9a0120c9414d955f866a460bad36 xmlns="bcc54be1-4478-48d0-948b-c440a912a3a6">
      <Terms xmlns="http://schemas.microsoft.com/office/infopath/2007/PartnerControls"/>
    </a20c9a0120c9414d955f866a460bad36>
    <DIAPrivateEntity xmlns="bcc54be1-4478-48d0-948b-c440a912a3a6" xsi:nil="true"/>
    <_dlc_DocId xmlns="bcc54be1-4478-48d0-948b-c440a912a3a6">T5VDXFP5TAD4-1023044765-97</_dlc_DocId>
    <_dlc_DocIdUrl xmlns="bcc54be1-4478-48d0-948b-c440a912a3a6">
      <Url>https://dia.cohesion.net.nz/sites/FTN/STAPP/_layouts/15/DocIdRedir.aspx?ID=T5VDXFP5TAD4-1023044765-97</Url>
      <Description>T5VDXFP5TAD4-1023044765-97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B32A4-FA04-4555-9B96-FF9BD3DDAEF9}">
  <ds:schemaRefs>
    <ds:schemaRef ds:uri="http://schemas.microsoft.com/sharepoint/events"/>
  </ds:schemaRefs>
</ds:datastoreItem>
</file>

<file path=customXml/itemProps2.xml><?xml version="1.0" encoding="utf-8"?>
<ds:datastoreItem xmlns:ds="http://schemas.openxmlformats.org/officeDocument/2006/customXml" ds:itemID="{7A278534-2A1F-4BDF-BE0E-D301574CC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bcc54be1-4478-48d0-948b-c440a912a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EB54C-FE5A-4E33-8E30-999A11E246A2}">
  <ds:schemaRefs>
    <ds:schemaRef ds:uri="http://schemas.microsoft.com/office/2006/metadata/properties"/>
    <ds:schemaRef ds:uri="http://schemas.microsoft.com/office/infopath/2007/PartnerControls"/>
    <ds:schemaRef ds:uri="01be4277-2979-4a68-876d-b92b25fceece"/>
    <ds:schemaRef ds:uri="bcc54be1-4478-48d0-948b-c440a912a3a6"/>
  </ds:schemaRefs>
</ds:datastoreItem>
</file>

<file path=customXml/itemProps4.xml><?xml version="1.0" encoding="utf-8"?>
<ds:datastoreItem xmlns:ds="http://schemas.openxmlformats.org/officeDocument/2006/customXml" ds:itemID="{43BD6379-1831-4AA9-A6D6-E0992AA86B91}">
  <ds:schemaRefs>
    <ds:schemaRef ds:uri="http://schemas.microsoft.com/sharepoint/v3/contenttype/forms"/>
  </ds:schemaRefs>
</ds:datastoreItem>
</file>

<file path=customXml/itemProps5.xml><?xml version="1.0" encoding="utf-8"?>
<ds:datastoreItem xmlns:ds="http://schemas.openxmlformats.org/officeDocument/2006/customXml" ds:itemID="{1AE4A51A-59AB-4BBE-ACE6-D3471BEF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Harrison</dc:creator>
  <cp:keywords/>
  <cp:lastModifiedBy>Frances Aiken</cp:lastModifiedBy>
  <cp:revision>3</cp:revision>
  <cp:lastPrinted>2019-03-07T01:49:00Z</cp:lastPrinted>
  <dcterms:created xsi:type="dcterms:W3CDTF">2020-01-14T21:21:00Z</dcterms:created>
  <dcterms:modified xsi:type="dcterms:W3CDTF">2020-01-14T23:50:00Z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0x0101005496552013C0BA46BE88192D5C6EB20B00C2C5910C8399FC46941A1FD0C776B0990007F317BC833D124F8D2C5E124E63242F</vt:lpwstr>
  </property>
  <property fmtid="{D5CDD505-2E9C-101B-9397-08002B2CF9AE}" pid="3" name="DIAOfficialEntity">
    <vt:lpwstr/>
  </property>
  <property fmtid="{D5CDD505-2E9C-101B-9397-08002B2CF9AE}" pid="4" name="led8aa90c7464c4f9b054949a04e6da7">
    <vt:lpwstr>Correspondence|dcd6b05f-dc80-4336-b228-09aebf3d212c</vt:lpwstr>
  </property>
  <property fmtid="{D5CDD505-2E9C-101B-9397-08002B2CF9AE}" pid="5" name="TaxKeyword">
    <vt:lpwstr/>
  </property>
  <property fmtid="{D5CDD505-2E9C-101B-9397-08002B2CF9AE}" pid="6" name="DIAAdministrationDocumentType">
    <vt:lpwstr/>
  </property>
  <property fmtid="{D5CDD505-2E9C-101B-9397-08002B2CF9AE}" pid="7" name="C3Topic">
    <vt:lpwstr>90;#Commencement stage|1826319d-78c7-401f-b155-9402bcb369f3</vt:lpwstr>
  </property>
  <property fmtid="{D5CDD505-2E9C-101B-9397-08002B2CF9AE}" pid="8" name="DIASecurityClassification">
    <vt:lpwstr>4;#UNCLASSIFIED|875d92a8-67e2-4a32-9472-8fe99549e1eb</vt:lpwstr>
  </property>
  <property fmtid="{D5CDD505-2E9C-101B-9397-08002B2CF9AE}" pid="9" name="DIAEmailContentType">
    <vt:lpwstr>3;#Correspondence|dcd6b05f-dc80-4336-b228-09aebf3d212c</vt:lpwstr>
  </property>
  <property fmtid="{D5CDD505-2E9C-101B-9397-08002B2CF9AE}" pid="10" name="jcbbd4522174408f95c914e1e8556fe8">
    <vt:lpwstr/>
  </property>
  <property fmtid="{D5CDD505-2E9C-101B-9397-08002B2CF9AE}" pid="11" name="f1521a764ada4b14b13bcaebd5a921c8">
    <vt:lpwstr/>
  </property>
  <property fmtid="{D5CDD505-2E9C-101B-9397-08002B2CF9AE}" pid="12" name="a2ec4579006a439fac20cd511834d202">
    <vt:lpwstr/>
  </property>
  <property fmtid="{D5CDD505-2E9C-101B-9397-08002B2CF9AE}" pid="13" name="DIANominationDocumentType">
    <vt:lpwstr/>
  </property>
  <property fmtid="{D5CDD505-2E9C-101B-9397-08002B2CF9AE}" pid="14" name="l94d5d54ea6142c4b9b5813e25e1f5f3">
    <vt:lpwstr/>
  </property>
  <property fmtid="{D5CDD505-2E9C-101B-9397-08002B2CF9AE}" pid="15" name="DIABriefingType">
    <vt:lpwstr/>
  </property>
  <property fmtid="{D5CDD505-2E9C-101B-9397-08002B2CF9AE}" pid="16" name="DIABriefingAudience">
    <vt:lpwstr/>
  </property>
  <property fmtid="{D5CDD505-2E9C-101B-9397-08002B2CF9AE}" pid="17" name="hccc2a1738ea4e919098caafbc78f131">
    <vt:lpwstr/>
  </property>
  <property fmtid="{D5CDD505-2E9C-101B-9397-08002B2CF9AE}" pid="18" name="DIAReportDocumentType">
    <vt:lpwstr/>
  </property>
  <property fmtid="{D5CDD505-2E9C-101B-9397-08002B2CF9AE}" pid="19" name="DIAMediaDocumentType">
    <vt:lpwstr/>
  </property>
  <property fmtid="{D5CDD505-2E9C-101B-9397-08002B2CF9AE}" pid="20" name="a14ca32d95704bc08a91d1aa8a6094cf">
    <vt:lpwstr/>
  </property>
  <property fmtid="{D5CDD505-2E9C-101B-9397-08002B2CF9AE}" pid="21" name="_dlc_DocIdItemGuid">
    <vt:lpwstr>0cfe2587-18c0-4ec4-a2e0-64fe7aadf996</vt:lpwstr>
  </property>
</Properties>
</file>