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B773" w14:textId="711E491B" w:rsidR="008E535C" w:rsidRDefault="008E535C" w:rsidP="008E535C">
      <w:pPr>
        <w:pStyle w:val="Heading2"/>
      </w:pPr>
      <w:r>
        <w:t>Chief Gambling Commissioner Candidate Information Sheet</w:t>
      </w:r>
    </w:p>
    <w:p w14:paraId="21D397A9" w14:textId="77777777" w:rsidR="008E535C" w:rsidRDefault="008E535C" w:rsidP="008E535C">
      <w:pPr>
        <w:pStyle w:val="Heading3"/>
      </w:pPr>
      <w:r>
        <w:t>About the Gambling Commission</w:t>
      </w:r>
    </w:p>
    <w:p w14:paraId="4D6E02EA" w14:textId="77777777" w:rsidR="008E535C" w:rsidRDefault="008E535C" w:rsidP="008E535C">
      <w:r>
        <w:t>The Gambling Commission (the Commission) was established under section 220 of the Gambling Act 2003 (the Act). The Commission is an independent decision-making body with the powers of a Commission of Inquiry.</w:t>
      </w:r>
    </w:p>
    <w:p w14:paraId="1072A0A7" w14:textId="77777777" w:rsidR="008E535C" w:rsidRDefault="008E535C" w:rsidP="008E535C">
      <w:r>
        <w:t xml:space="preserve">The Commission is a quasi-judicial body that hears and makes determinations about casino licensing </w:t>
      </w:r>
      <w:proofErr w:type="gramStart"/>
      <w:r>
        <w:t>applications, and</w:t>
      </w:r>
      <w:proofErr w:type="gramEnd"/>
      <w:r>
        <w:t xml:space="preserve"> appeals on licensing and enforcement decisions in relation to gaming machines.</w:t>
      </w:r>
    </w:p>
    <w:p w14:paraId="1889F1C0" w14:textId="30CBC626" w:rsidR="008E535C" w:rsidRDefault="008E535C" w:rsidP="008E535C">
      <w:r>
        <w:t xml:space="preserve">Five Commissioners, including the Chief Gambling Commissioner, are appointed by the Governor-General on the advice of the Minister of Internal Affairs. Terms are </w:t>
      </w:r>
      <w:r w:rsidR="00B06290">
        <w:t xml:space="preserve">for </w:t>
      </w:r>
      <w:r>
        <w:t>up to three years and Commissioners may be reappointed.</w:t>
      </w:r>
    </w:p>
    <w:p w14:paraId="7F0C065F" w14:textId="5CEC8607" w:rsidR="008E535C" w:rsidRDefault="008E535C" w:rsidP="008E535C">
      <w:r>
        <w:t xml:space="preserve">The workload for Commissioners is generally around 25 days per annum. The daily rate for the Chief Gambling Commissioner is $750. He or she is reimbursed for actual and reasonable expenses. </w:t>
      </w:r>
    </w:p>
    <w:p w14:paraId="0B5D707D" w14:textId="77777777" w:rsidR="008E535C" w:rsidRDefault="008E535C" w:rsidP="008E535C">
      <w:pPr>
        <w:pStyle w:val="Heading3"/>
      </w:pPr>
      <w:r>
        <w:t>Functions of the Gambling Commission</w:t>
      </w:r>
    </w:p>
    <w:p w14:paraId="1AB11632" w14:textId="77777777" w:rsidR="008E535C" w:rsidRDefault="008E535C" w:rsidP="008E535C">
      <w:pPr>
        <w:pStyle w:val="Numberedpara3level1"/>
        <w:numPr>
          <w:ilvl w:val="0"/>
          <w:numId w:val="0"/>
        </w:numPr>
        <w:ind w:left="567" w:hanging="567"/>
      </w:pPr>
      <w:r>
        <w:t>Key functions of the Commission, under section 224 of the Act are:</w:t>
      </w:r>
    </w:p>
    <w:p w14:paraId="16AD4B24" w14:textId="77777777" w:rsidR="008E535C" w:rsidRDefault="008E535C" w:rsidP="008E535C">
      <w:pPr>
        <w:pStyle w:val="Bullet"/>
        <w:numPr>
          <w:ilvl w:val="0"/>
          <w:numId w:val="25"/>
        </w:numPr>
        <w:ind w:left="360"/>
      </w:pPr>
      <w:r>
        <w:t>specifying, varying and revoking casino licence conditions;</w:t>
      </w:r>
    </w:p>
    <w:p w14:paraId="112868CA" w14:textId="78DEA2C4" w:rsidR="008E535C" w:rsidRDefault="008E535C" w:rsidP="008E535C">
      <w:pPr>
        <w:pStyle w:val="Bullet"/>
        <w:numPr>
          <w:ilvl w:val="0"/>
          <w:numId w:val="25"/>
        </w:numPr>
        <w:ind w:left="360"/>
      </w:pPr>
      <w:r>
        <w:t>determining appeals against regulatory and licensing decisions made by the Department of Internal Affairs (the Department) in relation to gaming machine operations and other gambling involving prizes of more than $5,000;</w:t>
      </w:r>
    </w:p>
    <w:p w14:paraId="5648D683" w14:textId="77777777" w:rsidR="008E535C" w:rsidRDefault="008E535C" w:rsidP="008E535C">
      <w:pPr>
        <w:pStyle w:val="Bullet"/>
        <w:numPr>
          <w:ilvl w:val="0"/>
          <w:numId w:val="25"/>
        </w:numPr>
        <w:ind w:left="360"/>
      </w:pPr>
      <w:r>
        <w:t>advising Ministers on the setting of the problem gambling levy;</w:t>
      </w:r>
    </w:p>
    <w:p w14:paraId="435A4438" w14:textId="77777777" w:rsidR="008E535C" w:rsidRDefault="008E535C" w:rsidP="008E535C">
      <w:pPr>
        <w:pStyle w:val="Bullet"/>
        <w:numPr>
          <w:ilvl w:val="0"/>
          <w:numId w:val="25"/>
        </w:numPr>
        <w:ind w:left="360"/>
      </w:pPr>
      <w:r>
        <w:t>deciding on applications by the Secretary of Internal Affairs to suspend or cancel casino licences;</w:t>
      </w:r>
    </w:p>
    <w:p w14:paraId="78F7F002" w14:textId="77777777" w:rsidR="008E535C" w:rsidRDefault="008E535C" w:rsidP="008E535C">
      <w:pPr>
        <w:pStyle w:val="Bullet"/>
        <w:numPr>
          <w:ilvl w:val="0"/>
          <w:numId w:val="25"/>
        </w:numPr>
        <w:ind w:left="360"/>
      </w:pPr>
      <w:r>
        <w:t>determining applications for casino operators’ licences and the renewal of casino venue licences;</w:t>
      </w:r>
    </w:p>
    <w:p w14:paraId="5ABF6A7F" w14:textId="77777777" w:rsidR="008E535C" w:rsidRDefault="008E535C" w:rsidP="008E535C">
      <w:pPr>
        <w:pStyle w:val="Bullet"/>
        <w:numPr>
          <w:ilvl w:val="0"/>
          <w:numId w:val="25"/>
        </w:numPr>
        <w:ind w:left="360"/>
      </w:pPr>
      <w:r>
        <w:t>approving agreements and changes to agreements between casino operators and casino venue licence holders;</w:t>
      </w:r>
    </w:p>
    <w:p w14:paraId="7C656805" w14:textId="77777777" w:rsidR="008E535C" w:rsidRDefault="008E535C" w:rsidP="008E535C">
      <w:pPr>
        <w:pStyle w:val="Bullet"/>
        <w:numPr>
          <w:ilvl w:val="0"/>
          <w:numId w:val="25"/>
        </w:numPr>
        <w:ind w:left="360"/>
      </w:pPr>
      <w:r>
        <w:t>hearing complaints about the way the Department has handled complaints in relation to gambling activities; and</w:t>
      </w:r>
    </w:p>
    <w:p w14:paraId="59547882" w14:textId="77777777" w:rsidR="008E535C" w:rsidRDefault="008E535C" w:rsidP="008E535C">
      <w:pPr>
        <w:pStyle w:val="Bullet"/>
        <w:numPr>
          <w:ilvl w:val="0"/>
          <w:numId w:val="25"/>
        </w:numPr>
        <w:ind w:left="360"/>
      </w:pPr>
      <w:r>
        <w:t>advising the Minister of Internal Affairs on matters relating to the performance of the Commission’s functions and the administration of the Act.</w:t>
      </w:r>
    </w:p>
    <w:p w14:paraId="189FF443" w14:textId="77777777" w:rsidR="008E535C" w:rsidRDefault="008E535C" w:rsidP="008E535C">
      <w:pPr>
        <w:rPr>
          <w:rFonts w:cs="Arial"/>
          <w:b/>
          <w:bCs/>
          <w:color w:val="1F546B"/>
          <w:sz w:val="28"/>
          <w:szCs w:val="26"/>
        </w:rPr>
      </w:pPr>
      <w:r>
        <w:br w:type="page"/>
      </w:r>
    </w:p>
    <w:p w14:paraId="4B6A6A6F" w14:textId="648D1162" w:rsidR="008E535C" w:rsidRDefault="008E535C" w:rsidP="008E535C">
      <w:pPr>
        <w:pStyle w:val="Heading3"/>
        <w:spacing w:before="0"/>
      </w:pPr>
      <w:r>
        <w:lastRenderedPageBreak/>
        <w:t>Skills and attributes required of the Chief Gambling Commissioner</w:t>
      </w:r>
    </w:p>
    <w:p w14:paraId="4C81F1BA" w14:textId="3954BB23" w:rsidR="008E535C" w:rsidRDefault="00B06290" w:rsidP="008E535C">
      <w:pPr>
        <w:spacing w:after="120"/>
      </w:pPr>
      <w:r>
        <w:t>Applicants should be able to demonstrate the following skills and experience</w:t>
      </w:r>
      <w:r w:rsidR="008E535C">
        <w:t>:</w:t>
      </w:r>
    </w:p>
    <w:p w14:paraId="40C2F6B8" w14:textId="2AD1E4BA" w:rsidR="008E535C" w:rsidRDefault="008E535C" w:rsidP="008E535C">
      <w:pPr>
        <w:pStyle w:val="Bullet"/>
        <w:keepLines/>
        <w:numPr>
          <w:ilvl w:val="0"/>
          <w:numId w:val="25"/>
        </w:numPr>
        <w:ind w:left="360"/>
      </w:pPr>
      <w:r w:rsidRPr="00F165C9">
        <w:t>is or has been a barrister and solicitor of the High Court of New Zealand with at least seven years’ suitable legal experience</w:t>
      </w:r>
      <w:r>
        <w:t xml:space="preserve"> </w:t>
      </w:r>
      <w:r w:rsidRPr="0030614F">
        <w:t>[</w:t>
      </w:r>
      <w:r w:rsidRPr="008E535C">
        <w:rPr>
          <w:i/>
        </w:rPr>
        <w:t>this is a legislative requirement under section 222 of the Act</w:t>
      </w:r>
      <w:r w:rsidRPr="0030614F">
        <w:t>]</w:t>
      </w:r>
      <w:r w:rsidRPr="00F165C9">
        <w:t xml:space="preserve">;  </w:t>
      </w:r>
    </w:p>
    <w:p w14:paraId="127FC7FD" w14:textId="77777777" w:rsidR="008E535C" w:rsidRDefault="008E535C" w:rsidP="008E535C">
      <w:pPr>
        <w:pStyle w:val="Bullet"/>
        <w:keepLines/>
        <w:numPr>
          <w:ilvl w:val="0"/>
          <w:numId w:val="25"/>
        </w:numPr>
        <w:ind w:left="360"/>
      </w:pPr>
      <w:r w:rsidRPr="00F165C9">
        <w:t xml:space="preserve">knowledge about the gambling sector and its regulation; </w:t>
      </w:r>
    </w:p>
    <w:p w14:paraId="4B27F1E7" w14:textId="77777777" w:rsidR="008E535C" w:rsidRDefault="008E535C" w:rsidP="008E535C">
      <w:pPr>
        <w:pStyle w:val="Bullet"/>
        <w:keepLines/>
        <w:numPr>
          <w:ilvl w:val="0"/>
          <w:numId w:val="25"/>
        </w:numPr>
        <w:ind w:left="360"/>
      </w:pPr>
      <w:r w:rsidRPr="00F165C9">
        <w:t xml:space="preserve">familiarity and experience in an appeals jurisdiction; </w:t>
      </w:r>
      <w:r>
        <w:t>and</w:t>
      </w:r>
    </w:p>
    <w:p w14:paraId="5677FF36" w14:textId="77777777" w:rsidR="008E535C" w:rsidRDefault="008E535C" w:rsidP="008E535C">
      <w:pPr>
        <w:pStyle w:val="Bullet"/>
        <w:keepLines/>
        <w:numPr>
          <w:ilvl w:val="0"/>
          <w:numId w:val="25"/>
        </w:numPr>
        <w:ind w:left="360"/>
      </w:pPr>
      <w:r w:rsidRPr="00F165C9">
        <w:t>governance experience and business acumen</w:t>
      </w:r>
      <w:r>
        <w:t>.</w:t>
      </w:r>
    </w:p>
    <w:p w14:paraId="1E00CDF7" w14:textId="76AE1C51" w:rsidR="008E535C" w:rsidRDefault="008E535C" w:rsidP="008E535C">
      <w:pPr>
        <w:spacing w:after="120"/>
      </w:pPr>
      <w:r>
        <w:t>Additional desirable criteria are:</w:t>
      </w:r>
    </w:p>
    <w:p w14:paraId="77D02D40" w14:textId="77777777" w:rsidR="008E535C" w:rsidRDefault="008E535C" w:rsidP="008E535C">
      <w:pPr>
        <w:pStyle w:val="Bullet"/>
        <w:keepLines/>
        <w:numPr>
          <w:ilvl w:val="0"/>
          <w:numId w:val="25"/>
        </w:numPr>
        <w:ind w:left="360"/>
      </w:pPr>
      <w:r>
        <w:t xml:space="preserve">demonstrated ability to exercise </w:t>
      </w:r>
      <w:r w:rsidRPr="00F165C9">
        <w:t>impartiality</w:t>
      </w:r>
      <w:r>
        <w:t>,</w:t>
      </w:r>
      <w:r w:rsidRPr="00F165C9">
        <w:t xml:space="preserve"> independence and intellectual agility</w:t>
      </w:r>
      <w:r>
        <w:t xml:space="preserve"> in decision-making</w:t>
      </w:r>
      <w:r w:rsidRPr="00F165C9">
        <w:t xml:space="preserve">; </w:t>
      </w:r>
    </w:p>
    <w:p w14:paraId="0864EFDB" w14:textId="77777777" w:rsidR="008E535C" w:rsidRDefault="008E535C" w:rsidP="008E535C">
      <w:pPr>
        <w:pStyle w:val="Bullet"/>
        <w:keepLines/>
        <w:numPr>
          <w:ilvl w:val="0"/>
          <w:numId w:val="25"/>
        </w:numPr>
        <w:ind w:left="360"/>
      </w:pPr>
      <w:r>
        <w:t xml:space="preserve">demonstrated ability to work in a </w:t>
      </w:r>
      <w:r w:rsidRPr="00F165C9">
        <w:t>collegial</w:t>
      </w:r>
      <w:r>
        <w:t xml:space="preserve"> manner;</w:t>
      </w:r>
    </w:p>
    <w:p w14:paraId="235264ED" w14:textId="77777777" w:rsidR="008E535C" w:rsidRDefault="008E535C" w:rsidP="008E535C">
      <w:pPr>
        <w:pStyle w:val="Bullet"/>
        <w:keepLines/>
        <w:numPr>
          <w:ilvl w:val="0"/>
          <w:numId w:val="25"/>
        </w:numPr>
        <w:ind w:left="360"/>
      </w:pPr>
      <w:r>
        <w:t xml:space="preserve">experience working in decision-making roles subject to high </w:t>
      </w:r>
      <w:r w:rsidRPr="00F165C9">
        <w:t xml:space="preserve">public scrutiny; and </w:t>
      </w:r>
    </w:p>
    <w:p w14:paraId="108150FB" w14:textId="2AF68CB3" w:rsidR="008E535C" w:rsidRPr="008E535C" w:rsidRDefault="008E535C" w:rsidP="008E535C">
      <w:pPr>
        <w:pStyle w:val="Bullet"/>
        <w:keepLines/>
        <w:numPr>
          <w:ilvl w:val="0"/>
          <w:numId w:val="25"/>
        </w:numPr>
        <w:ind w:left="360"/>
      </w:pPr>
      <w:r w:rsidRPr="00F165C9">
        <w:t>the ability to develop and maintain working relationships with related overseas authorities as part of sharing best practice information and knowledge.</w:t>
      </w:r>
    </w:p>
    <w:p w14:paraId="60DEDB9D" w14:textId="79D29090" w:rsidR="008E535C" w:rsidRDefault="008E535C" w:rsidP="008E535C">
      <w:pPr>
        <w:pStyle w:val="Heading3"/>
      </w:pPr>
      <w:r>
        <w:t>Nomination process</w:t>
      </w:r>
    </w:p>
    <w:p w14:paraId="609C0A8C" w14:textId="058574F0" w:rsidR="008E535C" w:rsidRDefault="008E535C" w:rsidP="008E535C">
      <w:r>
        <w:t>Candidates must complete a nomination form and provide a full, up-to-date curriculum vitae. A cover letter identifying how their skills and experience match the selection criteria is also desirable.</w:t>
      </w:r>
    </w:p>
    <w:p w14:paraId="55FE6FD7" w14:textId="77777777" w:rsidR="008E535C" w:rsidRDefault="008E535C" w:rsidP="008E535C">
      <w:pPr>
        <w:pStyle w:val="Heading3"/>
      </w:pPr>
      <w:r>
        <w:t>Conflicts of interest, and financial and personal probity</w:t>
      </w:r>
    </w:p>
    <w:p w14:paraId="1D155E94" w14:textId="49501F39" w:rsidR="008E535C" w:rsidRDefault="008E535C" w:rsidP="008E535C">
      <w:r>
        <w:t xml:space="preserve">Applicants must declare any actual, potential or perceived conflict of interest, or any other matter </w:t>
      </w:r>
      <w:r w:rsidR="00B06290">
        <w:t xml:space="preserve">that may affect </w:t>
      </w:r>
      <w:r>
        <w:t xml:space="preserve">their suitability for appointment as part of their nomination. The Department of Internal Affairs may check the accuracy of any information relating to an application for appointment. </w:t>
      </w:r>
    </w:p>
    <w:p w14:paraId="57DA1494" w14:textId="77777777" w:rsidR="008E535C" w:rsidRDefault="008E535C" w:rsidP="008E535C">
      <w:pPr>
        <w:pStyle w:val="Heading3"/>
      </w:pPr>
      <w:r>
        <w:t>Next steps</w:t>
      </w:r>
    </w:p>
    <w:p w14:paraId="677B335F" w14:textId="7484CFD5" w:rsidR="00B06290" w:rsidRDefault="008E535C" w:rsidP="008E535C">
      <w:r>
        <w:t xml:space="preserve">Nominations should be </w:t>
      </w:r>
      <w:r w:rsidR="00B06290">
        <w:t xml:space="preserve">sent </w:t>
      </w:r>
      <w:r>
        <w:rPr>
          <w:rFonts w:cs="Calibri"/>
        </w:rPr>
        <w:t xml:space="preserve">to </w:t>
      </w:r>
      <w:hyperlink r:id="rId12" w:history="1">
        <w:r w:rsidR="00145435" w:rsidRPr="00265629">
          <w:rPr>
            <w:rStyle w:val="Hyperlink"/>
            <w:rFonts w:cs="Calibri"/>
          </w:rPr>
          <w:t>craig.press@dia.govt.nz</w:t>
        </w:r>
      </w:hyperlink>
      <w:r>
        <w:t xml:space="preserve">. </w:t>
      </w:r>
    </w:p>
    <w:p w14:paraId="6454502C" w14:textId="7EA0521E" w:rsidR="008E535C" w:rsidRDefault="008E535C" w:rsidP="008E535C">
      <w:r>
        <w:t xml:space="preserve">All nominations must be received by </w:t>
      </w:r>
      <w:r>
        <w:rPr>
          <w:b/>
        </w:rPr>
        <w:t>Friday 18 October 2018</w:t>
      </w:r>
      <w:r>
        <w:t>.</w:t>
      </w:r>
    </w:p>
    <w:p w14:paraId="1194A318" w14:textId="77777777" w:rsidR="008E535C" w:rsidRDefault="008E535C" w:rsidP="008E535C">
      <w:r>
        <w:t xml:space="preserve">Please note that nominations do not necessarily result in the appointment of a </w:t>
      </w:r>
      <w:proofErr w:type="gramStart"/>
      <w:r>
        <w:t>particular person</w:t>
      </w:r>
      <w:proofErr w:type="gramEnd"/>
      <w:r>
        <w:t>.</w:t>
      </w:r>
    </w:p>
    <w:p w14:paraId="0E4193E8" w14:textId="77777777" w:rsidR="008E535C" w:rsidRDefault="008E535C" w:rsidP="008E535C">
      <w:pPr>
        <w:pStyle w:val="Numberedpara3level1"/>
        <w:numPr>
          <w:ilvl w:val="0"/>
          <w:numId w:val="0"/>
        </w:numPr>
      </w:pPr>
    </w:p>
    <w:p w14:paraId="04D3EA00" w14:textId="77777777" w:rsidR="008E535C" w:rsidRDefault="008E535C" w:rsidP="008E535C">
      <w:bookmarkStart w:id="0" w:name="_GoBack"/>
      <w:bookmarkEnd w:id="0"/>
    </w:p>
    <w:p w14:paraId="42A0DFAC" w14:textId="77777777" w:rsidR="00AE478C" w:rsidRPr="00603635" w:rsidRDefault="00AE478C" w:rsidP="00603635"/>
    <w:sectPr w:rsidR="00AE478C" w:rsidRPr="00603635" w:rsidSect="00CF4B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5908F" w14:textId="77777777" w:rsidR="00476ECF" w:rsidRDefault="00476ECF">
      <w:r>
        <w:separator/>
      </w:r>
    </w:p>
    <w:p w14:paraId="7307AD37" w14:textId="77777777" w:rsidR="00476ECF" w:rsidRDefault="00476ECF"/>
    <w:p w14:paraId="088D0D12" w14:textId="77777777" w:rsidR="00476ECF" w:rsidRDefault="00476ECF"/>
  </w:endnote>
  <w:endnote w:type="continuationSeparator" w:id="0">
    <w:p w14:paraId="46A89C89" w14:textId="77777777" w:rsidR="00476ECF" w:rsidRDefault="00476ECF">
      <w:r>
        <w:continuationSeparator/>
      </w:r>
    </w:p>
    <w:p w14:paraId="4D8A1C25" w14:textId="77777777" w:rsidR="00476ECF" w:rsidRDefault="00476ECF"/>
    <w:p w14:paraId="46669241" w14:textId="77777777" w:rsidR="00476ECF" w:rsidRDefault="00476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DFBA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DFBB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DFBD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2A869" w14:textId="77777777" w:rsidR="00476ECF" w:rsidRDefault="00476ECF" w:rsidP="00FB1990">
      <w:pPr>
        <w:pStyle w:val="Spacer"/>
      </w:pPr>
      <w:r>
        <w:separator/>
      </w:r>
    </w:p>
    <w:p w14:paraId="1143A315" w14:textId="77777777" w:rsidR="00476ECF" w:rsidRDefault="00476ECF" w:rsidP="00FB1990">
      <w:pPr>
        <w:pStyle w:val="Spacer"/>
      </w:pPr>
    </w:p>
  </w:footnote>
  <w:footnote w:type="continuationSeparator" w:id="0">
    <w:p w14:paraId="6546C44C" w14:textId="77777777" w:rsidR="00476ECF" w:rsidRDefault="00476ECF">
      <w:r>
        <w:continuationSeparator/>
      </w:r>
    </w:p>
    <w:p w14:paraId="66E57F62" w14:textId="77777777" w:rsidR="00476ECF" w:rsidRDefault="00476ECF"/>
    <w:p w14:paraId="0D54C266" w14:textId="77777777" w:rsidR="00476ECF" w:rsidRDefault="00476E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DFB8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DFB9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DFBC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CB65E8B"/>
    <w:multiLevelType w:val="multilevel"/>
    <w:tmpl w:val="97E6BF1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221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9"/>
  </w:num>
  <w:num w:numId="29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0C"/>
    <w:rsid w:val="00003360"/>
    <w:rsid w:val="00003FC7"/>
    <w:rsid w:val="00005919"/>
    <w:rsid w:val="00007C42"/>
    <w:rsid w:val="00015020"/>
    <w:rsid w:val="0001647B"/>
    <w:rsid w:val="00020010"/>
    <w:rsid w:val="0003046E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276E0"/>
    <w:rsid w:val="0013703F"/>
    <w:rsid w:val="00140ED2"/>
    <w:rsid w:val="00143E7C"/>
    <w:rsid w:val="0014415C"/>
    <w:rsid w:val="00145435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6ECF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535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4477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06290"/>
    <w:rsid w:val="00B1026A"/>
    <w:rsid w:val="00B1160C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0DFAC"/>
  <w15:chartTrackingRefBased/>
  <w15:docId w15:val="{F4D59317-57AB-46F9-97CD-3327A27A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35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raig.press@dia.govt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Commencement stage</TermName>
          <TermId xmlns="http://schemas.microsoft.com/office/infopath/2007/PartnerControls">1826319d-78c7-401f-b155-9402bcb369f3</TermId>
        </TermInfo>
      </Terms>
    </C3TopicNote>
    <a20c9a0120c9414d955f866a460bad36 xmlns="bcc54be1-4478-48d0-948b-c440a912a3a6">
      <Terms xmlns="http://schemas.microsoft.com/office/infopath/2007/PartnerControls"/>
    </a20c9a0120c9414d955f866a460bad36>
    <TaxKeywordTaxHTField xmlns="bcc54be1-4478-48d0-948b-c440a912a3a6">
      <Terms xmlns="http://schemas.microsoft.com/office/infopath/2007/PartnerControls"/>
    </TaxKeywordTaxHTField>
    <TaxCatchAll xmlns="bcc54be1-4478-48d0-948b-c440a912a3a6">
      <Value>90</Value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PrivateEntity xmlns="bcc54be1-4478-48d0-948b-c440a912a3a6" xsi:nil="true"/>
    <DIANotes xmlns="bcc54be1-4478-48d0-948b-c440a912a3a6" xsi:nil="true"/>
    <_dlc_DocId xmlns="bcc54be1-4478-48d0-948b-c440a912a3a6">T5VDXFP5TAD4-1651411191-1623</_dlc_DocId>
    <_dlc_DocIdUrl xmlns="bcc54be1-4478-48d0-948b-c440a912a3a6">
      <Url>https://dia.cohesion.net.nz/sites/FTN/STAPP/_layouts/15/DocIdRedir.aspx?ID=T5VDXFP5TAD4-1651411191-1623</Url>
      <Description>T5VDXFP5TAD4-1651411191-1623</Description>
    </_dlc_DocIdUrl>
    <hccc2a1738ea4e919098caafbc78f131 xmlns="bcc54be1-4478-48d0-948b-c440a912a3a6">
      <Terms xmlns="http://schemas.microsoft.com/office/infopath/2007/PartnerControls"/>
    </hccc2a1738ea4e919098caafbc78f131>
    <a14ca32d95704bc08a91d1aa8a6094cf xmlns="bcc54be1-4478-48d0-948b-c440a912a3a6">
      <Terms xmlns="http://schemas.microsoft.com/office/infopath/2007/PartnerControls"/>
    </a14ca32d95704bc08a91d1aa8a6094c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ing Document DIA" ma:contentTypeID="0x0101005496552013C0BA46BE88192D5C6EB20B00DECB0E656323C741B1F2C141A6E4C65F006F064D3E1676AB47A6E66563D56F06E5" ma:contentTypeVersion="6" ma:contentTypeDescription="Use for a briefing to a minister, commission, select committee or ministerial portfolio" ma:contentTypeScope="" ma:versionID="3122f7c60b20e3e7da320bb375e5960f">
  <xsd:schema xmlns:xsd="http://www.w3.org/2001/XMLSchema" xmlns:xs="http://www.w3.org/2001/XMLSchema" xmlns:p="http://schemas.microsoft.com/office/2006/metadata/properties" xmlns:ns3="01be4277-2979-4a68-876d-b92b25fceece" xmlns:ns4="bcc54be1-4478-48d0-948b-c440a912a3a6" targetNamespace="http://schemas.microsoft.com/office/2006/metadata/properties" ma:root="true" ma:fieldsID="bbc334c873c9a8cb545959549d2c6f72" ns3:_="" ns4:_="">
    <xsd:import namespace="01be4277-2979-4a68-876d-b92b25fceece"/>
    <xsd:import namespace="bcc54be1-4478-48d0-948b-c440a912a3a6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a14ca32d95704bc08a91d1aa8a6094cf" minOccurs="0"/>
                <xsd:element ref="ns4:hccc2a1738ea4e919098caafbc78f131" minOccurs="0"/>
                <xsd:element ref="ns4:k1ebb20aec8a413f8e478850bad3b4a4" minOccurs="0"/>
                <xsd:element ref="ns4:DIANotes" minOccurs="0"/>
                <xsd:element ref="ns4:a20c9a0120c9414d955f866a460bad36" minOccurs="0"/>
                <xsd:element ref="ns4:DIAPrivateEntit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0b12426a-fb0c-449a-b07a-66c4cc73f5e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4ca32d95704bc08a91d1aa8a6094cf" ma:index="14" nillable="true" ma:taxonomy="true" ma:internalName="a14ca32d95704bc08a91d1aa8a6094cf" ma:taxonomyFieldName="DIABriefingAudience" ma:displayName="Briefing Audience" ma:fieldId="{a14ca32d-9570-4bc0-8a91-d1aa8a6094cf}" ma:sspId="caf61cd4-0327-4679-8f8a-6e41773e81e7" ma:termSetId="cbdb7610-8e8c-4d9f-8deb-e007e5e8e2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cc2a1738ea4e919098caafbc78f131" ma:index="16" nillable="true" ma:taxonomy="true" ma:internalName="hccc2a1738ea4e919098caafbc78f131" ma:taxonomyFieldName="DIABriefingType" ma:displayName="Briefing Type" ma:fieldId="{1ccc2a17-38ea-4e91-9098-caafbc78f131}" ma:sspId="caf61cd4-0327-4679-8f8a-6e41773e81e7" ma:termSetId="163566e2-e5a1-4b15-abc6-530a1bfde5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ebb20aec8a413f8e478850bad3b4a4" ma:index="18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20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a20c9a0120c9414d955f866a460bad36" ma:index="21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3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AD36-2E36-4077-B199-9D2737D801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342C31-1030-4607-9DC8-BDEBC394C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EC6ED-CBBD-48AE-98C8-075A201710C3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bcc54be1-4478-48d0-948b-c440a912a3a6"/>
  </ds:schemaRefs>
</ds:datastoreItem>
</file>

<file path=customXml/itemProps4.xml><?xml version="1.0" encoding="utf-8"?>
<ds:datastoreItem xmlns:ds="http://schemas.openxmlformats.org/officeDocument/2006/customXml" ds:itemID="{F43760EB-F8B3-4F7A-B957-44385C7D0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3919A8-AADB-4E30-AA1C-337C2B71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Press</dc:creator>
  <cp:keywords/>
  <dc:description/>
  <cp:lastModifiedBy>Craig Press</cp:lastModifiedBy>
  <cp:revision>6</cp:revision>
  <cp:lastPrinted>2014-03-27T01:47:00Z</cp:lastPrinted>
  <dcterms:created xsi:type="dcterms:W3CDTF">2019-09-20T02:39:00Z</dcterms:created>
  <dcterms:modified xsi:type="dcterms:W3CDTF">2019-09-29T20:42:00Z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0x0101005496552013C0BA46BE88192D5C6EB20B00DECB0E656323C741B1F2C141A6E4C65F006F064D3E1676AB47A6E66563D56F06E5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_dlc_DocIdItemGuid">
    <vt:lpwstr>e1d0ad74-2b2c-46a4-af43-c09f8ba0dd83</vt:lpwstr>
  </property>
  <property fmtid="{D5CDD505-2E9C-101B-9397-08002B2CF9AE}" pid="6" name="TaxKeyword">
    <vt:lpwstr/>
  </property>
  <property fmtid="{D5CDD505-2E9C-101B-9397-08002B2CF9AE}" pid="7" name="f1521a764ada4b14b13bcaebd5a921c8">
    <vt:lpwstr/>
  </property>
  <property fmtid="{D5CDD505-2E9C-101B-9397-08002B2CF9AE}" pid="8" name="DIAAdministrationDocumentType">
    <vt:lpwstr/>
  </property>
  <property fmtid="{D5CDD505-2E9C-101B-9397-08002B2CF9AE}" pid="9" name="a2ec4579006a439fac20cd511834d202">
    <vt:lpwstr/>
  </property>
  <property fmtid="{D5CDD505-2E9C-101B-9397-08002B2CF9AE}" pid="10" name="DIANominationDocumentType">
    <vt:lpwstr/>
  </property>
  <property fmtid="{D5CDD505-2E9C-101B-9397-08002B2CF9AE}" pid="11" name="l94d5d54ea6142c4b9b5813e25e1f5f3">
    <vt:lpwstr/>
  </property>
  <property fmtid="{D5CDD505-2E9C-101B-9397-08002B2CF9AE}" pid="12" name="DIABriefingType">
    <vt:lpwstr/>
  </property>
  <property fmtid="{D5CDD505-2E9C-101B-9397-08002B2CF9AE}" pid="13" name="DIABriefingAudience">
    <vt:lpwstr/>
  </property>
  <property fmtid="{D5CDD505-2E9C-101B-9397-08002B2CF9AE}" pid="14" name="jcbbd4522174408f95c914e1e8556fe8">
    <vt:lpwstr/>
  </property>
  <property fmtid="{D5CDD505-2E9C-101B-9397-08002B2CF9AE}" pid="15" name="C3Topic">
    <vt:lpwstr>90;#Commencement stage|1826319d-78c7-401f-b155-9402bcb369f3</vt:lpwstr>
  </property>
  <property fmtid="{D5CDD505-2E9C-101B-9397-08002B2CF9AE}" pid="16" name="DIAReportDocumentType">
    <vt:lpwstr/>
  </property>
  <property fmtid="{D5CDD505-2E9C-101B-9397-08002B2CF9AE}" pid="17" name="DIAMediaDocumentType">
    <vt:lpwstr/>
  </property>
  <property fmtid="{D5CDD505-2E9C-101B-9397-08002B2CF9AE}" pid="18" name="DIASecurityClassification">
    <vt:lpwstr>4;#UNCLASSIFIED|875d92a8-67e2-4a32-9472-8fe99549e1eb</vt:lpwstr>
  </property>
  <property fmtid="{D5CDD505-2E9C-101B-9397-08002B2CF9AE}" pid="19" name="DIAEmailContentType">
    <vt:lpwstr>3;#Correspondence|dcd6b05f-dc80-4336-b228-09aebf3d212c</vt:lpwstr>
  </property>
</Properties>
</file>