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F752" w14:textId="45D9FE22" w:rsidR="00E36B3F" w:rsidRDefault="00611078" w:rsidP="00E36B3F">
      <w:pPr>
        <w:pStyle w:val="NormalWeb"/>
        <w:rPr>
          <w:color w:val="000000"/>
          <w:sz w:val="27"/>
          <w:szCs w:val="27"/>
        </w:rPr>
      </w:pPr>
      <w:r>
        <w:rPr>
          <w:rFonts w:asciiTheme="minorHAnsi" w:eastAsia="Calibri" w:hAnsiTheme="minorHAnsi" w:cstheme="minorHAnsi"/>
          <w:b/>
          <w:bCs/>
          <w:color w:val="1F546B"/>
          <w:sz w:val="28"/>
          <w:szCs w:val="26"/>
        </w:rPr>
        <w:t>I</w:t>
      </w:r>
      <w:r w:rsidR="00E36B3F">
        <w:rPr>
          <w:rFonts w:asciiTheme="minorHAnsi" w:eastAsia="Calibri" w:hAnsiTheme="minorHAnsi" w:cstheme="minorHAnsi"/>
          <w:b/>
          <w:bCs/>
          <w:color w:val="1F546B"/>
          <w:sz w:val="28"/>
          <w:szCs w:val="26"/>
        </w:rPr>
        <w:t>NFORMATION</w:t>
      </w:r>
      <w:r w:rsidR="00E36B3F" w:rsidRPr="0097508A">
        <w:rPr>
          <w:rFonts w:asciiTheme="minorHAnsi" w:eastAsia="Calibri" w:hAnsiTheme="minorHAnsi" w:cstheme="minorHAnsi"/>
          <w:b/>
          <w:bCs/>
          <w:color w:val="1F546B"/>
          <w:sz w:val="28"/>
          <w:szCs w:val="26"/>
        </w:rPr>
        <w:t xml:space="preserve"> SHEET</w:t>
      </w:r>
      <w:r w:rsidR="00E36B3F">
        <w:rPr>
          <w:color w:val="000000"/>
          <w:sz w:val="27"/>
          <w:szCs w:val="27"/>
        </w:rPr>
        <w:t xml:space="preserve"> </w:t>
      </w:r>
    </w:p>
    <w:p w14:paraId="61DBE200" w14:textId="0F00D091" w:rsidR="00A64BA6" w:rsidRPr="00A64BA6" w:rsidRDefault="00E938D7" w:rsidP="00E36B3F">
      <w:pPr>
        <w:pStyle w:val="Heading3"/>
        <w:spacing w:before="120"/>
        <w:rPr>
          <w:rFonts w:asciiTheme="minorHAnsi" w:hAnsiTheme="minorHAnsi" w:cstheme="minorHAnsi"/>
          <w:sz w:val="14"/>
        </w:rPr>
      </w:pPr>
      <w:r>
        <w:rPr>
          <w:rFonts w:asciiTheme="minorHAnsi" w:hAnsiTheme="minorHAnsi" w:cstheme="minorHAnsi"/>
          <w:iCs/>
          <w:sz w:val="36"/>
          <w:szCs w:val="28"/>
        </w:rPr>
        <w:t>Water Services Entity Establishment Board</w:t>
      </w:r>
      <w:r w:rsidR="006E655D">
        <w:rPr>
          <w:rFonts w:asciiTheme="minorHAnsi" w:hAnsiTheme="minorHAnsi" w:cstheme="minorHAnsi"/>
          <w:iCs/>
          <w:sz w:val="36"/>
          <w:szCs w:val="28"/>
        </w:rPr>
        <w:t>s</w:t>
      </w:r>
      <w:r>
        <w:rPr>
          <w:rFonts w:asciiTheme="minorHAnsi" w:hAnsiTheme="minorHAnsi" w:cstheme="minorHAnsi"/>
          <w:iCs/>
          <w:sz w:val="36"/>
          <w:szCs w:val="28"/>
        </w:rPr>
        <w:t xml:space="preserve"> (the </w:t>
      </w:r>
      <w:r w:rsidR="006E655D">
        <w:rPr>
          <w:rFonts w:asciiTheme="minorHAnsi" w:hAnsiTheme="minorHAnsi" w:cstheme="minorHAnsi"/>
          <w:iCs/>
          <w:sz w:val="36"/>
          <w:szCs w:val="28"/>
        </w:rPr>
        <w:t xml:space="preserve">Entity </w:t>
      </w:r>
      <w:r w:rsidR="009F7D42">
        <w:rPr>
          <w:rFonts w:asciiTheme="minorHAnsi" w:hAnsiTheme="minorHAnsi" w:cstheme="minorHAnsi"/>
          <w:iCs/>
          <w:sz w:val="36"/>
          <w:szCs w:val="28"/>
        </w:rPr>
        <w:t>e</w:t>
      </w:r>
      <w:r>
        <w:rPr>
          <w:rFonts w:asciiTheme="minorHAnsi" w:hAnsiTheme="minorHAnsi" w:cstheme="minorHAnsi"/>
          <w:iCs/>
          <w:sz w:val="36"/>
          <w:szCs w:val="28"/>
        </w:rPr>
        <w:t xml:space="preserve">stablishment </w:t>
      </w:r>
      <w:r w:rsidR="009F7D42">
        <w:rPr>
          <w:rFonts w:asciiTheme="minorHAnsi" w:hAnsiTheme="minorHAnsi" w:cstheme="minorHAnsi"/>
          <w:iCs/>
          <w:sz w:val="36"/>
          <w:szCs w:val="28"/>
        </w:rPr>
        <w:t>b</w:t>
      </w:r>
      <w:r>
        <w:rPr>
          <w:rFonts w:asciiTheme="minorHAnsi" w:hAnsiTheme="minorHAnsi" w:cstheme="minorHAnsi"/>
          <w:iCs/>
          <w:sz w:val="36"/>
          <w:szCs w:val="28"/>
        </w:rPr>
        <w:t>oard</w:t>
      </w:r>
      <w:r w:rsidR="006E655D">
        <w:rPr>
          <w:rFonts w:asciiTheme="minorHAnsi" w:hAnsiTheme="minorHAnsi" w:cstheme="minorHAnsi"/>
          <w:iCs/>
          <w:sz w:val="36"/>
          <w:szCs w:val="28"/>
        </w:rPr>
        <w:t>s</w:t>
      </w:r>
      <w:r>
        <w:rPr>
          <w:rFonts w:asciiTheme="minorHAnsi" w:hAnsiTheme="minorHAnsi" w:cstheme="minorHAnsi"/>
          <w:iCs/>
          <w:sz w:val="36"/>
          <w:szCs w:val="28"/>
        </w:rPr>
        <w:t>)</w:t>
      </w:r>
      <w:r w:rsidR="00A64BA6">
        <w:rPr>
          <w:rFonts w:asciiTheme="minorHAnsi" w:hAnsiTheme="minorHAnsi" w:cstheme="minorHAnsi"/>
          <w:iCs/>
          <w:sz w:val="36"/>
          <w:szCs w:val="28"/>
        </w:rPr>
        <w:t xml:space="preserve">  </w:t>
      </w:r>
      <w:r w:rsidR="00A64BA6">
        <w:rPr>
          <w:rFonts w:asciiTheme="minorHAnsi" w:hAnsiTheme="minorHAnsi" w:cstheme="minorHAnsi"/>
        </w:rPr>
        <w:br/>
      </w:r>
    </w:p>
    <w:p w14:paraId="75B72B30" w14:textId="77777777" w:rsidR="005C0CA3" w:rsidRDefault="005C0CA3" w:rsidP="00E36B3F">
      <w:pPr>
        <w:pStyle w:val="Heading3"/>
        <w:spacing w:before="120"/>
        <w:rPr>
          <w:rFonts w:asciiTheme="minorHAnsi" w:hAnsiTheme="minorHAnsi" w:cstheme="minorHAnsi"/>
        </w:rPr>
      </w:pPr>
    </w:p>
    <w:p w14:paraId="4B79F257" w14:textId="510631F3" w:rsidR="00E36B3F" w:rsidRPr="00A64BA6" w:rsidRDefault="006E655D" w:rsidP="00E36B3F">
      <w:pPr>
        <w:pStyle w:val="Heading3"/>
        <w:spacing w:before="120"/>
        <w:rPr>
          <w:rFonts w:asciiTheme="minorHAnsi" w:hAnsiTheme="minorHAnsi" w:cstheme="minorHAnsi"/>
          <w:iCs/>
          <w:sz w:val="12"/>
          <w:szCs w:val="28"/>
        </w:rPr>
      </w:pPr>
      <w:r>
        <w:rPr>
          <w:rFonts w:asciiTheme="minorHAnsi" w:hAnsiTheme="minorHAnsi" w:cstheme="minorHAnsi"/>
        </w:rPr>
        <w:t>Background</w:t>
      </w:r>
    </w:p>
    <w:p w14:paraId="64C71DF7" w14:textId="75CD5B85" w:rsidR="00E938D7" w:rsidRDefault="00E938D7" w:rsidP="00E36B3F">
      <w:r>
        <w:t xml:space="preserve">The </w:t>
      </w:r>
      <w:r w:rsidR="006E655D">
        <w:t>government is committed to significantly improve the safety, quality, resilience, accessibility, and performance of three waters services in a way that is efficient and affordable for New Zealanders.</w:t>
      </w:r>
    </w:p>
    <w:p w14:paraId="7DCD60C4" w14:textId="41E0E49B" w:rsidR="006E655D" w:rsidRDefault="006E655D" w:rsidP="00E36B3F">
      <w:r>
        <w:t xml:space="preserve">This requires effective infrastructure delivery, underpinned by an efficient, high-performing, </w:t>
      </w:r>
      <w:proofErr w:type="gramStart"/>
      <w:r>
        <w:t>financially-sustainable</w:t>
      </w:r>
      <w:proofErr w:type="gramEnd"/>
      <w:r>
        <w:t xml:space="preserve"> and transparent three waters system, which is well-connected to, and integrated with local and regional planning processes and strategies.</w:t>
      </w:r>
    </w:p>
    <w:p w14:paraId="736AC693" w14:textId="705DB88A" w:rsidR="00790440" w:rsidRDefault="00790440" w:rsidP="00790440">
      <w:r>
        <w:t xml:space="preserve">Integral to this is ensuring delivery against Te </w:t>
      </w:r>
      <w:proofErr w:type="spellStart"/>
      <w:r>
        <w:t>Tiriti</w:t>
      </w:r>
      <w:proofErr w:type="spellEnd"/>
      <w:r>
        <w:t xml:space="preserve"> o Waitangi obligations, including by improving outcomes for </w:t>
      </w:r>
      <w:r w:rsidR="00070556">
        <w:t xml:space="preserve">mana whenua </w:t>
      </w:r>
      <w:r>
        <w:t>in relation to three waters service delivery.</w:t>
      </w:r>
    </w:p>
    <w:p w14:paraId="6BAEF4CF" w14:textId="5400962F" w:rsidR="00E01018" w:rsidRDefault="00A015E6" w:rsidP="00E36B3F">
      <w:r>
        <w:t xml:space="preserve">At the heart of the reforms is the creation of </w:t>
      </w:r>
      <w:r w:rsidR="00611078">
        <w:t xml:space="preserve">four </w:t>
      </w:r>
      <w:r>
        <w:t xml:space="preserve">large-scale, </w:t>
      </w:r>
      <w:proofErr w:type="gramStart"/>
      <w:r>
        <w:t>publicly-owned</w:t>
      </w:r>
      <w:proofErr w:type="gramEnd"/>
      <w:r>
        <w:t xml:space="preserve"> </w:t>
      </w:r>
      <w:r w:rsidR="00E01018">
        <w:t>Water Services Entities</w:t>
      </w:r>
      <w:r>
        <w:t xml:space="preserve"> (</w:t>
      </w:r>
      <w:r w:rsidR="00790440">
        <w:t>Entities</w:t>
      </w:r>
      <w:r>
        <w:t>)</w:t>
      </w:r>
      <w:r w:rsidR="00641C81">
        <w:t xml:space="preserve"> to manage water services, currently managed by 67 councils</w:t>
      </w:r>
      <w:r>
        <w:t>. The</w:t>
      </w:r>
      <w:r w:rsidR="00790440">
        <w:t>se</w:t>
      </w:r>
      <w:r>
        <w:t xml:space="preserve"> four </w:t>
      </w:r>
      <w:r w:rsidR="00790440">
        <w:t xml:space="preserve">entities </w:t>
      </w:r>
      <w:r>
        <w:t xml:space="preserve">will be statutory entities, established by </w:t>
      </w:r>
      <w:r w:rsidR="00E01018">
        <w:t>specific legislation</w:t>
      </w:r>
      <w:r>
        <w:t xml:space="preserve"> (</w:t>
      </w:r>
      <w:r w:rsidRPr="00611078">
        <w:rPr>
          <w:i/>
          <w:iCs/>
        </w:rPr>
        <w:t>Water Services Entities Bill</w:t>
      </w:r>
      <w:r w:rsidR="00790440">
        <w:rPr>
          <w:i/>
          <w:iCs/>
        </w:rPr>
        <w:t>,</w:t>
      </w:r>
      <w:r>
        <w:t xml:space="preserve"> currently before Select Committee). </w:t>
      </w:r>
    </w:p>
    <w:p w14:paraId="52A90B8B" w14:textId="3B4293A1" w:rsidR="00F706D9" w:rsidRDefault="00790440" w:rsidP="00E36B3F">
      <w:r w:rsidRPr="00790440">
        <w:t xml:space="preserve">From 1 July 2024, </w:t>
      </w:r>
      <w:r>
        <w:t>these f</w:t>
      </w:r>
      <w:r w:rsidRPr="00790440">
        <w:t xml:space="preserve">our new entities will deliver drinking water, </w:t>
      </w:r>
      <w:proofErr w:type="gramStart"/>
      <w:r w:rsidRPr="00790440">
        <w:t>wastewater</w:t>
      </w:r>
      <w:proofErr w:type="gramEnd"/>
      <w:r w:rsidRPr="00790440">
        <w:t xml:space="preserve"> and stormwater services to people across New Zealand.</w:t>
      </w:r>
      <w:r>
        <w:t xml:space="preserve">  </w:t>
      </w:r>
      <w:r w:rsidR="00FD529F">
        <w:t xml:space="preserve"> Ahead of</w:t>
      </w:r>
      <w:r w:rsidR="006B7DDE">
        <w:t xml:space="preserve"> this</w:t>
      </w:r>
      <w:r w:rsidR="00F706D9">
        <w:t xml:space="preserve">, Cabinet has agreed that the Minister of Local Government </w:t>
      </w:r>
      <w:r w:rsidR="005B212D">
        <w:t xml:space="preserve">(the Minister) </w:t>
      </w:r>
      <w:r w:rsidR="00F706D9">
        <w:t xml:space="preserve">will appoint four Water Services Entity establishment boards (Entity establishment boards) to </w:t>
      </w:r>
      <w:r w:rsidR="00FD529F">
        <w:t xml:space="preserve">prepare for the set-up of the Entities and </w:t>
      </w:r>
      <w:r w:rsidR="00F706D9">
        <w:t>undertake transition activities</w:t>
      </w:r>
      <w:r w:rsidR="006B7DDE">
        <w:t>. T</w:t>
      </w:r>
      <w:r w:rsidR="00F706D9">
        <w:t xml:space="preserve">he Entity establishment boards will be responsible to, and report to the Minister.  </w:t>
      </w:r>
    </w:p>
    <w:p w14:paraId="0BB4F29D" w14:textId="7AC3CD5A" w:rsidR="006E655D" w:rsidRDefault="006E655D" w:rsidP="006E655D">
      <w:pPr>
        <w:pStyle w:val="Heading3"/>
        <w:spacing w:before="120"/>
        <w:rPr>
          <w:rFonts w:asciiTheme="minorHAnsi" w:hAnsiTheme="minorHAnsi" w:cstheme="minorHAnsi"/>
        </w:rPr>
      </w:pPr>
      <w:r>
        <w:rPr>
          <w:rFonts w:asciiTheme="minorHAnsi" w:hAnsiTheme="minorHAnsi" w:cstheme="minorHAnsi"/>
        </w:rPr>
        <w:t>Purpose of the Entity Establishment Boards</w:t>
      </w:r>
    </w:p>
    <w:p w14:paraId="2DFDB201" w14:textId="0682A2A5" w:rsidR="00E01018" w:rsidRDefault="00641C81" w:rsidP="006E655D">
      <w:pPr>
        <w:rPr>
          <w:lang w:val="en-US"/>
        </w:rPr>
      </w:pPr>
      <w:r>
        <w:t>T</w:t>
      </w:r>
      <w:r w:rsidR="00005BBB">
        <w:t>here will be four Entity establishment boards</w:t>
      </w:r>
      <w:r w:rsidR="00F17AAB">
        <w:t xml:space="preserve"> that align with the penultimate </w:t>
      </w:r>
      <w:r w:rsidR="00790440">
        <w:t xml:space="preserve">entity </w:t>
      </w:r>
      <w:r w:rsidR="00F17AAB">
        <w:t>jurisdictions</w:t>
      </w:r>
      <w:r w:rsidR="0009096C">
        <w:t xml:space="preserve"> </w:t>
      </w:r>
      <w:r w:rsidR="0028388C">
        <w:t>(map</w:t>
      </w:r>
      <w:r w:rsidR="005C0CA3">
        <w:t xml:space="preserve"> below</w:t>
      </w:r>
      <w:r w:rsidR="0028388C">
        <w:t xml:space="preserve">) </w:t>
      </w:r>
      <w:r w:rsidR="0009096C">
        <w:t>which are</w:t>
      </w:r>
      <w:r w:rsidR="00B318E5">
        <w:rPr>
          <w:lang w:val="en-US"/>
        </w:rPr>
        <w:t>:</w:t>
      </w:r>
    </w:p>
    <w:p w14:paraId="13B803C6" w14:textId="77777777" w:rsidR="005C0CA3" w:rsidRDefault="005C0CA3" w:rsidP="005C0CA3">
      <w:pPr>
        <w:pStyle w:val="ListParagraph"/>
        <w:numPr>
          <w:ilvl w:val="0"/>
          <w:numId w:val="29"/>
        </w:numPr>
      </w:pPr>
      <w:r>
        <w:t xml:space="preserve">Entity A comprising the Auckland Northland </w:t>
      </w:r>
      <w:proofErr w:type="gramStart"/>
      <w:r>
        <w:t>regions;</w:t>
      </w:r>
      <w:proofErr w:type="gramEnd"/>
    </w:p>
    <w:p w14:paraId="15758851" w14:textId="77777777" w:rsidR="005C0CA3" w:rsidRDefault="005C0CA3" w:rsidP="005C0CA3">
      <w:pPr>
        <w:pStyle w:val="ListParagraph"/>
        <w:numPr>
          <w:ilvl w:val="0"/>
          <w:numId w:val="29"/>
        </w:numPr>
      </w:pPr>
      <w:r>
        <w:t xml:space="preserve">Entity B comprising all districts from the Waikato, Bay of Plenty and Taranaki regions and the upper parts of </w:t>
      </w:r>
      <w:proofErr w:type="spellStart"/>
      <w:r>
        <w:t>Manawatū</w:t>
      </w:r>
      <w:proofErr w:type="spellEnd"/>
      <w:r>
        <w:t>-Whanganui region (Ruapehu, Whanganui, and Rangitikei</w:t>
      </w:r>
      <w:proofErr w:type="gramStart"/>
      <w:r>
        <w:t>);</w:t>
      </w:r>
      <w:proofErr w:type="gramEnd"/>
    </w:p>
    <w:p w14:paraId="58FB468B" w14:textId="77777777" w:rsidR="005C0CA3" w:rsidRDefault="005C0CA3" w:rsidP="005C0CA3">
      <w:pPr>
        <w:pStyle w:val="ListParagraph"/>
        <w:numPr>
          <w:ilvl w:val="0"/>
          <w:numId w:val="29"/>
        </w:numPr>
      </w:pPr>
      <w:r>
        <w:t>Entity C comprising</w:t>
      </w:r>
    </w:p>
    <w:p w14:paraId="3ACE2866" w14:textId="77777777" w:rsidR="005C0CA3" w:rsidRDefault="005C0CA3" w:rsidP="005C0CA3">
      <w:pPr>
        <w:pStyle w:val="ListParagraph"/>
        <w:numPr>
          <w:ilvl w:val="1"/>
          <w:numId w:val="29"/>
        </w:numPr>
      </w:pPr>
      <w:r>
        <w:t xml:space="preserve">the local authorities in the eastern and lower part of the North Island (Gisborne, Hawke’s Bay region, lowers parts of the </w:t>
      </w:r>
      <w:proofErr w:type="spellStart"/>
      <w:r>
        <w:t>Manawatū</w:t>
      </w:r>
      <w:proofErr w:type="spellEnd"/>
      <w:r>
        <w:t>-Whanganui Region</w:t>
      </w:r>
      <w:r>
        <w:rPr>
          <w:rStyle w:val="FootnoteReference"/>
        </w:rPr>
        <w:footnoteReference w:id="2"/>
      </w:r>
      <w:r>
        <w:t>, and Wellington regions); and</w:t>
      </w:r>
    </w:p>
    <w:p w14:paraId="11F0AC18" w14:textId="77777777" w:rsidR="005C0CA3" w:rsidRDefault="005C0CA3" w:rsidP="00383E94">
      <w:pPr>
        <w:pStyle w:val="ListParagraph"/>
        <w:numPr>
          <w:ilvl w:val="1"/>
          <w:numId w:val="29"/>
        </w:numPr>
        <w:spacing w:after="120"/>
        <w:ind w:left="1434" w:hanging="357"/>
      </w:pPr>
      <w:r>
        <w:lastRenderedPageBreak/>
        <w:t xml:space="preserve">the local authorities at the top of the South Island (Tasman, Nelson and </w:t>
      </w:r>
      <w:proofErr w:type="gramStart"/>
      <w:r>
        <w:t>Marlborough;</w:t>
      </w:r>
      <w:proofErr w:type="gramEnd"/>
    </w:p>
    <w:p w14:paraId="5906E2CB" w14:textId="77777777" w:rsidR="005C0CA3" w:rsidRDefault="005C0CA3" w:rsidP="005C0CA3">
      <w:pPr>
        <w:pStyle w:val="ListParagraph"/>
        <w:numPr>
          <w:ilvl w:val="0"/>
          <w:numId w:val="29"/>
        </w:numPr>
      </w:pPr>
      <w:r>
        <w:t xml:space="preserve">Entity D comprising the districts and regions in the rest of the South Island, including those parts of the Marlborough and Tasman Districts that comprise the </w:t>
      </w:r>
      <w:proofErr w:type="spellStart"/>
      <w:r>
        <w:t>Ngāi</w:t>
      </w:r>
      <w:proofErr w:type="spellEnd"/>
      <w:r>
        <w:t xml:space="preserve"> </w:t>
      </w:r>
      <w:proofErr w:type="spellStart"/>
      <w:r>
        <w:t>Tahu</w:t>
      </w:r>
      <w:proofErr w:type="spellEnd"/>
      <w:r>
        <w:t xml:space="preserve"> </w:t>
      </w:r>
      <w:proofErr w:type="spellStart"/>
      <w:r>
        <w:t>takiwā</w:t>
      </w:r>
      <w:proofErr w:type="spellEnd"/>
      <w:r>
        <w:rPr>
          <w:rStyle w:val="FootnoteReference"/>
        </w:rPr>
        <w:footnoteReference w:id="3"/>
      </w:r>
      <w:r>
        <w:t>.</w:t>
      </w:r>
    </w:p>
    <w:p w14:paraId="10331BA3" w14:textId="77777777" w:rsidR="005C0CA3" w:rsidRPr="00B318E5" w:rsidRDefault="005C0CA3" w:rsidP="006E655D">
      <w:pPr>
        <w:rPr>
          <w:lang w:val="en-US"/>
        </w:rPr>
      </w:pPr>
    </w:p>
    <w:p w14:paraId="67E6E59A" w14:textId="536D05A1" w:rsidR="005C0CA3" w:rsidRDefault="005C0CA3" w:rsidP="005C0CA3">
      <w:pPr>
        <w:pStyle w:val="ListParagraph"/>
        <w:numPr>
          <w:ilvl w:val="0"/>
          <w:numId w:val="0"/>
        </w:numPr>
        <w:ind w:left="720"/>
      </w:pPr>
      <w:r w:rsidRPr="005C0CA3">
        <w:rPr>
          <w:rFonts w:eastAsia="Calibri"/>
          <w:noProof/>
        </w:rPr>
        <w:drawing>
          <wp:inline distT="0" distB="0" distL="0" distR="0" wp14:anchorId="07F6B60C" wp14:editId="0FFD46C0">
            <wp:extent cx="3979545" cy="4944745"/>
            <wp:effectExtent l="0" t="0" r="1905" b="825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79545" cy="4944745"/>
                    </a:xfrm>
                    <a:prstGeom prst="rect">
                      <a:avLst/>
                    </a:prstGeom>
                    <a:noFill/>
                    <a:ln>
                      <a:noFill/>
                    </a:ln>
                  </pic:spPr>
                </pic:pic>
              </a:graphicData>
            </a:graphic>
          </wp:inline>
        </w:drawing>
      </w:r>
    </w:p>
    <w:p w14:paraId="56547BAE" w14:textId="77777777" w:rsidR="005C0CA3" w:rsidRDefault="005C0CA3" w:rsidP="006E655D"/>
    <w:p w14:paraId="2880295E" w14:textId="50B54CEA" w:rsidR="00FE7F3B" w:rsidRDefault="00005BBB" w:rsidP="006E655D">
      <w:r>
        <w:t>Each of the Entity establishment boards will be accountable for certain transition activities</w:t>
      </w:r>
      <w:r w:rsidR="00DD0C25">
        <w:t>. The Entity establishment boards will provide governance oversight for their respective Water Services establishment entity (</w:t>
      </w:r>
      <w:r w:rsidR="00100351">
        <w:t xml:space="preserve">Establishment </w:t>
      </w:r>
      <w:r w:rsidR="00DD0C25">
        <w:t xml:space="preserve">Entity). </w:t>
      </w:r>
    </w:p>
    <w:p w14:paraId="44A9E21E" w14:textId="14211CD5" w:rsidR="006E655D" w:rsidRDefault="00DD0C25" w:rsidP="006E655D">
      <w:r>
        <w:lastRenderedPageBreak/>
        <w:t xml:space="preserve">Each </w:t>
      </w:r>
      <w:r w:rsidR="00100351">
        <w:t xml:space="preserve">Establishment </w:t>
      </w:r>
      <w:r>
        <w:t xml:space="preserve">Entity </w:t>
      </w:r>
      <w:r w:rsidR="00100351">
        <w:t>will be a statutory body, set up through the Water Services Entities Bill and will have express legislative provisions to equip them with the powers needed to perform their role during the transition period. Each Establishment Entity wi</w:t>
      </w:r>
      <w:r>
        <w:t xml:space="preserve">ll have a Chief Executive appointed by </w:t>
      </w:r>
      <w:r w:rsidR="0028388C" w:rsidRPr="0028388C">
        <w:t>late 2022</w:t>
      </w:r>
      <w:r w:rsidR="0028388C">
        <w:t>.</w:t>
      </w:r>
      <w:r>
        <w:t xml:space="preserve"> </w:t>
      </w:r>
      <w:r w:rsidR="00641C81">
        <w:t>The Establishment E</w:t>
      </w:r>
      <w:r w:rsidR="00100351">
        <w:t xml:space="preserve">ntities </w:t>
      </w:r>
      <w:r w:rsidR="00641C81">
        <w:t xml:space="preserve">will </w:t>
      </w:r>
      <w:r w:rsidR="00100351">
        <w:t>not be responsible for water service delivery, rather they will undertake transition activities that are key for the ongoing accountability of operational decisions.</w:t>
      </w:r>
    </w:p>
    <w:p w14:paraId="4DDFF769" w14:textId="07BA373A" w:rsidR="00DD0C25" w:rsidRDefault="00DD0C25" w:rsidP="006E655D">
      <w:r>
        <w:t xml:space="preserve">The </w:t>
      </w:r>
      <w:r w:rsidR="00100351">
        <w:t xml:space="preserve">four Establishment </w:t>
      </w:r>
      <w:r>
        <w:t>Entities will ensur</w:t>
      </w:r>
      <w:r w:rsidR="004A5B5E">
        <w:t>e</w:t>
      </w:r>
      <w:r>
        <w:t xml:space="preserve"> decisions are made and owned by the </w:t>
      </w:r>
      <w:r w:rsidR="00100351">
        <w:t xml:space="preserve">enduring </w:t>
      </w:r>
      <w:r>
        <w:t xml:space="preserve">water services </w:t>
      </w:r>
      <w:r w:rsidR="00100351">
        <w:t xml:space="preserve">entities, and to embed enduring ownership and entity-specific accountability arrangements. However, the functions of the Establishment Entities will be limited by statute and essentially preparatory in nature. </w:t>
      </w:r>
    </w:p>
    <w:p w14:paraId="35AC60F2" w14:textId="67F488F7" w:rsidR="00100351" w:rsidRDefault="00100351" w:rsidP="006E655D">
      <w:r>
        <w:t>The Establishment Entities will be responsible to, and report to, the Minister of Local Government (for example through a letter of expectations, and reports) with oversight from the National Transition Unit (Department of Internal Affairs).</w:t>
      </w:r>
    </w:p>
    <w:p w14:paraId="2A7704A8" w14:textId="77777777" w:rsidR="00E36B3F" w:rsidRDefault="00E36B3F" w:rsidP="00E36B3F">
      <w:pPr>
        <w:pStyle w:val="Heading3"/>
        <w:spacing w:before="120"/>
        <w:rPr>
          <w:rFonts w:asciiTheme="minorHAnsi" w:hAnsiTheme="minorHAnsi" w:cstheme="minorHAnsi"/>
        </w:rPr>
      </w:pPr>
      <w:r w:rsidRPr="00E36B3F">
        <w:rPr>
          <w:rFonts w:asciiTheme="minorHAnsi" w:hAnsiTheme="minorHAnsi" w:cstheme="minorHAnsi"/>
        </w:rPr>
        <w:t>Membership</w:t>
      </w:r>
    </w:p>
    <w:p w14:paraId="3F9D2569" w14:textId="69FFE551" w:rsidR="00AA7CAB" w:rsidRPr="00F17AAB" w:rsidRDefault="00F17AAB" w:rsidP="00E36B3F">
      <w:r w:rsidRPr="00F17AAB">
        <w:t>T</w:t>
      </w:r>
      <w:r>
        <w:t>he four Entity establish</w:t>
      </w:r>
      <w:r w:rsidR="00441CFE">
        <w:t>ment</w:t>
      </w:r>
      <w:r>
        <w:t xml:space="preserve"> boards will each consist of between four and six members, appointed by the Minister. </w:t>
      </w:r>
      <w:r w:rsidR="00FC3B77">
        <w:t xml:space="preserve"> </w:t>
      </w:r>
      <w:r>
        <w:t xml:space="preserve">A member’s term of appointment </w:t>
      </w:r>
      <w:r w:rsidRPr="0028388C">
        <w:t xml:space="preserve">is between </w:t>
      </w:r>
      <w:r w:rsidR="00790440">
        <w:t>two</w:t>
      </w:r>
      <w:r w:rsidRPr="0028388C">
        <w:t xml:space="preserve"> and </w:t>
      </w:r>
      <w:r w:rsidR="00790440">
        <w:t>four</w:t>
      </w:r>
      <w:r w:rsidRPr="0028388C">
        <w:t xml:space="preserve"> years, an</w:t>
      </w:r>
      <w:r w:rsidR="005E325E" w:rsidRPr="0028388C">
        <w:t xml:space="preserve">d </w:t>
      </w:r>
      <w:r w:rsidR="00790440">
        <w:t>they</w:t>
      </w:r>
      <w:r w:rsidR="005E325E" w:rsidRPr="0028388C">
        <w:t xml:space="preserve"> may be appointed to the enduring Water Services Entity Board.</w:t>
      </w:r>
    </w:p>
    <w:p w14:paraId="4D097D0A" w14:textId="77777777" w:rsidR="00E36B3F" w:rsidRDefault="00E36B3F" w:rsidP="00E36B3F">
      <w:pPr>
        <w:pStyle w:val="Heading3"/>
        <w:spacing w:before="120"/>
        <w:rPr>
          <w:rFonts w:asciiTheme="minorHAnsi" w:hAnsiTheme="minorHAnsi" w:cstheme="minorHAnsi"/>
        </w:rPr>
      </w:pPr>
      <w:r w:rsidRPr="00E36B3F">
        <w:rPr>
          <w:rFonts w:asciiTheme="minorHAnsi" w:hAnsiTheme="minorHAnsi" w:cstheme="minorHAnsi"/>
        </w:rPr>
        <w:t xml:space="preserve">Required skills and experience </w:t>
      </w:r>
    </w:p>
    <w:p w14:paraId="1A9B9E86" w14:textId="16661B7D" w:rsidR="00441CFE" w:rsidRDefault="00441CFE" w:rsidP="00E36B3F">
      <w:r w:rsidRPr="00441CFE">
        <w:t>Member</w:t>
      </w:r>
      <w:r>
        <w:t>s of the Entity establishment board will have a broad range of skills, experience, and diversity to enable the board to effectively provide governance oversight of the Establishment Entities through the transition phase, and to meet its statutory responsibility for its respective Establishment Entity’s functions. Candidates should be able to demonstrate:</w:t>
      </w:r>
    </w:p>
    <w:p w14:paraId="1F215D1C" w14:textId="77777777" w:rsidR="0028388C" w:rsidRDefault="0028388C" w:rsidP="0028388C">
      <w:pPr>
        <w:pStyle w:val="Numberedpara3level211"/>
        <w:keepLines w:val="0"/>
        <w:numPr>
          <w:ilvl w:val="0"/>
          <w:numId w:val="30"/>
        </w:numPr>
      </w:pPr>
      <w:r w:rsidRPr="009D3E1A">
        <w:rPr>
          <w:b/>
          <w:bCs/>
        </w:rPr>
        <w:t>Transition/</w:t>
      </w:r>
      <w:r>
        <w:rPr>
          <w:b/>
          <w:bCs/>
        </w:rPr>
        <w:t>c</w:t>
      </w:r>
      <w:r w:rsidRPr="009D3E1A">
        <w:rPr>
          <w:b/>
          <w:bCs/>
        </w:rPr>
        <w:t>hange/</w:t>
      </w:r>
      <w:r>
        <w:rPr>
          <w:b/>
          <w:bCs/>
        </w:rPr>
        <w:t>e</w:t>
      </w:r>
      <w:r w:rsidRPr="009D3E1A">
        <w:rPr>
          <w:b/>
          <w:bCs/>
        </w:rPr>
        <w:t>stablishment</w:t>
      </w:r>
      <w:r>
        <w:t xml:space="preserve"> – Significant senior level experience and success in large-scale sector and/or organisational reform, change and establishment, preferably at a governance level.</w:t>
      </w:r>
    </w:p>
    <w:p w14:paraId="5DFDCD97" w14:textId="68D216C3" w:rsidR="0028388C" w:rsidRDefault="0028388C" w:rsidP="0028388C">
      <w:pPr>
        <w:pStyle w:val="Numberedpara3level211"/>
        <w:keepLines w:val="0"/>
        <w:numPr>
          <w:ilvl w:val="0"/>
          <w:numId w:val="30"/>
        </w:numPr>
      </w:pPr>
      <w:r>
        <w:rPr>
          <w:b/>
          <w:bCs/>
        </w:rPr>
        <w:t xml:space="preserve">Te </w:t>
      </w:r>
      <w:proofErr w:type="spellStart"/>
      <w:r>
        <w:rPr>
          <w:b/>
          <w:bCs/>
        </w:rPr>
        <w:t>Tiriti</w:t>
      </w:r>
      <w:proofErr w:type="spellEnd"/>
      <w:r>
        <w:rPr>
          <w:b/>
          <w:bCs/>
        </w:rPr>
        <w:t xml:space="preserve"> o Waitangi/</w:t>
      </w:r>
      <w:proofErr w:type="spellStart"/>
      <w:r w:rsidRPr="009D3E1A">
        <w:rPr>
          <w:b/>
          <w:bCs/>
        </w:rPr>
        <w:t>mātauranga</w:t>
      </w:r>
      <w:proofErr w:type="spellEnd"/>
      <w:r w:rsidRPr="009D3E1A">
        <w:rPr>
          <w:b/>
          <w:bCs/>
        </w:rPr>
        <w:t xml:space="preserve"> Māori/tikanga Māori/</w:t>
      </w:r>
      <w:proofErr w:type="spellStart"/>
      <w:r w:rsidRPr="009D3E1A">
        <w:rPr>
          <w:b/>
          <w:bCs/>
        </w:rPr>
        <w:t>te</w:t>
      </w:r>
      <w:proofErr w:type="spellEnd"/>
      <w:r w:rsidRPr="009D3E1A">
        <w:rPr>
          <w:b/>
          <w:bCs/>
        </w:rPr>
        <w:t xml:space="preserve"> </w:t>
      </w:r>
      <w:proofErr w:type="spellStart"/>
      <w:r w:rsidRPr="009D3E1A">
        <w:rPr>
          <w:b/>
          <w:bCs/>
        </w:rPr>
        <w:t>ao</w:t>
      </w:r>
      <w:proofErr w:type="spellEnd"/>
      <w:r w:rsidRPr="009D3E1A">
        <w:rPr>
          <w:b/>
          <w:bCs/>
        </w:rPr>
        <w:t xml:space="preserve"> Māori</w:t>
      </w:r>
      <w:r>
        <w:t xml:space="preserve"> – Experience and deep understanding of </w:t>
      </w:r>
      <w:proofErr w:type="spellStart"/>
      <w:r>
        <w:t>te</w:t>
      </w:r>
      <w:proofErr w:type="spellEnd"/>
      <w:r>
        <w:t xml:space="preserve"> </w:t>
      </w:r>
      <w:proofErr w:type="spellStart"/>
      <w:r>
        <w:t>ao</w:t>
      </w:r>
      <w:proofErr w:type="spellEnd"/>
      <w:r>
        <w:t xml:space="preserve"> Māori and Te </w:t>
      </w:r>
      <w:proofErr w:type="spellStart"/>
      <w:r>
        <w:t>Tiriti</w:t>
      </w:r>
      <w:proofErr w:type="spellEnd"/>
      <w:r>
        <w:t xml:space="preserve"> o Waitangi; an understanding of the significance of </w:t>
      </w:r>
      <w:proofErr w:type="spellStart"/>
      <w:r>
        <w:t>wai</w:t>
      </w:r>
      <w:proofErr w:type="spellEnd"/>
      <w:r>
        <w:t xml:space="preserve"> to Māori social, </w:t>
      </w:r>
      <w:proofErr w:type="gramStart"/>
      <w:r>
        <w:t>environmental</w:t>
      </w:r>
      <w:proofErr w:type="gramEnd"/>
      <w:r>
        <w:t xml:space="preserve"> and economic wellbeing; and understanding of iwi dynamics and the ability to bring those perspectives to the board table. </w:t>
      </w:r>
    </w:p>
    <w:p w14:paraId="6CC51290" w14:textId="033415AB" w:rsidR="0028388C" w:rsidRDefault="0028388C" w:rsidP="0028388C">
      <w:pPr>
        <w:pStyle w:val="Numberedpara3level211"/>
        <w:keepLines w:val="0"/>
        <w:numPr>
          <w:ilvl w:val="0"/>
          <w:numId w:val="30"/>
        </w:numPr>
      </w:pPr>
      <w:r w:rsidRPr="009D3E1A">
        <w:rPr>
          <w:b/>
          <w:bCs/>
        </w:rPr>
        <w:t xml:space="preserve">Local </w:t>
      </w:r>
      <w:r>
        <w:rPr>
          <w:b/>
          <w:bCs/>
        </w:rPr>
        <w:t>g</w:t>
      </w:r>
      <w:r w:rsidRPr="009D3E1A">
        <w:rPr>
          <w:b/>
          <w:bCs/>
        </w:rPr>
        <w:t xml:space="preserve">overnment </w:t>
      </w:r>
      <w:r>
        <w:rPr>
          <w:b/>
          <w:bCs/>
        </w:rPr>
        <w:t>e</w:t>
      </w:r>
      <w:r w:rsidRPr="009D3E1A">
        <w:rPr>
          <w:b/>
          <w:bCs/>
        </w:rPr>
        <w:t>xpertise</w:t>
      </w:r>
      <w:r>
        <w:t xml:space="preserve"> –</w:t>
      </w:r>
      <w:r w:rsidR="00B4090A">
        <w:t xml:space="preserve"> In-depth understanding of the machinery of local government; ability to bring to bear the unique responsibilities and obligations local authorities operate under; ability to provide insight into how the water services entities can engage with the sector; and an understanding of the challenges and opportunities the reforms provide for local government.</w:t>
      </w:r>
    </w:p>
    <w:p w14:paraId="5F66100D" w14:textId="77777777" w:rsidR="0028388C" w:rsidRDefault="0028388C" w:rsidP="0028388C">
      <w:pPr>
        <w:pStyle w:val="Numberedpara3level211"/>
        <w:keepLines w:val="0"/>
        <w:numPr>
          <w:ilvl w:val="0"/>
          <w:numId w:val="30"/>
        </w:numPr>
      </w:pPr>
      <w:r>
        <w:rPr>
          <w:b/>
          <w:bCs/>
        </w:rPr>
        <w:t xml:space="preserve">Human resources/organisational design/workforce development </w:t>
      </w:r>
      <w:r w:rsidRPr="002A7950">
        <w:t xml:space="preserve">– </w:t>
      </w:r>
      <w:r>
        <w:t>Significant human resources expertise and experience in large complex organisations or sectors; an understanding of the impact of change and transition on the water and local government workforce; and an ability to provide guidance and expertise on organisational design and workforce development.</w:t>
      </w:r>
    </w:p>
    <w:p w14:paraId="6982B8BC" w14:textId="7F73A509" w:rsidR="0028388C" w:rsidRDefault="0028388C" w:rsidP="0028388C">
      <w:pPr>
        <w:pStyle w:val="Numberedpara3level211"/>
        <w:keepLines w:val="0"/>
        <w:numPr>
          <w:ilvl w:val="0"/>
          <w:numId w:val="30"/>
        </w:numPr>
      </w:pPr>
      <w:r>
        <w:rPr>
          <w:b/>
          <w:bCs/>
        </w:rPr>
        <w:lastRenderedPageBreak/>
        <w:t xml:space="preserve">Asset and infrastructure management, </w:t>
      </w:r>
      <w:proofErr w:type="gramStart"/>
      <w:r>
        <w:rPr>
          <w:b/>
          <w:bCs/>
        </w:rPr>
        <w:t>development</w:t>
      </w:r>
      <w:proofErr w:type="gramEnd"/>
      <w:r>
        <w:rPr>
          <w:b/>
          <w:bCs/>
        </w:rPr>
        <w:t xml:space="preserve"> and operations </w:t>
      </w:r>
      <w:r w:rsidRPr="002A7950">
        <w:t>–</w:t>
      </w:r>
      <w:r w:rsidRPr="008A23FF">
        <w:t xml:space="preserve"> </w:t>
      </w:r>
      <w:r>
        <w:t xml:space="preserve">Wide ranging experience across a range of asset and infrastructure management development, with an emphasis on water assets and infrastructure governance; and an understanding and awareness of the transformational opportunities within water and infrastructure investment and operations. </w:t>
      </w:r>
    </w:p>
    <w:p w14:paraId="713817B0" w14:textId="044CF9BA" w:rsidR="00A42C19" w:rsidRPr="00A42C19" w:rsidRDefault="00A42C19" w:rsidP="00A42C19">
      <w:pPr>
        <w:pStyle w:val="Numberedpara3level211"/>
        <w:keepLines w:val="0"/>
        <w:numPr>
          <w:ilvl w:val="0"/>
          <w:numId w:val="30"/>
        </w:numPr>
        <w:jc w:val="both"/>
      </w:pPr>
      <w:r w:rsidRPr="00A42C19">
        <w:rPr>
          <w:b/>
          <w:bCs/>
        </w:rPr>
        <w:t xml:space="preserve">Te Mana o </w:t>
      </w:r>
      <w:proofErr w:type="spellStart"/>
      <w:r w:rsidRPr="00A42C19">
        <w:rPr>
          <w:b/>
          <w:bCs/>
        </w:rPr>
        <w:t>te</w:t>
      </w:r>
      <w:proofErr w:type="spellEnd"/>
      <w:r w:rsidRPr="00A42C19">
        <w:rPr>
          <w:b/>
          <w:bCs/>
        </w:rPr>
        <w:t xml:space="preserve"> Wai as a framework</w:t>
      </w:r>
      <w:r w:rsidRPr="00A42C19">
        <w:t xml:space="preserve"> – A deep understanding of Te Mana o </w:t>
      </w:r>
      <w:proofErr w:type="spellStart"/>
      <w:r w:rsidRPr="00A42C19">
        <w:t>te</w:t>
      </w:r>
      <w:proofErr w:type="spellEnd"/>
      <w:r w:rsidRPr="00A42C19">
        <w:t xml:space="preserve"> Wai as a framework, with relevant expertise </w:t>
      </w:r>
      <w:proofErr w:type="gramStart"/>
      <w:r w:rsidRPr="00A42C19">
        <w:t>in order to</w:t>
      </w:r>
      <w:proofErr w:type="gramEnd"/>
      <w:r w:rsidRPr="00A42C19">
        <w:t xml:space="preserve"> determine how it could be applied for the respective entity to reflect place.</w:t>
      </w:r>
    </w:p>
    <w:p w14:paraId="0CB95F98" w14:textId="735A8EDA" w:rsidR="004E1134" w:rsidRDefault="0028388C" w:rsidP="0028388C">
      <w:pPr>
        <w:pStyle w:val="ListParagraph"/>
        <w:numPr>
          <w:ilvl w:val="0"/>
          <w:numId w:val="30"/>
        </w:numPr>
        <w:spacing w:after="120"/>
      </w:pPr>
      <w:r>
        <w:rPr>
          <w:b/>
          <w:bCs/>
        </w:rPr>
        <w:t xml:space="preserve">Finance </w:t>
      </w:r>
      <w:r w:rsidRPr="002A7950">
        <w:t>–</w:t>
      </w:r>
      <w:r>
        <w:t xml:space="preserve"> Experience in complex commercial arrangements, including capital structure, debt financing and pricing and charging mechanisms; experience within networked regulated industries; and an ability to identify risk and bring appropriate pragmatic advice to the board table.</w:t>
      </w:r>
    </w:p>
    <w:p w14:paraId="55BE9404" w14:textId="77777777" w:rsidR="00E36B3F" w:rsidRDefault="00E36B3F" w:rsidP="004E1134">
      <w:pPr>
        <w:pStyle w:val="Heading3"/>
        <w:spacing w:before="240"/>
        <w:rPr>
          <w:rFonts w:asciiTheme="minorHAnsi" w:hAnsiTheme="minorHAnsi" w:cstheme="minorHAnsi"/>
        </w:rPr>
      </w:pPr>
      <w:r w:rsidRPr="00E36B3F">
        <w:rPr>
          <w:rFonts w:asciiTheme="minorHAnsi" w:hAnsiTheme="minorHAnsi" w:cstheme="minorHAnsi"/>
        </w:rPr>
        <w:t>Commitment</w:t>
      </w:r>
      <w:r>
        <w:rPr>
          <w:rFonts w:asciiTheme="minorHAnsi" w:hAnsiTheme="minorHAnsi" w:cstheme="minorHAnsi"/>
        </w:rPr>
        <w:t xml:space="preserve"> and r</w:t>
      </w:r>
      <w:r w:rsidRPr="00E36B3F">
        <w:rPr>
          <w:rFonts w:asciiTheme="minorHAnsi" w:hAnsiTheme="minorHAnsi" w:cstheme="minorHAnsi"/>
        </w:rPr>
        <w:t>emuneration</w:t>
      </w:r>
    </w:p>
    <w:p w14:paraId="1DF0A8C8" w14:textId="3487C631" w:rsidR="0017434E" w:rsidRDefault="00E36B3F" w:rsidP="00E36B3F">
      <w:r w:rsidRPr="00E9072C">
        <w:t xml:space="preserve">The </w:t>
      </w:r>
      <w:r w:rsidR="00E9072C" w:rsidRPr="00E9072C">
        <w:t>Entity Establishment boards are expected to meet</w:t>
      </w:r>
      <w:r w:rsidR="00E9072C">
        <w:t xml:space="preserve"> </w:t>
      </w:r>
      <w:r w:rsidR="00E9072C" w:rsidRPr="0028388C">
        <w:t>at least monthly</w:t>
      </w:r>
      <w:r w:rsidR="00956349">
        <w:t>, with an anticipated workload of up to 80 days per year for the chair, and up to 40 days per year for members</w:t>
      </w:r>
      <w:r w:rsidRPr="0028388C">
        <w:t>.</w:t>
      </w:r>
      <w:r w:rsidRPr="00E9072C">
        <w:t xml:space="preserve"> </w:t>
      </w:r>
      <w:r w:rsidR="00956349">
        <w:t xml:space="preserve">The proposed </w:t>
      </w:r>
      <w:r w:rsidR="0017434E">
        <w:t>d</w:t>
      </w:r>
      <w:r w:rsidR="00E9072C">
        <w:t>irectors</w:t>
      </w:r>
      <w:r w:rsidR="0028388C">
        <w:t>’</w:t>
      </w:r>
      <w:r w:rsidR="00E9072C">
        <w:t xml:space="preserve"> f</w:t>
      </w:r>
      <w:r w:rsidRPr="00E9072C">
        <w:t>ees</w:t>
      </w:r>
      <w:r w:rsidR="00956349">
        <w:t xml:space="preserve"> are </w:t>
      </w:r>
      <w:r w:rsidR="0017434E">
        <w:t>as follows:</w:t>
      </w:r>
    </w:p>
    <w:tbl>
      <w:tblPr>
        <w:tblStyle w:val="DIATable"/>
        <w:tblW w:w="0" w:type="auto"/>
        <w:tblLook w:val="04A0" w:firstRow="1" w:lastRow="0" w:firstColumn="1" w:lastColumn="0" w:noHBand="0" w:noVBand="1"/>
      </w:tblPr>
      <w:tblGrid>
        <w:gridCol w:w="2996"/>
        <w:gridCol w:w="2977"/>
        <w:gridCol w:w="2693"/>
      </w:tblGrid>
      <w:tr w:rsidR="0017434E" w14:paraId="24A61316" w14:textId="77777777" w:rsidTr="0017434E">
        <w:trPr>
          <w:cnfStyle w:val="100000000000" w:firstRow="1" w:lastRow="0" w:firstColumn="0" w:lastColumn="0" w:oddVBand="0" w:evenVBand="0" w:oddHBand="0" w:evenHBand="0" w:firstRowFirstColumn="0" w:firstRowLastColumn="0" w:lastRowFirstColumn="0" w:lastRowLastColumn="0"/>
        </w:trPr>
        <w:tc>
          <w:tcPr>
            <w:tcW w:w="2996" w:type="dxa"/>
          </w:tcPr>
          <w:p w14:paraId="1F42CC63" w14:textId="77777777" w:rsidR="0017434E" w:rsidRDefault="0017434E" w:rsidP="00410A1E">
            <w:pPr>
              <w:spacing w:after="200" w:line="264" w:lineRule="auto"/>
              <w:rPr>
                <w:rFonts w:asciiTheme="minorHAnsi" w:eastAsia="Times New Roman" w:hAnsiTheme="minorHAnsi" w:cstheme="minorHAnsi"/>
                <w:szCs w:val="22"/>
              </w:rPr>
            </w:pPr>
            <w:r>
              <w:rPr>
                <w:rFonts w:asciiTheme="minorHAnsi" w:eastAsia="Times New Roman" w:hAnsiTheme="minorHAnsi" w:cstheme="minorHAnsi"/>
                <w:szCs w:val="22"/>
              </w:rPr>
              <w:t>Member</w:t>
            </w:r>
          </w:p>
        </w:tc>
        <w:tc>
          <w:tcPr>
            <w:tcW w:w="2977" w:type="dxa"/>
          </w:tcPr>
          <w:p w14:paraId="60A7ACEF" w14:textId="77777777" w:rsidR="0017434E" w:rsidRDefault="0017434E" w:rsidP="00410A1E">
            <w:pPr>
              <w:spacing w:after="200" w:line="264" w:lineRule="auto"/>
              <w:jc w:val="center"/>
              <w:rPr>
                <w:rFonts w:asciiTheme="minorHAnsi" w:eastAsia="Times New Roman" w:hAnsiTheme="minorHAnsi" w:cstheme="minorHAnsi"/>
                <w:szCs w:val="22"/>
              </w:rPr>
            </w:pPr>
            <w:r>
              <w:rPr>
                <w:rFonts w:asciiTheme="minorHAnsi" w:eastAsia="Times New Roman" w:hAnsiTheme="minorHAnsi" w:cstheme="minorHAnsi"/>
                <w:szCs w:val="22"/>
              </w:rPr>
              <w:t>Daily rate</w:t>
            </w:r>
          </w:p>
        </w:tc>
        <w:tc>
          <w:tcPr>
            <w:tcW w:w="2693" w:type="dxa"/>
          </w:tcPr>
          <w:p w14:paraId="1BA224CB" w14:textId="77777777" w:rsidR="0017434E" w:rsidRDefault="0017434E" w:rsidP="00410A1E">
            <w:pPr>
              <w:spacing w:after="200" w:line="264" w:lineRule="auto"/>
              <w:jc w:val="center"/>
              <w:rPr>
                <w:rFonts w:asciiTheme="minorHAnsi" w:eastAsia="Times New Roman" w:hAnsiTheme="minorHAnsi" w:cstheme="minorHAnsi"/>
                <w:szCs w:val="22"/>
              </w:rPr>
            </w:pPr>
            <w:r>
              <w:rPr>
                <w:rFonts w:asciiTheme="minorHAnsi" w:eastAsia="Times New Roman" w:hAnsiTheme="minorHAnsi" w:cstheme="minorHAnsi"/>
                <w:szCs w:val="22"/>
              </w:rPr>
              <w:t>Maximum number of days per year</w:t>
            </w:r>
          </w:p>
        </w:tc>
      </w:tr>
      <w:tr w:rsidR="0017434E" w14:paraId="62A3EC46" w14:textId="77777777" w:rsidTr="0017434E">
        <w:tc>
          <w:tcPr>
            <w:tcW w:w="2996" w:type="dxa"/>
          </w:tcPr>
          <w:p w14:paraId="1236F7DB" w14:textId="77777777" w:rsidR="0017434E" w:rsidRPr="0017434E" w:rsidRDefault="0017434E" w:rsidP="00410A1E">
            <w:pPr>
              <w:spacing w:before="40" w:after="200" w:line="264" w:lineRule="auto"/>
              <w:rPr>
                <w:rFonts w:cs="Times New Roman"/>
                <w:sz w:val="24"/>
              </w:rPr>
            </w:pPr>
            <w:r w:rsidRPr="0017434E">
              <w:rPr>
                <w:rFonts w:cs="Times New Roman"/>
                <w:sz w:val="24"/>
              </w:rPr>
              <w:t>Member</w:t>
            </w:r>
          </w:p>
        </w:tc>
        <w:tc>
          <w:tcPr>
            <w:tcW w:w="2977" w:type="dxa"/>
          </w:tcPr>
          <w:p w14:paraId="61CF3D43" w14:textId="77777777" w:rsidR="0017434E" w:rsidRPr="0017434E" w:rsidRDefault="0017434E" w:rsidP="00410A1E">
            <w:pPr>
              <w:spacing w:before="40" w:after="200" w:line="264" w:lineRule="auto"/>
              <w:jc w:val="center"/>
              <w:rPr>
                <w:rFonts w:cs="Times New Roman"/>
                <w:sz w:val="24"/>
              </w:rPr>
            </w:pPr>
            <w:r w:rsidRPr="0017434E">
              <w:rPr>
                <w:rFonts w:cs="Times New Roman"/>
                <w:sz w:val="24"/>
              </w:rPr>
              <w:t>$ 1,298</w:t>
            </w:r>
          </w:p>
        </w:tc>
        <w:tc>
          <w:tcPr>
            <w:tcW w:w="2693" w:type="dxa"/>
          </w:tcPr>
          <w:p w14:paraId="666E0FB9" w14:textId="77777777" w:rsidR="0017434E" w:rsidRPr="0017434E" w:rsidRDefault="0017434E" w:rsidP="00410A1E">
            <w:pPr>
              <w:spacing w:before="40" w:after="200" w:line="264" w:lineRule="auto"/>
              <w:jc w:val="center"/>
              <w:rPr>
                <w:rFonts w:cs="Times New Roman"/>
                <w:sz w:val="24"/>
              </w:rPr>
            </w:pPr>
            <w:r w:rsidRPr="0017434E">
              <w:rPr>
                <w:rFonts w:cs="Times New Roman"/>
                <w:sz w:val="24"/>
              </w:rPr>
              <w:t>40</w:t>
            </w:r>
          </w:p>
        </w:tc>
      </w:tr>
      <w:tr w:rsidR="0017434E" w14:paraId="241D6B91" w14:textId="77777777" w:rsidTr="0017434E">
        <w:tc>
          <w:tcPr>
            <w:tcW w:w="2996" w:type="dxa"/>
          </w:tcPr>
          <w:p w14:paraId="45AC1465" w14:textId="77777777" w:rsidR="0017434E" w:rsidRPr="0017434E" w:rsidRDefault="0017434E" w:rsidP="00410A1E">
            <w:pPr>
              <w:spacing w:before="40" w:after="200" w:line="264" w:lineRule="auto"/>
              <w:rPr>
                <w:rFonts w:cs="Times New Roman"/>
                <w:sz w:val="24"/>
              </w:rPr>
            </w:pPr>
            <w:r w:rsidRPr="0017434E">
              <w:rPr>
                <w:rFonts w:cs="Times New Roman"/>
                <w:sz w:val="24"/>
              </w:rPr>
              <w:t>Deputy chair</w:t>
            </w:r>
          </w:p>
        </w:tc>
        <w:tc>
          <w:tcPr>
            <w:tcW w:w="2977" w:type="dxa"/>
          </w:tcPr>
          <w:p w14:paraId="75972DCC" w14:textId="77777777" w:rsidR="0017434E" w:rsidRPr="0017434E" w:rsidRDefault="0017434E" w:rsidP="00410A1E">
            <w:pPr>
              <w:spacing w:before="40" w:after="200" w:line="264" w:lineRule="auto"/>
              <w:jc w:val="center"/>
              <w:rPr>
                <w:rFonts w:cs="Times New Roman"/>
                <w:sz w:val="24"/>
              </w:rPr>
            </w:pPr>
            <w:r w:rsidRPr="0017434E">
              <w:rPr>
                <w:rFonts w:cs="Times New Roman"/>
                <w:sz w:val="24"/>
              </w:rPr>
              <w:t>$ 1,622</w:t>
            </w:r>
          </w:p>
        </w:tc>
        <w:tc>
          <w:tcPr>
            <w:tcW w:w="2693" w:type="dxa"/>
          </w:tcPr>
          <w:p w14:paraId="43C4D369" w14:textId="77777777" w:rsidR="0017434E" w:rsidRPr="0017434E" w:rsidRDefault="0017434E" w:rsidP="00410A1E">
            <w:pPr>
              <w:spacing w:before="40" w:after="200" w:line="264" w:lineRule="auto"/>
              <w:jc w:val="center"/>
              <w:rPr>
                <w:rFonts w:cs="Times New Roman"/>
                <w:sz w:val="24"/>
              </w:rPr>
            </w:pPr>
            <w:r w:rsidRPr="0017434E">
              <w:rPr>
                <w:rFonts w:cs="Times New Roman"/>
                <w:sz w:val="24"/>
              </w:rPr>
              <w:t>40</w:t>
            </w:r>
          </w:p>
        </w:tc>
      </w:tr>
      <w:tr w:rsidR="0017434E" w14:paraId="2A713F1C" w14:textId="77777777" w:rsidTr="0017434E">
        <w:tc>
          <w:tcPr>
            <w:tcW w:w="2996" w:type="dxa"/>
          </w:tcPr>
          <w:p w14:paraId="17B463A2" w14:textId="77777777" w:rsidR="0017434E" w:rsidRPr="0017434E" w:rsidRDefault="0017434E" w:rsidP="00410A1E">
            <w:pPr>
              <w:spacing w:before="40" w:after="200" w:line="264" w:lineRule="auto"/>
              <w:rPr>
                <w:rFonts w:cs="Times New Roman"/>
                <w:sz w:val="24"/>
              </w:rPr>
            </w:pPr>
            <w:r w:rsidRPr="0017434E">
              <w:rPr>
                <w:rFonts w:cs="Times New Roman"/>
                <w:sz w:val="24"/>
              </w:rPr>
              <w:t>Chair</w:t>
            </w:r>
          </w:p>
        </w:tc>
        <w:tc>
          <w:tcPr>
            <w:tcW w:w="2977" w:type="dxa"/>
          </w:tcPr>
          <w:p w14:paraId="7E5EFC0A" w14:textId="77777777" w:rsidR="0017434E" w:rsidRPr="0017434E" w:rsidRDefault="0017434E" w:rsidP="00410A1E">
            <w:pPr>
              <w:spacing w:before="40" w:after="200" w:line="264" w:lineRule="auto"/>
              <w:jc w:val="center"/>
              <w:rPr>
                <w:rFonts w:cs="Times New Roman"/>
                <w:sz w:val="24"/>
              </w:rPr>
            </w:pPr>
            <w:r w:rsidRPr="0017434E">
              <w:rPr>
                <w:rFonts w:cs="Times New Roman"/>
                <w:sz w:val="24"/>
              </w:rPr>
              <w:t>$ 1,725</w:t>
            </w:r>
          </w:p>
        </w:tc>
        <w:tc>
          <w:tcPr>
            <w:tcW w:w="2693" w:type="dxa"/>
          </w:tcPr>
          <w:p w14:paraId="1CF802B2" w14:textId="77777777" w:rsidR="0017434E" w:rsidRPr="0017434E" w:rsidRDefault="0017434E" w:rsidP="00410A1E">
            <w:pPr>
              <w:spacing w:before="40" w:after="200" w:line="264" w:lineRule="auto"/>
              <w:jc w:val="center"/>
              <w:rPr>
                <w:rFonts w:cs="Times New Roman"/>
                <w:sz w:val="24"/>
              </w:rPr>
            </w:pPr>
            <w:r w:rsidRPr="0017434E">
              <w:rPr>
                <w:rFonts w:cs="Times New Roman"/>
                <w:sz w:val="24"/>
              </w:rPr>
              <w:t>80</w:t>
            </w:r>
          </w:p>
        </w:tc>
      </w:tr>
    </w:tbl>
    <w:p w14:paraId="0B412FF4" w14:textId="3F25D984" w:rsidR="00E36B3F" w:rsidRPr="00E36B3F" w:rsidRDefault="000C69C4" w:rsidP="00E36B3F">
      <w:r w:rsidRPr="00E9072C">
        <w:t>Reasonable travel expenses are reimbursed.</w:t>
      </w:r>
    </w:p>
    <w:p w14:paraId="5ED95697" w14:textId="77777777" w:rsidR="00E36B3F" w:rsidRPr="00E36B3F" w:rsidRDefault="00E36B3F" w:rsidP="00E36B3F">
      <w:pPr>
        <w:pStyle w:val="Heading3"/>
        <w:spacing w:before="120"/>
        <w:rPr>
          <w:rFonts w:asciiTheme="minorHAnsi" w:hAnsiTheme="minorHAnsi" w:cstheme="minorHAnsi"/>
        </w:rPr>
      </w:pPr>
      <w:r w:rsidRPr="00E36B3F">
        <w:rPr>
          <w:rFonts w:asciiTheme="minorHAnsi" w:hAnsiTheme="minorHAnsi" w:cstheme="minorHAnsi"/>
        </w:rPr>
        <w:t xml:space="preserve">Diversity of representation </w:t>
      </w:r>
    </w:p>
    <w:p w14:paraId="55403431" w14:textId="38945E87" w:rsidR="00ED5B7D" w:rsidRDefault="00E36B3F" w:rsidP="00E36B3F">
      <w:r w:rsidRPr="00E36B3F">
        <w:t xml:space="preserve">Expressions of interest are welcomed from candidates who can offer a range of cultural and personal perspectives. </w:t>
      </w:r>
      <w:r w:rsidRPr="0028388C">
        <w:t>This includes candidates from groups that have historically been under</w:t>
      </w:r>
      <w:r w:rsidR="0028388C">
        <w:t>-</w:t>
      </w:r>
      <w:r w:rsidRPr="0028388C">
        <w:t>represented at a governance level, such as Māori, Pasifika, recent migrants</w:t>
      </w:r>
      <w:r w:rsidR="00CD7DEB" w:rsidRPr="0028388C">
        <w:t>,</w:t>
      </w:r>
      <w:r w:rsidRPr="0028388C">
        <w:t xml:space="preserve"> gender diverse New Zealanders</w:t>
      </w:r>
      <w:r w:rsidR="005E6F2A" w:rsidRPr="0028388C">
        <w:t xml:space="preserve"> and people living with disabilities</w:t>
      </w:r>
      <w:r w:rsidRPr="0028388C">
        <w:t>.</w:t>
      </w:r>
    </w:p>
    <w:p w14:paraId="1B1F2DC5" w14:textId="77777777" w:rsidR="00AE478C" w:rsidRPr="00ED5B7D" w:rsidRDefault="00ED5B7D" w:rsidP="00ED5B7D">
      <w:pPr>
        <w:pStyle w:val="Heading3"/>
        <w:spacing w:before="120"/>
        <w:rPr>
          <w:rFonts w:asciiTheme="minorHAnsi" w:hAnsiTheme="minorHAnsi" w:cstheme="minorHAnsi"/>
        </w:rPr>
      </w:pPr>
      <w:r w:rsidRPr="00ED5B7D">
        <w:rPr>
          <w:rFonts w:asciiTheme="minorHAnsi" w:hAnsiTheme="minorHAnsi" w:cstheme="minorHAnsi"/>
        </w:rPr>
        <w:t>How to apply</w:t>
      </w:r>
    </w:p>
    <w:p w14:paraId="222C902E" w14:textId="62D5F48D" w:rsidR="0017434E" w:rsidRDefault="0017434E" w:rsidP="0017434E">
      <w:pPr>
        <w:jc w:val="both"/>
      </w:pPr>
      <w:r>
        <w:t xml:space="preserve">To submit your expression of interest, you need to complete the expression of interest form, provide a current curriculum vitae, and a cover letter to </w:t>
      </w:r>
      <w:hyperlink r:id="rId14" w:history="1">
        <w:r w:rsidRPr="009839CD">
          <w:rPr>
            <w:rStyle w:val="Hyperlink"/>
          </w:rPr>
          <w:t>threewatersboards@dia.govt.nz</w:t>
        </w:r>
      </w:hyperlink>
      <w:r>
        <w:t xml:space="preserve"> </w:t>
      </w:r>
      <w:r w:rsidRPr="004B72CB">
        <w:rPr>
          <w:bCs/>
        </w:rPr>
        <w:t>by</w:t>
      </w:r>
      <w:r>
        <w:rPr>
          <w:bCs/>
        </w:rPr>
        <w:t xml:space="preserve"> </w:t>
      </w:r>
      <w:r w:rsidRPr="000E1756">
        <w:rPr>
          <w:b/>
        </w:rPr>
        <w:t xml:space="preserve">5.00pm Friday </w:t>
      </w:r>
      <w:r>
        <w:rPr>
          <w:b/>
        </w:rPr>
        <w:t xml:space="preserve">7 October </w:t>
      </w:r>
      <w:r w:rsidRPr="000E1756">
        <w:rPr>
          <w:b/>
        </w:rPr>
        <w:t>2022</w:t>
      </w:r>
      <w:r w:rsidRPr="005E6F2A">
        <w:t>.</w:t>
      </w:r>
      <w:r w:rsidRPr="00503624">
        <w:t xml:space="preserve"> </w:t>
      </w:r>
      <w:r>
        <w:t>All appointments are subject to background checks. Any queries should be directed to the National Transition Unit, Three Waters Reform Programme Governance and Appointments team at the above email address.</w:t>
      </w:r>
    </w:p>
    <w:p w14:paraId="6D412EDF" w14:textId="77777777" w:rsidR="0017434E" w:rsidRDefault="0017434E" w:rsidP="0017434E">
      <w:pPr>
        <w:jc w:val="both"/>
      </w:pPr>
      <w:r>
        <w:t xml:space="preserve">More information about the Three Waters reforms can be found at </w:t>
      </w:r>
      <w:hyperlink r:id="rId15" w:history="1">
        <w:r w:rsidRPr="005A475D">
          <w:rPr>
            <w:rStyle w:val="Hyperlink"/>
          </w:rPr>
          <w:t>www.threewaters.govt</w:t>
        </w:r>
        <w:r w:rsidRPr="004A4A74">
          <w:rPr>
            <w:rStyle w:val="Hyperlink"/>
          </w:rPr>
          <w:t>.nz</w:t>
        </w:r>
      </w:hyperlink>
      <w:r>
        <w:t>.</w:t>
      </w:r>
    </w:p>
    <w:p w14:paraId="22967BB8" w14:textId="77777777" w:rsidR="00A517A4" w:rsidRDefault="00A517A4"/>
    <w:sectPr w:rsidR="00A517A4" w:rsidSect="00402084">
      <w:headerReference w:type="default" r:id="rId16"/>
      <w:footerReference w:type="default" r:id="rId17"/>
      <w:pgSz w:w="11907" w:h="16840" w:code="9"/>
      <w:pgMar w:top="142" w:right="1418" w:bottom="426"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5556" w14:textId="77777777" w:rsidR="005A7BAA" w:rsidRDefault="005A7BAA">
      <w:r>
        <w:separator/>
      </w:r>
    </w:p>
    <w:p w14:paraId="79738DAB" w14:textId="77777777" w:rsidR="005A7BAA" w:rsidRDefault="005A7BAA"/>
    <w:p w14:paraId="610ED99F" w14:textId="77777777" w:rsidR="005A7BAA" w:rsidRDefault="005A7BAA"/>
  </w:endnote>
  <w:endnote w:type="continuationSeparator" w:id="0">
    <w:p w14:paraId="7DF8FD79" w14:textId="77777777" w:rsidR="005A7BAA" w:rsidRDefault="005A7BAA">
      <w:r>
        <w:continuationSeparator/>
      </w:r>
    </w:p>
    <w:p w14:paraId="5420FCEC" w14:textId="77777777" w:rsidR="005A7BAA" w:rsidRDefault="005A7BAA"/>
    <w:p w14:paraId="1093CE37" w14:textId="77777777" w:rsidR="005A7BAA" w:rsidRDefault="005A7BAA"/>
  </w:endnote>
  <w:endnote w:type="continuationNotice" w:id="1">
    <w:p w14:paraId="54F56751" w14:textId="77777777" w:rsidR="0009469A" w:rsidRDefault="000946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E7E"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5E6F2A">
      <w:rPr>
        <w:noProof/>
      </w:rPr>
      <w:fldChar w:fldCharType="begin"/>
    </w:r>
    <w:r w:rsidR="005E6F2A">
      <w:rPr>
        <w:noProof/>
      </w:rPr>
      <w:instrText xml:space="preserve"> NUMPAGES   \* MERGEFORMAT </w:instrText>
    </w:r>
    <w:r w:rsidR="005E6F2A">
      <w:rPr>
        <w:noProof/>
      </w:rPr>
      <w:fldChar w:fldCharType="separate"/>
    </w:r>
    <w:r w:rsidR="00603635">
      <w:rPr>
        <w:noProof/>
      </w:rPr>
      <w:t>1</w:t>
    </w:r>
    <w:r w:rsidR="005E6F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4556" w14:textId="77777777" w:rsidR="005A7BAA" w:rsidRDefault="005A7BAA" w:rsidP="00FB1990">
      <w:pPr>
        <w:pStyle w:val="Spacer"/>
      </w:pPr>
      <w:r>
        <w:separator/>
      </w:r>
    </w:p>
    <w:p w14:paraId="633BDC2A" w14:textId="77777777" w:rsidR="005A7BAA" w:rsidRDefault="005A7BAA" w:rsidP="00FB1990">
      <w:pPr>
        <w:pStyle w:val="Spacer"/>
      </w:pPr>
    </w:p>
  </w:footnote>
  <w:footnote w:type="continuationSeparator" w:id="0">
    <w:p w14:paraId="0D4F9FCF" w14:textId="77777777" w:rsidR="005A7BAA" w:rsidRDefault="005A7BAA">
      <w:r>
        <w:continuationSeparator/>
      </w:r>
    </w:p>
    <w:p w14:paraId="42B29021" w14:textId="77777777" w:rsidR="005A7BAA" w:rsidRDefault="005A7BAA"/>
    <w:p w14:paraId="57502A36" w14:textId="77777777" w:rsidR="005A7BAA" w:rsidRDefault="005A7BAA"/>
  </w:footnote>
  <w:footnote w:type="continuationNotice" w:id="1">
    <w:p w14:paraId="366F55FB" w14:textId="77777777" w:rsidR="0009469A" w:rsidRDefault="0009469A">
      <w:pPr>
        <w:spacing w:before="0" w:after="0"/>
      </w:pPr>
    </w:p>
  </w:footnote>
  <w:footnote w:id="2">
    <w:p w14:paraId="783769EC" w14:textId="77777777" w:rsidR="005C0CA3" w:rsidRDefault="005C0CA3" w:rsidP="005C0CA3">
      <w:pPr>
        <w:pStyle w:val="FootnoteText"/>
      </w:pPr>
      <w:r>
        <w:rPr>
          <w:rStyle w:val="FootnoteReference"/>
        </w:rPr>
        <w:footnoteRef/>
      </w:r>
      <w:r>
        <w:t xml:space="preserve"> This includes Horowhenua, </w:t>
      </w:r>
      <w:proofErr w:type="spellStart"/>
      <w:r>
        <w:t>Manawatū</w:t>
      </w:r>
      <w:proofErr w:type="spellEnd"/>
      <w:r>
        <w:t xml:space="preserve">, Palmerston North and </w:t>
      </w:r>
      <w:proofErr w:type="spellStart"/>
      <w:r>
        <w:t>Tararua</w:t>
      </w:r>
      <w:proofErr w:type="spellEnd"/>
      <w:r>
        <w:t>.</w:t>
      </w:r>
    </w:p>
  </w:footnote>
  <w:footnote w:id="3">
    <w:p w14:paraId="00E77D52" w14:textId="77777777" w:rsidR="005C0CA3" w:rsidRDefault="005C0CA3" w:rsidP="005C0CA3">
      <w:pPr>
        <w:pStyle w:val="FootnoteText"/>
      </w:pPr>
      <w:r>
        <w:rPr>
          <w:rStyle w:val="FootnoteReference"/>
        </w:rPr>
        <w:footnoteRef/>
      </w:r>
      <w:r>
        <w:t xml:space="preserve"> Boundaries have been determined based on a range of factors, scale benefits, communities of interest, and relationships with other jurisdictional boundaries, including catchments. The Entity D boundary corresponds to </w:t>
      </w:r>
      <w:proofErr w:type="spellStart"/>
      <w:r>
        <w:t>Ngāi</w:t>
      </w:r>
      <w:proofErr w:type="spellEnd"/>
      <w:r>
        <w:t xml:space="preserve"> </w:t>
      </w:r>
      <w:proofErr w:type="spellStart"/>
      <w:r>
        <w:t>Tahu</w:t>
      </w:r>
      <w:proofErr w:type="spellEnd"/>
      <w:r>
        <w:t xml:space="preserve"> </w:t>
      </w:r>
      <w:proofErr w:type="spellStart"/>
      <w:r>
        <w:t>takiwā</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281A" w14:textId="3F0CB867" w:rsidR="00677F8A" w:rsidRDefault="008F7513" w:rsidP="00591BDC">
    <w:pPr>
      <w:pStyle w:val="Header"/>
    </w:pPr>
    <w:r>
      <w:rPr>
        <w:noProof/>
        <w:szCs w:val="22"/>
      </w:rPr>
      <w:drawing>
        <wp:anchor distT="0" distB="0" distL="114300" distR="114300" simplePos="0" relativeHeight="251658241" behindDoc="0" locked="0" layoutInCell="1" allowOverlap="1" wp14:anchorId="28A4270D" wp14:editId="44B1075E">
          <wp:simplePos x="0" y="0"/>
          <wp:positionH relativeFrom="margin">
            <wp:posOffset>4404135</wp:posOffset>
          </wp:positionH>
          <wp:positionV relativeFrom="margin">
            <wp:posOffset>-636199</wp:posOffset>
          </wp:positionV>
          <wp:extent cx="1192530" cy="285115"/>
          <wp:effectExtent l="0" t="0" r="7620" b="635"/>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1192530" cy="285115"/>
                  </a:xfrm>
                  <a:prstGeom prst="rect">
                    <a:avLst/>
                  </a:prstGeom>
                </pic:spPr>
              </pic:pic>
            </a:graphicData>
          </a:graphic>
          <wp14:sizeRelH relativeFrom="margin">
            <wp14:pctWidth>0</wp14:pctWidth>
          </wp14:sizeRelH>
          <wp14:sizeRelV relativeFrom="margin">
            <wp14:pctHeight>0</wp14:pctHeight>
          </wp14:sizeRelV>
        </wp:anchor>
      </w:drawing>
    </w:r>
    <w:r w:rsidRPr="00F94293">
      <w:rPr>
        <w:noProof/>
        <w:highlight w:val="yellow"/>
        <w:lang w:eastAsia="en-NZ"/>
      </w:rPr>
      <w:drawing>
        <wp:anchor distT="0" distB="0" distL="114300" distR="114300" simplePos="0" relativeHeight="251658240" behindDoc="0" locked="0" layoutInCell="1" allowOverlap="1" wp14:anchorId="7F639D09" wp14:editId="542A41BC">
          <wp:simplePos x="0" y="0"/>
          <wp:positionH relativeFrom="margin">
            <wp:posOffset>-133985</wp:posOffset>
          </wp:positionH>
          <wp:positionV relativeFrom="paragraph">
            <wp:posOffset>64770</wp:posOffset>
          </wp:positionV>
          <wp:extent cx="1851025" cy="496570"/>
          <wp:effectExtent l="0" t="0" r="0" b="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1025"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161C8" w14:textId="2226C090" w:rsidR="00585633" w:rsidRDefault="00585633" w:rsidP="00591BDC">
    <w:pPr>
      <w:pStyle w:val="Header"/>
    </w:pPr>
  </w:p>
  <w:p w14:paraId="6F0A0005" w14:textId="2FC94765" w:rsidR="00585633" w:rsidRDefault="00585633" w:rsidP="00591BDC">
    <w:pPr>
      <w:pStyle w:val="Header"/>
    </w:pPr>
  </w:p>
  <w:p w14:paraId="07B4709B" w14:textId="7B658F5E" w:rsidR="00585633" w:rsidRPr="00591BDC" w:rsidRDefault="00585633" w:rsidP="00585633">
    <w:pPr>
      <w:pStyle w:val="Header"/>
      <w:tabs>
        <w:tab w:val="left" w:pos="666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9302F04"/>
    <w:multiLevelType w:val="hybridMultilevel"/>
    <w:tmpl w:val="E99A642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4D96A5F"/>
    <w:multiLevelType w:val="hybridMultilevel"/>
    <w:tmpl w:val="18640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13A11B2"/>
    <w:multiLevelType w:val="hybridMultilevel"/>
    <w:tmpl w:val="0A7483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EF2D3A"/>
    <w:multiLevelType w:val="hybridMultilevel"/>
    <w:tmpl w:val="7298A9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346987"/>
    <w:multiLevelType w:val="hybridMultilevel"/>
    <w:tmpl w:val="718C6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9" w15:restartNumberingAfterBreak="0">
    <w:nsid w:val="7E293400"/>
    <w:multiLevelType w:val="hybridMultilevel"/>
    <w:tmpl w:val="AEA0E5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2"/>
  </w:num>
  <w:num w:numId="9">
    <w:abstractNumId w:val="16"/>
  </w:num>
  <w:num w:numId="10">
    <w:abstractNumId w:val="12"/>
  </w:num>
  <w:num w:numId="11">
    <w:abstractNumId w:val="23"/>
  </w:num>
  <w:num w:numId="12">
    <w:abstractNumId w:val="25"/>
  </w:num>
  <w:num w:numId="13">
    <w:abstractNumId w:val="27"/>
  </w:num>
  <w:num w:numId="14">
    <w:abstractNumId w:val="7"/>
  </w:num>
  <w:num w:numId="15">
    <w:abstractNumId w:val="14"/>
  </w:num>
  <w:num w:numId="16">
    <w:abstractNumId w:val="28"/>
  </w:num>
  <w:num w:numId="17">
    <w:abstractNumId w:val="26"/>
  </w:num>
  <w:num w:numId="18">
    <w:abstractNumId w:val="24"/>
  </w:num>
  <w:num w:numId="19">
    <w:abstractNumId w:val="18"/>
  </w:num>
  <w:num w:numId="20">
    <w:abstractNumId w:val="15"/>
  </w:num>
  <w:num w:numId="21">
    <w:abstractNumId w:val="10"/>
  </w:num>
  <w:num w:numId="22">
    <w:abstractNumId w:val="6"/>
  </w:num>
  <w:num w:numId="23">
    <w:abstractNumId w:val="13"/>
  </w:num>
  <w:num w:numId="24">
    <w:abstractNumId w:val="8"/>
  </w:num>
  <w:num w:numId="25">
    <w:abstractNumId w:val="11"/>
  </w:num>
  <w:num w:numId="26">
    <w:abstractNumId w:val="20"/>
  </w:num>
  <w:num w:numId="27">
    <w:abstractNumId w:val="9"/>
  </w:num>
  <w:num w:numId="28">
    <w:abstractNumId w:val="26"/>
  </w:num>
  <w:num w:numId="29">
    <w:abstractNumId w:val="29"/>
  </w:num>
  <w:num w:numId="30">
    <w:abstractNumId w:val="17"/>
  </w:num>
  <w:num w:numId="31">
    <w:abstractNumId w:val="26"/>
  </w:num>
  <w:num w:numId="32">
    <w:abstractNumId w:val="26"/>
  </w:num>
  <w:num w:numId="3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3F"/>
    <w:rsid w:val="00003360"/>
    <w:rsid w:val="00003FC7"/>
    <w:rsid w:val="00005919"/>
    <w:rsid w:val="00005BBB"/>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0556"/>
    <w:rsid w:val="00076035"/>
    <w:rsid w:val="00077013"/>
    <w:rsid w:val="00085E89"/>
    <w:rsid w:val="0009096C"/>
    <w:rsid w:val="00091C3A"/>
    <w:rsid w:val="0009469A"/>
    <w:rsid w:val="000C69C4"/>
    <w:rsid w:val="000D61F6"/>
    <w:rsid w:val="000E3240"/>
    <w:rsid w:val="000E677B"/>
    <w:rsid w:val="000F4ADF"/>
    <w:rsid w:val="000F61AF"/>
    <w:rsid w:val="00100351"/>
    <w:rsid w:val="0010171C"/>
    <w:rsid w:val="00102FAD"/>
    <w:rsid w:val="00121870"/>
    <w:rsid w:val="00126FDE"/>
    <w:rsid w:val="0013703F"/>
    <w:rsid w:val="00140ED2"/>
    <w:rsid w:val="00143E7C"/>
    <w:rsid w:val="0014415C"/>
    <w:rsid w:val="0014565E"/>
    <w:rsid w:val="001536C9"/>
    <w:rsid w:val="0016433D"/>
    <w:rsid w:val="0017434E"/>
    <w:rsid w:val="00184C0F"/>
    <w:rsid w:val="001A5F55"/>
    <w:rsid w:val="001C0031"/>
    <w:rsid w:val="001C0C30"/>
    <w:rsid w:val="001D0111"/>
    <w:rsid w:val="001D7EAE"/>
    <w:rsid w:val="001E64FC"/>
    <w:rsid w:val="001F0724"/>
    <w:rsid w:val="002007DF"/>
    <w:rsid w:val="00205FE8"/>
    <w:rsid w:val="00206BA3"/>
    <w:rsid w:val="00215160"/>
    <w:rsid w:val="00220559"/>
    <w:rsid w:val="002224B4"/>
    <w:rsid w:val="00226D5E"/>
    <w:rsid w:val="00237A3D"/>
    <w:rsid w:val="00240E83"/>
    <w:rsid w:val="002502D1"/>
    <w:rsid w:val="00260A17"/>
    <w:rsid w:val="00270EEC"/>
    <w:rsid w:val="002777D8"/>
    <w:rsid w:val="002806A2"/>
    <w:rsid w:val="0028388C"/>
    <w:rsid w:val="00290D72"/>
    <w:rsid w:val="00297CC7"/>
    <w:rsid w:val="002A194F"/>
    <w:rsid w:val="002A4BD9"/>
    <w:rsid w:val="002A4FE7"/>
    <w:rsid w:val="002B02B4"/>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812D5"/>
    <w:rsid w:val="00383E94"/>
    <w:rsid w:val="00390244"/>
    <w:rsid w:val="00393EB7"/>
    <w:rsid w:val="003A10DA"/>
    <w:rsid w:val="003A12C8"/>
    <w:rsid w:val="003A6FFE"/>
    <w:rsid w:val="003A7695"/>
    <w:rsid w:val="003B3A23"/>
    <w:rsid w:val="003B6592"/>
    <w:rsid w:val="003C772C"/>
    <w:rsid w:val="003F2B58"/>
    <w:rsid w:val="003F5886"/>
    <w:rsid w:val="0040020C"/>
    <w:rsid w:val="00401CA0"/>
    <w:rsid w:val="00402084"/>
    <w:rsid w:val="0040700B"/>
    <w:rsid w:val="00407F54"/>
    <w:rsid w:val="00411341"/>
    <w:rsid w:val="00413966"/>
    <w:rsid w:val="00415015"/>
    <w:rsid w:val="00415CDB"/>
    <w:rsid w:val="004231DC"/>
    <w:rsid w:val="0042412B"/>
    <w:rsid w:val="0042551E"/>
    <w:rsid w:val="00433AD8"/>
    <w:rsid w:val="00437A53"/>
    <w:rsid w:val="00441CFE"/>
    <w:rsid w:val="004552A0"/>
    <w:rsid w:val="00457E34"/>
    <w:rsid w:val="00460A83"/>
    <w:rsid w:val="00460B3F"/>
    <w:rsid w:val="004632E1"/>
    <w:rsid w:val="00464752"/>
    <w:rsid w:val="00472A55"/>
    <w:rsid w:val="00476068"/>
    <w:rsid w:val="004763B3"/>
    <w:rsid w:val="00477619"/>
    <w:rsid w:val="00486E6E"/>
    <w:rsid w:val="004875DF"/>
    <w:rsid w:val="00487C1D"/>
    <w:rsid w:val="00493775"/>
    <w:rsid w:val="00494865"/>
    <w:rsid w:val="00494C6F"/>
    <w:rsid w:val="004A3395"/>
    <w:rsid w:val="004A5823"/>
    <w:rsid w:val="004A5B5E"/>
    <w:rsid w:val="004B0AAF"/>
    <w:rsid w:val="004B214C"/>
    <w:rsid w:val="004B3924"/>
    <w:rsid w:val="004C4DDD"/>
    <w:rsid w:val="004C5F40"/>
    <w:rsid w:val="004C6953"/>
    <w:rsid w:val="004C7001"/>
    <w:rsid w:val="004D1706"/>
    <w:rsid w:val="004D243F"/>
    <w:rsid w:val="004D7473"/>
    <w:rsid w:val="004E1134"/>
    <w:rsid w:val="004F2E8A"/>
    <w:rsid w:val="004F55E1"/>
    <w:rsid w:val="00501C4B"/>
    <w:rsid w:val="005028A7"/>
    <w:rsid w:val="00503624"/>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33"/>
    <w:rsid w:val="00585690"/>
    <w:rsid w:val="00591BDC"/>
    <w:rsid w:val="00594AAA"/>
    <w:rsid w:val="00595B33"/>
    <w:rsid w:val="0059662F"/>
    <w:rsid w:val="005A2FB4"/>
    <w:rsid w:val="005A7BAA"/>
    <w:rsid w:val="005B212D"/>
    <w:rsid w:val="005B7254"/>
    <w:rsid w:val="005C0CA3"/>
    <w:rsid w:val="005D3066"/>
    <w:rsid w:val="005E325E"/>
    <w:rsid w:val="005E4B13"/>
    <w:rsid w:val="005E4C02"/>
    <w:rsid w:val="005E6F2A"/>
    <w:rsid w:val="005F01DF"/>
    <w:rsid w:val="005F76CC"/>
    <w:rsid w:val="005F7FF8"/>
    <w:rsid w:val="006004C4"/>
    <w:rsid w:val="00600CA4"/>
    <w:rsid w:val="00602416"/>
    <w:rsid w:val="006025CE"/>
    <w:rsid w:val="00603635"/>
    <w:rsid w:val="006041F2"/>
    <w:rsid w:val="006064F5"/>
    <w:rsid w:val="00611078"/>
    <w:rsid w:val="00617298"/>
    <w:rsid w:val="00637753"/>
    <w:rsid w:val="00641C81"/>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7DDE"/>
    <w:rsid w:val="006C195E"/>
    <w:rsid w:val="006D638F"/>
    <w:rsid w:val="006D7384"/>
    <w:rsid w:val="006E655D"/>
    <w:rsid w:val="006E7BF7"/>
    <w:rsid w:val="00702F2C"/>
    <w:rsid w:val="007068C8"/>
    <w:rsid w:val="00715B8F"/>
    <w:rsid w:val="0073106E"/>
    <w:rsid w:val="00755142"/>
    <w:rsid w:val="00756BB7"/>
    <w:rsid w:val="0075764B"/>
    <w:rsid w:val="00760C01"/>
    <w:rsid w:val="00761293"/>
    <w:rsid w:val="00767C04"/>
    <w:rsid w:val="007736A2"/>
    <w:rsid w:val="00790440"/>
    <w:rsid w:val="007A6226"/>
    <w:rsid w:val="007B3C61"/>
    <w:rsid w:val="007D174E"/>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2ECF"/>
    <w:rsid w:val="008B7B54"/>
    <w:rsid w:val="008C3187"/>
    <w:rsid w:val="008C5E4F"/>
    <w:rsid w:val="008D63B7"/>
    <w:rsid w:val="008D6A03"/>
    <w:rsid w:val="008D6CA7"/>
    <w:rsid w:val="008E508C"/>
    <w:rsid w:val="008E7FEE"/>
    <w:rsid w:val="008F2F06"/>
    <w:rsid w:val="008F31F5"/>
    <w:rsid w:val="008F67F5"/>
    <w:rsid w:val="008F6BCE"/>
    <w:rsid w:val="008F7513"/>
    <w:rsid w:val="00900D4B"/>
    <w:rsid w:val="00905F9B"/>
    <w:rsid w:val="00913E95"/>
    <w:rsid w:val="009170B9"/>
    <w:rsid w:val="00923A87"/>
    <w:rsid w:val="00927482"/>
    <w:rsid w:val="00936FF5"/>
    <w:rsid w:val="0094654B"/>
    <w:rsid w:val="0095112B"/>
    <w:rsid w:val="00956349"/>
    <w:rsid w:val="0095712A"/>
    <w:rsid w:val="00967249"/>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9F7D42"/>
    <w:rsid w:val="00A015E6"/>
    <w:rsid w:val="00A04392"/>
    <w:rsid w:val="00A069CE"/>
    <w:rsid w:val="00A109D8"/>
    <w:rsid w:val="00A1447F"/>
    <w:rsid w:val="00A16003"/>
    <w:rsid w:val="00A167D7"/>
    <w:rsid w:val="00A23D39"/>
    <w:rsid w:val="00A23EC2"/>
    <w:rsid w:val="00A24FBB"/>
    <w:rsid w:val="00A30CFC"/>
    <w:rsid w:val="00A31CB1"/>
    <w:rsid w:val="00A3453E"/>
    <w:rsid w:val="00A42C19"/>
    <w:rsid w:val="00A42ED2"/>
    <w:rsid w:val="00A44B33"/>
    <w:rsid w:val="00A50E00"/>
    <w:rsid w:val="00A517A4"/>
    <w:rsid w:val="00A52529"/>
    <w:rsid w:val="00A53624"/>
    <w:rsid w:val="00A55EAF"/>
    <w:rsid w:val="00A5766B"/>
    <w:rsid w:val="00A64BA6"/>
    <w:rsid w:val="00A77512"/>
    <w:rsid w:val="00A863E3"/>
    <w:rsid w:val="00A87102"/>
    <w:rsid w:val="00A94161"/>
    <w:rsid w:val="00A97BFB"/>
    <w:rsid w:val="00AA0B77"/>
    <w:rsid w:val="00AA7CAB"/>
    <w:rsid w:val="00AB0BBC"/>
    <w:rsid w:val="00AB252F"/>
    <w:rsid w:val="00AB3A92"/>
    <w:rsid w:val="00AB478B"/>
    <w:rsid w:val="00AB47AC"/>
    <w:rsid w:val="00AB4AD9"/>
    <w:rsid w:val="00AD6E77"/>
    <w:rsid w:val="00AD7A25"/>
    <w:rsid w:val="00AE2666"/>
    <w:rsid w:val="00AE478C"/>
    <w:rsid w:val="00AE671B"/>
    <w:rsid w:val="00AF3A5A"/>
    <w:rsid w:val="00AF3E15"/>
    <w:rsid w:val="00AF5218"/>
    <w:rsid w:val="00AF60A0"/>
    <w:rsid w:val="00B01A6F"/>
    <w:rsid w:val="00B0480E"/>
    <w:rsid w:val="00B1026A"/>
    <w:rsid w:val="00B16648"/>
    <w:rsid w:val="00B21166"/>
    <w:rsid w:val="00B263AE"/>
    <w:rsid w:val="00B318E5"/>
    <w:rsid w:val="00B33A6C"/>
    <w:rsid w:val="00B4090A"/>
    <w:rsid w:val="00B42F17"/>
    <w:rsid w:val="00B43A02"/>
    <w:rsid w:val="00B47091"/>
    <w:rsid w:val="00B474BB"/>
    <w:rsid w:val="00B56534"/>
    <w:rsid w:val="00B57A21"/>
    <w:rsid w:val="00B62C3E"/>
    <w:rsid w:val="00B645DE"/>
    <w:rsid w:val="00B65857"/>
    <w:rsid w:val="00B66698"/>
    <w:rsid w:val="00B745DC"/>
    <w:rsid w:val="00B84350"/>
    <w:rsid w:val="00B855A6"/>
    <w:rsid w:val="00B906F8"/>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150D"/>
    <w:rsid w:val="00C15A13"/>
    <w:rsid w:val="00C238D9"/>
    <w:rsid w:val="00C24A9D"/>
    <w:rsid w:val="00C25E89"/>
    <w:rsid w:val="00C2677E"/>
    <w:rsid w:val="00C31542"/>
    <w:rsid w:val="00C47B87"/>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D7DEB"/>
    <w:rsid w:val="00CF12CF"/>
    <w:rsid w:val="00CF4BE3"/>
    <w:rsid w:val="00D011B7"/>
    <w:rsid w:val="00D060D2"/>
    <w:rsid w:val="00D13E2D"/>
    <w:rsid w:val="00D14394"/>
    <w:rsid w:val="00D242CD"/>
    <w:rsid w:val="00D26F74"/>
    <w:rsid w:val="00D3418A"/>
    <w:rsid w:val="00D341C3"/>
    <w:rsid w:val="00D42843"/>
    <w:rsid w:val="00D43EF5"/>
    <w:rsid w:val="00D5152A"/>
    <w:rsid w:val="00D560EB"/>
    <w:rsid w:val="00D65145"/>
    <w:rsid w:val="00D73D87"/>
    <w:rsid w:val="00D74314"/>
    <w:rsid w:val="00D81410"/>
    <w:rsid w:val="00D91E73"/>
    <w:rsid w:val="00D92505"/>
    <w:rsid w:val="00D9567A"/>
    <w:rsid w:val="00DA267C"/>
    <w:rsid w:val="00DA27B3"/>
    <w:rsid w:val="00DA5101"/>
    <w:rsid w:val="00DA79EF"/>
    <w:rsid w:val="00DB0C0B"/>
    <w:rsid w:val="00DB3B74"/>
    <w:rsid w:val="00DB7356"/>
    <w:rsid w:val="00DC423C"/>
    <w:rsid w:val="00DC5870"/>
    <w:rsid w:val="00DD0384"/>
    <w:rsid w:val="00DD0901"/>
    <w:rsid w:val="00DD0C25"/>
    <w:rsid w:val="00DD4AB0"/>
    <w:rsid w:val="00DE16B6"/>
    <w:rsid w:val="00DE3323"/>
    <w:rsid w:val="00DE36CA"/>
    <w:rsid w:val="00DE7E63"/>
    <w:rsid w:val="00DF77A2"/>
    <w:rsid w:val="00E01018"/>
    <w:rsid w:val="00E2152C"/>
    <w:rsid w:val="00E367C5"/>
    <w:rsid w:val="00E36B3F"/>
    <w:rsid w:val="00E37E71"/>
    <w:rsid w:val="00E42486"/>
    <w:rsid w:val="00E42847"/>
    <w:rsid w:val="00E436BE"/>
    <w:rsid w:val="00E46064"/>
    <w:rsid w:val="00E604A1"/>
    <w:rsid w:val="00E7293C"/>
    <w:rsid w:val="00E73AA8"/>
    <w:rsid w:val="00E76812"/>
    <w:rsid w:val="00E80228"/>
    <w:rsid w:val="00E86D2A"/>
    <w:rsid w:val="00E8711A"/>
    <w:rsid w:val="00E9072C"/>
    <w:rsid w:val="00E938D7"/>
    <w:rsid w:val="00EA2ED4"/>
    <w:rsid w:val="00EA491A"/>
    <w:rsid w:val="00EB1583"/>
    <w:rsid w:val="00EB54A9"/>
    <w:rsid w:val="00EC23FB"/>
    <w:rsid w:val="00EC7017"/>
    <w:rsid w:val="00ED4356"/>
    <w:rsid w:val="00ED5B7D"/>
    <w:rsid w:val="00ED5FD3"/>
    <w:rsid w:val="00ED7681"/>
    <w:rsid w:val="00EE243C"/>
    <w:rsid w:val="00EF63C6"/>
    <w:rsid w:val="00F034FB"/>
    <w:rsid w:val="00F05606"/>
    <w:rsid w:val="00F105F5"/>
    <w:rsid w:val="00F1075A"/>
    <w:rsid w:val="00F131D5"/>
    <w:rsid w:val="00F14CFC"/>
    <w:rsid w:val="00F17AAB"/>
    <w:rsid w:val="00F22D93"/>
    <w:rsid w:val="00F22E82"/>
    <w:rsid w:val="00F2483A"/>
    <w:rsid w:val="00F31493"/>
    <w:rsid w:val="00F337BF"/>
    <w:rsid w:val="00F33D14"/>
    <w:rsid w:val="00F40273"/>
    <w:rsid w:val="00F457CE"/>
    <w:rsid w:val="00F473B6"/>
    <w:rsid w:val="00F52E57"/>
    <w:rsid w:val="00F53E06"/>
    <w:rsid w:val="00F54188"/>
    <w:rsid w:val="00F54CC0"/>
    <w:rsid w:val="00F706D9"/>
    <w:rsid w:val="00F727A5"/>
    <w:rsid w:val="00F847A9"/>
    <w:rsid w:val="00FA5FE9"/>
    <w:rsid w:val="00FA67D2"/>
    <w:rsid w:val="00FB1990"/>
    <w:rsid w:val="00FB302F"/>
    <w:rsid w:val="00FB5A92"/>
    <w:rsid w:val="00FC1C69"/>
    <w:rsid w:val="00FC3739"/>
    <w:rsid w:val="00FC3B77"/>
    <w:rsid w:val="00FD529F"/>
    <w:rsid w:val="00FE5AD9"/>
    <w:rsid w:val="00FE7A33"/>
    <w:rsid w:val="00FE7F3B"/>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FB090"/>
  <w15:chartTrackingRefBased/>
  <w15:docId w15:val="{9C24D382-6DD5-4763-8F39-294FCF01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ED5B7D"/>
    <w:rPr>
      <w:color w:val="808080"/>
      <w:shd w:val="clear" w:color="auto" w:fill="E6E6E6"/>
    </w:rPr>
  </w:style>
  <w:style w:type="paragraph" w:styleId="CommentText">
    <w:name w:val="annotation text"/>
    <w:basedOn w:val="Normal"/>
    <w:link w:val="CommentTextChar"/>
    <w:uiPriority w:val="99"/>
    <w:semiHidden/>
    <w:unhideWhenUsed/>
    <w:rsid w:val="002B02B4"/>
    <w:rPr>
      <w:sz w:val="20"/>
      <w:szCs w:val="20"/>
    </w:rPr>
  </w:style>
  <w:style w:type="character" w:customStyle="1" w:styleId="CommentTextChar">
    <w:name w:val="Comment Text Char"/>
    <w:basedOn w:val="DefaultParagraphFont"/>
    <w:link w:val="CommentText"/>
    <w:uiPriority w:val="99"/>
    <w:semiHidden/>
    <w:rsid w:val="002B02B4"/>
    <w:rPr>
      <w:sz w:val="20"/>
      <w:szCs w:val="20"/>
      <w:lang w:eastAsia="en-US"/>
    </w:rPr>
  </w:style>
  <w:style w:type="paragraph" w:styleId="CommentSubject">
    <w:name w:val="annotation subject"/>
    <w:basedOn w:val="CommentText"/>
    <w:next w:val="CommentText"/>
    <w:link w:val="CommentSubjectChar"/>
    <w:uiPriority w:val="99"/>
    <w:semiHidden/>
    <w:unhideWhenUsed/>
    <w:rsid w:val="002B02B4"/>
    <w:rPr>
      <w:b/>
      <w:bCs/>
    </w:rPr>
  </w:style>
  <w:style w:type="character" w:customStyle="1" w:styleId="CommentSubjectChar">
    <w:name w:val="Comment Subject Char"/>
    <w:basedOn w:val="CommentTextChar"/>
    <w:link w:val="CommentSubject"/>
    <w:uiPriority w:val="99"/>
    <w:semiHidden/>
    <w:rsid w:val="002B02B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8B3A8.C509537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hreewaters.govt.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reewatersboards@dia.govt.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Commencement stage</TermName>
          <TermId xmlns="http://schemas.microsoft.com/office/infopath/2007/PartnerControls">1826319d-78c7-401f-b155-9402bcb369f3</TermId>
        </TermInfo>
      </Terms>
    </C3TopicNote>
    <_dlc_DocId xmlns="f54e2983-00ce-40fc-8108-18f351fc47bf">3W2DU3RAJ5R2-1403722819-653</_dlc_DocId>
    <_dlc_DocIdUrl xmlns="f54e2983-00ce-40fc-8108-18f351fc47bf">
      <Url>https://dia.cohesion.net.nz/Sites/LGV/TWRP/PRGM/_layouts/15/DocIdRedir.aspx?ID=3W2DU3RAJ5R2-1403722819-653</Url>
      <Description>3W2DU3RAJ5R2-1403722819-653</Description>
    </_dlc_DocIdUrl>
    <DIAPrivateEntity xmlns="f54e2983-00ce-40fc-8108-18f351fc47bf" xsi:nil="true"/>
    <TaxCatchAll xmlns="f54e2983-00ce-40fc-8108-18f351fc47bf">
      <Value>4</Value>
      <Value>2</Value>
      <Value>1</Value>
      <Value>3269</Value>
    </TaxCatchAll>
    <TaxKeywordTaxHTField xmlns="f54e2983-00ce-40fc-8108-18f351fc47bf">
      <Terms xmlns="http://schemas.microsoft.com/office/infopath/2007/PartnerControls"/>
    </TaxKeywordTaxHTField>
    <DIANotes xmlns="f54e2983-00ce-40fc-8108-18f351fc47bf" xsi:nil="tru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j47b0202623f4ea5aacb4f820e2a4374 xmlns="f54e2983-00ce-40fc-8108-18f351fc47bf">
      <Terms xmlns="http://schemas.microsoft.com/office/infopath/2007/PartnerControls"/>
    </j47b0202623f4ea5aacb4f820e2a4374>
    <o2f22aac53bd4fed8afdac54e6ae7a01 xmlns="f54e2983-00ce-40fc-8108-18f351fc47bf">
      <Terms xmlns="http://schemas.microsoft.com/office/infopath/2007/PartnerControls"/>
    </o2f22aac53bd4fed8afdac54e6ae7a01>
    <DIAReferenceNumber xmlns="f54e2983-00ce-40fc-8108-18f351fc47bf" xsi:nil="true"/>
    <i28a3dfa7619411fa0190df1513c6f61 xmlns="f54e2983-00ce-40fc-8108-18f351fc47bf">
      <Terms xmlns="http://schemas.microsoft.com/office/infopath/2007/PartnerControls"/>
    </i28a3dfa7619411fa0190df1513c6f61>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cff0ddf232c47f2a2233c5008913c29>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FA0ECF7FCFD32840876470B074F4DB78" ma:contentTypeVersion="11" ma:contentTypeDescription="Administration Document" ma:contentTypeScope="" ma:versionID="cdc6f981a71d8cca994d3d120f71b1c3">
  <xsd:schema xmlns:xsd="http://www.w3.org/2001/XMLSchema" xmlns:xs="http://www.w3.org/2001/XMLSchema" xmlns:p="http://schemas.microsoft.com/office/2006/metadata/properties" xmlns:ns3="01be4277-2979-4a68-876d-b92b25fceece" xmlns:ns4="f54e2983-00ce-40fc-8108-18f351fc47bf" xmlns:ns5="e7dadca3-d271-43a7-8d1b-6c52621f88b3" targetNamespace="http://schemas.microsoft.com/office/2006/metadata/properties" ma:root="true" ma:fieldsID="d8b8c24bc694568933441538d39b75bb" ns3:_="" ns4:_="" ns5:_="">
    <xsd:import namespace="01be4277-2979-4a68-876d-b92b25fceece"/>
    <xsd:import namespace="f54e2983-00ce-40fc-8108-18f351fc47bf"/>
    <xsd:import namespace="e7dadca3-d271-43a7-8d1b-6c52621f88b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5:SharedWithUsers" minOccurs="0"/>
                <xsd:element ref="ns4:j47b0202623f4ea5aacb4f820e2a4374" minOccurs="0"/>
                <xsd:element ref="ns4:DIAPrivateEntity" minOccurs="0"/>
                <xsd:element ref="ns4:i28a3dfa7619411fa0190df1513c6f61" minOccurs="0"/>
                <xsd:element ref="ns4:ab652c8fc19f4aa1b7c685bfd6c8b663"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bd117d0a-f6da-4449-89a0-3df3ae40d037" ma:anchorId="1fb478f1-9fda-42c7-861c-01fc2e440d5e"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j47b0202623f4ea5aacb4f820e2a4374" ma:index="23"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5"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i28a3dfa7619411fa0190df1513c6f61" ma:index="26"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8"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30" nillable="true" ma:displayName="Reference Number" ma:description="Use to specify the reference number" ma:internalName="DIAReference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adca3-d271-43a7-8d1b-6c52621f88b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2F240C-79FB-443B-AD71-CFF1B3B9D4C0}">
  <ds:schemaRefs>
    <ds:schemaRef ds:uri="http://schemas.openxmlformats.org/officeDocument/2006/bibliography"/>
  </ds:schemaRefs>
</ds:datastoreItem>
</file>

<file path=customXml/itemProps2.xml><?xml version="1.0" encoding="utf-8"?>
<ds:datastoreItem xmlns:ds="http://schemas.openxmlformats.org/officeDocument/2006/customXml" ds:itemID="{302C3FF8-4BBB-42EA-8609-A0CB89212332}">
  <ds:schemaRefs>
    <ds:schemaRef ds:uri="http://schemas.microsoft.com/sharepoint/v3/contenttype/forms"/>
  </ds:schemaRefs>
</ds:datastoreItem>
</file>

<file path=customXml/itemProps3.xml><?xml version="1.0" encoding="utf-8"?>
<ds:datastoreItem xmlns:ds="http://schemas.openxmlformats.org/officeDocument/2006/customXml" ds:itemID="{604BB27A-8A21-4938-A401-DE9539945147}">
  <ds:schemaRefs>
    <ds:schemaRef ds:uri="http://schemas.microsoft.com/office/2006/metadata/properties"/>
    <ds:schemaRef ds:uri="http://schemas.microsoft.com/office/infopath/2007/PartnerControls"/>
    <ds:schemaRef ds:uri="01be4277-2979-4a68-876d-b92b25fceece"/>
    <ds:schemaRef ds:uri="f54e2983-00ce-40fc-8108-18f351fc47bf"/>
  </ds:schemaRefs>
</ds:datastoreItem>
</file>

<file path=customXml/itemProps4.xml><?xml version="1.0" encoding="utf-8"?>
<ds:datastoreItem xmlns:ds="http://schemas.openxmlformats.org/officeDocument/2006/customXml" ds:itemID="{32475235-C7A0-4F78-B942-F9D8EF26C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e7dadca3-d271-43a7-8d1b-6c52621f8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FBFAA-BB7E-44B1-B402-CF6792F5D8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1115</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IA2022000221 Appendix C - Candiate information sheet - Archives Council</vt:lpstr>
    </vt:vector>
  </TitlesOfParts>
  <Company>DIA</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IA2022000221 Appendix C - Candiate information sheet - Archives Council</dc:title>
  <dc:subject/>
  <dc:creator>Rebecca Gill</dc:creator>
  <cp:keywords/>
  <dc:description/>
  <cp:lastModifiedBy>Tim Bollinger</cp:lastModifiedBy>
  <cp:revision>6</cp:revision>
  <cp:lastPrinted>2022-08-19T01:16:00Z</cp:lastPrinted>
  <dcterms:created xsi:type="dcterms:W3CDTF">2022-08-31T04:07:00Z</dcterms:created>
  <dcterms:modified xsi:type="dcterms:W3CDTF">2022-09-20T00:25:00Z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1ebb20aec8a413f8e478850bad3b4a4">
    <vt:lpwstr>UNCLASSIFIED|875d92a8-67e2-4a32-9472-8fe99549e1eb</vt:lpwstr>
  </property>
  <property fmtid="{D5CDD505-2E9C-101B-9397-08002B2CF9AE}" pid="3" name="DIAEmailContentType">
    <vt:lpwstr>2;#Correspondence|dcd6b05f-dc80-4336-b228-09aebf3d212c</vt:lpwstr>
  </property>
  <property fmtid="{D5CDD505-2E9C-101B-9397-08002B2CF9AE}" pid="4" name="DIAOfficialEntity">
    <vt:lpwstr/>
  </property>
  <property fmtid="{D5CDD505-2E9C-101B-9397-08002B2CF9AE}" pid="5" name="TaxCatchAll">
    <vt:lpwstr>4;#UNCLASSIFIED|875d92a8-67e2-4a32-9472-8fe99549e1eb;#3;#Correspondence|dcd6b05f-dc80-4336-b228-09aebf3d212c</vt:lpwstr>
  </property>
  <property fmtid="{D5CDD505-2E9C-101B-9397-08002B2CF9AE}" pid="6" name="DIASecurityClassification">
    <vt:lpwstr>1;#UNCLASSIFIED|875d92a8-67e2-4a32-9472-8fe99549e1eb</vt:lpwstr>
  </property>
  <property fmtid="{D5CDD505-2E9C-101B-9397-08002B2CF9AE}" pid="7" name="led8aa90c7464c4f9b054949a04e6da7">
    <vt:lpwstr>Correspondence|dcd6b05f-dc80-4336-b228-09aebf3d212c</vt:lpwstr>
  </property>
  <property fmtid="{D5CDD505-2E9C-101B-9397-08002B2CF9AE}" pid="8" name="a20c9a0120c9414d955f866a460bad36">
    <vt:lpwstr/>
  </property>
  <property fmtid="{D5CDD505-2E9C-101B-9397-08002B2CF9AE}" pid="9" name="_dlc_DocIdItemGuid">
    <vt:lpwstr>4d4bb9cf-8510-4818-9b3d-e16072344f9e</vt:lpwstr>
  </property>
  <property fmtid="{D5CDD505-2E9C-101B-9397-08002B2CF9AE}" pid="10" name="TaxKeyword">
    <vt:lpwstr/>
  </property>
  <property fmtid="{D5CDD505-2E9C-101B-9397-08002B2CF9AE}" pid="11" name="DIAAdministrationDocumentType">
    <vt:lpwstr/>
  </property>
  <property fmtid="{D5CDD505-2E9C-101B-9397-08002B2CF9AE}" pid="12" name="a2ec4579006a439fac20cd511834d202">
    <vt:lpwstr/>
  </property>
  <property fmtid="{D5CDD505-2E9C-101B-9397-08002B2CF9AE}" pid="13" name="DIANominationDocumentType">
    <vt:lpwstr/>
  </property>
  <property fmtid="{D5CDD505-2E9C-101B-9397-08002B2CF9AE}" pid="14" name="l94d5d54ea6142c4b9b5813e25e1f5f3">
    <vt:lpwstr/>
  </property>
  <property fmtid="{D5CDD505-2E9C-101B-9397-08002B2CF9AE}" pid="15" name="jcbbd4522174408f95c914e1e8556fe8">
    <vt:lpwstr/>
  </property>
  <property fmtid="{D5CDD505-2E9C-101B-9397-08002B2CF9AE}" pid="16" name="DIAReportDocumentType">
    <vt:lpwstr/>
  </property>
  <property fmtid="{D5CDD505-2E9C-101B-9397-08002B2CF9AE}" pid="17" name="i234661d9f7a423e8a2378db11976a3c">
    <vt:lpwstr>Correspondence|dcd6b05f-dc80-4336-b228-09aebf3d212c</vt:lpwstr>
  </property>
  <property fmtid="{D5CDD505-2E9C-101B-9397-08002B2CF9AE}" pid="18" name="DIALegislation">
    <vt:lpwstr/>
  </property>
  <property fmtid="{D5CDD505-2E9C-101B-9397-08002B2CF9AE}" pid="19" name="ld855601a22744588946efdda84ef6c0">
    <vt:lpwstr/>
  </property>
  <property fmtid="{D5CDD505-2E9C-101B-9397-08002B2CF9AE}" pid="20" name="DIAPortfolio">
    <vt:lpwstr>4;#Local Government|d4c83f0c-f81e-4391-a096-cd21301ce608</vt:lpwstr>
  </property>
  <property fmtid="{D5CDD505-2E9C-101B-9397-08002B2CF9AE}" pid="21" name="le8f14e3a5174dcd8947229fe72147e2">
    <vt:lpwstr/>
  </property>
  <property fmtid="{D5CDD505-2E9C-101B-9397-08002B2CF9AE}" pid="22" name="DIABriefingType">
    <vt:lpwstr/>
  </property>
  <property fmtid="{D5CDD505-2E9C-101B-9397-08002B2CF9AE}" pid="23" name="DIABriefingAudience">
    <vt:lpwstr/>
  </property>
  <property fmtid="{D5CDD505-2E9C-101B-9397-08002B2CF9AE}" pid="24" name="DIAMediaDocumentType">
    <vt:lpwstr/>
  </property>
  <property fmtid="{D5CDD505-2E9C-101B-9397-08002B2CF9AE}" pid="25" name="b6dab2e87b6a495ebad2906ab9494053">
    <vt:lpwstr/>
  </property>
  <property fmtid="{D5CDD505-2E9C-101B-9397-08002B2CF9AE}" pid="26" name="o548e6814ab94c938ba56a3d768e8f45">
    <vt:lpwstr/>
  </property>
  <property fmtid="{D5CDD505-2E9C-101B-9397-08002B2CF9AE}" pid="27" name="DIAMeetingDocumentType">
    <vt:lpwstr/>
  </property>
  <property fmtid="{D5CDD505-2E9C-101B-9397-08002B2CF9AE}" pid="28" name="a5be7c9889484186a869be5aa1b9c3a4">
    <vt:lpwstr/>
  </property>
  <property fmtid="{D5CDD505-2E9C-101B-9397-08002B2CF9AE}" pid="29" name="ContentTypeId">
    <vt:lpwstr>0x0101005496552013C0BA46BE88192D5C6EB20B00351512A5ABB74CC687DC2977C156D0BF00FA0ECF7FCFD32840876470B074F4DB78</vt:lpwstr>
  </property>
  <property fmtid="{D5CDD505-2E9C-101B-9397-08002B2CF9AE}" pid="30" name="C3Topic">
    <vt:lpwstr>3269;#Commencement stage|1826319d-78c7-401f-b155-9402bcb369f3</vt:lpwstr>
  </property>
</Properties>
</file>