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14A4D" w14:textId="77777777" w:rsidR="002E42CF" w:rsidRPr="00A864A5" w:rsidRDefault="002E42CF" w:rsidP="002E42CF">
      <w:pPr>
        <w:pStyle w:val="Heading1"/>
        <w:spacing w:before="0" w:after="120" w:line="276" w:lineRule="auto"/>
      </w:pPr>
      <w:bookmarkStart w:id="0" w:name="_Toc244580362"/>
      <w:bookmarkStart w:id="1" w:name="_Toc244587038"/>
      <w:bookmarkStart w:id="2" w:name="_Toc244857272"/>
      <w:bookmarkStart w:id="3" w:name="_Toc244912537"/>
      <w:bookmarkStart w:id="4" w:name="_Toc244916994"/>
      <w:bookmarkStart w:id="5" w:name="_Toc362368102"/>
      <w:bookmarkStart w:id="6" w:name="_Toc362940592"/>
      <w:bookmarkStart w:id="7" w:name="_Toc363047100"/>
      <w:bookmarkStart w:id="8" w:name="_Toc111173195"/>
      <w:bookmarkStart w:id="9" w:name="_Toc112306482"/>
      <w:bookmarkStart w:id="10" w:name="_Toc114287559"/>
      <w:bookmarkStart w:id="11" w:name="_Toc115188196"/>
      <w:bookmarkStart w:id="12" w:name="_Toc118514380"/>
      <w:bookmarkStart w:id="13" w:name="_Toc110071692"/>
      <w:bookmarkStart w:id="14" w:name="_Toc110072564"/>
      <w:bookmarkStart w:id="15" w:name="_Toc138735614"/>
      <w:bookmarkStart w:id="16" w:name="_Toc139335927"/>
      <w:bookmarkStart w:id="17" w:name="_Toc362526401"/>
      <w:r w:rsidRPr="00A864A5">
        <w:t xml:space="preserve">Regulatory Impact Statement: </w:t>
      </w:r>
      <w:r>
        <w:t>Passport and Travel Document Fee Review</w:t>
      </w:r>
    </w:p>
    <w:p w14:paraId="72EC1C73" w14:textId="77777777" w:rsidR="002E42CF" w:rsidRPr="00A864A5" w:rsidRDefault="002E42CF" w:rsidP="00F578DB">
      <w:pPr>
        <w:pStyle w:val="Heading2"/>
        <w:rPr>
          <w:lang w:val="en-NZ"/>
        </w:rPr>
      </w:pPr>
      <w:r w:rsidRPr="00A864A5">
        <w:rPr>
          <w:lang w:val="en-NZ"/>
        </w:rPr>
        <w:t>Coversheet</w:t>
      </w:r>
    </w:p>
    <w:p w14:paraId="670C559F" w14:textId="77777777" w:rsidR="002E42CF" w:rsidRPr="00A864A5" w:rsidRDefault="002E42CF" w:rsidP="002E42CF">
      <w:pPr>
        <w:pStyle w:val="spacer"/>
        <w:rPr>
          <w:lang w:val="en-NZ"/>
        </w:rPr>
      </w:pPr>
    </w:p>
    <w:tbl>
      <w:tblPr>
        <w:tblW w:w="5000" w:type="pct"/>
        <w:tblInd w:w="-5"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ook w:val="0600" w:firstRow="0" w:lastRow="0" w:firstColumn="0" w:lastColumn="0" w:noHBand="1" w:noVBand="1"/>
      </w:tblPr>
      <w:tblGrid>
        <w:gridCol w:w="2407"/>
        <w:gridCol w:w="6654"/>
      </w:tblGrid>
      <w:tr w:rsidR="002E42CF" w:rsidRPr="00A864A5" w14:paraId="593DE87A" w14:textId="77777777" w:rsidTr="00B04C0B">
        <w:tc>
          <w:tcPr>
            <w:tcW w:w="5000" w:type="pct"/>
            <w:gridSpan w:val="2"/>
            <w:tcBorders>
              <w:bottom w:val="single" w:sz="4" w:space="0" w:color="DDDDDD"/>
            </w:tcBorders>
            <w:shd w:val="clear" w:color="auto" w:fill="99CDDD"/>
            <w:hideMark/>
          </w:tcPr>
          <w:p w14:paraId="5F3D99B0" w14:textId="77777777" w:rsidR="002E42CF" w:rsidRPr="00A864A5" w:rsidRDefault="002E42CF" w:rsidP="00B04C0B">
            <w:pPr>
              <w:pStyle w:val="TableHeadings"/>
              <w:rPr>
                <w:color w:val="002060"/>
                <w:szCs w:val="22"/>
                <w:lang w:val="en-NZ"/>
              </w:rPr>
            </w:pPr>
            <w:r w:rsidRPr="00A864A5">
              <w:rPr>
                <w:szCs w:val="22"/>
                <w:lang w:val="en-NZ"/>
              </w:rPr>
              <w:t>Purpose</w:t>
            </w:r>
            <w:r>
              <w:rPr>
                <w:szCs w:val="22"/>
                <w:lang w:val="en-NZ"/>
              </w:rPr>
              <w:t xml:space="preserve"> of Document</w:t>
            </w:r>
          </w:p>
        </w:tc>
      </w:tr>
      <w:tr w:rsidR="002E42CF" w:rsidRPr="00A864A5" w14:paraId="0B32330A" w14:textId="77777777" w:rsidTr="00B04C0B">
        <w:trPr>
          <w:trHeight w:val="414"/>
        </w:trPr>
        <w:tc>
          <w:tcPr>
            <w:tcW w:w="1328" w:type="pct"/>
            <w:tcBorders>
              <w:top w:val="nil"/>
            </w:tcBorders>
            <w:shd w:val="clear" w:color="auto" w:fill="EBF5F8"/>
          </w:tcPr>
          <w:p w14:paraId="370C6D9B" w14:textId="77777777" w:rsidR="002E42CF" w:rsidRPr="00A864A5" w:rsidRDefault="002E42CF" w:rsidP="00B04C0B">
            <w:pPr>
              <w:rPr>
                <w:rFonts w:cs="Arial"/>
                <w:iCs/>
                <w:color w:val="000000"/>
                <w:szCs w:val="22"/>
                <w:lang w:val="en-NZ"/>
              </w:rPr>
            </w:pPr>
            <w:r w:rsidRPr="00A864A5">
              <w:rPr>
                <w:rFonts w:cs="Arial"/>
                <w:iCs/>
                <w:color w:val="000000"/>
                <w:szCs w:val="22"/>
                <w:lang w:val="en-NZ"/>
              </w:rPr>
              <w:t xml:space="preserve">Decision </w:t>
            </w:r>
            <w:r>
              <w:rPr>
                <w:rFonts w:cs="Arial"/>
                <w:iCs/>
                <w:color w:val="000000"/>
                <w:szCs w:val="22"/>
                <w:lang w:val="en-NZ"/>
              </w:rPr>
              <w:t>s</w:t>
            </w:r>
            <w:r w:rsidRPr="00A864A5">
              <w:rPr>
                <w:rFonts w:cs="Arial"/>
                <w:iCs/>
                <w:color w:val="000000"/>
                <w:szCs w:val="22"/>
                <w:lang w:val="en-NZ"/>
              </w:rPr>
              <w:t>ought:</w:t>
            </w:r>
          </w:p>
        </w:tc>
        <w:tc>
          <w:tcPr>
            <w:tcW w:w="3672" w:type="pct"/>
            <w:tcBorders>
              <w:top w:val="nil"/>
            </w:tcBorders>
            <w:shd w:val="clear" w:color="auto" w:fill="auto"/>
          </w:tcPr>
          <w:p w14:paraId="72D5B29D" w14:textId="0F05DB04" w:rsidR="002E42CF" w:rsidRPr="008064C0" w:rsidRDefault="00B04C0B" w:rsidP="00F578DB">
            <w:pPr>
              <w:jc w:val="both"/>
              <w:rPr>
                <w:rFonts w:cs="Arial"/>
                <w:i/>
                <w:color w:val="000000"/>
                <w:szCs w:val="22"/>
                <w:lang w:val="en-NZ"/>
              </w:rPr>
            </w:pPr>
            <w:r>
              <w:rPr>
                <w:rFonts w:cs="Arial"/>
                <w:color w:val="000000"/>
                <w:szCs w:val="22"/>
                <w:lang w:val="en-NZ"/>
              </w:rPr>
              <w:t>This document contains an analysis of the options and the fiscal impact of those options for the purpose of inform</w:t>
            </w:r>
            <w:r w:rsidR="003F36DC">
              <w:rPr>
                <w:rFonts w:cs="Arial"/>
                <w:color w:val="000000"/>
                <w:szCs w:val="22"/>
                <w:lang w:val="en-NZ"/>
              </w:rPr>
              <w:t xml:space="preserve">ing a </w:t>
            </w:r>
            <w:r>
              <w:rPr>
                <w:rFonts w:cs="Arial"/>
                <w:color w:val="000000"/>
                <w:szCs w:val="22"/>
                <w:lang w:val="en-NZ"/>
              </w:rPr>
              <w:t>submission to the Cabinet Government and Expenditure Review Committee. This submission seeks approval for fee increases and for the provision of repayable capital injections to ensure that</w:t>
            </w:r>
            <w:r w:rsidR="003F36DC">
              <w:rPr>
                <w:rFonts w:cs="Arial"/>
                <w:color w:val="000000"/>
                <w:szCs w:val="22"/>
                <w:lang w:val="en-NZ"/>
              </w:rPr>
              <w:t xml:space="preserve"> the balance of the Passport Memorandum Account does not move into </w:t>
            </w:r>
            <w:r w:rsidR="000F191E">
              <w:rPr>
                <w:rFonts w:cs="Arial"/>
                <w:color w:val="000000"/>
                <w:szCs w:val="22"/>
                <w:lang w:val="en-NZ"/>
              </w:rPr>
              <w:t xml:space="preserve">a </w:t>
            </w:r>
            <w:r w:rsidR="003F36DC">
              <w:rPr>
                <w:rFonts w:cs="Arial"/>
                <w:color w:val="000000"/>
                <w:szCs w:val="22"/>
                <w:lang w:val="en-NZ"/>
              </w:rPr>
              <w:t>deficit</w:t>
            </w:r>
            <w:r w:rsidR="000F191E">
              <w:rPr>
                <w:rFonts w:cs="Arial"/>
                <w:color w:val="000000"/>
                <w:szCs w:val="22"/>
                <w:lang w:val="en-NZ"/>
              </w:rPr>
              <w:t xml:space="preserve"> position</w:t>
            </w:r>
            <w:r w:rsidR="003F36DC">
              <w:rPr>
                <w:rFonts w:cs="Arial"/>
                <w:color w:val="000000"/>
                <w:szCs w:val="22"/>
                <w:lang w:val="en-NZ"/>
              </w:rPr>
              <w:t>.</w:t>
            </w:r>
            <w:r>
              <w:rPr>
                <w:rFonts w:cs="Arial"/>
                <w:color w:val="000000"/>
                <w:szCs w:val="22"/>
                <w:lang w:val="en-NZ"/>
              </w:rPr>
              <w:t xml:space="preserve">  </w:t>
            </w:r>
          </w:p>
        </w:tc>
      </w:tr>
      <w:tr w:rsidR="002E42CF" w:rsidRPr="00A864A5" w14:paraId="7354C88C" w14:textId="77777777" w:rsidTr="00B04C0B">
        <w:trPr>
          <w:trHeight w:val="506"/>
        </w:trPr>
        <w:tc>
          <w:tcPr>
            <w:tcW w:w="1328" w:type="pct"/>
            <w:tcBorders>
              <w:top w:val="nil"/>
            </w:tcBorders>
            <w:shd w:val="clear" w:color="auto" w:fill="EBF5F8"/>
          </w:tcPr>
          <w:p w14:paraId="1FDCBFCE" w14:textId="77777777" w:rsidR="002E42CF" w:rsidRPr="00A864A5" w:rsidRDefault="002E42CF" w:rsidP="00B04C0B">
            <w:pPr>
              <w:rPr>
                <w:rFonts w:cs="Arial"/>
                <w:iCs/>
                <w:color w:val="000000"/>
                <w:szCs w:val="22"/>
                <w:lang w:val="en-NZ"/>
              </w:rPr>
            </w:pPr>
            <w:r>
              <w:rPr>
                <w:rFonts w:cs="Arial"/>
                <w:iCs/>
                <w:color w:val="000000"/>
                <w:szCs w:val="22"/>
                <w:lang w:val="en-NZ"/>
              </w:rPr>
              <w:t>Advising agencies:</w:t>
            </w:r>
          </w:p>
        </w:tc>
        <w:tc>
          <w:tcPr>
            <w:tcW w:w="3672" w:type="pct"/>
            <w:tcBorders>
              <w:top w:val="nil"/>
            </w:tcBorders>
            <w:shd w:val="clear" w:color="auto" w:fill="auto"/>
          </w:tcPr>
          <w:p w14:paraId="72B70C03" w14:textId="77777777" w:rsidR="002E42CF" w:rsidRPr="008064C0" w:rsidRDefault="002E42CF" w:rsidP="00B04C0B">
            <w:pPr>
              <w:rPr>
                <w:rFonts w:cs="Arial"/>
                <w:i/>
                <w:color w:val="000000"/>
                <w:szCs w:val="22"/>
                <w:lang w:val="en-NZ"/>
              </w:rPr>
            </w:pPr>
            <w:r>
              <w:rPr>
                <w:rFonts w:cs="Arial"/>
                <w:color w:val="000000"/>
                <w:szCs w:val="22"/>
                <w:lang w:val="en-NZ"/>
              </w:rPr>
              <w:t>Department of Internal Affairs</w:t>
            </w:r>
          </w:p>
        </w:tc>
      </w:tr>
      <w:tr w:rsidR="002E42CF" w:rsidRPr="00A864A5" w14:paraId="7D0DF793" w14:textId="77777777" w:rsidTr="00B04C0B">
        <w:trPr>
          <w:trHeight w:val="317"/>
        </w:trPr>
        <w:tc>
          <w:tcPr>
            <w:tcW w:w="1328" w:type="pct"/>
            <w:tcBorders>
              <w:top w:val="nil"/>
            </w:tcBorders>
            <w:shd w:val="clear" w:color="auto" w:fill="EBF5F8"/>
          </w:tcPr>
          <w:p w14:paraId="169E8DA3" w14:textId="77777777" w:rsidR="002E42CF" w:rsidRPr="00A864A5" w:rsidRDefault="002E42CF" w:rsidP="00B04C0B">
            <w:pPr>
              <w:rPr>
                <w:rFonts w:cs="Arial"/>
                <w:iCs/>
                <w:color w:val="000000"/>
                <w:szCs w:val="22"/>
                <w:lang w:val="en-NZ"/>
              </w:rPr>
            </w:pPr>
            <w:r w:rsidRPr="00A864A5">
              <w:rPr>
                <w:rFonts w:cs="Arial"/>
                <w:iCs/>
                <w:color w:val="000000"/>
                <w:szCs w:val="22"/>
                <w:lang w:val="en-NZ"/>
              </w:rPr>
              <w:t>Proposing Minister</w:t>
            </w:r>
            <w:r>
              <w:rPr>
                <w:rFonts w:cs="Arial"/>
                <w:iCs/>
                <w:color w:val="000000"/>
                <w:szCs w:val="22"/>
                <w:lang w:val="en-NZ"/>
              </w:rPr>
              <w:t>s:</w:t>
            </w:r>
          </w:p>
        </w:tc>
        <w:tc>
          <w:tcPr>
            <w:tcW w:w="3672" w:type="pct"/>
            <w:tcBorders>
              <w:top w:val="nil"/>
            </w:tcBorders>
            <w:shd w:val="clear" w:color="auto" w:fill="auto"/>
          </w:tcPr>
          <w:p w14:paraId="5BAC538C" w14:textId="77777777" w:rsidR="002E42CF" w:rsidRPr="00F3582C" w:rsidRDefault="002E42CF" w:rsidP="00B04C0B">
            <w:pPr>
              <w:rPr>
                <w:rFonts w:cs="Arial"/>
                <w:color w:val="000000"/>
                <w:szCs w:val="22"/>
                <w:lang w:val="en-NZ"/>
              </w:rPr>
            </w:pPr>
            <w:r>
              <w:rPr>
                <w:rFonts w:cs="Arial"/>
                <w:color w:val="000000"/>
                <w:szCs w:val="22"/>
                <w:lang w:val="en-NZ"/>
              </w:rPr>
              <w:t>Minister of Internal Affairs</w:t>
            </w:r>
          </w:p>
        </w:tc>
      </w:tr>
      <w:tr w:rsidR="002E42CF" w:rsidRPr="00A864A5" w14:paraId="573DA2D0" w14:textId="77777777" w:rsidTr="00B04C0B">
        <w:trPr>
          <w:trHeight w:val="202"/>
        </w:trPr>
        <w:tc>
          <w:tcPr>
            <w:tcW w:w="1328" w:type="pct"/>
            <w:tcBorders>
              <w:top w:val="nil"/>
            </w:tcBorders>
            <w:shd w:val="clear" w:color="auto" w:fill="EBF5F8"/>
          </w:tcPr>
          <w:p w14:paraId="1BDFBAD1" w14:textId="77777777" w:rsidR="002E42CF" w:rsidRPr="00A864A5" w:rsidRDefault="002E42CF" w:rsidP="00B04C0B">
            <w:pPr>
              <w:rPr>
                <w:rFonts w:cs="Arial"/>
                <w:iCs/>
                <w:color w:val="000000"/>
                <w:szCs w:val="22"/>
                <w:lang w:val="en-NZ"/>
              </w:rPr>
            </w:pPr>
            <w:r w:rsidRPr="00A864A5">
              <w:rPr>
                <w:rFonts w:cs="Arial"/>
                <w:iCs/>
                <w:color w:val="000000"/>
                <w:szCs w:val="22"/>
                <w:lang w:val="en-NZ"/>
              </w:rPr>
              <w:t>Date</w:t>
            </w:r>
            <w:r>
              <w:rPr>
                <w:rFonts w:cs="Arial"/>
                <w:iCs/>
                <w:color w:val="000000"/>
                <w:szCs w:val="22"/>
                <w:lang w:val="en-NZ"/>
              </w:rPr>
              <w:t xml:space="preserve"> finalised</w:t>
            </w:r>
            <w:r w:rsidRPr="00A864A5">
              <w:rPr>
                <w:rFonts w:cs="Arial"/>
                <w:iCs/>
                <w:color w:val="000000"/>
                <w:szCs w:val="22"/>
                <w:lang w:val="en-NZ"/>
              </w:rPr>
              <w:t>:</w:t>
            </w:r>
          </w:p>
        </w:tc>
        <w:tc>
          <w:tcPr>
            <w:tcW w:w="3672" w:type="pct"/>
            <w:tcBorders>
              <w:top w:val="nil"/>
            </w:tcBorders>
            <w:shd w:val="clear" w:color="auto" w:fill="auto"/>
          </w:tcPr>
          <w:p w14:paraId="710E9381" w14:textId="100F77E2" w:rsidR="002E42CF" w:rsidRPr="00B04C0B" w:rsidRDefault="002B5A71" w:rsidP="00B04C0B">
            <w:pPr>
              <w:rPr>
                <w:rFonts w:cs="Arial"/>
                <w:color w:val="000000"/>
                <w:szCs w:val="22"/>
                <w:lang w:val="en-NZ"/>
              </w:rPr>
            </w:pPr>
            <w:r>
              <w:rPr>
                <w:rFonts w:cs="Arial"/>
                <w:color w:val="000000"/>
                <w:szCs w:val="22"/>
                <w:lang w:val="en-NZ"/>
              </w:rPr>
              <w:t>3</w:t>
            </w:r>
            <w:r w:rsidR="0040035B">
              <w:rPr>
                <w:rFonts w:cs="Arial"/>
                <w:color w:val="000000"/>
                <w:szCs w:val="22"/>
                <w:lang w:val="en-NZ"/>
              </w:rPr>
              <w:t xml:space="preserve"> March </w:t>
            </w:r>
            <w:r w:rsidR="00B04C0B">
              <w:rPr>
                <w:rFonts w:cs="Arial"/>
                <w:color w:val="000000"/>
                <w:szCs w:val="22"/>
                <w:lang w:val="en-NZ"/>
              </w:rPr>
              <w:t>2022</w:t>
            </w:r>
          </w:p>
        </w:tc>
      </w:tr>
      <w:tr w:rsidR="002E42CF" w:rsidRPr="00A864A5" w14:paraId="64291DCF" w14:textId="77777777" w:rsidTr="00B04C0B">
        <w:tc>
          <w:tcPr>
            <w:tcW w:w="5000" w:type="pct"/>
            <w:gridSpan w:val="2"/>
            <w:tcBorders>
              <w:bottom w:val="single" w:sz="4" w:space="0" w:color="DDDDDD"/>
            </w:tcBorders>
            <w:shd w:val="clear" w:color="auto" w:fill="99CDDD"/>
            <w:hideMark/>
          </w:tcPr>
          <w:p w14:paraId="729BF594" w14:textId="77777777" w:rsidR="002E42CF" w:rsidRPr="00A864A5" w:rsidRDefault="002E42CF" w:rsidP="00B04C0B">
            <w:pPr>
              <w:pStyle w:val="TableHeadings"/>
              <w:rPr>
                <w:color w:val="002060"/>
                <w:szCs w:val="22"/>
                <w:lang w:val="en-NZ"/>
              </w:rPr>
            </w:pPr>
            <w:r w:rsidRPr="00A864A5">
              <w:rPr>
                <w:szCs w:val="22"/>
                <w:lang w:val="en-NZ"/>
              </w:rPr>
              <w:t>Problem Definition</w:t>
            </w:r>
          </w:p>
        </w:tc>
      </w:tr>
      <w:tr w:rsidR="002E42CF" w:rsidRPr="00A864A5" w14:paraId="045265C4" w14:textId="77777777" w:rsidTr="00B04C0B">
        <w:trPr>
          <w:trHeight w:val="824"/>
        </w:trPr>
        <w:tc>
          <w:tcPr>
            <w:tcW w:w="5000" w:type="pct"/>
            <w:gridSpan w:val="2"/>
            <w:tcBorders>
              <w:top w:val="nil"/>
            </w:tcBorders>
            <w:shd w:val="clear" w:color="auto" w:fill="auto"/>
          </w:tcPr>
          <w:p w14:paraId="2B916813" w14:textId="3A1EF3BB" w:rsidR="002E42CF" w:rsidRPr="00A161B2" w:rsidRDefault="00A161B2" w:rsidP="00A161B2">
            <w:pPr>
              <w:spacing w:after="180" w:line="280" w:lineRule="exact"/>
              <w:ind w:right="170"/>
              <w:jc w:val="both"/>
            </w:pPr>
            <w:r w:rsidRPr="00A161B2">
              <w:rPr>
                <w:szCs w:val="22"/>
                <w:lang w:val="en-NZ"/>
              </w:rPr>
              <w:t>This proposal is designed to address cost pressures in the Passport Memorandum Account which have arisen through reduced demand for passports and travel documents. The Department has forecasted that without intervention the account deficit will reach $</w:t>
            </w:r>
            <w:r w:rsidR="00D66635">
              <w:t xml:space="preserve">365.8m </w:t>
            </w:r>
            <w:r>
              <w:t>by 2037. The interventions proposed are a combination of fee increases and provision of repayable capital injections.</w:t>
            </w:r>
            <w:r w:rsidR="002E42CF" w:rsidRPr="00A864A5">
              <w:rPr>
                <w:rFonts w:cs="Arial"/>
                <w:szCs w:val="22"/>
                <w:lang w:val="en-NZ"/>
              </w:rPr>
              <w:tab/>
            </w:r>
          </w:p>
        </w:tc>
      </w:tr>
      <w:tr w:rsidR="002E42CF" w:rsidRPr="00A864A5" w14:paraId="4BF360AB" w14:textId="77777777" w:rsidTr="00B04C0B">
        <w:tc>
          <w:tcPr>
            <w:tcW w:w="5000" w:type="pct"/>
            <w:gridSpan w:val="2"/>
            <w:tcBorders>
              <w:bottom w:val="single" w:sz="4" w:space="0" w:color="DDDDDD"/>
            </w:tcBorders>
            <w:shd w:val="clear" w:color="auto" w:fill="99CDDD"/>
            <w:hideMark/>
          </w:tcPr>
          <w:p w14:paraId="6816C0E8" w14:textId="77777777" w:rsidR="002E42CF" w:rsidRPr="00A864A5" w:rsidRDefault="002E42CF" w:rsidP="00B04C0B">
            <w:pPr>
              <w:pStyle w:val="TableHeadings"/>
              <w:rPr>
                <w:color w:val="002060"/>
                <w:szCs w:val="22"/>
                <w:lang w:val="en-NZ"/>
              </w:rPr>
            </w:pPr>
            <w:r w:rsidRPr="00A864A5">
              <w:rPr>
                <w:szCs w:val="22"/>
                <w:lang w:val="en-NZ"/>
              </w:rPr>
              <w:t>Executive Summary</w:t>
            </w:r>
          </w:p>
        </w:tc>
      </w:tr>
      <w:tr w:rsidR="002E42CF" w:rsidRPr="00A864A5" w14:paraId="7B09D112" w14:textId="77777777" w:rsidTr="00B04C0B">
        <w:trPr>
          <w:trHeight w:val="944"/>
        </w:trPr>
        <w:tc>
          <w:tcPr>
            <w:tcW w:w="5000" w:type="pct"/>
            <w:gridSpan w:val="2"/>
            <w:tcBorders>
              <w:top w:val="nil"/>
            </w:tcBorders>
            <w:shd w:val="clear" w:color="auto" w:fill="auto"/>
          </w:tcPr>
          <w:p w14:paraId="52D05889" w14:textId="77777777" w:rsidR="002E42CF" w:rsidRPr="00F3582C" w:rsidRDefault="002E42CF" w:rsidP="00B04C0B">
            <w:pPr>
              <w:pStyle w:val="Bullet-list"/>
              <w:numPr>
                <w:ilvl w:val="0"/>
                <w:numId w:val="0"/>
              </w:numPr>
              <w:spacing w:after="120"/>
              <w:rPr>
                <w:rFonts w:cs="Arial"/>
                <w:iCs/>
                <w:lang w:val="en-NZ"/>
              </w:rPr>
            </w:pPr>
            <w:r w:rsidRPr="00F3582C">
              <w:rPr>
                <w:rFonts w:cs="Arial"/>
                <w:b/>
                <w:iCs/>
                <w:lang w:val="en-NZ"/>
              </w:rPr>
              <w:t>Why government intervention is required</w:t>
            </w:r>
          </w:p>
          <w:p w14:paraId="1DE16680" w14:textId="30A6B168" w:rsidR="002E42CF" w:rsidRDefault="002E42CF" w:rsidP="003F36DC">
            <w:pPr>
              <w:jc w:val="both"/>
            </w:pPr>
            <w:r>
              <w:t>One of the responsibilities of the Department of Internal Affairs</w:t>
            </w:r>
            <w:r w:rsidR="009665CD">
              <w:t xml:space="preserve"> (DIA)</w:t>
            </w:r>
            <w:r>
              <w:t xml:space="preserve"> is the issuance of passports and travel documents. The term travel documents</w:t>
            </w:r>
            <w:r w:rsidR="00ED65E3">
              <w:t xml:space="preserve"> </w:t>
            </w:r>
            <w:proofErr w:type="gramStart"/>
            <w:r>
              <w:t>refers</w:t>
            </w:r>
            <w:proofErr w:type="gramEnd"/>
            <w:r>
              <w:t xml:space="preserve"> to refugee travel documents, emergency travel documents and certificates of identity. </w:t>
            </w:r>
          </w:p>
          <w:p w14:paraId="6B25F119" w14:textId="77777777" w:rsidR="002E42CF" w:rsidRDefault="002E42CF" w:rsidP="003F36DC">
            <w:pPr>
              <w:pStyle w:val="Bullet-list"/>
              <w:numPr>
                <w:ilvl w:val="0"/>
                <w:numId w:val="0"/>
              </w:numPr>
              <w:jc w:val="both"/>
            </w:pPr>
            <w:r>
              <w:t xml:space="preserve">Expenses incurred by the Department in the issuance of these documents is met from the fees (revenue) paid by the applicants. These fees are paid into the Passports Memorandum Account (PMA). </w:t>
            </w:r>
          </w:p>
          <w:p w14:paraId="299F398E" w14:textId="50791829" w:rsidR="002E42CF" w:rsidRDefault="002E42CF" w:rsidP="00A161B2">
            <w:pPr>
              <w:pStyle w:val="Bullet-list"/>
              <w:numPr>
                <w:ilvl w:val="0"/>
                <w:numId w:val="0"/>
              </w:numPr>
              <w:jc w:val="both"/>
            </w:pPr>
            <w:r>
              <w:t>DIA has reviewed passport and travel document fees and determined that the revenue based on forecast passport demand will not cover projected costs. The Department forecasts the PMA to fall into a negative balance by June 2022, reaching a negative balance of $36</w:t>
            </w:r>
            <w:r w:rsidR="00D66635">
              <w:t>5.8</w:t>
            </w:r>
            <w:r>
              <w:t>m by 30 June 2037. This is because:</w:t>
            </w:r>
          </w:p>
          <w:p w14:paraId="6B3E1B3E" w14:textId="43A107EA" w:rsidR="00810D3C" w:rsidRDefault="002E42CF" w:rsidP="00810D3C">
            <w:pPr>
              <w:pStyle w:val="Bullet-list"/>
              <w:numPr>
                <w:ilvl w:val="0"/>
                <w:numId w:val="15"/>
              </w:numPr>
              <w:ind w:left="714" w:hanging="357"/>
              <w:jc w:val="both"/>
            </w:pPr>
            <w:r>
              <w:t>fees were set below cost recovery levels</w:t>
            </w:r>
            <w:r w:rsidR="00085E30">
              <w:t xml:space="preserve"> </w:t>
            </w:r>
            <w:proofErr w:type="gramStart"/>
            <w:r w:rsidR="00085E30">
              <w:t>as a result of</w:t>
            </w:r>
            <w:proofErr w:type="gramEnd"/>
            <w:r w:rsidR="00085E30">
              <w:t xml:space="preserve"> 2015 government decisions to return </w:t>
            </w:r>
            <w:r>
              <w:t>the validity of adult passport</w:t>
            </w:r>
            <w:r w:rsidR="00085E30">
              <w:t xml:space="preserve">s </w:t>
            </w:r>
            <w:r>
              <w:t xml:space="preserve">to ten years </w:t>
            </w:r>
            <w:r w:rsidR="00085E30">
              <w:t>and to defer decisions on fee increases until 2018</w:t>
            </w:r>
            <w:r w:rsidR="00EE0AF9">
              <w:t xml:space="preserve"> (CAB-15-MIN-0086)</w:t>
            </w:r>
            <w:r w:rsidR="00810D3C">
              <w:t xml:space="preserve">. The 2015 changes to the validity period of an adult passport also created an ongoing cycle of reduced demand for passports every five years </w:t>
            </w:r>
            <w:proofErr w:type="gramStart"/>
            <w:r w:rsidR="00810D3C">
              <w:t>i.e.</w:t>
            </w:r>
            <w:proofErr w:type="gramEnd"/>
            <w:r w:rsidR="00810D3C">
              <w:t xml:space="preserve"> instead of receiving two adult passports applications over a ten-year period only one application per ten years would be received;  </w:t>
            </w:r>
          </w:p>
          <w:p w14:paraId="437E9C47" w14:textId="77777777" w:rsidR="00810D3C" w:rsidRDefault="00810D3C" w:rsidP="00810D3C">
            <w:pPr>
              <w:pStyle w:val="Bullet-list"/>
              <w:numPr>
                <w:ilvl w:val="0"/>
                <w:numId w:val="0"/>
              </w:numPr>
              <w:ind w:left="357"/>
              <w:jc w:val="both"/>
            </w:pPr>
          </w:p>
          <w:p w14:paraId="3AC01FFB" w14:textId="4E3288C3" w:rsidR="00C96C4F" w:rsidRDefault="000F6464" w:rsidP="00A161B2">
            <w:pPr>
              <w:pStyle w:val="Bullet-list"/>
              <w:numPr>
                <w:ilvl w:val="0"/>
                <w:numId w:val="15"/>
              </w:numPr>
              <w:ind w:left="714" w:hanging="357"/>
              <w:jc w:val="both"/>
            </w:pPr>
            <w:r>
              <w:t xml:space="preserve">the 2018 government decision to approve a 6.10% fee increase and to provide repayable capital injections of between $65-$80m to zero the balance of the PMA did not come fully into effect as the capital injections were planned for the period </w:t>
            </w:r>
            <w:proofErr w:type="gramStart"/>
            <w:r>
              <w:t>2023-26</w:t>
            </w:r>
            <w:r w:rsidR="00810D3C">
              <w:t>;</w:t>
            </w:r>
            <w:proofErr w:type="gramEnd"/>
            <w:r>
              <w:t xml:space="preserve">  </w:t>
            </w:r>
          </w:p>
          <w:p w14:paraId="1BCDD83A" w14:textId="77777777" w:rsidR="002E42CF" w:rsidRDefault="002E42CF" w:rsidP="00A161B2">
            <w:pPr>
              <w:pStyle w:val="Bullet-list"/>
              <w:numPr>
                <w:ilvl w:val="0"/>
                <w:numId w:val="15"/>
              </w:numPr>
              <w:ind w:left="714" w:hanging="357"/>
              <w:jc w:val="both"/>
            </w:pPr>
            <w:r>
              <w:t xml:space="preserve">COVID-19 travel restrictions have significantly reduced demand for passports and travel documents since December 2019.  </w:t>
            </w:r>
          </w:p>
          <w:p w14:paraId="42ECF340" w14:textId="77777777" w:rsidR="002E42CF" w:rsidRPr="00F3582C" w:rsidRDefault="002E42CF" w:rsidP="003F36DC">
            <w:pPr>
              <w:pStyle w:val="Bullet-list"/>
              <w:numPr>
                <w:ilvl w:val="0"/>
                <w:numId w:val="0"/>
              </w:numPr>
              <w:spacing w:after="120"/>
              <w:ind w:left="31" w:hanging="31"/>
              <w:jc w:val="both"/>
              <w:rPr>
                <w:rFonts w:cs="Arial"/>
                <w:b/>
                <w:iCs/>
                <w:lang w:val="en-NZ"/>
              </w:rPr>
            </w:pPr>
            <w:r w:rsidRPr="00F3582C">
              <w:rPr>
                <w:rFonts w:cs="Arial"/>
                <w:b/>
                <w:iCs/>
                <w:lang w:val="en-NZ"/>
              </w:rPr>
              <w:t xml:space="preserve">The number of options considered, noting what the options entail, which (if any) is </w:t>
            </w:r>
            <w:r>
              <w:rPr>
                <w:rFonts w:cs="Arial"/>
                <w:b/>
                <w:iCs/>
                <w:lang w:val="en-NZ"/>
              </w:rPr>
              <w:t>t</w:t>
            </w:r>
            <w:r w:rsidRPr="00F3582C">
              <w:rPr>
                <w:rFonts w:cs="Arial"/>
                <w:b/>
                <w:iCs/>
                <w:lang w:val="en-NZ"/>
              </w:rPr>
              <w:t xml:space="preserve">he agency’s preferred option, and whether it will be reflected in the Cabinet paper; </w:t>
            </w:r>
          </w:p>
          <w:p w14:paraId="5C5035B1" w14:textId="299C6CB6" w:rsidR="002E42CF" w:rsidRDefault="002E42CF" w:rsidP="00A161B2">
            <w:pPr>
              <w:spacing w:after="120"/>
              <w:ind w:right="170"/>
              <w:jc w:val="both"/>
            </w:pPr>
            <w:r>
              <w:t xml:space="preserve">Under Ministerial direction </w:t>
            </w:r>
            <w:r w:rsidR="00F72692">
              <w:t>the Department</w:t>
            </w:r>
            <w:r>
              <w:t xml:space="preserve"> focused on two options to sustainably fund the passport service within full cost recovery settings:</w:t>
            </w:r>
          </w:p>
          <w:p w14:paraId="0C28B7B2" w14:textId="77777777" w:rsidR="002E42CF" w:rsidRDefault="002E42CF" w:rsidP="00A161B2">
            <w:pPr>
              <w:pStyle w:val="Bullet-list"/>
              <w:numPr>
                <w:ilvl w:val="0"/>
                <w:numId w:val="15"/>
              </w:numPr>
              <w:jc w:val="both"/>
            </w:pPr>
            <w:r>
              <w:t xml:space="preserve">Option 1 – Fee increases of approximately 19.37% in 2022, provision of repayable capital injections of $195m over the 2022-35 period and future fee reviews every three years. </w:t>
            </w:r>
          </w:p>
          <w:p w14:paraId="111BECD3" w14:textId="77777777" w:rsidR="002E42CF" w:rsidRPr="00A62DB4" w:rsidRDefault="002E42CF" w:rsidP="00A161B2">
            <w:pPr>
              <w:pStyle w:val="Bullet-list"/>
              <w:numPr>
                <w:ilvl w:val="0"/>
                <w:numId w:val="15"/>
              </w:numPr>
              <w:jc w:val="both"/>
            </w:pPr>
            <w:r>
              <w:t>Option 2 – Fee increases of approximately 3.97% in 2022, 2023, 2024, 2025 and 2026, provision of repayable capital injections of $210.6m over the 2022-35 period and future fee reviews every three years.</w:t>
            </w:r>
          </w:p>
          <w:p w14:paraId="63E1EDDF" w14:textId="7E0E3C4E" w:rsidR="00F578DB" w:rsidRDefault="00F72692" w:rsidP="00A161B2">
            <w:pPr>
              <w:pStyle w:val="Bullet-list"/>
              <w:numPr>
                <w:ilvl w:val="0"/>
                <w:numId w:val="0"/>
              </w:numPr>
              <w:jc w:val="both"/>
            </w:pPr>
            <w:r>
              <w:t>Both</w:t>
            </w:r>
            <w:r w:rsidR="002E42CF">
              <w:t xml:space="preserve"> options assume that 50% of the deferred demand for passports will return over the 2022-25 period </w:t>
            </w:r>
            <w:proofErr w:type="gramStart"/>
            <w:r w:rsidR="002E42CF">
              <w:t>provided that</w:t>
            </w:r>
            <w:proofErr w:type="gramEnd"/>
            <w:r w:rsidR="002E42CF">
              <w:t xml:space="preserve"> border and MIQ settings are unchanged</w:t>
            </w:r>
            <w:r w:rsidR="002B4215">
              <w:t xml:space="preserve"> (from the February 2022 decisions)</w:t>
            </w:r>
            <w:r w:rsidR="002E42CF">
              <w:t>. These two options will be referred to Cabinet</w:t>
            </w:r>
            <w:r w:rsidR="00F578DB">
              <w:t xml:space="preserve"> without a preference being expressed in the </w:t>
            </w:r>
            <w:r w:rsidR="00E26BC5">
              <w:t>recommendations</w:t>
            </w:r>
            <w:r w:rsidR="002A5E16">
              <w:t>.</w:t>
            </w:r>
            <w:r w:rsidR="00E26BC5">
              <w:t xml:space="preserve"> </w:t>
            </w:r>
            <w:r w:rsidR="002A5E16">
              <w:t>Option 1 is the D</w:t>
            </w:r>
            <w:r w:rsidR="00F578DB">
              <w:t xml:space="preserve">epartment’s preferred option </w:t>
            </w:r>
            <w:r w:rsidR="002A5E16">
              <w:t>for the following reasons</w:t>
            </w:r>
            <w:r w:rsidR="00F578DB">
              <w:t>:</w:t>
            </w:r>
          </w:p>
          <w:p w14:paraId="1CED3992" w14:textId="550A92D5" w:rsidR="00F578DB" w:rsidRDefault="00F578DB" w:rsidP="00F578DB">
            <w:pPr>
              <w:pStyle w:val="Bullet-list"/>
              <w:numPr>
                <w:ilvl w:val="0"/>
                <w:numId w:val="24"/>
              </w:numPr>
              <w:jc w:val="both"/>
            </w:pPr>
            <w:r>
              <w:t xml:space="preserve">the overall fee increases </w:t>
            </w:r>
            <w:r w:rsidR="00591A45">
              <w:t>vary slightly across options</w:t>
            </w:r>
            <w:r w:rsidR="00E24F0A">
              <w:t xml:space="preserve">, by </w:t>
            </w:r>
            <w:r w:rsidR="00685B40">
              <w:t>$4 over 5 years based on a standard NZ issued adult passport</w:t>
            </w:r>
            <w:r w:rsidR="00885EE5">
              <w:t xml:space="preserve">, for example the fee for an adult </w:t>
            </w:r>
            <w:r w:rsidR="00E26BC5">
              <w:t>passport increases</w:t>
            </w:r>
            <w:r w:rsidR="00885EE5">
              <w:t xml:space="preserve"> from $191 to $228 in option 1 and in option 2 the fee increases from $191 to $232.</w:t>
            </w:r>
          </w:p>
          <w:p w14:paraId="39E5C6F9" w14:textId="45E6182C" w:rsidR="00F578DB" w:rsidRDefault="00F578DB" w:rsidP="00F578DB">
            <w:pPr>
              <w:pStyle w:val="Bullet-list"/>
              <w:numPr>
                <w:ilvl w:val="0"/>
                <w:numId w:val="24"/>
              </w:numPr>
              <w:jc w:val="both"/>
            </w:pPr>
            <w:r>
              <w:t xml:space="preserve">the total of the </w:t>
            </w:r>
            <w:r w:rsidR="00591A45">
              <w:t xml:space="preserve">repayable </w:t>
            </w:r>
            <w:r>
              <w:t xml:space="preserve">capital injections required </w:t>
            </w:r>
            <w:r w:rsidR="00DE604F">
              <w:t>is</w:t>
            </w:r>
            <w:r>
              <w:t xml:space="preserve"> less</w:t>
            </w:r>
            <w:r w:rsidR="00E24F0A">
              <w:t xml:space="preserve"> by $15.6m</w:t>
            </w:r>
          </w:p>
          <w:p w14:paraId="7759273A" w14:textId="02216923" w:rsidR="002E42CF" w:rsidRDefault="00F578DB" w:rsidP="00E24F0A">
            <w:pPr>
              <w:pStyle w:val="Bullet-list"/>
              <w:numPr>
                <w:ilvl w:val="0"/>
                <w:numId w:val="24"/>
              </w:numPr>
              <w:jc w:val="both"/>
            </w:pPr>
            <w:r>
              <w:t>the option is administratively simpler</w:t>
            </w:r>
            <w:r w:rsidR="00135162">
              <w:t>, in terms of the number of system changes required and in terms of the cost of those changes</w:t>
            </w:r>
            <w:r>
              <w:t xml:space="preserve">.   </w:t>
            </w:r>
            <w:r w:rsidR="002E42CF">
              <w:t xml:space="preserve"> </w:t>
            </w:r>
          </w:p>
          <w:p w14:paraId="3242CE56" w14:textId="77777777" w:rsidR="002E42CF" w:rsidRDefault="002E42CF" w:rsidP="00A161B2">
            <w:pPr>
              <w:pStyle w:val="Bullet-list"/>
              <w:numPr>
                <w:ilvl w:val="0"/>
                <w:numId w:val="0"/>
              </w:numPr>
              <w:jc w:val="both"/>
            </w:pPr>
            <w:r>
              <w:t xml:space="preserve">It is proposed that the fee increase will take effect in mid-2022 through an amendment to the Passport (Fees) Regulations 2015.     </w:t>
            </w:r>
          </w:p>
          <w:p w14:paraId="47F2933B" w14:textId="4F2B0E84" w:rsidR="002E42CF" w:rsidRPr="00A864A5" w:rsidRDefault="002E42CF" w:rsidP="00B04C0B">
            <w:pPr>
              <w:pStyle w:val="Bullet-list"/>
              <w:numPr>
                <w:ilvl w:val="0"/>
                <w:numId w:val="0"/>
              </w:numPr>
              <w:spacing w:after="120"/>
              <w:rPr>
                <w:rFonts w:cs="Arial"/>
                <w:i/>
                <w:iCs/>
                <w:lang w:val="en-NZ"/>
              </w:rPr>
            </w:pPr>
            <w:r w:rsidRPr="00E54308">
              <w:rPr>
                <w:rFonts w:cs="Arial"/>
                <w:b/>
                <w:iCs/>
                <w:lang w:val="en-NZ"/>
              </w:rPr>
              <w:t>The potential impact of the preferred option, including the costs, benefits, risks, and risk mitigations of the proposal, and the nature of impacts on different population groups</w:t>
            </w:r>
          </w:p>
          <w:p w14:paraId="40071E0B" w14:textId="366A0200" w:rsidR="002E42CF" w:rsidRPr="00E173DC" w:rsidRDefault="002E42CF" w:rsidP="00B04C0B">
            <w:pPr>
              <w:pStyle w:val="Numberedpara3level1"/>
              <w:keepLines/>
              <w:spacing w:before="0" w:line="280" w:lineRule="atLeast"/>
              <w:jc w:val="both"/>
              <w:rPr>
                <w:rFonts w:ascii="Arial" w:hAnsi="Arial" w:cs="Arial"/>
                <w:sz w:val="22"/>
                <w:szCs w:val="22"/>
              </w:rPr>
            </w:pPr>
            <w:r w:rsidRPr="00E173DC">
              <w:rPr>
                <w:rFonts w:ascii="Arial" w:hAnsi="Arial" w:cs="Arial"/>
                <w:sz w:val="22"/>
                <w:szCs w:val="22"/>
              </w:rPr>
              <w:t xml:space="preserve">The </w:t>
            </w:r>
            <w:r>
              <w:rPr>
                <w:rFonts w:ascii="Arial" w:hAnsi="Arial" w:cs="Arial"/>
                <w:sz w:val="22"/>
                <w:szCs w:val="22"/>
              </w:rPr>
              <w:t xml:space="preserve">fee </w:t>
            </w:r>
            <w:r w:rsidRPr="00E173DC">
              <w:rPr>
                <w:rFonts w:ascii="Arial" w:hAnsi="Arial" w:cs="Arial"/>
                <w:sz w:val="22"/>
                <w:szCs w:val="22"/>
              </w:rPr>
              <w:t xml:space="preserve">increases will increase the cost of travel documents and services evenly </w:t>
            </w:r>
            <w:r>
              <w:rPr>
                <w:rFonts w:ascii="Arial" w:hAnsi="Arial" w:cs="Arial"/>
                <w:sz w:val="22"/>
                <w:szCs w:val="22"/>
              </w:rPr>
              <w:t xml:space="preserve">for </w:t>
            </w:r>
            <w:r w:rsidRPr="00E173DC">
              <w:rPr>
                <w:rFonts w:ascii="Arial" w:hAnsi="Arial" w:cs="Arial"/>
                <w:sz w:val="22"/>
                <w:szCs w:val="22"/>
              </w:rPr>
              <w:t>all population groups. The increases will have an impact on family groups wishing to travel overseas where family members do not have a current passport</w:t>
            </w:r>
            <w:r>
              <w:rPr>
                <w:rFonts w:ascii="Arial" w:hAnsi="Arial" w:cs="Arial"/>
                <w:sz w:val="22"/>
                <w:szCs w:val="22"/>
              </w:rPr>
              <w:t xml:space="preserve"> and will have a disproportionate impact on </w:t>
            </w:r>
            <w:r w:rsidR="00F72692">
              <w:rPr>
                <w:rFonts w:ascii="Arial" w:hAnsi="Arial" w:cs="Arial"/>
                <w:sz w:val="22"/>
                <w:szCs w:val="22"/>
              </w:rPr>
              <w:t>low-income</w:t>
            </w:r>
            <w:r>
              <w:rPr>
                <w:rFonts w:ascii="Arial" w:hAnsi="Arial" w:cs="Arial"/>
                <w:sz w:val="22"/>
                <w:szCs w:val="22"/>
              </w:rPr>
              <w:t xml:space="preserve"> families as the fees will represent a greater proportion of their expenses</w:t>
            </w:r>
            <w:r w:rsidRPr="00E173DC">
              <w:rPr>
                <w:rFonts w:ascii="Arial" w:hAnsi="Arial" w:cs="Arial"/>
                <w:sz w:val="22"/>
                <w:szCs w:val="22"/>
              </w:rPr>
              <w:t xml:space="preserve">. </w:t>
            </w:r>
            <w:r>
              <w:rPr>
                <w:rFonts w:ascii="Arial" w:hAnsi="Arial" w:cs="Arial"/>
                <w:sz w:val="22"/>
                <w:szCs w:val="22"/>
              </w:rPr>
              <w:t>Notwithstanding this</w:t>
            </w:r>
            <w:r w:rsidR="00F72692">
              <w:rPr>
                <w:rFonts w:ascii="Arial" w:hAnsi="Arial" w:cs="Arial"/>
                <w:sz w:val="22"/>
                <w:szCs w:val="22"/>
              </w:rPr>
              <w:t>,</w:t>
            </w:r>
            <w:r>
              <w:rPr>
                <w:rFonts w:ascii="Arial" w:hAnsi="Arial" w:cs="Arial"/>
                <w:sz w:val="22"/>
                <w:szCs w:val="22"/>
              </w:rPr>
              <w:t xml:space="preserve"> the cost of passports is not a significant factor in the overall costs of overseas travel. </w:t>
            </w:r>
            <w:r w:rsidRPr="00E173DC">
              <w:rPr>
                <w:rFonts w:ascii="Arial" w:hAnsi="Arial" w:cs="Arial"/>
                <w:sz w:val="22"/>
                <w:szCs w:val="22"/>
              </w:rPr>
              <w:t xml:space="preserve"> </w:t>
            </w:r>
          </w:p>
          <w:p w14:paraId="6C185D24" w14:textId="2AA79980" w:rsidR="002E42CF" w:rsidRPr="00FA0C5C" w:rsidRDefault="002E42CF" w:rsidP="00B04C0B">
            <w:pPr>
              <w:pStyle w:val="Numberedpara3level1"/>
              <w:keepLines/>
              <w:spacing w:before="0" w:line="280" w:lineRule="atLeast"/>
              <w:jc w:val="both"/>
              <w:rPr>
                <w:rFonts w:ascii="Arial" w:hAnsi="Arial" w:cs="Arial"/>
                <w:sz w:val="22"/>
                <w:szCs w:val="22"/>
              </w:rPr>
            </w:pPr>
            <w:r w:rsidRPr="00DA7BC4">
              <w:rPr>
                <w:rFonts w:ascii="Arial" w:hAnsi="Arial" w:cs="Arial"/>
                <w:sz w:val="22"/>
                <w:szCs w:val="22"/>
              </w:rPr>
              <w:lastRenderedPageBreak/>
              <w:t>Some individuals who cannot obtain a driver licen</w:t>
            </w:r>
            <w:r w:rsidR="00DE604F">
              <w:rPr>
                <w:rFonts w:ascii="Arial" w:hAnsi="Arial" w:cs="Arial"/>
                <w:sz w:val="22"/>
                <w:szCs w:val="22"/>
              </w:rPr>
              <w:t>c</w:t>
            </w:r>
            <w:r w:rsidRPr="00DA7BC4">
              <w:rPr>
                <w:rFonts w:ascii="Arial" w:hAnsi="Arial" w:cs="Arial"/>
                <w:sz w:val="22"/>
                <w:szCs w:val="22"/>
              </w:rPr>
              <w:t xml:space="preserve">e may obtain a passport purely for domestic identification purposes. The proposed passport and travel document fees changes would increase the cost of obtaining photographic identification for such individuals.  Other groups that rely on passport and travel documents for identification, such as seniors, may </w:t>
            </w:r>
            <w:r w:rsidRPr="00FA0C5C">
              <w:rPr>
                <w:rFonts w:ascii="Arial" w:hAnsi="Arial" w:cs="Arial"/>
                <w:sz w:val="22"/>
                <w:szCs w:val="22"/>
              </w:rPr>
              <w:t xml:space="preserve">also be impacted.      </w:t>
            </w:r>
          </w:p>
          <w:p w14:paraId="7DBA236A" w14:textId="77777777" w:rsidR="002E42CF" w:rsidRPr="00F03BDD" w:rsidRDefault="002E42CF" w:rsidP="00B04C0B">
            <w:pPr>
              <w:rPr>
                <w:b/>
                <w:lang w:val="en-NZ"/>
              </w:rPr>
            </w:pPr>
            <w:r w:rsidRPr="00F03BDD">
              <w:rPr>
                <w:rFonts w:cs="Arial"/>
                <w:b/>
                <w:iCs/>
                <w:lang w:val="en-NZ"/>
              </w:rPr>
              <w:t xml:space="preserve">What stakeholders and the </w:t>
            </w:r>
            <w:proofErr w:type="gramStart"/>
            <w:r w:rsidRPr="00F03BDD">
              <w:rPr>
                <w:rFonts w:cs="Arial"/>
                <w:b/>
                <w:iCs/>
                <w:lang w:val="en-NZ"/>
              </w:rPr>
              <w:t>general public</w:t>
            </w:r>
            <w:proofErr w:type="gramEnd"/>
            <w:r w:rsidRPr="00F03BDD">
              <w:rPr>
                <w:rFonts w:cs="Arial"/>
                <w:b/>
                <w:iCs/>
                <w:lang w:val="en-NZ"/>
              </w:rPr>
              <w:t xml:space="preserve"> think – are there any significant divergences in their views that should be brought to Ministers’ attention?</w:t>
            </w:r>
          </w:p>
          <w:p w14:paraId="68ED84BA" w14:textId="7167589E" w:rsidR="002E42CF" w:rsidRPr="00F03BDD" w:rsidRDefault="002E42CF" w:rsidP="00B04C0B">
            <w:pPr>
              <w:pStyle w:val="Bullet-list"/>
              <w:numPr>
                <w:ilvl w:val="0"/>
                <w:numId w:val="0"/>
              </w:numPr>
              <w:jc w:val="both"/>
            </w:pPr>
            <w:r>
              <w:t xml:space="preserve">The public was not consulted regarding the fees increase </w:t>
            </w:r>
            <w:r w:rsidRPr="00380130">
              <w:t xml:space="preserve">as the passport service is based on a cost recovery model (including repayable capital injections) and changes to that model are outside of the scope of these proposals. Additionally, DIA is not proposing any change to passport services. </w:t>
            </w:r>
            <w:r w:rsidR="003F36DC">
              <w:t xml:space="preserve">The Department is also concerned that any indication that fees would increase would result in a significant increase in the volume of applications prior to the increase taking effect, as has </w:t>
            </w:r>
            <w:r w:rsidR="001E3088">
              <w:t xml:space="preserve">occurred </w:t>
            </w:r>
            <w:r w:rsidR="003F36DC">
              <w:t xml:space="preserve">in the past.  </w:t>
            </w:r>
            <w:r w:rsidRPr="00380130">
              <w:t xml:space="preserve"> </w:t>
            </w:r>
            <w:r>
              <w:t xml:space="preserve"> </w:t>
            </w:r>
            <w:r w:rsidRPr="00A864A5">
              <w:rPr>
                <w:lang w:val="en-NZ"/>
              </w:rPr>
              <w:tab/>
            </w:r>
          </w:p>
        </w:tc>
      </w:tr>
      <w:tr w:rsidR="002E42CF" w:rsidRPr="00A864A5" w14:paraId="0EB81D6D" w14:textId="77777777" w:rsidTr="00B04C0B">
        <w:tc>
          <w:tcPr>
            <w:tcW w:w="5000" w:type="pct"/>
            <w:gridSpan w:val="2"/>
            <w:tcBorders>
              <w:bottom w:val="single" w:sz="4" w:space="0" w:color="DDDDDD"/>
            </w:tcBorders>
            <w:shd w:val="clear" w:color="auto" w:fill="99CDDD"/>
            <w:hideMark/>
          </w:tcPr>
          <w:p w14:paraId="42A6A942" w14:textId="77777777" w:rsidR="002E42CF" w:rsidRPr="00A864A5" w:rsidRDefault="002E42CF" w:rsidP="00B04C0B">
            <w:pPr>
              <w:pStyle w:val="TableHeadings"/>
              <w:rPr>
                <w:color w:val="002060"/>
                <w:szCs w:val="22"/>
                <w:lang w:val="en-NZ"/>
              </w:rPr>
            </w:pPr>
            <w:r w:rsidRPr="00A864A5">
              <w:rPr>
                <w:szCs w:val="22"/>
                <w:lang w:val="en-NZ"/>
              </w:rPr>
              <w:lastRenderedPageBreak/>
              <w:t xml:space="preserve">Limitations </w:t>
            </w:r>
            <w:r>
              <w:rPr>
                <w:szCs w:val="22"/>
                <w:lang w:val="en-NZ"/>
              </w:rPr>
              <w:t>and</w:t>
            </w:r>
            <w:r w:rsidRPr="00A864A5">
              <w:rPr>
                <w:szCs w:val="22"/>
                <w:lang w:val="en-NZ"/>
              </w:rPr>
              <w:t xml:space="preserve"> Constraints on Analysis</w:t>
            </w:r>
          </w:p>
        </w:tc>
      </w:tr>
      <w:tr w:rsidR="002E42CF" w:rsidRPr="00A864A5" w14:paraId="69890151" w14:textId="77777777" w:rsidTr="00B04C0B">
        <w:trPr>
          <w:trHeight w:val="978"/>
        </w:trPr>
        <w:tc>
          <w:tcPr>
            <w:tcW w:w="5000" w:type="pct"/>
            <w:gridSpan w:val="2"/>
            <w:tcBorders>
              <w:top w:val="nil"/>
            </w:tcBorders>
            <w:shd w:val="clear" w:color="auto" w:fill="auto"/>
          </w:tcPr>
          <w:p w14:paraId="484D86E9" w14:textId="1BDB7D5D" w:rsidR="002E42CF" w:rsidRDefault="002E42CF" w:rsidP="00B04C0B">
            <w:pPr>
              <w:pStyle w:val="Bullet-list"/>
              <w:numPr>
                <w:ilvl w:val="0"/>
                <w:numId w:val="0"/>
              </w:numPr>
              <w:spacing w:after="120"/>
              <w:rPr>
                <w:b/>
                <w:iCs/>
                <w:lang w:val="en-NZ"/>
              </w:rPr>
            </w:pPr>
            <w:r w:rsidRPr="00F03BDD">
              <w:rPr>
                <w:b/>
                <w:iCs/>
                <w:lang w:val="en-NZ"/>
              </w:rPr>
              <w:t xml:space="preserve">Were there any constraints or limitations imposed by Ministers’ commissioning, </w:t>
            </w:r>
            <w:proofErr w:type="spellStart"/>
            <w:r w:rsidRPr="00F03BDD">
              <w:rPr>
                <w:b/>
                <w:iCs/>
                <w:lang w:val="en-NZ"/>
              </w:rPr>
              <w:t>e</w:t>
            </w:r>
            <w:r w:rsidR="00F72692">
              <w:rPr>
                <w:b/>
                <w:iCs/>
                <w:lang w:val="en-NZ"/>
              </w:rPr>
              <w:t>.</w:t>
            </w:r>
            <w:r w:rsidRPr="00F03BDD">
              <w:rPr>
                <w:b/>
                <w:iCs/>
                <w:lang w:val="en-NZ"/>
              </w:rPr>
              <w:t>g</w:t>
            </w:r>
            <w:proofErr w:type="spellEnd"/>
            <w:r w:rsidRPr="00F03BDD">
              <w:rPr>
                <w:b/>
                <w:iCs/>
                <w:lang w:val="en-NZ"/>
              </w:rPr>
              <w:t>, narrowing the scope of options to be considered or the timeframes this proposal had to be developed under?</w:t>
            </w:r>
          </w:p>
          <w:p w14:paraId="0061D5C8" w14:textId="557AABA7" w:rsidR="003F36DC" w:rsidRDefault="003F36DC" w:rsidP="00B04C0B">
            <w:pPr>
              <w:spacing w:after="120"/>
              <w:ind w:right="170"/>
              <w:jc w:val="both"/>
            </w:pPr>
            <w:r>
              <w:t xml:space="preserve">The </w:t>
            </w:r>
            <w:r w:rsidR="00660777">
              <w:t>fee review was not directly commissioned by Ministers. The Department’s policy</w:t>
            </w:r>
            <w:r w:rsidR="00F578DB">
              <w:t xml:space="preserve">, which is in accordance with the Treasury guidelines for cost recovery, is to review fees every three years. </w:t>
            </w:r>
            <w:r w:rsidR="00660777">
              <w:t xml:space="preserve"> </w:t>
            </w:r>
          </w:p>
          <w:p w14:paraId="613D67D8" w14:textId="422FBCD6" w:rsidR="002E42CF" w:rsidRDefault="002E42CF" w:rsidP="00B04C0B">
            <w:pPr>
              <w:spacing w:after="120"/>
              <w:ind w:right="170"/>
              <w:jc w:val="both"/>
            </w:pPr>
            <w:r>
              <w:t xml:space="preserve">Three options were initially developed by the Department and were referred to the Minister of Internal Affairs on or about 3 September 2021 for discussion with officials. </w:t>
            </w:r>
            <w:proofErr w:type="gramStart"/>
            <w:r w:rsidR="002A5E16">
              <w:t>Subsequent to</w:t>
            </w:r>
            <w:proofErr w:type="gramEnd"/>
            <w:r w:rsidR="002A5E16">
              <w:t xml:space="preserve"> this t</w:t>
            </w:r>
            <w:r>
              <w:t xml:space="preserve">he Minister requested the Department prepare two options providing for full cost recovery for referral to GOV, one option to provide a fee increase in 2022 and the other with annual increases over the next 5 years.  </w:t>
            </w:r>
          </w:p>
          <w:p w14:paraId="0BC5A316" w14:textId="77777777" w:rsidR="002E42CF" w:rsidRDefault="002E42CF" w:rsidP="00B04C0B">
            <w:pPr>
              <w:pStyle w:val="Bullet-list"/>
              <w:numPr>
                <w:ilvl w:val="0"/>
                <w:numId w:val="0"/>
              </w:numPr>
              <w:spacing w:after="120"/>
              <w:rPr>
                <w:rFonts w:cs="Arial"/>
                <w:b/>
                <w:iCs/>
                <w:lang w:val="en-NZ"/>
              </w:rPr>
            </w:pPr>
            <w:r w:rsidRPr="00DF0A9B">
              <w:rPr>
                <w:rFonts w:cs="Arial"/>
                <w:b/>
                <w:iCs/>
                <w:lang w:val="en-NZ"/>
              </w:rPr>
              <w:t>Were the problem definition or the options considered somehow limited by other factors, e.g., by prior legislative or policy decisions?</w:t>
            </w:r>
          </w:p>
          <w:p w14:paraId="380E3FC3" w14:textId="2F394759" w:rsidR="002E42CF" w:rsidRDefault="002E42CF" w:rsidP="00B04C0B">
            <w:pPr>
              <w:pStyle w:val="Bullet-list"/>
              <w:numPr>
                <w:ilvl w:val="0"/>
                <w:numId w:val="0"/>
              </w:numPr>
              <w:spacing w:after="120"/>
              <w:jc w:val="both"/>
              <w:rPr>
                <w:rFonts w:cs="Arial"/>
                <w:iCs/>
                <w:lang w:val="en-NZ"/>
              </w:rPr>
            </w:pPr>
            <w:r>
              <w:rPr>
                <w:rFonts w:cs="Arial"/>
                <w:iCs/>
                <w:lang w:val="en-NZ"/>
              </w:rPr>
              <w:t xml:space="preserve">In 2005 </w:t>
            </w:r>
            <w:r w:rsidR="00F32627">
              <w:rPr>
                <w:rFonts w:cs="Arial"/>
                <w:iCs/>
                <w:lang w:val="en-NZ"/>
              </w:rPr>
              <w:t>the Government agree</w:t>
            </w:r>
            <w:r w:rsidR="00232086">
              <w:rPr>
                <w:rFonts w:cs="Arial"/>
                <w:iCs/>
                <w:lang w:val="en-NZ"/>
              </w:rPr>
              <w:t>d</w:t>
            </w:r>
            <w:r w:rsidR="00F32627">
              <w:rPr>
                <w:rFonts w:cs="Arial"/>
                <w:iCs/>
                <w:lang w:val="en-NZ"/>
              </w:rPr>
              <w:t xml:space="preserve"> to reduce </w:t>
            </w:r>
            <w:r>
              <w:rPr>
                <w:rFonts w:cs="Arial"/>
                <w:iCs/>
                <w:lang w:val="en-NZ"/>
              </w:rPr>
              <w:t xml:space="preserve">the period of validity of an adult passport </w:t>
            </w:r>
            <w:r w:rsidR="00F32627">
              <w:rPr>
                <w:rFonts w:cs="Arial"/>
                <w:iCs/>
                <w:lang w:val="en-NZ"/>
              </w:rPr>
              <w:t xml:space="preserve">from </w:t>
            </w:r>
            <w:r w:rsidR="00ED65E3">
              <w:rPr>
                <w:rFonts w:cs="Arial"/>
                <w:iCs/>
                <w:lang w:val="en-NZ"/>
              </w:rPr>
              <w:t>ten</w:t>
            </w:r>
            <w:r>
              <w:rPr>
                <w:rFonts w:cs="Arial"/>
                <w:iCs/>
                <w:lang w:val="en-NZ"/>
              </w:rPr>
              <w:t xml:space="preserve"> years to </w:t>
            </w:r>
            <w:r w:rsidR="00ED65E3">
              <w:rPr>
                <w:rFonts w:cs="Arial"/>
                <w:iCs/>
                <w:lang w:val="en-NZ"/>
              </w:rPr>
              <w:t>five</w:t>
            </w:r>
            <w:r>
              <w:rPr>
                <w:rFonts w:cs="Arial"/>
                <w:iCs/>
                <w:lang w:val="en-NZ"/>
              </w:rPr>
              <w:t xml:space="preserve"> years </w:t>
            </w:r>
            <w:proofErr w:type="gramStart"/>
            <w:r w:rsidR="00F32627">
              <w:rPr>
                <w:rFonts w:cs="Arial"/>
                <w:iCs/>
                <w:lang w:val="en-NZ"/>
              </w:rPr>
              <w:t xml:space="preserve">in order </w:t>
            </w:r>
            <w:r>
              <w:rPr>
                <w:rFonts w:cs="Arial"/>
                <w:iCs/>
                <w:lang w:val="en-NZ"/>
              </w:rPr>
              <w:t>to</w:t>
            </w:r>
            <w:proofErr w:type="gramEnd"/>
            <w:r>
              <w:rPr>
                <w:rFonts w:cs="Arial"/>
                <w:iCs/>
                <w:lang w:val="en-NZ"/>
              </w:rPr>
              <w:t xml:space="preserve"> meet the need for tighter border control and security following the 2001 terrorist attacks on the World Trade Centre and the Pentagon. In 2012</w:t>
            </w:r>
            <w:r w:rsidR="00ED65E3">
              <w:rPr>
                <w:rFonts w:cs="Arial"/>
                <w:iCs/>
                <w:lang w:val="en-NZ"/>
              </w:rPr>
              <w:t xml:space="preserve">, a further decision was made by Government to reduce </w:t>
            </w:r>
            <w:r>
              <w:rPr>
                <w:rFonts w:cs="Arial"/>
                <w:iCs/>
                <w:lang w:val="en-NZ"/>
              </w:rPr>
              <w:t xml:space="preserve">passport fees by 19% </w:t>
            </w:r>
            <w:proofErr w:type="gramStart"/>
            <w:r w:rsidR="00ED65E3">
              <w:rPr>
                <w:rFonts w:cs="Arial"/>
                <w:iCs/>
                <w:lang w:val="en-NZ"/>
              </w:rPr>
              <w:t xml:space="preserve">in order </w:t>
            </w:r>
            <w:r>
              <w:rPr>
                <w:rFonts w:cs="Arial"/>
                <w:iCs/>
                <w:lang w:val="en-NZ"/>
              </w:rPr>
              <w:t>to</w:t>
            </w:r>
            <w:proofErr w:type="gramEnd"/>
            <w:r>
              <w:rPr>
                <w:rFonts w:cs="Arial"/>
                <w:iCs/>
                <w:lang w:val="en-NZ"/>
              </w:rPr>
              <w:t xml:space="preserve"> absorb a surplus balance in the PMA of $27.7m.</w:t>
            </w:r>
          </w:p>
          <w:p w14:paraId="15B0DB3B" w14:textId="428E0A64" w:rsidR="002E42CF" w:rsidRDefault="002E42CF" w:rsidP="00B04C0B">
            <w:pPr>
              <w:pStyle w:val="Bullet-list"/>
              <w:numPr>
                <w:ilvl w:val="0"/>
                <w:numId w:val="0"/>
              </w:numPr>
              <w:spacing w:after="120"/>
              <w:jc w:val="both"/>
              <w:rPr>
                <w:rFonts w:cs="Arial"/>
                <w:iCs/>
                <w:lang w:val="en-NZ"/>
              </w:rPr>
            </w:pPr>
            <w:r>
              <w:rPr>
                <w:rFonts w:cs="Arial"/>
                <w:iCs/>
                <w:lang w:val="en-NZ"/>
              </w:rPr>
              <w:t>In 2015</w:t>
            </w:r>
            <w:r w:rsidR="00E57C50">
              <w:rPr>
                <w:rStyle w:val="FootnoteReference"/>
                <w:rFonts w:cs="Arial"/>
                <w:iCs/>
                <w:lang w:val="en-NZ"/>
              </w:rPr>
              <w:footnoteReference w:id="2"/>
            </w:r>
            <w:r w:rsidR="00ED65E3">
              <w:rPr>
                <w:rFonts w:cs="Arial"/>
                <w:iCs/>
                <w:lang w:val="en-NZ"/>
              </w:rPr>
              <w:t xml:space="preserve"> Government agreed to return </w:t>
            </w:r>
            <w:r>
              <w:rPr>
                <w:rFonts w:cs="Arial"/>
                <w:iCs/>
                <w:lang w:val="en-NZ"/>
              </w:rPr>
              <w:t xml:space="preserve">the period of validity of an adult passport </w:t>
            </w:r>
            <w:r w:rsidR="00ED65E3">
              <w:rPr>
                <w:rFonts w:cs="Arial"/>
                <w:iCs/>
                <w:lang w:val="en-NZ"/>
              </w:rPr>
              <w:t>to ten</w:t>
            </w:r>
            <w:r>
              <w:rPr>
                <w:rFonts w:cs="Arial"/>
                <w:iCs/>
                <w:lang w:val="en-NZ"/>
              </w:rPr>
              <w:t xml:space="preserve"> years. At this </w:t>
            </w:r>
            <w:r w:rsidR="00ED65E3">
              <w:rPr>
                <w:rFonts w:cs="Arial"/>
                <w:iCs/>
                <w:lang w:val="en-NZ"/>
              </w:rPr>
              <w:t>time,</w:t>
            </w:r>
            <w:r>
              <w:rPr>
                <w:rFonts w:cs="Arial"/>
                <w:iCs/>
                <w:lang w:val="en-NZ"/>
              </w:rPr>
              <w:t xml:space="preserve"> it was estimated </w:t>
            </w:r>
            <w:r w:rsidR="00ED65E3">
              <w:rPr>
                <w:rFonts w:cs="Arial"/>
                <w:iCs/>
                <w:lang w:val="en-NZ"/>
              </w:rPr>
              <w:t xml:space="preserve">by the Department </w:t>
            </w:r>
            <w:r>
              <w:rPr>
                <w:rFonts w:cs="Arial"/>
                <w:iCs/>
                <w:lang w:val="en-NZ"/>
              </w:rPr>
              <w:t xml:space="preserve">that a </w:t>
            </w:r>
            <w:r w:rsidR="00F72692">
              <w:rPr>
                <w:rFonts w:cs="Arial"/>
                <w:iCs/>
                <w:lang w:val="en-NZ"/>
              </w:rPr>
              <w:t>fee</w:t>
            </w:r>
            <w:r>
              <w:rPr>
                <w:rFonts w:cs="Arial"/>
                <w:iCs/>
                <w:lang w:val="en-NZ"/>
              </w:rPr>
              <w:t xml:space="preserve"> </w:t>
            </w:r>
            <w:proofErr w:type="gramStart"/>
            <w:r>
              <w:rPr>
                <w:rFonts w:cs="Arial"/>
                <w:iCs/>
                <w:lang w:val="en-NZ"/>
              </w:rPr>
              <w:t>increase</w:t>
            </w:r>
            <w:proofErr w:type="gramEnd"/>
            <w:r>
              <w:rPr>
                <w:rFonts w:cs="Arial"/>
                <w:iCs/>
                <w:lang w:val="en-NZ"/>
              </w:rPr>
              <w:t xml:space="preserve"> of 30% w</w:t>
            </w:r>
            <w:r w:rsidR="00ED65E3">
              <w:rPr>
                <w:rFonts w:cs="Arial"/>
                <w:iCs/>
                <w:lang w:val="en-NZ"/>
              </w:rPr>
              <w:t xml:space="preserve">ould be </w:t>
            </w:r>
            <w:r>
              <w:rPr>
                <w:rFonts w:cs="Arial"/>
                <w:iCs/>
                <w:lang w:val="en-NZ"/>
              </w:rPr>
              <w:t>required to prevent the PMA from moving</w:t>
            </w:r>
            <w:r w:rsidR="00E26BC5">
              <w:rPr>
                <w:rFonts w:cs="Arial"/>
                <w:iCs/>
                <w:lang w:val="en-NZ"/>
              </w:rPr>
              <w:t xml:space="preserve"> into </w:t>
            </w:r>
            <w:r>
              <w:rPr>
                <w:rFonts w:cs="Arial"/>
                <w:iCs/>
                <w:lang w:val="en-NZ"/>
              </w:rPr>
              <w:t xml:space="preserve">deficit. Cabinet noted that the increase in the period of adult passport validity would create a 5 yearly cyclical pattern of reduced demand and directed the Department to report back within </w:t>
            </w:r>
            <w:r w:rsidR="00F72692">
              <w:rPr>
                <w:rFonts w:cs="Arial"/>
                <w:iCs/>
                <w:lang w:val="en-NZ"/>
              </w:rPr>
              <w:t>three</w:t>
            </w:r>
            <w:r>
              <w:rPr>
                <w:rFonts w:cs="Arial"/>
                <w:iCs/>
                <w:lang w:val="en-NZ"/>
              </w:rPr>
              <w:t xml:space="preserve"> years. Th</w:t>
            </w:r>
            <w:r w:rsidR="00ED65E3">
              <w:rPr>
                <w:rFonts w:cs="Arial"/>
                <w:iCs/>
                <w:lang w:val="en-NZ"/>
              </w:rPr>
              <w:t>e decision not to increase fees</w:t>
            </w:r>
            <w:r w:rsidR="006119BA">
              <w:rPr>
                <w:rFonts w:cs="Arial"/>
                <w:iCs/>
                <w:lang w:val="en-NZ"/>
              </w:rPr>
              <w:t xml:space="preserve"> to </w:t>
            </w:r>
            <w:r w:rsidR="006D72BB">
              <w:rPr>
                <w:rFonts w:cs="Arial"/>
                <w:iCs/>
                <w:lang w:val="en-NZ"/>
              </w:rPr>
              <w:t>maintain cost recovery</w:t>
            </w:r>
            <w:r w:rsidR="00ED65E3">
              <w:rPr>
                <w:rFonts w:cs="Arial"/>
                <w:iCs/>
                <w:lang w:val="en-NZ"/>
              </w:rPr>
              <w:t xml:space="preserve"> </w:t>
            </w:r>
            <w:r>
              <w:rPr>
                <w:rFonts w:cs="Arial"/>
                <w:iCs/>
                <w:lang w:val="en-NZ"/>
              </w:rPr>
              <w:t>effectively delinked fees from the cost of production.</w:t>
            </w:r>
          </w:p>
          <w:p w14:paraId="3CD73389" w14:textId="30C7B512" w:rsidR="002E42CF" w:rsidRDefault="002E42CF" w:rsidP="00B04C0B">
            <w:pPr>
              <w:pStyle w:val="Bullet-list"/>
              <w:numPr>
                <w:ilvl w:val="0"/>
                <w:numId w:val="0"/>
              </w:numPr>
              <w:spacing w:after="120"/>
              <w:jc w:val="both"/>
              <w:rPr>
                <w:iCs/>
                <w:lang w:val="en-NZ"/>
              </w:rPr>
            </w:pPr>
            <w:r>
              <w:rPr>
                <w:iCs/>
                <w:lang w:val="en-NZ"/>
              </w:rPr>
              <w:t>For the 2018 Fee Review</w:t>
            </w:r>
            <w:r w:rsidR="00E57C50">
              <w:rPr>
                <w:rStyle w:val="FootnoteReference"/>
                <w:iCs/>
                <w:lang w:val="en-NZ"/>
              </w:rPr>
              <w:footnoteReference w:id="3"/>
            </w:r>
            <w:r>
              <w:rPr>
                <w:iCs/>
                <w:lang w:val="en-NZ"/>
              </w:rPr>
              <w:t xml:space="preserve"> the Department reported to Government that </w:t>
            </w:r>
            <w:proofErr w:type="gramStart"/>
            <w:r>
              <w:rPr>
                <w:iCs/>
                <w:lang w:val="en-NZ"/>
              </w:rPr>
              <w:t>as a result of</w:t>
            </w:r>
            <w:proofErr w:type="gramEnd"/>
            <w:r>
              <w:rPr>
                <w:iCs/>
                <w:lang w:val="en-NZ"/>
              </w:rPr>
              <w:t xml:space="preserve"> the 2015 decisions a deficit of $111m would arise in the PMA by June 2029.  Government approved a 6.10% fee increase and agreed to provide repayable capital injections of $65-$80m over the 2023-26 period to address the forecasted deficit and to return to full cost recovery. </w:t>
            </w:r>
            <w:r w:rsidR="00C902DA">
              <w:rPr>
                <w:iCs/>
                <w:lang w:val="en-NZ"/>
              </w:rPr>
              <w:t xml:space="preserve">A further 6.10% fee increase </w:t>
            </w:r>
            <w:r w:rsidR="003E5D09">
              <w:rPr>
                <w:iCs/>
                <w:lang w:val="en-NZ"/>
              </w:rPr>
              <w:t xml:space="preserve">would have been required in 2021/22, dependent on </w:t>
            </w:r>
            <w:r w:rsidR="003E5D09">
              <w:rPr>
                <w:iCs/>
                <w:lang w:val="en-NZ"/>
              </w:rPr>
              <w:lastRenderedPageBreak/>
              <w:t>current forecasts and Government approval.</w:t>
            </w:r>
            <w:r w:rsidR="00F72692">
              <w:rPr>
                <w:iCs/>
                <w:lang w:val="en-NZ"/>
              </w:rPr>
              <w:t xml:space="preserve"> </w:t>
            </w:r>
            <w:r>
              <w:rPr>
                <w:iCs/>
                <w:lang w:val="en-NZ"/>
              </w:rPr>
              <w:t xml:space="preserve">The </w:t>
            </w:r>
            <w:r w:rsidR="003E5D09">
              <w:rPr>
                <w:iCs/>
                <w:lang w:val="en-NZ"/>
              </w:rPr>
              <w:t xml:space="preserve">capital </w:t>
            </w:r>
            <w:r>
              <w:rPr>
                <w:iCs/>
                <w:lang w:val="en-NZ"/>
              </w:rPr>
              <w:t>injections have not been drawn down.</w:t>
            </w:r>
          </w:p>
          <w:p w14:paraId="3C251BA2" w14:textId="596EDF2A" w:rsidR="00F578DB" w:rsidRDefault="00F578DB" w:rsidP="00B04C0B">
            <w:pPr>
              <w:pStyle w:val="Bullet-list"/>
              <w:numPr>
                <w:ilvl w:val="0"/>
                <w:numId w:val="0"/>
              </w:numPr>
              <w:spacing w:after="120"/>
              <w:jc w:val="both"/>
              <w:rPr>
                <w:iCs/>
                <w:lang w:val="en-NZ"/>
              </w:rPr>
            </w:pPr>
            <w:r>
              <w:rPr>
                <w:iCs/>
                <w:lang w:val="en-NZ"/>
              </w:rPr>
              <w:t xml:space="preserve">The 2018 </w:t>
            </w:r>
            <w:r w:rsidR="00EE1489">
              <w:rPr>
                <w:iCs/>
                <w:lang w:val="en-NZ"/>
              </w:rPr>
              <w:t xml:space="preserve">government </w:t>
            </w:r>
            <w:r>
              <w:rPr>
                <w:iCs/>
                <w:lang w:val="en-NZ"/>
              </w:rPr>
              <w:t>decision to provide the Department with repayable capital injections</w:t>
            </w:r>
            <w:r w:rsidR="00EE1489">
              <w:rPr>
                <w:iCs/>
                <w:lang w:val="en-NZ"/>
              </w:rPr>
              <w:t xml:space="preserve"> was specifically made with the intent of balancing the PMA at zero over the ten-year period from 2019-2029. Zeroing the balance of the PMA (with the accompanying fee increases) </w:t>
            </w:r>
            <w:r>
              <w:rPr>
                <w:iCs/>
                <w:lang w:val="en-NZ"/>
              </w:rPr>
              <w:t>would have return</w:t>
            </w:r>
            <w:r w:rsidR="00EE1489">
              <w:rPr>
                <w:iCs/>
                <w:lang w:val="en-NZ"/>
              </w:rPr>
              <w:t>ed</w:t>
            </w:r>
            <w:r>
              <w:rPr>
                <w:iCs/>
                <w:lang w:val="en-NZ"/>
              </w:rPr>
              <w:t xml:space="preserve"> </w:t>
            </w:r>
            <w:r w:rsidR="00ED65E3">
              <w:rPr>
                <w:iCs/>
                <w:lang w:val="en-NZ"/>
              </w:rPr>
              <w:t xml:space="preserve">passport issuance </w:t>
            </w:r>
            <w:r>
              <w:rPr>
                <w:iCs/>
                <w:lang w:val="en-NZ"/>
              </w:rPr>
              <w:t xml:space="preserve">to full cost </w:t>
            </w:r>
            <w:proofErr w:type="gramStart"/>
            <w:r>
              <w:rPr>
                <w:iCs/>
                <w:lang w:val="en-NZ"/>
              </w:rPr>
              <w:t>recovery</w:t>
            </w:r>
            <w:r w:rsidR="00E26BC5">
              <w:rPr>
                <w:iCs/>
                <w:lang w:val="en-NZ"/>
              </w:rPr>
              <w:t>, if</w:t>
            </w:r>
            <w:proofErr w:type="gramEnd"/>
            <w:r w:rsidR="00E26BC5">
              <w:rPr>
                <w:iCs/>
                <w:lang w:val="en-NZ"/>
              </w:rPr>
              <w:t xml:space="preserve"> demand had not been reduced as a result of COVID-19.</w:t>
            </w:r>
            <w:r>
              <w:rPr>
                <w:iCs/>
                <w:lang w:val="en-NZ"/>
              </w:rPr>
              <w:t xml:space="preserve"> </w:t>
            </w:r>
          </w:p>
          <w:p w14:paraId="26E0E517" w14:textId="77777777" w:rsidR="002E42CF" w:rsidRPr="009D4D4C" w:rsidRDefault="002E42CF" w:rsidP="00B04C0B">
            <w:pPr>
              <w:pStyle w:val="Bullet-list"/>
              <w:numPr>
                <w:ilvl w:val="0"/>
                <w:numId w:val="0"/>
              </w:numPr>
              <w:spacing w:after="120"/>
              <w:rPr>
                <w:b/>
                <w:iCs/>
                <w:lang w:val="en-NZ"/>
              </w:rPr>
            </w:pPr>
            <w:r w:rsidRPr="009D4D4C">
              <w:rPr>
                <w:b/>
                <w:iCs/>
                <w:lang w:val="en-NZ"/>
              </w:rPr>
              <w:t>What are the assumptions underpinning the impact analysis?</w:t>
            </w:r>
          </w:p>
          <w:p w14:paraId="1CC1606D" w14:textId="640CDA97" w:rsidR="002E42CF" w:rsidRDefault="002E42CF" w:rsidP="00B04C0B">
            <w:pPr>
              <w:pStyle w:val="Bullet-list"/>
              <w:numPr>
                <w:ilvl w:val="0"/>
                <w:numId w:val="0"/>
              </w:numPr>
              <w:spacing w:after="120"/>
              <w:jc w:val="both"/>
              <w:rPr>
                <w:iCs/>
                <w:lang w:val="en-NZ"/>
              </w:rPr>
            </w:pPr>
            <w:r>
              <w:rPr>
                <w:iCs/>
                <w:lang w:val="en-NZ"/>
              </w:rPr>
              <w:t>The assumptions are:</w:t>
            </w:r>
          </w:p>
          <w:p w14:paraId="419CEA7F" w14:textId="7BC6AED5" w:rsidR="002E42CF" w:rsidRDefault="00ED65E3" w:rsidP="002E42CF">
            <w:pPr>
              <w:pStyle w:val="Bullet-list"/>
              <w:numPr>
                <w:ilvl w:val="0"/>
                <w:numId w:val="22"/>
              </w:numPr>
              <w:spacing w:after="120"/>
              <w:jc w:val="both"/>
              <w:rPr>
                <w:iCs/>
                <w:lang w:val="en-NZ"/>
              </w:rPr>
            </w:pPr>
            <w:r>
              <w:rPr>
                <w:iCs/>
                <w:lang w:val="en-NZ"/>
              </w:rPr>
              <w:t>t</w:t>
            </w:r>
            <w:r w:rsidR="002E42CF">
              <w:rPr>
                <w:iCs/>
                <w:lang w:val="en-NZ"/>
              </w:rPr>
              <w:t xml:space="preserve">he changes to border and MIQ settings announced on 3 February 2022 </w:t>
            </w:r>
            <w:r w:rsidR="00E57C50">
              <w:rPr>
                <w:iCs/>
                <w:lang w:val="en-NZ"/>
              </w:rPr>
              <w:t xml:space="preserve">and 28 February 2022 </w:t>
            </w:r>
            <w:r w:rsidR="002E42CF">
              <w:rPr>
                <w:iCs/>
                <w:lang w:val="en-NZ"/>
              </w:rPr>
              <w:t>are not changed</w:t>
            </w:r>
            <w:r>
              <w:rPr>
                <w:iCs/>
                <w:lang w:val="en-NZ"/>
              </w:rPr>
              <w:t>;</w:t>
            </w:r>
          </w:p>
          <w:p w14:paraId="3BDCED1E" w14:textId="324DAFC3" w:rsidR="002E42CF" w:rsidRDefault="002E42CF" w:rsidP="002E42CF">
            <w:pPr>
              <w:pStyle w:val="Bullet-list"/>
              <w:numPr>
                <w:ilvl w:val="0"/>
                <w:numId w:val="22"/>
              </w:numPr>
              <w:spacing w:after="120"/>
              <w:jc w:val="both"/>
              <w:rPr>
                <w:iCs/>
                <w:lang w:val="en-NZ"/>
              </w:rPr>
            </w:pPr>
            <w:r>
              <w:rPr>
                <w:iCs/>
                <w:lang w:val="en-NZ"/>
              </w:rPr>
              <w:t>50% of the deferred demand for passports, which is estimated to be 516,033</w:t>
            </w:r>
            <w:r w:rsidR="00F72692">
              <w:rPr>
                <w:iCs/>
                <w:lang w:val="en-NZ"/>
              </w:rPr>
              <w:t xml:space="preserve"> applications,</w:t>
            </w:r>
            <w:r>
              <w:rPr>
                <w:iCs/>
                <w:lang w:val="en-NZ"/>
              </w:rPr>
              <w:t xml:space="preserve"> will return over the 2022-25 period</w:t>
            </w:r>
            <w:r w:rsidR="00ED65E3">
              <w:rPr>
                <w:iCs/>
                <w:lang w:val="en-NZ"/>
              </w:rPr>
              <w:t>;</w:t>
            </w:r>
            <w:r>
              <w:rPr>
                <w:iCs/>
                <w:lang w:val="en-NZ"/>
              </w:rPr>
              <w:t xml:space="preserve"> </w:t>
            </w:r>
          </w:p>
          <w:p w14:paraId="25816FB7" w14:textId="56BCD58E" w:rsidR="002E42CF" w:rsidRDefault="00ED65E3" w:rsidP="002E42CF">
            <w:pPr>
              <w:pStyle w:val="Bullet-list"/>
              <w:numPr>
                <w:ilvl w:val="0"/>
                <w:numId w:val="22"/>
              </w:numPr>
              <w:spacing w:after="120"/>
              <w:jc w:val="both"/>
              <w:rPr>
                <w:iCs/>
                <w:lang w:val="en-NZ"/>
              </w:rPr>
            </w:pPr>
            <w:r>
              <w:rPr>
                <w:iCs/>
                <w:lang w:val="en-NZ"/>
              </w:rPr>
              <w:t>t</w:t>
            </w:r>
            <w:r w:rsidR="002E42CF">
              <w:rPr>
                <w:iCs/>
                <w:lang w:val="en-NZ"/>
              </w:rPr>
              <w:t xml:space="preserve">he forecasted expenses in passport production </w:t>
            </w:r>
            <w:r w:rsidR="00B304D0">
              <w:rPr>
                <w:iCs/>
                <w:lang w:val="en-NZ"/>
              </w:rPr>
              <w:t>will</w:t>
            </w:r>
            <w:r w:rsidR="002E42CF">
              <w:rPr>
                <w:iCs/>
                <w:lang w:val="en-NZ"/>
              </w:rPr>
              <w:t xml:space="preserve"> not significantly change over the forecasted period</w:t>
            </w:r>
            <w:r>
              <w:rPr>
                <w:iCs/>
                <w:lang w:val="en-NZ"/>
              </w:rPr>
              <w:t xml:space="preserve">; </w:t>
            </w:r>
          </w:p>
          <w:p w14:paraId="71A794D2" w14:textId="750349BA" w:rsidR="002E42CF" w:rsidRDefault="00ED65E3" w:rsidP="002E42CF">
            <w:pPr>
              <w:pStyle w:val="Bullet-list"/>
              <w:numPr>
                <w:ilvl w:val="0"/>
                <w:numId w:val="22"/>
              </w:numPr>
              <w:spacing w:after="120"/>
              <w:jc w:val="both"/>
              <w:rPr>
                <w:iCs/>
                <w:lang w:val="en-NZ"/>
              </w:rPr>
            </w:pPr>
            <w:r>
              <w:rPr>
                <w:iCs/>
                <w:lang w:val="en-NZ"/>
              </w:rPr>
              <w:t>t</w:t>
            </w:r>
            <w:r w:rsidR="002E42CF">
              <w:rPr>
                <w:iCs/>
                <w:lang w:val="en-NZ"/>
              </w:rPr>
              <w:t>he forecast and the level of fees payable will continue to be reviewed every three years and that the projected requirement for re-payable capital injections and fee increases will be adjusted as required</w:t>
            </w:r>
            <w:r>
              <w:rPr>
                <w:iCs/>
                <w:lang w:val="en-NZ"/>
              </w:rPr>
              <w:t>; and</w:t>
            </w:r>
          </w:p>
          <w:p w14:paraId="3E27CEA9" w14:textId="4507734A" w:rsidR="00ED65E3" w:rsidRPr="00DF0A9B" w:rsidRDefault="00ED65E3" w:rsidP="002E42CF">
            <w:pPr>
              <w:pStyle w:val="Bullet-list"/>
              <w:numPr>
                <w:ilvl w:val="0"/>
                <w:numId w:val="22"/>
              </w:numPr>
              <w:spacing w:after="120"/>
              <w:jc w:val="both"/>
              <w:rPr>
                <w:iCs/>
                <w:lang w:val="en-NZ"/>
              </w:rPr>
            </w:pPr>
            <w:r>
              <w:rPr>
                <w:iCs/>
                <w:lang w:val="en-NZ"/>
              </w:rPr>
              <w:t xml:space="preserve">the existing subsidy of the cost of a child’s </w:t>
            </w:r>
            <w:r w:rsidR="00C416CA">
              <w:rPr>
                <w:iCs/>
                <w:lang w:val="en-NZ"/>
              </w:rPr>
              <w:t>five-year</w:t>
            </w:r>
            <w:r>
              <w:rPr>
                <w:iCs/>
                <w:lang w:val="en-NZ"/>
              </w:rPr>
              <w:t xml:space="preserve"> passport from the fees paid by adults will continue. </w:t>
            </w:r>
          </w:p>
          <w:p w14:paraId="45053838" w14:textId="23C08A62" w:rsidR="002E42CF" w:rsidRDefault="002E42CF" w:rsidP="00B04C0B">
            <w:pPr>
              <w:pStyle w:val="Bullet-list"/>
              <w:numPr>
                <w:ilvl w:val="0"/>
                <w:numId w:val="0"/>
              </w:numPr>
              <w:spacing w:after="120"/>
              <w:rPr>
                <w:b/>
                <w:iCs/>
                <w:lang w:val="en-NZ"/>
              </w:rPr>
            </w:pPr>
            <w:bookmarkStart w:id="18" w:name="_Hlk97041017"/>
            <w:r w:rsidRPr="009D4D4C">
              <w:rPr>
                <w:b/>
                <w:iCs/>
                <w:lang w:val="en-NZ"/>
              </w:rPr>
              <w:t>What is the quality of the data and evidence used in developing this proposal?</w:t>
            </w:r>
          </w:p>
          <w:p w14:paraId="744AA6F7" w14:textId="77777777" w:rsidR="002E42CF" w:rsidRDefault="002E42CF" w:rsidP="00B04C0B">
            <w:pPr>
              <w:pStyle w:val="Bullet-list"/>
              <w:numPr>
                <w:ilvl w:val="0"/>
                <w:numId w:val="0"/>
              </w:numPr>
              <w:spacing w:after="120"/>
              <w:jc w:val="both"/>
              <w:rPr>
                <w:iCs/>
                <w:lang w:val="en-NZ"/>
              </w:rPr>
            </w:pPr>
            <w:r>
              <w:rPr>
                <w:iCs/>
                <w:lang w:val="en-NZ"/>
              </w:rPr>
              <w:t xml:space="preserve">There is a high degree of confidence in our projection of the number of people who will be eligible to apply for their first passport and the number of passports that will expire over the forecasting period. </w:t>
            </w:r>
            <w:r w:rsidRPr="0009783D">
              <w:rPr>
                <w:iCs/>
                <w:lang w:val="en-NZ"/>
              </w:rPr>
              <w:t>It is not possible</w:t>
            </w:r>
            <w:r>
              <w:rPr>
                <w:iCs/>
                <w:lang w:val="en-NZ"/>
              </w:rPr>
              <w:t xml:space="preserve"> to forecast New Zealanders future travel intentions with absolute confidence. Future travel in a COVID environment is expected to be impacted by:</w:t>
            </w:r>
          </w:p>
          <w:p w14:paraId="6EF43DC6" w14:textId="4271BF57" w:rsidR="002E42CF" w:rsidRDefault="00C416CA" w:rsidP="002E42CF">
            <w:pPr>
              <w:pStyle w:val="Bullet-list"/>
              <w:numPr>
                <w:ilvl w:val="0"/>
                <w:numId w:val="23"/>
              </w:numPr>
              <w:spacing w:after="120"/>
              <w:jc w:val="both"/>
              <w:rPr>
                <w:iCs/>
                <w:lang w:val="en-NZ"/>
              </w:rPr>
            </w:pPr>
            <w:r>
              <w:rPr>
                <w:iCs/>
                <w:lang w:val="en-NZ"/>
              </w:rPr>
              <w:t>i</w:t>
            </w:r>
            <w:r w:rsidR="002E42CF">
              <w:rPr>
                <w:iCs/>
                <w:lang w:val="en-NZ"/>
              </w:rPr>
              <w:t>ncreases in the cost of airline travel and accommodation</w:t>
            </w:r>
            <w:r>
              <w:rPr>
                <w:iCs/>
                <w:lang w:val="en-NZ"/>
              </w:rPr>
              <w:t>;</w:t>
            </w:r>
          </w:p>
          <w:p w14:paraId="2AF2D270" w14:textId="0D38383D" w:rsidR="002E42CF" w:rsidRDefault="002E42CF" w:rsidP="002E42CF">
            <w:pPr>
              <w:pStyle w:val="Bullet-list"/>
              <w:numPr>
                <w:ilvl w:val="0"/>
                <w:numId w:val="23"/>
              </w:numPr>
              <w:spacing w:after="120"/>
              <w:jc w:val="both"/>
              <w:rPr>
                <w:iCs/>
                <w:lang w:val="en-NZ"/>
              </w:rPr>
            </w:pPr>
            <w:r>
              <w:rPr>
                <w:iCs/>
                <w:lang w:val="en-NZ"/>
              </w:rPr>
              <w:t>traveller’s vaccination status</w:t>
            </w:r>
            <w:r w:rsidR="00C416CA">
              <w:rPr>
                <w:iCs/>
                <w:lang w:val="en-NZ"/>
              </w:rPr>
              <w:t>;</w:t>
            </w:r>
          </w:p>
          <w:p w14:paraId="407FCFC1" w14:textId="6FAC2A8D" w:rsidR="002E42CF" w:rsidRDefault="00C416CA" w:rsidP="002E42CF">
            <w:pPr>
              <w:pStyle w:val="Bullet-list"/>
              <w:numPr>
                <w:ilvl w:val="0"/>
                <w:numId w:val="23"/>
              </w:numPr>
              <w:spacing w:after="120"/>
              <w:jc w:val="both"/>
              <w:rPr>
                <w:iCs/>
                <w:lang w:val="en-NZ"/>
              </w:rPr>
            </w:pPr>
            <w:r>
              <w:rPr>
                <w:iCs/>
                <w:lang w:val="en-NZ"/>
              </w:rPr>
              <w:t>q</w:t>
            </w:r>
            <w:r w:rsidR="002E42CF">
              <w:rPr>
                <w:iCs/>
                <w:lang w:val="en-NZ"/>
              </w:rPr>
              <w:t>uarantine requirements on arrival overseas</w:t>
            </w:r>
            <w:r>
              <w:rPr>
                <w:iCs/>
                <w:lang w:val="en-NZ"/>
              </w:rPr>
              <w:t>;</w:t>
            </w:r>
            <w:r w:rsidR="002E42CF">
              <w:rPr>
                <w:iCs/>
                <w:lang w:val="en-NZ"/>
              </w:rPr>
              <w:t xml:space="preserve"> </w:t>
            </w:r>
            <w:r>
              <w:rPr>
                <w:iCs/>
                <w:lang w:val="en-NZ"/>
              </w:rPr>
              <w:t>and</w:t>
            </w:r>
          </w:p>
          <w:p w14:paraId="0251FA61" w14:textId="3AE95C88" w:rsidR="002E42CF" w:rsidRPr="0009783D" w:rsidRDefault="00C416CA" w:rsidP="002E42CF">
            <w:pPr>
              <w:pStyle w:val="Bullet-list"/>
              <w:numPr>
                <w:ilvl w:val="0"/>
                <w:numId w:val="23"/>
              </w:numPr>
              <w:spacing w:after="120"/>
              <w:jc w:val="both"/>
              <w:rPr>
                <w:iCs/>
                <w:lang w:val="en-NZ"/>
              </w:rPr>
            </w:pPr>
            <w:r>
              <w:rPr>
                <w:iCs/>
                <w:lang w:val="en-NZ"/>
              </w:rPr>
              <w:t>q</w:t>
            </w:r>
            <w:r w:rsidR="002E42CF">
              <w:rPr>
                <w:iCs/>
                <w:lang w:val="en-NZ"/>
              </w:rPr>
              <w:t>uarantine requirements on return to New Zealand.</w:t>
            </w:r>
          </w:p>
          <w:p w14:paraId="4F952DF5" w14:textId="1178E974" w:rsidR="005104FC" w:rsidRPr="0094616F" w:rsidRDefault="002732EE" w:rsidP="002732EE">
            <w:pPr>
              <w:pStyle w:val="Bullet-list"/>
              <w:numPr>
                <w:ilvl w:val="0"/>
                <w:numId w:val="0"/>
              </w:numPr>
              <w:spacing w:after="120"/>
              <w:jc w:val="both"/>
              <w:rPr>
                <w:iCs/>
                <w:lang w:val="en-NZ"/>
              </w:rPr>
            </w:pPr>
            <w:r w:rsidRPr="00E26BC5">
              <w:rPr>
                <w:iCs/>
                <w:lang w:val="en-NZ"/>
              </w:rPr>
              <w:t xml:space="preserve">It is </w:t>
            </w:r>
            <w:r w:rsidR="005104FC" w:rsidRPr="00E26BC5">
              <w:rPr>
                <w:iCs/>
                <w:lang w:val="en-NZ"/>
              </w:rPr>
              <w:t>n</w:t>
            </w:r>
            <w:r w:rsidRPr="00E26BC5">
              <w:rPr>
                <w:iCs/>
                <w:lang w:val="en-NZ"/>
              </w:rPr>
              <w:t>ot possible to forecast with any degree of certainty how much of the deferred demand for passports will return and over what period this demand will return. The Department has estimated that 50% of the deferred demand for passports will return over the period 2022-25. The 50% forecast figure has been used because it is considered unlikely that 100% of the demand will return over the short term</w:t>
            </w:r>
            <w:r w:rsidR="005104FC" w:rsidRPr="00E26BC5">
              <w:rPr>
                <w:iCs/>
                <w:lang w:val="en-NZ"/>
              </w:rPr>
              <w:t xml:space="preserve"> but likely that up to 50% of demand will return</w:t>
            </w:r>
            <w:r w:rsidR="00805558" w:rsidRPr="00E26BC5">
              <w:rPr>
                <w:iCs/>
                <w:lang w:val="en-NZ"/>
              </w:rPr>
              <w:t xml:space="preserve"> over three years</w:t>
            </w:r>
            <w:r w:rsidRPr="00E26BC5">
              <w:rPr>
                <w:iCs/>
                <w:lang w:val="en-NZ"/>
              </w:rPr>
              <w:t xml:space="preserve">. </w:t>
            </w:r>
            <w:r w:rsidR="005104FC" w:rsidRPr="00E26BC5">
              <w:rPr>
                <w:iCs/>
                <w:lang w:val="en-NZ"/>
              </w:rPr>
              <w:t xml:space="preserve"> As noted in this paper the Department’s policy is to review fees every three years, the forecast of returning demand will be reviewed in 2025 and adjusted as required.</w:t>
            </w:r>
            <w:r w:rsidR="005104FC" w:rsidRPr="0094616F">
              <w:rPr>
                <w:iCs/>
                <w:lang w:val="en-NZ"/>
              </w:rPr>
              <w:t xml:space="preserve"> </w:t>
            </w:r>
          </w:p>
          <w:bookmarkEnd w:id="18"/>
          <w:p w14:paraId="1DFF17DC" w14:textId="73EF676E" w:rsidR="002E42CF" w:rsidRDefault="002E42CF" w:rsidP="00B04C0B">
            <w:pPr>
              <w:pStyle w:val="Bullet-list"/>
              <w:numPr>
                <w:ilvl w:val="0"/>
                <w:numId w:val="0"/>
              </w:numPr>
              <w:spacing w:after="120"/>
              <w:rPr>
                <w:b/>
                <w:iCs/>
                <w:lang w:val="en-NZ"/>
              </w:rPr>
            </w:pPr>
            <w:r w:rsidRPr="009D4D4C">
              <w:rPr>
                <w:b/>
                <w:iCs/>
                <w:lang w:val="en-NZ"/>
              </w:rPr>
              <w:t>Were there any limitations on consultation, testing, and stakeholder engagement?</w:t>
            </w:r>
          </w:p>
          <w:p w14:paraId="5E430460" w14:textId="62D80942" w:rsidR="002E42CF" w:rsidRPr="00380130" w:rsidRDefault="002E42CF" w:rsidP="00B04C0B">
            <w:pPr>
              <w:pStyle w:val="Bullet-list"/>
              <w:numPr>
                <w:ilvl w:val="0"/>
                <w:numId w:val="0"/>
              </w:numPr>
              <w:jc w:val="both"/>
            </w:pPr>
            <w:r w:rsidRPr="00380130">
              <w:t xml:space="preserve">DIA has not undertaken public or stakeholder consultation as part of this process as the passport service is based on a cost recovery model (including repayable capital injections) and changes to that model are outside of the scope of these proposals. Additionally, DIA is not proposing any change to passport services. Therefore, the value of public or stakeholder consultation would be limited. </w:t>
            </w:r>
            <w:r w:rsidR="00C416CA">
              <w:t xml:space="preserve">The Department is also concerned that public consultation on the level of fees would create a surge of passport applications from persons without an intent </w:t>
            </w:r>
            <w:r w:rsidR="00C416CA">
              <w:lastRenderedPageBreak/>
              <w:t xml:space="preserve">to travel in the immediate future to avoid any possible fee increase. The consequences of this surge would be delays in the processing of applications.   </w:t>
            </w:r>
          </w:p>
          <w:p w14:paraId="4C0BC339" w14:textId="77777777" w:rsidR="002E42CF" w:rsidRDefault="002E42CF" w:rsidP="00B04C0B">
            <w:pPr>
              <w:pStyle w:val="Bullet-list"/>
              <w:numPr>
                <w:ilvl w:val="0"/>
                <w:numId w:val="0"/>
              </w:numPr>
              <w:spacing w:after="120"/>
              <w:rPr>
                <w:b/>
                <w:iCs/>
                <w:lang w:val="en-NZ"/>
              </w:rPr>
            </w:pPr>
            <w:r w:rsidRPr="009D4D4C">
              <w:rPr>
                <w:b/>
                <w:iCs/>
                <w:lang w:val="en-NZ"/>
              </w:rPr>
              <w:t>What additional analysis of distributional impacts on certain population groups would you have liked to include given sufficient time/resources?</w:t>
            </w:r>
          </w:p>
          <w:p w14:paraId="7A4D2E35" w14:textId="77777777" w:rsidR="002E42CF" w:rsidRPr="00257809" w:rsidRDefault="002E42CF" w:rsidP="00B04C0B">
            <w:pPr>
              <w:pStyle w:val="Bullet-list"/>
              <w:numPr>
                <w:ilvl w:val="0"/>
                <w:numId w:val="0"/>
              </w:numPr>
              <w:spacing w:after="120"/>
              <w:jc w:val="both"/>
              <w:rPr>
                <w:iCs/>
                <w:lang w:val="en-NZ"/>
              </w:rPr>
            </w:pPr>
            <w:r w:rsidRPr="00257809">
              <w:rPr>
                <w:iCs/>
                <w:lang w:val="en-NZ"/>
              </w:rPr>
              <w:t>The Department</w:t>
            </w:r>
            <w:r>
              <w:rPr>
                <w:iCs/>
                <w:lang w:val="en-NZ"/>
              </w:rPr>
              <w:t xml:space="preserve"> does not collect statistical data to enable the impact of fee increases on certain population groups to be assessed. The assumption is that </w:t>
            </w:r>
            <w:proofErr w:type="gramStart"/>
            <w:r>
              <w:rPr>
                <w:iCs/>
                <w:lang w:val="en-NZ"/>
              </w:rPr>
              <w:t>low income</w:t>
            </w:r>
            <w:proofErr w:type="gramEnd"/>
            <w:r>
              <w:rPr>
                <w:iCs/>
                <w:lang w:val="en-NZ"/>
              </w:rPr>
              <w:t xml:space="preserve"> applicants will be more effected by the increases as the fee will be a greater proportion of their disposable income than middle- or high-income applicants. Mitigating this impact is that passports only need to be renewed every 5 years for children and every 10 years for adults.    </w:t>
            </w:r>
            <w:r w:rsidRPr="00257809">
              <w:rPr>
                <w:iCs/>
                <w:lang w:val="en-NZ"/>
              </w:rPr>
              <w:t xml:space="preserve"> </w:t>
            </w:r>
          </w:p>
          <w:p w14:paraId="7DF2928C" w14:textId="77777777" w:rsidR="002E42CF" w:rsidRDefault="002E42CF" w:rsidP="00B04C0B">
            <w:pPr>
              <w:pStyle w:val="Bullet-list"/>
              <w:numPr>
                <w:ilvl w:val="0"/>
                <w:numId w:val="0"/>
              </w:numPr>
              <w:spacing w:after="120"/>
              <w:rPr>
                <w:b/>
                <w:iCs/>
                <w:lang w:val="en-NZ"/>
              </w:rPr>
            </w:pPr>
            <w:r w:rsidRPr="009D4D4C">
              <w:rPr>
                <w:b/>
                <w:iCs/>
                <w:lang w:val="en-NZ"/>
              </w:rPr>
              <w:t>What is the overall impact of these limitations and constraints on how confident Ministers can be when using this analysis to inform their decisions?</w:t>
            </w:r>
          </w:p>
          <w:p w14:paraId="5B39A818" w14:textId="316FA959" w:rsidR="00D9348E" w:rsidRDefault="002E42CF" w:rsidP="00F578DB">
            <w:pPr>
              <w:pStyle w:val="Bullet-list"/>
              <w:numPr>
                <w:ilvl w:val="0"/>
                <w:numId w:val="0"/>
              </w:numPr>
              <w:spacing w:after="120"/>
              <w:jc w:val="both"/>
              <w:rPr>
                <w:iCs/>
                <w:lang w:val="en-NZ"/>
              </w:rPr>
            </w:pPr>
            <w:r w:rsidRPr="00CB3749">
              <w:rPr>
                <w:iCs/>
                <w:lang w:val="en-NZ"/>
              </w:rPr>
              <w:t xml:space="preserve">The forecast of </w:t>
            </w:r>
            <w:r>
              <w:rPr>
                <w:iCs/>
                <w:lang w:val="en-NZ"/>
              </w:rPr>
              <w:t xml:space="preserve">the extent to which deferred demand for passports returns and the period over which that demand returns </w:t>
            </w:r>
            <w:r w:rsidRPr="00885EE5">
              <w:rPr>
                <w:iCs/>
                <w:lang w:val="en-NZ"/>
              </w:rPr>
              <w:t xml:space="preserve">is </w:t>
            </w:r>
            <w:r w:rsidR="00D9348E">
              <w:rPr>
                <w:iCs/>
                <w:lang w:val="en-NZ"/>
              </w:rPr>
              <w:t xml:space="preserve">a mix of accurate and estimated factors, and as such result in a moderate level of confidence. </w:t>
            </w:r>
          </w:p>
          <w:p w14:paraId="32D5B19A" w14:textId="0471A3C7" w:rsidR="00D9348E" w:rsidRDefault="00D9348E" w:rsidP="00D9348E">
            <w:pPr>
              <w:pStyle w:val="Bullet-list"/>
              <w:numPr>
                <w:ilvl w:val="0"/>
                <w:numId w:val="0"/>
              </w:numPr>
              <w:spacing w:after="120"/>
              <w:jc w:val="both"/>
              <w:rPr>
                <w:iCs/>
                <w:lang w:val="en-NZ"/>
              </w:rPr>
            </w:pPr>
            <w:r>
              <w:rPr>
                <w:iCs/>
                <w:lang w:val="en-NZ"/>
              </w:rPr>
              <w:t>It</w:t>
            </w:r>
            <w:r w:rsidR="002E42CF" w:rsidRPr="00885EE5">
              <w:rPr>
                <w:iCs/>
                <w:lang w:val="en-NZ"/>
              </w:rPr>
              <w:t xml:space="preserve"> is considered unlikely that 100% of the deferred demand would return over a </w:t>
            </w:r>
            <w:r w:rsidR="002B4215" w:rsidRPr="00885EE5">
              <w:rPr>
                <w:iCs/>
                <w:lang w:val="en-NZ"/>
              </w:rPr>
              <w:t>five-year</w:t>
            </w:r>
            <w:r w:rsidR="002E42CF" w:rsidRPr="00885EE5">
              <w:rPr>
                <w:iCs/>
                <w:lang w:val="en-NZ"/>
              </w:rPr>
              <w:t xml:space="preserve"> period but considered likely that </w:t>
            </w:r>
            <w:r w:rsidR="00885EE5" w:rsidRPr="00885EE5">
              <w:rPr>
                <w:iCs/>
                <w:lang w:val="en-NZ"/>
              </w:rPr>
              <w:t xml:space="preserve">some </w:t>
            </w:r>
            <w:r w:rsidR="002E42CF" w:rsidRPr="00885EE5">
              <w:rPr>
                <w:iCs/>
                <w:lang w:val="en-NZ"/>
              </w:rPr>
              <w:t>New Zealanders will want to travel overseas once border and MIQ settings are eased.</w:t>
            </w:r>
            <w:r>
              <w:rPr>
                <w:iCs/>
                <w:lang w:val="en-NZ"/>
              </w:rPr>
              <w:t xml:space="preserve"> </w:t>
            </w:r>
            <w:r w:rsidR="0094616F" w:rsidRPr="00885EE5">
              <w:rPr>
                <w:iCs/>
                <w:lang w:val="en-NZ"/>
              </w:rPr>
              <w:t xml:space="preserve">The forecasts </w:t>
            </w:r>
            <w:r w:rsidR="00805558" w:rsidRPr="00885EE5">
              <w:rPr>
                <w:iCs/>
                <w:lang w:val="en-NZ"/>
              </w:rPr>
              <w:t xml:space="preserve">assume for </w:t>
            </w:r>
            <w:r w:rsidR="0094616F" w:rsidRPr="00885EE5">
              <w:rPr>
                <w:iCs/>
                <w:lang w:val="en-NZ"/>
              </w:rPr>
              <w:t xml:space="preserve">both </w:t>
            </w:r>
            <w:r w:rsidR="00805558" w:rsidRPr="00885EE5">
              <w:rPr>
                <w:iCs/>
                <w:lang w:val="en-NZ"/>
              </w:rPr>
              <w:t xml:space="preserve">options </w:t>
            </w:r>
            <w:r w:rsidR="0094616F" w:rsidRPr="00885EE5">
              <w:rPr>
                <w:iCs/>
                <w:lang w:val="en-NZ"/>
              </w:rPr>
              <w:t>that 50% of the deferred demand will return over the 2022-25 period</w:t>
            </w:r>
            <w:r w:rsidR="00805558" w:rsidRPr="00885EE5">
              <w:rPr>
                <w:iCs/>
                <w:lang w:val="en-NZ"/>
              </w:rPr>
              <w:t>, or an average of 16% a year, this is not considered to be an unreasonable assumption.</w:t>
            </w:r>
            <w:r w:rsidR="0094616F" w:rsidRPr="00885EE5">
              <w:rPr>
                <w:iCs/>
                <w:lang w:val="en-NZ"/>
              </w:rPr>
              <w:t xml:space="preserve">  </w:t>
            </w:r>
          </w:p>
          <w:p w14:paraId="5DED0942" w14:textId="7308C760" w:rsidR="002E42CF" w:rsidRPr="004D4AF0" w:rsidRDefault="002E42CF" w:rsidP="00D9348E">
            <w:pPr>
              <w:pStyle w:val="Bullet-list"/>
              <w:numPr>
                <w:ilvl w:val="0"/>
                <w:numId w:val="0"/>
              </w:numPr>
              <w:spacing w:after="120"/>
              <w:jc w:val="both"/>
              <w:rPr>
                <w:iCs/>
                <w:lang w:val="en-NZ"/>
              </w:rPr>
            </w:pPr>
            <w:r w:rsidRPr="00885EE5">
              <w:rPr>
                <w:iCs/>
                <w:lang w:val="en-NZ"/>
              </w:rPr>
              <w:t>The limitations of the deferred demand forecast are mitigated by the 3 yearly fee reviews the Department will undertake. These reviews will determine the accuracy of the forecasting</w:t>
            </w:r>
            <w:r w:rsidR="00805558" w:rsidRPr="00885EE5">
              <w:rPr>
                <w:iCs/>
                <w:lang w:val="en-NZ"/>
              </w:rPr>
              <w:t xml:space="preserve"> and will result in a re-evaluation of the capital injections and future fee increases required. </w:t>
            </w:r>
            <w:r>
              <w:rPr>
                <w:iCs/>
                <w:lang w:val="en-NZ"/>
              </w:rPr>
              <w:t xml:space="preserve"> </w:t>
            </w:r>
          </w:p>
        </w:tc>
      </w:tr>
      <w:tr w:rsidR="002E42CF" w:rsidRPr="00A864A5" w14:paraId="6AEACA28" w14:textId="77777777" w:rsidTr="00B04C0B">
        <w:tc>
          <w:tcPr>
            <w:tcW w:w="5000" w:type="pct"/>
            <w:gridSpan w:val="2"/>
            <w:tcBorders>
              <w:bottom w:val="single" w:sz="4" w:space="0" w:color="DDDDDD"/>
            </w:tcBorders>
            <w:shd w:val="clear" w:color="auto" w:fill="99CDDD"/>
            <w:hideMark/>
          </w:tcPr>
          <w:p w14:paraId="4804602F" w14:textId="140B43E4" w:rsidR="002E42CF" w:rsidRPr="00A864A5" w:rsidRDefault="002E42CF" w:rsidP="00B04C0B">
            <w:pPr>
              <w:pStyle w:val="TableHeadings"/>
              <w:rPr>
                <w:color w:val="002060"/>
                <w:szCs w:val="22"/>
                <w:lang w:val="en-NZ"/>
              </w:rPr>
            </w:pPr>
            <w:r w:rsidRPr="00A864A5">
              <w:rPr>
                <w:szCs w:val="22"/>
                <w:lang w:val="en-NZ"/>
              </w:rPr>
              <w:lastRenderedPageBreak/>
              <w:t xml:space="preserve">Responsible Manager </w:t>
            </w:r>
          </w:p>
        </w:tc>
      </w:tr>
      <w:tr w:rsidR="002E42CF" w:rsidRPr="00A864A5" w14:paraId="49DA1C14" w14:textId="77777777" w:rsidTr="00B04C0B">
        <w:trPr>
          <w:trHeight w:val="1761"/>
        </w:trPr>
        <w:tc>
          <w:tcPr>
            <w:tcW w:w="5000" w:type="pct"/>
            <w:gridSpan w:val="2"/>
            <w:tcBorders>
              <w:top w:val="nil"/>
            </w:tcBorders>
            <w:shd w:val="clear" w:color="auto" w:fill="auto"/>
          </w:tcPr>
          <w:p w14:paraId="4C5A4DA0" w14:textId="69690A38" w:rsidR="002E42CF" w:rsidRPr="004D4AF0" w:rsidRDefault="002E42CF" w:rsidP="00B04C0B">
            <w:pPr>
              <w:spacing w:before="60" w:after="0" w:line="276" w:lineRule="auto"/>
              <w:ind w:left="284" w:hanging="284"/>
              <w:jc w:val="both"/>
              <w:rPr>
                <w:rFonts w:cs="Arial"/>
                <w:iCs/>
                <w:szCs w:val="22"/>
                <w:lang w:val="en-NZ"/>
              </w:rPr>
            </w:pPr>
            <w:r w:rsidRPr="004D4AF0">
              <w:rPr>
                <w:rFonts w:cs="Arial"/>
                <w:iCs/>
                <w:szCs w:val="22"/>
                <w:lang w:val="en-NZ"/>
              </w:rPr>
              <w:t>Justin Rowlands</w:t>
            </w:r>
          </w:p>
          <w:p w14:paraId="0255D25E" w14:textId="7F688FFE" w:rsidR="002E42CF" w:rsidRPr="004D4AF0" w:rsidRDefault="002E42CF" w:rsidP="00B04C0B">
            <w:pPr>
              <w:spacing w:before="60" w:after="0" w:line="276" w:lineRule="auto"/>
              <w:ind w:left="284" w:hanging="284"/>
              <w:jc w:val="both"/>
              <w:rPr>
                <w:rFonts w:cs="Arial"/>
                <w:iCs/>
                <w:szCs w:val="22"/>
                <w:lang w:val="en-NZ"/>
              </w:rPr>
            </w:pPr>
            <w:r>
              <w:rPr>
                <w:rFonts w:cs="Arial"/>
                <w:iCs/>
                <w:szCs w:val="22"/>
                <w:lang w:val="en-NZ"/>
              </w:rPr>
              <w:t>General Manager</w:t>
            </w:r>
            <w:r w:rsidR="00C656F0">
              <w:rPr>
                <w:rFonts w:cs="Arial"/>
                <w:iCs/>
                <w:szCs w:val="22"/>
                <w:lang w:val="en-NZ"/>
              </w:rPr>
              <w:t xml:space="preserve">, </w:t>
            </w:r>
            <w:r>
              <w:rPr>
                <w:rFonts w:cs="Arial"/>
                <w:iCs/>
                <w:szCs w:val="22"/>
                <w:lang w:val="en-NZ"/>
              </w:rPr>
              <w:t>Partners and Products</w:t>
            </w:r>
          </w:p>
          <w:p w14:paraId="31741B91" w14:textId="4F416737" w:rsidR="002E42CF" w:rsidRDefault="002E42CF" w:rsidP="00B04C0B">
            <w:pPr>
              <w:spacing w:before="60" w:after="0" w:line="276" w:lineRule="auto"/>
              <w:ind w:left="284" w:hanging="284"/>
              <w:jc w:val="both"/>
              <w:rPr>
                <w:rFonts w:cs="Arial"/>
                <w:iCs/>
                <w:szCs w:val="22"/>
                <w:lang w:val="en-NZ"/>
              </w:rPr>
            </w:pPr>
            <w:r>
              <w:rPr>
                <w:rFonts w:cs="Arial"/>
                <w:iCs/>
                <w:szCs w:val="22"/>
                <w:lang w:val="en-NZ"/>
              </w:rPr>
              <w:t xml:space="preserve">Service Delivery and Operations </w:t>
            </w:r>
            <w:r w:rsidR="00356511">
              <w:rPr>
                <w:rFonts w:cs="Arial"/>
                <w:iCs/>
                <w:szCs w:val="22"/>
                <w:lang w:val="en-NZ"/>
              </w:rPr>
              <w:t>Branch</w:t>
            </w:r>
          </w:p>
          <w:p w14:paraId="4E526517" w14:textId="177AC73E" w:rsidR="002E42CF" w:rsidRPr="004D4AF0" w:rsidRDefault="002E42CF" w:rsidP="00B04C0B">
            <w:pPr>
              <w:spacing w:before="60" w:after="0" w:line="276" w:lineRule="auto"/>
              <w:ind w:left="284" w:hanging="284"/>
              <w:jc w:val="both"/>
              <w:rPr>
                <w:rFonts w:cs="Arial"/>
                <w:iCs/>
                <w:szCs w:val="22"/>
                <w:lang w:val="en-NZ"/>
              </w:rPr>
            </w:pPr>
            <w:r>
              <w:rPr>
                <w:rFonts w:cs="Arial"/>
                <w:iCs/>
                <w:szCs w:val="22"/>
                <w:lang w:val="en-NZ"/>
              </w:rPr>
              <w:t>Department of Internal Affair</w:t>
            </w:r>
            <w:r w:rsidR="00356511">
              <w:rPr>
                <w:rFonts w:cs="Arial"/>
                <w:iCs/>
                <w:szCs w:val="22"/>
                <w:lang w:val="en-NZ"/>
              </w:rPr>
              <w:t>s</w:t>
            </w:r>
          </w:p>
          <w:p w14:paraId="49FD04E9" w14:textId="77777777" w:rsidR="002E42CF" w:rsidRDefault="002E42CF" w:rsidP="00B04C0B">
            <w:pPr>
              <w:spacing w:before="60" w:after="0" w:line="276" w:lineRule="auto"/>
              <w:ind w:left="284" w:hanging="284"/>
              <w:jc w:val="both"/>
              <w:rPr>
                <w:rFonts w:cs="Arial"/>
                <w:iCs/>
                <w:szCs w:val="22"/>
                <w:lang w:val="en-NZ"/>
              </w:rPr>
            </w:pPr>
          </w:p>
          <w:p w14:paraId="0AB24B85" w14:textId="68974D13" w:rsidR="002E42CF" w:rsidRDefault="002E42CF" w:rsidP="00B04C0B">
            <w:pPr>
              <w:spacing w:before="60" w:after="0" w:line="276" w:lineRule="auto"/>
              <w:ind w:left="284" w:hanging="284"/>
              <w:jc w:val="both"/>
              <w:rPr>
                <w:rFonts w:cs="Arial"/>
                <w:iCs/>
                <w:szCs w:val="22"/>
                <w:lang w:val="en-NZ"/>
              </w:rPr>
            </w:pPr>
          </w:p>
          <w:p w14:paraId="7507DDDE" w14:textId="32D97291" w:rsidR="002E42CF" w:rsidRDefault="002E42CF" w:rsidP="00B04C0B">
            <w:pPr>
              <w:spacing w:before="60" w:after="0" w:line="276" w:lineRule="auto"/>
              <w:ind w:left="284" w:hanging="284"/>
              <w:jc w:val="both"/>
              <w:rPr>
                <w:rFonts w:cs="Arial"/>
                <w:iCs/>
                <w:szCs w:val="22"/>
                <w:lang w:val="en-NZ"/>
              </w:rPr>
            </w:pPr>
            <w:r>
              <w:rPr>
                <w:rFonts w:cs="Arial"/>
                <w:iCs/>
                <w:szCs w:val="22"/>
                <w:lang w:val="en-NZ"/>
              </w:rPr>
              <w:t>………………………….</w:t>
            </w:r>
          </w:p>
          <w:p w14:paraId="49D78276" w14:textId="77777777" w:rsidR="002E42CF" w:rsidRPr="004D4AF0" w:rsidRDefault="002E42CF" w:rsidP="00B04C0B">
            <w:pPr>
              <w:spacing w:before="60" w:after="0" w:line="276" w:lineRule="auto"/>
              <w:ind w:left="284" w:hanging="284"/>
              <w:jc w:val="both"/>
              <w:rPr>
                <w:rFonts w:cs="Arial"/>
                <w:iCs/>
                <w:szCs w:val="22"/>
                <w:lang w:val="en-NZ"/>
              </w:rPr>
            </w:pPr>
            <w:r w:rsidRPr="004D4AF0">
              <w:rPr>
                <w:rFonts w:cs="Arial"/>
                <w:iCs/>
                <w:szCs w:val="22"/>
                <w:lang w:val="en-NZ"/>
              </w:rPr>
              <w:t>[Signature]</w:t>
            </w:r>
          </w:p>
          <w:p w14:paraId="6BB4C999" w14:textId="6D99A67B" w:rsidR="002E42CF" w:rsidRPr="004D4AF0" w:rsidRDefault="002E42CF" w:rsidP="00B04C0B">
            <w:pPr>
              <w:spacing w:after="0"/>
              <w:rPr>
                <w:rFonts w:cs="Arial"/>
                <w:iCs/>
                <w:szCs w:val="22"/>
                <w:lang w:val="en-NZ"/>
              </w:rPr>
            </w:pPr>
            <w:r>
              <w:rPr>
                <w:rFonts w:cs="Arial"/>
                <w:iCs/>
                <w:szCs w:val="22"/>
                <w:lang w:val="en-NZ"/>
              </w:rPr>
              <w:t>0</w:t>
            </w:r>
            <w:r w:rsidR="00D9348E">
              <w:rPr>
                <w:rFonts w:cs="Arial"/>
                <w:iCs/>
                <w:szCs w:val="22"/>
                <w:lang w:val="en-NZ"/>
              </w:rPr>
              <w:t>3</w:t>
            </w:r>
            <w:r>
              <w:rPr>
                <w:rFonts w:cs="Arial"/>
                <w:iCs/>
                <w:szCs w:val="22"/>
                <w:lang w:val="en-NZ"/>
              </w:rPr>
              <w:t>/0</w:t>
            </w:r>
            <w:r w:rsidR="00E57C50">
              <w:rPr>
                <w:rFonts w:cs="Arial"/>
                <w:iCs/>
                <w:szCs w:val="22"/>
                <w:lang w:val="en-NZ"/>
              </w:rPr>
              <w:t>3</w:t>
            </w:r>
            <w:r>
              <w:rPr>
                <w:rFonts w:cs="Arial"/>
                <w:iCs/>
                <w:szCs w:val="22"/>
                <w:lang w:val="en-NZ"/>
              </w:rPr>
              <w:t>/2022</w:t>
            </w:r>
          </w:p>
          <w:p w14:paraId="11A6DF88" w14:textId="77777777" w:rsidR="002E42CF" w:rsidRPr="00A864A5" w:rsidRDefault="002E42CF" w:rsidP="00B04C0B">
            <w:pPr>
              <w:spacing w:after="0"/>
              <w:rPr>
                <w:rFonts w:cs="Arial"/>
                <w:iCs/>
                <w:color w:val="000000"/>
                <w:sz w:val="14"/>
                <w:szCs w:val="14"/>
                <w:lang w:val="en-NZ"/>
              </w:rPr>
            </w:pPr>
          </w:p>
        </w:tc>
      </w:tr>
      <w:tr w:rsidR="002E42CF" w:rsidRPr="00A864A5" w14:paraId="30B85133" w14:textId="77777777" w:rsidTr="00B04C0B">
        <w:tc>
          <w:tcPr>
            <w:tcW w:w="5000" w:type="pct"/>
            <w:gridSpan w:val="2"/>
            <w:tcBorders>
              <w:bottom w:val="single" w:sz="4" w:space="0" w:color="DDDDDD"/>
            </w:tcBorders>
            <w:shd w:val="clear" w:color="auto" w:fill="99CDDD"/>
            <w:hideMark/>
          </w:tcPr>
          <w:p w14:paraId="4F740388" w14:textId="5FA373B1" w:rsidR="002E42CF" w:rsidRPr="00A864A5" w:rsidRDefault="002E42CF" w:rsidP="00B04C0B">
            <w:pPr>
              <w:pStyle w:val="TableHeadings"/>
              <w:rPr>
                <w:color w:val="002060"/>
                <w:szCs w:val="22"/>
                <w:lang w:val="en-NZ"/>
              </w:rPr>
            </w:pPr>
            <w:r w:rsidRPr="00A864A5">
              <w:rPr>
                <w:szCs w:val="22"/>
                <w:lang w:val="en-NZ"/>
              </w:rPr>
              <w:t xml:space="preserve">Quality Assurance </w:t>
            </w:r>
          </w:p>
        </w:tc>
      </w:tr>
      <w:tr w:rsidR="002E42CF" w:rsidRPr="00A864A5" w14:paraId="59C8ABFE" w14:textId="77777777" w:rsidTr="00B04C0B">
        <w:trPr>
          <w:trHeight w:val="141"/>
        </w:trPr>
        <w:tc>
          <w:tcPr>
            <w:tcW w:w="1328" w:type="pct"/>
            <w:tcBorders>
              <w:top w:val="nil"/>
            </w:tcBorders>
            <w:shd w:val="clear" w:color="auto" w:fill="EBF5F8"/>
          </w:tcPr>
          <w:p w14:paraId="2A0FCE5F" w14:textId="77777777" w:rsidR="002E42CF" w:rsidRPr="00A864A5" w:rsidRDefault="002E42CF" w:rsidP="00B04C0B">
            <w:pPr>
              <w:rPr>
                <w:rFonts w:cs="Arial"/>
                <w:iCs/>
                <w:color w:val="000000"/>
                <w:szCs w:val="22"/>
                <w:lang w:val="en-NZ"/>
              </w:rPr>
            </w:pPr>
            <w:r w:rsidRPr="00A864A5">
              <w:rPr>
                <w:rFonts w:cs="Arial"/>
                <w:iCs/>
                <w:color w:val="000000"/>
                <w:szCs w:val="22"/>
                <w:lang w:val="en-NZ"/>
              </w:rPr>
              <w:t>Reviewing Agency:</w:t>
            </w:r>
          </w:p>
        </w:tc>
        <w:tc>
          <w:tcPr>
            <w:tcW w:w="3672" w:type="pct"/>
            <w:tcBorders>
              <w:top w:val="nil"/>
            </w:tcBorders>
            <w:shd w:val="clear" w:color="auto" w:fill="auto"/>
          </w:tcPr>
          <w:p w14:paraId="3B6CD8DF" w14:textId="42AB83A8" w:rsidR="002E42CF" w:rsidRPr="00A864A5" w:rsidRDefault="00AF6189" w:rsidP="00B04C0B">
            <w:pPr>
              <w:rPr>
                <w:rFonts w:cs="Arial"/>
                <w:iCs/>
                <w:color w:val="000000"/>
                <w:szCs w:val="22"/>
                <w:lang w:val="en-NZ"/>
              </w:rPr>
            </w:pPr>
            <w:r>
              <w:rPr>
                <w:rFonts w:cs="Arial"/>
                <w:szCs w:val="22"/>
                <w:lang w:val="en-NZ"/>
              </w:rPr>
              <w:t>Department of Internal Affairs (RIA panel)</w:t>
            </w:r>
          </w:p>
        </w:tc>
      </w:tr>
      <w:tr w:rsidR="002E42CF" w:rsidRPr="00A864A5" w14:paraId="643EBE3C" w14:textId="77777777" w:rsidTr="00B04C0B">
        <w:trPr>
          <w:trHeight w:val="1639"/>
        </w:trPr>
        <w:tc>
          <w:tcPr>
            <w:tcW w:w="1328" w:type="pct"/>
            <w:tcBorders>
              <w:top w:val="nil"/>
            </w:tcBorders>
            <w:shd w:val="clear" w:color="auto" w:fill="EBF5F8"/>
          </w:tcPr>
          <w:p w14:paraId="027B05F8" w14:textId="77777777" w:rsidR="002E42CF" w:rsidRPr="00A864A5" w:rsidRDefault="002E42CF" w:rsidP="00B04C0B">
            <w:pPr>
              <w:rPr>
                <w:rFonts w:cs="Arial"/>
                <w:iCs/>
                <w:color w:val="000000"/>
                <w:szCs w:val="22"/>
                <w:lang w:val="en-NZ"/>
              </w:rPr>
            </w:pPr>
            <w:r w:rsidRPr="00A864A5">
              <w:rPr>
                <w:rFonts w:cs="Arial"/>
                <w:iCs/>
                <w:color w:val="000000"/>
                <w:szCs w:val="22"/>
                <w:lang w:val="en-NZ"/>
              </w:rPr>
              <w:t>Panel Assessment &amp; Comment:</w:t>
            </w:r>
          </w:p>
        </w:tc>
        <w:tc>
          <w:tcPr>
            <w:tcW w:w="3672" w:type="pct"/>
            <w:tcBorders>
              <w:top w:val="nil"/>
            </w:tcBorders>
            <w:shd w:val="clear" w:color="auto" w:fill="auto"/>
          </w:tcPr>
          <w:p w14:paraId="1E81BF02" w14:textId="77777777" w:rsidR="00AF6189" w:rsidRPr="00AF6189" w:rsidRDefault="00AF6189" w:rsidP="00AF6189">
            <w:pPr>
              <w:rPr>
                <w:rFonts w:cs="Arial"/>
                <w:szCs w:val="22"/>
                <w:lang w:val="en-NZ"/>
              </w:rPr>
            </w:pPr>
            <w:r w:rsidRPr="00AF6189">
              <w:rPr>
                <w:rFonts w:cs="Arial"/>
                <w:szCs w:val="22"/>
                <w:lang w:val="en-NZ"/>
              </w:rPr>
              <w:t xml:space="preserve">The panel considers that the information and analysis summarised in the RIS </w:t>
            </w:r>
            <w:r w:rsidRPr="008E7188">
              <w:rPr>
                <w:rFonts w:cs="Arial"/>
                <w:i/>
                <w:iCs/>
                <w:szCs w:val="22"/>
                <w:lang w:val="en-NZ"/>
              </w:rPr>
              <w:t>partially meets</w:t>
            </w:r>
            <w:r w:rsidRPr="00AF6189">
              <w:rPr>
                <w:rFonts w:cs="Arial"/>
                <w:szCs w:val="22"/>
                <w:lang w:val="en-NZ"/>
              </w:rPr>
              <w:t xml:space="preserve"> the quality assurance criteria.</w:t>
            </w:r>
          </w:p>
          <w:p w14:paraId="44A0B4A4" w14:textId="50A0C4D2" w:rsidR="002E42CF" w:rsidRPr="00A864A5" w:rsidRDefault="00AF6189" w:rsidP="00AF6189">
            <w:pPr>
              <w:rPr>
                <w:rFonts w:cs="Arial"/>
                <w:iCs/>
                <w:color w:val="000000"/>
                <w:szCs w:val="22"/>
                <w:lang w:val="en-NZ"/>
              </w:rPr>
            </w:pPr>
            <w:r w:rsidRPr="00AF6189">
              <w:rPr>
                <w:rFonts w:cs="Arial"/>
                <w:szCs w:val="22"/>
                <w:lang w:val="en-NZ"/>
              </w:rPr>
              <w:t xml:space="preserve">The RIS clearly explains a complex cost recovery issue using plain English and describes the problem to be addressed, the issues impacting on the current situation and sets out the options indicated by Ministerial direction. Assumptions, </w:t>
            </w:r>
            <w:proofErr w:type="gramStart"/>
            <w:r w:rsidRPr="00AF6189">
              <w:rPr>
                <w:rFonts w:cs="Arial"/>
                <w:szCs w:val="22"/>
                <w:lang w:val="en-NZ"/>
              </w:rPr>
              <w:t>constraints</w:t>
            </w:r>
            <w:proofErr w:type="gramEnd"/>
            <w:r w:rsidRPr="00AF6189">
              <w:rPr>
                <w:rFonts w:cs="Arial"/>
                <w:szCs w:val="22"/>
                <w:lang w:val="en-NZ"/>
              </w:rPr>
              <w:t xml:space="preserve"> and uncertainties are clearly identified. The RIS identifies potential impacts from options. The RIS reflects an unclear status quo </w:t>
            </w:r>
            <w:r w:rsidRPr="00AF6189">
              <w:rPr>
                <w:rFonts w:cs="Arial"/>
                <w:szCs w:val="22"/>
                <w:lang w:val="en-NZ"/>
              </w:rPr>
              <w:lastRenderedPageBreak/>
              <w:t>resulting from interim approaches to cost recovery in 2015 and 2018, and the subsequent impact of Covid-19 on service demand. The RIS acknowledges and justifies that no public consultation has occurred, owing to the absence of policy options and the demand surge risks of publicly foreshadowing an increase in fees.</w:t>
            </w:r>
          </w:p>
        </w:tc>
      </w:tr>
    </w:tbl>
    <w:p w14:paraId="5614FFA7" w14:textId="77777777" w:rsidR="002E42CF" w:rsidRDefault="002E42CF" w:rsidP="00F578DB">
      <w:pPr>
        <w:pStyle w:val="Heading2"/>
        <w:rPr>
          <w:lang w:val="en-NZ"/>
        </w:rPr>
      </w:pPr>
    </w:p>
    <w:p w14:paraId="7EA08D2B" w14:textId="77777777" w:rsidR="002E42CF" w:rsidRDefault="002E42CF" w:rsidP="002E42CF">
      <w:pPr>
        <w:spacing w:after="0" w:line="240" w:lineRule="auto"/>
        <w:rPr>
          <w:rFonts w:ascii="Arial Bold" w:hAnsi="Arial Bold"/>
          <w:b/>
          <w:color w:val="0082AB"/>
          <w:spacing w:val="20"/>
          <w:w w:val="90"/>
          <w:sz w:val="32"/>
          <w:szCs w:val="24"/>
          <w:lang w:val="en-NZ"/>
        </w:rPr>
      </w:pPr>
      <w:r>
        <w:rPr>
          <w:lang w:val="en-NZ"/>
        </w:rPr>
        <w:br w:type="page"/>
      </w:r>
    </w:p>
    <w:p w14:paraId="7FA89E41" w14:textId="1B1BD841" w:rsidR="00A92C86" w:rsidRDefault="00A92C86">
      <w:pPr>
        <w:spacing w:after="0" w:line="240" w:lineRule="auto"/>
        <w:rPr>
          <w:b/>
          <w:color w:val="0082AB"/>
          <w:spacing w:val="20"/>
          <w:w w:val="90"/>
          <w:sz w:val="44"/>
          <w:szCs w:val="44"/>
          <w:lang w:val="en-NZ"/>
        </w:rPr>
      </w:pPr>
    </w:p>
    <w:p w14:paraId="49917698" w14:textId="00E22B6D" w:rsidR="005267AD" w:rsidRDefault="005267AD" w:rsidP="00A276DD">
      <w:pPr>
        <w:pStyle w:val="Heading1"/>
        <w:spacing w:before="0" w:line="240" w:lineRule="atLeast"/>
      </w:pPr>
      <w:r>
        <w:t>Passport and travel document fees</w:t>
      </w:r>
    </w:p>
    <w:p w14:paraId="6C7F78C3" w14:textId="36AD0A2C" w:rsidR="008D5CD9" w:rsidRDefault="00F578DB" w:rsidP="00A276DD">
      <w:pPr>
        <w:pStyle w:val="Heading1"/>
        <w:spacing w:before="0" w:line="240" w:lineRule="atLeast"/>
      </w:pPr>
      <w:r>
        <w:t>Regulatory I</w:t>
      </w:r>
      <w:r w:rsidR="008D5CD9" w:rsidRPr="008C2DE9">
        <w:t>mpact Statement</w:t>
      </w:r>
      <w:bookmarkEnd w:id="0"/>
      <w:bookmarkEnd w:id="1"/>
      <w:bookmarkEnd w:id="2"/>
      <w:bookmarkEnd w:id="3"/>
      <w:bookmarkEnd w:id="4"/>
      <w:bookmarkEnd w:id="5"/>
      <w:bookmarkEnd w:id="6"/>
      <w:bookmarkEnd w:id="7"/>
    </w:p>
    <w:p w14:paraId="1958D1AB" w14:textId="42B25F8B" w:rsidR="008D5CD9" w:rsidRDefault="00060D21" w:rsidP="00F578DB">
      <w:pPr>
        <w:pStyle w:val="Heading2"/>
      </w:pPr>
      <w:bookmarkStart w:id="19" w:name="_Toc362368103"/>
      <w:bookmarkStart w:id="20" w:name="_Toc362434944"/>
      <w:bookmarkStart w:id="21" w:name="_Toc362589330"/>
      <w:bookmarkStart w:id="22" w:name="_Toc362619030"/>
      <w:bookmarkStart w:id="23" w:name="_Toc362940594"/>
      <w:bookmarkStart w:id="24" w:name="_Toc363047102"/>
      <w:r>
        <w:t>Context</w:t>
      </w:r>
      <w:bookmarkEnd w:id="19"/>
      <w:bookmarkEnd w:id="20"/>
      <w:bookmarkEnd w:id="21"/>
      <w:bookmarkEnd w:id="22"/>
      <w:bookmarkEnd w:id="23"/>
      <w:bookmarkEnd w:id="24"/>
    </w:p>
    <w:p w14:paraId="7F705473" w14:textId="119C9D45" w:rsidR="00EE0ABA" w:rsidRDefault="00EE0ABA" w:rsidP="00F113D2">
      <w:pPr>
        <w:pStyle w:val="Bullet-list"/>
        <w:numPr>
          <w:ilvl w:val="0"/>
          <w:numId w:val="0"/>
        </w:numPr>
        <w:jc w:val="both"/>
      </w:pPr>
      <w:r>
        <w:t xml:space="preserve">One of the responsibilities of the Department of Internal Affairs is the issuance of passports and travel documents. </w:t>
      </w:r>
      <w:r w:rsidR="00E44273">
        <w:t>The term t</w:t>
      </w:r>
      <w:r>
        <w:t xml:space="preserve">ravel documents </w:t>
      </w:r>
      <w:proofErr w:type="gramStart"/>
      <w:r w:rsidR="000870D5">
        <w:t>refers</w:t>
      </w:r>
      <w:proofErr w:type="gramEnd"/>
      <w:r w:rsidR="000870D5">
        <w:t xml:space="preserve"> to r</w:t>
      </w:r>
      <w:r>
        <w:t xml:space="preserve">efugee </w:t>
      </w:r>
      <w:r w:rsidR="000870D5">
        <w:t>t</w:t>
      </w:r>
      <w:r>
        <w:t xml:space="preserve">ravel </w:t>
      </w:r>
      <w:r w:rsidR="000870D5">
        <w:t>d</w:t>
      </w:r>
      <w:r>
        <w:t xml:space="preserve">ocuments, </w:t>
      </w:r>
      <w:r w:rsidR="000870D5">
        <w:t>e</w:t>
      </w:r>
      <w:r>
        <w:t xml:space="preserve">mergency </w:t>
      </w:r>
      <w:r w:rsidR="000870D5">
        <w:t>t</w:t>
      </w:r>
      <w:r>
        <w:t xml:space="preserve">ravel </w:t>
      </w:r>
      <w:r w:rsidR="000870D5">
        <w:t>d</w:t>
      </w:r>
      <w:r>
        <w:t xml:space="preserve">ocuments and </w:t>
      </w:r>
      <w:r w:rsidR="000870D5">
        <w:t>c</w:t>
      </w:r>
      <w:r>
        <w:t xml:space="preserve">ertificates of </w:t>
      </w:r>
      <w:r w:rsidR="000870D5">
        <w:t>i</w:t>
      </w:r>
      <w:r>
        <w:t xml:space="preserve">dentity. </w:t>
      </w:r>
    </w:p>
    <w:p w14:paraId="39EE7F9C" w14:textId="0D743630" w:rsidR="00B04DB0" w:rsidRDefault="00EE0ABA" w:rsidP="00F113D2">
      <w:pPr>
        <w:pStyle w:val="Bullet-list"/>
        <w:numPr>
          <w:ilvl w:val="0"/>
          <w:numId w:val="0"/>
        </w:numPr>
        <w:jc w:val="both"/>
      </w:pPr>
      <w:r>
        <w:t xml:space="preserve">Expenses incurred by the Department in the issuance of these documents </w:t>
      </w:r>
      <w:r w:rsidR="001F3ECD">
        <w:t xml:space="preserve">are </w:t>
      </w:r>
      <w:r>
        <w:t>met from the fees (revenue) paid by the applicants. These fees are paid into the Passports Memorandum Account</w:t>
      </w:r>
      <w:r w:rsidR="00E10CEB">
        <w:t xml:space="preserve"> (PMA)</w:t>
      </w:r>
      <w:r>
        <w:t xml:space="preserve">. </w:t>
      </w:r>
      <w:r w:rsidR="00096116">
        <w:t xml:space="preserve"> </w:t>
      </w:r>
    </w:p>
    <w:p w14:paraId="42F197DB" w14:textId="746A54A5" w:rsidR="00096116" w:rsidRDefault="00096116" w:rsidP="00F113D2">
      <w:pPr>
        <w:pStyle w:val="Bullet-list"/>
        <w:numPr>
          <w:ilvl w:val="0"/>
          <w:numId w:val="0"/>
        </w:numPr>
        <w:jc w:val="both"/>
      </w:pPr>
      <w:r>
        <w:t xml:space="preserve">Memorandum accounts were first established in 1995 </w:t>
      </w:r>
      <w:proofErr w:type="gramStart"/>
      <w:r>
        <w:t>as a way to</w:t>
      </w:r>
      <w:proofErr w:type="gramEnd"/>
      <w:r>
        <w:t xml:space="preserve"> improve transparency around goods and services that are fully cost recovered from third parties through fees, levies or charges and to </w:t>
      </w:r>
      <w:r w:rsidR="00B04DB0">
        <w:t xml:space="preserve">provide a genuine commitment from departments to not benefit from over-recovery. The balance of memorandum accounts is expected by Treasury, to trend to zero over a reasonable </w:t>
      </w:r>
      <w:proofErr w:type="gramStart"/>
      <w:r w:rsidR="00B04DB0">
        <w:t>period of time</w:t>
      </w:r>
      <w:proofErr w:type="gramEnd"/>
      <w:r w:rsidR="00B04DB0">
        <w:t xml:space="preserve">, with interim deficits being met from departmental balance sheets or by a capital injection from the Crown. </w:t>
      </w:r>
      <w:r w:rsidR="00B04DB0">
        <w:rPr>
          <w:rStyle w:val="FootnoteReference"/>
        </w:rPr>
        <w:footnoteReference w:id="4"/>
      </w:r>
    </w:p>
    <w:p w14:paraId="514C1530" w14:textId="3E4F8071" w:rsidR="00B04DB0" w:rsidRDefault="00885EE5" w:rsidP="00F113D2">
      <w:pPr>
        <w:pStyle w:val="Bullet-list"/>
        <w:numPr>
          <w:ilvl w:val="0"/>
          <w:numId w:val="0"/>
        </w:numPr>
        <w:jc w:val="both"/>
      </w:pPr>
      <w:r>
        <w:t xml:space="preserve">The Department’s policy is to review fees </w:t>
      </w:r>
      <w:r w:rsidR="00E10CEB">
        <w:t>every three years to ensure that</w:t>
      </w:r>
      <w:r w:rsidR="00B04DB0">
        <w:t>:</w:t>
      </w:r>
    </w:p>
    <w:p w14:paraId="3019FF21" w14:textId="500838F8" w:rsidR="00B04DB0" w:rsidRDefault="00E10CEB" w:rsidP="00B04DB0">
      <w:pPr>
        <w:pStyle w:val="Bullet-list"/>
        <w:numPr>
          <w:ilvl w:val="0"/>
          <w:numId w:val="33"/>
        </w:numPr>
        <w:jc w:val="both"/>
      </w:pPr>
      <w:r>
        <w:t xml:space="preserve">revenue meets the forecasted expenses </w:t>
      </w:r>
      <w:r w:rsidR="005D66C1">
        <w:t xml:space="preserve">over a reasonable </w:t>
      </w:r>
      <w:proofErr w:type="gramStart"/>
      <w:r w:rsidR="005D66C1">
        <w:t>period</w:t>
      </w:r>
      <w:r w:rsidR="00B04DB0">
        <w:t>;</w:t>
      </w:r>
      <w:proofErr w:type="gramEnd"/>
    </w:p>
    <w:p w14:paraId="20954EDD" w14:textId="7D6B7235" w:rsidR="00B04DB0" w:rsidRDefault="00B04DB0" w:rsidP="00B04DB0">
      <w:pPr>
        <w:pStyle w:val="Bullet-list"/>
        <w:numPr>
          <w:ilvl w:val="0"/>
          <w:numId w:val="33"/>
        </w:numPr>
        <w:jc w:val="both"/>
      </w:pPr>
      <w:r>
        <w:t>t</w:t>
      </w:r>
      <w:r w:rsidR="00E10CEB">
        <w:t>he balance of the PMA does not move into deficit or an excessive surplus</w:t>
      </w:r>
      <w:r>
        <w:t>; and</w:t>
      </w:r>
    </w:p>
    <w:p w14:paraId="1364BCFC" w14:textId="7399B105" w:rsidR="00EE0ABA" w:rsidRDefault="00B04DB0" w:rsidP="00B16D8B">
      <w:pPr>
        <w:pStyle w:val="Bullet-list"/>
        <w:numPr>
          <w:ilvl w:val="0"/>
          <w:numId w:val="33"/>
        </w:numPr>
        <w:jc w:val="both"/>
      </w:pPr>
      <w:r>
        <w:t>costs are not over-recovered.</w:t>
      </w:r>
      <w:r w:rsidR="00E10CEB">
        <w:t xml:space="preserve">     </w:t>
      </w:r>
    </w:p>
    <w:p w14:paraId="49F03D20" w14:textId="3FDF4653" w:rsidR="00563A12" w:rsidRDefault="00563A12" w:rsidP="00F113D2">
      <w:pPr>
        <w:pStyle w:val="Bullet-list"/>
        <w:numPr>
          <w:ilvl w:val="0"/>
          <w:numId w:val="0"/>
        </w:numPr>
        <w:jc w:val="both"/>
      </w:pPr>
      <w:r>
        <w:t xml:space="preserve">    </w:t>
      </w:r>
    </w:p>
    <w:p w14:paraId="3A14C87F" w14:textId="59FF0494" w:rsidR="001F4903" w:rsidRDefault="001F4903" w:rsidP="00E24F0A">
      <w:pPr>
        <w:pStyle w:val="Heading2"/>
      </w:pPr>
      <w:bookmarkStart w:id="25" w:name="_Toc362368104"/>
      <w:bookmarkStart w:id="26" w:name="_Toc362434945"/>
      <w:bookmarkStart w:id="27" w:name="_Toc362589331"/>
      <w:bookmarkStart w:id="28" w:name="_Toc362619031"/>
      <w:bookmarkStart w:id="29" w:name="_Toc362940595"/>
      <w:bookmarkStart w:id="30" w:name="_Toc363047103"/>
      <w:r>
        <w:t xml:space="preserve">Background </w:t>
      </w:r>
      <w:r w:rsidR="009D2402">
        <w:t>to</w:t>
      </w:r>
      <w:r w:rsidR="000600CA">
        <w:t xml:space="preserve"> </w:t>
      </w:r>
      <w:r w:rsidR="00B6646A">
        <w:t xml:space="preserve">recent </w:t>
      </w:r>
      <w:r w:rsidR="009D2402">
        <w:t>fee changes</w:t>
      </w:r>
      <w:r w:rsidRPr="00082653">
        <w:t xml:space="preserve"> </w:t>
      </w:r>
    </w:p>
    <w:p w14:paraId="35E40959" w14:textId="5AFEF023" w:rsidR="001F4903" w:rsidRDefault="001F4903" w:rsidP="001F4903">
      <w:pPr>
        <w:pStyle w:val="Bullet-list"/>
        <w:numPr>
          <w:ilvl w:val="0"/>
          <w:numId w:val="0"/>
        </w:numPr>
        <w:jc w:val="both"/>
      </w:pPr>
      <w:r>
        <w:t xml:space="preserve">In 2005 </w:t>
      </w:r>
      <w:r w:rsidR="00C416CA">
        <w:t>the Government</w:t>
      </w:r>
      <w:r w:rsidR="00EE0AF9">
        <w:t xml:space="preserve"> </w:t>
      </w:r>
      <w:r w:rsidR="00C416CA">
        <w:t xml:space="preserve">reduced </w:t>
      </w:r>
      <w:r>
        <w:t xml:space="preserve">the validity period of an adult passport from ten years to five years, following the </w:t>
      </w:r>
      <w:r w:rsidR="002A0B63">
        <w:t xml:space="preserve">2001 terrorist </w:t>
      </w:r>
      <w:r>
        <w:t xml:space="preserve">attack on the World Trade Centre. The international experience at that time was that the ten-year validity period was too long because counterfeiting techniques were becoming more sophisticated. In August 2013 the Government agreed to extend the maximum validity period to five years and nine months. This was to address a concern that some New Zealanders were unable to use the full five-year validity period of their passport given the entry requirements of some countries that require a passport to be valid for up to six months beyond the date of entry. </w:t>
      </w:r>
    </w:p>
    <w:p w14:paraId="5AD9113F" w14:textId="7A64A9A1" w:rsidR="00B6646A" w:rsidRDefault="00B6646A" w:rsidP="001F4903">
      <w:pPr>
        <w:pStyle w:val="Bullet-list"/>
        <w:numPr>
          <w:ilvl w:val="0"/>
          <w:numId w:val="0"/>
        </w:numPr>
        <w:jc w:val="both"/>
      </w:pPr>
      <w:r>
        <w:t xml:space="preserve">In September 2012 the fee for adult passports was reduced by up to nineteen percent (below the cost of production) to absorb a PMA surplus of $27.7m. As a result of this reduction the balance of the PMA had a deficit of $2m by December 2014. The forecast at that time was that the deficit would increase to $30m by July 2016.   </w:t>
      </w:r>
    </w:p>
    <w:p w14:paraId="56B6C40F" w14:textId="4AFD616B" w:rsidR="00E24F0A" w:rsidRDefault="00601F4F" w:rsidP="001F4903">
      <w:pPr>
        <w:pStyle w:val="Bullet-list"/>
        <w:numPr>
          <w:ilvl w:val="0"/>
          <w:numId w:val="0"/>
        </w:numPr>
        <w:jc w:val="both"/>
      </w:pPr>
      <w:r>
        <w:lastRenderedPageBreak/>
        <w:t xml:space="preserve">On 25 May </w:t>
      </w:r>
      <w:r w:rsidR="001F4903">
        <w:t>2015</w:t>
      </w:r>
      <w:r w:rsidR="00EE0AF9">
        <w:rPr>
          <w:rStyle w:val="FootnoteReference"/>
        </w:rPr>
        <w:footnoteReference w:id="5"/>
      </w:r>
      <w:r w:rsidR="001F4903">
        <w:t xml:space="preserve">, in acknowledgement of improved security through the introduction of the biometric chip, the </w:t>
      </w:r>
      <w:r w:rsidR="008B324A">
        <w:t xml:space="preserve">Government agreed to return the </w:t>
      </w:r>
      <w:r w:rsidR="001F4903">
        <w:t xml:space="preserve">validity period of an adult passport to ten years. This change created a cycle of reduced demand for adult passports over five years every ten years. In 2015 it was estimated </w:t>
      </w:r>
      <w:r w:rsidR="008B324A">
        <w:t xml:space="preserve">by the Department </w:t>
      </w:r>
      <w:r w:rsidR="001F4903">
        <w:t xml:space="preserve">that a 30% fee increase would be required to ensure that the cost of issuance would continue to be met from fees without Crown funding. </w:t>
      </w:r>
    </w:p>
    <w:p w14:paraId="0F24A972" w14:textId="0A5E0EB1" w:rsidR="008F2B6F" w:rsidRPr="00E10CEB" w:rsidRDefault="00601F4F" w:rsidP="001F4903">
      <w:pPr>
        <w:pStyle w:val="Bullet-list"/>
        <w:numPr>
          <w:ilvl w:val="0"/>
          <w:numId w:val="0"/>
        </w:numPr>
        <w:jc w:val="both"/>
      </w:pPr>
      <w:bookmarkStart w:id="31" w:name="_Hlk97041779"/>
      <w:r>
        <w:t xml:space="preserve">On 12 November </w:t>
      </w:r>
      <w:r w:rsidR="001F4903">
        <w:t>2018</w:t>
      </w:r>
      <w:r w:rsidR="00EE0AF9">
        <w:rPr>
          <w:rStyle w:val="FootnoteReference"/>
        </w:rPr>
        <w:footnoteReference w:id="6"/>
      </w:r>
      <w:r w:rsidR="001F4903">
        <w:t xml:space="preserve"> Government agreed to increase fees by 6.10% and to make available repayable capital injections of $65-$80m over 2023-26. </w:t>
      </w:r>
      <w:r w:rsidR="005104FC" w:rsidRPr="00E10CEB">
        <w:t xml:space="preserve">The Cabinet </w:t>
      </w:r>
      <w:r w:rsidR="008F2B6F" w:rsidRPr="00E10CEB">
        <w:t xml:space="preserve">Government and Expenditure Review </w:t>
      </w:r>
      <w:r w:rsidR="005104FC" w:rsidRPr="00E10CEB">
        <w:t>Committee</w:t>
      </w:r>
      <w:r w:rsidR="008F2B6F" w:rsidRPr="00E10CEB">
        <w:t xml:space="preserve">, </w:t>
      </w:r>
      <w:r w:rsidR="001E14CD" w:rsidRPr="00E10CEB">
        <w:t>agreed the following recommendations i</w:t>
      </w:r>
      <w:r w:rsidR="008F2B6F" w:rsidRPr="00E10CEB">
        <w:t>n re</w:t>
      </w:r>
      <w:r w:rsidR="00E10CEB">
        <w:t xml:space="preserve">spect of </w:t>
      </w:r>
      <w:r w:rsidR="008F2B6F" w:rsidRPr="00E10CEB">
        <w:t>cost recovery</w:t>
      </w:r>
      <w:r w:rsidR="001E14CD" w:rsidRPr="00E10CEB">
        <w:t>:</w:t>
      </w:r>
    </w:p>
    <w:p w14:paraId="12D1B83E" w14:textId="052D46BE" w:rsidR="005104FC" w:rsidRPr="00E10CEB" w:rsidRDefault="008F2B6F" w:rsidP="008F2B6F">
      <w:pPr>
        <w:pStyle w:val="Bullet-list"/>
        <w:numPr>
          <w:ilvl w:val="0"/>
          <w:numId w:val="30"/>
        </w:numPr>
        <w:jc w:val="both"/>
        <w:rPr>
          <w:i/>
        </w:rPr>
      </w:pPr>
      <w:r w:rsidRPr="00E10CEB">
        <w:rPr>
          <w:i/>
        </w:rPr>
        <w:t xml:space="preserve">note that in 2015, passport and travel document fees were set lower than cost recovery levels, only covering the first five years of the passport </w:t>
      </w:r>
      <w:proofErr w:type="gramStart"/>
      <w:r w:rsidRPr="00E10CEB">
        <w:rPr>
          <w:i/>
        </w:rPr>
        <w:t>lifecycle;</w:t>
      </w:r>
      <w:proofErr w:type="gramEnd"/>
      <w:r w:rsidRPr="00E10CEB">
        <w:rPr>
          <w:i/>
        </w:rPr>
        <w:t xml:space="preserve"> </w:t>
      </w:r>
    </w:p>
    <w:p w14:paraId="131168C0" w14:textId="0A1234C6" w:rsidR="008F2B6F" w:rsidRPr="00E10CEB" w:rsidRDefault="008F2B6F" w:rsidP="00E10CEB">
      <w:pPr>
        <w:pStyle w:val="Bullet-list"/>
        <w:numPr>
          <w:ilvl w:val="0"/>
          <w:numId w:val="31"/>
        </w:numPr>
        <w:jc w:val="both"/>
        <w:rPr>
          <w:i/>
        </w:rPr>
      </w:pPr>
      <w:r w:rsidRPr="00E10CEB">
        <w:rPr>
          <w:i/>
        </w:rPr>
        <w:t xml:space="preserve">agree to passport and travel document fees increases to balance the Passport Memorandum Account at zero over the </w:t>
      </w:r>
      <w:r w:rsidR="00E10CEB" w:rsidRPr="00E10CEB">
        <w:rPr>
          <w:i/>
        </w:rPr>
        <w:t>ten-year</w:t>
      </w:r>
      <w:r w:rsidRPr="00E10CEB">
        <w:rPr>
          <w:i/>
        </w:rPr>
        <w:t xml:space="preserve"> period from 2019 to 2029;’ </w:t>
      </w:r>
    </w:p>
    <w:bookmarkEnd w:id="31"/>
    <w:p w14:paraId="084768A9" w14:textId="4754300F" w:rsidR="001F4903" w:rsidRDefault="001F4903" w:rsidP="001F4903">
      <w:pPr>
        <w:pStyle w:val="Bullet-list"/>
        <w:numPr>
          <w:ilvl w:val="0"/>
          <w:numId w:val="0"/>
        </w:numPr>
        <w:jc w:val="both"/>
      </w:pPr>
      <w:r>
        <w:t>The</w:t>
      </w:r>
      <w:r w:rsidR="008F2B6F">
        <w:t xml:space="preserve"> agreed capital </w:t>
      </w:r>
      <w:r>
        <w:t>injections have not been drawn down</w:t>
      </w:r>
      <w:r w:rsidR="00E24F0A">
        <w:t xml:space="preserve">, as they were not scheduled to be drawn down until 2023, </w:t>
      </w:r>
      <w:r w:rsidR="00D51BBE">
        <w:t xml:space="preserve">as </w:t>
      </w:r>
      <w:r w:rsidR="00E24F0A">
        <w:t>if demand for passports ha</w:t>
      </w:r>
      <w:r w:rsidR="00D51BBE">
        <w:t>d</w:t>
      </w:r>
      <w:r w:rsidR="00E24F0A">
        <w:t xml:space="preserve"> continued at previous levels the passport issuance would have moved closer to full cost recovery.</w:t>
      </w:r>
      <w:r w:rsidR="003E5D09">
        <w:t xml:space="preserve"> The forecasting for this fee review also indicated that a further increase of 6.10% would be required in 2021/22, this would however </w:t>
      </w:r>
      <w:r w:rsidR="00D51BBE">
        <w:t xml:space="preserve">have </w:t>
      </w:r>
      <w:r w:rsidR="003E5D09">
        <w:t>been subject to the results of the reforecasting and Government approval.</w:t>
      </w:r>
      <w:r w:rsidR="00E24F0A">
        <w:t xml:space="preserve">  </w:t>
      </w:r>
      <w:r w:rsidR="003E5D09">
        <w:t xml:space="preserve"> </w:t>
      </w:r>
      <w:r>
        <w:t xml:space="preserve"> </w:t>
      </w:r>
    </w:p>
    <w:p w14:paraId="3686E041" w14:textId="23F58BAE" w:rsidR="001F4903" w:rsidRDefault="001F4903" w:rsidP="001F4903">
      <w:pPr>
        <w:pStyle w:val="Bullet-list"/>
        <w:numPr>
          <w:ilvl w:val="0"/>
          <w:numId w:val="0"/>
        </w:numPr>
        <w:jc w:val="both"/>
      </w:pPr>
      <w:r>
        <w:t xml:space="preserve">COVID-19 travel restrictions have </w:t>
      </w:r>
      <w:r w:rsidR="00E24F0A">
        <w:t xml:space="preserve">significantly </w:t>
      </w:r>
      <w:r>
        <w:t xml:space="preserve">reduced demand </w:t>
      </w:r>
      <w:r w:rsidR="00E24F0A">
        <w:t>for passports and travel document</w:t>
      </w:r>
      <w:r w:rsidR="00D51BBE">
        <w:t>s</w:t>
      </w:r>
      <w:r w:rsidR="00E24F0A">
        <w:t>. O</w:t>
      </w:r>
      <w:r>
        <w:t xml:space="preserve">ver the March 2020-December 2021 period 516,033 fewer passports than forecasted were issued. Included in this figure are an estimated 140,000 first time passports. </w:t>
      </w:r>
      <w:r w:rsidR="00E24F0A">
        <w:t>This and the cycle of reduced demand created in 2015 ha</w:t>
      </w:r>
      <w:r w:rsidR="00D51BBE">
        <w:t>ve</w:t>
      </w:r>
      <w:r w:rsidR="00E24F0A">
        <w:t xml:space="preserve"> resulted in the deficit forecast. </w:t>
      </w:r>
    </w:p>
    <w:p w14:paraId="672C6F1D" w14:textId="51129364" w:rsidR="001F4903" w:rsidRDefault="001F4903" w:rsidP="001F4903">
      <w:pPr>
        <w:pStyle w:val="Bullet-list"/>
        <w:numPr>
          <w:ilvl w:val="0"/>
          <w:numId w:val="0"/>
        </w:numPr>
        <w:jc w:val="both"/>
      </w:pPr>
      <w:r>
        <w:t>In Budget 21 Government provided the Department with a repayable capital injection of $31</w:t>
      </w:r>
      <w:r w:rsidR="006C60D9">
        <w:t>m to</w:t>
      </w:r>
      <w:r>
        <w:t xml:space="preserve"> prevent the PMA moving into a deficit position in 2021/22.  As a result of the continuance of reduced demand the PMA is now forecasted to move into a deficit position in 2022/23.  Without a combination of fee increases and capital injections the deficit in the PMA is forecasted to reach $3</w:t>
      </w:r>
      <w:r w:rsidR="009C0E2C">
        <w:t>6</w:t>
      </w:r>
      <w:r w:rsidR="00D66635">
        <w:t>5.8</w:t>
      </w:r>
      <w:r>
        <w:t>m by 30 June 2037. Without fee increases and repayable capital injections the Department will be unable to continue to issue passports.</w:t>
      </w:r>
    </w:p>
    <w:p w14:paraId="3EF277CF" w14:textId="37D3558B" w:rsidR="008D5CD9" w:rsidRDefault="008D5CD9" w:rsidP="00E24F0A">
      <w:pPr>
        <w:pStyle w:val="Heading2"/>
      </w:pPr>
      <w:r w:rsidRPr="00082653">
        <w:t xml:space="preserve">Status quo </w:t>
      </w:r>
      <w:bookmarkEnd w:id="25"/>
      <w:bookmarkEnd w:id="26"/>
      <w:bookmarkEnd w:id="27"/>
      <w:bookmarkEnd w:id="28"/>
      <w:bookmarkEnd w:id="29"/>
      <w:bookmarkEnd w:id="30"/>
    </w:p>
    <w:p w14:paraId="39AB0101" w14:textId="0686C733" w:rsidR="004B4AB0" w:rsidRDefault="004B4AB0" w:rsidP="004B4AB0">
      <w:pPr>
        <w:pStyle w:val="Bullet-list"/>
        <w:numPr>
          <w:ilvl w:val="0"/>
          <w:numId w:val="0"/>
        </w:numPr>
        <w:jc w:val="both"/>
      </w:pPr>
      <w:r>
        <w:t xml:space="preserve">The desired policy outcomes from this proposal are to give effect to the Department’s and the Minister’s objective of returning passport and travel document issuance to full cost recovery and </w:t>
      </w:r>
      <w:r w:rsidR="000F0F21">
        <w:t>returning to a neutral</w:t>
      </w:r>
      <w:r>
        <w:t xml:space="preserve"> balance </w:t>
      </w:r>
      <w:r w:rsidR="000F0F21">
        <w:t>in</w:t>
      </w:r>
      <w:r>
        <w:t xml:space="preserve"> the PMA by 2037.  </w:t>
      </w:r>
    </w:p>
    <w:p w14:paraId="76EB287F" w14:textId="77777777" w:rsidR="005116C8" w:rsidRDefault="005116C8" w:rsidP="008A67DB">
      <w:pPr>
        <w:pStyle w:val="Bullet-list"/>
        <w:numPr>
          <w:ilvl w:val="0"/>
          <w:numId w:val="0"/>
        </w:numPr>
        <w:jc w:val="both"/>
      </w:pPr>
      <w:r>
        <w:t xml:space="preserve">Passport and travel documents are required to enable New Zealand citizens to travel overseas but they are also used as a means of identification within New Zealand to enable New Zealanders to access government and other services. </w:t>
      </w:r>
      <w:r w:rsidR="005159CE">
        <w:t xml:space="preserve">The provision of travel documents is a core government function. </w:t>
      </w:r>
    </w:p>
    <w:p w14:paraId="367D8A58" w14:textId="407FDAB1" w:rsidR="005159CE" w:rsidRDefault="005159CE" w:rsidP="008A67DB">
      <w:pPr>
        <w:pStyle w:val="Bullet-list"/>
        <w:numPr>
          <w:ilvl w:val="0"/>
          <w:numId w:val="0"/>
        </w:numPr>
        <w:jc w:val="both"/>
      </w:pPr>
      <w:r>
        <w:t xml:space="preserve">The passport service is funded on a cost-recovery basis (which </w:t>
      </w:r>
      <w:r w:rsidR="00E24F0A">
        <w:t xml:space="preserve">currently </w:t>
      </w:r>
      <w:r>
        <w:t xml:space="preserve">includes repayable capital injections) by charging applicants passport and travel document fees. The authority to </w:t>
      </w:r>
      <w:r>
        <w:lastRenderedPageBreak/>
        <w:t xml:space="preserve">set passport and travel document fees is established under the Passports Act 1992 and </w:t>
      </w:r>
      <w:r w:rsidR="00E24F0A">
        <w:t xml:space="preserve">is regulated for in </w:t>
      </w:r>
      <w:r>
        <w:t xml:space="preserve">the Passport (Fees) Regulations 2015. </w:t>
      </w:r>
    </w:p>
    <w:p w14:paraId="4DE6093C" w14:textId="76530E86" w:rsidR="00795F7E" w:rsidRDefault="00795F7E" w:rsidP="00795F7E">
      <w:pPr>
        <w:pStyle w:val="Bullet-list"/>
        <w:numPr>
          <w:ilvl w:val="0"/>
          <w:numId w:val="0"/>
        </w:numPr>
        <w:jc w:val="both"/>
      </w:pPr>
      <w:r>
        <w:t>Only expenses incurred in the production of passports and travel documents can be deducted from the Passports Memorandum Account</w:t>
      </w:r>
      <w:r w:rsidR="00D51BBE">
        <w:t>. T</w:t>
      </w:r>
      <w:r>
        <w:t xml:space="preserve">hese expenses include, but are not limited to, </w:t>
      </w:r>
      <w:r w:rsidR="00D51BBE">
        <w:t xml:space="preserve">the costs of </w:t>
      </w:r>
      <w:r>
        <w:t>personnel, accommodation, corporate support, passport books, information technology costs incurred in the maintenance and support of passports systems and costs incurred in system development and its eventual replacement.</w:t>
      </w:r>
    </w:p>
    <w:p w14:paraId="50C4E710" w14:textId="6B6127BC" w:rsidR="000600CA" w:rsidRDefault="00795F7E" w:rsidP="00795F7E">
      <w:pPr>
        <w:pStyle w:val="Bullet-list"/>
        <w:numPr>
          <w:ilvl w:val="0"/>
          <w:numId w:val="0"/>
        </w:numPr>
        <w:jc w:val="both"/>
      </w:pPr>
      <w:r>
        <w:t>Treasury Guidelines for Setting Charges in the Public Sector provide that cost recovery regimes should be reviewed every 3-5 years. The Department’s policy is to review travel document fees every 3 years. The fees were last reviewed in 2018</w:t>
      </w:r>
      <w:r w:rsidR="00D51BBE">
        <w:t>.</w:t>
      </w:r>
      <w:r>
        <w:t xml:space="preserve"> </w:t>
      </w:r>
      <w:r w:rsidR="00D51BBE">
        <w:t>A</w:t>
      </w:r>
      <w:r>
        <w:t xml:space="preserve">s a result of this review Government agreed to increase all passport and travel document fees by 6.10%. </w:t>
      </w:r>
    </w:p>
    <w:p w14:paraId="4B85E38F" w14:textId="314674C2" w:rsidR="000600CA" w:rsidRDefault="000600CA" w:rsidP="000600CA">
      <w:pPr>
        <w:pStyle w:val="Bullet-list"/>
        <w:numPr>
          <w:ilvl w:val="0"/>
          <w:numId w:val="0"/>
        </w:numPr>
        <w:jc w:val="both"/>
      </w:pPr>
      <w:r>
        <w:t xml:space="preserve">Passports and Travel Documents can be issued from the Department’s offices in Auckland, Wellington, Christchurch, </w:t>
      </w:r>
      <w:proofErr w:type="gramStart"/>
      <w:r>
        <w:t>London</w:t>
      </w:r>
      <w:proofErr w:type="gramEnd"/>
      <w:r>
        <w:t xml:space="preserve"> and Sydney. Applications may be lodged in hard copy form or through an on-line application process. </w:t>
      </w:r>
      <w:proofErr w:type="gramStart"/>
      <w:r>
        <w:t>The majority of</w:t>
      </w:r>
      <w:proofErr w:type="gramEnd"/>
      <w:r>
        <w:t xml:space="preserve"> applications are now lodged on-line. Prior to 2015 the passport service operated on a full cost recovery basis without provision of repayable capital injections.  </w:t>
      </w:r>
    </w:p>
    <w:p w14:paraId="0CFD2375" w14:textId="093E3749" w:rsidR="00795F7E" w:rsidRDefault="00795F7E" w:rsidP="00795F7E">
      <w:pPr>
        <w:pStyle w:val="Bullet-list"/>
        <w:numPr>
          <w:ilvl w:val="0"/>
          <w:numId w:val="0"/>
        </w:numPr>
        <w:jc w:val="both"/>
      </w:pPr>
      <w:r>
        <w:t xml:space="preserve">The current fees for travel documents </w:t>
      </w:r>
      <w:r w:rsidR="00D51BBE">
        <w:t>are</w:t>
      </w:r>
      <w:r w:rsidR="000600CA">
        <w:t xml:space="preserve"> </w:t>
      </w:r>
      <w:r>
        <w:t>set out in Table 1</w:t>
      </w:r>
      <w:r w:rsidR="00515DC7">
        <w:t xml:space="preserve">. </w:t>
      </w:r>
    </w:p>
    <w:p w14:paraId="6645FF1E" w14:textId="54602221" w:rsidR="00795F7E" w:rsidRPr="00795F7E" w:rsidRDefault="00795F7E" w:rsidP="00795F7E">
      <w:pPr>
        <w:pStyle w:val="Caption"/>
        <w:keepNext/>
      </w:pPr>
      <w:r w:rsidRPr="00795F7E">
        <w:t xml:space="preserve">Table </w:t>
      </w:r>
      <w:r w:rsidRPr="00795F7E">
        <w:fldChar w:fldCharType="begin"/>
      </w:r>
      <w:r w:rsidRPr="00795F7E">
        <w:instrText xml:space="preserve"> SEQ Table \* ARABIC </w:instrText>
      </w:r>
      <w:r w:rsidRPr="00795F7E">
        <w:fldChar w:fldCharType="separate"/>
      </w:r>
      <w:r w:rsidR="003B6033">
        <w:rPr>
          <w:noProof/>
        </w:rPr>
        <w:t>1</w:t>
      </w:r>
      <w:r w:rsidRPr="00795F7E">
        <w:fldChar w:fldCharType="end"/>
      </w:r>
      <w:r w:rsidRPr="00795F7E">
        <w:t xml:space="preserve"> </w:t>
      </w:r>
      <w:r>
        <w:t xml:space="preserve">Fees for </w:t>
      </w:r>
      <w:r w:rsidR="00D9348E">
        <w:t>t</w:t>
      </w:r>
      <w:r>
        <w:t xml:space="preserve">ravel documents </w:t>
      </w:r>
      <w:r w:rsidR="00515DC7">
        <w:t>(GST Exclusive)</w:t>
      </w:r>
    </w:p>
    <w:tbl>
      <w:tblPr>
        <w:tblW w:w="0" w:type="auto"/>
        <w:tblInd w:w="2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4555"/>
        <w:gridCol w:w="1984"/>
        <w:gridCol w:w="2249"/>
      </w:tblGrid>
      <w:tr w:rsidR="00795F7E" w:rsidRPr="00F56F8A" w14:paraId="5ADAF464" w14:textId="77777777" w:rsidTr="00E26BC5">
        <w:trPr>
          <w:cantSplit/>
          <w:tblHeader/>
        </w:trPr>
        <w:tc>
          <w:tcPr>
            <w:tcW w:w="4555" w:type="dxa"/>
            <w:tcBorders>
              <w:top w:val="single" w:sz="12" w:space="0" w:color="auto"/>
              <w:bottom w:val="single" w:sz="6" w:space="0" w:color="auto"/>
            </w:tcBorders>
            <w:shd w:val="clear" w:color="auto" w:fill="000000" w:themeFill="text1"/>
          </w:tcPr>
          <w:p w14:paraId="265903E8" w14:textId="77777777" w:rsidR="00795F7E" w:rsidRPr="00F56F8A" w:rsidRDefault="00795F7E" w:rsidP="00563A12">
            <w:pPr>
              <w:pStyle w:val="Bullet-list"/>
              <w:numPr>
                <w:ilvl w:val="0"/>
                <w:numId w:val="0"/>
              </w:numPr>
              <w:spacing w:before="56"/>
              <w:jc w:val="both"/>
              <w:rPr>
                <w:rFonts w:eastAsia="Calibri"/>
                <w:b/>
                <w:szCs w:val="24"/>
              </w:rPr>
            </w:pPr>
            <w:r w:rsidRPr="00F56F8A">
              <w:rPr>
                <w:rFonts w:eastAsia="Calibri"/>
                <w:b/>
                <w:szCs w:val="24"/>
              </w:rPr>
              <w:t>Document</w:t>
            </w:r>
          </w:p>
        </w:tc>
        <w:tc>
          <w:tcPr>
            <w:tcW w:w="1984" w:type="dxa"/>
            <w:tcBorders>
              <w:top w:val="single" w:sz="12" w:space="0" w:color="auto"/>
              <w:bottom w:val="single" w:sz="6" w:space="0" w:color="auto"/>
            </w:tcBorders>
            <w:shd w:val="clear" w:color="auto" w:fill="000000" w:themeFill="text1"/>
          </w:tcPr>
          <w:p w14:paraId="3FF7A53C" w14:textId="5326C6CA" w:rsidR="00795F7E" w:rsidRPr="00F56F8A" w:rsidRDefault="00515DC7" w:rsidP="00563A12">
            <w:pPr>
              <w:pStyle w:val="Bullet-list"/>
              <w:numPr>
                <w:ilvl w:val="0"/>
                <w:numId w:val="0"/>
              </w:numPr>
              <w:spacing w:before="56"/>
              <w:jc w:val="right"/>
              <w:rPr>
                <w:rFonts w:eastAsia="Calibri"/>
                <w:b/>
                <w:szCs w:val="24"/>
              </w:rPr>
            </w:pPr>
            <w:r>
              <w:rPr>
                <w:rFonts w:eastAsia="Calibri"/>
                <w:b/>
                <w:szCs w:val="24"/>
              </w:rPr>
              <w:t>Issued from NZ Passport Office</w:t>
            </w:r>
          </w:p>
        </w:tc>
        <w:tc>
          <w:tcPr>
            <w:tcW w:w="2249" w:type="dxa"/>
            <w:tcBorders>
              <w:top w:val="single" w:sz="12" w:space="0" w:color="auto"/>
              <w:bottom w:val="single" w:sz="6" w:space="0" w:color="auto"/>
            </w:tcBorders>
            <w:shd w:val="clear" w:color="auto" w:fill="000000" w:themeFill="text1"/>
          </w:tcPr>
          <w:p w14:paraId="1A8AD35A" w14:textId="6EC736B8" w:rsidR="00795F7E" w:rsidRPr="00F56F8A" w:rsidRDefault="00515DC7" w:rsidP="00563A12">
            <w:pPr>
              <w:pStyle w:val="Bullet-list"/>
              <w:numPr>
                <w:ilvl w:val="0"/>
                <w:numId w:val="0"/>
              </w:numPr>
              <w:spacing w:before="56"/>
              <w:jc w:val="right"/>
              <w:rPr>
                <w:rFonts w:eastAsia="Calibri"/>
                <w:b/>
                <w:szCs w:val="24"/>
              </w:rPr>
            </w:pPr>
            <w:r>
              <w:rPr>
                <w:rFonts w:eastAsia="Calibri"/>
                <w:b/>
                <w:szCs w:val="24"/>
              </w:rPr>
              <w:t>Issued from London and Sydney</w:t>
            </w:r>
          </w:p>
        </w:tc>
      </w:tr>
      <w:tr w:rsidR="00795F7E" w14:paraId="0E18C788" w14:textId="77777777" w:rsidTr="001F4903">
        <w:trPr>
          <w:cantSplit/>
        </w:trPr>
        <w:tc>
          <w:tcPr>
            <w:tcW w:w="4555" w:type="dxa"/>
            <w:tcBorders>
              <w:top w:val="single" w:sz="6" w:space="0" w:color="auto"/>
            </w:tcBorders>
            <w:shd w:val="clear" w:color="auto" w:fill="auto"/>
          </w:tcPr>
          <w:p w14:paraId="1CDE9239" w14:textId="77777777" w:rsidR="00795F7E" w:rsidRPr="00F56F8A" w:rsidRDefault="00795F7E" w:rsidP="00563A12">
            <w:pPr>
              <w:pStyle w:val="Bullet-list"/>
              <w:numPr>
                <w:ilvl w:val="0"/>
                <w:numId w:val="0"/>
              </w:numPr>
              <w:spacing w:before="56"/>
              <w:jc w:val="both"/>
              <w:rPr>
                <w:rFonts w:eastAsia="Calibri"/>
                <w:szCs w:val="24"/>
              </w:rPr>
            </w:pPr>
            <w:r w:rsidRPr="00F56F8A">
              <w:rPr>
                <w:rFonts w:eastAsia="Calibri"/>
                <w:szCs w:val="24"/>
              </w:rPr>
              <w:t>Standard Adult Passport</w:t>
            </w:r>
          </w:p>
        </w:tc>
        <w:tc>
          <w:tcPr>
            <w:tcW w:w="1984" w:type="dxa"/>
            <w:tcBorders>
              <w:top w:val="single" w:sz="6" w:space="0" w:color="auto"/>
            </w:tcBorders>
            <w:shd w:val="clear" w:color="auto" w:fill="auto"/>
          </w:tcPr>
          <w:p w14:paraId="219C4BC8" w14:textId="77777777" w:rsidR="00795F7E" w:rsidRPr="00F56F8A" w:rsidRDefault="00795F7E" w:rsidP="00563A12">
            <w:pPr>
              <w:pStyle w:val="Bullet-list"/>
              <w:numPr>
                <w:ilvl w:val="0"/>
                <w:numId w:val="0"/>
              </w:numPr>
              <w:spacing w:before="56"/>
              <w:jc w:val="right"/>
              <w:rPr>
                <w:rFonts w:eastAsia="Calibri"/>
                <w:szCs w:val="24"/>
              </w:rPr>
            </w:pPr>
            <w:r w:rsidRPr="00F56F8A">
              <w:rPr>
                <w:rFonts w:eastAsia="Calibri"/>
                <w:szCs w:val="24"/>
              </w:rPr>
              <w:t>$166.09</w:t>
            </w:r>
          </w:p>
        </w:tc>
        <w:tc>
          <w:tcPr>
            <w:tcW w:w="2249" w:type="dxa"/>
            <w:tcBorders>
              <w:top w:val="single" w:sz="6" w:space="0" w:color="auto"/>
            </w:tcBorders>
            <w:shd w:val="clear" w:color="auto" w:fill="auto"/>
          </w:tcPr>
          <w:p w14:paraId="0413FE8B" w14:textId="64661A43" w:rsidR="00795F7E" w:rsidRPr="00F56F8A" w:rsidRDefault="00515DC7" w:rsidP="00563A12">
            <w:pPr>
              <w:pStyle w:val="Bullet-list"/>
              <w:numPr>
                <w:ilvl w:val="0"/>
                <w:numId w:val="0"/>
              </w:numPr>
              <w:spacing w:before="56"/>
              <w:jc w:val="right"/>
              <w:rPr>
                <w:rFonts w:eastAsia="Calibri"/>
                <w:szCs w:val="24"/>
              </w:rPr>
            </w:pPr>
            <w:r>
              <w:rPr>
                <w:rFonts w:eastAsia="Calibri"/>
                <w:szCs w:val="24"/>
              </w:rPr>
              <w:t>$243.00</w:t>
            </w:r>
          </w:p>
        </w:tc>
      </w:tr>
      <w:tr w:rsidR="00795F7E" w14:paraId="770B4C3F" w14:textId="77777777" w:rsidTr="001F4903">
        <w:trPr>
          <w:cantSplit/>
        </w:trPr>
        <w:tc>
          <w:tcPr>
            <w:tcW w:w="4555" w:type="dxa"/>
            <w:shd w:val="clear" w:color="auto" w:fill="auto"/>
          </w:tcPr>
          <w:p w14:paraId="67AB6640" w14:textId="77777777" w:rsidR="00795F7E" w:rsidRPr="00F56F8A" w:rsidRDefault="00795F7E" w:rsidP="00563A12">
            <w:pPr>
              <w:pStyle w:val="Bullet-list"/>
              <w:numPr>
                <w:ilvl w:val="0"/>
                <w:numId w:val="0"/>
              </w:numPr>
              <w:spacing w:before="56"/>
              <w:jc w:val="both"/>
              <w:rPr>
                <w:rFonts w:eastAsia="Calibri"/>
                <w:szCs w:val="24"/>
              </w:rPr>
            </w:pPr>
            <w:r w:rsidRPr="00F56F8A">
              <w:rPr>
                <w:rFonts w:eastAsia="Calibri"/>
                <w:szCs w:val="24"/>
              </w:rPr>
              <w:t>Standard Child Passport</w:t>
            </w:r>
          </w:p>
        </w:tc>
        <w:tc>
          <w:tcPr>
            <w:tcW w:w="1984" w:type="dxa"/>
            <w:shd w:val="clear" w:color="auto" w:fill="auto"/>
          </w:tcPr>
          <w:p w14:paraId="357E87C8" w14:textId="77777777" w:rsidR="00795F7E" w:rsidRPr="00F56F8A" w:rsidRDefault="00795F7E" w:rsidP="00563A12">
            <w:pPr>
              <w:pStyle w:val="Bullet-list"/>
              <w:numPr>
                <w:ilvl w:val="0"/>
                <w:numId w:val="0"/>
              </w:numPr>
              <w:spacing w:before="56"/>
              <w:jc w:val="right"/>
              <w:rPr>
                <w:rFonts w:eastAsia="Calibri"/>
                <w:szCs w:val="24"/>
              </w:rPr>
            </w:pPr>
            <w:r w:rsidRPr="00F56F8A">
              <w:rPr>
                <w:rFonts w:eastAsia="Calibri"/>
                <w:szCs w:val="24"/>
              </w:rPr>
              <w:t>$96.52</w:t>
            </w:r>
          </w:p>
        </w:tc>
        <w:tc>
          <w:tcPr>
            <w:tcW w:w="2249" w:type="dxa"/>
            <w:shd w:val="clear" w:color="auto" w:fill="auto"/>
          </w:tcPr>
          <w:p w14:paraId="522BD806" w14:textId="079E29BE" w:rsidR="00795F7E" w:rsidRPr="00F56F8A" w:rsidRDefault="00515DC7" w:rsidP="00563A12">
            <w:pPr>
              <w:pStyle w:val="Bullet-list"/>
              <w:numPr>
                <w:ilvl w:val="0"/>
                <w:numId w:val="0"/>
              </w:numPr>
              <w:spacing w:before="56"/>
              <w:jc w:val="right"/>
              <w:rPr>
                <w:rFonts w:eastAsia="Calibri"/>
                <w:szCs w:val="24"/>
              </w:rPr>
            </w:pPr>
            <w:r>
              <w:rPr>
                <w:rFonts w:eastAsia="Calibri"/>
                <w:szCs w:val="24"/>
              </w:rPr>
              <w:t>$142.00</w:t>
            </w:r>
          </w:p>
        </w:tc>
      </w:tr>
      <w:tr w:rsidR="00795F7E" w14:paraId="4CCA3369" w14:textId="77777777" w:rsidTr="001F4903">
        <w:trPr>
          <w:cantSplit/>
        </w:trPr>
        <w:tc>
          <w:tcPr>
            <w:tcW w:w="4555" w:type="dxa"/>
            <w:shd w:val="clear" w:color="auto" w:fill="auto"/>
          </w:tcPr>
          <w:p w14:paraId="07790693" w14:textId="77777777" w:rsidR="00795F7E" w:rsidRPr="00F56F8A" w:rsidRDefault="00795F7E" w:rsidP="00563A12">
            <w:pPr>
              <w:pStyle w:val="Bullet-list"/>
              <w:numPr>
                <w:ilvl w:val="0"/>
                <w:numId w:val="0"/>
              </w:numPr>
              <w:spacing w:before="56"/>
              <w:jc w:val="both"/>
              <w:rPr>
                <w:rFonts w:eastAsia="Calibri"/>
                <w:szCs w:val="24"/>
              </w:rPr>
            </w:pPr>
            <w:r w:rsidRPr="00F56F8A">
              <w:rPr>
                <w:rFonts w:eastAsia="Calibri"/>
                <w:szCs w:val="24"/>
              </w:rPr>
              <w:t>Urgent Adult Passport</w:t>
            </w:r>
          </w:p>
        </w:tc>
        <w:tc>
          <w:tcPr>
            <w:tcW w:w="1984" w:type="dxa"/>
            <w:shd w:val="clear" w:color="auto" w:fill="auto"/>
          </w:tcPr>
          <w:p w14:paraId="48FDE847" w14:textId="022B6B9A" w:rsidR="00795F7E" w:rsidRPr="00F56F8A" w:rsidRDefault="00AF1C3D" w:rsidP="00563A12">
            <w:pPr>
              <w:pStyle w:val="Bullet-list"/>
              <w:numPr>
                <w:ilvl w:val="0"/>
                <w:numId w:val="0"/>
              </w:numPr>
              <w:spacing w:before="56"/>
              <w:jc w:val="right"/>
              <w:rPr>
                <w:rFonts w:eastAsia="Calibri"/>
                <w:szCs w:val="24"/>
              </w:rPr>
            </w:pPr>
            <w:r>
              <w:rPr>
                <w:rFonts w:eastAsia="Calibri"/>
                <w:szCs w:val="24"/>
              </w:rPr>
              <w:t>$</w:t>
            </w:r>
            <w:r w:rsidR="00692229">
              <w:rPr>
                <w:rFonts w:eastAsia="Calibri"/>
                <w:szCs w:val="24"/>
              </w:rPr>
              <w:t>332.18</w:t>
            </w:r>
          </w:p>
        </w:tc>
        <w:tc>
          <w:tcPr>
            <w:tcW w:w="2249" w:type="dxa"/>
            <w:shd w:val="clear" w:color="auto" w:fill="auto"/>
          </w:tcPr>
          <w:p w14:paraId="4FC4D272" w14:textId="3E2F89B8" w:rsidR="00795F7E" w:rsidRPr="00F56F8A" w:rsidRDefault="00AF1C3D" w:rsidP="00563A12">
            <w:pPr>
              <w:pStyle w:val="Bullet-list"/>
              <w:numPr>
                <w:ilvl w:val="0"/>
                <w:numId w:val="0"/>
              </w:numPr>
              <w:spacing w:before="56"/>
              <w:jc w:val="right"/>
              <w:rPr>
                <w:rFonts w:eastAsia="Calibri"/>
                <w:szCs w:val="24"/>
              </w:rPr>
            </w:pPr>
            <w:r>
              <w:rPr>
                <w:rFonts w:eastAsia="Calibri"/>
                <w:szCs w:val="24"/>
              </w:rPr>
              <w:t>$486.00</w:t>
            </w:r>
          </w:p>
        </w:tc>
      </w:tr>
      <w:tr w:rsidR="00795F7E" w14:paraId="0A1494FC" w14:textId="77777777" w:rsidTr="001F4903">
        <w:trPr>
          <w:cantSplit/>
        </w:trPr>
        <w:tc>
          <w:tcPr>
            <w:tcW w:w="4555" w:type="dxa"/>
            <w:shd w:val="clear" w:color="auto" w:fill="auto"/>
          </w:tcPr>
          <w:p w14:paraId="04230E60" w14:textId="77777777" w:rsidR="00795F7E" w:rsidRPr="00F56F8A" w:rsidRDefault="00795F7E" w:rsidP="00563A12">
            <w:pPr>
              <w:pStyle w:val="Bullet-list"/>
              <w:numPr>
                <w:ilvl w:val="0"/>
                <w:numId w:val="0"/>
              </w:numPr>
              <w:spacing w:before="56"/>
              <w:jc w:val="both"/>
              <w:rPr>
                <w:rFonts w:eastAsia="Calibri"/>
                <w:szCs w:val="24"/>
              </w:rPr>
            </w:pPr>
            <w:r w:rsidRPr="00F56F8A">
              <w:rPr>
                <w:rFonts w:eastAsia="Calibri"/>
                <w:szCs w:val="24"/>
              </w:rPr>
              <w:t xml:space="preserve">Urgent Child Passport </w:t>
            </w:r>
          </w:p>
        </w:tc>
        <w:tc>
          <w:tcPr>
            <w:tcW w:w="1984" w:type="dxa"/>
            <w:shd w:val="clear" w:color="auto" w:fill="auto"/>
          </w:tcPr>
          <w:p w14:paraId="4FEB3A70" w14:textId="02F81432" w:rsidR="00795F7E" w:rsidRPr="00F56F8A" w:rsidRDefault="00AF1C3D" w:rsidP="00563A12">
            <w:pPr>
              <w:pStyle w:val="Bullet-list"/>
              <w:numPr>
                <w:ilvl w:val="0"/>
                <w:numId w:val="0"/>
              </w:numPr>
              <w:spacing w:before="56"/>
              <w:jc w:val="right"/>
              <w:rPr>
                <w:rFonts w:eastAsia="Calibri"/>
                <w:szCs w:val="24"/>
              </w:rPr>
            </w:pPr>
            <w:r>
              <w:rPr>
                <w:rFonts w:eastAsia="Calibri"/>
                <w:szCs w:val="24"/>
              </w:rPr>
              <w:t>$</w:t>
            </w:r>
            <w:r w:rsidR="00692229">
              <w:rPr>
                <w:rFonts w:eastAsia="Calibri"/>
                <w:szCs w:val="24"/>
              </w:rPr>
              <w:t>262.61</w:t>
            </w:r>
          </w:p>
        </w:tc>
        <w:tc>
          <w:tcPr>
            <w:tcW w:w="2249" w:type="dxa"/>
            <w:shd w:val="clear" w:color="auto" w:fill="auto"/>
          </w:tcPr>
          <w:p w14:paraId="0E2DB20F" w14:textId="5F1FAE09" w:rsidR="00795F7E" w:rsidRPr="00F56F8A" w:rsidRDefault="00AF1C3D" w:rsidP="00563A12">
            <w:pPr>
              <w:pStyle w:val="Bullet-list"/>
              <w:numPr>
                <w:ilvl w:val="0"/>
                <w:numId w:val="0"/>
              </w:numPr>
              <w:spacing w:before="56"/>
              <w:jc w:val="right"/>
              <w:rPr>
                <w:rFonts w:eastAsia="Calibri"/>
                <w:szCs w:val="24"/>
              </w:rPr>
            </w:pPr>
            <w:r>
              <w:rPr>
                <w:rFonts w:eastAsia="Calibri"/>
                <w:szCs w:val="24"/>
              </w:rPr>
              <w:t>$385.00</w:t>
            </w:r>
          </w:p>
        </w:tc>
      </w:tr>
      <w:tr w:rsidR="00795F7E" w14:paraId="33D29A13" w14:textId="77777777" w:rsidTr="001F4903">
        <w:trPr>
          <w:cantSplit/>
        </w:trPr>
        <w:tc>
          <w:tcPr>
            <w:tcW w:w="4555" w:type="dxa"/>
            <w:shd w:val="clear" w:color="auto" w:fill="auto"/>
          </w:tcPr>
          <w:p w14:paraId="52A44F7A" w14:textId="77777777" w:rsidR="00795F7E" w:rsidRPr="00F56F8A" w:rsidRDefault="00795F7E" w:rsidP="00563A12">
            <w:pPr>
              <w:pStyle w:val="Bullet-list"/>
              <w:numPr>
                <w:ilvl w:val="0"/>
                <w:numId w:val="0"/>
              </w:numPr>
              <w:spacing w:before="56"/>
              <w:jc w:val="both"/>
              <w:rPr>
                <w:rFonts w:eastAsia="Calibri"/>
                <w:szCs w:val="24"/>
              </w:rPr>
            </w:pPr>
            <w:r w:rsidRPr="00F56F8A">
              <w:rPr>
                <w:rFonts w:eastAsia="Calibri"/>
                <w:szCs w:val="24"/>
              </w:rPr>
              <w:t>Certificate of Identity</w:t>
            </w:r>
          </w:p>
        </w:tc>
        <w:tc>
          <w:tcPr>
            <w:tcW w:w="1984" w:type="dxa"/>
            <w:shd w:val="clear" w:color="auto" w:fill="auto"/>
          </w:tcPr>
          <w:p w14:paraId="0489E38D" w14:textId="77777777" w:rsidR="00795F7E" w:rsidRPr="00F56F8A" w:rsidRDefault="00795F7E" w:rsidP="00563A12">
            <w:pPr>
              <w:pStyle w:val="Bullet-list"/>
              <w:numPr>
                <w:ilvl w:val="0"/>
                <w:numId w:val="0"/>
              </w:numPr>
              <w:spacing w:before="56"/>
              <w:jc w:val="right"/>
              <w:rPr>
                <w:rFonts w:eastAsia="Calibri"/>
                <w:szCs w:val="24"/>
              </w:rPr>
            </w:pPr>
            <w:r w:rsidRPr="00F56F8A">
              <w:rPr>
                <w:rFonts w:eastAsia="Calibri"/>
                <w:szCs w:val="24"/>
              </w:rPr>
              <w:t>$96.52</w:t>
            </w:r>
          </w:p>
        </w:tc>
        <w:tc>
          <w:tcPr>
            <w:tcW w:w="2249" w:type="dxa"/>
            <w:shd w:val="clear" w:color="auto" w:fill="auto"/>
          </w:tcPr>
          <w:p w14:paraId="38EB3EBD" w14:textId="5D57EF0D" w:rsidR="00795F7E" w:rsidRPr="00F56F8A" w:rsidRDefault="00795F7E" w:rsidP="00563A12">
            <w:pPr>
              <w:pStyle w:val="Bullet-list"/>
              <w:numPr>
                <w:ilvl w:val="0"/>
                <w:numId w:val="0"/>
              </w:numPr>
              <w:spacing w:before="56"/>
              <w:jc w:val="right"/>
              <w:rPr>
                <w:rFonts w:eastAsia="Calibri"/>
                <w:szCs w:val="24"/>
              </w:rPr>
            </w:pPr>
          </w:p>
        </w:tc>
      </w:tr>
      <w:tr w:rsidR="00795F7E" w14:paraId="545746E8" w14:textId="77777777" w:rsidTr="001F4903">
        <w:trPr>
          <w:cantSplit/>
        </w:trPr>
        <w:tc>
          <w:tcPr>
            <w:tcW w:w="4555" w:type="dxa"/>
            <w:shd w:val="clear" w:color="auto" w:fill="auto"/>
          </w:tcPr>
          <w:p w14:paraId="316D9455" w14:textId="77777777" w:rsidR="00795F7E" w:rsidRPr="00F56F8A" w:rsidRDefault="00795F7E" w:rsidP="00563A12">
            <w:pPr>
              <w:pStyle w:val="Bullet-list"/>
              <w:numPr>
                <w:ilvl w:val="0"/>
                <w:numId w:val="0"/>
              </w:numPr>
              <w:spacing w:before="56"/>
              <w:jc w:val="both"/>
              <w:rPr>
                <w:rFonts w:eastAsia="Calibri"/>
                <w:szCs w:val="24"/>
              </w:rPr>
            </w:pPr>
            <w:r w:rsidRPr="00F56F8A">
              <w:rPr>
                <w:rFonts w:eastAsia="Calibri"/>
                <w:szCs w:val="24"/>
              </w:rPr>
              <w:t>Refugee Travel Document</w:t>
            </w:r>
          </w:p>
        </w:tc>
        <w:tc>
          <w:tcPr>
            <w:tcW w:w="1984" w:type="dxa"/>
            <w:shd w:val="clear" w:color="auto" w:fill="auto"/>
          </w:tcPr>
          <w:p w14:paraId="53E05B04" w14:textId="77777777" w:rsidR="00795F7E" w:rsidRPr="00F56F8A" w:rsidRDefault="00795F7E" w:rsidP="00563A12">
            <w:pPr>
              <w:pStyle w:val="Bullet-list"/>
              <w:numPr>
                <w:ilvl w:val="0"/>
                <w:numId w:val="0"/>
              </w:numPr>
              <w:spacing w:before="56"/>
              <w:jc w:val="right"/>
              <w:rPr>
                <w:rFonts w:eastAsia="Calibri"/>
                <w:szCs w:val="24"/>
              </w:rPr>
            </w:pPr>
            <w:r w:rsidRPr="00F56F8A">
              <w:rPr>
                <w:rFonts w:eastAsia="Calibri"/>
                <w:szCs w:val="24"/>
              </w:rPr>
              <w:t>$96.52</w:t>
            </w:r>
          </w:p>
        </w:tc>
        <w:tc>
          <w:tcPr>
            <w:tcW w:w="2249" w:type="dxa"/>
            <w:shd w:val="clear" w:color="auto" w:fill="auto"/>
          </w:tcPr>
          <w:p w14:paraId="611095FF" w14:textId="289B853C" w:rsidR="00795F7E" w:rsidRPr="00F56F8A" w:rsidRDefault="00795F7E" w:rsidP="00563A12">
            <w:pPr>
              <w:pStyle w:val="Bullet-list"/>
              <w:numPr>
                <w:ilvl w:val="0"/>
                <w:numId w:val="0"/>
              </w:numPr>
              <w:spacing w:before="56"/>
              <w:jc w:val="right"/>
              <w:rPr>
                <w:rFonts w:eastAsia="Calibri"/>
                <w:szCs w:val="24"/>
              </w:rPr>
            </w:pPr>
          </w:p>
        </w:tc>
      </w:tr>
      <w:tr w:rsidR="00795F7E" w14:paraId="545C64FB" w14:textId="77777777" w:rsidTr="001F4903">
        <w:trPr>
          <w:cantSplit/>
        </w:trPr>
        <w:tc>
          <w:tcPr>
            <w:tcW w:w="4555" w:type="dxa"/>
            <w:shd w:val="clear" w:color="auto" w:fill="auto"/>
          </w:tcPr>
          <w:p w14:paraId="33480202" w14:textId="1EEFA65C" w:rsidR="00795F7E" w:rsidRPr="00F56F8A" w:rsidRDefault="00795F7E" w:rsidP="00563A12">
            <w:pPr>
              <w:pStyle w:val="Bullet-list"/>
              <w:numPr>
                <w:ilvl w:val="0"/>
                <w:numId w:val="0"/>
              </w:numPr>
              <w:spacing w:before="56"/>
              <w:jc w:val="both"/>
              <w:rPr>
                <w:rFonts w:eastAsia="Calibri"/>
                <w:szCs w:val="24"/>
              </w:rPr>
            </w:pPr>
            <w:r w:rsidRPr="00F56F8A">
              <w:rPr>
                <w:rFonts w:eastAsia="Calibri"/>
                <w:szCs w:val="24"/>
              </w:rPr>
              <w:t>After-</w:t>
            </w:r>
            <w:r w:rsidR="00AF1C3D">
              <w:rPr>
                <w:rFonts w:eastAsia="Calibri"/>
                <w:szCs w:val="24"/>
              </w:rPr>
              <w:t>h</w:t>
            </w:r>
            <w:r w:rsidRPr="00F56F8A">
              <w:rPr>
                <w:rFonts w:eastAsia="Calibri"/>
                <w:szCs w:val="24"/>
              </w:rPr>
              <w:t xml:space="preserve">ours </w:t>
            </w:r>
            <w:r w:rsidR="00AF1C3D">
              <w:rPr>
                <w:rFonts w:eastAsia="Calibri"/>
                <w:szCs w:val="24"/>
              </w:rPr>
              <w:t>c</w:t>
            </w:r>
            <w:r w:rsidRPr="00F56F8A">
              <w:rPr>
                <w:rFonts w:eastAsia="Calibri"/>
                <w:szCs w:val="24"/>
              </w:rPr>
              <w:t xml:space="preserve">all </w:t>
            </w:r>
            <w:r w:rsidR="00AF1C3D">
              <w:rPr>
                <w:rFonts w:eastAsia="Calibri"/>
                <w:szCs w:val="24"/>
              </w:rPr>
              <w:t>o</w:t>
            </w:r>
            <w:r w:rsidRPr="00F56F8A">
              <w:rPr>
                <w:rFonts w:eastAsia="Calibri"/>
                <w:szCs w:val="24"/>
              </w:rPr>
              <w:t xml:space="preserve">ut </w:t>
            </w:r>
            <w:r w:rsidR="00AF1C3D">
              <w:rPr>
                <w:rFonts w:eastAsia="Calibri"/>
                <w:szCs w:val="24"/>
              </w:rPr>
              <w:t>f</w:t>
            </w:r>
            <w:r w:rsidRPr="00F56F8A">
              <w:rPr>
                <w:rFonts w:eastAsia="Calibri"/>
                <w:szCs w:val="24"/>
              </w:rPr>
              <w:t>ee</w:t>
            </w:r>
            <w:r w:rsidR="00AF1C3D">
              <w:rPr>
                <w:rFonts w:eastAsia="Calibri"/>
                <w:szCs w:val="24"/>
              </w:rPr>
              <w:t xml:space="preserve"> for issue of a passport </w:t>
            </w:r>
          </w:p>
        </w:tc>
        <w:tc>
          <w:tcPr>
            <w:tcW w:w="1984" w:type="dxa"/>
            <w:shd w:val="clear" w:color="auto" w:fill="auto"/>
          </w:tcPr>
          <w:p w14:paraId="6C81C464" w14:textId="77777777" w:rsidR="00795F7E" w:rsidRPr="00F56F8A" w:rsidRDefault="00795F7E" w:rsidP="00563A12">
            <w:pPr>
              <w:pStyle w:val="Bullet-list"/>
              <w:numPr>
                <w:ilvl w:val="0"/>
                <w:numId w:val="0"/>
              </w:numPr>
              <w:spacing w:before="56"/>
              <w:jc w:val="right"/>
              <w:rPr>
                <w:rFonts w:eastAsia="Calibri"/>
                <w:szCs w:val="24"/>
              </w:rPr>
            </w:pPr>
            <w:r w:rsidRPr="00F56F8A">
              <w:rPr>
                <w:rFonts w:eastAsia="Calibri"/>
                <w:szCs w:val="24"/>
              </w:rPr>
              <w:t>$507.83</w:t>
            </w:r>
          </w:p>
        </w:tc>
        <w:tc>
          <w:tcPr>
            <w:tcW w:w="2249" w:type="dxa"/>
            <w:shd w:val="clear" w:color="auto" w:fill="auto"/>
          </w:tcPr>
          <w:p w14:paraId="49581CF9" w14:textId="32DE1555" w:rsidR="00795F7E" w:rsidRPr="00F56F8A" w:rsidRDefault="00AF1C3D" w:rsidP="00563A12">
            <w:pPr>
              <w:pStyle w:val="Bullet-list"/>
              <w:numPr>
                <w:ilvl w:val="0"/>
                <w:numId w:val="0"/>
              </w:numPr>
              <w:spacing w:before="56"/>
              <w:jc w:val="right"/>
              <w:rPr>
                <w:rFonts w:eastAsia="Calibri"/>
                <w:szCs w:val="24"/>
              </w:rPr>
            </w:pPr>
            <w:r>
              <w:rPr>
                <w:rFonts w:eastAsia="Calibri"/>
                <w:szCs w:val="24"/>
              </w:rPr>
              <w:t>$690.00</w:t>
            </w:r>
          </w:p>
        </w:tc>
      </w:tr>
    </w:tbl>
    <w:p w14:paraId="308E6B36" w14:textId="0333F0EB" w:rsidR="000600CA" w:rsidRDefault="00795F7E" w:rsidP="000600CA">
      <w:pPr>
        <w:pStyle w:val="Caption"/>
      </w:pPr>
      <w:r>
        <w:t xml:space="preserve">    </w:t>
      </w:r>
    </w:p>
    <w:p w14:paraId="47447537" w14:textId="23385377" w:rsidR="000600CA" w:rsidRPr="000600CA" w:rsidRDefault="000600CA" w:rsidP="000600CA">
      <w:pPr>
        <w:pStyle w:val="Caption"/>
        <w:jc w:val="both"/>
        <w:rPr>
          <w:b w:val="0"/>
          <w:sz w:val="22"/>
          <w:szCs w:val="22"/>
        </w:rPr>
      </w:pPr>
      <w:r w:rsidRPr="000600CA">
        <w:rPr>
          <w:b w:val="0"/>
          <w:sz w:val="22"/>
          <w:szCs w:val="22"/>
        </w:rPr>
        <w:t>The changes to the adult passport validity period</w:t>
      </w:r>
      <w:r w:rsidR="008B324A">
        <w:rPr>
          <w:b w:val="0"/>
          <w:sz w:val="22"/>
          <w:szCs w:val="22"/>
        </w:rPr>
        <w:t xml:space="preserve"> and </w:t>
      </w:r>
      <w:r w:rsidRPr="000600CA">
        <w:rPr>
          <w:b w:val="0"/>
          <w:sz w:val="22"/>
          <w:szCs w:val="22"/>
        </w:rPr>
        <w:t xml:space="preserve">the delinking of production costs </w:t>
      </w:r>
      <w:r w:rsidR="008B324A">
        <w:rPr>
          <w:b w:val="0"/>
          <w:sz w:val="22"/>
          <w:szCs w:val="22"/>
        </w:rPr>
        <w:t xml:space="preserve">from </w:t>
      </w:r>
      <w:r w:rsidR="008B324A" w:rsidRPr="000600CA">
        <w:rPr>
          <w:b w:val="0"/>
          <w:sz w:val="22"/>
          <w:szCs w:val="22"/>
        </w:rPr>
        <w:t>fees</w:t>
      </w:r>
      <w:r w:rsidR="00E24F0A">
        <w:rPr>
          <w:b w:val="0"/>
          <w:sz w:val="22"/>
          <w:szCs w:val="22"/>
        </w:rPr>
        <w:t xml:space="preserve"> </w:t>
      </w:r>
      <w:r w:rsidR="008B324A">
        <w:rPr>
          <w:b w:val="0"/>
          <w:sz w:val="22"/>
          <w:szCs w:val="22"/>
        </w:rPr>
        <w:t>have</w:t>
      </w:r>
      <w:r w:rsidR="00E24F0A">
        <w:rPr>
          <w:b w:val="0"/>
          <w:sz w:val="22"/>
          <w:szCs w:val="22"/>
        </w:rPr>
        <w:t xml:space="preserve"> created a situation where forecasted revenue is not sufficient to meet </w:t>
      </w:r>
      <w:r w:rsidR="008B324A">
        <w:rPr>
          <w:b w:val="0"/>
          <w:sz w:val="22"/>
          <w:szCs w:val="22"/>
        </w:rPr>
        <w:t xml:space="preserve">the </w:t>
      </w:r>
      <w:r w:rsidR="00E24F0A">
        <w:rPr>
          <w:b w:val="0"/>
          <w:sz w:val="22"/>
          <w:szCs w:val="22"/>
        </w:rPr>
        <w:t xml:space="preserve">forecasted costs. The </w:t>
      </w:r>
      <w:r w:rsidR="008B324A">
        <w:rPr>
          <w:b w:val="0"/>
          <w:sz w:val="22"/>
          <w:szCs w:val="22"/>
        </w:rPr>
        <w:t xml:space="preserve">impact of the </w:t>
      </w:r>
      <w:r w:rsidR="00E24F0A">
        <w:rPr>
          <w:b w:val="0"/>
          <w:sz w:val="22"/>
          <w:szCs w:val="22"/>
        </w:rPr>
        <w:t>r</w:t>
      </w:r>
      <w:r w:rsidRPr="000600CA">
        <w:rPr>
          <w:b w:val="0"/>
          <w:sz w:val="22"/>
          <w:szCs w:val="22"/>
        </w:rPr>
        <w:t xml:space="preserve">educed demand </w:t>
      </w:r>
      <w:r w:rsidR="00E24F0A">
        <w:rPr>
          <w:b w:val="0"/>
          <w:sz w:val="22"/>
          <w:szCs w:val="22"/>
        </w:rPr>
        <w:t xml:space="preserve">for travel documents </w:t>
      </w:r>
      <w:r w:rsidR="008B324A">
        <w:rPr>
          <w:b w:val="0"/>
          <w:sz w:val="22"/>
          <w:szCs w:val="22"/>
        </w:rPr>
        <w:t xml:space="preserve">has </w:t>
      </w:r>
      <w:r w:rsidR="00D51BBE">
        <w:rPr>
          <w:b w:val="0"/>
          <w:sz w:val="22"/>
          <w:szCs w:val="22"/>
        </w:rPr>
        <w:t xml:space="preserve">been </w:t>
      </w:r>
      <w:r w:rsidR="008B324A">
        <w:rPr>
          <w:b w:val="0"/>
          <w:sz w:val="22"/>
          <w:szCs w:val="22"/>
        </w:rPr>
        <w:t xml:space="preserve">significantly exacerbated by the </w:t>
      </w:r>
      <w:r w:rsidR="008B324A" w:rsidRPr="000600CA">
        <w:rPr>
          <w:b w:val="0"/>
          <w:sz w:val="22"/>
          <w:szCs w:val="22"/>
        </w:rPr>
        <w:t>COVID</w:t>
      </w:r>
      <w:r w:rsidRPr="000600CA">
        <w:rPr>
          <w:b w:val="0"/>
          <w:sz w:val="22"/>
          <w:szCs w:val="22"/>
        </w:rPr>
        <w:t>-19 travel restrictions</w:t>
      </w:r>
      <w:r w:rsidR="008B324A">
        <w:rPr>
          <w:b w:val="0"/>
          <w:sz w:val="22"/>
          <w:szCs w:val="22"/>
        </w:rPr>
        <w:t xml:space="preserve">. These factors </w:t>
      </w:r>
      <w:r w:rsidR="00E24F0A">
        <w:rPr>
          <w:b w:val="0"/>
          <w:sz w:val="22"/>
          <w:szCs w:val="22"/>
        </w:rPr>
        <w:t>ha</w:t>
      </w:r>
      <w:r w:rsidR="008B324A">
        <w:rPr>
          <w:b w:val="0"/>
          <w:sz w:val="22"/>
          <w:szCs w:val="22"/>
        </w:rPr>
        <w:t xml:space="preserve">ve </w:t>
      </w:r>
      <w:r w:rsidR="00E24F0A">
        <w:rPr>
          <w:b w:val="0"/>
          <w:sz w:val="22"/>
          <w:szCs w:val="22"/>
        </w:rPr>
        <w:t xml:space="preserve">resulted in the </w:t>
      </w:r>
      <w:r w:rsidR="008B324A">
        <w:rPr>
          <w:b w:val="0"/>
          <w:sz w:val="22"/>
          <w:szCs w:val="22"/>
        </w:rPr>
        <w:t xml:space="preserve">forecasted PMA </w:t>
      </w:r>
      <w:r w:rsidR="00E24F0A">
        <w:rPr>
          <w:b w:val="0"/>
          <w:sz w:val="22"/>
          <w:szCs w:val="22"/>
        </w:rPr>
        <w:t xml:space="preserve">deficit </w:t>
      </w:r>
      <w:r w:rsidR="008B324A">
        <w:rPr>
          <w:b w:val="0"/>
          <w:sz w:val="22"/>
          <w:szCs w:val="22"/>
        </w:rPr>
        <w:t xml:space="preserve">of </w:t>
      </w:r>
      <w:r w:rsidR="00E24F0A">
        <w:rPr>
          <w:b w:val="0"/>
          <w:sz w:val="22"/>
          <w:szCs w:val="22"/>
        </w:rPr>
        <w:t>$3</w:t>
      </w:r>
      <w:r w:rsidR="00011A8E">
        <w:rPr>
          <w:b w:val="0"/>
          <w:sz w:val="22"/>
          <w:szCs w:val="22"/>
        </w:rPr>
        <w:t>6</w:t>
      </w:r>
      <w:r w:rsidR="00D66635">
        <w:rPr>
          <w:b w:val="0"/>
          <w:sz w:val="22"/>
          <w:szCs w:val="22"/>
        </w:rPr>
        <w:t>5.8</w:t>
      </w:r>
      <w:r w:rsidR="00011A8E">
        <w:rPr>
          <w:b w:val="0"/>
          <w:sz w:val="22"/>
          <w:szCs w:val="22"/>
        </w:rPr>
        <w:t xml:space="preserve">m </w:t>
      </w:r>
      <w:r w:rsidR="008B324A">
        <w:rPr>
          <w:b w:val="0"/>
          <w:sz w:val="22"/>
          <w:szCs w:val="22"/>
        </w:rPr>
        <w:t>(</w:t>
      </w:r>
      <w:r w:rsidR="00011A8E">
        <w:rPr>
          <w:b w:val="0"/>
          <w:sz w:val="22"/>
          <w:szCs w:val="22"/>
        </w:rPr>
        <w:t>by June 2037).</w:t>
      </w:r>
      <w:r w:rsidR="00E24F0A">
        <w:rPr>
          <w:b w:val="0"/>
          <w:sz w:val="22"/>
          <w:szCs w:val="22"/>
        </w:rPr>
        <w:t xml:space="preserve"> </w:t>
      </w:r>
      <w:r w:rsidR="00011A8E">
        <w:rPr>
          <w:b w:val="0"/>
          <w:sz w:val="22"/>
          <w:szCs w:val="22"/>
        </w:rPr>
        <w:t xml:space="preserve">Capital </w:t>
      </w:r>
      <w:r w:rsidRPr="000600CA">
        <w:rPr>
          <w:b w:val="0"/>
          <w:sz w:val="22"/>
          <w:szCs w:val="22"/>
        </w:rPr>
        <w:t xml:space="preserve">injections and fee increases are </w:t>
      </w:r>
      <w:r w:rsidR="00011A8E">
        <w:rPr>
          <w:b w:val="0"/>
          <w:sz w:val="22"/>
          <w:szCs w:val="22"/>
        </w:rPr>
        <w:t xml:space="preserve">now </w:t>
      </w:r>
      <w:r w:rsidRPr="000600CA">
        <w:rPr>
          <w:b w:val="0"/>
          <w:sz w:val="22"/>
          <w:szCs w:val="22"/>
        </w:rPr>
        <w:t xml:space="preserve">required to prevent the PMA from moving into </w:t>
      </w:r>
      <w:r w:rsidR="00011A8E">
        <w:rPr>
          <w:b w:val="0"/>
          <w:sz w:val="22"/>
          <w:szCs w:val="22"/>
        </w:rPr>
        <w:t>this forecasted d</w:t>
      </w:r>
      <w:r w:rsidRPr="000600CA">
        <w:rPr>
          <w:b w:val="0"/>
          <w:sz w:val="22"/>
          <w:szCs w:val="22"/>
        </w:rPr>
        <w:t xml:space="preserve">eficit position.  </w:t>
      </w:r>
    </w:p>
    <w:p w14:paraId="71532968" w14:textId="6F116234" w:rsidR="00784C80" w:rsidRPr="001C6634" w:rsidRDefault="00784C80" w:rsidP="00784C80">
      <w:pPr>
        <w:pStyle w:val="Bullet-list"/>
        <w:numPr>
          <w:ilvl w:val="0"/>
          <w:numId w:val="0"/>
        </w:numPr>
        <w:rPr>
          <w:b/>
          <w:color w:val="5B9BD5" w:themeColor="accent5"/>
        </w:rPr>
      </w:pPr>
      <w:r w:rsidRPr="001C6634">
        <w:rPr>
          <w:b/>
          <w:color w:val="5B9BD5" w:themeColor="accent5"/>
        </w:rPr>
        <w:t>Rationale for Government intervention</w:t>
      </w:r>
    </w:p>
    <w:p w14:paraId="1E686867" w14:textId="69CC4ECB" w:rsidR="00602084" w:rsidRDefault="00F028C5" w:rsidP="008A67DB">
      <w:pPr>
        <w:pStyle w:val="Bullet-list"/>
        <w:numPr>
          <w:ilvl w:val="0"/>
          <w:numId w:val="0"/>
        </w:numPr>
        <w:jc w:val="both"/>
      </w:pPr>
      <w:r>
        <w:t xml:space="preserve">Treasury </w:t>
      </w:r>
      <w:r w:rsidR="00DE7839">
        <w:t>g</w:t>
      </w:r>
      <w:r>
        <w:t>uidelines require a neutral memorandum account balance by the end of the product</w:t>
      </w:r>
      <w:r w:rsidR="00D51BBE">
        <w:t>’</w:t>
      </w:r>
      <w:r>
        <w:t>s life</w:t>
      </w:r>
      <w:r w:rsidR="00D51BBE">
        <w:t>.</w:t>
      </w:r>
      <w:r w:rsidR="00602084">
        <w:t xml:space="preserve"> </w:t>
      </w:r>
      <w:r w:rsidR="00D51BBE">
        <w:t>I</w:t>
      </w:r>
      <w:r w:rsidR="00602084">
        <w:t xml:space="preserve">n this case the end of product life is </w:t>
      </w:r>
      <w:r w:rsidR="006C60D9">
        <w:t>ten</w:t>
      </w:r>
      <w:r w:rsidR="00602084">
        <w:t xml:space="preserve"> years for adult passports and </w:t>
      </w:r>
      <w:r w:rsidR="006C60D9">
        <w:t>five</w:t>
      </w:r>
      <w:r w:rsidR="00602084">
        <w:t xml:space="preserve"> years </w:t>
      </w:r>
      <w:r w:rsidR="00602084">
        <w:lastRenderedPageBreak/>
        <w:t>for child passports</w:t>
      </w:r>
      <w:r>
        <w:t xml:space="preserve">. </w:t>
      </w:r>
      <w:r w:rsidR="00DE7839">
        <w:t xml:space="preserve">Treasury guidelines also require that cost recovery fees are reviewed at </w:t>
      </w:r>
      <w:r w:rsidR="006C60D9">
        <w:t>three</w:t>
      </w:r>
      <w:r w:rsidR="00DE7839">
        <w:t xml:space="preserve"> yearly intervals. </w:t>
      </w:r>
    </w:p>
    <w:p w14:paraId="267A075E" w14:textId="27679EA3" w:rsidR="00DE7839" w:rsidRDefault="00F028C5" w:rsidP="008A67DB">
      <w:pPr>
        <w:pStyle w:val="Bullet-list"/>
        <w:numPr>
          <w:ilvl w:val="0"/>
          <w:numId w:val="0"/>
        </w:numPr>
        <w:jc w:val="both"/>
      </w:pPr>
      <w:r>
        <w:t xml:space="preserve">The Department </w:t>
      </w:r>
      <w:r w:rsidR="00DE7839">
        <w:t xml:space="preserve">will be </w:t>
      </w:r>
      <w:r>
        <w:t xml:space="preserve">unable to fund travel document issuance if the revenue received </w:t>
      </w:r>
      <w:r w:rsidR="00602084">
        <w:t xml:space="preserve">is insufficient </w:t>
      </w:r>
      <w:r w:rsidR="00DE7839">
        <w:t xml:space="preserve">or if </w:t>
      </w:r>
      <w:r>
        <w:t xml:space="preserve">the balance of the Passport Memorandum Account </w:t>
      </w:r>
      <w:r w:rsidR="00602084">
        <w:t xml:space="preserve">is unable to meet costs. </w:t>
      </w:r>
      <w:r w:rsidR="00DE7839">
        <w:t>The current forecast is that the PMA will move into a deficit position in 202</w:t>
      </w:r>
      <w:r w:rsidR="00D6672E">
        <w:t>1</w:t>
      </w:r>
      <w:r w:rsidR="00DE7839">
        <w:t>/2</w:t>
      </w:r>
      <w:r w:rsidR="00D6672E">
        <w:t>2</w:t>
      </w:r>
      <w:r w:rsidR="000600CA">
        <w:t xml:space="preserve">. </w:t>
      </w:r>
      <w:r w:rsidR="00BB0AFC">
        <w:t>For</w:t>
      </w:r>
      <w:r w:rsidR="00DE7839">
        <w:t xml:space="preserve"> issuance to continue a combination of fee increases and repayable capital inj</w:t>
      </w:r>
      <w:r w:rsidR="005E1947">
        <w:t xml:space="preserve">ections </w:t>
      </w:r>
      <w:r w:rsidR="00D51BBE">
        <w:t>is</w:t>
      </w:r>
      <w:r w:rsidR="005E1947">
        <w:t xml:space="preserve"> required to prevent the Passports Memorandum Account moving into a deficit position.</w:t>
      </w:r>
    </w:p>
    <w:p w14:paraId="1217C721" w14:textId="575063D6" w:rsidR="009D496D" w:rsidRDefault="009D496D" w:rsidP="00F578DB">
      <w:pPr>
        <w:pStyle w:val="Heading3"/>
      </w:pPr>
      <w:r>
        <w:t>Reviews of cost recovery charges</w:t>
      </w:r>
    </w:p>
    <w:p w14:paraId="492BE775" w14:textId="77777777" w:rsidR="00BC1D1D" w:rsidRDefault="000F4023" w:rsidP="008A67DB">
      <w:pPr>
        <w:pStyle w:val="Bullet-list"/>
        <w:numPr>
          <w:ilvl w:val="0"/>
          <w:numId w:val="0"/>
        </w:numPr>
        <w:jc w:val="both"/>
      </w:pPr>
      <w:r>
        <w:t xml:space="preserve">The </w:t>
      </w:r>
      <w:r w:rsidR="00BC1D1D">
        <w:t>Guidelines for Setting Charges in the Public Sector</w:t>
      </w:r>
      <w:r>
        <w:rPr>
          <w:rStyle w:val="FootnoteReference"/>
        </w:rPr>
        <w:footnoteReference w:id="7"/>
      </w:r>
      <w:r w:rsidR="00BC1D1D">
        <w:t xml:space="preserve"> (April 2017)</w:t>
      </w:r>
      <w:r>
        <w:t xml:space="preserve"> note that cost recovery regimes should be living regimes that are reviewed regularly to ensure that they are operating efficiently, and that over-recovery is minimised. Treasury recommend that they be reviewed every 3-5 years.  </w:t>
      </w:r>
      <w:r w:rsidR="00BC1D1D">
        <w:t xml:space="preserve"> </w:t>
      </w:r>
      <w:r>
        <w:t xml:space="preserve">The Department’s longstanding policy is to review fees every three years.  </w:t>
      </w:r>
    </w:p>
    <w:p w14:paraId="345B434E" w14:textId="77777777" w:rsidR="008F7E97" w:rsidRDefault="00BC1D1D" w:rsidP="008A67DB">
      <w:pPr>
        <w:pStyle w:val="Bullet-list"/>
        <w:numPr>
          <w:ilvl w:val="0"/>
          <w:numId w:val="0"/>
        </w:numPr>
        <w:jc w:val="both"/>
      </w:pPr>
      <w:r>
        <w:t>Revenue from travel document issuance is paid into the Passport Memorandum Account. Expenses incurred in the production of passports and travel documents are then deducted from this Account. These expenses include, but are not limited to, personnel costs, accommodation costs, corporate support costs (such as human resources, finance Departmental ICT infrastructure) the cost of the passport books, information technology costs incurred in the maintenance and support of passports systems and costs incurred in system development and its eventual replacement.</w:t>
      </w:r>
      <w:r w:rsidR="008F7E97">
        <w:t xml:space="preserve"> </w:t>
      </w:r>
      <w:r w:rsidR="00290407">
        <w:t xml:space="preserve">The </w:t>
      </w:r>
      <w:r w:rsidR="00A41828">
        <w:t xml:space="preserve">last Fee Review was in 2018. </w:t>
      </w:r>
    </w:p>
    <w:p w14:paraId="55F88326" w14:textId="5FEECA82" w:rsidR="008F7E97" w:rsidRPr="001C6634" w:rsidRDefault="008F7E97" w:rsidP="008A67DB">
      <w:pPr>
        <w:pStyle w:val="Bullet-list"/>
        <w:numPr>
          <w:ilvl w:val="0"/>
          <w:numId w:val="0"/>
        </w:numPr>
        <w:jc w:val="both"/>
        <w:rPr>
          <w:b/>
          <w:color w:val="5B9BD5" w:themeColor="accent5"/>
        </w:rPr>
      </w:pPr>
      <w:r w:rsidRPr="001C6634">
        <w:rPr>
          <w:b/>
          <w:color w:val="5B9BD5" w:themeColor="accent5"/>
        </w:rPr>
        <w:t>The Department’s fee review shows that fees increases are needed</w:t>
      </w:r>
    </w:p>
    <w:p w14:paraId="39CC2019" w14:textId="324DE7E9" w:rsidR="00310BAF" w:rsidRPr="003365CD" w:rsidRDefault="00A41828" w:rsidP="008A67DB">
      <w:pPr>
        <w:pStyle w:val="Bullet-list"/>
        <w:numPr>
          <w:ilvl w:val="0"/>
          <w:numId w:val="0"/>
        </w:numPr>
        <w:jc w:val="both"/>
      </w:pPr>
      <w:r>
        <w:t>The scheduled 2021 f</w:t>
      </w:r>
      <w:r w:rsidR="00BC1D1D">
        <w:t xml:space="preserve">ee </w:t>
      </w:r>
      <w:r>
        <w:t>r</w:t>
      </w:r>
      <w:r w:rsidR="00290407">
        <w:t xml:space="preserve">eview </w:t>
      </w:r>
      <w:r>
        <w:t>has focused on</w:t>
      </w:r>
      <w:r w:rsidR="00290407">
        <w:t xml:space="preserve"> </w:t>
      </w:r>
      <w:r>
        <w:t xml:space="preserve">the identification of </w:t>
      </w:r>
      <w:r w:rsidR="005E1947">
        <w:t xml:space="preserve">measures to </w:t>
      </w:r>
      <w:r w:rsidR="00290407">
        <w:t>address the forecasted deficit in the Passport Memorandum Account</w:t>
      </w:r>
      <w:r w:rsidR="008F7E97">
        <w:t xml:space="preserve"> of $</w:t>
      </w:r>
      <w:r w:rsidR="00507B26">
        <w:t>36</w:t>
      </w:r>
      <w:r w:rsidR="00D66635">
        <w:t>5.8</w:t>
      </w:r>
      <w:r w:rsidR="00507B26">
        <w:t xml:space="preserve">m </w:t>
      </w:r>
      <w:r w:rsidR="00290407">
        <w:t xml:space="preserve">through </w:t>
      </w:r>
      <w:r w:rsidR="001C49A7">
        <w:t>an</w:t>
      </w:r>
      <w:r w:rsidR="00290407">
        <w:t xml:space="preserve"> increase in the fees payable for travel documents</w:t>
      </w:r>
      <w:r w:rsidR="005E1947">
        <w:t xml:space="preserve"> and</w:t>
      </w:r>
      <w:r w:rsidR="00BC1D1D">
        <w:t xml:space="preserve">/or </w:t>
      </w:r>
      <w:r w:rsidR="005E1947">
        <w:t>provision of repayable capital injections</w:t>
      </w:r>
      <w:r w:rsidR="00290407">
        <w:t>.</w:t>
      </w:r>
      <w:r w:rsidR="005E1947">
        <w:t xml:space="preserve"> </w:t>
      </w:r>
      <w:r>
        <w:t xml:space="preserve">As noted in the Executive Summary the forecasted deficit is a result of </w:t>
      </w:r>
      <w:r w:rsidR="00290407">
        <w:t xml:space="preserve">changes to the period of passport validity (which have caused a reoccurring 5-year pattern of reduced demand every 10 years) and reduced demand for travel documents arising from COVID-19 travel restrictions. Without intervention the Passport Memorandum Account is forecasted to </w:t>
      </w:r>
      <w:r w:rsidR="001C49A7">
        <w:t>have a deficit of $3</w:t>
      </w:r>
      <w:r w:rsidR="00507B26">
        <w:t>6</w:t>
      </w:r>
      <w:r w:rsidR="00D66635">
        <w:t>5.8</w:t>
      </w:r>
      <w:r w:rsidR="001C49A7">
        <w:t>m by June 2037.</w:t>
      </w:r>
    </w:p>
    <w:p w14:paraId="4C6738D2" w14:textId="7842C385" w:rsidR="00011A8E" w:rsidRDefault="00011A8E" w:rsidP="00011A8E">
      <w:pPr>
        <w:pStyle w:val="Bullet-list"/>
        <w:numPr>
          <w:ilvl w:val="0"/>
          <w:numId w:val="0"/>
        </w:numPr>
        <w:jc w:val="both"/>
      </w:pPr>
      <w:r>
        <w:t>In 2015 the Department estimated</w:t>
      </w:r>
      <w:r w:rsidR="00DF5F9D">
        <w:t>,</w:t>
      </w:r>
      <w:r>
        <w:t xml:space="preserve"> </w:t>
      </w:r>
      <w:r w:rsidR="008B324A">
        <w:t>and informed Government</w:t>
      </w:r>
      <w:r w:rsidR="00DF5F9D">
        <w:t>,</w:t>
      </w:r>
      <w:r w:rsidR="008B324A">
        <w:t xml:space="preserve"> </w:t>
      </w:r>
      <w:r>
        <w:t xml:space="preserve">that a 30% fee increase would be required to prevent the Memorandum Account from moving into a deficit position. Cabinet decided against this fee increase but agreed to consider fees again in the context of the 2018 Fees Review. </w:t>
      </w:r>
      <w:r w:rsidR="001C49A7">
        <w:t xml:space="preserve">Up until </w:t>
      </w:r>
      <w:r>
        <w:t xml:space="preserve">this time </w:t>
      </w:r>
      <w:r w:rsidR="001C49A7">
        <w:t xml:space="preserve">the </w:t>
      </w:r>
      <w:r>
        <w:t xml:space="preserve">policy was </w:t>
      </w:r>
      <w:r w:rsidR="001C49A7">
        <w:t xml:space="preserve">to recover all production costs from the fees paid by applicants without Crown funding being required.  </w:t>
      </w:r>
      <w:r>
        <w:t xml:space="preserve">As noted earlier in 2018 Government agreed to increase all fees by 6.10% and to approve repayable capital injections of $65-$80m over the 2023-26 period, </w:t>
      </w:r>
      <w:proofErr w:type="gramStart"/>
      <w:r>
        <w:t>in order to</w:t>
      </w:r>
      <w:proofErr w:type="gramEnd"/>
      <w:r>
        <w:t xml:space="preserve"> meet the projected deficit. </w:t>
      </w:r>
      <w:r w:rsidR="003E5D09">
        <w:t>The Department also forecasted that a further 6.10% increase would be required in 2021/22 (subject to revised forecasts and Government approval)</w:t>
      </w:r>
      <w:r w:rsidR="0094616F">
        <w:t>.</w:t>
      </w:r>
      <w:r w:rsidR="003E5D09">
        <w:t xml:space="preserve"> </w:t>
      </w:r>
    </w:p>
    <w:p w14:paraId="59708124" w14:textId="299E9159" w:rsidR="008F7E97" w:rsidRDefault="008F7E97" w:rsidP="00C44E49">
      <w:pPr>
        <w:pStyle w:val="Bullet-list"/>
        <w:numPr>
          <w:ilvl w:val="0"/>
          <w:numId w:val="0"/>
        </w:numPr>
        <w:jc w:val="both"/>
      </w:pPr>
      <w:r>
        <w:t>PMA forecasts are subject to change as there are periodic updates to projected costs and revenue.  COVID-19 and international border restrictions have added a complicating factor to forecasting demand for travel documents. Over the period 1 March 2020 to 31 December 2021 516,</w:t>
      </w:r>
      <w:r w:rsidR="00263D33">
        <w:t xml:space="preserve">033 fewer passports than previously forecasted were issued.  </w:t>
      </w:r>
      <w:r>
        <w:t xml:space="preserve">       </w:t>
      </w:r>
    </w:p>
    <w:p w14:paraId="4C1729EE" w14:textId="40611F67" w:rsidR="000A18BF" w:rsidRPr="001C6634" w:rsidRDefault="002B2943" w:rsidP="00DA7BC4">
      <w:pPr>
        <w:pStyle w:val="Bullet-list"/>
        <w:numPr>
          <w:ilvl w:val="0"/>
          <w:numId w:val="0"/>
        </w:numPr>
        <w:rPr>
          <w:b/>
          <w:color w:val="5B9BD5" w:themeColor="accent5"/>
        </w:rPr>
      </w:pPr>
      <w:r w:rsidRPr="001C6634">
        <w:rPr>
          <w:b/>
          <w:color w:val="5B9BD5" w:themeColor="accent5"/>
        </w:rPr>
        <w:lastRenderedPageBreak/>
        <w:t>C</w:t>
      </w:r>
      <w:r w:rsidR="000A18BF" w:rsidRPr="001C6634">
        <w:rPr>
          <w:b/>
          <w:color w:val="5B9BD5" w:themeColor="accent5"/>
        </w:rPr>
        <w:t>arrying on under the status quo</w:t>
      </w:r>
    </w:p>
    <w:p w14:paraId="2FB05FDC" w14:textId="641B2BEF" w:rsidR="002B2943" w:rsidRDefault="002B2943" w:rsidP="008A67DB">
      <w:pPr>
        <w:pStyle w:val="Bullet-list"/>
        <w:numPr>
          <w:ilvl w:val="0"/>
          <w:numId w:val="0"/>
        </w:numPr>
        <w:jc w:val="both"/>
      </w:pPr>
      <w:r>
        <w:t xml:space="preserve">Without fee increases and the provision of repayable capital injections the Department would be unable to fund passport issuance and maintain the infrastructure necessary to increase output when demand returns. </w:t>
      </w:r>
    </w:p>
    <w:p w14:paraId="6C0E552C" w14:textId="35608110" w:rsidR="000600CA" w:rsidRPr="001C6634" w:rsidRDefault="003C4916" w:rsidP="008A67DB">
      <w:pPr>
        <w:pStyle w:val="Bullet-list"/>
        <w:numPr>
          <w:ilvl w:val="0"/>
          <w:numId w:val="0"/>
        </w:numPr>
        <w:jc w:val="both"/>
        <w:rPr>
          <w:b/>
          <w:color w:val="5B9BD5" w:themeColor="accent5"/>
        </w:rPr>
      </w:pPr>
      <w:r w:rsidRPr="001C6634">
        <w:rPr>
          <w:b/>
          <w:color w:val="5B9BD5" w:themeColor="accent5"/>
        </w:rPr>
        <w:t>Fee review options</w:t>
      </w:r>
    </w:p>
    <w:p w14:paraId="4114DE64" w14:textId="15CE7CD9" w:rsidR="0064352A" w:rsidRDefault="0064352A" w:rsidP="0064352A">
      <w:pPr>
        <w:spacing w:after="120"/>
        <w:ind w:right="170"/>
        <w:jc w:val="both"/>
      </w:pPr>
      <w:r>
        <w:t xml:space="preserve">Three options were initially developed by the Department and were referred to the Minister of Internal Affairs on or about 3 September 2021 for discussion with officials.   </w:t>
      </w:r>
    </w:p>
    <w:p w14:paraId="58A47C77" w14:textId="71C6B16E" w:rsidR="0064352A" w:rsidRDefault="0064352A" w:rsidP="0064352A">
      <w:pPr>
        <w:pStyle w:val="ListParagraph"/>
        <w:numPr>
          <w:ilvl w:val="0"/>
          <w:numId w:val="20"/>
        </w:numPr>
        <w:spacing w:after="180" w:line="280" w:lineRule="exact"/>
        <w:ind w:left="714" w:right="170" w:hanging="357"/>
        <w:contextualSpacing w:val="0"/>
        <w:jc w:val="both"/>
      </w:pPr>
      <w:r>
        <w:t>Option 1: This assumed that there would be no price increases and no repayable capital injections. It was estimated that, in these circumstances, the PMA deficit would reach $</w:t>
      </w:r>
      <w:r w:rsidR="00D66635">
        <w:t xml:space="preserve">365.8m </w:t>
      </w:r>
      <w:r>
        <w:t>by 2037.</w:t>
      </w:r>
    </w:p>
    <w:p w14:paraId="3947CEC7" w14:textId="0CBFC83F" w:rsidR="0064352A" w:rsidRDefault="0064352A" w:rsidP="0064352A">
      <w:pPr>
        <w:pStyle w:val="ListParagraph"/>
        <w:numPr>
          <w:ilvl w:val="0"/>
          <w:numId w:val="20"/>
        </w:numPr>
        <w:spacing w:after="180" w:line="280" w:lineRule="exact"/>
        <w:ind w:left="714" w:right="170" w:hanging="357"/>
        <w:contextualSpacing w:val="0"/>
        <w:jc w:val="both"/>
      </w:pPr>
      <w:r>
        <w:t>Option 2: This assumed that international travel for vaccinated New Zealanders would resume in July 2022, that 80% of the deferred demand for passports would return over the 2021-25 period; and that fee increases of 8.02% would be approved in 2022 and 2025. This option required repayable capital injections from Government totalling $164.173m over the period 2022-35.</w:t>
      </w:r>
    </w:p>
    <w:p w14:paraId="12D47134" w14:textId="77777777" w:rsidR="0064352A" w:rsidRDefault="0064352A" w:rsidP="0064352A">
      <w:pPr>
        <w:pStyle w:val="ListParagraph"/>
        <w:numPr>
          <w:ilvl w:val="0"/>
          <w:numId w:val="20"/>
        </w:numPr>
        <w:spacing w:after="180" w:line="280" w:lineRule="exact"/>
        <w:ind w:left="714" w:right="170" w:hanging="357"/>
        <w:contextualSpacing w:val="0"/>
        <w:jc w:val="both"/>
      </w:pPr>
      <w:r>
        <w:t xml:space="preserve">Option 3: This assumed that international travel for vaccinated New Zealanders resumes in July </w:t>
      </w:r>
      <w:r w:rsidRPr="003B3826">
        <w:t>2023</w:t>
      </w:r>
      <w:r>
        <w:t>, that 50% of the deferred demand for passports would return over the 2021-25 period; and that fee increases of 9.46% would be approved in 2022 and 2025. This option required repayable capital injections from Government totalling $187.700m over the period 2022-35.</w:t>
      </w:r>
    </w:p>
    <w:p w14:paraId="09F5FC9D" w14:textId="7B2C0788" w:rsidR="000600CA" w:rsidRDefault="0064352A" w:rsidP="000600CA">
      <w:pPr>
        <w:pStyle w:val="Bullet-list"/>
        <w:numPr>
          <w:ilvl w:val="0"/>
          <w:numId w:val="0"/>
        </w:numPr>
        <w:jc w:val="both"/>
      </w:pPr>
      <w:r>
        <w:t xml:space="preserve">Government changes to border reopening and mandatory quarantine required that the initial options be re-forecasted to address these changes. </w:t>
      </w:r>
      <w:r w:rsidR="000600CA">
        <w:t>A</w:t>
      </w:r>
      <w:r>
        <w:t xml:space="preserve">t Ministerial direction </w:t>
      </w:r>
      <w:r w:rsidR="000600CA">
        <w:t xml:space="preserve">DIA </w:t>
      </w:r>
      <w:r>
        <w:t>developed t</w:t>
      </w:r>
      <w:r w:rsidR="000600CA">
        <w:t xml:space="preserve">wo </w:t>
      </w:r>
      <w:r>
        <w:t xml:space="preserve">new </w:t>
      </w:r>
      <w:r w:rsidR="000600CA">
        <w:t xml:space="preserve">options for fee increases </w:t>
      </w:r>
      <w:r>
        <w:t xml:space="preserve">and repayable capital injections </w:t>
      </w:r>
      <w:r w:rsidR="000600CA">
        <w:t>to balance the PMA over the 2022-2037 period:</w:t>
      </w:r>
    </w:p>
    <w:p w14:paraId="3CE8BA13" w14:textId="476AB4CE" w:rsidR="000600CA" w:rsidRDefault="000600CA" w:rsidP="000600CA">
      <w:pPr>
        <w:pStyle w:val="Bullet-list"/>
        <w:numPr>
          <w:ilvl w:val="0"/>
          <w:numId w:val="8"/>
        </w:numPr>
        <w:ind w:left="567"/>
        <w:jc w:val="both"/>
      </w:pPr>
      <w:r>
        <w:t xml:space="preserve">Option 1 – Fee increase of </w:t>
      </w:r>
      <w:r w:rsidR="00507B26">
        <w:t xml:space="preserve">approximately </w:t>
      </w:r>
      <w:r>
        <w:t>19.37% in 2022, provision of repayable capital injections of $195m over the 2022-35 period and future fee reviews every three years</w:t>
      </w:r>
      <w:r w:rsidR="008B324A">
        <w:t>; and</w:t>
      </w:r>
      <w:r>
        <w:t xml:space="preserve"> </w:t>
      </w:r>
    </w:p>
    <w:p w14:paraId="47374DB9" w14:textId="21EF0E08" w:rsidR="000600CA" w:rsidRPr="00A62DB4" w:rsidRDefault="000600CA" w:rsidP="000600CA">
      <w:pPr>
        <w:pStyle w:val="Bullet-list"/>
        <w:numPr>
          <w:ilvl w:val="0"/>
          <w:numId w:val="8"/>
        </w:numPr>
        <w:ind w:left="567"/>
        <w:jc w:val="both"/>
      </w:pPr>
      <w:r>
        <w:t xml:space="preserve">Option 2 – Fee increases of </w:t>
      </w:r>
      <w:r w:rsidR="00507B26">
        <w:t xml:space="preserve">approximately </w:t>
      </w:r>
      <w:r>
        <w:t>3.97% in 2022, 2023, 2024, 2025 and 2026, provision of repayable capital injections of $210.6m over the 2022-35 period and future fee reviews every three years.</w:t>
      </w:r>
    </w:p>
    <w:p w14:paraId="4DA7F352" w14:textId="68F56B21" w:rsidR="003C4916" w:rsidRDefault="003C4916" w:rsidP="003C4916">
      <w:pPr>
        <w:pStyle w:val="Bullet-list"/>
        <w:numPr>
          <w:ilvl w:val="0"/>
          <w:numId w:val="0"/>
        </w:numPr>
        <w:jc w:val="both"/>
      </w:pPr>
      <w:r>
        <w:t xml:space="preserve">The desired policy outcome is to return travel document issuance to full cost recovery </w:t>
      </w:r>
      <w:r w:rsidR="008B324A">
        <w:t xml:space="preserve">and to zero the balance of the PMA </w:t>
      </w:r>
      <w:r>
        <w:t xml:space="preserve">by June 2037. </w:t>
      </w:r>
      <w:proofErr w:type="gramStart"/>
      <w:r>
        <w:t>Both of the options</w:t>
      </w:r>
      <w:proofErr w:type="gramEnd"/>
      <w:r>
        <w:t xml:space="preserve"> </w:t>
      </w:r>
      <w:r w:rsidR="008B324A">
        <w:t xml:space="preserve">above </w:t>
      </w:r>
      <w:r>
        <w:t>address this outcome but option 1 is preferred as a single fee increase in 2022 would result in slightly lower fees</w:t>
      </w:r>
      <w:r w:rsidR="00F05C43">
        <w:t>, after five years</w:t>
      </w:r>
      <w:r>
        <w:t xml:space="preserve"> than option 2 which requires annual increases over a five-year period. Option 1 also requires fewer capital injections over the 2022-35 period than option 2.  </w:t>
      </w:r>
    </w:p>
    <w:p w14:paraId="707D1C09" w14:textId="549C5A4C" w:rsidR="00011A8E" w:rsidRDefault="00011A8E" w:rsidP="003C4916">
      <w:pPr>
        <w:pStyle w:val="Bullet-list"/>
        <w:numPr>
          <w:ilvl w:val="0"/>
          <w:numId w:val="0"/>
        </w:numPr>
        <w:jc w:val="both"/>
        <w:rPr>
          <w:b/>
        </w:rPr>
      </w:pPr>
      <w:r w:rsidRPr="00011A8E">
        <w:rPr>
          <w:b/>
        </w:rPr>
        <w:t>Desired policy outcome</w:t>
      </w:r>
    </w:p>
    <w:p w14:paraId="137C169B" w14:textId="326A8705" w:rsidR="00011A8E" w:rsidRDefault="00011A8E" w:rsidP="00965870">
      <w:pPr>
        <w:pStyle w:val="Bullet-list"/>
        <w:numPr>
          <w:ilvl w:val="0"/>
          <w:numId w:val="0"/>
        </w:numPr>
        <w:jc w:val="both"/>
      </w:pPr>
      <w:r>
        <w:t>In November 2021 the Minister discussed the future of the Passport Memorandum Account at a meeting of GOV. The Committee noted a preference to return to full cost recovery and agreed that the Minister would provide further advice. The desired outcomes from this proposal are to</w:t>
      </w:r>
      <w:r w:rsidR="00965870">
        <w:t xml:space="preserve"> g</w:t>
      </w:r>
      <w:r>
        <w:t>ive effect to the Department’s and the Minister’s objective of returning passport and travel document issuance</w:t>
      </w:r>
      <w:r w:rsidR="008B324A">
        <w:t xml:space="preserve"> to full </w:t>
      </w:r>
      <w:r w:rsidR="00965870">
        <w:t xml:space="preserve">cost recovery and zeroing the balance of the PMA by 2037. </w:t>
      </w:r>
      <w:r>
        <w:t xml:space="preserve"> </w:t>
      </w:r>
    </w:p>
    <w:p w14:paraId="77405ED1" w14:textId="34BE95A5" w:rsidR="00D86E89" w:rsidRPr="00011A8E" w:rsidRDefault="00011A8E" w:rsidP="00D86E89">
      <w:pPr>
        <w:jc w:val="both"/>
      </w:pPr>
      <w:r>
        <w:t>This outcome will be achieved through a combination of fee increases and repayable capital injections. These capital injections will be required</w:t>
      </w:r>
      <w:r w:rsidR="00D86E89">
        <w:t xml:space="preserve"> </w:t>
      </w:r>
      <w:r>
        <w:t xml:space="preserve">over the 2022-2035 </w:t>
      </w:r>
      <w:r w:rsidR="00D86E89">
        <w:t>period but</w:t>
      </w:r>
      <w:r>
        <w:t xml:space="preserve"> will be fully repaid by June 2037. </w:t>
      </w:r>
      <w:r w:rsidR="00D86E89">
        <w:t xml:space="preserve">The PMA could also be brought back into balance through provision of </w:t>
      </w:r>
      <w:r w:rsidR="00D86E89">
        <w:lastRenderedPageBreak/>
        <w:t xml:space="preserve">non-repayable capital injections. This is not a preferred option as the taxpayer should not be </w:t>
      </w:r>
      <w:r w:rsidR="00E84D98">
        <w:t>subsidising p</w:t>
      </w:r>
      <w:r w:rsidR="00D86E89">
        <w:t>assport issuance</w:t>
      </w:r>
      <w:r w:rsidR="00E84D98">
        <w:t xml:space="preserve"> as it</w:t>
      </w:r>
      <w:r w:rsidR="00D86E89">
        <w:t xml:space="preserve"> is </w:t>
      </w:r>
      <w:r w:rsidR="00C044B5">
        <w:t xml:space="preserve">largely </w:t>
      </w:r>
      <w:r w:rsidR="00D86E89">
        <w:t xml:space="preserve">a </w:t>
      </w:r>
      <w:r w:rsidR="00E84D98">
        <w:t xml:space="preserve">private </w:t>
      </w:r>
      <w:r w:rsidR="00D86E89">
        <w:t xml:space="preserve">good </w:t>
      </w:r>
      <w:r w:rsidR="00E84D98">
        <w:t>as opposed to</w:t>
      </w:r>
      <w:r w:rsidR="00D86E89">
        <w:t xml:space="preserve"> a public good. Further discussion about </w:t>
      </w:r>
      <w:r w:rsidR="00C23E46">
        <w:t xml:space="preserve">public </w:t>
      </w:r>
      <w:r w:rsidR="00D86E89">
        <w:t xml:space="preserve">versus private good can be found below under the heading Reasons for Policy Objectives. </w:t>
      </w:r>
    </w:p>
    <w:p w14:paraId="1C5A50F1" w14:textId="28142946" w:rsidR="00672C8A" w:rsidRDefault="007F5830" w:rsidP="00F578DB">
      <w:pPr>
        <w:pStyle w:val="Heading2"/>
      </w:pPr>
      <w:bookmarkStart w:id="32" w:name="_Toc244580364"/>
      <w:bookmarkStart w:id="33" w:name="_Toc244587040"/>
      <w:bookmarkStart w:id="34" w:name="_Toc244857274"/>
      <w:bookmarkStart w:id="35" w:name="_Toc244912539"/>
      <w:bookmarkStart w:id="36" w:name="_Toc244916996"/>
      <w:bookmarkStart w:id="37" w:name="_Toc362368105"/>
      <w:bookmarkStart w:id="38" w:name="_Toc362434946"/>
      <w:bookmarkStart w:id="39" w:name="_Toc362589332"/>
      <w:bookmarkStart w:id="40" w:name="_Toc362619032"/>
      <w:bookmarkStart w:id="41" w:name="_Toc362940596"/>
      <w:bookmarkStart w:id="42" w:name="_Toc363047104"/>
      <w:r>
        <w:t xml:space="preserve">Cost Recovery Principles and </w:t>
      </w:r>
      <w:r w:rsidR="008D5CD9" w:rsidRPr="00082653">
        <w:t>Objectives</w:t>
      </w:r>
      <w:bookmarkEnd w:id="32"/>
      <w:bookmarkEnd w:id="33"/>
      <w:bookmarkEnd w:id="34"/>
      <w:bookmarkEnd w:id="35"/>
      <w:bookmarkEnd w:id="36"/>
      <w:bookmarkEnd w:id="37"/>
      <w:bookmarkEnd w:id="38"/>
      <w:bookmarkEnd w:id="39"/>
      <w:bookmarkEnd w:id="40"/>
      <w:bookmarkEnd w:id="41"/>
      <w:bookmarkEnd w:id="42"/>
    </w:p>
    <w:p w14:paraId="3A8B4A53" w14:textId="77777777" w:rsidR="00380130" w:rsidRPr="001C6634" w:rsidRDefault="00380130" w:rsidP="00380130">
      <w:pPr>
        <w:pStyle w:val="Bullet-list"/>
        <w:numPr>
          <w:ilvl w:val="0"/>
          <w:numId w:val="0"/>
        </w:numPr>
        <w:ind w:left="360" w:hanging="360"/>
        <w:rPr>
          <w:b/>
          <w:color w:val="5B9BD5" w:themeColor="accent5"/>
        </w:rPr>
      </w:pPr>
      <w:r w:rsidRPr="001C6634">
        <w:rPr>
          <w:b/>
          <w:color w:val="5B9BD5" w:themeColor="accent5"/>
        </w:rPr>
        <w:t>Accuracy of forecasting</w:t>
      </w:r>
    </w:p>
    <w:p w14:paraId="0CAF1298" w14:textId="32B7EF6F" w:rsidR="00380130" w:rsidRPr="00381832" w:rsidRDefault="00380130" w:rsidP="00380130">
      <w:pPr>
        <w:pStyle w:val="Bullet-list"/>
        <w:numPr>
          <w:ilvl w:val="0"/>
          <w:numId w:val="0"/>
        </w:numPr>
        <w:jc w:val="both"/>
      </w:pPr>
      <w:r>
        <w:t xml:space="preserve">The accuracy of the forecasting of the demand for travel documents depends upon the accuracy of the assumptions underpinning the forecast and </w:t>
      </w:r>
      <w:r w:rsidR="009C3581">
        <w:t xml:space="preserve">related </w:t>
      </w:r>
      <w:r>
        <w:t>demographic information. While it is possible to forecast with some accuracy the demographic changes relating to the number of citizens eligible to apply for their first passport and the number of citizens who will renew their passport</w:t>
      </w:r>
      <w:r w:rsidR="00DB0E50">
        <w:t>,</w:t>
      </w:r>
      <w:r>
        <w:t xml:space="preserve"> it is not possible to forecast in a COVID environment the number of citizens who will travel overseas and when they might travel.  This is because the opening and closing of international borders and associated quarantine requirements is beyond the control of the Department and the New Zealand Government. Similarly</w:t>
      </w:r>
      <w:r w:rsidR="00EC6B0D">
        <w:t xml:space="preserve">, </w:t>
      </w:r>
      <w:r>
        <w:t xml:space="preserve">quarantine or isolation requirements for returning New Zealanders can be a disincentive for citizens considering overseas travel.    </w:t>
      </w:r>
    </w:p>
    <w:p w14:paraId="33690CCA" w14:textId="77777777" w:rsidR="00380130" w:rsidRPr="001C6634" w:rsidRDefault="00380130" w:rsidP="00380130">
      <w:pPr>
        <w:pStyle w:val="Bullet-list"/>
        <w:numPr>
          <w:ilvl w:val="0"/>
          <w:numId w:val="0"/>
        </w:numPr>
        <w:ind w:left="360" w:hanging="360"/>
        <w:rPr>
          <w:b/>
          <w:color w:val="5B9BD5" w:themeColor="accent5"/>
        </w:rPr>
      </w:pPr>
      <w:r w:rsidRPr="001C6634">
        <w:rPr>
          <w:b/>
          <w:color w:val="5B9BD5" w:themeColor="accent5"/>
        </w:rPr>
        <w:t>Assumptions</w:t>
      </w:r>
    </w:p>
    <w:p w14:paraId="601C645E" w14:textId="215A34A6" w:rsidR="00380130" w:rsidRDefault="004A0CE4" w:rsidP="00380130">
      <w:pPr>
        <w:pStyle w:val="Bullet-list"/>
        <w:numPr>
          <w:ilvl w:val="0"/>
          <w:numId w:val="0"/>
        </w:numPr>
        <w:jc w:val="both"/>
      </w:pPr>
      <w:r>
        <w:t>To</w:t>
      </w:r>
      <w:r w:rsidR="00380130">
        <w:t xml:space="preserve"> develop the forecasting scenarios, it has been necessary to </w:t>
      </w:r>
      <w:proofErr w:type="gramStart"/>
      <w:r w:rsidR="00380130">
        <w:t>take into account</w:t>
      </w:r>
      <w:proofErr w:type="gramEnd"/>
      <w:r w:rsidR="00380130">
        <w:t xml:space="preserve"> </w:t>
      </w:r>
      <w:r w:rsidR="00D75BB9">
        <w:t xml:space="preserve">the following </w:t>
      </w:r>
      <w:r w:rsidR="00380130">
        <w:t>Government decisions relating to the opening of New Zealand’s borders and the impact this has on demand for passports</w:t>
      </w:r>
      <w:r w:rsidR="00965870">
        <w:t>:</w:t>
      </w:r>
      <w:r w:rsidR="00380130">
        <w:t xml:space="preserve"> </w:t>
      </w:r>
    </w:p>
    <w:p w14:paraId="3C4352D3" w14:textId="327D6603" w:rsidR="00380130" w:rsidRDefault="00965870" w:rsidP="00FB02BA">
      <w:pPr>
        <w:pStyle w:val="Bullet-list"/>
        <w:numPr>
          <w:ilvl w:val="0"/>
          <w:numId w:val="17"/>
        </w:numPr>
        <w:jc w:val="both"/>
      </w:pPr>
      <w:r>
        <w:t>O</w:t>
      </w:r>
      <w:r w:rsidR="00380130">
        <w:t xml:space="preserve">n 25 November 2021 the </w:t>
      </w:r>
      <w:r w:rsidR="00D75BB9">
        <w:t xml:space="preserve">COVID-19 Response Minister, Hon Chris Hipkins, </w:t>
      </w:r>
      <w:r w:rsidR="00380130">
        <w:t>announced that from 16 January 2022 fully vaccinated New Zealanders and other eligible travellers, with a negative predeparture test, w</w:t>
      </w:r>
      <w:r w:rsidR="003F2118">
        <w:t>ould</w:t>
      </w:r>
      <w:r w:rsidR="00380130">
        <w:t xml:space="preserve"> be able to travel to New Zealand from Australia without mandatory quarantine on their return and that from 13 February 2022 fully vaccinated New Zealanders with a negative pre-departure test, </w:t>
      </w:r>
      <w:r w:rsidR="003F2118">
        <w:t>could</w:t>
      </w:r>
      <w:r w:rsidR="00380130">
        <w:t xml:space="preserve"> travel to New Zealand from all other countries</w:t>
      </w:r>
      <w:r>
        <w:t>.</w:t>
      </w:r>
      <w:r w:rsidR="00380130">
        <w:t xml:space="preserve"> </w:t>
      </w:r>
    </w:p>
    <w:p w14:paraId="7DCD38F9" w14:textId="19BACFF9" w:rsidR="00380130" w:rsidRDefault="00965870" w:rsidP="00FB02BA">
      <w:pPr>
        <w:pStyle w:val="Bullet-list"/>
        <w:numPr>
          <w:ilvl w:val="0"/>
          <w:numId w:val="17"/>
        </w:numPr>
        <w:jc w:val="both"/>
      </w:pPr>
      <w:r>
        <w:t>O</w:t>
      </w:r>
      <w:r w:rsidR="00380130">
        <w:t>n 21 December 2021 COVID-19 Response Minister, Hon Chris Hipkins, announced that the date for ending of mandatory quarantine would be pushed back to the end of February 2022 and that pre-departure test requirements to enter New Zealand ha</w:t>
      </w:r>
      <w:r w:rsidR="003F2118">
        <w:t>d</w:t>
      </w:r>
      <w:r w:rsidR="00380130">
        <w:t xml:space="preserve"> been reduced from 72 hours to 48 hours before travel</w:t>
      </w:r>
      <w:r>
        <w:t>.</w:t>
      </w:r>
    </w:p>
    <w:p w14:paraId="5A73C453" w14:textId="59BD8F27" w:rsidR="00D75BB9" w:rsidRDefault="00965870" w:rsidP="00FB02BA">
      <w:pPr>
        <w:pStyle w:val="Bullet-list"/>
        <w:numPr>
          <w:ilvl w:val="0"/>
          <w:numId w:val="17"/>
        </w:numPr>
        <w:jc w:val="both"/>
      </w:pPr>
      <w:r>
        <w:t>O</w:t>
      </w:r>
      <w:r w:rsidR="00D75BB9">
        <w:t>n 3 February 2022 the Prime Minister, Rt Hon Jacinda A</w:t>
      </w:r>
      <w:r w:rsidR="004A0CE4">
        <w:t>r</w:t>
      </w:r>
      <w:r w:rsidR="00D75BB9">
        <w:t>dern, announced Cabinet</w:t>
      </w:r>
      <w:r w:rsidR="00FB02BA">
        <w:t>’</w:t>
      </w:r>
      <w:r w:rsidR="00D75BB9">
        <w:t>s decision to</w:t>
      </w:r>
      <w:r w:rsidR="00FB02BA">
        <w:t xml:space="preserve"> a</w:t>
      </w:r>
      <w:r w:rsidR="00D75BB9">
        <w:t>llow</w:t>
      </w:r>
      <w:r w:rsidR="00FB02BA">
        <w:t xml:space="preserve">, from 27 February, </w:t>
      </w:r>
      <w:r w:rsidR="00D75BB9">
        <w:t xml:space="preserve">fully vaccinated New </w:t>
      </w:r>
      <w:proofErr w:type="gramStart"/>
      <w:r w:rsidR="00D75BB9">
        <w:t>Zealanders</w:t>
      </w:r>
      <w:proofErr w:type="gramEnd"/>
      <w:r w:rsidR="00D75BB9">
        <w:t xml:space="preserve"> and other eligible travellers from Australia to travel to New Zealand and to self-isolate without going th</w:t>
      </w:r>
      <w:r w:rsidR="004A0CE4">
        <w:t>r</w:t>
      </w:r>
      <w:r w:rsidR="00D75BB9">
        <w:t xml:space="preserve">ough MIQ. </w:t>
      </w:r>
      <w:r w:rsidR="00FB02BA">
        <w:t xml:space="preserve"> The Prime Minister also announced that, </w:t>
      </w:r>
      <w:r w:rsidR="004A0CE4">
        <w:t>two</w:t>
      </w:r>
      <w:r w:rsidR="00D75BB9">
        <w:t xml:space="preserve"> weeks after 27 February</w:t>
      </w:r>
      <w:r w:rsidR="00FB02BA">
        <w:t>,</w:t>
      </w:r>
      <w:r w:rsidR="00D75BB9">
        <w:t xml:space="preserve"> fully vaccinated New </w:t>
      </w:r>
      <w:proofErr w:type="gramStart"/>
      <w:r w:rsidR="00D75BB9">
        <w:t>Zealanders</w:t>
      </w:r>
      <w:proofErr w:type="gramEnd"/>
      <w:r w:rsidR="00D75BB9">
        <w:t xml:space="preserve"> and other eligible travellers from the rest of the world </w:t>
      </w:r>
      <w:r w:rsidR="003F2118">
        <w:t>would</w:t>
      </w:r>
      <w:r w:rsidR="00FB02BA">
        <w:t xml:space="preserve"> be able </w:t>
      </w:r>
      <w:r w:rsidR="00D75BB9">
        <w:t>to travel to New Zealand without going through MIQ</w:t>
      </w:r>
      <w:r>
        <w:t>.</w:t>
      </w:r>
    </w:p>
    <w:p w14:paraId="3A870E0D" w14:textId="70F40BE8" w:rsidR="00904824" w:rsidRDefault="00904824" w:rsidP="00FB02BA">
      <w:pPr>
        <w:pStyle w:val="Bullet-list"/>
        <w:numPr>
          <w:ilvl w:val="0"/>
          <w:numId w:val="17"/>
        </w:numPr>
        <w:jc w:val="both"/>
      </w:pPr>
      <w:r>
        <w:t xml:space="preserve">On 28 February 2022 Hon Chris Hipkins, Minister for COVID-19 Response, announced that the self-isolation requirements for vaccinated travellers to New Zealand, who have a negative pre-departure test, would be removed </w:t>
      </w:r>
      <w:r w:rsidR="00F51A99">
        <w:t xml:space="preserve">starting </w:t>
      </w:r>
      <w:r>
        <w:t xml:space="preserve">from 2 March 2022. </w:t>
      </w:r>
    </w:p>
    <w:p w14:paraId="450F9DDF" w14:textId="77777777" w:rsidR="00380130" w:rsidRPr="00026C21" w:rsidRDefault="00380130" w:rsidP="00380130">
      <w:pPr>
        <w:pStyle w:val="Bullet-list"/>
        <w:numPr>
          <w:ilvl w:val="0"/>
          <w:numId w:val="0"/>
        </w:numPr>
        <w:jc w:val="both"/>
      </w:pPr>
      <w:r>
        <w:t xml:space="preserve">Assumptions on demand for travel documents and passports also include an assessment of when the deferred demand for travel documents will return and how much of that demand returns.   </w:t>
      </w:r>
    </w:p>
    <w:p w14:paraId="5A35DF14" w14:textId="77777777" w:rsidR="002A7956" w:rsidRDefault="002A7956" w:rsidP="00380130">
      <w:pPr>
        <w:pStyle w:val="Bullet-list"/>
        <w:numPr>
          <w:ilvl w:val="0"/>
          <w:numId w:val="0"/>
        </w:numPr>
        <w:ind w:left="360" w:hanging="360"/>
        <w:rPr>
          <w:b/>
          <w:color w:val="5B9BD5" w:themeColor="accent5"/>
        </w:rPr>
      </w:pPr>
    </w:p>
    <w:p w14:paraId="03283FC5" w14:textId="1FBE14EF" w:rsidR="00380130" w:rsidRPr="001C6634" w:rsidRDefault="00380130" w:rsidP="00380130">
      <w:pPr>
        <w:pStyle w:val="Bullet-list"/>
        <w:numPr>
          <w:ilvl w:val="0"/>
          <w:numId w:val="0"/>
        </w:numPr>
        <w:ind w:left="360" w:hanging="360"/>
        <w:rPr>
          <w:b/>
          <w:color w:val="5B9BD5" w:themeColor="accent5"/>
        </w:rPr>
      </w:pPr>
      <w:r w:rsidRPr="001C6634">
        <w:rPr>
          <w:b/>
          <w:color w:val="5B9BD5" w:themeColor="accent5"/>
        </w:rPr>
        <w:lastRenderedPageBreak/>
        <w:t xml:space="preserve">Dependencies </w:t>
      </w:r>
    </w:p>
    <w:p w14:paraId="3A230E2E" w14:textId="77777777" w:rsidR="00380130" w:rsidRDefault="00380130" w:rsidP="00380130">
      <w:pPr>
        <w:pStyle w:val="Bullet-list"/>
        <w:numPr>
          <w:ilvl w:val="0"/>
          <w:numId w:val="0"/>
        </w:numPr>
        <w:jc w:val="both"/>
      </w:pPr>
      <w:r w:rsidRPr="004650F7">
        <w:t>The forecast of future demand is caveated by</w:t>
      </w:r>
      <w:r>
        <w:t xml:space="preserve"> the</w:t>
      </w:r>
      <w:r w:rsidRPr="004650F7">
        <w:t>:</w:t>
      </w:r>
      <w:r>
        <w:t xml:space="preserve"> </w:t>
      </w:r>
    </w:p>
    <w:p w14:paraId="6DE3DB98" w14:textId="77777777" w:rsidR="00380130" w:rsidRPr="00133DD2" w:rsidRDefault="00380130" w:rsidP="00380130">
      <w:pPr>
        <w:pStyle w:val="Bullet-list"/>
        <w:numPr>
          <w:ilvl w:val="0"/>
          <w:numId w:val="9"/>
        </w:numPr>
        <w:jc w:val="both"/>
      </w:pPr>
      <w:r w:rsidRPr="004650F7">
        <w:t xml:space="preserve">timing of the reopening of international </w:t>
      </w:r>
      <w:proofErr w:type="gramStart"/>
      <w:r w:rsidRPr="004650F7">
        <w:t>borders</w:t>
      </w:r>
      <w:r>
        <w:rPr>
          <w:b/>
        </w:rPr>
        <w:t>;</w:t>
      </w:r>
      <w:proofErr w:type="gramEnd"/>
      <w:r>
        <w:rPr>
          <w:b/>
        </w:rPr>
        <w:t xml:space="preserve"> </w:t>
      </w:r>
    </w:p>
    <w:p w14:paraId="596C41BD" w14:textId="0D4AF71C" w:rsidR="00380130" w:rsidRDefault="00380130" w:rsidP="00380130">
      <w:pPr>
        <w:pStyle w:val="Bullet-list"/>
        <w:numPr>
          <w:ilvl w:val="0"/>
          <w:numId w:val="9"/>
        </w:numPr>
        <w:jc w:val="both"/>
      </w:pPr>
      <w:r w:rsidRPr="00133DD2">
        <w:t>r</w:t>
      </w:r>
      <w:r w:rsidRPr="004650F7">
        <w:t xml:space="preserve">equirements other countries place on </w:t>
      </w:r>
      <w:r>
        <w:t xml:space="preserve">foreign national </w:t>
      </w:r>
      <w:r w:rsidRPr="004650F7">
        <w:t xml:space="preserve">arrivals, such as mandatory quarantine, vaccination status, </w:t>
      </w:r>
      <w:r>
        <w:t xml:space="preserve">and pre-departure </w:t>
      </w:r>
      <w:proofErr w:type="gramStart"/>
      <w:r>
        <w:t>testing</w:t>
      </w:r>
      <w:r w:rsidR="00965870">
        <w:t>;</w:t>
      </w:r>
      <w:proofErr w:type="gramEnd"/>
      <w:r>
        <w:t xml:space="preserve"> </w:t>
      </w:r>
    </w:p>
    <w:p w14:paraId="2922E2AD" w14:textId="77777777" w:rsidR="00380130" w:rsidRDefault="00380130" w:rsidP="00380130">
      <w:pPr>
        <w:pStyle w:val="Bullet-list"/>
        <w:numPr>
          <w:ilvl w:val="0"/>
          <w:numId w:val="9"/>
        </w:numPr>
        <w:jc w:val="both"/>
      </w:pPr>
      <w:r w:rsidRPr="004650F7">
        <w:t xml:space="preserve">the cost of travel; </w:t>
      </w:r>
      <w:r>
        <w:t>and</w:t>
      </w:r>
    </w:p>
    <w:p w14:paraId="3A5ED9B8" w14:textId="77777777" w:rsidR="00380130" w:rsidRDefault="00380130" w:rsidP="00380130">
      <w:pPr>
        <w:pStyle w:val="Bullet-list"/>
        <w:numPr>
          <w:ilvl w:val="0"/>
          <w:numId w:val="9"/>
        </w:numPr>
        <w:jc w:val="both"/>
      </w:pPr>
      <w:r w:rsidRPr="004650F7">
        <w:t xml:space="preserve">quarantine </w:t>
      </w:r>
      <w:r>
        <w:t xml:space="preserve">or isolation </w:t>
      </w:r>
      <w:r w:rsidRPr="004650F7">
        <w:t xml:space="preserve">requirements on return to New Zealand. </w:t>
      </w:r>
      <w:r>
        <w:t xml:space="preserve"> </w:t>
      </w:r>
    </w:p>
    <w:p w14:paraId="63D33DA3" w14:textId="194A991F" w:rsidR="00380130" w:rsidRDefault="00380130" w:rsidP="00380130">
      <w:pPr>
        <w:pStyle w:val="Bullet-list"/>
        <w:numPr>
          <w:ilvl w:val="0"/>
          <w:numId w:val="0"/>
        </w:numPr>
        <w:jc w:val="both"/>
      </w:pPr>
      <w:r>
        <w:t xml:space="preserve">Uncertainty around the possibility of changes to quarantine requirements after departure and the availability of </w:t>
      </w:r>
      <w:r w:rsidR="003F2118">
        <w:t xml:space="preserve">places </w:t>
      </w:r>
      <w:r>
        <w:t xml:space="preserve">in MIQ </w:t>
      </w:r>
      <w:r w:rsidR="003F2118">
        <w:t>is</w:t>
      </w:r>
      <w:r>
        <w:t xml:space="preserve"> also a factor that impacts on citizens considering overseas travel.   </w:t>
      </w:r>
    </w:p>
    <w:p w14:paraId="1F26AE03" w14:textId="5DBDB4D6" w:rsidR="00F05FD6" w:rsidRPr="001C6634" w:rsidRDefault="00F05FD6" w:rsidP="00F05FD6">
      <w:pPr>
        <w:pStyle w:val="Bullet-list"/>
        <w:numPr>
          <w:ilvl w:val="0"/>
          <w:numId w:val="0"/>
        </w:numPr>
        <w:ind w:left="360" w:hanging="360"/>
        <w:rPr>
          <w:b/>
          <w:color w:val="5B9BD5" w:themeColor="accent5"/>
        </w:rPr>
      </w:pPr>
      <w:r>
        <w:rPr>
          <w:b/>
          <w:color w:val="5B9BD5" w:themeColor="accent5"/>
        </w:rPr>
        <w:t>Cost recovery principles</w:t>
      </w:r>
      <w:r w:rsidRPr="001C6634">
        <w:rPr>
          <w:b/>
          <w:color w:val="5B9BD5" w:themeColor="accent5"/>
        </w:rPr>
        <w:t xml:space="preserve"> </w:t>
      </w:r>
    </w:p>
    <w:p w14:paraId="03DD3F68" w14:textId="10087588" w:rsidR="00D455F0" w:rsidRPr="00E26BC5" w:rsidRDefault="00D455F0" w:rsidP="00F05FD6">
      <w:pPr>
        <w:pStyle w:val="Caption"/>
        <w:jc w:val="both"/>
        <w:rPr>
          <w:b w:val="0"/>
          <w:sz w:val="22"/>
          <w:szCs w:val="22"/>
        </w:rPr>
      </w:pPr>
      <w:r w:rsidRPr="00E26BC5">
        <w:rPr>
          <w:b w:val="0"/>
          <w:sz w:val="22"/>
          <w:szCs w:val="22"/>
        </w:rPr>
        <w:t xml:space="preserve">Table </w:t>
      </w:r>
      <w:r w:rsidR="003C4916" w:rsidRPr="00E26BC5">
        <w:rPr>
          <w:b w:val="0"/>
          <w:sz w:val="22"/>
          <w:szCs w:val="22"/>
        </w:rPr>
        <w:t>2</w:t>
      </w:r>
      <w:r w:rsidRPr="00E26BC5">
        <w:rPr>
          <w:b w:val="0"/>
          <w:sz w:val="22"/>
          <w:szCs w:val="22"/>
        </w:rPr>
        <w:t xml:space="preserve"> </w:t>
      </w:r>
      <w:r w:rsidR="00F05FD6" w:rsidRPr="00E26BC5">
        <w:rPr>
          <w:b w:val="0"/>
          <w:sz w:val="22"/>
          <w:szCs w:val="22"/>
        </w:rPr>
        <w:t>below sets out the underpinning principles for cost recovery. Passport issuance and the history of issuance is complex and sometimes contradictory in terms of the application of cost recovery principles</w:t>
      </w:r>
      <w:r w:rsidR="004A0CE4">
        <w:rPr>
          <w:b w:val="0"/>
          <w:sz w:val="22"/>
          <w:szCs w:val="22"/>
        </w:rPr>
        <w:t>,</w:t>
      </w:r>
      <w:r w:rsidR="00F05FD6" w:rsidRPr="00E26BC5">
        <w:rPr>
          <w:b w:val="0"/>
          <w:sz w:val="22"/>
          <w:szCs w:val="22"/>
        </w:rPr>
        <w:t xml:space="preserve"> the principles set out below are equally balanced in terms of the weight the</w:t>
      </w:r>
      <w:r w:rsidR="004A0CE4">
        <w:rPr>
          <w:b w:val="0"/>
          <w:sz w:val="22"/>
          <w:szCs w:val="22"/>
        </w:rPr>
        <w:t>se are</w:t>
      </w:r>
      <w:r w:rsidR="00F05FD6" w:rsidRPr="00E26BC5">
        <w:rPr>
          <w:b w:val="0"/>
          <w:sz w:val="22"/>
          <w:szCs w:val="22"/>
        </w:rPr>
        <w:t xml:space="preserve"> given.</w:t>
      </w:r>
    </w:p>
    <w:p w14:paraId="0612D29D" w14:textId="1AC920EE" w:rsidR="00E26BC5" w:rsidRPr="00E26BC5" w:rsidRDefault="00E26BC5" w:rsidP="00E26BC5">
      <w:pPr>
        <w:pStyle w:val="Caption"/>
      </w:pPr>
      <w:r>
        <w:t xml:space="preserve">Table </w:t>
      </w:r>
      <w:r>
        <w:fldChar w:fldCharType="begin"/>
      </w:r>
      <w:r>
        <w:instrText xml:space="preserve"> SEQ Table \* ARABIC </w:instrText>
      </w:r>
      <w:r>
        <w:fldChar w:fldCharType="separate"/>
      </w:r>
      <w:r w:rsidR="003B6033">
        <w:rPr>
          <w:noProof/>
        </w:rPr>
        <w:t>2</w:t>
      </w:r>
      <w:r>
        <w:fldChar w:fldCharType="end"/>
      </w:r>
      <w:r>
        <w:t xml:space="preserve"> Cost recovery principles and objectives</w:t>
      </w:r>
    </w:p>
    <w:tbl>
      <w:tblPr>
        <w:tblW w:w="5000" w:type="pct"/>
        <w:tblInd w:w="108" w:type="dxa"/>
        <w:tblBorders>
          <w:top w:val="single" w:sz="12" w:space="0" w:color="1F546B"/>
          <w:left w:val="single" w:sz="12" w:space="0" w:color="1F546B"/>
          <w:bottom w:val="single" w:sz="12" w:space="0" w:color="1F546B"/>
          <w:right w:val="single" w:sz="12" w:space="0" w:color="1F546B"/>
          <w:insideH w:val="single" w:sz="6" w:space="0" w:color="1F546B"/>
          <w:insideV w:val="single" w:sz="6" w:space="0" w:color="1F546B"/>
        </w:tblBorders>
        <w:tblLayout w:type="fixed"/>
        <w:tblLook w:val="0000" w:firstRow="0" w:lastRow="0" w:firstColumn="0" w:lastColumn="0" w:noHBand="0" w:noVBand="0"/>
      </w:tblPr>
      <w:tblGrid>
        <w:gridCol w:w="382"/>
        <w:gridCol w:w="1622"/>
        <w:gridCol w:w="3685"/>
        <w:gridCol w:w="3352"/>
      </w:tblGrid>
      <w:tr w:rsidR="008A67DB" w:rsidRPr="00F56F8A" w14:paraId="26664D4E" w14:textId="77777777" w:rsidTr="004A0CE4">
        <w:trPr>
          <w:cantSplit/>
          <w:tblHeader/>
        </w:trPr>
        <w:tc>
          <w:tcPr>
            <w:tcW w:w="211" w:type="pct"/>
            <w:tcBorders>
              <w:top w:val="single" w:sz="12" w:space="0" w:color="1F546B"/>
              <w:bottom w:val="single" w:sz="6" w:space="0" w:color="1F546B"/>
            </w:tcBorders>
            <w:shd w:val="clear" w:color="auto" w:fill="000000" w:themeFill="text1"/>
          </w:tcPr>
          <w:p w14:paraId="4FDFF51B" w14:textId="77777777" w:rsidR="00927387" w:rsidRPr="00F56F8A" w:rsidRDefault="00927387" w:rsidP="00F56F8A">
            <w:pPr>
              <w:spacing w:before="40" w:after="40"/>
              <w:jc w:val="both"/>
              <w:rPr>
                <w:rFonts w:eastAsia="Calibri" w:cs="Arial"/>
                <w:b/>
                <w:szCs w:val="22"/>
              </w:rPr>
            </w:pPr>
            <w:r w:rsidRPr="00F56F8A">
              <w:rPr>
                <w:rFonts w:eastAsia="Calibri" w:cs="Arial"/>
                <w:b/>
                <w:szCs w:val="22"/>
              </w:rPr>
              <w:t>#</w:t>
            </w:r>
          </w:p>
        </w:tc>
        <w:tc>
          <w:tcPr>
            <w:tcW w:w="897" w:type="pct"/>
            <w:tcBorders>
              <w:top w:val="single" w:sz="12" w:space="0" w:color="1F546B"/>
              <w:bottom w:val="single" w:sz="6" w:space="0" w:color="1F546B"/>
            </w:tcBorders>
            <w:shd w:val="clear" w:color="auto" w:fill="000000" w:themeFill="text1"/>
          </w:tcPr>
          <w:p w14:paraId="5DCAF88E" w14:textId="77777777" w:rsidR="00927387" w:rsidRPr="00F56F8A" w:rsidRDefault="00927387" w:rsidP="00F56F8A">
            <w:pPr>
              <w:spacing w:before="40" w:after="40"/>
              <w:rPr>
                <w:rFonts w:eastAsia="Calibri" w:cs="Arial"/>
                <w:b/>
                <w:szCs w:val="22"/>
              </w:rPr>
            </w:pPr>
            <w:r w:rsidRPr="00F56F8A">
              <w:rPr>
                <w:rFonts w:eastAsia="Calibri" w:cs="Arial"/>
                <w:b/>
                <w:szCs w:val="22"/>
              </w:rPr>
              <w:t>Principle</w:t>
            </w:r>
          </w:p>
        </w:tc>
        <w:tc>
          <w:tcPr>
            <w:tcW w:w="2038" w:type="pct"/>
            <w:tcBorders>
              <w:top w:val="single" w:sz="12" w:space="0" w:color="1F546B"/>
              <w:bottom w:val="single" w:sz="6" w:space="0" w:color="1F546B"/>
            </w:tcBorders>
            <w:shd w:val="clear" w:color="auto" w:fill="000000" w:themeFill="text1"/>
          </w:tcPr>
          <w:p w14:paraId="4EAE4111" w14:textId="77777777" w:rsidR="00927387" w:rsidRPr="00F56F8A" w:rsidRDefault="00927387" w:rsidP="00F56F8A">
            <w:pPr>
              <w:spacing w:before="40" w:after="40"/>
              <w:rPr>
                <w:rFonts w:eastAsia="Calibri" w:cs="Arial"/>
                <w:b/>
                <w:szCs w:val="22"/>
              </w:rPr>
            </w:pPr>
            <w:r w:rsidRPr="00F56F8A">
              <w:rPr>
                <w:rFonts w:eastAsia="Calibri" w:cs="Arial"/>
                <w:b/>
                <w:szCs w:val="22"/>
              </w:rPr>
              <w:t>Applicability to passport and travel document fees framework</w:t>
            </w:r>
          </w:p>
        </w:tc>
        <w:tc>
          <w:tcPr>
            <w:tcW w:w="1854" w:type="pct"/>
            <w:tcBorders>
              <w:top w:val="single" w:sz="12" w:space="0" w:color="1F546B"/>
              <w:bottom w:val="single" w:sz="6" w:space="0" w:color="1F546B"/>
            </w:tcBorders>
            <w:shd w:val="clear" w:color="auto" w:fill="000000" w:themeFill="text1"/>
          </w:tcPr>
          <w:p w14:paraId="0E030F15" w14:textId="77777777" w:rsidR="00927387" w:rsidRPr="00F56F8A" w:rsidRDefault="00927387" w:rsidP="00F56F8A">
            <w:pPr>
              <w:spacing w:before="40" w:after="40"/>
              <w:rPr>
                <w:rFonts w:eastAsia="Calibri" w:cs="Arial"/>
                <w:b/>
                <w:szCs w:val="22"/>
              </w:rPr>
            </w:pPr>
            <w:r w:rsidRPr="00F56F8A">
              <w:rPr>
                <w:rFonts w:eastAsia="Calibri" w:cs="Arial"/>
                <w:b/>
                <w:szCs w:val="22"/>
              </w:rPr>
              <w:t>Applicability to passport and travel document fees proposals</w:t>
            </w:r>
          </w:p>
        </w:tc>
      </w:tr>
      <w:tr w:rsidR="00927387" w:rsidRPr="00F56F8A" w14:paraId="25B26C81" w14:textId="77777777" w:rsidTr="004A0CE4">
        <w:trPr>
          <w:cantSplit/>
        </w:trPr>
        <w:tc>
          <w:tcPr>
            <w:tcW w:w="211" w:type="pct"/>
            <w:tcBorders>
              <w:top w:val="single" w:sz="6" w:space="0" w:color="1F546B"/>
            </w:tcBorders>
            <w:shd w:val="clear" w:color="auto" w:fill="auto"/>
          </w:tcPr>
          <w:p w14:paraId="3DB07769" w14:textId="77777777" w:rsidR="00927387" w:rsidRPr="00F56F8A" w:rsidRDefault="008A67DB" w:rsidP="00F56F8A">
            <w:pPr>
              <w:spacing w:before="40" w:after="40"/>
              <w:jc w:val="both"/>
              <w:rPr>
                <w:rFonts w:eastAsia="Calibri" w:cs="Arial"/>
                <w:szCs w:val="22"/>
              </w:rPr>
            </w:pPr>
            <w:r w:rsidRPr="00F56F8A">
              <w:rPr>
                <w:rFonts w:eastAsia="Calibri" w:cs="Arial"/>
                <w:szCs w:val="22"/>
              </w:rPr>
              <w:t>1</w:t>
            </w:r>
          </w:p>
        </w:tc>
        <w:tc>
          <w:tcPr>
            <w:tcW w:w="897" w:type="pct"/>
            <w:tcBorders>
              <w:top w:val="single" w:sz="6" w:space="0" w:color="1F546B"/>
            </w:tcBorders>
            <w:shd w:val="clear" w:color="auto" w:fill="auto"/>
          </w:tcPr>
          <w:p w14:paraId="35E1DB53" w14:textId="77777777" w:rsidR="00927387" w:rsidRPr="00F56F8A" w:rsidRDefault="00927387" w:rsidP="00F56F8A">
            <w:pPr>
              <w:spacing w:before="40" w:after="40"/>
              <w:rPr>
                <w:rFonts w:eastAsia="Calibri" w:cs="Arial"/>
                <w:szCs w:val="22"/>
              </w:rPr>
            </w:pPr>
            <w:r w:rsidRPr="00F56F8A">
              <w:rPr>
                <w:rFonts w:eastAsia="Calibri" w:cs="Arial"/>
                <w:szCs w:val="22"/>
              </w:rPr>
              <w:t>Authority</w:t>
            </w:r>
            <w:r w:rsidRPr="00F56F8A">
              <w:rPr>
                <w:rFonts w:eastAsia="Calibri" w:cs="Arial"/>
                <w:szCs w:val="22"/>
              </w:rPr>
              <w:br/>
            </w:r>
          </w:p>
        </w:tc>
        <w:tc>
          <w:tcPr>
            <w:tcW w:w="2038" w:type="pct"/>
            <w:tcBorders>
              <w:top w:val="single" w:sz="6" w:space="0" w:color="1F546B"/>
            </w:tcBorders>
            <w:shd w:val="clear" w:color="auto" w:fill="auto"/>
          </w:tcPr>
          <w:p w14:paraId="34A7D35F" w14:textId="77777777" w:rsidR="00927387" w:rsidRPr="00F56F8A" w:rsidRDefault="00927387" w:rsidP="00F56F8A">
            <w:pPr>
              <w:spacing w:before="40" w:after="40"/>
              <w:rPr>
                <w:rFonts w:eastAsia="Calibri" w:cs="Arial"/>
                <w:szCs w:val="22"/>
              </w:rPr>
            </w:pPr>
            <w:r w:rsidRPr="00F56F8A">
              <w:rPr>
                <w:rFonts w:eastAsia="Calibri" w:cs="Arial"/>
                <w:szCs w:val="22"/>
              </w:rPr>
              <w:t xml:space="preserve">The Passports Act 1992 and the Passport (Fees) Regulations 2015 provide the authority to set fee levels and require payment of those fees.   </w:t>
            </w:r>
          </w:p>
        </w:tc>
        <w:tc>
          <w:tcPr>
            <w:tcW w:w="1854" w:type="pct"/>
            <w:tcBorders>
              <w:top w:val="single" w:sz="6" w:space="0" w:color="1F546B"/>
            </w:tcBorders>
            <w:shd w:val="clear" w:color="auto" w:fill="auto"/>
          </w:tcPr>
          <w:p w14:paraId="2564C3A6" w14:textId="77777777" w:rsidR="00927387" w:rsidRPr="00F56F8A" w:rsidRDefault="00927387" w:rsidP="00F56F8A">
            <w:pPr>
              <w:spacing w:before="40" w:after="40"/>
              <w:rPr>
                <w:rFonts w:eastAsia="Calibri" w:cs="Arial"/>
                <w:szCs w:val="22"/>
              </w:rPr>
            </w:pPr>
            <w:r w:rsidRPr="00F56F8A">
              <w:rPr>
                <w:rFonts w:eastAsia="Calibri" w:cs="Arial"/>
                <w:szCs w:val="22"/>
              </w:rPr>
              <w:t xml:space="preserve">The fees proposals would result in an amendment to the Passport (Fees) Regulations 2015, which would need to be approved by the Government. </w:t>
            </w:r>
          </w:p>
        </w:tc>
      </w:tr>
      <w:tr w:rsidR="00927387" w:rsidRPr="00F56F8A" w14:paraId="2713B303" w14:textId="77777777" w:rsidTr="004A0CE4">
        <w:trPr>
          <w:cantSplit/>
        </w:trPr>
        <w:tc>
          <w:tcPr>
            <w:tcW w:w="211" w:type="pct"/>
            <w:shd w:val="clear" w:color="auto" w:fill="auto"/>
          </w:tcPr>
          <w:p w14:paraId="48F9695A" w14:textId="77777777" w:rsidR="00927387" w:rsidRPr="00F56F8A" w:rsidRDefault="008A67DB" w:rsidP="00F56F8A">
            <w:pPr>
              <w:spacing w:before="40" w:after="40"/>
              <w:jc w:val="both"/>
              <w:rPr>
                <w:rFonts w:eastAsia="Calibri" w:cs="Arial"/>
                <w:szCs w:val="22"/>
              </w:rPr>
            </w:pPr>
            <w:r w:rsidRPr="00F56F8A">
              <w:rPr>
                <w:rFonts w:eastAsia="Calibri" w:cs="Arial"/>
                <w:szCs w:val="22"/>
              </w:rPr>
              <w:t>2</w:t>
            </w:r>
          </w:p>
        </w:tc>
        <w:tc>
          <w:tcPr>
            <w:tcW w:w="897" w:type="pct"/>
            <w:shd w:val="clear" w:color="auto" w:fill="auto"/>
          </w:tcPr>
          <w:p w14:paraId="234B8F64" w14:textId="77777777" w:rsidR="00927387" w:rsidRPr="00F56F8A" w:rsidRDefault="00927387" w:rsidP="00F56F8A">
            <w:pPr>
              <w:spacing w:before="40" w:after="40"/>
              <w:rPr>
                <w:rFonts w:eastAsia="Calibri" w:cs="Arial"/>
                <w:szCs w:val="22"/>
              </w:rPr>
            </w:pPr>
            <w:r w:rsidRPr="00F56F8A">
              <w:rPr>
                <w:rFonts w:eastAsia="Calibri" w:cs="Arial"/>
                <w:szCs w:val="22"/>
              </w:rPr>
              <w:t>Effectiveness</w:t>
            </w:r>
          </w:p>
        </w:tc>
        <w:tc>
          <w:tcPr>
            <w:tcW w:w="2038" w:type="pct"/>
            <w:shd w:val="clear" w:color="auto" w:fill="auto"/>
          </w:tcPr>
          <w:p w14:paraId="24C8C62C" w14:textId="77777777" w:rsidR="00927387" w:rsidRPr="00F56F8A" w:rsidRDefault="00927387" w:rsidP="00F56F8A">
            <w:pPr>
              <w:spacing w:before="40" w:after="40"/>
              <w:rPr>
                <w:rFonts w:eastAsia="Calibri" w:cs="Arial"/>
                <w:szCs w:val="22"/>
              </w:rPr>
            </w:pPr>
            <w:r w:rsidRPr="00F56F8A">
              <w:rPr>
                <w:rFonts w:eastAsia="Calibri" w:cs="Arial"/>
                <w:szCs w:val="22"/>
              </w:rPr>
              <w:t xml:space="preserve">The passport service has sufficient funding for a high-quality passport service providing New Zealanders with passports that are internationally recognised as trusted and secure identity documents. This makes it easy for New Zealanders to travel internationally.  </w:t>
            </w:r>
          </w:p>
        </w:tc>
        <w:tc>
          <w:tcPr>
            <w:tcW w:w="1854" w:type="pct"/>
            <w:shd w:val="clear" w:color="auto" w:fill="auto"/>
          </w:tcPr>
          <w:p w14:paraId="45674D77" w14:textId="77777777" w:rsidR="00927387" w:rsidRPr="00F56F8A" w:rsidRDefault="00927387" w:rsidP="00F56F8A">
            <w:pPr>
              <w:spacing w:before="40" w:after="40"/>
              <w:rPr>
                <w:rFonts w:eastAsia="Calibri" w:cs="Arial"/>
                <w:szCs w:val="22"/>
              </w:rPr>
            </w:pPr>
            <w:r w:rsidRPr="00F56F8A">
              <w:rPr>
                <w:rFonts w:eastAsia="Calibri" w:cs="Arial"/>
                <w:szCs w:val="22"/>
              </w:rPr>
              <w:t>The fees proposals would ensure that DIA has sufficient funding to continue to provide a high-quality passport service.</w:t>
            </w:r>
          </w:p>
        </w:tc>
      </w:tr>
      <w:tr w:rsidR="00927387" w:rsidRPr="00F56F8A" w14:paraId="1289EE03" w14:textId="77777777" w:rsidTr="004A0CE4">
        <w:trPr>
          <w:cantSplit/>
        </w:trPr>
        <w:tc>
          <w:tcPr>
            <w:tcW w:w="211" w:type="pct"/>
            <w:shd w:val="clear" w:color="auto" w:fill="auto"/>
          </w:tcPr>
          <w:p w14:paraId="39C73954" w14:textId="77777777" w:rsidR="00927387" w:rsidRPr="00F56F8A" w:rsidRDefault="008A67DB" w:rsidP="00F56F8A">
            <w:pPr>
              <w:spacing w:before="40" w:after="40"/>
              <w:jc w:val="both"/>
              <w:rPr>
                <w:rFonts w:eastAsia="Calibri" w:cs="Arial"/>
                <w:szCs w:val="22"/>
              </w:rPr>
            </w:pPr>
            <w:r w:rsidRPr="00F56F8A">
              <w:rPr>
                <w:rFonts w:eastAsia="Calibri" w:cs="Arial"/>
                <w:szCs w:val="22"/>
              </w:rPr>
              <w:t>3</w:t>
            </w:r>
          </w:p>
        </w:tc>
        <w:tc>
          <w:tcPr>
            <w:tcW w:w="897" w:type="pct"/>
            <w:shd w:val="clear" w:color="auto" w:fill="auto"/>
          </w:tcPr>
          <w:p w14:paraId="2AEF310C" w14:textId="77777777" w:rsidR="00927387" w:rsidRPr="00F56F8A" w:rsidRDefault="00927387" w:rsidP="00F56F8A">
            <w:pPr>
              <w:spacing w:before="40" w:after="40"/>
              <w:rPr>
                <w:rFonts w:eastAsia="Calibri" w:cs="Arial"/>
                <w:szCs w:val="22"/>
              </w:rPr>
            </w:pPr>
            <w:r w:rsidRPr="00F56F8A">
              <w:rPr>
                <w:rFonts w:eastAsia="Calibri" w:cs="Arial"/>
                <w:szCs w:val="22"/>
              </w:rPr>
              <w:t>Efficiency</w:t>
            </w:r>
          </w:p>
        </w:tc>
        <w:tc>
          <w:tcPr>
            <w:tcW w:w="2038" w:type="pct"/>
            <w:shd w:val="clear" w:color="auto" w:fill="auto"/>
          </w:tcPr>
          <w:p w14:paraId="3539518E" w14:textId="77777777" w:rsidR="00927387" w:rsidRPr="00F56F8A" w:rsidRDefault="00927387" w:rsidP="00F56F8A">
            <w:pPr>
              <w:spacing w:before="40" w:after="40"/>
              <w:rPr>
                <w:rFonts w:eastAsia="Calibri" w:cs="Arial"/>
                <w:szCs w:val="22"/>
              </w:rPr>
            </w:pPr>
            <w:r w:rsidRPr="00F56F8A">
              <w:rPr>
                <w:rFonts w:eastAsia="Calibri" w:cs="Arial"/>
                <w:szCs w:val="22"/>
              </w:rPr>
              <w:t>Passport and travel document fees are not set higher than necessary. As part of this, the Department makes cost savings where possible while still providing a high-quality passport service.</w:t>
            </w:r>
          </w:p>
        </w:tc>
        <w:tc>
          <w:tcPr>
            <w:tcW w:w="1854" w:type="pct"/>
            <w:shd w:val="clear" w:color="auto" w:fill="auto"/>
          </w:tcPr>
          <w:p w14:paraId="72FA9744" w14:textId="55F751E5" w:rsidR="00927387" w:rsidRPr="00F56F8A" w:rsidRDefault="00927387" w:rsidP="00F56F8A">
            <w:pPr>
              <w:spacing w:before="40" w:after="40"/>
              <w:rPr>
                <w:rFonts w:eastAsia="Calibri" w:cs="Arial"/>
                <w:szCs w:val="22"/>
                <w:highlight w:val="yellow"/>
              </w:rPr>
            </w:pPr>
            <w:r w:rsidRPr="00F56F8A">
              <w:rPr>
                <w:rFonts w:eastAsia="Calibri" w:cs="Arial"/>
                <w:szCs w:val="22"/>
              </w:rPr>
              <w:t>The Department has already achieved cost savings of $3.5M th</w:t>
            </w:r>
            <w:r w:rsidR="004A0CE4">
              <w:rPr>
                <w:rFonts w:eastAsia="Calibri" w:cs="Arial"/>
                <w:szCs w:val="22"/>
              </w:rPr>
              <w:t>r</w:t>
            </w:r>
            <w:r w:rsidRPr="00F56F8A">
              <w:rPr>
                <w:rFonts w:eastAsia="Calibri" w:cs="Arial"/>
                <w:szCs w:val="22"/>
              </w:rPr>
              <w:t xml:space="preserve">ough the introduction of on-line application processes and system enhancements which have reduced production costs. </w:t>
            </w:r>
          </w:p>
        </w:tc>
      </w:tr>
      <w:tr w:rsidR="00927387" w:rsidRPr="00F56F8A" w14:paraId="1035131F" w14:textId="77777777" w:rsidTr="004A0CE4">
        <w:trPr>
          <w:cantSplit/>
        </w:trPr>
        <w:tc>
          <w:tcPr>
            <w:tcW w:w="211" w:type="pct"/>
            <w:shd w:val="clear" w:color="auto" w:fill="auto"/>
          </w:tcPr>
          <w:p w14:paraId="507CA88E" w14:textId="77777777" w:rsidR="00927387" w:rsidRPr="00F56F8A" w:rsidRDefault="008A67DB" w:rsidP="00F56F8A">
            <w:pPr>
              <w:spacing w:before="40" w:after="40"/>
              <w:jc w:val="both"/>
              <w:rPr>
                <w:rFonts w:eastAsia="Calibri" w:cs="Arial"/>
                <w:szCs w:val="22"/>
              </w:rPr>
            </w:pPr>
            <w:r w:rsidRPr="00F56F8A">
              <w:rPr>
                <w:rFonts w:eastAsia="Calibri" w:cs="Arial"/>
                <w:szCs w:val="22"/>
              </w:rPr>
              <w:lastRenderedPageBreak/>
              <w:t>4</w:t>
            </w:r>
          </w:p>
        </w:tc>
        <w:tc>
          <w:tcPr>
            <w:tcW w:w="897" w:type="pct"/>
            <w:shd w:val="clear" w:color="auto" w:fill="auto"/>
          </w:tcPr>
          <w:p w14:paraId="595B23A7" w14:textId="77777777" w:rsidR="00927387" w:rsidRPr="00F56F8A" w:rsidRDefault="00927387" w:rsidP="00F56F8A">
            <w:pPr>
              <w:spacing w:before="40" w:after="40"/>
              <w:rPr>
                <w:rFonts w:eastAsia="Calibri" w:cs="Arial"/>
                <w:szCs w:val="22"/>
              </w:rPr>
            </w:pPr>
            <w:r w:rsidRPr="00F56F8A">
              <w:rPr>
                <w:rFonts w:eastAsia="Calibri" w:cs="Arial"/>
                <w:szCs w:val="22"/>
              </w:rPr>
              <w:t>Equity</w:t>
            </w:r>
          </w:p>
        </w:tc>
        <w:tc>
          <w:tcPr>
            <w:tcW w:w="2038" w:type="pct"/>
            <w:shd w:val="clear" w:color="auto" w:fill="auto"/>
          </w:tcPr>
          <w:p w14:paraId="1873B63B" w14:textId="77777777" w:rsidR="00927387" w:rsidRPr="00F56F8A" w:rsidRDefault="00927387" w:rsidP="00F56F8A">
            <w:pPr>
              <w:spacing w:before="40" w:after="40"/>
              <w:rPr>
                <w:rFonts w:eastAsia="Calibri" w:cs="Arial"/>
                <w:szCs w:val="22"/>
              </w:rPr>
            </w:pPr>
            <w:r w:rsidRPr="00F56F8A">
              <w:rPr>
                <w:rFonts w:eastAsia="Calibri" w:cs="Arial"/>
                <w:szCs w:val="22"/>
              </w:rPr>
              <w:t>The passport services’ costs are fully recovered from fees for the provision of passport and travel document services. This reflects the private benefits to passport holders.</w:t>
            </w:r>
          </w:p>
        </w:tc>
        <w:tc>
          <w:tcPr>
            <w:tcW w:w="1854" w:type="pct"/>
            <w:shd w:val="clear" w:color="auto" w:fill="auto"/>
          </w:tcPr>
          <w:p w14:paraId="2A22B2E0" w14:textId="5FAFB06B" w:rsidR="00927387" w:rsidRPr="00F56F8A" w:rsidRDefault="00927387" w:rsidP="00F56F8A">
            <w:pPr>
              <w:spacing w:before="40" w:after="40"/>
              <w:rPr>
                <w:rFonts w:eastAsia="Calibri" w:cs="Arial"/>
                <w:szCs w:val="22"/>
              </w:rPr>
            </w:pPr>
            <w:r w:rsidRPr="00F56F8A">
              <w:rPr>
                <w:rFonts w:eastAsia="Calibri" w:cs="Arial"/>
                <w:szCs w:val="22"/>
              </w:rPr>
              <w:t xml:space="preserve">The fee proposals would over the long term restore the linkage between costs and fees and avoid the need for taxpayers to </w:t>
            </w:r>
            <w:r w:rsidR="00F66908">
              <w:rPr>
                <w:rFonts w:eastAsia="Calibri" w:cs="Arial"/>
                <w:szCs w:val="22"/>
              </w:rPr>
              <w:t>subsidise</w:t>
            </w:r>
            <w:r w:rsidR="00F66908" w:rsidRPr="00F56F8A">
              <w:rPr>
                <w:rFonts w:eastAsia="Calibri" w:cs="Arial"/>
                <w:szCs w:val="22"/>
              </w:rPr>
              <w:t xml:space="preserve"> </w:t>
            </w:r>
            <w:r w:rsidRPr="00F56F8A">
              <w:rPr>
                <w:rFonts w:eastAsia="Calibri" w:cs="Arial"/>
                <w:szCs w:val="22"/>
              </w:rPr>
              <w:t>the passport service through Crown funding.</w:t>
            </w:r>
          </w:p>
        </w:tc>
      </w:tr>
      <w:tr w:rsidR="00927387" w:rsidRPr="00F56F8A" w14:paraId="458CC64B" w14:textId="77777777" w:rsidTr="004A0CE4">
        <w:trPr>
          <w:cantSplit/>
        </w:trPr>
        <w:tc>
          <w:tcPr>
            <w:tcW w:w="211" w:type="pct"/>
            <w:shd w:val="clear" w:color="auto" w:fill="auto"/>
          </w:tcPr>
          <w:p w14:paraId="5F2B3446" w14:textId="77777777" w:rsidR="00927387" w:rsidRPr="00F56F8A" w:rsidRDefault="008A67DB" w:rsidP="00F56F8A">
            <w:pPr>
              <w:spacing w:before="40" w:after="40"/>
              <w:jc w:val="both"/>
              <w:rPr>
                <w:rFonts w:eastAsia="Calibri" w:cs="Arial"/>
                <w:szCs w:val="22"/>
              </w:rPr>
            </w:pPr>
            <w:r w:rsidRPr="00F56F8A">
              <w:rPr>
                <w:rFonts w:eastAsia="Calibri" w:cs="Arial"/>
                <w:szCs w:val="22"/>
              </w:rPr>
              <w:t>5</w:t>
            </w:r>
          </w:p>
        </w:tc>
        <w:tc>
          <w:tcPr>
            <w:tcW w:w="897" w:type="pct"/>
            <w:shd w:val="clear" w:color="auto" w:fill="auto"/>
          </w:tcPr>
          <w:p w14:paraId="17813B1F" w14:textId="77777777" w:rsidR="00927387" w:rsidRPr="00F56F8A" w:rsidRDefault="00927387" w:rsidP="00F56F8A">
            <w:pPr>
              <w:spacing w:before="40" w:after="40"/>
              <w:rPr>
                <w:rFonts w:eastAsia="Calibri" w:cs="Arial"/>
                <w:szCs w:val="22"/>
              </w:rPr>
            </w:pPr>
            <w:r w:rsidRPr="00F56F8A">
              <w:rPr>
                <w:rFonts w:eastAsia="Calibri" w:cs="Arial"/>
                <w:szCs w:val="22"/>
              </w:rPr>
              <w:t>Transparency</w:t>
            </w:r>
          </w:p>
        </w:tc>
        <w:tc>
          <w:tcPr>
            <w:tcW w:w="2038" w:type="pct"/>
            <w:shd w:val="clear" w:color="auto" w:fill="auto"/>
          </w:tcPr>
          <w:p w14:paraId="53C5D7FF" w14:textId="77777777" w:rsidR="00927387" w:rsidRPr="00F56F8A" w:rsidRDefault="00927387" w:rsidP="00F56F8A">
            <w:pPr>
              <w:spacing w:before="40" w:after="40"/>
              <w:rPr>
                <w:rFonts w:eastAsia="Calibri" w:cs="Arial"/>
                <w:szCs w:val="22"/>
              </w:rPr>
            </w:pPr>
            <w:r w:rsidRPr="00F56F8A">
              <w:rPr>
                <w:rFonts w:eastAsia="Calibri" w:cs="Arial"/>
                <w:szCs w:val="22"/>
              </w:rPr>
              <w:t>DIA makes information readily available to the public showing how revenue from passport and travel document fees is used to provide the passport service.</w:t>
            </w:r>
          </w:p>
        </w:tc>
        <w:tc>
          <w:tcPr>
            <w:tcW w:w="1854" w:type="pct"/>
            <w:shd w:val="clear" w:color="auto" w:fill="auto"/>
          </w:tcPr>
          <w:p w14:paraId="67FC3344" w14:textId="77777777" w:rsidR="00927387" w:rsidRPr="00F56F8A" w:rsidRDefault="00927387" w:rsidP="00F56F8A">
            <w:pPr>
              <w:spacing w:before="40" w:after="40"/>
              <w:rPr>
                <w:rFonts w:eastAsia="Calibri" w:cs="Arial"/>
                <w:szCs w:val="22"/>
              </w:rPr>
            </w:pPr>
            <w:r w:rsidRPr="00F56F8A">
              <w:rPr>
                <w:rFonts w:eastAsia="Calibri" w:cs="Arial"/>
                <w:szCs w:val="22"/>
              </w:rPr>
              <w:t xml:space="preserve">DIA would clearly communicate to the public the rationale for the proposed fees changes. We anticipate this would focus on the need for sustainable funding to ensure New Zealand continues to have a high-quality passport service.   </w:t>
            </w:r>
          </w:p>
          <w:p w14:paraId="5147AB8B" w14:textId="01A19413" w:rsidR="00927387" w:rsidRPr="00F56F8A" w:rsidRDefault="00927387" w:rsidP="00F56F8A">
            <w:pPr>
              <w:spacing w:before="40" w:after="40"/>
              <w:rPr>
                <w:rFonts w:eastAsia="Calibri" w:cs="Arial"/>
                <w:szCs w:val="22"/>
              </w:rPr>
            </w:pPr>
            <w:r w:rsidRPr="00F56F8A">
              <w:rPr>
                <w:rFonts w:eastAsia="Calibri" w:cs="Arial"/>
                <w:szCs w:val="22"/>
              </w:rPr>
              <w:t>Additionally, we anticipate proactively releasing the Cabinet decisions on proposed changes to passport fees following enactment of the fee changes.</w:t>
            </w:r>
          </w:p>
        </w:tc>
      </w:tr>
      <w:tr w:rsidR="00927387" w:rsidRPr="00F56F8A" w14:paraId="7868A46A" w14:textId="77777777" w:rsidTr="004A0CE4">
        <w:trPr>
          <w:cantSplit/>
        </w:trPr>
        <w:tc>
          <w:tcPr>
            <w:tcW w:w="211" w:type="pct"/>
            <w:shd w:val="clear" w:color="auto" w:fill="auto"/>
          </w:tcPr>
          <w:p w14:paraId="449FFA12" w14:textId="77777777" w:rsidR="00927387" w:rsidRPr="00F56F8A" w:rsidRDefault="008A67DB" w:rsidP="00F56F8A">
            <w:pPr>
              <w:spacing w:before="40" w:after="40"/>
              <w:jc w:val="both"/>
              <w:rPr>
                <w:rFonts w:eastAsia="Calibri" w:cs="Arial"/>
                <w:szCs w:val="22"/>
              </w:rPr>
            </w:pPr>
            <w:r w:rsidRPr="00F56F8A">
              <w:rPr>
                <w:rFonts w:eastAsia="Calibri" w:cs="Arial"/>
                <w:szCs w:val="22"/>
              </w:rPr>
              <w:t>6</w:t>
            </w:r>
          </w:p>
        </w:tc>
        <w:tc>
          <w:tcPr>
            <w:tcW w:w="897" w:type="pct"/>
            <w:shd w:val="clear" w:color="auto" w:fill="auto"/>
          </w:tcPr>
          <w:p w14:paraId="484961AD" w14:textId="77777777" w:rsidR="00927387" w:rsidRPr="00F56F8A" w:rsidRDefault="00927387" w:rsidP="00F56F8A">
            <w:pPr>
              <w:spacing w:before="40" w:after="40"/>
              <w:rPr>
                <w:rFonts w:eastAsia="Calibri" w:cs="Arial"/>
                <w:szCs w:val="22"/>
              </w:rPr>
            </w:pPr>
            <w:r w:rsidRPr="00F56F8A">
              <w:rPr>
                <w:rFonts w:eastAsia="Calibri" w:cs="Arial"/>
                <w:szCs w:val="22"/>
              </w:rPr>
              <w:t xml:space="preserve">Simplicity </w:t>
            </w:r>
          </w:p>
        </w:tc>
        <w:tc>
          <w:tcPr>
            <w:tcW w:w="2038" w:type="pct"/>
            <w:shd w:val="clear" w:color="auto" w:fill="auto"/>
          </w:tcPr>
          <w:p w14:paraId="4234FB38" w14:textId="77777777" w:rsidR="00927387" w:rsidRPr="00F56F8A" w:rsidRDefault="00927387" w:rsidP="00F56F8A">
            <w:pPr>
              <w:spacing w:before="40" w:after="40"/>
              <w:rPr>
                <w:rFonts w:eastAsia="Calibri" w:cs="Arial"/>
                <w:szCs w:val="22"/>
              </w:rPr>
            </w:pPr>
            <w:r w:rsidRPr="00F56F8A">
              <w:rPr>
                <w:rFonts w:eastAsia="Calibri" w:cs="Arial"/>
                <w:szCs w:val="22"/>
              </w:rPr>
              <w:t>DIA provides the public with readily available and easy to understand information about passport and travel document fees.</w:t>
            </w:r>
          </w:p>
        </w:tc>
        <w:tc>
          <w:tcPr>
            <w:tcW w:w="1854" w:type="pct"/>
            <w:shd w:val="clear" w:color="auto" w:fill="auto"/>
          </w:tcPr>
          <w:p w14:paraId="0596773A" w14:textId="7A7CA511" w:rsidR="00927387" w:rsidRPr="00F56F8A" w:rsidRDefault="00927387" w:rsidP="00F56F8A">
            <w:pPr>
              <w:spacing w:before="40" w:after="40"/>
              <w:rPr>
                <w:rFonts w:eastAsia="Calibri" w:cs="Arial"/>
                <w:szCs w:val="22"/>
              </w:rPr>
            </w:pPr>
            <w:r w:rsidRPr="00F56F8A">
              <w:rPr>
                <w:rFonts w:eastAsia="Calibri" w:cs="Arial"/>
                <w:szCs w:val="22"/>
              </w:rPr>
              <w:t>The level of passport and travel document fees will be set out in regulations. Additionally, fee changes will be publicly communicated and made available through the passport application process and DIA’s website</w:t>
            </w:r>
          </w:p>
        </w:tc>
      </w:tr>
      <w:tr w:rsidR="00927387" w:rsidRPr="00F56F8A" w14:paraId="0DCDC6BD" w14:textId="77777777" w:rsidTr="004A0CE4">
        <w:trPr>
          <w:cantSplit/>
        </w:trPr>
        <w:tc>
          <w:tcPr>
            <w:tcW w:w="211" w:type="pct"/>
            <w:shd w:val="clear" w:color="auto" w:fill="auto"/>
          </w:tcPr>
          <w:p w14:paraId="61786720" w14:textId="77777777" w:rsidR="00927387" w:rsidRPr="00F56F8A" w:rsidRDefault="008A67DB" w:rsidP="00F56F8A">
            <w:pPr>
              <w:spacing w:before="40" w:after="40"/>
              <w:jc w:val="both"/>
              <w:rPr>
                <w:rFonts w:eastAsia="Calibri" w:cs="Arial"/>
                <w:szCs w:val="22"/>
              </w:rPr>
            </w:pPr>
            <w:r w:rsidRPr="00F56F8A">
              <w:rPr>
                <w:rFonts w:eastAsia="Calibri" w:cs="Arial"/>
                <w:szCs w:val="22"/>
              </w:rPr>
              <w:t>7</w:t>
            </w:r>
          </w:p>
        </w:tc>
        <w:tc>
          <w:tcPr>
            <w:tcW w:w="897" w:type="pct"/>
            <w:shd w:val="clear" w:color="auto" w:fill="auto"/>
          </w:tcPr>
          <w:p w14:paraId="631910C3" w14:textId="77777777" w:rsidR="00927387" w:rsidRPr="00F56F8A" w:rsidRDefault="00927387" w:rsidP="00F56F8A">
            <w:pPr>
              <w:spacing w:before="40" w:after="40"/>
              <w:rPr>
                <w:rFonts w:eastAsia="Calibri" w:cs="Arial"/>
                <w:szCs w:val="22"/>
              </w:rPr>
            </w:pPr>
            <w:r w:rsidRPr="00F56F8A">
              <w:rPr>
                <w:rFonts w:eastAsia="Calibri" w:cs="Arial"/>
                <w:szCs w:val="22"/>
              </w:rPr>
              <w:t xml:space="preserve">Accountability </w:t>
            </w:r>
          </w:p>
        </w:tc>
        <w:tc>
          <w:tcPr>
            <w:tcW w:w="2038" w:type="pct"/>
            <w:shd w:val="clear" w:color="auto" w:fill="auto"/>
          </w:tcPr>
          <w:p w14:paraId="53A4F662" w14:textId="77777777" w:rsidR="00927387" w:rsidRPr="00F56F8A" w:rsidRDefault="00927387" w:rsidP="00F56F8A">
            <w:pPr>
              <w:spacing w:before="40" w:after="40"/>
              <w:rPr>
                <w:rFonts w:eastAsia="Calibri" w:cs="Arial"/>
                <w:szCs w:val="22"/>
              </w:rPr>
            </w:pPr>
            <w:r w:rsidRPr="00F56F8A">
              <w:rPr>
                <w:rFonts w:eastAsia="Calibri" w:cs="Arial"/>
                <w:szCs w:val="22"/>
              </w:rPr>
              <w:t>The PMA records the accumulated balance of surpluses and deficits that result from providing passport and travel document services.</w:t>
            </w:r>
          </w:p>
        </w:tc>
        <w:tc>
          <w:tcPr>
            <w:tcW w:w="1854" w:type="pct"/>
            <w:shd w:val="clear" w:color="auto" w:fill="auto"/>
          </w:tcPr>
          <w:p w14:paraId="7A8CFCDE" w14:textId="24D1E239" w:rsidR="00927387" w:rsidRPr="00F56F8A" w:rsidRDefault="00927387" w:rsidP="00F56F8A">
            <w:pPr>
              <w:spacing w:before="40" w:after="40"/>
              <w:rPr>
                <w:rFonts w:eastAsia="Calibri" w:cs="Arial"/>
                <w:szCs w:val="22"/>
              </w:rPr>
            </w:pPr>
            <w:r w:rsidRPr="00F56F8A">
              <w:rPr>
                <w:rFonts w:eastAsia="Calibri" w:cs="Arial"/>
                <w:szCs w:val="22"/>
              </w:rPr>
              <w:t>The proposal</w:t>
            </w:r>
            <w:r w:rsidR="005C2A4F">
              <w:rPr>
                <w:rFonts w:eastAsia="Calibri" w:cs="Arial"/>
                <w:szCs w:val="22"/>
              </w:rPr>
              <w:t>’</w:t>
            </w:r>
            <w:r w:rsidRPr="00F56F8A">
              <w:rPr>
                <w:rFonts w:eastAsia="Calibri" w:cs="Arial"/>
                <w:szCs w:val="22"/>
              </w:rPr>
              <w:t xml:space="preserve">s purpose is </w:t>
            </w:r>
            <w:r w:rsidR="00B94032">
              <w:rPr>
                <w:rFonts w:eastAsia="Calibri" w:cs="Arial"/>
                <w:szCs w:val="22"/>
              </w:rPr>
              <w:t xml:space="preserve">to trend towards a neutral </w:t>
            </w:r>
            <w:r w:rsidRPr="00F56F8A">
              <w:rPr>
                <w:rFonts w:eastAsia="Calibri" w:cs="Arial"/>
                <w:szCs w:val="22"/>
              </w:rPr>
              <w:t>PMA</w:t>
            </w:r>
            <w:r w:rsidR="00B94032">
              <w:rPr>
                <w:rFonts w:eastAsia="Calibri" w:cs="Arial"/>
                <w:szCs w:val="22"/>
              </w:rPr>
              <w:t xml:space="preserve"> balance </w:t>
            </w:r>
            <w:r w:rsidRPr="00F56F8A">
              <w:rPr>
                <w:rFonts w:eastAsia="Calibri" w:cs="Arial"/>
                <w:szCs w:val="22"/>
              </w:rPr>
              <w:t xml:space="preserve">by June 2037. </w:t>
            </w:r>
          </w:p>
        </w:tc>
      </w:tr>
    </w:tbl>
    <w:p w14:paraId="781486BD" w14:textId="77777777" w:rsidR="004A0CE4" w:rsidRDefault="004A0CE4" w:rsidP="006666AD">
      <w:pPr>
        <w:pStyle w:val="Bullet-list"/>
        <w:numPr>
          <w:ilvl w:val="0"/>
          <w:numId w:val="0"/>
        </w:numPr>
        <w:ind w:left="360" w:hanging="360"/>
        <w:rPr>
          <w:b/>
          <w:color w:val="5B9BD5" w:themeColor="accent5"/>
        </w:rPr>
      </w:pPr>
    </w:p>
    <w:p w14:paraId="14FD892A" w14:textId="13E94BFB" w:rsidR="006666AD" w:rsidRPr="001C6634" w:rsidRDefault="006666AD" w:rsidP="006666AD">
      <w:pPr>
        <w:pStyle w:val="Bullet-list"/>
        <w:numPr>
          <w:ilvl w:val="0"/>
          <w:numId w:val="0"/>
        </w:numPr>
        <w:ind w:left="360" w:hanging="360"/>
        <w:rPr>
          <w:b/>
          <w:color w:val="5B9BD5" w:themeColor="accent5"/>
        </w:rPr>
      </w:pPr>
      <w:r>
        <w:rPr>
          <w:b/>
          <w:color w:val="5B9BD5" w:themeColor="accent5"/>
        </w:rPr>
        <w:t>Reasons for policy objectives</w:t>
      </w:r>
      <w:r w:rsidRPr="001C6634">
        <w:rPr>
          <w:b/>
          <w:color w:val="5B9BD5" w:themeColor="accent5"/>
        </w:rPr>
        <w:t xml:space="preserve"> </w:t>
      </w:r>
    </w:p>
    <w:p w14:paraId="4561D8CE" w14:textId="2A875D57" w:rsidR="006666AD" w:rsidRDefault="006666AD" w:rsidP="006666AD">
      <w:pPr>
        <w:jc w:val="both"/>
      </w:pPr>
      <w:r>
        <w:t>As noted earlier the policy objective is to return passport issuance to full cost recovery through a combination of fee increases and repayable capital injections</w:t>
      </w:r>
      <w:r w:rsidR="00965870">
        <w:t xml:space="preserve"> and to zero the balance of the PMA</w:t>
      </w:r>
      <w:r>
        <w:t>.  Issuance needs to return to full cost recovery for the following reasons:</w:t>
      </w:r>
    </w:p>
    <w:p w14:paraId="49597410" w14:textId="53E21A74" w:rsidR="006666AD" w:rsidRDefault="00965870" w:rsidP="006666AD">
      <w:pPr>
        <w:pStyle w:val="ListParagraph"/>
        <w:numPr>
          <w:ilvl w:val="0"/>
          <w:numId w:val="27"/>
        </w:numPr>
        <w:spacing w:before="120" w:after="120"/>
        <w:ind w:left="714" w:hanging="357"/>
        <w:contextualSpacing w:val="0"/>
        <w:jc w:val="both"/>
      </w:pPr>
      <w:r>
        <w:t>T</w:t>
      </w:r>
      <w:r w:rsidR="006666AD">
        <w:t>he passport system is not Crown funded as passports and travel documents are essentially a private good rather than a public good. Public goods are generally open for all to use and consumption of the goods by one party does not deter another party’s ability to use those goods. Private goods on the other hand are goods that are purchased and used by the individual purchasing it</w:t>
      </w:r>
      <w:r>
        <w:t xml:space="preserve">; </w:t>
      </w:r>
      <w:r w:rsidR="006666AD">
        <w:t xml:space="preserve"> </w:t>
      </w:r>
    </w:p>
    <w:p w14:paraId="15EB639C" w14:textId="164E357A" w:rsidR="006666AD" w:rsidRDefault="00965870" w:rsidP="006666AD">
      <w:pPr>
        <w:pStyle w:val="ListParagraph"/>
        <w:numPr>
          <w:ilvl w:val="0"/>
          <w:numId w:val="27"/>
        </w:numPr>
        <w:spacing w:before="120" w:after="120"/>
        <w:ind w:left="714" w:hanging="357"/>
        <w:contextualSpacing w:val="0"/>
        <w:jc w:val="both"/>
      </w:pPr>
      <w:r>
        <w:lastRenderedPageBreak/>
        <w:t>p</w:t>
      </w:r>
      <w:r w:rsidR="006666AD">
        <w:t>assports issued to individuals are used solely by the individual who has purchased the passport through the payment of a fee for its issuance. The public receive</w:t>
      </w:r>
      <w:r w:rsidR="005C2A4F">
        <w:t>s</w:t>
      </w:r>
      <w:r w:rsidR="006666AD">
        <w:t xml:space="preserve"> no benefit from an individual purchasing a passport</w:t>
      </w:r>
      <w:r>
        <w:t>; and</w:t>
      </w:r>
    </w:p>
    <w:p w14:paraId="570EB87B" w14:textId="3623B345" w:rsidR="006666AD" w:rsidRDefault="00965870" w:rsidP="006666AD">
      <w:pPr>
        <w:pStyle w:val="ListParagraph"/>
        <w:numPr>
          <w:ilvl w:val="0"/>
          <w:numId w:val="27"/>
        </w:numPr>
        <w:spacing w:before="120" w:after="120"/>
        <w:ind w:left="714" w:hanging="357"/>
        <w:contextualSpacing w:val="0"/>
        <w:jc w:val="both"/>
      </w:pPr>
      <w:r>
        <w:t>i</w:t>
      </w:r>
      <w:r w:rsidR="006666AD">
        <w:t xml:space="preserve">t would be inequitable for passport issuance to be Crown funded from general taxation as the public would receive no benefit for that expenditure. </w:t>
      </w:r>
    </w:p>
    <w:p w14:paraId="0D22A2CD" w14:textId="2BBE7A2D" w:rsidR="009376E9" w:rsidRDefault="00D834F6" w:rsidP="00F578DB">
      <w:pPr>
        <w:pStyle w:val="Heading2"/>
      </w:pPr>
      <w:r>
        <w:t>Policy Rationale</w:t>
      </w:r>
      <w:r w:rsidR="00263D33">
        <w:t xml:space="preserve"> for reviewing fees</w:t>
      </w:r>
      <w:bookmarkStart w:id="43" w:name="_Toc244580365"/>
      <w:bookmarkStart w:id="44" w:name="_Toc244587041"/>
      <w:bookmarkStart w:id="45" w:name="_Toc244857275"/>
      <w:bookmarkStart w:id="46" w:name="_Toc244912540"/>
      <w:bookmarkStart w:id="47" w:name="_Toc244916997"/>
      <w:bookmarkStart w:id="48" w:name="_Toc362368106"/>
      <w:bookmarkStart w:id="49" w:name="_Toc362434947"/>
      <w:bookmarkStart w:id="50" w:name="_Toc362589333"/>
      <w:bookmarkStart w:id="51" w:name="_Toc362619033"/>
      <w:bookmarkStart w:id="52" w:name="_Toc362940597"/>
      <w:bookmarkStart w:id="53" w:name="_Toc363047105"/>
    </w:p>
    <w:p w14:paraId="04CC547D" w14:textId="77777777" w:rsidR="002B2943" w:rsidRPr="001525A3" w:rsidRDefault="002B2943" w:rsidP="00397F68">
      <w:pPr>
        <w:rPr>
          <w:b/>
          <w:color w:val="5B9BD5" w:themeColor="accent5"/>
          <w:lang w:val="en-NZ"/>
        </w:rPr>
      </w:pPr>
      <w:r w:rsidRPr="001C6634">
        <w:rPr>
          <w:b/>
          <w:color w:val="5B9BD5" w:themeColor="accent5"/>
        </w:rPr>
        <w:t>Appropriateness of cost recovery</w:t>
      </w:r>
    </w:p>
    <w:p w14:paraId="3F7FBF83" w14:textId="0223963D" w:rsidR="0062214E" w:rsidRDefault="00585418" w:rsidP="008A67DB">
      <w:pPr>
        <w:pStyle w:val="Bullet-list"/>
        <w:numPr>
          <w:ilvl w:val="0"/>
          <w:numId w:val="0"/>
        </w:numPr>
        <w:jc w:val="both"/>
      </w:pPr>
      <w:r>
        <w:t xml:space="preserve">Up until </w:t>
      </w:r>
      <w:r w:rsidR="00601F4F">
        <w:t xml:space="preserve">the </w:t>
      </w:r>
      <w:r w:rsidR="005C2A4F">
        <w:t>g</w:t>
      </w:r>
      <w:r w:rsidR="00965870">
        <w:t>overnment decisions</w:t>
      </w:r>
      <w:r w:rsidR="005C2A4F">
        <w:t xml:space="preserve"> of</w:t>
      </w:r>
      <w:r w:rsidR="00965870">
        <w:t xml:space="preserve"> </w:t>
      </w:r>
      <w:r w:rsidR="005C2A4F">
        <w:t xml:space="preserve">25 May 2015 </w:t>
      </w:r>
      <w:r w:rsidR="00263D33">
        <w:t>passport service funding was based on the principle that passport and travel document applicants should pay the costs of the passport service. The funding arrangement reflect</w:t>
      </w:r>
      <w:r w:rsidR="00965870">
        <w:t>ed</w:t>
      </w:r>
      <w:r w:rsidR="00263D33">
        <w:t xml:space="preserve"> that passport and travel documents are </w:t>
      </w:r>
      <w:r w:rsidR="00060D21">
        <w:t>largely private</w:t>
      </w:r>
      <w:r w:rsidR="00263D33">
        <w:t xml:space="preserve"> good</w:t>
      </w:r>
      <w:r w:rsidR="004A0CE4">
        <w:t>s</w:t>
      </w:r>
      <w:r w:rsidR="0062214E">
        <w:t xml:space="preserve"> as t</w:t>
      </w:r>
      <w:r w:rsidR="00263D33">
        <w:t>h</w:t>
      </w:r>
      <w:r w:rsidR="004A0CE4">
        <w:t>e</w:t>
      </w:r>
      <w:r w:rsidR="00263D33">
        <w:t>y are specific to the person the</w:t>
      </w:r>
      <w:r w:rsidR="004A0CE4">
        <w:t>se</w:t>
      </w:r>
      <w:r w:rsidR="00263D33">
        <w:t xml:space="preserve"> are generated for and are for </w:t>
      </w:r>
      <w:r w:rsidR="004A0CE4">
        <w:t xml:space="preserve">the </w:t>
      </w:r>
      <w:r w:rsidR="00965870">
        <w:t>person</w:t>
      </w:r>
      <w:r w:rsidR="005C2A4F">
        <w:t>’</w:t>
      </w:r>
      <w:r w:rsidR="00965870">
        <w:t>s</w:t>
      </w:r>
      <w:r w:rsidR="00263D33">
        <w:t xml:space="preserve"> use</w:t>
      </w:r>
      <w:r w:rsidR="00BA606B">
        <w:t xml:space="preserve">. </w:t>
      </w:r>
      <w:r w:rsidR="00C65F53" w:rsidRPr="00DE5D26">
        <w:t xml:space="preserve">There is a case for consideration of passports being partly a public good as </w:t>
      </w:r>
      <w:r w:rsidR="00060D21" w:rsidRPr="00DE5D26">
        <w:t xml:space="preserve">their availability is a key part of </w:t>
      </w:r>
      <w:r w:rsidR="009121EB" w:rsidRPr="00DE5D26">
        <w:t xml:space="preserve">a </w:t>
      </w:r>
      <w:r w:rsidR="00060D21" w:rsidRPr="00DE5D26">
        <w:t xml:space="preserve">secure identity framework which </w:t>
      </w:r>
      <w:r w:rsidR="00C65F53" w:rsidRPr="00DE5D26">
        <w:t>enable</w:t>
      </w:r>
      <w:r w:rsidR="00060D21" w:rsidRPr="00DE5D26">
        <w:t>s</w:t>
      </w:r>
      <w:r w:rsidR="00C65F53" w:rsidRPr="00DE5D26">
        <w:t xml:space="preserve"> citizens without another means of proving their identity to verify their identity and entitlement to receive government services</w:t>
      </w:r>
      <w:r w:rsidR="00060D21" w:rsidRPr="00DE5D26">
        <w:t>.</w:t>
      </w:r>
      <w:r w:rsidR="00C65F53">
        <w:t xml:space="preserve"> </w:t>
      </w:r>
      <w:r w:rsidR="00C82699">
        <w:t xml:space="preserve"> </w:t>
      </w:r>
    </w:p>
    <w:p w14:paraId="247AAA4D" w14:textId="524C544B" w:rsidR="00BA606B" w:rsidRDefault="00BA606B" w:rsidP="008A67DB">
      <w:pPr>
        <w:pStyle w:val="Bullet-list"/>
        <w:numPr>
          <w:ilvl w:val="0"/>
          <w:numId w:val="0"/>
        </w:numPr>
        <w:jc w:val="both"/>
      </w:pPr>
      <w:r>
        <w:t xml:space="preserve">In 2014 GOV recommended to Government, in response to a public submission, that the validity period of an adult passport be increased from five to ten years. </w:t>
      </w:r>
      <w:r w:rsidR="0062214E">
        <w:t>The Department</w:t>
      </w:r>
      <w:r w:rsidR="00AF6606">
        <w:t xml:space="preserve">’s advice to GOV was </w:t>
      </w:r>
      <w:r w:rsidR="0062214E">
        <w:t xml:space="preserve">that </w:t>
      </w:r>
      <w:r>
        <w:t>a d</w:t>
      </w:r>
      <w:r w:rsidR="0062214E">
        <w:t>ecision</w:t>
      </w:r>
      <w:r>
        <w:t xml:space="preserve"> to increase the validity period of an adult passport </w:t>
      </w:r>
      <w:r w:rsidR="0062214E">
        <w:t xml:space="preserve">would </w:t>
      </w:r>
      <w:r w:rsidR="00C82699">
        <w:t xml:space="preserve">result in a deficit </w:t>
      </w:r>
      <w:r w:rsidR="0062214E">
        <w:t xml:space="preserve">in the PMA </w:t>
      </w:r>
      <w:r w:rsidR="00C82699">
        <w:t xml:space="preserve">of $42m </w:t>
      </w:r>
      <w:r w:rsidR="0062214E">
        <w:t xml:space="preserve">over </w:t>
      </w:r>
      <w:r w:rsidR="00C82699">
        <w:t>the following five years</w:t>
      </w:r>
      <w:r w:rsidR="005C2A4F">
        <w:t>,</w:t>
      </w:r>
      <w:r w:rsidR="00C82699">
        <w:t xml:space="preserve"> </w:t>
      </w:r>
      <w:r w:rsidR="00810E6B">
        <w:t xml:space="preserve">through </w:t>
      </w:r>
      <w:r w:rsidR="00C82699">
        <w:t>the creation of a five-year pattern of reduced demand for adult passports</w:t>
      </w:r>
      <w:r>
        <w:t xml:space="preserve">. </w:t>
      </w:r>
      <w:r w:rsidR="00810E6B">
        <w:t xml:space="preserve"> </w:t>
      </w:r>
      <w:r>
        <w:t xml:space="preserve">The Department </w:t>
      </w:r>
      <w:r w:rsidR="00810E6B">
        <w:t xml:space="preserve">also </w:t>
      </w:r>
      <w:r>
        <w:t>advised that if the validity period was increased</w:t>
      </w:r>
      <w:r w:rsidR="00810E6B">
        <w:t xml:space="preserve"> to ten years </w:t>
      </w:r>
      <w:r>
        <w:t>a 30% fee increase would be required to balance the PMA at zero by June 2020</w:t>
      </w:r>
      <w:r w:rsidR="00C82699">
        <w:t>.</w:t>
      </w:r>
      <w:r w:rsidR="0062214E">
        <w:t xml:space="preserve"> </w:t>
      </w:r>
    </w:p>
    <w:p w14:paraId="0FEE38B0" w14:textId="5E65E0CB" w:rsidR="00585418" w:rsidRDefault="00585418" w:rsidP="008A67DB">
      <w:pPr>
        <w:pStyle w:val="Bullet-list"/>
        <w:numPr>
          <w:ilvl w:val="0"/>
          <w:numId w:val="0"/>
        </w:numPr>
        <w:jc w:val="both"/>
      </w:pPr>
      <w:r>
        <w:t xml:space="preserve">The 2015 decisions </w:t>
      </w:r>
      <w:r w:rsidR="00810E6B">
        <w:t xml:space="preserve">were </w:t>
      </w:r>
      <w:r>
        <w:t>to increase the period of validity of an adult passport from 5 to 10 years</w:t>
      </w:r>
      <w:r w:rsidR="00810E6B">
        <w:t xml:space="preserve"> and to decline </w:t>
      </w:r>
      <w:r w:rsidR="009A0777">
        <w:t>t</w:t>
      </w:r>
      <w:r w:rsidR="00810E6B">
        <w:t xml:space="preserve">he Departments request for 30% fee increase. The effect of </w:t>
      </w:r>
      <w:r w:rsidR="00AF6606">
        <w:t>these decisions</w:t>
      </w:r>
      <w:r w:rsidR="00810E6B">
        <w:t xml:space="preserve"> </w:t>
      </w:r>
      <w:r w:rsidR="00B16D8B">
        <w:t xml:space="preserve">was </w:t>
      </w:r>
      <w:r w:rsidR="00810E6B">
        <w:t>t</w:t>
      </w:r>
      <w:r w:rsidR="009A0777">
        <w:t xml:space="preserve">o </w:t>
      </w:r>
      <w:r>
        <w:t>de-link fees from the cost of production</w:t>
      </w:r>
      <w:r w:rsidR="00810E6B">
        <w:t xml:space="preserve">; </w:t>
      </w:r>
      <w:r w:rsidR="00AF6606">
        <w:t>the creation</w:t>
      </w:r>
      <w:r w:rsidR="00810E6B">
        <w:t xml:space="preserve"> of a cyclical pattern of reduced demand every five years</w:t>
      </w:r>
      <w:r w:rsidR="00AF6606">
        <w:t>, and the</w:t>
      </w:r>
      <w:r w:rsidR="00810E6B">
        <w:t xml:space="preserve"> balance of the PMA moving into a deficit position.  T</w:t>
      </w:r>
      <w:r w:rsidR="0062214E">
        <w:t>his was rectified by the 2018 Government decision to approve fee increases</w:t>
      </w:r>
      <w:r w:rsidR="0094616F">
        <w:t xml:space="preserve">, </w:t>
      </w:r>
      <w:r w:rsidR="0062214E" w:rsidRPr="006C60D9">
        <w:t>to provide repayable capital injections</w:t>
      </w:r>
      <w:r w:rsidR="0094616F" w:rsidRPr="006C60D9">
        <w:t xml:space="preserve"> and to balance the Passport Memorandum Account at Zero over the ten-year period from 2019 to 2029. (GOV-18-SUB-0084 refers)</w:t>
      </w:r>
      <w:r w:rsidR="002C636B">
        <w:t xml:space="preserve">  </w:t>
      </w:r>
      <w:r>
        <w:t xml:space="preserve">   </w:t>
      </w:r>
    </w:p>
    <w:p w14:paraId="31209986" w14:textId="6D7CD745" w:rsidR="00AC587C" w:rsidRPr="00AC587C" w:rsidRDefault="00AC587C" w:rsidP="00C82699">
      <w:pPr>
        <w:pStyle w:val="Bullet-list"/>
        <w:numPr>
          <w:ilvl w:val="0"/>
          <w:numId w:val="0"/>
        </w:numPr>
        <w:jc w:val="both"/>
        <w:rPr>
          <w:b/>
          <w:color w:val="000000"/>
          <w:szCs w:val="22"/>
        </w:rPr>
      </w:pPr>
      <w:r w:rsidRPr="00AC587C">
        <w:rPr>
          <w:b/>
          <w:color w:val="000000"/>
          <w:szCs w:val="22"/>
        </w:rPr>
        <w:t>Fees vary for different types of applications</w:t>
      </w:r>
    </w:p>
    <w:p w14:paraId="410164AC" w14:textId="689E4057" w:rsidR="00C82699" w:rsidRDefault="00C82699" w:rsidP="00C82699">
      <w:pPr>
        <w:pStyle w:val="Bullet-list"/>
        <w:numPr>
          <w:ilvl w:val="0"/>
          <w:numId w:val="0"/>
        </w:numPr>
        <w:jc w:val="both"/>
        <w:rPr>
          <w:color w:val="000000"/>
          <w:szCs w:val="22"/>
        </w:rPr>
      </w:pPr>
      <w:r w:rsidRPr="00263D33">
        <w:rPr>
          <w:color w:val="000000"/>
          <w:szCs w:val="22"/>
        </w:rPr>
        <w:t xml:space="preserve">The fees vary for different types of applications. </w:t>
      </w:r>
      <w:r w:rsidR="00AC587C">
        <w:rPr>
          <w:color w:val="000000"/>
          <w:szCs w:val="22"/>
        </w:rPr>
        <w:t>A</w:t>
      </w:r>
      <w:r w:rsidRPr="00263D33">
        <w:rPr>
          <w:color w:val="000000"/>
          <w:szCs w:val="22"/>
        </w:rPr>
        <w:t>pplicants pay additional fees for priority applications and call out applications</w:t>
      </w:r>
      <w:r w:rsidR="00AC587C">
        <w:rPr>
          <w:color w:val="000000"/>
          <w:szCs w:val="22"/>
        </w:rPr>
        <w:t>. Th</w:t>
      </w:r>
      <w:r w:rsidRPr="00263D33">
        <w:rPr>
          <w:color w:val="000000"/>
          <w:szCs w:val="22"/>
        </w:rPr>
        <w:t xml:space="preserve">e additional fees reflect the cost of issuing a passport within three days in the case of priority applications, and immediately in the case of call out applications. The higher fees for priority and call out applications are also used to encourage applicants to </w:t>
      </w:r>
      <w:r w:rsidR="004A0CE4" w:rsidRPr="00263D33">
        <w:rPr>
          <w:color w:val="000000"/>
          <w:szCs w:val="22"/>
        </w:rPr>
        <w:t>plan</w:t>
      </w:r>
      <w:r w:rsidRPr="00263D33">
        <w:rPr>
          <w:color w:val="000000"/>
          <w:szCs w:val="22"/>
        </w:rPr>
        <w:t xml:space="preserve"> when they apply for passport and travel documents. This is important to ensure that the passport service can manage application volumes and issue passport and travel documents within required timeframes.</w:t>
      </w:r>
      <w:r w:rsidR="00AC587C">
        <w:rPr>
          <w:color w:val="000000"/>
          <w:szCs w:val="22"/>
        </w:rPr>
        <w:t xml:space="preserve"> </w:t>
      </w:r>
    </w:p>
    <w:p w14:paraId="50AB1480" w14:textId="77777777" w:rsidR="00AC587C" w:rsidRDefault="00AC587C" w:rsidP="00C82699">
      <w:pPr>
        <w:pStyle w:val="Bullet-list"/>
        <w:numPr>
          <w:ilvl w:val="0"/>
          <w:numId w:val="0"/>
        </w:numPr>
        <w:jc w:val="both"/>
        <w:rPr>
          <w:color w:val="000000"/>
          <w:szCs w:val="22"/>
        </w:rPr>
      </w:pPr>
      <w:r>
        <w:rPr>
          <w:color w:val="000000"/>
          <w:szCs w:val="22"/>
        </w:rPr>
        <w:t>The cost of a child passport ($111) is subsidised from the fees paid by adult passport applicants ($191). The reasons for the subsidy are that:</w:t>
      </w:r>
    </w:p>
    <w:p w14:paraId="3E674B33" w14:textId="756CA9F4" w:rsidR="00144801" w:rsidRDefault="00AC587C" w:rsidP="00AC587C">
      <w:pPr>
        <w:pStyle w:val="Bullet-list"/>
        <w:numPr>
          <w:ilvl w:val="0"/>
          <w:numId w:val="32"/>
        </w:numPr>
        <w:jc w:val="both"/>
        <w:rPr>
          <w:color w:val="000000"/>
          <w:szCs w:val="22"/>
        </w:rPr>
      </w:pPr>
      <w:r>
        <w:rPr>
          <w:color w:val="000000"/>
          <w:szCs w:val="22"/>
        </w:rPr>
        <w:t xml:space="preserve">it recognises that child passports have a </w:t>
      </w:r>
      <w:r w:rsidR="00144801">
        <w:rPr>
          <w:color w:val="000000"/>
          <w:szCs w:val="22"/>
        </w:rPr>
        <w:t>five-year</w:t>
      </w:r>
      <w:r>
        <w:rPr>
          <w:color w:val="000000"/>
          <w:szCs w:val="22"/>
        </w:rPr>
        <w:t xml:space="preserve"> validity period and that over a </w:t>
      </w:r>
      <w:r w:rsidR="00144801">
        <w:rPr>
          <w:color w:val="000000"/>
          <w:szCs w:val="22"/>
        </w:rPr>
        <w:t>ten-year</w:t>
      </w:r>
      <w:r>
        <w:rPr>
          <w:color w:val="000000"/>
          <w:szCs w:val="22"/>
        </w:rPr>
        <w:t xml:space="preserve"> period </w:t>
      </w:r>
      <w:r w:rsidR="00144801">
        <w:rPr>
          <w:color w:val="000000"/>
          <w:szCs w:val="22"/>
        </w:rPr>
        <w:t xml:space="preserve">(the period of adult passport validity) </w:t>
      </w:r>
      <w:r>
        <w:rPr>
          <w:color w:val="000000"/>
          <w:szCs w:val="22"/>
        </w:rPr>
        <w:t>the passport would need to be renewed</w:t>
      </w:r>
      <w:r w:rsidR="00144801">
        <w:rPr>
          <w:color w:val="000000"/>
          <w:szCs w:val="22"/>
        </w:rPr>
        <w:t xml:space="preserve">. </w:t>
      </w:r>
      <w:r w:rsidR="00D9348E">
        <w:rPr>
          <w:color w:val="000000"/>
          <w:szCs w:val="22"/>
        </w:rPr>
        <w:t xml:space="preserve">Over a </w:t>
      </w:r>
      <w:r w:rsidR="004A0CE4">
        <w:rPr>
          <w:color w:val="000000"/>
          <w:szCs w:val="22"/>
        </w:rPr>
        <w:t>ten-year</w:t>
      </w:r>
      <w:r w:rsidR="00D9348E">
        <w:rPr>
          <w:color w:val="000000"/>
          <w:szCs w:val="22"/>
        </w:rPr>
        <w:t xml:space="preserve"> </w:t>
      </w:r>
      <w:r w:rsidR="00060D21">
        <w:rPr>
          <w:color w:val="000000"/>
          <w:szCs w:val="22"/>
        </w:rPr>
        <w:t>period,</w:t>
      </w:r>
      <w:r w:rsidR="00D9348E">
        <w:rPr>
          <w:color w:val="000000"/>
          <w:szCs w:val="22"/>
        </w:rPr>
        <w:t xml:space="preserve"> t</w:t>
      </w:r>
      <w:r w:rsidR="00144801">
        <w:rPr>
          <w:color w:val="000000"/>
          <w:szCs w:val="22"/>
        </w:rPr>
        <w:t xml:space="preserve">he total cost of a child passport would therefore be $222 compared with $191 for an adult passport; and </w:t>
      </w:r>
    </w:p>
    <w:p w14:paraId="5E1CFE0F" w14:textId="1927269A" w:rsidR="00AC587C" w:rsidRDefault="00144801" w:rsidP="00144801">
      <w:pPr>
        <w:pStyle w:val="Bullet-list"/>
        <w:numPr>
          <w:ilvl w:val="0"/>
          <w:numId w:val="32"/>
        </w:numPr>
        <w:jc w:val="both"/>
        <w:rPr>
          <w:color w:val="000000"/>
          <w:szCs w:val="22"/>
        </w:rPr>
      </w:pPr>
      <w:r>
        <w:rPr>
          <w:color w:val="000000"/>
          <w:szCs w:val="22"/>
        </w:rPr>
        <w:t>it helps to ensure that the cost of passports remains affordable for family groups.</w:t>
      </w:r>
    </w:p>
    <w:p w14:paraId="6D7FDED1" w14:textId="50AC77D7" w:rsidR="0013229B" w:rsidRDefault="0013229B" w:rsidP="0013229B">
      <w:pPr>
        <w:pStyle w:val="Bullet-list"/>
        <w:numPr>
          <w:ilvl w:val="0"/>
          <w:numId w:val="0"/>
        </w:numPr>
        <w:jc w:val="both"/>
      </w:pPr>
      <w:r>
        <w:lastRenderedPageBreak/>
        <w:t>In Budget 21</w:t>
      </w:r>
      <w:r w:rsidR="00C82C3A">
        <w:t>,</w:t>
      </w:r>
      <w:r>
        <w:t xml:space="preserve"> Government noted the forecasted deficit and agreed to provide the Department with repayable capital injections totalling $31m in the 202</w:t>
      </w:r>
      <w:r w:rsidR="00BB3BB1">
        <w:t>1</w:t>
      </w:r>
      <w:r>
        <w:t>/2</w:t>
      </w:r>
      <w:r w:rsidR="00BB3BB1">
        <w:t>2</w:t>
      </w:r>
      <w:r>
        <w:t xml:space="preserve"> financial year to prevent the balance of the PMA moving into a deficit position. </w:t>
      </w:r>
    </w:p>
    <w:p w14:paraId="5D93EAF0" w14:textId="6AFEAE2E" w:rsidR="00800998" w:rsidRDefault="00800998" w:rsidP="00F578DB">
      <w:pPr>
        <w:pStyle w:val="Heading2"/>
      </w:pPr>
      <w:r>
        <w:t>The level of the proposed fee and its cost components</w:t>
      </w:r>
      <w:r w:rsidR="00EA405A">
        <w:t xml:space="preserve"> </w:t>
      </w:r>
    </w:p>
    <w:p w14:paraId="0EA8F280" w14:textId="77777777" w:rsidR="00F402D0" w:rsidRPr="001C6634" w:rsidRDefault="00011834" w:rsidP="00F402D0">
      <w:pPr>
        <w:pStyle w:val="Bullet-list"/>
        <w:numPr>
          <w:ilvl w:val="0"/>
          <w:numId w:val="0"/>
        </w:numPr>
        <w:ind w:left="360" w:hanging="360"/>
        <w:rPr>
          <w:b/>
          <w:color w:val="5B9BD5" w:themeColor="accent5"/>
        </w:rPr>
      </w:pPr>
      <w:r w:rsidRPr="001C6634">
        <w:rPr>
          <w:b/>
          <w:color w:val="5B9BD5" w:themeColor="accent5"/>
        </w:rPr>
        <w:t xml:space="preserve">Design of cost recovery charges. </w:t>
      </w:r>
    </w:p>
    <w:p w14:paraId="026BCEE7" w14:textId="107EA609" w:rsidR="00A5767B" w:rsidRDefault="00D034E3" w:rsidP="00A5767B">
      <w:pPr>
        <w:pStyle w:val="Bullet-list"/>
        <w:numPr>
          <w:ilvl w:val="0"/>
          <w:numId w:val="0"/>
        </w:numPr>
        <w:jc w:val="both"/>
      </w:pPr>
      <w:r>
        <w:t xml:space="preserve">The </w:t>
      </w:r>
      <w:r w:rsidR="0013229B">
        <w:t xml:space="preserve">policy </w:t>
      </w:r>
      <w:r>
        <w:t>objective</w:t>
      </w:r>
      <w:r w:rsidR="0013229B">
        <w:t xml:space="preserve">s are </w:t>
      </w:r>
      <w:r>
        <w:t xml:space="preserve">to return to the funding of travel document issuance to a </w:t>
      </w:r>
      <w:r w:rsidR="002C636B">
        <w:t>full cost recovery</w:t>
      </w:r>
      <w:r>
        <w:t xml:space="preserve"> basis by June </w:t>
      </w:r>
      <w:r w:rsidR="002C636B">
        <w:t>2037</w:t>
      </w:r>
      <w:r w:rsidR="00A5767B">
        <w:t xml:space="preserve"> and to </w:t>
      </w:r>
      <w:r w:rsidR="0062214E">
        <w:t xml:space="preserve">zero the balance of the PMA by </w:t>
      </w:r>
      <w:r w:rsidR="0013229B">
        <w:t>this date</w:t>
      </w:r>
      <w:r w:rsidR="00A5767B">
        <w:t>.</w:t>
      </w:r>
      <w:r w:rsidR="00726BC7">
        <w:t xml:space="preserve"> As noted earlier this will be achieved through a combination of fee increases and repayable capital </w:t>
      </w:r>
      <w:r w:rsidR="00AF6606">
        <w:t xml:space="preserve">injections. The provision of re-payable capital injections enables the level of the </w:t>
      </w:r>
      <w:r w:rsidR="00726BC7">
        <w:t>fee increase</w:t>
      </w:r>
      <w:r w:rsidR="00AF6606">
        <w:t xml:space="preserve">s </w:t>
      </w:r>
      <w:r w:rsidR="00C65F53">
        <w:t xml:space="preserve">required to fund issuance to be evened out over periods of higher and lower demand.  Without capital injections </w:t>
      </w:r>
      <w:r w:rsidR="00726BC7">
        <w:t xml:space="preserve">the cost of passports </w:t>
      </w:r>
      <w:r w:rsidR="00C65F53">
        <w:t xml:space="preserve">would increase </w:t>
      </w:r>
      <w:r w:rsidR="00726BC7">
        <w:t xml:space="preserve">beyond the reach of many New Zealanders.  </w:t>
      </w:r>
    </w:p>
    <w:p w14:paraId="0381D3FA" w14:textId="77777777" w:rsidR="00FB02BA" w:rsidRDefault="009544E0" w:rsidP="00A5767B">
      <w:pPr>
        <w:pStyle w:val="Bullet-list"/>
        <w:numPr>
          <w:ilvl w:val="0"/>
          <w:numId w:val="0"/>
        </w:numPr>
        <w:jc w:val="both"/>
      </w:pPr>
      <w:r>
        <w:t xml:space="preserve">The Department </w:t>
      </w:r>
      <w:r w:rsidR="002C636B">
        <w:t>has identified two options for Government consideration.</w:t>
      </w:r>
      <w:r w:rsidR="00D034E3">
        <w:t xml:space="preserve"> </w:t>
      </w:r>
      <w:r w:rsidR="002C636B">
        <w:t xml:space="preserve">The underpinning assumptions behind the forecasting of demand </w:t>
      </w:r>
      <w:r>
        <w:t xml:space="preserve">for both options </w:t>
      </w:r>
      <w:r w:rsidR="002C636B">
        <w:t xml:space="preserve">are that: </w:t>
      </w:r>
    </w:p>
    <w:p w14:paraId="08CFC559" w14:textId="77D506A0" w:rsidR="00FB02BA" w:rsidRDefault="002C636B" w:rsidP="00FB02BA">
      <w:pPr>
        <w:pStyle w:val="Bullet-list"/>
        <w:numPr>
          <w:ilvl w:val="0"/>
          <w:numId w:val="18"/>
        </w:numPr>
        <w:jc w:val="both"/>
      </w:pPr>
      <w:r>
        <w:t xml:space="preserve">the Australia/New Zealand travel bubble reopens </w:t>
      </w:r>
      <w:r w:rsidR="00FB02BA">
        <w:t xml:space="preserve">for fully vaccinated travellers </w:t>
      </w:r>
      <w:r>
        <w:t xml:space="preserve">from </w:t>
      </w:r>
      <w:r w:rsidR="00FB02BA">
        <w:t>27 February 2</w:t>
      </w:r>
      <w:r>
        <w:t>022</w:t>
      </w:r>
      <w:r w:rsidR="00FB02BA">
        <w:t xml:space="preserve"> and remains </w:t>
      </w:r>
      <w:proofErr w:type="gramStart"/>
      <w:r w:rsidR="00FB02BA">
        <w:t>open</w:t>
      </w:r>
      <w:r>
        <w:t>;</w:t>
      </w:r>
      <w:proofErr w:type="gramEnd"/>
      <w:r>
        <w:t xml:space="preserve"> </w:t>
      </w:r>
    </w:p>
    <w:p w14:paraId="74D2974C" w14:textId="426C2900" w:rsidR="00FB02BA" w:rsidRDefault="002C636B" w:rsidP="00FB02BA">
      <w:pPr>
        <w:pStyle w:val="Bullet-list"/>
        <w:numPr>
          <w:ilvl w:val="0"/>
          <w:numId w:val="18"/>
        </w:numPr>
        <w:jc w:val="both"/>
      </w:pPr>
      <w:r>
        <w:t xml:space="preserve">the travel bubble with the Cook Islands remains </w:t>
      </w:r>
      <w:proofErr w:type="gramStart"/>
      <w:r>
        <w:t>open;</w:t>
      </w:r>
      <w:proofErr w:type="gramEnd"/>
      <w:r>
        <w:t xml:space="preserve"> </w:t>
      </w:r>
    </w:p>
    <w:p w14:paraId="6AD87181" w14:textId="0C874273" w:rsidR="00C8298B" w:rsidRDefault="00C8298B" w:rsidP="00FB02BA">
      <w:pPr>
        <w:pStyle w:val="Bullet-list"/>
        <w:numPr>
          <w:ilvl w:val="0"/>
          <w:numId w:val="18"/>
        </w:numPr>
        <w:jc w:val="both"/>
      </w:pPr>
      <w:r w:rsidRPr="00C8298B">
        <w:t xml:space="preserve">Fully vaccinated New Zealanders, and other eligible travellers from the rest of the world, will be able to travel to New Zealand without going through MIQ from 13 March </w:t>
      </w:r>
      <w:proofErr w:type="gramStart"/>
      <w:r w:rsidRPr="00C8298B">
        <w:t>2022</w:t>
      </w:r>
      <w:r>
        <w:t>;</w:t>
      </w:r>
      <w:proofErr w:type="gramEnd"/>
    </w:p>
    <w:p w14:paraId="7F6BD915" w14:textId="28C2C807" w:rsidR="0062214E" w:rsidRDefault="00D034E3" w:rsidP="00FB02BA">
      <w:pPr>
        <w:pStyle w:val="Bullet-list"/>
        <w:numPr>
          <w:ilvl w:val="0"/>
          <w:numId w:val="18"/>
        </w:numPr>
        <w:jc w:val="both"/>
      </w:pPr>
      <w:r>
        <w:t xml:space="preserve">50% of the deferred demand for passports returns over the 202-25 </w:t>
      </w:r>
      <w:proofErr w:type="gramStart"/>
      <w:r>
        <w:t>period</w:t>
      </w:r>
      <w:r w:rsidR="0062214E">
        <w:t>;</w:t>
      </w:r>
      <w:proofErr w:type="gramEnd"/>
      <w:r w:rsidR="00E527FA">
        <w:t xml:space="preserve"> and</w:t>
      </w:r>
    </w:p>
    <w:p w14:paraId="6B9D935B" w14:textId="189F601F" w:rsidR="002C636B" w:rsidRDefault="0062214E" w:rsidP="00FB02BA">
      <w:pPr>
        <w:pStyle w:val="Bullet-list"/>
        <w:numPr>
          <w:ilvl w:val="0"/>
          <w:numId w:val="18"/>
        </w:numPr>
        <w:jc w:val="both"/>
      </w:pPr>
      <w:r>
        <w:t>the</w:t>
      </w:r>
      <w:r w:rsidR="00E527FA">
        <w:t xml:space="preserve"> 42% subsidy of the cost of child passports from the fees paid by adults will continue</w:t>
      </w:r>
      <w:r w:rsidR="00D034E3">
        <w:t xml:space="preserve">. </w:t>
      </w:r>
    </w:p>
    <w:p w14:paraId="172AFB47" w14:textId="7CE801F3" w:rsidR="00F402D0" w:rsidRDefault="00D455F0" w:rsidP="00A5767B">
      <w:pPr>
        <w:pStyle w:val="Bullet-list"/>
        <w:numPr>
          <w:ilvl w:val="0"/>
          <w:numId w:val="0"/>
        </w:numPr>
        <w:ind w:left="360" w:hanging="360"/>
      </w:pPr>
      <w:r>
        <w:t>T</w:t>
      </w:r>
      <w:r w:rsidR="00F402D0" w:rsidRPr="00AB1F25">
        <w:t xml:space="preserve">able </w:t>
      </w:r>
      <w:r>
        <w:t xml:space="preserve">3 and 4 </w:t>
      </w:r>
      <w:r w:rsidR="00F113D2">
        <w:t xml:space="preserve">summarise the differences between the two options. </w:t>
      </w:r>
    </w:p>
    <w:p w14:paraId="621CCE2A" w14:textId="40691B30" w:rsidR="00B02013" w:rsidRPr="00C044B5" w:rsidRDefault="00B02013" w:rsidP="00B02013">
      <w:pPr>
        <w:pStyle w:val="Caption"/>
        <w:keepNext/>
        <w:rPr>
          <w:sz w:val="22"/>
          <w:szCs w:val="22"/>
        </w:rPr>
      </w:pPr>
      <w:r w:rsidRPr="00C044B5">
        <w:rPr>
          <w:sz w:val="22"/>
          <w:szCs w:val="22"/>
        </w:rPr>
        <w:t xml:space="preserve">Table </w:t>
      </w:r>
      <w:r w:rsidR="003C4916" w:rsidRPr="00C044B5">
        <w:rPr>
          <w:sz w:val="22"/>
          <w:szCs w:val="22"/>
        </w:rPr>
        <w:t>3</w:t>
      </w:r>
      <w:r w:rsidRPr="00C044B5">
        <w:rPr>
          <w:sz w:val="22"/>
          <w:szCs w:val="22"/>
        </w:rPr>
        <w:t xml:space="preserve"> Option 1</w:t>
      </w:r>
    </w:p>
    <w:tbl>
      <w:tblPr>
        <w:tblStyle w:val="Cabinetpaper"/>
        <w:tblW w:w="5000" w:type="pct"/>
        <w:tblInd w:w="0" w:type="dxa"/>
        <w:tblLook w:val="04A0" w:firstRow="1" w:lastRow="0" w:firstColumn="1" w:lastColumn="0" w:noHBand="0" w:noVBand="1"/>
      </w:tblPr>
      <w:tblGrid>
        <w:gridCol w:w="3029"/>
        <w:gridCol w:w="3009"/>
        <w:gridCol w:w="3003"/>
      </w:tblGrid>
      <w:tr w:rsidR="00B02013" w14:paraId="3E9C382D" w14:textId="77777777" w:rsidTr="003C5B64">
        <w:trPr>
          <w:cnfStyle w:val="100000000000" w:firstRow="1" w:lastRow="0" w:firstColumn="0" w:lastColumn="0" w:oddVBand="0" w:evenVBand="0" w:oddHBand="0" w:evenHBand="0" w:firstRowFirstColumn="0" w:firstRowLastColumn="0" w:lastRowFirstColumn="0" w:lastRowLastColumn="0"/>
        </w:trPr>
        <w:tc>
          <w:tcPr>
            <w:tcW w:w="1675" w:type="pct"/>
          </w:tcPr>
          <w:p w14:paraId="475CAF38" w14:textId="48281C35" w:rsidR="00B02013" w:rsidRDefault="00B02013" w:rsidP="00A5767B">
            <w:pPr>
              <w:pStyle w:val="Bullet-list"/>
              <w:numPr>
                <w:ilvl w:val="0"/>
                <w:numId w:val="0"/>
              </w:numPr>
            </w:pPr>
            <w:r>
              <w:t>Percentage increase</w:t>
            </w:r>
          </w:p>
        </w:tc>
        <w:tc>
          <w:tcPr>
            <w:tcW w:w="1664" w:type="pct"/>
          </w:tcPr>
          <w:p w14:paraId="49BADD52" w14:textId="7DC82831" w:rsidR="00B02013" w:rsidRDefault="00B02013" w:rsidP="00A5767B">
            <w:pPr>
              <w:pStyle w:val="Bullet-list"/>
              <w:numPr>
                <w:ilvl w:val="0"/>
                <w:numId w:val="0"/>
              </w:numPr>
            </w:pPr>
            <w:r>
              <w:t>Passport Fees</w:t>
            </w:r>
            <w:r w:rsidR="00227B81">
              <w:t xml:space="preserve"> (incl. GST)</w:t>
            </w:r>
          </w:p>
        </w:tc>
        <w:tc>
          <w:tcPr>
            <w:tcW w:w="1662" w:type="pct"/>
          </w:tcPr>
          <w:p w14:paraId="20C974CC" w14:textId="5F422E83" w:rsidR="00B02013" w:rsidRDefault="00B02013" w:rsidP="00A5767B">
            <w:pPr>
              <w:pStyle w:val="Bullet-list"/>
              <w:numPr>
                <w:ilvl w:val="0"/>
                <w:numId w:val="0"/>
              </w:numPr>
            </w:pPr>
            <w:r>
              <w:t xml:space="preserve">Repayable capital </w:t>
            </w:r>
            <w:r w:rsidR="003C5B64">
              <w:t>injections</w:t>
            </w:r>
          </w:p>
        </w:tc>
      </w:tr>
      <w:tr w:rsidR="00B02013" w14:paraId="4CEFC1B9" w14:textId="77777777" w:rsidTr="003C5B64">
        <w:tc>
          <w:tcPr>
            <w:tcW w:w="1675" w:type="pct"/>
          </w:tcPr>
          <w:p w14:paraId="0A23F283" w14:textId="037E5F02" w:rsidR="00B02013" w:rsidRDefault="00CB0658" w:rsidP="00A5767B">
            <w:pPr>
              <w:pStyle w:val="Bullet-list"/>
              <w:numPr>
                <w:ilvl w:val="0"/>
                <w:numId w:val="0"/>
              </w:numPr>
            </w:pPr>
            <w:r>
              <w:t xml:space="preserve">Approx. </w:t>
            </w:r>
            <w:r w:rsidR="00B02013">
              <w:t>19.37% in 2021/22</w:t>
            </w:r>
          </w:p>
        </w:tc>
        <w:tc>
          <w:tcPr>
            <w:tcW w:w="1664" w:type="pct"/>
          </w:tcPr>
          <w:p w14:paraId="201B4F1A" w14:textId="57B13606" w:rsidR="00B02013" w:rsidRPr="003C5B64" w:rsidRDefault="00B02013" w:rsidP="00B02013">
            <w:pPr>
              <w:spacing w:after="120"/>
              <w:jc w:val="both"/>
              <w:rPr>
                <w:rFonts w:cs="Arial"/>
                <w:szCs w:val="22"/>
              </w:rPr>
            </w:pPr>
            <w:r w:rsidRPr="003C5B64">
              <w:rPr>
                <w:rFonts w:cs="Arial"/>
                <w:b/>
                <w:szCs w:val="22"/>
              </w:rPr>
              <w:t xml:space="preserve">2021/22: </w:t>
            </w:r>
            <w:r w:rsidRPr="003C5B64">
              <w:rPr>
                <w:rFonts w:cs="Arial"/>
                <w:szCs w:val="22"/>
              </w:rPr>
              <w:t xml:space="preserve">The fee for an adult passport increases from $191 to $228. The fee for a child’s passport increases from $111 to $132  </w:t>
            </w:r>
          </w:p>
        </w:tc>
        <w:tc>
          <w:tcPr>
            <w:tcW w:w="1662" w:type="pct"/>
          </w:tcPr>
          <w:p w14:paraId="52B6652C" w14:textId="72A9C44A" w:rsidR="00B02013" w:rsidRDefault="00B02013" w:rsidP="00A5767B">
            <w:pPr>
              <w:pStyle w:val="Bullet-list"/>
              <w:numPr>
                <w:ilvl w:val="0"/>
                <w:numId w:val="0"/>
              </w:numPr>
            </w:pPr>
            <w:r>
              <w:t xml:space="preserve">$195m over </w:t>
            </w:r>
            <w:r w:rsidR="003C5B64">
              <w:t>2022</w:t>
            </w:r>
            <w:r w:rsidR="00F86A62">
              <w:t>-</w:t>
            </w:r>
            <w:r w:rsidR="003C5B64">
              <w:t>35</w:t>
            </w:r>
            <w:r w:rsidR="00F86A62">
              <w:t xml:space="preserve"> to be </w:t>
            </w:r>
            <w:r w:rsidR="003C5B64">
              <w:t>repaid by June 2037</w:t>
            </w:r>
          </w:p>
        </w:tc>
      </w:tr>
    </w:tbl>
    <w:p w14:paraId="492CB0B0" w14:textId="77777777" w:rsidR="00B16D8B" w:rsidRDefault="00B16D8B" w:rsidP="00EE0AF9">
      <w:pPr>
        <w:spacing w:after="0" w:line="240" w:lineRule="auto"/>
        <w:rPr>
          <w:b/>
        </w:rPr>
      </w:pPr>
    </w:p>
    <w:p w14:paraId="0B84F8E0" w14:textId="77777777" w:rsidR="00B16D8B" w:rsidRDefault="00B16D8B" w:rsidP="00EE0AF9">
      <w:pPr>
        <w:spacing w:after="0" w:line="240" w:lineRule="auto"/>
        <w:rPr>
          <w:b/>
        </w:rPr>
      </w:pPr>
    </w:p>
    <w:p w14:paraId="74D16A1C" w14:textId="5283208F" w:rsidR="00B02013" w:rsidRDefault="003C5B64" w:rsidP="00EE0AF9">
      <w:pPr>
        <w:spacing w:after="0" w:line="240" w:lineRule="auto"/>
        <w:rPr>
          <w:b/>
        </w:rPr>
      </w:pPr>
      <w:r w:rsidRPr="00EE0AF9">
        <w:rPr>
          <w:b/>
        </w:rPr>
        <w:t xml:space="preserve">Table </w:t>
      </w:r>
      <w:r w:rsidR="003C4916" w:rsidRPr="00EE0AF9">
        <w:rPr>
          <w:b/>
        </w:rPr>
        <w:t>4</w:t>
      </w:r>
      <w:r w:rsidRPr="00EE0AF9">
        <w:rPr>
          <w:b/>
        </w:rPr>
        <w:t xml:space="preserve"> Option 2</w:t>
      </w:r>
    </w:p>
    <w:tbl>
      <w:tblPr>
        <w:tblStyle w:val="Cabinetpaper"/>
        <w:tblW w:w="5000" w:type="pct"/>
        <w:tblInd w:w="0" w:type="dxa"/>
        <w:tblLook w:val="04A0" w:firstRow="1" w:lastRow="0" w:firstColumn="1" w:lastColumn="0" w:noHBand="0" w:noVBand="1"/>
      </w:tblPr>
      <w:tblGrid>
        <w:gridCol w:w="3029"/>
        <w:gridCol w:w="3009"/>
        <w:gridCol w:w="3003"/>
      </w:tblGrid>
      <w:tr w:rsidR="003C5B64" w14:paraId="3FC7FF1F" w14:textId="77777777" w:rsidTr="008A31B4">
        <w:trPr>
          <w:cnfStyle w:val="100000000000" w:firstRow="1" w:lastRow="0" w:firstColumn="0" w:lastColumn="0" w:oddVBand="0" w:evenVBand="0" w:oddHBand="0" w:evenHBand="0" w:firstRowFirstColumn="0" w:firstRowLastColumn="0" w:lastRowFirstColumn="0" w:lastRowLastColumn="0"/>
        </w:trPr>
        <w:tc>
          <w:tcPr>
            <w:tcW w:w="1675" w:type="pct"/>
          </w:tcPr>
          <w:p w14:paraId="49E8C5AA" w14:textId="77777777" w:rsidR="003C5B64" w:rsidRDefault="003C5B64" w:rsidP="00563A12">
            <w:pPr>
              <w:pStyle w:val="Bullet-list"/>
              <w:numPr>
                <w:ilvl w:val="0"/>
                <w:numId w:val="0"/>
              </w:numPr>
            </w:pPr>
            <w:r>
              <w:t>Percentage increase</w:t>
            </w:r>
          </w:p>
        </w:tc>
        <w:tc>
          <w:tcPr>
            <w:tcW w:w="1664" w:type="pct"/>
          </w:tcPr>
          <w:p w14:paraId="01F3F2EA" w14:textId="4BD56A3E" w:rsidR="003C5B64" w:rsidRDefault="003C5B64" w:rsidP="00563A12">
            <w:pPr>
              <w:pStyle w:val="Bullet-list"/>
              <w:numPr>
                <w:ilvl w:val="0"/>
                <w:numId w:val="0"/>
              </w:numPr>
            </w:pPr>
            <w:r>
              <w:t>Passport Fees</w:t>
            </w:r>
            <w:r w:rsidR="00227B81">
              <w:t xml:space="preserve"> (incl. GST)</w:t>
            </w:r>
          </w:p>
        </w:tc>
        <w:tc>
          <w:tcPr>
            <w:tcW w:w="1661" w:type="pct"/>
          </w:tcPr>
          <w:p w14:paraId="06BA9A8E" w14:textId="77777777" w:rsidR="003C5B64" w:rsidRDefault="003C5B64" w:rsidP="00563A12">
            <w:pPr>
              <w:pStyle w:val="Bullet-list"/>
              <w:numPr>
                <w:ilvl w:val="0"/>
                <w:numId w:val="0"/>
              </w:numPr>
            </w:pPr>
            <w:r>
              <w:t>Repayable capital injections</w:t>
            </w:r>
          </w:p>
        </w:tc>
      </w:tr>
      <w:tr w:rsidR="008A31B4" w14:paraId="051C2514" w14:textId="77777777" w:rsidTr="008A31B4">
        <w:tc>
          <w:tcPr>
            <w:tcW w:w="1675" w:type="pct"/>
          </w:tcPr>
          <w:p w14:paraId="7693284F" w14:textId="62E5F99D" w:rsidR="008A31B4" w:rsidRDefault="00CB0658" w:rsidP="00563A12">
            <w:pPr>
              <w:pStyle w:val="Bullet-list"/>
              <w:numPr>
                <w:ilvl w:val="0"/>
                <w:numId w:val="0"/>
              </w:numPr>
            </w:pPr>
            <w:r>
              <w:t xml:space="preserve">Approx. </w:t>
            </w:r>
            <w:r w:rsidR="008A31B4">
              <w:t>3.97% in 2021/22</w:t>
            </w:r>
          </w:p>
        </w:tc>
        <w:tc>
          <w:tcPr>
            <w:tcW w:w="1664" w:type="pct"/>
          </w:tcPr>
          <w:p w14:paraId="067E4A60" w14:textId="79C080D6" w:rsidR="008A31B4" w:rsidRPr="003C5B64" w:rsidRDefault="008A31B4" w:rsidP="00563A12">
            <w:pPr>
              <w:spacing w:after="120"/>
              <w:jc w:val="both"/>
              <w:rPr>
                <w:rFonts w:cs="Arial"/>
                <w:szCs w:val="22"/>
              </w:rPr>
            </w:pPr>
            <w:r w:rsidRPr="003C5B64">
              <w:rPr>
                <w:rFonts w:cs="Arial"/>
                <w:b/>
                <w:szCs w:val="22"/>
              </w:rPr>
              <w:t xml:space="preserve">2021/22: </w:t>
            </w:r>
            <w:r w:rsidRPr="003C5B64">
              <w:rPr>
                <w:rFonts w:cs="Arial"/>
                <w:szCs w:val="22"/>
              </w:rPr>
              <w:t>The fee for an adult passport increases from $191 to $</w:t>
            </w:r>
            <w:r>
              <w:rPr>
                <w:rFonts w:cs="Arial"/>
                <w:szCs w:val="22"/>
              </w:rPr>
              <w:t>199 and t</w:t>
            </w:r>
            <w:r w:rsidRPr="003C5B64">
              <w:rPr>
                <w:rFonts w:cs="Arial"/>
                <w:szCs w:val="22"/>
              </w:rPr>
              <w:t>he fee for a child’s passport increases from $111 to $1</w:t>
            </w:r>
            <w:r>
              <w:rPr>
                <w:rFonts w:cs="Arial"/>
                <w:szCs w:val="22"/>
              </w:rPr>
              <w:t>15.</w:t>
            </w:r>
            <w:r w:rsidRPr="003C5B64">
              <w:rPr>
                <w:rFonts w:cs="Arial"/>
                <w:szCs w:val="22"/>
              </w:rPr>
              <w:t xml:space="preserve">  </w:t>
            </w:r>
          </w:p>
        </w:tc>
        <w:tc>
          <w:tcPr>
            <w:tcW w:w="1661" w:type="pct"/>
            <w:vMerge w:val="restart"/>
          </w:tcPr>
          <w:p w14:paraId="35F7F91A" w14:textId="4BF919CF" w:rsidR="008A31B4" w:rsidRDefault="008A31B4" w:rsidP="00563A12">
            <w:pPr>
              <w:pStyle w:val="Bullet-list"/>
              <w:numPr>
                <w:ilvl w:val="0"/>
                <w:numId w:val="0"/>
              </w:numPr>
            </w:pPr>
            <w:r>
              <w:t>Total of $210.60m over 202</w:t>
            </w:r>
            <w:r w:rsidR="00F86A62">
              <w:t>2-</w:t>
            </w:r>
            <w:r>
              <w:t>35</w:t>
            </w:r>
            <w:r w:rsidR="00F86A62">
              <w:t xml:space="preserve"> to be</w:t>
            </w:r>
            <w:r>
              <w:t xml:space="preserve"> repaid by June 2037</w:t>
            </w:r>
          </w:p>
        </w:tc>
      </w:tr>
      <w:tr w:rsidR="008A31B4" w14:paraId="2953EB2D" w14:textId="77777777" w:rsidTr="008A31B4">
        <w:tc>
          <w:tcPr>
            <w:tcW w:w="1675" w:type="pct"/>
          </w:tcPr>
          <w:p w14:paraId="0D94F892" w14:textId="1CA3390D" w:rsidR="008A31B4" w:rsidRDefault="00CB0658" w:rsidP="00563A12">
            <w:pPr>
              <w:pStyle w:val="Bullet-list"/>
              <w:numPr>
                <w:ilvl w:val="0"/>
                <w:numId w:val="0"/>
              </w:numPr>
            </w:pPr>
            <w:r>
              <w:lastRenderedPageBreak/>
              <w:t xml:space="preserve">Approx. </w:t>
            </w:r>
            <w:r w:rsidR="008A31B4">
              <w:t>3.97% in 2022/23</w:t>
            </w:r>
          </w:p>
        </w:tc>
        <w:tc>
          <w:tcPr>
            <w:tcW w:w="1664" w:type="pct"/>
          </w:tcPr>
          <w:p w14:paraId="671D4731" w14:textId="784AACE5" w:rsidR="008A31B4" w:rsidRPr="00F84EF4" w:rsidRDefault="008A31B4" w:rsidP="00F84EF4">
            <w:pPr>
              <w:spacing w:before="0" w:after="0"/>
              <w:jc w:val="both"/>
              <w:rPr>
                <w:rFonts w:cs="Arial"/>
                <w:szCs w:val="22"/>
              </w:rPr>
            </w:pPr>
            <w:r w:rsidRPr="00F84EF4">
              <w:rPr>
                <w:rFonts w:cs="Arial"/>
                <w:szCs w:val="22"/>
              </w:rPr>
              <w:t>Adult passport</w:t>
            </w:r>
            <w:r>
              <w:rPr>
                <w:rFonts w:cs="Arial"/>
                <w:szCs w:val="22"/>
              </w:rPr>
              <w:t xml:space="preserve"> $206</w:t>
            </w:r>
          </w:p>
          <w:p w14:paraId="2710B5A8" w14:textId="677B340C" w:rsidR="008A31B4" w:rsidRPr="003C5B64" w:rsidRDefault="008A31B4" w:rsidP="00F84EF4">
            <w:pPr>
              <w:spacing w:before="0" w:after="0"/>
              <w:jc w:val="both"/>
              <w:rPr>
                <w:rFonts w:cs="Arial"/>
                <w:b/>
                <w:szCs w:val="22"/>
              </w:rPr>
            </w:pPr>
            <w:r w:rsidRPr="00F84EF4">
              <w:rPr>
                <w:rFonts w:cs="Arial"/>
                <w:szCs w:val="22"/>
              </w:rPr>
              <w:t>Child passport</w:t>
            </w:r>
            <w:r>
              <w:rPr>
                <w:rFonts w:cs="Arial"/>
                <w:szCs w:val="22"/>
              </w:rPr>
              <w:t xml:space="preserve"> $120</w:t>
            </w:r>
          </w:p>
        </w:tc>
        <w:tc>
          <w:tcPr>
            <w:tcW w:w="1661" w:type="pct"/>
            <w:vMerge/>
          </w:tcPr>
          <w:p w14:paraId="4715C5D9" w14:textId="77777777" w:rsidR="008A31B4" w:rsidRDefault="008A31B4" w:rsidP="00563A12">
            <w:pPr>
              <w:pStyle w:val="Bullet-list"/>
              <w:numPr>
                <w:ilvl w:val="0"/>
                <w:numId w:val="0"/>
              </w:numPr>
            </w:pPr>
          </w:p>
        </w:tc>
      </w:tr>
      <w:tr w:rsidR="008A31B4" w14:paraId="1C88AA0A" w14:textId="77777777" w:rsidTr="008A31B4">
        <w:tc>
          <w:tcPr>
            <w:tcW w:w="1675" w:type="pct"/>
          </w:tcPr>
          <w:p w14:paraId="543623A1" w14:textId="3CD06AB6" w:rsidR="008A31B4" w:rsidRDefault="00CB0658" w:rsidP="00563A12">
            <w:pPr>
              <w:pStyle w:val="Bullet-list"/>
              <w:numPr>
                <w:ilvl w:val="0"/>
                <w:numId w:val="0"/>
              </w:numPr>
            </w:pPr>
            <w:r>
              <w:t xml:space="preserve">Approx. </w:t>
            </w:r>
            <w:r w:rsidR="008A31B4">
              <w:t>3.97% in 2023/24</w:t>
            </w:r>
          </w:p>
        </w:tc>
        <w:tc>
          <w:tcPr>
            <w:tcW w:w="1664" w:type="pct"/>
          </w:tcPr>
          <w:p w14:paraId="4C314F12" w14:textId="406392E7" w:rsidR="008A31B4" w:rsidRPr="00F84EF4" w:rsidRDefault="008A31B4" w:rsidP="00F84EF4">
            <w:pPr>
              <w:spacing w:before="0" w:after="0"/>
              <w:jc w:val="both"/>
              <w:rPr>
                <w:rFonts w:cs="Arial"/>
                <w:szCs w:val="22"/>
              </w:rPr>
            </w:pPr>
            <w:r w:rsidRPr="00F84EF4">
              <w:rPr>
                <w:rFonts w:cs="Arial"/>
                <w:szCs w:val="22"/>
              </w:rPr>
              <w:t>Adult passport</w:t>
            </w:r>
            <w:r>
              <w:rPr>
                <w:rFonts w:cs="Arial"/>
                <w:szCs w:val="22"/>
              </w:rPr>
              <w:t xml:space="preserve"> $215</w:t>
            </w:r>
          </w:p>
          <w:p w14:paraId="3C01BEE4" w14:textId="6AAFBBFD" w:rsidR="008A31B4" w:rsidRPr="003C5B64" w:rsidRDefault="008A31B4" w:rsidP="00F84EF4">
            <w:pPr>
              <w:spacing w:after="120"/>
              <w:jc w:val="both"/>
              <w:rPr>
                <w:rFonts w:cs="Arial"/>
                <w:b/>
                <w:szCs w:val="22"/>
              </w:rPr>
            </w:pPr>
            <w:r w:rsidRPr="00F84EF4">
              <w:rPr>
                <w:rFonts w:cs="Arial"/>
                <w:szCs w:val="22"/>
              </w:rPr>
              <w:t>Child passport</w:t>
            </w:r>
            <w:r>
              <w:rPr>
                <w:rFonts w:cs="Arial"/>
                <w:szCs w:val="22"/>
              </w:rPr>
              <w:t xml:space="preserve"> $125</w:t>
            </w:r>
          </w:p>
        </w:tc>
        <w:tc>
          <w:tcPr>
            <w:tcW w:w="1661" w:type="pct"/>
            <w:vMerge/>
          </w:tcPr>
          <w:p w14:paraId="2A04FDC8" w14:textId="77777777" w:rsidR="008A31B4" w:rsidRDefault="008A31B4" w:rsidP="00563A12">
            <w:pPr>
              <w:pStyle w:val="Bullet-list"/>
              <w:numPr>
                <w:ilvl w:val="0"/>
                <w:numId w:val="0"/>
              </w:numPr>
            </w:pPr>
          </w:p>
        </w:tc>
      </w:tr>
      <w:tr w:rsidR="008A31B4" w14:paraId="6F1C6E97" w14:textId="77777777" w:rsidTr="008A31B4">
        <w:tc>
          <w:tcPr>
            <w:tcW w:w="1675" w:type="pct"/>
          </w:tcPr>
          <w:p w14:paraId="0116B3FC" w14:textId="229A8A6E" w:rsidR="008A31B4" w:rsidRDefault="00CB0658" w:rsidP="00563A12">
            <w:pPr>
              <w:pStyle w:val="Bullet-list"/>
              <w:numPr>
                <w:ilvl w:val="0"/>
                <w:numId w:val="0"/>
              </w:numPr>
            </w:pPr>
            <w:r>
              <w:t xml:space="preserve">Approx. </w:t>
            </w:r>
            <w:r w:rsidR="008A31B4">
              <w:t>3.97% in 2024/25</w:t>
            </w:r>
          </w:p>
        </w:tc>
        <w:tc>
          <w:tcPr>
            <w:tcW w:w="1664" w:type="pct"/>
          </w:tcPr>
          <w:p w14:paraId="68C44738" w14:textId="1949B3B8" w:rsidR="008A31B4" w:rsidRPr="00F84EF4" w:rsidRDefault="008A31B4" w:rsidP="00F84EF4">
            <w:pPr>
              <w:spacing w:before="0" w:after="0"/>
              <w:jc w:val="both"/>
              <w:rPr>
                <w:rFonts w:cs="Arial"/>
                <w:szCs w:val="22"/>
              </w:rPr>
            </w:pPr>
            <w:r w:rsidRPr="00F84EF4">
              <w:rPr>
                <w:rFonts w:cs="Arial"/>
                <w:szCs w:val="22"/>
              </w:rPr>
              <w:t>Adult passport</w:t>
            </w:r>
            <w:r>
              <w:rPr>
                <w:rFonts w:cs="Arial"/>
                <w:szCs w:val="22"/>
              </w:rPr>
              <w:t xml:space="preserve"> $223</w:t>
            </w:r>
          </w:p>
          <w:p w14:paraId="5F0378DA" w14:textId="050E1C8E" w:rsidR="008A31B4" w:rsidRPr="003C5B64" w:rsidRDefault="008A31B4" w:rsidP="00F84EF4">
            <w:pPr>
              <w:spacing w:after="120"/>
              <w:jc w:val="both"/>
              <w:rPr>
                <w:rFonts w:cs="Arial"/>
                <w:b/>
                <w:szCs w:val="22"/>
              </w:rPr>
            </w:pPr>
            <w:r w:rsidRPr="00F84EF4">
              <w:rPr>
                <w:rFonts w:cs="Arial"/>
                <w:szCs w:val="22"/>
              </w:rPr>
              <w:t>Child passport</w:t>
            </w:r>
            <w:r>
              <w:rPr>
                <w:rFonts w:cs="Arial"/>
                <w:szCs w:val="22"/>
              </w:rPr>
              <w:t xml:space="preserve"> $130</w:t>
            </w:r>
          </w:p>
        </w:tc>
        <w:tc>
          <w:tcPr>
            <w:tcW w:w="1661" w:type="pct"/>
            <w:vMerge/>
          </w:tcPr>
          <w:p w14:paraId="234026C7" w14:textId="77777777" w:rsidR="008A31B4" w:rsidRDefault="008A31B4" w:rsidP="00563A12">
            <w:pPr>
              <w:pStyle w:val="Bullet-list"/>
              <w:numPr>
                <w:ilvl w:val="0"/>
                <w:numId w:val="0"/>
              </w:numPr>
            </w:pPr>
          </w:p>
        </w:tc>
      </w:tr>
      <w:tr w:rsidR="008A31B4" w14:paraId="05F8B0F9" w14:textId="77777777" w:rsidTr="008A31B4">
        <w:tc>
          <w:tcPr>
            <w:tcW w:w="1675" w:type="pct"/>
          </w:tcPr>
          <w:p w14:paraId="0F6FE903" w14:textId="1DBD6E49" w:rsidR="008A31B4" w:rsidRDefault="00CB0658" w:rsidP="00563A12">
            <w:pPr>
              <w:pStyle w:val="Bullet-list"/>
              <w:numPr>
                <w:ilvl w:val="0"/>
                <w:numId w:val="0"/>
              </w:numPr>
            </w:pPr>
            <w:r>
              <w:t xml:space="preserve">Approx. </w:t>
            </w:r>
            <w:r w:rsidR="008A31B4">
              <w:t>3.97% in 2025/26</w:t>
            </w:r>
          </w:p>
        </w:tc>
        <w:tc>
          <w:tcPr>
            <w:tcW w:w="1664" w:type="pct"/>
          </w:tcPr>
          <w:p w14:paraId="40ADB1E5" w14:textId="1B4444E3" w:rsidR="008A31B4" w:rsidRPr="00F84EF4" w:rsidRDefault="008A31B4" w:rsidP="00F84EF4">
            <w:pPr>
              <w:spacing w:before="0" w:after="0"/>
              <w:jc w:val="both"/>
              <w:rPr>
                <w:rFonts w:cs="Arial"/>
                <w:szCs w:val="22"/>
              </w:rPr>
            </w:pPr>
            <w:r w:rsidRPr="00F84EF4">
              <w:rPr>
                <w:rFonts w:cs="Arial"/>
                <w:szCs w:val="22"/>
              </w:rPr>
              <w:t>Adult passport</w:t>
            </w:r>
            <w:r>
              <w:rPr>
                <w:rFonts w:cs="Arial"/>
                <w:szCs w:val="22"/>
              </w:rPr>
              <w:t xml:space="preserve"> $232</w:t>
            </w:r>
          </w:p>
          <w:p w14:paraId="534AE411" w14:textId="6ADBBB3D" w:rsidR="008A31B4" w:rsidRPr="003C5B64" w:rsidRDefault="008A31B4" w:rsidP="00F84EF4">
            <w:pPr>
              <w:spacing w:after="120"/>
              <w:jc w:val="both"/>
              <w:rPr>
                <w:rFonts w:cs="Arial"/>
                <w:b/>
                <w:szCs w:val="22"/>
              </w:rPr>
            </w:pPr>
            <w:r w:rsidRPr="00F84EF4">
              <w:rPr>
                <w:rFonts w:cs="Arial"/>
                <w:szCs w:val="22"/>
              </w:rPr>
              <w:t>Child passport</w:t>
            </w:r>
            <w:r>
              <w:rPr>
                <w:rFonts w:cs="Arial"/>
                <w:szCs w:val="22"/>
              </w:rPr>
              <w:t xml:space="preserve"> $135</w:t>
            </w:r>
          </w:p>
        </w:tc>
        <w:tc>
          <w:tcPr>
            <w:tcW w:w="1661" w:type="pct"/>
            <w:vMerge/>
          </w:tcPr>
          <w:p w14:paraId="7B1C410E" w14:textId="77777777" w:rsidR="008A31B4" w:rsidRDefault="008A31B4" w:rsidP="00563A12">
            <w:pPr>
              <w:pStyle w:val="Bullet-list"/>
              <w:numPr>
                <w:ilvl w:val="0"/>
                <w:numId w:val="0"/>
              </w:numPr>
            </w:pPr>
          </w:p>
        </w:tc>
      </w:tr>
    </w:tbl>
    <w:p w14:paraId="14A85730" w14:textId="5CE68A0E" w:rsidR="00B326BF" w:rsidRDefault="00F86A62" w:rsidP="009544E0">
      <w:pPr>
        <w:pStyle w:val="Bullet-list"/>
        <w:keepLines/>
        <w:numPr>
          <w:ilvl w:val="0"/>
          <w:numId w:val="0"/>
        </w:numPr>
        <w:jc w:val="both"/>
      </w:pPr>
      <w:r>
        <w:br/>
      </w:r>
      <w:r w:rsidR="00B326BF" w:rsidRPr="00B326BF">
        <w:t xml:space="preserve">The fee increases being sought are a </w:t>
      </w:r>
      <w:r w:rsidR="00BF5AAE">
        <w:t xml:space="preserve">direct </w:t>
      </w:r>
      <w:r w:rsidR="00B326BF" w:rsidRPr="00B326BF">
        <w:t xml:space="preserve">consequence </w:t>
      </w:r>
      <w:proofErr w:type="gramStart"/>
      <w:r w:rsidR="00B326BF" w:rsidRPr="00B326BF">
        <w:t>of</w:t>
      </w:r>
      <w:r w:rsidR="003C4916">
        <w:t>:</w:t>
      </w:r>
      <w:proofErr w:type="gramEnd"/>
      <w:r w:rsidR="00B326BF" w:rsidRPr="00B326BF">
        <w:t xml:space="preserve"> </w:t>
      </w:r>
      <w:r w:rsidR="00B326BF">
        <w:t>prior decisions to change the period of validity of adult passports</w:t>
      </w:r>
      <w:r w:rsidR="003C4916">
        <w:t xml:space="preserve">; the delinking of fees from production costs; </w:t>
      </w:r>
      <w:r w:rsidR="001C6634">
        <w:t>and COVID-19 travel restrictions</w:t>
      </w:r>
      <w:r w:rsidR="00535D17">
        <w:t xml:space="preserve"> which have reduced demand for passports and travel documents</w:t>
      </w:r>
      <w:r w:rsidR="001C6634">
        <w:t xml:space="preserve">. </w:t>
      </w:r>
      <w:r w:rsidR="00BF5AAE">
        <w:t xml:space="preserve">  </w:t>
      </w:r>
      <w:r w:rsidR="00B326BF" w:rsidRPr="00B326BF">
        <w:t xml:space="preserve"> </w:t>
      </w:r>
    </w:p>
    <w:p w14:paraId="3F93896F" w14:textId="4E8246D4" w:rsidR="00535D17" w:rsidRPr="001C6634" w:rsidRDefault="00535D17" w:rsidP="00535D17">
      <w:pPr>
        <w:pStyle w:val="Bullet-list"/>
        <w:keepLines/>
        <w:numPr>
          <w:ilvl w:val="0"/>
          <w:numId w:val="0"/>
        </w:numPr>
        <w:rPr>
          <w:b/>
          <w:color w:val="5B9BD5" w:themeColor="accent5"/>
        </w:rPr>
      </w:pPr>
      <w:r w:rsidRPr="001C6634">
        <w:rPr>
          <w:b/>
          <w:color w:val="5B9BD5" w:themeColor="accent5"/>
        </w:rPr>
        <w:t>F</w:t>
      </w:r>
      <w:r>
        <w:rPr>
          <w:b/>
          <w:color w:val="5B9BD5" w:themeColor="accent5"/>
        </w:rPr>
        <w:t>ee increases apply to all issuance costs</w:t>
      </w:r>
    </w:p>
    <w:p w14:paraId="059F01A4" w14:textId="2C5D5F45" w:rsidR="00601153" w:rsidRDefault="00535D17" w:rsidP="00535D17">
      <w:pPr>
        <w:pStyle w:val="Bullet-list"/>
        <w:numPr>
          <w:ilvl w:val="0"/>
          <w:numId w:val="0"/>
        </w:numPr>
        <w:jc w:val="both"/>
      </w:pPr>
      <w:r>
        <w:t xml:space="preserve">The </w:t>
      </w:r>
      <w:r w:rsidR="00601153">
        <w:t>percentage i</w:t>
      </w:r>
      <w:r>
        <w:t xml:space="preserve">ncreases </w:t>
      </w:r>
      <w:r w:rsidR="00601153">
        <w:t xml:space="preserve">of passport and travel document fees </w:t>
      </w:r>
      <w:r>
        <w:t xml:space="preserve">will </w:t>
      </w:r>
      <w:r w:rsidR="00601153">
        <w:t xml:space="preserve">be </w:t>
      </w:r>
      <w:r>
        <w:t>appl</w:t>
      </w:r>
      <w:r w:rsidR="00601153">
        <w:t xml:space="preserve">ied consistently across the different application types. DIA uses similar processes and resources to produce the range of passports and travel documents. Increasing all fees will ensure that the passport service </w:t>
      </w:r>
      <w:proofErr w:type="gramStart"/>
      <w:r w:rsidR="00601153">
        <w:t>as a whole has</w:t>
      </w:r>
      <w:proofErr w:type="gramEnd"/>
      <w:r w:rsidR="00601153">
        <w:t xml:space="preserve"> sufficient funding to operate on a full cost-recovery basis. Increasing costs consistently will also ensure that fees continue to reflect the different costs and the processing time incentives associated with the different passport and travel document services.  </w:t>
      </w:r>
    </w:p>
    <w:p w14:paraId="19258DB4" w14:textId="5C1148C5" w:rsidR="00AB1F25" w:rsidRPr="001C6634" w:rsidRDefault="00535D17" w:rsidP="00601153">
      <w:pPr>
        <w:pStyle w:val="Bullet-list"/>
        <w:numPr>
          <w:ilvl w:val="0"/>
          <w:numId w:val="0"/>
        </w:numPr>
        <w:jc w:val="both"/>
        <w:rPr>
          <w:b/>
          <w:color w:val="5B9BD5" w:themeColor="accent5"/>
        </w:rPr>
      </w:pPr>
      <w:r>
        <w:t xml:space="preserve"> </w:t>
      </w:r>
      <w:r w:rsidR="00AB1F25" w:rsidRPr="001C6634">
        <w:rPr>
          <w:b/>
          <w:color w:val="5B9BD5" w:themeColor="accent5"/>
        </w:rPr>
        <w:t>Forecast demand by financial year 2021 - 2037</w:t>
      </w:r>
    </w:p>
    <w:p w14:paraId="50B9EDE2" w14:textId="07597757" w:rsidR="000C183B" w:rsidRDefault="003C1213" w:rsidP="009544E0">
      <w:pPr>
        <w:pStyle w:val="Bullet-list"/>
        <w:numPr>
          <w:ilvl w:val="0"/>
          <w:numId w:val="0"/>
        </w:numPr>
        <w:jc w:val="both"/>
      </w:pPr>
      <w:r>
        <w:t>Fig</w:t>
      </w:r>
      <w:r w:rsidR="00F86A62">
        <w:t>ure</w:t>
      </w:r>
      <w:r>
        <w:t xml:space="preserve"> 1 </w:t>
      </w:r>
      <w:r w:rsidR="000C183B" w:rsidRPr="000C183B">
        <w:t xml:space="preserve">below sets out the forecast of issuance </w:t>
      </w:r>
      <w:r w:rsidR="000C183B">
        <w:t xml:space="preserve">for the 2021-37 period prepared </w:t>
      </w:r>
      <w:r w:rsidR="000C183B" w:rsidRPr="000C183B">
        <w:t>prior to December 2019, the onset of COVID-19</w:t>
      </w:r>
      <w:r w:rsidR="00C462AF">
        <w:t>,</w:t>
      </w:r>
      <w:r w:rsidR="000C183B" w:rsidRPr="000C183B">
        <w:t xml:space="preserve"> and the revised forecast </w:t>
      </w:r>
      <w:proofErr w:type="gramStart"/>
      <w:r w:rsidR="000C183B" w:rsidRPr="000C183B">
        <w:t>taking into account</w:t>
      </w:r>
      <w:proofErr w:type="gramEnd"/>
      <w:r w:rsidR="000C183B" w:rsidRPr="000C183B">
        <w:t xml:space="preserve"> the underpinning assumptions </w:t>
      </w:r>
      <w:r w:rsidR="000C183B">
        <w:t xml:space="preserve">(around resumption of travel and the return of deferred demand) </w:t>
      </w:r>
      <w:r w:rsidR="000C183B" w:rsidRPr="000C183B">
        <w:t xml:space="preserve">set out above. </w:t>
      </w:r>
      <w:r w:rsidR="000C183B">
        <w:t xml:space="preserve">Both forecasts </w:t>
      </w:r>
      <w:proofErr w:type="gramStart"/>
      <w:r w:rsidR="000C183B">
        <w:t>take into account</w:t>
      </w:r>
      <w:proofErr w:type="gramEnd"/>
      <w:r w:rsidR="000C183B">
        <w:t xml:space="preserve"> the five-year cyclical pattern of reduced demand arising from the change in the period of validity of an adult passport</w:t>
      </w:r>
      <w:r w:rsidR="00144801">
        <w:t xml:space="preserve"> </w:t>
      </w:r>
    </w:p>
    <w:p w14:paraId="0E44025A" w14:textId="3122B04B" w:rsidR="00E7310D" w:rsidRDefault="00E7310D" w:rsidP="009544E0">
      <w:pPr>
        <w:pStyle w:val="Bullet-list"/>
        <w:numPr>
          <w:ilvl w:val="0"/>
          <w:numId w:val="0"/>
        </w:numPr>
        <w:jc w:val="both"/>
      </w:pPr>
      <w:r>
        <w:t xml:space="preserve">The reason why the </w:t>
      </w:r>
      <w:r w:rsidR="00B16D8B">
        <w:t xml:space="preserve">Figure 1 </w:t>
      </w:r>
      <w:r>
        <w:t xml:space="preserve">graph shows that the Department’s revised forecasts shows volumes exceeding the </w:t>
      </w:r>
      <w:proofErr w:type="gramStart"/>
      <w:r>
        <w:t>Pre-COVID</w:t>
      </w:r>
      <w:proofErr w:type="gramEnd"/>
      <w:r>
        <w:t xml:space="preserve"> forecast is that we are forecasting that the people who deferred applying will now begin to apply because of the changes to border controls and mandatory quarantine requirements. The Department estimates that fifty percent of the deferred demand for passports will return over the 2022-25 period. </w:t>
      </w:r>
    </w:p>
    <w:p w14:paraId="50D6B1DF" w14:textId="49DB7420" w:rsidR="00DC785C" w:rsidRDefault="00DC785C" w:rsidP="009544E0">
      <w:pPr>
        <w:pStyle w:val="Bullet-list"/>
        <w:numPr>
          <w:ilvl w:val="0"/>
          <w:numId w:val="0"/>
        </w:numPr>
        <w:jc w:val="both"/>
      </w:pPr>
      <w:r>
        <w:t>Fig</w:t>
      </w:r>
      <w:r w:rsidR="00F86A62">
        <w:t>ure</w:t>
      </w:r>
      <w:r>
        <w:t xml:space="preserve"> 2 sets out actual passport issuance </w:t>
      </w:r>
      <w:proofErr w:type="gramStart"/>
      <w:r>
        <w:t>on a monthly basis</w:t>
      </w:r>
      <w:proofErr w:type="gramEnd"/>
      <w:r>
        <w:t xml:space="preserve"> for the period July 2018 to December 2021</w:t>
      </w:r>
      <w:r w:rsidR="00B02013">
        <w:t xml:space="preserve"> and illustrates the reduction in demand for passports and travel documents since the onset of COVID-19</w:t>
      </w:r>
      <w:r>
        <w:t>.</w:t>
      </w:r>
      <w:r w:rsidR="00B02013">
        <w:t xml:space="preserve"> </w:t>
      </w:r>
    </w:p>
    <w:p w14:paraId="21484B83" w14:textId="4F3E2C6C" w:rsidR="003C1213" w:rsidRDefault="003C1213" w:rsidP="003C1213">
      <w:pPr>
        <w:pStyle w:val="Caption"/>
        <w:keepNext/>
      </w:pPr>
      <w:r>
        <w:lastRenderedPageBreak/>
        <w:t xml:space="preserve">Figure </w:t>
      </w:r>
      <w:r>
        <w:fldChar w:fldCharType="begin"/>
      </w:r>
      <w:r>
        <w:instrText xml:space="preserve"> SEQ Figure \* ARABIC </w:instrText>
      </w:r>
      <w:r>
        <w:fldChar w:fldCharType="separate"/>
      </w:r>
      <w:r w:rsidR="003B6033">
        <w:rPr>
          <w:noProof/>
        </w:rPr>
        <w:t>1</w:t>
      </w:r>
      <w:r>
        <w:fldChar w:fldCharType="end"/>
      </w:r>
      <w:r>
        <w:t xml:space="preserve"> Forecast Passport </w:t>
      </w:r>
      <w:r w:rsidR="00B02013">
        <w:t xml:space="preserve">and Travel Document </w:t>
      </w:r>
      <w:r>
        <w:t>Issuance</w:t>
      </w:r>
    </w:p>
    <w:p w14:paraId="687553C0" w14:textId="77777777" w:rsidR="003C1213" w:rsidRDefault="0006754B">
      <w:pPr>
        <w:spacing w:after="0" w:line="240" w:lineRule="auto"/>
        <w:rPr>
          <w:b/>
        </w:rPr>
      </w:pPr>
      <w:r>
        <w:rPr>
          <w:b/>
          <w:noProof/>
        </w:rPr>
        <w:drawing>
          <wp:inline distT="0" distB="0" distL="0" distR="0" wp14:anchorId="53F52C8A" wp14:editId="6F970FFE">
            <wp:extent cx="5486400" cy="2927444"/>
            <wp:effectExtent l="0" t="0" r="0" b="635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6021A98" w14:textId="6AB49C1D" w:rsidR="003C1213" w:rsidRDefault="003C1213">
      <w:pPr>
        <w:spacing w:after="0" w:line="240" w:lineRule="auto"/>
        <w:rPr>
          <w:b/>
        </w:rPr>
      </w:pPr>
    </w:p>
    <w:p w14:paraId="048102A2" w14:textId="77777777" w:rsidR="000A1125" w:rsidRDefault="000A1125">
      <w:pPr>
        <w:spacing w:after="0" w:line="240" w:lineRule="auto"/>
        <w:rPr>
          <w:b/>
        </w:rPr>
      </w:pPr>
    </w:p>
    <w:p w14:paraId="3EB0163D" w14:textId="0BE9DBF1" w:rsidR="003C1213" w:rsidRDefault="00DC785C" w:rsidP="00DC785C">
      <w:pPr>
        <w:pStyle w:val="Caption"/>
        <w:rPr>
          <w:b w:val="0"/>
        </w:rPr>
      </w:pPr>
      <w:r>
        <w:t xml:space="preserve">Figure </w:t>
      </w:r>
      <w:r>
        <w:fldChar w:fldCharType="begin"/>
      </w:r>
      <w:r>
        <w:instrText xml:space="preserve"> SEQ Figure \* ARABIC </w:instrText>
      </w:r>
      <w:r>
        <w:fldChar w:fldCharType="separate"/>
      </w:r>
      <w:r w:rsidR="003B6033">
        <w:rPr>
          <w:noProof/>
        </w:rPr>
        <w:t>2</w:t>
      </w:r>
      <w:r>
        <w:fldChar w:fldCharType="end"/>
      </w:r>
      <w:r>
        <w:t xml:space="preserve"> Monthly Passport Issuance</w:t>
      </w:r>
    </w:p>
    <w:p w14:paraId="57576804" w14:textId="24CE1761" w:rsidR="003C1213" w:rsidRDefault="003C1213">
      <w:pPr>
        <w:spacing w:after="0" w:line="240" w:lineRule="auto"/>
        <w:rPr>
          <w:b/>
        </w:rPr>
      </w:pPr>
      <w:r>
        <w:rPr>
          <w:b/>
          <w:noProof/>
        </w:rPr>
        <w:drawing>
          <wp:inline distT="0" distB="0" distL="0" distR="0" wp14:anchorId="1163BD2E" wp14:editId="1BCACEB9">
            <wp:extent cx="5486400" cy="3200400"/>
            <wp:effectExtent l="0" t="0" r="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2FDEE2B" w14:textId="36BD6275" w:rsidR="0006754B" w:rsidRDefault="0006754B">
      <w:pPr>
        <w:spacing w:after="0" w:line="240" w:lineRule="auto"/>
        <w:rPr>
          <w:b/>
          <w:lang w:val="en-AU" w:eastAsia="en-US"/>
        </w:rPr>
      </w:pPr>
    </w:p>
    <w:p w14:paraId="641AD2CD" w14:textId="54FE187A" w:rsidR="004A10E2" w:rsidRPr="001C6634" w:rsidRDefault="00AE281C" w:rsidP="004A10E2">
      <w:pPr>
        <w:pStyle w:val="Bullet-list"/>
        <w:numPr>
          <w:ilvl w:val="0"/>
          <w:numId w:val="0"/>
        </w:numPr>
        <w:ind w:left="360" w:hanging="360"/>
        <w:rPr>
          <w:b/>
          <w:color w:val="5B9BD5" w:themeColor="accent5"/>
        </w:rPr>
      </w:pPr>
      <w:r w:rsidRPr="001C6634">
        <w:rPr>
          <w:b/>
          <w:color w:val="5B9BD5" w:themeColor="accent5"/>
        </w:rPr>
        <w:t>Costing the activity</w:t>
      </w:r>
    </w:p>
    <w:p w14:paraId="08695B71" w14:textId="75BE6B06" w:rsidR="004A10E2" w:rsidRDefault="00AE281C" w:rsidP="00AE281C">
      <w:pPr>
        <w:pStyle w:val="Bullet-list"/>
        <w:numPr>
          <w:ilvl w:val="0"/>
          <w:numId w:val="0"/>
        </w:numPr>
        <w:jc w:val="both"/>
      </w:pPr>
      <w:r w:rsidRPr="00AE281C">
        <w:t xml:space="preserve">The </w:t>
      </w:r>
      <w:r>
        <w:t xml:space="preserve">proposed fee increases are needed to fully recover the production costs of passports and travel documents over the fifteen-year period. The costs to be recovered are: </w:t>
      </w:r>
    </w:p>
    <w:p w14:paraId="251CC6CF" w14:textId="0410A308" w:rsidR="00AE281C" w:rsidRDefault="00E527FA" w:rsidP="00F84EF4">
      <w:pPr>
        <w:pStyle w:val="Bullet-list"/>
        <w:numPr>
          <w:ilvl w:val="0"/>
          <w:numId w:val="12"/>
        </w:numPr>
        <w:jc w:val="both"/>
      </w:pPr>
      <w:r>
        <w:t>d</w:t>
      </w:r>
      <w:r w:rsidR="00AE281C">
        <w:t>irect costs</w:t>
      </w:r>
      <w:r>
        <w:t>, p</w:t>
      </w:r>
      <w:r w:rsidR="00AE281C">
        <w:t xml:space="preserve">assport books, staff and courier </w:t>
      </w:r>
      <w:proofErr w:type="gramStart"/>
      <w:r w:rsidR="00AE281C">
        <w:t>costs</w:t>
      </w:r>
      <w:r>
        <w:t>;</w:t>
      </w:r>
      <w:proofErr w:type="gramEnd"/>
    </w:p>
    <w:p w14:paraId="49389308" w14:textId="2295C925" w:rsidR="00AE281C" w:rsidRDefault="00E527FA" w:rsidP="00F84EF4">
      <w:pPr>
        <w:pStyle w:val="Bullet-list"/>
        <w:numPr>
          <w:ilvl w:val="0"/>
          <w:numId w:val="12"/>
        </w:numPr>
        <w:jc w:val="both"/>
      </w:pPr>
      <w:r>
        <w:t>i</w:t>
      </w:r>
      <w:r w:rsidR="00AE281C">
        <w:t>ndirect costs</w:t>
      </w:r>
      <w:r>
        <w:t>, t</w:t>
      </w:r>
      <w:r w:rsidR="00C17AAF">
        <w:t>echnology costs</w:t>
      </w:r>
      <w:r w:rsidR="0006754B">
        <w:t xml:space="preserve"> and all other passport book production costs that are not directly linked to volumes</w:t>
      </w:r>
      <w:r>
        <w:t>; and</w:t>
      </w:r>
    </w:p>
    <w:p w14:paraId="05B0D423" w14:textId="675253F3" w:rsidR="0006754B" w:rsidRPr="00AE281C" w:rsidRDefault="00E527FA" w:rsidP="00F84EF4">
      <w:pPr>
        <w:pStyle w:val="Bullet-list"/>
        <w:numPr>
          <w:ilvl w:val="0"/>
          <w:numId w:val="12"/>
        </w:numPr>
        <w:jc w:val="both"/>
      </w:pPr>
      <w:r>
        <w:t>b</w:t>
      </w:r>
      <w:r w:rsidR="0006754B">
        <w:t>usiness support costs</w:t>
      </w:r>
      <w:r>
        <w:t>, such as a</w:t>
      </w:r>
      <w:r w:rsidR="0006754B">
        <w:t>dministration costs, including those related to shared services (</w:t>
      </w:r>
      <w:proofErr w:type="gramStart"/>
      <w:r w:rsidR="0006754B">
        <w:t>e.g.</w:t>
      </w:r>
      <w:proofErr w:type="gramEnd"/>
      <w:r w:rsidR="0006754B">
        <w:t xml:space="preserve"> finance, human resources, legal etc).</w:t>
      </w:r>
    </w:p>
    <w:p w14:paraId="22CCDA3C" w14:textId="54D358C7" w:rsidR="004A10E2" w:rsidRPr="0006754B" w:rsidRDefault="0006754B" w:rsidP="004A10E2">
      <w:pPr>
        <w:pStyle w:val="Bullet-list"/>
        <w:numPr>
          <w:ilvl w:val="0"/>
          <w:numId w:val="0"/>
        </w:numPr>
        <w:ind w:left="360" w:hanging="360"/>
      </w:pPr>
      <w:r w:rsidRPr="0006754B">
        <w:lastRenderedPageBreak/>
        <w:t xml:space="preserve">The breakdown </w:t>
      </w:r>
      <w:r>
        <w:t xml:space="preserve">of costs of the passport service is provided in Figure </w:t>
      </w:r>
      <w:r w:rsidR="000C3B07">
        <w:t>3</w:t>
      </w:r>
      <w:r>
        <w:t xml:space="preserve">.  </w:t>
      </w:r>
    </w:p>
    <w:p w14:paraId="1D227B5C" w14:textId="13B3B76D" w:rsidR="0006754B" w:rsidRDefault="0006754B" w:rsidP="0006754B">
      <w:pPr>
        <w:pStyle w:val="Caption"/>
      </w:pPr>
      <w:r>
        <w:t xml:space="preserve">Figure </w:t>
      </w:r>
      <w:r w:rsidR="003C1213">
        <w:fldChar w:fldCharType="begin"/>
      </w:r>
      <w:r w:rsidR="003C1213">
        <w:instrText xml:space="preserve"> SEQ Figure \* ARABIC </w:instrText>
      </w:r>
      <w:r w:rsidR="003C1213">
        <w:fldChar w:fldCharType="separate"/>
      </w:r>
      <w:r w:rsidR="003B6033">
        <w:rPr>
          <w:noProof/>
        </w:rPr>
        <w:t>3</w:t>
      </w:r>
      <w:r w:rsidR="003C1213">
        <w:fldChar w:fldCharType="end"/>
      </w:r>
      <w:r>
        <w:t xml:space="preserve"> Breakdown of the costs of the passport service</w:t>
      </w:r>
    </w:p>
    <w:p w14:paraId="163C702A" w14:textId="6634FBFC" w:rsidR="00C26228" w:rsidRPr="00C26228" w:rsidRDefault="00C26228" w:rsidP="00C26228">
      <w:r>
        <w:rPr>
          <w:noProof/>
        </w:rPr>
        <w:drawing>
          <wp:inline distT="0" distB="0" distL="0" distR="0" wp14:anchorId="19B3E544" wp14:editId="5F3EAE0C">
            <wp:extent cx="5486400" cy="2695432"/>
            <wp:effectExtent l="0" t="0" r="0" b="1016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F54A120" w14:textId="186972F9" w:rsidR="004A10E2" w:rsidRDefault="004A10E2" w:rsidP="0084725D">
      <w:pPr>
        <w:pStyle w:val="Bullet-list"/>
        <w:numPr>
          <w:ilvl w:val="0"/>
          <w:numId w:val="0"/>
        </w:numPr>
        <w:rPr>
          <w:b/>
          <w:noProof/>
        </w:rPr>
      </w:pPr>
      <w:r>
        <w:rPr>
          <w:b/>
          <w:noProof/>
        </w:rPr>
        <w:drawing>
          <wp:inline distT="0" distB="0" distL="0" distR="0" wp14:anchorId="206C6C83" wp14:editId="4743C406">
            <wp:extent cx="5486400" cy="2231409"/>
            <wp:effectExtent l="0" t="0" r="0" b="1651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8487C70" w14:textId="6E3164EE" w:rsidR="004A10E2" w:rsidRPr="001C6634" w:rsidRDefault="008A31B4" w:rsidP="0084725D">
      <w:pPr>
        <w:pStyle w:val="Bullet-list"/>
        <w:numPr>
          <w:ilvl w:val="0"/>
          <w:numId w:val="0"/>
        </w:numPr>
        <w:rPr>
          <w:b/>
          <w:color w:val="5B9BD5" w:themeColor="accent5"/>
        </w:rPr>
      </w:pPr>
      <w:r w:rsidRPr="001C6634">
        <w:rPr>
          <w:b/>
          <w:color w:val="5B9BD5" w:themeColor="accent5"/>
        </w:rPr>
        <w:t>Forecast Revenue and Expenses</w:t>
      </w:r>
    </w:p>
    <w:p w14:paraId="77F9F3B8" w14:textId="572FFBEF" w:rsidR="00B73ACE" w:rsidRPr="00B73ACE" w:rsidRDefault="00B73ACE" w:rsidP="00B73ACE">
      <w:pPr>
        <w:pStyle w:val="Bullet-list"/>
        <w:numPr>
          <w:ilvl w:val="0"/>
          <w:numId w:val="0"/>
        </w:numPr>
        <w:jc w:val="both"/>
      </w:pPr>
      <w:r>
        <w:t xml:space="preserve">Table </w:t>
      </w:r>
      <w:r w:rsidR="00D455F0">
        <w:t>5</w:t>
      </w:r>
      <w:r>
        <w:t xml:space="preserve"> sets out the opening balance of the PMA at the start of the financial year, the forecasted revenue for the financial year, the forecast </w:t>
      </w:r>
      <w:proofErr w:type="gramStart"/>
      <w:r>
        <w:t>expenses</w:t>
      </w:r>
      <w:proofErr w:type="gramEnd"/>
      <w:r>
        <w:t xml:space="preserve"> and the forecasted balance of the PMA at the end of the financial year. </w:t>
      </w:r>
      <w:r w:rsidR="00020C42">
        <w:t xml:space="preserve">Forecasts are based on current fee levels with no fee increases. </w:t>
      </w:r>
      <w:r>
        <w:t xml:space="preserve">Details for the </w:t>
      </w:r>
      <w:r w:rsidR="00D455F0">
        <w:t>2019/20</w:t>
      </w:r>
      <w:r w:rsidR="00C06B43">
        <w:t xml:space="preserve"> </w:t>
      </w:r>
      <w:r>
        <w:t>and 2020/21 financial years are actual figures to provide a basis for comparison</w:t>
      </w:r>
      <w:r w:rsidR="000C3B07">
        <w:t>.</w:t>
      </w:r>
    </w:p>
    <w:p w14:paraId="67E59113" w14:textId="5A788706" w:rsidR="00B73ACE" w:rsidRPr="00FC4A6E" w:rsidRDefault="00B73ACE" w:rsidP="00B73ACE">
      <w:pPr>
        <w:pStyle w:val="Caption"/>
        <w:keepNext/>
      </w:pPr>
      <w:r w:rsidRPr="00FC4A6E">
        <w:t xml:space="preserve">Table </w:t>
      </w:r>
      <w:r w:rsidR="000C3B07">
        <w:t>5</w:t>
      </w:r>
      <w:r w:rsidR="000C3B07" w:rsidRPr="00FC4A6E">
        <w:t xml:space="preserve"> </w:t>
      </w:r>
      <w:r w:rsidRPr="00FC4A6E">
        <w:t>Forecast PMA Revenue and Expenses</w:t>
      </w:r>
      <w:r w:rsidR="00D455F0" w:rsidRPr="00FC4A6E">
        <w:t xml:space="preserve"> 2021-25</w:t>
      </w:r>
      <w:r w:rsidR="000C3B07">
        <w:t xml:space="preserve"> ($’000s)</w:t>
      </w:r>
    </w:p>
    <w:tbl>
      <w:tblPr>
        <w:tblStyle w:val="DIATable"/>
        <w:tblW w:w="0" w:type="auto"/>
        <w:tblLook w:val="04A0" w:firstRow="1" w:lastRow="0" w:firstColumn="1" w:lastColumn="0" w:noHBand="0" w:noVBand="1"/>
      </w:tblPr>
      <w:tblGrid>
        <w:gridCol w:w="1470"/>
        <w:gridCol w:w="1329"/>
        <w:gridCol w:w="1642"/>
        <w:gridCol w:w="1656"/>
        <w:gridCol w:w="1435"/>
        <w:gridCol w:w="1401"/>
      </w:tblGrid>
      <w:tr w:rsidR="0019357F" w14:paraId="02552703" w14:textId="77777777" w:rsidTr="0019357F">
        <w:trPr>
          <w:cnfStyle w:val="100000000000" w:firstRow="1" w:lastRow="0" w:firstColumn="0" w:lastColumn="0" w:oddVBand="0" w:evenVBand="0" w:oddHBand="0" w:evenHBand="0" w:firstRowFirstColumn="0" w:firstRowLastColumn="0" w:lastRowFirstColumn="0" w:lastRowLastColumn="0"/>
        </w:trPr>
        <w:tc>
          <w:tcPr>
            <w:tcW w:w="1470" w:type="dxa"/>
            <w:tcBorders>
              <w:bottom w:val="single" w:sz="6" w:space="0" w:color="1F546B"/>
            </w:tcBorders>
          </w:tcPr>
          <w:p w14:paraId="6449BF64" w14:textId="055E7942" w:rsidR="0019357F" w:rsidRPr="0019357F" w:rsidRDefault="0019357F" w:rsidP="0084725D">
            <w:pPr>
              <w:pStyle w:val="Bullet-list"/>
              <w:numPr>
                <w:ilvl w:val="0"/>
                <w:numId w:val="0"/>
              </w:numPr>
              <w:rPr>
                <w:b w:val="0"/>
                <w:sz w:val="20"/>
                <w:szCs w:val="20"/>
              </w:rPr>
            </w:pPr>
            <w:r w:rsidRPr="0019357F">
              <w:rPr>
                <w:b w:val="0"/>
                <w:sz w:val="20"/>
                <w:szCs w:val="20"/>
              </w:rPr>
              <w:t>Financial Year</w:t>
            </w:r>
          </w:p>
        </w:tc>
        <w:tc>
          <w:tcPr>
            <w:tcW w:w="1329" w:type="dxa"/>
            <w:tcBorders>
              <w:bottom w:val="single" w:sz="6" w:space="0" w:color="1F546B"/>
            </w:tcBorders>
          </w:tcPr>
          <w:p w14:paraId="7A827AC9" w14:textId="256E3D73" w:rsidR="0019357F" w:rsidRPr="0019357F" w:rsidRDefault="0019357F" w:rsidP="0084725D">
            <w:pPr>
              <w:pStyle w:val="Bullet-list"/>
              <w:numPr>
                <w:ilvl w:val="0"/>
                <w:numId w:val="0"/>
              </w:numPr>
              <w:rPr>
                <w:b w:val="0"/>
                <w:sz w:val="20"/>
                <w:szCs w:val="20"/>
              </w:rPr>
            </w:pPr>
            <w:r w:rsidRPr="0019357F">
              <w:rPr>
                <w:b w:val="0"/>
                <w:sz w:val="20"/>
                <w:szCs w:val="20"/>
              </w:rPr>
              <w:t>Forecast PMA Opening Balance</w:t>
            </w:r>
          </w:p>
        </w:tc>
        <w:tc>
          <w:tcPr>
            <w:tcW w:w="1642" w:type="dxa"/>
            <w:tcBorders>
              <w:bottom w:val="single" w:sz="6" w:space="0" w:color="1F546B"/>
            </w:tcBorders>
          </w:tcPr>
          <w:p w14:paraId="7C4058C9" w14:textId="452E0F72" w:rsidR="0019357F" w:rsidRPr="0019357F" w:rsidRDefault="0019357F" w:rsidP="0084725D">
            <w:pPr>
              <w:pStyle w:val="Bullet-list"/>
              <w:numPr>
                <w:ilvl w:val="0"/>
                <w:numId w:val="0"/>
              </w:numPr>
              <w:rPr>
                <w:b w:val="0"/>
                <w:sz w:val="20"/>
                <w:szCs w:val="20"/>
              </w:rPr>
            </w:pPr>
            <w:r w:rsidRPr="0019357F">
              <w:rPr>
                <w:b w:val="0"/>
                <w:sz w:val="20"/>
                <w:szCs w:val="20"/>
              </w:rPr>
              <w:t>Forecast Revenue</w:t>
            </w:r>
          </w:p>
        </w:tc>
        <w:tc>
          <w:tcPr>
            <w:tcW w:w="1656" w:type="dxa"/>
            <w:tcBorders>
              <w:bottom w:val="single" w:sz="6" w:space="0" w:color="1F546B"/>
            </w:tcBorders>
          </w:tcPr>
          <w:p w14:paraId="4B9B01B8" w14:textId="629E4132" w:rsidR="0019357F" w:rsidRPr="0019357F" w:rsidRDefault="0019357F" w:rsidP="0084725D">
            <w:pPr>
              <w:pStyle w:val="Bullet-list"/>
              <w:numPr>
                <w:ilvl w:val="0"/>
                <w:numId w:val="0"/>
              </w:numPr>
              <w:rPr>
                <w:b w:val="0"/>
                <w:sz w:val="20"/>
                <w:szCs w:val="20"/>
              </w:rPr>
            </w:pPr>
            <w:r w:rsidRPr="0019357F">
              <w:rPr>
                <w:b w:val="0"/>
                <w:sz w:val="20"/>
                <w:szCs w:val="20"/>
              </w:rPr>
              <w:t>Forecast Expenses</w:t>
            </w:r>
          </w:p>
        </w:tc>
        <w:tc>
          <w:tcPr>
            <w:tcW w:w="1435" w:type="dxa"/>
            <w:tcBorders>
              <w:bottom w:val="single" w:sz="6" w:space="0" w:color="1F546B"/>
            </w:tcBorders>
          </w:tcPr>
          <w:p w14:paraId="6A156D01" w14:textId="1993A200" w:rsidR="0019357F" w:rsidRPr="0019357F" w:rsidRDefault="0019357F" w:rsidP="0084725D">
            <w:pPr>
              <w:pStyle w:val="Bullet-list"/>
              <w:numPr>
                <w:ilvl w:val="0"/>
                <w:numId w:val="0"/>
              </w:numPr>
              <w:rPr>
                <w:b w:val="0"/>
                <w:sz w:val="20"/>
                <w:szCs w:val="20"/>
              </w:rPr>
            </w:pPr>
            <w:r w:rsidRPr="0019357F">
              <w:rPr>
                <w:b w:val="0"/>
                <w:sz w:val="20"/>
                <w:szCs w:val="20"/>
              </w:rPr>
              <w:t>Net Surplus or Deficit for year</w:t>
            </w:r>
          </w:p>
        </w:tc>
        <w:tc>
          <w:tcPr>
            <w:tcW w:w="1401" w:type="dxa"/>
            <w:tcBorders>
              <w:bottom w:val="single" w:sz="6" w:space="0" w:color="1F546B"/>
            </w:tcBorders>
          </w:tcPr>
          <w:p w14:paraId="149DBC80" w14:textId="5CE0DCED" w:rsidR="0019357F" w:rsidRPr="0019357F" w:rsidRDefault="0019357F" w:rsidP="0084725D">
            <w:pPr>
              <w:pStyle w:val="Bullet-list"/>
              <w:numPr>
                <w:ilvl w:val="0"/>
                <w:numId w:val="0"/>
              </w:numPr>
              <w:rPr>
                <w:b w:val="0"/>
                <w:sz w:val="20"/>
                <w:szCs w:val="20"/>
              </w:rPr>
            </w:pPr>
            <w:r w:rsidRPr="0019357F">
              <w:rPr>
                <w:b w:val="0"/>
                <w:sz w:val="20"/>
                <w:szCs w:val="20"/>
              </w:rPr>
              <w:t xml:space="preserve">Forecast </w:t>
            </w:r>
            <w:r w:rsidR="00020C42" w:rsidRPr="0019357F">
              <w:rPr>
                <w:b w:val="0"/>
                <w:sz w:val="20"/>
                <w:szCs w:val="20"/>
              </w:rPr>
              <w:t>PMA Closing</w:t>
            </w:r>
            <w:r w:rsidRPr="0019357F">
              <w:rPr>
                <w:b w:val="0"/>
                <w:sz w:val="20"/>
                <w:szCs w:val="20"/>
              </w:rPr>
              <w:t xml:space="preserve"> Balance</w:t>
            </w:r>
          </w:p>
        </w:tc>
      </w:tr>
      <w:tr w:rsidR="0019357F" w14:paraId="1F6DE69B" w14:textId="77777777" w:rsidTr="0019357F">
        <w:tc>
          <w:tcPr>
            <w:tcW w:w="1470" w:type="dxa"/>
            <w:tcBorders>
              <w:top w:val="single" w:sz="6" w:space="0" w:color="1F546B"/>
              <w:bottom w:val="single" w:sz="6" w:space="0" w:color="1F546B"/>
            </w:tcBorders>
            <w:shd w:val="clear" w:color="auto" w:fill="B4C6E7" w:themeFill="accent1" w:themeFillTint="66"/>
          </w:tcPr>
          <w:p w14:paraId="00D666AA" w14:textId="5F489175" w:rsidR="0019357F" w:rsidRPr="0019357F" w:rsidRDefault="0019357F" w:rsidP="0084725D">
            <w:pPr>
              <w:pStyle w:val="Bullet-list"/>
              <w:numPr>
                <w:ilvl w:val="0"/>
                <w:numId w:val="0"/>
              </w:numPr>
              <w:rPr>
                <w:b/>
                <w:sz w:val="20"/>
                <w:szCs w:val="20"/>
              </w:rPr>
            </w:pPr>
            <w:r w:rsidRPr="0019357F">
              <w:rPr>
                <w:b/>
                <w:sz w:val="20"/>
                <w:szCs w:val="20"/>
              </w:rPr>
              <w:t>2019/20</w:t>
            </w:r>
          </w:p>
        </w:tc>
        <w:tc>
          <w:tcPr>
            <w:tcW w:w="1329" w:type="dxa"/>
            <w:tcBorders>
              <w:top w:val="single" w:sz="6" w:space="0" w:color="1F546B"/>
              <w:bottom w:val="single" w:sz="6" w:space="0" w:color="1F546B"/>
            </w:tcBorders>
            <w:shd w:val="clear" w:color="auto" w:fill="B4C6E7" w:themeFill="accent1" w:themeFillTint="66"/>
          </w:tcPr>
          <w:p w14:paraId="3C2D2FFF" w14:textId="3DAE80AB" w:rsidR="0019357F" w:rsidRPr="0019357F" w:rsidRDefault="002642AA" w:rsidP="0084725D">
            <w:pPr>
              <w:pStyle w:val="Bullet-list"/>
              <w:numPr>
                <w:ilvl w:val="0"/>
                <w:numId w:val="0"/>
              </w:numPr>
              <w:rPr>
                <w:b/>
                <w:sz w:val="20"/>
                <w:szCs w:val="20"/>
              </w:rPr>
            </w:pPr>
            <w:r>
              <w:rPr>
                <w:b/>
                <w:sz w:val="20"/>
                <w:szCs w:val="20"/>
              </w:rPr>
              <w:t>78,492</w:t>
            </w:r>
          </w:p>
        </w:tc>
        <w:tc>
          <w:tcPr>
            <w:tcW w:w="1642" w:type="dxa"/>
            <w:tcBorders>
              <w:top w:val="single" w:sz="6" w:space="0" w:color="1F546B"/>
              <w:bottom w:val="single" w:sz="6" w:space="0" w:color="1F546B"/>
            </w:tcBorders>
            <w:shd w:val="clear" w:color="auto" w:fill="B4C6E7" w:themeFill="accent1" w:themeFillTint="66"/>
          </w:tcPr>
          <w:p w14:paraId="2C9711DF" w14:textId="70D221F8" w:rsidR="0019357F" w:rsidRPr="0019357F" w:rsidRDefault="0019357F" w:rsidP="0084725D">
            <w:pPr>
              <w:pStyle w:val="Bullet-list"/>
              <w:numPr>
                <w:ilvl w:val="0"/>
                <w:numId w:val="0"/>
              </w:numPr>
              <w:rPr>
                <w:b/>
                <w:sz w:val="20"/>
                <w:szCs w:val="20"/>
              </w:rPr>
            </w:pPr>
            <w:r w:rsidRPr="0019357F">
              <w:rPr>
                <w:b/>
                <w:sz w:val="20"/>
                <w:szCs w:val="20"/>
              </w:rPr>
              <w:t>91,178</w:t>
            </w:r>
          </w:p>
        </w:tc>
        <w:tc>
          <w:tcPr>
            <w:tcW w:w="1656" w:type="dxa"/>
            <w:tcBorders>
              <w:top w:val="single" w:sz="6" w:space="0" w:color="1F546B"/>
              <w:bottom w:val="single" w:sz="6" w:space="0" w:color="1F546B"/>
            </w:tcBorders>
            <w:shd w:val="clear" w:color="auto" w:fill="B4C6E7" w:themeFill="accent1" w:themeFillTint="66"/>
          </w:tcPr>
          <w:p w14:paraId="3A955AD9" w14:textId="40B350B9" w:rsidR="0019357F" w:rsidRPr="0019357F" w:rsidRDefault="000C3B07" w:rsidP="0084725D">
            <w:pPr>
              <w:pStyle w:val="Bullet-list"/>
              <w:numPr>
                <w:ilvl w:val="0"/>
                <w:numId w:val="0"/>
              </w:numPr>
              <w:rPr>
                <w:b/>
                <w:color w:val="FF0000"/>
                <w:sz w:val="20"/>
                <w:szCs w:val="20"/>
              </w:rPr>
            </w:pPr>
            <w:r>
              <w:rPr>
                <w:b/>
                <w:color w:val="FF0000"/>
                <w:sz w:val="20"/>
                <w:szCs w:val="20"/>
              </w:rPr>
              <w:t>(</w:t>
            </w:r>
            <w:r w:rsidR="0019357F" w:rsidRPr="0019357F">
              <w:rPr>
                <w:b/>
                <w:color w:val="FF0000"/>
                <w:sz w:val="20"/>
                <w:szCs w:val="20"/>
              </w:rPr>
              <w:t>86,660</w:t>
            </w:r>
            <w:r>
              <w:rPr>
                <w:b/>
                <w:color w:val="FF0000"/>
                <w:sz w:val="20"/>
                <w:szCs w:val="20"/>
              </w:rPr>
              <w:t>)</w:t>
            </w:r>
          </w:p>
        </w:tc>
        <w:tc>
          <w:tcPr>
            <w:tcW w:w="1435" w:type="dxa"/>
            <w:tcBorders>
              <w:top w:val="single" w:sz="6" w:space="0" w:color="1F546B"/>
              <w:bottom w:val="single" w:sz="6" w:space="0" w:color="1F546B"/>
            </w:tcBorders>
            <w:shd w:val="clear" w:color="auto" w:fill="B4C6E7" w:themeFill="accent1" w:themeFillTint="66"/>
          </w:tcPr>
          <w:p w14:paraId="2E08E91C" w14:textId="5F749E24" w:rsidR="0019357F" w:rsidRPr="0019357F" w:rsidRDefault="0019357F" w:rsidP="0084725D">
            <w:pPr>
              <w:pStyle w:val="Bullet-list"/>
              <w:numPr>
                <w:ilvl w:val="0"/>
                <w:numId w:val="0"/>
              </w:numPr>
              <w:rPr>
                <w:b/>
                <w:sz w:val="20"/>
                <w:szCs w:val="20"/>
              </w:rPr>
            </w:pPr>
            <w:r>
              <w:rPr>
                <w:b/>
                <w:sz w:val="20"/>
                <w:szCs w:val="20"/>
              </w:rPr>
              <w:t>4,518</w:t>
            </w:r>
          </w:p>
        </w:tc>
        <w:tc>
          <w:tcPr>
            <w:tcW w:w="1401" w:type="dxa"/>
            <w:tcBorders>
              <w:top w:val="single" w:sz="6" w:space="0" w:color="1F546B"/>
              <w:bottom w:val="single" w:sz="6" w:space="0" w:color="1F546B"/>
            </w:tcBorders>
            <w:shd w:val="clear" w:color="auto" w:fill="B4C6E7" w:themeFill="accent1" w:themeFillTint="66"/>
          </w:tcPr>
          <w:p w14:paraId="0ECB1193" w14:textId="13153EBA" w:rsidR="0019357F" w:rsidRPr="0019357F" w:rsidRDefault="0019357F" w:rsidP="0084725D">
            <w:pPr>
              <w:pStyle w:val="Bullet-list"/>
              <w:numPr>
                <w:ilvl w:val="0"/>
                <w:numId w:val="0"/>
              </w:numPr>
              <w:rPr>
                <w:b/>
                <w:sz w:val="20"/>
                <w:szCs w:val="20"/>
              </w:rPr>
            </w:pPr>
            <w:r w:rsidRPr="0019357F">
              <w:rPr>
                <w:b/>
                <w:sz w:val="20"/>
                <w:szCs w:val="20"/>
              </w:rPr>
              <w:t>83,010</w:t>
            </w:r>
          </w:p>
        </w:tc>
      </w:tr>
      <w:tr w:rsidR="0019357F" w14:paraId="5D8DAB28" w14:textId="77777777" w:rsidTr="0019357F">
        <w:tc>
          <w:tcPr>
            <w:tcW w:w="1470" w:type="dxa"/>
            <w:tcBorders>
              <w:top w:val="single" w:sz="6" w:space="0" w:color="1F546B"/>
              <w:bottom w:val="single" w:sz="6" w:space="0" w:color="1F546B"/>
            </w:tcBorders>
            <w:shd w:val="clear" w:color="auto" w:fill="B4C6E7" w:themeFill="accent1" w:themeFillTint="66"/>
          </w:tcPr>
          <w:p w14:paraId="7C049E84" w14:textId="7FF1E07A" w:rsidR="0019357F" w:rsidRPr="0019357F" w:rsidRDefault="0019357F" w:rsidP="0084725D">
            <w:pPr>
              <w:pStyle w:val="Bullet-list"/>
              <w:numPr>
                <w:ilvl w:val="0"/>
                <w:numId w:val="0"/>
              </w:numPr>
              <w:rPr>
                <w:b/>
                <w:sz w:val="20"/>
                <w:szCs w:val="20"/>
              </w:rPr>
            </w:pPr>
            <w:r w:rsidRPr="0019357F">
              <w:rPr>
                <w:b/>
                <w:sz w:val="20"/>
                <w:szCs w:val="20"/>
              </w:rPr>
              <w:t>2020/21</w:t>
            </w:r>
          </w:p>
        </w:tc>
        <w:tc>
          <w:tcPr>
            <w:tcW w:w="1329" w:type="dxa"/>
            <w:tcBorders>
              <w:top w:val="single" w:sz="6" w:space="0" w:color="1F546B"/>
              <w:bottom w:val="single" w:sz="6" w:space="0" w:color="1F546B"/>
            </w:tcBorders>
            <w:shd w:val="clear" w:color="auto" w:fill="B4C6E7" w:themeFill="accent1" w:themeFillTint="66"/>
          </w:tcPr>
          <w:p w14:paraId="584229A9" w14:textId="6D47F98D" w:rsidR="0019357F" w:rsidRPr="0019357F" w:rsidRDefault="002642AA" w:rsidP="0084725D">
            <w:pPr>
              <w:pStyle w:val="Bullet-list"/>
              <w:numPr>
                <w:ilvl w:val="0"/>
                <w:numId w:val="0"/>
              </w:numPr>
              <w:rPr>
                <w:b/>
                <w:sz w:val="20"/>
                <w:szCs w:val="20"/>
              </w:rPr>
            </w:pPr>
            <w:r>
              <w:rPr>
                <w:b/>
                <w:sz w:val="20"/>
                <w:szCs w:val="20"/>
              </w:rPr>
              <w:t>83,010</w:t>
            </w:r>
          </w:p>
        </w:tc>
        <w:tc>
          <w:tcPr>
            <w:tcW w:w="1642" w:type="dxa"/>
            <w:tcBorders>
              <w:top w:val="single" w:sz="6" w:space="0" w:color="1F546B"/>
              <w:bottom w:val="single" w:sz="6" w:space="0" w:color="1F546B"/>
            </w:tcBorders>
            <w:shd w:val="clear" w:color="auto" w:fill="B4C6E7" w:themeFill="accent1" w:themeFillTint="66"/>
          </w:tcPr>
          <w:p w14:paraId="7D450E09" w14:textId="3DC0D0EE" w:rsidR="0019357F" w:rsidRPr="0019357F" w:rsidRDefault="0019357F" w:rsidP="0084725D">
            <w:pPr>
              <w:pStyle w:val="Bullet-list"/>
              <w:numPr>
                <w:ilvl w:val="0"/>
                <w:numId w:val="0"/>
              </w:numPr>
              <w:rPr>
                <w:b/>
                <w:sz w:val="20"/>
                <w:szCs w:val="20"/>
              </w:rPr>
            </w:pPr>
            <w:r w:rsidRPr="0019357F">
              <w:rPr>
                <w:b/>
                <w:sz w:val="20"/>
                <w:szCs w:val="20"/>
              </w:rPr>
              <w:t>22,163</w:t>
            </w:r>
          </w:p>
        </w:tc>
        <w:tc>
          <w:tcPr>
            <w:tcW w:w="1656" w:type="dxa"/>
            <w:tcBorders>
              <w:top w:val="single" w:sz="6" w:space="0" w:color="1F546B"/>
              <w:bottom w:val="single" w:sz="6" w:space="0" w:color="1F546B"/>
            </w:tcBorders>
            <w:shd w:val="clear" w:color="auto" w:fill="B4C6E7" w:themeFill="accent1" w:themeFillTint="66"/>
          </w:tcPr>
          <w:p w14:paraId="5D3860B6" w14:textId="34C52556" w:rsidR="0019357F" w:rsidRPr="0019357F" w:rsidRDefault="000C3B07" w:rsidP="0084725D">
            <w:pPr>
              <w:pStyle w:val="Bullet-list"/>
              <w:numPr>
                <w:ilvl w:val="0"/>
                <w:numId w:val="0"/>
              </w:numPr>
              <w:rPr>
                <w:b/>
                <w:color w:val="FF0000"/>
                <w:sz w:val="20"/>
                <w:szCs w:val="20"/>
              </w:rPr>
            </w:pPr>
            <w:r>
              <w:rPr>
                <w:b/>
                <w:color w:val="FF0000"/>
                <w:sz w:val="20"/>
                <w:szCs w:val="20"/>
              </w:rPr>
              <w:t>(</w:t>
            </w:r>
            <w:r w:rsidR="0019357F" w:rsidRPr="0019357F">
              <w:rPr>
                <w:b/>
                <w:color w:val="FF0000"/>
                <w:sz w:val="20"/>
                <w:szCs w:val="20"/>
              </w:rPr>
              <w:t>73,610</w:t>
            </w:r>
            <w:r>
              <w:rPr>
                <w:b/>
                <w:color w:val="FF0000"/>
                <w:sz w:val="20"/>
                <w:szCs w:val="20"/>
              </w:rPr>
              <w:t>)</w:t>
            </w:r>
          </w:p>
        </w:tc>
        <w:tc>
          <w:tcPr>
            <w:tcW w:w="1435" w:type="dxa"/>
            <w:tcBorders>
              <w:top w:val="single" w:sz="6" w:space="0" w:color="1F546B"/>
              <w:bottom w:val="single" w:sz="6" w:space="0" w:color="1F546B"/>
            </w:tcBorders>
            <w:shd w:val="clear" w:color="auto" w:fill="B4C6E7" w:themeFill="accent1" w:themeFillTint="66"/>
          </w:tcPr>
          <w:p w14:paraId="317A3459" w14:textId="40E6D853" w:rsidR="0019357F" w:rsidRPr="0019357F" w:rsidRDefault="000C3B07" w:rsidP="0084725D">
            <w:pPr>
              <w:pStyle w:val="Bullet-list"/>
              <w:numPr>
                <w:ilvl w:val="0"/>
                <w:numId w:val="0"/>
              </w:numPr>
              <w:rPr>
                <w:b/>
                <w:sz w:val="20"/>
                <w:szCs w:val="20"/>
              </w:rPr>
            </w:pPr>
            <w:r w:rsidRPr="001525A3">
              <w:rPr>
                <w:b/>
                <w:color w:val="FF0000"/>
                <w:sz w:val="20"/>
              </w:rPr>
              <w:t>(</w:t>
            </w:r>
            <w:r w:rsidR="0019357F" w:rsidRPr="001525A3">
              <w:rPr>
                <w:b/>
                <w:color w:val="FF0000"/>
                <w:sz w:val="20"/>
              </w:rPr>
              <w:t>51,447</w:t>
            </w:r>
            <w:r w:rsidRPr="001525A3">
              <w:rPr>
                <w:b/>
                <w:color w:val="FF0000"/>
                <w:sz w:val="20"/>
              </w:rPr>
              <w:t>)</w:t>
            </w:r>
          </w:p>
        </w:tc>
        <w:tc>
          <w:tcPr>
            <w:tcW w:w="1401" w:type="dxa"/>
            <w:tcBorders>
              <w:top w:val="single" w:sz="6" w:space="0" w:color="1F546B"/>
              <w:bottom w:val="single" w:sz="6" w:space="0" w:color="1F546B"/>
            </w:tcBorders>
            <w:shd w:val="clear" w:color="auto" w:fill="B4C6E7" w:themeFill="accent1" w:themeFillTint="66"/>
          </w:tcPr>
          <w:p w14:paraId="56E30041" w14:textId="784FE22D" w:rsidR="0019357F" w:rsidRPr="0019357F" w:rsidRDefault="0019357F" w:rsidP="0084725D">
            <w:pPr>
              <w:pStyle w:val="Bullet-list"/>
              <w:numPr>
                <w:ilvl w:val="0"/>
                <w:numId w:val="0"/>
              </w:numPr>
              <w:rPr>
                <w:b/>
                <w:sz w:val="20"/>
                <w:szCs w:val="20"/>
              </w:rPr>
            </w:pPr>
            <w:r w:rsidRPr="0019357F">
              <w:rPr>
                <w:b/>
                <w:sz w:val="20"/>
                <w:szCs w:val="20"/>
              </w:rPr>
              <w:t>31,</w:t>
            </w:r>
            <w:r w:rsidR="00997C1F">
              <w:rPr>
                <w:b/>
                <w:sz w:val="20"/>
                <w:szCs w:val="20"/>
              </w:rPr>
              <w:t>56</w:t>
            </w:r>
            <w:r w:rsidR="00997C1F" w:rsidRPr="0019357F">
              <w:rPr>
                <w:b/>
                <w:sz w:val="20"/>
                <w:szCs w:val="20"/>
              </w:rPr>
              <w:t>3</w:t>
            </w:r>
          </w:p>
        </w:tc>
      </w:tr>
      <w:tr w:rsidR="0019357F" w14:paraId="3F31CB96" w14:textId="77777777" w:rsidTr="0019357F">
        <w:tc>
          <w:tcPr>
            <w:tcW w:w="1470" w:type="dxa"/>
            <w:tcBorders>
              <w:top w:val="single" w:sz="6" w:space="0" w:color="1F546B"/>
            </w:tcBorders>
          </w:tcPr>
          <w:p w14:paraId="17C64D86" w14:textId="3CA094E4" w:rsidR="0019357F" w:rsidRPr="0019357F" w:rsidRDefault="0019357F" w:rsidP="0084725D">
            <w:pPr>
              <w:pStyle w:val="Bullet-list"/>
              <w:numPr>
                <w:ilvl w:val="0"/>
                <w:numId w:val="0"/>
              </w:numPr>
              <w:rPr>
                <w:b/>
                <w:sz w:val="20"/>
                <w:szCs w:val="20"/>
              </w:rPr>
            </w:pPr>
            <w:r w:rsidRPr="0019357F">
              <w:rPr>
                <w:b/>
                <w:sz w:val="20"/>
                <w:szCs w:val="20"/>
              </w:rPr>
              <w:t>2021/22</w:t>
            </w:r>
          </w:p>
        </w:tc>
        <w:tc>
          <w:tcPr>
            <w:tcW w:w="1329" w:type="dxa"/>
            <w:tcBorders>
              <w:top w:val="single" w:sz="6" w:space="0" w:color="1F546B"/>
            </w:tcBorders>
          </w:tcPr>
          <w:p w14:paraId="61514028" w14:textId="3F9DB95A" w:rsidR="0019357F" w:rsidRPr="0019357F" w:rsidRDefault="002642AA" w:rsidP="0084725D">
            <w:pPr>
              <w:pStyle w:val="Bullet-list"/>
              <w:numPr>
                <w:ilvl w:val="0"/>
                <w:numId w:val="0"/>
              </w:numPr>
              <w:rPr>
                <w:b/>
                <w:sz w:val="20"/>
                <w:szCs w:val="20"/>
              </w:rPr>
            </w:pPr>
            <w:r>
              <w:rPr>
                <w:b/>
                <w:sz w:val="20"/>
                <w:szCs w:val="20"/>
              </w:rPr>
              <w:t>31,</w:t>
            </w:r>
            <w:r w:rsidR="00997C1F">
              <w:rPr>
                <w:b/>
                <w:sz w:val="20"/>
                <w:szCs w:val="20"/>
              </w:rPr>
              <w:t>563</w:t>
            </w:r>
          </w:p>
        </w:tc>
        <w:tc>
          <w:tcPr>
            <w:tcW w:w="1642" w:type="dxa"/>
            <w:tcBorders>
              <w:top w:val="single" w:sz="6" w:space="0" w:color="1F546B"/>
            </w:tcBorders>
          </w:tcPr>
          <w:p w14:paraId="2D98C056" w14:textId="20DC870A" w:rsidR="0019357F" w:rsidRPr="0019357F" w:rsidRDefault="00997C1F" w:rsidP="0084725D">
            <w:pPr>
              <w:pStyle w:val="Bullet-list"/>
              <w:numPr>
                <w:ilvl w:val="0"/>
                <w:numId w:val="0"/>
              </w:numPr>
              <w:rPr>
                <w:b/>
                <w:sz w:val="20"/>
                <w:szCs w:val="20"/>
              </w:rPr>
            </w:pPr>
            <w:r>
              <w:rPr>
                <w:b/>
                <w:sz w:val="20"/>
                <w:szCs w:val="20"/>
              </w:rPr>
              <w:t>42,222</w:t>
            </w:r>
          </w:p>
        </w:tc>
        <w:tc>
          <w:tcPr>
            <w:tcW w:w="1656" w:type="dxa"/>
            <w:tcBorders>
              <w:top w:val="single" w:sz="6" w:space="0" w:color="1F546B"/>
            </w:tcBorders>
          </w:tcPr>
          <w:p w14:paraId="581765A1" w14:textId="47356033" w:rsidR="0019357F" w:rsidRPr="0019357F" w:rsidRDefault="00997C1F" w:rsidP="0084725D">
            <w:pPr>
              <w:pStyle w:val="Bullet-list"/>
              <w:numPr>
                <w:ilvl w:val="0"/>
                <w:numId w:val="0"/>
              </w:numPr>
              <w:rPr>
                <w:b/>
                <w:color w:val="FF0000"/>
                <w:sz w:val="20"/>
                <w:szCs w:val="20"/>
              </w:rPr>
            </w:pPr>
            <w:r>
              <w:rPr>
                <w:b/>
                <w:color w:val="FF0000"/>
                <w:sz w:val="20"/>
                <w:szCs w:val="20"/>
              </w:rPr>
              <w:t>(81,368)</w:t>
            </w:r>
          </w:p>
        </w:tc>
        <w:tc>
          <w:tcPr>
            <w:tcW w:w="1435" w:type="dxa"/>
            <w:tcBorders>
              <w:top w:val="single" w:sz="6" w:space="0" w:color="1F546B"/>
            </w:tcBorders>
          </w:tcPr>
          <w:p w14:paraId="2B89F9E6" w14:textId="4612E494" w:rsidR="0019357F" w:rsidRPr="0019357F" w:rsidRDefault="00997C1F" w:rsidP="0084725D">
            <w:pPr>
              <w:pStyle w:val="Bullet-list"/>
              <w:numPr>
                <w:ilvl w:val="0"/>
                <w:numId w:val="0"/>
              </w:numPr>
              <w:rPr>
                <w:b/>
                <w:color w:val="FF0000"/>
                <w:sz w:val="20"/>
                <w:szCs w:val="20"/>
              </w:rPr>
            </w:pPr>
            <w:r>
              <w:rPr>
                <w:b/>
                <w:color w:val="FF0000"/>
                <w:sz w:val="20"/>
                <w:szCs w:val="20"/>
              </w:rPr>
              <w:t>(39,146)</w:t>
            </w:r>
          </w:p>
        </w:tc>
        <w:tc>
          <w:tcPr>
            <w:tcW w:w="1401" w:type="dxa"/>
            <w:tcBorders>
              <w:top w:val="single" w:sz="6" w:space="0" w:color="1F546B"/>
            </w:tcBorders>
          </w:tcPr>
          <w:p w14:paraId="14A2A8C8" w14:textId="65B86F00" w:rsidR="0019357F" w:rsidRPr="0019357F" w:rsidRDefault="00997C1F" w:rsidP="0084725D">
            <w:pPr>
              <w:pStyle w:val="Bullet-list"/>
              <w:numPr>
                <w:ilvl w:val="0"/>
                <w:numId w:val="0"/>
              </w:numPr>
              <w:rPr>
                <w:b/>
                <w:color w:val="FF0000"/>
                <w:sz w:val="20"/>
                <w:szCs w:val="20"/>
              </w:rPr>
            </w:pPr>
            <w:r>
              <w:rPr>
                <w:b/>
                <w:color w:val="FF0000"/>
                <w:sz w:val="20"/>
                <w:szCs w:val="20"/>
              </w:rPr>
              <w:t>(7,583)</w:t>
            </w:r>
          </w:p>
        </w:tc>
      </w:tr>
      <w:tr w:rsidR="0019357F" w14:paraId="51595221" w14:textId="77777777" w:rsidTr="0019357F">
        <w:tc>
          <w:tcPr>
            <w:tcW w:w="1470" w:type="dxa"/>
          </w:tcPr>
          <w:p w14:paraId="745C058B" w14:textId="7AA9829E" w:rsidR="0019357F" w:rsidRPr="0019357F" w:rsidRDefault="0019357F" w:rsidP="0084725D">
            <w:pPr>
              <w:pStyle w:val="Bullet-list"/>
              <w:numPr>
                <w:ilvl w:val="0"/>
                <w:numId w:val="0"/>
              </w:numPr>
              <w:rPr>
                <w:b/>
                <w:sz w:val="20"/>
                <w:szCs w:val="20"/>
              </w:rPr>
            </w:pPr>
            <w:r w:rsidRPr="0019357F">
              <w:rPr>
                <w:b/>
                <w:sz w:val="20"/>
                <w:szCs w:val="20"/>
              </w:rPr>
              <w:t>2022/23</w:t>
            </w:r>
          </w:p>
        </w:tc>
        <w:tc>
          <w:tcPr>
            <w:tcW w:w="1329" w:type="dxa"/>
          </w:tcPr>
          <w:p w14:paraId="18C1CEAD" w14:textId="6F87311B" w:rsidR="0019357F" w:rsidRPr="0019357F" w:rsidRDefault="00997C1F" w:rsidP="0084725D">
            <w:pPr>
              <w:pStyle w:val="Bullet-list"/>
              <w:numPr>
                <w:ilvl w:val="0"/>
                <w:numId w:val="0"/>
              </w:numPr>
              <w:rPr>
                <w:b/>
                <w:sz w:val="20"/>
                <w:szCs w:val="20"/>
              </w:rPr>
            </w:pPr>
            <w:r w:rsidRPr="001525A3">
              <w:rPr>
                <w:b/>
                <w:color w:val="FF0000"/>
                <w:sz w:val="20"/>
              </w:rPr>
              <w:t>(7,583)</w:t>
            </w:r>
          </w:p>
        </w:tc>
        <w:tc>
          <w:tcPr>
            <w:tcW w:w="1642" w:type="dxa"/>
          </w:tcPr>
          <w:p w14:paraId="094D8D5A" w14:textId="3073DE68" w:rsidR="0019357F" w:rsidRPr="0019357F" w:rsidRDefault="00997C1F" w:rsidP="0084725D">
            <w:pPr>
              <w:pStyle w:val="Bullet-list"/>
              <w:numPr>
                <w:ilvl w:val="0"/>
                <w:numId w:val="0"/>
              </w:numPr>
              <w:rPr>
                <w:b/>
                <w:sz w:val="20"/>
                <w:szCs w:val="20"/>
              </w:rPr>
            </w:pPr>
            <w:r>
              <w:rPr>
                <w:b/>
                <w:sz w:val="20"/>
                <w:szCs w:val="20"/>
              </w:rPr>
              <w:t>44,023</w:t>
            </w:r>
          </w:p>
        </w:tc>
        <w:tc>
          <w:tcPr>
            <w:tcW w:w="1656" w:type="dxa"/>
          </w:tcPr>
          <w:p w14:paraId="7F345FE0" w14:textId="68281086" w:rsidR="0019357F" w:rsidRPr="0019357F" w:rsidRDefault="00997C1F" w:rsidP="0084725D">
            <w:pPr>
              <w:pStyle w:val="Bullet-list"/>
              <w:numPr>
                <w:ilvl w:val="0"/>
                <w:numId w:val="0"/>
              </w:numPr>
              <w:rPr>
                <w:b/>
                <w:color w:val="FF0000"/>
                <w:sz w:val="20"/>
                <w:szCs w:val="20"/>
              </w:rPr>
            </w:pPr>
            <w:r>
              <w:rPr>
                <w:b/>
                <w:color w:val="FF0000"/>
                <w:sz w:val="20"/>
                <w:szCs w:val="20"/>
              </w:rPr>
              <w:t>(84,474)</w:t>
            </w:r>
          </w:p>
        </w:tc>
        <w:tc>
          <w:tcPr>
            <w:tcW w:w="1435" w:type="dxa"/>
          </w:tcPr>
          <w:p w14:paraId="0E5F57C7" w14:textId="0EA7E651" w:rsidR="0019357F" w:rsidRPr="0019357F" w:rsidRDefault="00997C1F" w:rsidP="0084725D">
            <w:pPr>
              <w:pStyle w:val="Bullet-list"/>
              <w:numPr>
                <w:ilvl w:val="0"/>
                <w:numId w:val="0"/>
              </w:numPr>
              <w:rPr>
                <w:b/>
                <w:color w:val="FF0000"/>
                <w:sz w:val="20"/>
                <w:szCs w:val="20"/>
              </w:rPr>
            </w:pPr>
            <w:r>
              <w:rPr>
                <w:b/>
                <w:color w:val="FF0000"/>
                <w:sz w:val="20"/>
                <w:szCs w:val="20"/>
              </w:rPr>
              <w:t>(40,451)</w:t>
            </w:r>
          </w:p>
        </w:tc>
        <w:tc>
          <w:tcPr>
            <w:tcW w:w="1401" w:type="dxa"/>
          </w:tcPr>
          <w:p w14:paraId="174F1EB2" w14:textId="640ECF3A" w:rsidR="0019357F" w:rsidRPr="0019357F" w:rsidRDefault="00020C42" w:rsidP="0084725D">
            <w:pPr>
              <w:pStyle w:val="Bullet-list"/>
              <w:numPr>
                <w:ilvl w:val="0"/>
                <w:numId w:val="0"/>
              </w:numPr>
              <w:rPr>
                <w:b/>
                <w:color w:val="FF0000"/>
                <w:sz w:val="20"/>
                <w:szCs w:val="20"/>
              </w:rPr>
            </w:pPr>
            <w:r>
              <w:rPr>
                <w:b/>
                <w:color w:val="FF0000"/>
                <w:sz w:val="20"/>
                <w:szCs w:val="20"/>
              </w:rPr>
              <w:t>(48,034)</w:t>
            </w:r>
          </w:p>
        </w:tc>
      </w:tr>
      <w:tr w:rsidR="0019357F" w14:paraId="4CE6255D" w14:textId="77777777" w:rsidTr="0019357F">
        <w:tc>
          <w:tcPr>
            <w:tcW w:w="1470" w:type="dxa"/>
          </w:tcPr>
          <w:p w14:paraId="6AB0900E" w14:textId="2730C927" w:rsidR="0019357F" w:rsidRDefault="000C3B07" w:rsidP="0084725D">
            <w:pPr>
              <w:pStyle w:val="Bullet-list"/>
              <w:numPr>
                <w:ilvl w:val="0"/>
                <w:numId w:val="0"/>
              </w:numPr>
              <w:rPr>
                <w:b/>
              </w:rPr>
            </w:pPr>
            <w:r w:rsidRPr="0019357F">
              <w:rPr>
                <w:b/>
                <w:sz w:val="20"/>
                <w:szCs w:val="20"/>
              </w:rPr>
              <w:t>202</w:t>
            </w:r>
            <w:r>
              <w:rPr>
                <w:b/>
                <w:sz w:val="20"/>
                <w:szCs w:val="20"/>
              </w:rPr>
              <w:t>4/25</w:t>
            </w:r>
          </w:p>
        </w:tc>
        <w:tc>
          <w:tcPr>
            <w:tcW w:w="1329" w:type="dxa"/>
          </w:tcPr>
          <w:p w14:paraId="2D6F9A2C" w14:textId="15A191EC" w:rsidR="0019357F" w:rsidRPr="001525A3" w:rsidRDefault="00020C42" w:rsidP="0084725D">
            <w:pPr>
              <w:pStyle w:val="Bullet-list"/>
              <w:numPr>
                <w:ilvl w:val="0"/>
                <w:numId w:val="0"/>
              </w:numPr>
              <w:rPr>
                <w:b/>
                <w:sz w:val="20"/>
                <w:szCs w:val="20"/>
              </w:rPr>
            </w:pPr>
            <w:r w:rsidRPr="001525A3">
              <w:rPr>
                <w:b/>
                <w:color w:val="FF0000"/>
                <w:sz w:val="20"/>
              </w:rPr>
              <w:t>(48,034)</w:t>
            </w:r>
          </w:p>
        </w:tc>
        <w:tc>
          <w:tcPr>
            <w:tcW w:w="1642" w:type="dxa"/>
          </w:tcPr>
          <w:p w14:paraId="129361A6" w14:textId="7267B969" w:rsidR="0019357F" w:rsidRPr="001525A3" w:rsidRDefault="00997C1F" w:rsidP="0084725D">
            <w:pPr>
              <w:pStyle w:val="Bullet-list"/>
              <w:numPr>
                <w:ilvl w:val="0"/>
                <w:numId w:val="0"/>
              </w:numPr>
              <w:rPr>
                <w:b/>
                <w:sz w:val="20"/>
                <w:szCs w:val="20"/>
              </w:rPr>
            </w:pPr>
            <w:r>
              <w:rPr>
                <w:b/>
                <w:sz w:val="20"/>
                <w:szCs w:val="20"/>
              </w:rPr>
              <w:t>39,962</w:t>
            </w:r>
          </w:p>
        </w:tc>
        <w:tc>
          <w:tcPr>
            <w:tcW w:w="1656" w:type="dxa"/>
          </w:tcPr>
          <w:p w14:paraId="3B15DABF" w14:textId="1040F792" w:rsidR="0019357F" w:rsidRPr="001525A3" w:rsidRDefault="00997C1F" w:rsidP="0084725D">
            <w:pPr>
              <w:pStyle w:val="Bullet-list"/>
              <w:numPr>
                <w:ilvl w:val="0"/>
                <w:numId w:val="0"/>
              </w:numPr>
              <w:rPr>
                <w:b/>
                <w:color w:val="FF0000"/>
                <w:sz w:val="20"/>
                <w:szCs w:val="20"/>
              </w:rPr>
            </w:pPr>
            <w:r w:rsidRPr="001525A3">
              <w:rPr>
                <w:b/>
                <w:color w:val="FF0000"/>
                <w:sz w:val="20"/>
              </w:rPr>
              <w:t>(92,479)</w:t>
            </w:r>
          </w:p>
        </w:tc>
        <w:tc>
          <w:tcPr>
            <w:tcW w:w="1435" w:type="dxa"/>
          </w:tcPr>
          <w:p w14:paraId="1619770B" w14:textId="26A3DD2B" w:rsidR="0019357F" w:rsidRPr="001525A3" w:rsidRDefault="00020C42" w:rsidP="0084725D">
            <w:pPr>
              <w:pStyle w:val="Bullet-list"/>
              <w:numPr>
                <w:ilvl w:val="0"/>
                <w:numId w:val="0"/>
              </w:numPr>
              <w:rPr>
                <w:b/>
                <w:color w:val="FF0000"/>
                <w:sz w:val="20"/>
                <w:szCs w:val="20"/>
              </w:rPr>
            </w:pPr>
            <w:r>
              <w:rPr>
                <w:b/>
                <w:color w:val="FF0000"/>
                <w:sz w:val="20"/>
                <w:szCs w:val="20"/>
              </w:rPr>
              <w:t>(52,517)</w:t>
            </w:r>
          </w:p>
        </w:tc>
        <w:tc>
          <w:tcPr>
            <w:tcW w:w="1401" w:type="dxa"/>
          </w:tcPr>
          <w:p w14:paraId="5075A921" w14:textId="27664A6C" w:rsidR="0019357F" w:rsidRPr="001525A3" w:rsidRDefault="00020C42" w:rsidP="0084725D">
            <w:pPr>
              <w:pStyle w:val="Bullet-list"/>
              <w:numPr>
                <w:ilvl w:val="0"/>
                <w:numId w:val="0"/>
              </w:numPr>
              <w:rPr>
                <w:b/>
                <w:color w:val="FF0000"/>
                <w:sz w:val="20"/>
                <w:szCs w:val="20"/>
              </w:rPr>
            </w:pPr>
            <w:r>
              <w:rPr>
                <w:b/>
                <w:color w:val="FF0000"/>
                <w:sz w:val="20"/>
                <w:szCs w:val="20"/>
              </w:rPr>
              <w:t>(100,551)</w:t>
            </w:r>
          </w:p>
        </w:tc>
      </w:tr>
    </w:tbl>
    <w:p w14:paraId="72CED4B4" w14:textId="62DAD8BC" w:rsidR="008A31B4" w:rsidRDefault="008A31B4" w:rsidP="0084725D">
      <w:pPr>
        <w:pStyle w:val="Bullet-list"/>
        <w:numPr>
          <w:ilvl w:val="0"/>
          <w:numId w:val="0"/>
        </w:numPr>
        <w:rPr>
          <w:b/>
        </w:rPr>
      </w:pPr>
    </w:p>
    <w:p w14:paraId="00B9943E" w14:textId="099CB9B3" w:rsidR="00D455F0" w:rsidRPr="00D455F0" w:rsidRDefault="00D455F0" w:rsidP="0084725D">
      <w:pPr>
        <w:pStyle w:val="Bullet-list"/>
        <w:numPr>
          <w:ilvl w:val="0"/>
          <w:numId w:val="0"/>
        </w:numPr>
      </w:pPr>
      <w:r w:rsidRPr="00D455F0">
        <w:t>Table 5 demonstrates that revenue and expenses over the current financial year and the following two financial</w:t>
      </w:r>
      <w:r>
        <w:t xml:space="preserve"> years will not align for the reasons set out in this Cost Recover</w:t>
      </w:r>
      <w:r w:rsidR="000C3B07">
        <w:t>y</w:t>
      </w:r>
      <w:r>
        <w:t xml:space="preserve"> Impact Statement. </w:t>
      </w:r>
    </w:p>
    <w:p w14:paraId="171A062E" w14:textId="13C6537F" w:rsidR="00FD7D37" w:rsidRDefault="00FD7D37">
      <w:pPr>
        <w:spacing w:after="0" w:line="240" w:lineRule="auto"/>
        <w:rPr>
          <w:b/>
          <w:color w:val="5B9BD5" w:themeColor="accent5"/>
          <w:lang w:val="en-AU" w:eastAsia="en-US"/>
        </w:rPr>
      </w:pPr>
    </w:p>
    <w:p w14:paraId="5136D551" w14:textId="77777777" w:rsidR="000A1125" w:rsidRDefault="000A1125" w:rsidP="00DA7BC4">
      <w:pPr>
        <w:pStyle w:val="Bullet-list"/>
        <w:numPr>
          <w:ilvl w:val="0"/>
          <w:numId w:val="0"/>
        </w:numPr>
        <w:rPr>
          <w:b/>
          <w:color w:val="5B9BD5" w:themeColor="accent5"/>
        </w:rPr>
      </w:pPr>
    </w:p>
    <w:p w14:paraId="2120CD43" w14:textId="1189094F" w:rsidR="001E7247" w:rsidRPr="001C6634" w:rsidRDefault="006A080F" w:rsidP="00DA7BC4">
      <w:pPr>
        <w:pStyle w:val="Bullet-list"/>
        <w:numPr>
          <w:ilvl w:val="0"/>
          <w:numId w:val="0"/>
        </w:numPr>
        <w:rPr>
          <w:b/>
          <w:color w:val="5B9BD5" w:themeColor="accent5"/>
        </w:rPr>
      </w:pPr>
      <w:r w:rsidRPr="001C6634">
        <w:rPr>
          <w:b/>
          <w:color w:val="5B9BD5" w:themeColor="accent5"/>
        </w:rPr>
        <w:lastRenderedPageBreak/>
        <w:t>Changes i</w:t>
      </w:r>
      <w:r w:rsidR="001E7247" w:rsidRPr="001C6634">
        <w:rPr>
          <w:b/>
          <w:color w:val="5B9BD5" w:themeColor="accent5"/>
        </w:rPr>
        <w:t xml:space="preserve">n </w:t>
      </w:r>
      <w:r w:rsidRPr="001C6634">
        <w:rPr>
          <w:b/>
          <w:color w:val="5B9BD5" w:themeColor="accent5"/>
        </w:rPr>
        <w:t>un</w:t>
      </w:r>
      <w:r w:rsidR="001E7247" w:rsidRPr="001C6634">
        <w:rPr>
          <w:b/>
          <w:color w:val="5B9BD5" w:themeColor="accent5"/>
        </w:rPr>
        <w:t xml:space="preserve">derlying assumptions. </w:t>
      </w:r>
    </w:p>
    <w:p w14:paraId="026F4F9F" w14:textId="25C7C884" w:rsidR="009544E0" w:rsidRDefault="009544E0" w:rsidP="009544E0">
      <w:pPr>
        <w:pStyle w:val="Bullet-list"/>
        <w:numPr>
          <w:ilvl w:val="0"/>
          <w:numId w:val="0"/>
        </w:numPr>
        <w:jc w:val="both"/>
      </w:pPr>
      <w:r>
        <w:t>Government decisions taken in 2015 to change the period of validity of an adult passport from 5 to 10 years created an ongoing cyclical pattern of reduced demand for adult passports every 5 years. Th</w:t>
      </w:r>
      <w:r w:rsidR="000A1125">
        <w:t xml:space="preserve">is </w:t>
      </w:r>
      <w:r>
        <w:t>decision created a need for repayable capital injections to ensure that the balance of the PMA did not move into a deficit position</w:t>
      </w:r>
      <w:r w:rsidR="000A1125">
        <w:t xml:space="preserve"> </w:t>
      </w:r>
      <w:proofErr w:type="gramStart"/>
      <w:r w:rsidR="000A1125">
        <w:t>as a result of</w:t>
      </w:r>
      <w:proofErr w:type="gramEnd"/>
      <w:r w:rsidR="000A1125">
        <w:t xml:space="preserve"> the reduced demand</w:t>
      </w:r>
      <w:r>
        <w:t>.  The various responses to COVID-19 ha</w:t>
      </w:r>
      <w:r w:rsidR="00EE38CF">
        <w:t>ve</w:t>
      </w:r>
      <w:r>
        <w:t xml:space="preserve"> resulted in a significant reduction in demand for passports and travel documents. </w:t>
      </w:r>
      <w:r w:rsidR="00ED4663">
        <w:t xml:space="preserve">This has required that the </w:t>
      </w:r>
      <w:r w:rsidR="00E527FA">
        <w:t xml:space="preserve">previous </w:t>
      </w:r>
      <w:r w:rsidR="00ED4663">
        <w:t>underlying forecasting assumptions be changed</w:t>
      </w:r>
      <w:r w:rsidR="00E527FA">
        <w:t>.</w:t>
      </w:r>
    </w:p>
    <w:p w14:paraId="59A8CA5F" w14:textId="77777777" w:rsidR="00E527FA" w:rsidRDefault="006A080F" w:rsidP="009544E0">
      <w:pPr>
        <w:pStyle w:val="Bullet-list"/>
        <w:numPr>
          <w:ilvl w:val="0"/>
          <w:numId w:val="0"/>
        </w:numPr>
        <w:jc w:val="both"/>
      </w:pPr>
      <w:r>
        <w:t xml:space="preserve">The underlying assumptions behind the </w:t>
      </w:r>
      <w:r w:rsidR="00E527FA">
        <w:t xml:space="preserve">new </w:t>
      </w:r>
      <w:r>
        <w:t xml:space="preserve">forecasts are that: </w:t>
      </w:r>
    </w:p>
    <w:p w14:paraId="72A349C5" w14:textId="77777777" w:rsidR="008C4133" w:rsidRDefault="008C4133" w:rsidP="008C4133">
      <w:pPr>
        <w:pStyle w:val="Bullet-list"/>
        <w:numPr>
          <w:ilvl w:val="0"/>
          <w:numId w:val="29"/>
        </w:numPr>
        <w:jc w:val="both"/>
      </w:pPr>
      <w:r>
        <w:t xml:space="preserve">the Australia/New Zealand travel bubble reopens for fully vaccinated travellers from 27 February 2022 and remains </w:t>
      </w:r>
      <w:proofErr w:type="gramStart"/>
      <w:r>
        <w:t>open;</w:t>
      </w:r>
      <w:proofErr w:type="gramEnd"/>
      <w:r>
        <w:t xml:space="preserve"> </w:t>
      </w:r>
    </w:p>
    <w:p w14:paraId="7D51EF0B" w14:textId="77777777" w:rsidR="008C4133" w:rsidRDefault="008C4133" w:rsidP="008C4133">
      <w:pPr>
        <w:pStyle w:val="Bullet-list"/>
        <w:numPr>
          <w:ilvl w:val="0"/>
          <w:numId w:val="29"/>
        </w:numPr>
        <w:jc w:val="both"/>
      </w:pPr>
      <w:r>
        <w:t xml:space="preserve">the travel bubble with the Cook Islands remains </w:t>
      </w:r>
      <w:proofErr w:type="gramStart"/>
      <w:r>
        <w:t>open;</w:t>
      </w:r>
      <w:proofErr w:type="gramEnd"/>
      <w:r>
        <w:t xml:space="preserve"> </w:t>
      </w:r>
    </w:p>
    <w:p w14:paraId="4B4C692A" w14:textId="77777777" w:rsidR="008C4133" w:rsidRDefault="008C4133" w:rsidP="008C4133">
      <w:pPr>
        <w:pStyle w:val="Bullet-list"/>
        <w:numPr>
          <w:ilvl w:val="0"/>
          <w:numId w:val="29"/>
        </w:numPr>
        <w:jc w:val="both"/>
      </w:pPr>
      <w:r w:rsidRPr="00C8298B">
        <w:t xml:space="preserve">Fully vaccinated New Zealanders, and other eligible travellers from the rest of the world, will be able to travel to New Zealand without going through MIQ from 13 March </w:t>
      </w:r>
      <w:proofErr w:type="gramStart"/>
      <w:r w:rsidRPr="00C8298B">
        <w:t>2022</w:t>
      </w:r>
      <w:r>
        <w:t>;</w:t>
      </w:r>
      <w:proofErr w:type="gramEnd"/>
    </w:p>
    <w:p w14:paraId="4D6B46F3" w14:textId="77777777" w:rsidR="008C4133" w:rsidRDefault="008C4133" w:rsidP="008C4133">
      <w:pPr>
        <w:pStyle w:val="Bullet-list"/>
        <w:numPr>
          <w:ilvl w:val="0"/>
          <w:numId w:val="29"/>
        </w:numPr>
        <w:jc w:val="both"/>
      </w:pPr>
      <w:r>
        <w:t xml:space="preserve">50% of the deferred demand for passports returns over the 202-25 </w:t>
      </w:r>
      <w:proofErr w:type="gramStart"/>
      <w:r>
        <w:t>period;</w:t>
      </w:r>
      <w:proofErr w:type="gramEnd"/>
      <w:r>
        <w:t xml:space="preserve"> and</w:t>
      </w:r>
    </w:p>
    <w:p w14:paraId="278DB830" w14:textId="77777777" w:rsidR="008C4133" w:rsidRDefault="008C4133" w:rsidP="008C4133">
      <w:pPr>
        <w:pStyle w:val="Bullet-list"/>
        <w:numPr>
          <w:ilvl w:val="0"/>
          <w:numId w:val="29"/>
        </w:numPr>
        <w:jc w:val="both"/>
      </w:pPr>
      <w:r>
        <w:t xml:space="preserve">the 42% subsidy of the cost of child passports from the fees paid by adults will continue. </w:t>
      </w:r>
    </w:p>
    <w:p w14:paraId="034E36CB" w14:textId="3A7DD906" w:rsidR="006A080F" w:rsidRDefault="00C63FEC" w:rsidP="00E527FA">
      <w:pPr>
        <w:pStyle w:val="Bullet-list"/>
        <w:numPr>
          <w:ilvl w:val="0"/>
          <w:numId w:val="0"/>
        </w:numPr>
        <w:jc w:val="both"/>
      </w:pPr>
      <w:r>
        <w:t>If these assumptions significantly change it will be necessary to reforecast demand.  In any event the 2025 Fee Review will reforecast demand and the projected fee increases and capital injections.</w:t>
      </w:r>
    </w:p>
    <w:p w14:paraId="6A98CDC8" w14:textId="77777777" w:rsidR="00C63FEC" w:rsidRPr="001C6634" w:rsidRDefault="00C63FEC" w:rsidP="00DA7BC4">
      <w:pPr>
        <w:pStyle w:val="Bullet-list"/>
        <w:numPr>
          <w:ilvl w:val="0"/>
          <w:numId w:val="0"/>
        </w:numPr>
        <w:jc w:val="both"/>
        <w:rPr>
          <w:b/>
          <w:color w:val="5B9BD5" w:themeColor="accent5"/>
        </w:rPr>
      </w:pPr>
      <w:r w:rsidRPr="001C6634">
        <w:rPr>
          <w:b/>
          <w:color w:val="5B9BD5" w:themeColor="accent5"/>
        </w:rPr>
        <w:t>Efficiency/Productivity Improvements</w:t>
      </w:r>
    </w:p>
    <w:p w14:paraId="031B5FCD" w14:textId="26E69854" w:rsidR="0092220E" w:rsidRDefault="00C63FEC" w:rsidP="00CC1447">
      <w:pPr>
        <w:pStyle w:val="Bullet-list"/>
        <w:numPr>
          <w:ilvl w:val="0"/>
          <w:numId w:val="0"/>
        </w:numPr>
        <w:jc w:val="both"/>
      </w:pPr>
      <w:r>
        <w:t xml:space="preserve">The Department has already achieved savings in passport </w:t>
      </w:r>
      <w:r w:rsidR="0092220E">
        <w:t>issuance equivalent</w:t>
      </w:r>
      <w:r>
        <w:t xml:space="preserve"> to the reduction of </w:t>
      </w:r>
      <w:r w:rsidR="0092220E">
        <w:t xml:space="preserve">70 </w:t>
      </w:r>
      <w:r>
        <w:t>full time employees</w:t>
      </w:r>
      <w:r w:rsidR="0092220E">
        <w:t xml:space="preserve">. Savings have also been achieved through system improvements </w:t>
      </w:r>
      <w:r w:rsidR="00412FA2">
        <w:t xml:space="preserve">including the introduction of </w:t>
      </w:r>
      <w:r w:rsidR="00C462AF">
        <w:t xml:space="preserve">a </w:t>
      </w:r>
      <w:r w:rsidR="00412FA2">
        <w:t xml:space="preserve">service </w:t>
      </w:r>
      <w:r w:rsidR="0092220E">
        <w:t>to enable a person to apply for their first passport on-line</w:t>
      </w:r>
      <w:r w:rsidR="00C462AF">
        <w:t>.</w:t>
      </w:r>
      <w:r w:rsidR="00412FA2">
        <w:t xml:space="preserve"> </w:t>
      </w:r>
      <w:r w:rsidR="00C462AF">
        <w:t>T</w:t>
      </w:r>
      <w:r w:rsidR="00412FA2">
        <w:t>his compl</w:t>
      </w:r>
      <w:r w:rsidR="00C462AF">
        <w:t>e</w:t>
      </w:r>
      <w:r w:rsidR="00412FA2">
        <w:t xml:space="preserve">mented the existing service for online renewal of passports.  </w:t>
      </w:r>
    </w:p>
    <w:p w14:paraId="7165BE5D" w14:textId="10FBCCA5" w:rsidR="0092220E" w:rsidRPr="001C6634" w:rsidRDefault="0092220E" w:rsidP="004D0EE3">
      <w:pPr>
        <w:pStyle w:val="Bullet-list"/>
        <w:numPr>
          <w:ilvl w:val="0"/>
          <w:numId w:val="0"/>
        </w:numPr>
        <w:jc w:val="both"/>
        <w:rPr>
          <w:b/>
          <w:color w:val="5B9BD5" w:themeColor="accent5"/>
        </w:rPr>
      </w:pPr>
      <w:r w:rsidRPr="001C6634">
        <w:rPr>
          <w:b/>
          <w:color w:val="5B9BD5" w:themeColor="accent5"/>
        </w:rPr>
        <w:t>Fee Comparison</w:t>
      </w:r>
    </w:p>
    <w:p w14:paraId="36494EB7" w14:textId="77777777" w:rsidR="00FA0C5C" w:rsidRPr="00FA0C5C" w:rsidRDefault="00FA0C5C" w:rsidP="00FA0C5C">
      <w:pPr>
        <w:pStyle w:val="Numberedpara3level1"/>
        <w:keepLines/>
        <w:jc w:val="both"/>
        <w:rPr>
          <w:rFonts w:ascii="Arial" w:hAnsi="Arial" w:cs="Arial"/>
          <w:sz w:val="22"/>
          <w:szCs w:val="22"/>
        </w:rPr>
      </w:pPr>
      <w:r w:rsidRPr="00FA0C5C">
        <w:rPr>
          <w:rFonts w:ascii="Arial" w:hAnsi="Arial" w:cs="Arial"/>
          <w:sz w:val="22"/>
          <w:szCs w:val="22"/>
        </w:rPr>
        <w:t>New Zealand’s passport and travel document fees are medium range compared to our five nations partners.  For the purposes of this comparison the cost of New Zealand’s passports is based on Option 1 and the fees of the other countries are the least cost option.  The comparison has some limitations because:</w:t>
      </w:r>
    </w:p>
    <w:p w14:paraId="355D8697" w14:textId="77777777" w:rsidR="00FA0C5C" w:rsidRPr="00FA0C5C" w:rsidRDefault="00FA0C5C" w:rsidP="00FA0C5C">
      <w:pPr>
        <w:pStyle w:val="Numberedpara3level211"/>
        <w:numPr>
          <w:ilvl w:val="0"/>
          <w:numId w:val="10"/>
        </w:numPr>
        <w:ind w:left="567" w:hanging="207"/>
        <w:jc w:val="both"/>
        <w:rPr>
          <w:rFonts w:ascii="Arial" w:hAnsi="Arial" w:cs="Arial"/>
          <w:sz w:val="22"/>
          <w:szCs w:val="22"/>
        </w:rPr>
      </w:pPr>
      <w:r w:rsidRPr="00FA0C5C">
        <w:rPr>
          <w:rFonts w:ascii="Arial" w:hAnsi="Arial" w:cs="Arial"/>
          <w:sz w:val="22"/>
          <w:szCs w:val="22"/>
        </w:rPr>
        <w:t xml:space="preserve">funding structures for comparable passport services vary and countries interpret and define cost recovery differently, for example some countries fee structures include discounts for </w:t>
      </w:r>
      <w:proofErr w:type="gramStart"/>
      <w:r w:rsidRPr="00FA0C5C">
        <w:rPr>
          <w:rFonts w:ascii="Arial" w:hAnsi="Arial" w:cs="Arial"/>
          <w:sz w:val="22"/>
          <w:szCs w:val="22"/>
        </w:rPr>
        <w:t>on line</w:t>
      </w:r>
      <w:proofErr w:type="gramEnd"/>
      <w:r w:rsidRPr="00FA0C5C">
        <w:rPr>
          <w:rFonts w:ascii="Arial" w:hAnsi="Arial" w:cs="Arial"/>
          <w:sz w:val="22"/>
          <w:szCs w:val="22"/>
        </w:rPr>
        <w:t xml:space="preserve"> applications and higher costs for paper-based applications;</w:t>
      </w:r>
    </w:p>
    <w:p w14:paraId="60012CF7" w14:textId="77777777" w:rsidR="00FA0C5C" w:rsidRPr="00FA0C5C" w:rsidRDefault="00FA0C5C" w:rsidP="00FA0C5C">
      <w:pPr>
        <w:pStyle w:val="Numberedpara3level211"/>
        <w:numPr>
          <w:ilvl w:val="0"/>
          <w:numId w:val="11"/>
        </w:numPr>
        <w:ind w:left="567" w:hanging="207"/>
        <w:jc w:val="both"/>
        <w:rPr>
          <w:rFonts w:ascii="Arial" w:hAnsi="Arial" w:cs="Arial"/>
          <w:sz w:val="22"/>
          <w:szCs w:val="22"/>
        </w:rPr>
      </w:pPr>
      <w:r w:rsidRPr="00FA0C5C">
        <w:rPr>
          <w:rFonts w:ascii="Arial" w:hAnsi="Arial" w:cs="Arial"/>
          <w:sz w:val="22"/>
          <w:szCs w:val="22"/>
        </w:rPr>
        <w:t xml:space="preserve">our five nations partners have larger populations, so their fee levels reflect greater economies of scale for passport production; and </w:t>
      </w:r>
    </w:p>
    <w:p w14:paraId="2826DEF7" w14:textId="77777777" w:rsidR="00FA0C5C" w:rsidRDefault="00FA0C5C" w:rsidP="00FA0C5C">
      <w:pPr>
        <w:pStyle w:val="Numberedpara3level211"/>
        <w:numPr>
          <w:ilvl w:val="0"/>
          <w:numId w:val="11"/>
        </w:numPr>
        <w:ind w:left="567" w:hanging="283"/>
        <w:jc w:val="both"/>
        <w:rPr>
          <w:rFonts w:ascii="Arial" w:hAnsi="Arial" w:cs="Arial"/>
          <w:sz w:val="22"/>
          <w:szCs w:val="22"/>
        </w:rPr>
      </w:pPr>
      <w:r w:rsidRPr="00FA0C5C">
        <w:rPr>
          <w:rFonts w:ascii="Arial" w:hAnsi="Arial" w:cs="Arial"/>
          <w:sz w:val="22"/>
          <w:szCs w:val="22"/>
        </w:rPr>
        <w:t xml:space="preserve">pricing for passport books varies because of the differing security features and application methods </w:t>
      </w:r>
      <w:proofErr w:type="gramStart"/>
      <w:r w:rsidRPr="00FA0C5C">
        <w:rPr>
          <w:rFonts w:ascii="Arial" w:hAnsi="Arial" w:cs="Arial"/>
          <w:sz w:val="22"/>
          <w:szCs w:val="22"/>
        </w:rPr>
        <w:t>e.g.</w:t>
      </w:r>
      <w:proofErr w:type="gramEnd"/>
      <w:r w:rsidRPr="00FA0C5C">
        <w:rPr>
          <w:rFonts w:ascii="Arial" w:hAnsi="Arial" w:cs="Arial"/>
          <w:sz w:val="22"/>
          <w:szCs w:val="22"/>
        </w:rPr>
        <w:t xml:space="preserve"> online, postal, face to face.  </w:t>
      </w:r>
    </w:p>
    <w:p w14:paraId="2609A9F5" w14:textId="5BC9DCE4" w:rsidR="00182D28" w:rsidRDefault="00182D28">
      <w:pPr>
        <w:spacing w:after="0" w:line="240" w:lineRule="auto"/>
        <w:rPr>
          <w:b/>
          <w:bCs/>
          <w:sz w:val="20"/>
        </w:rPr>
      </w:pPr>
    </w:p>
    <w:p w14:paraId="28FAC146" w14:textId="77777777" w:rsidR="00B16D8B" w:rsidRDefault="00B16D8B">
      <w:pPr>
        <w:spacing w:after="0" w:line="240" w:lineRule="auto"/>
        <w:rPr>
          <w:b/>
          <w:bCs/>
          <w:sz w:val="20"/>
        </w:rPr>
      </w:pPr>
      <w:r>
        <w:br w:type="page"/>
      </w:r>
    </w:p>
    <w:p w14:paraId="76447E65" w14:textId="7C642560" w:rsidR="00FA0C5C" w:rsidRDefault="00FA0C5C" w:rsidP="00FA0C5C">
      <w:pPr>
        <w:pStyle w:val="Caption"/>
      </w:pPr>
      <w:r>
        <w:lastRenderedPageBreak/>
        <w:t xml:space="preserve">Table </w:t>
      </w:r>
      <w:r w:rsidR="00E26BC5">
        <w:t>6</w:t>
      </w:r>
      <w:r>
        <w:t xml:space="preserve"> Passport Fee Comparison</w:t>
      </w:r>
    </w:p>
    <w:tbl>
      <w:tblPr>
        <w:tblW w:w="5373"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602"/>
        <w:gridCol w:w="950"/>
        <w:gridCol w:w="1289"/>
        <w:gridCol w:w="1203"/>
        <w:gridCol w:w="1205"/>
        <w:gridCol w:w="1205"/>
        <w:gridCol w:w="1261"/>
      </w:tblGrid>
      <w:tr w:rsidR="00FA0C5C" w14:paraId="73F18359" w14:textId="77777777" w:rsidTr="00182D28">
        <w:trPr>
          <w:cantSplit/>
          <w:tblHeader/>
        </w:trPr>
        <w:tc>
          <w:tcPr>
            <w:tcW w:w="1339" w:type="pct"/>
            <w:tcBorders>
              <w:top w:val="single" w:sz="12" w:space="0" w:color="000000"/>
              <w:left w:val="single" w:sz="12" w:space="0" w:color="000000"/>
              <w:bottom w:val="nil"/>
              <w:right w:val="single" w:sz="6" w:space="0" w:color="FFFFFF"/>
              <w:tl2br w:val="nil"/>
              <w:tr2bl w:val="nil"/>
            </w:tcBorders>
            <w:shd w:val="clear" w:color="auto" w:fill="000000"/>
          </w:tcPr>
          <w:p w14:paraId="3CB1F2A3" w14:textId="1CA755F0" w:rsidR="00FA0C5C" w:rsidRPr="00060B4F" w:rsidRDefault="00182D28" w:rsidP="00182D28">
            <w:pPr>
              <w:pStyle w:val="Numberedpara3level1"/>
              <w:spacing w:after="0"/>
              <w:rPr>
                <w:rFonts w:cs="Calibri"/>
                <w:b/>
                <w:color w:val="FFFFFF"/>
                <w:szCs w:val="22"/>
              </w:rPr>
            </w:pPr>
            <w:r>
              <w:rPr>
                <w:rFonts w:cs="Calibri"/>
                <w:color w:val="FFFFFF"/>
                <w:szCs w:val="22"/>
              </w:rPr>
              <w:t>As</w:t>
            </w:r>
            <w:r w:rsidR="00FA0C5C" w:rsidRPr="00060B4F">
              <w:rPr>
                <w:rFonts w:cs="Calibri"/>
                <w:color w:val="FFFFFF"/>
                <w:szCs w:val="22"/>
              </w:rPr>
              <w:t xml:space="preserve"> at 31/01/22</w:t>
            </w:r>
          </w:p>
        </w:tc>
        <w:tc>
          <w:tcPr>
            <w:tcW w:w="489" w:type="pct"/>
            <w:tcBorders>
              <w:top w:val="single" w:sz="12" w:space="0" w:color="000000"/>
              <w:left w:val="single" w:sz="6" w:space="0" w:color="FFFFFF"/>
              <w:bottom w:val="nil"/>
              <w:right w:val="single" w:sz="6" w:space="0" w:color="FFFFFF"/>
              <w:tl2br w:val="nil"/>
              <w:tr2bl w:val="nil"/>
            </w:tcBorders>
            <w:shd w:val="clear" w:color="auto" w:fill="000000"/>
          </w:tcPr>
          <w:p w14:paraId="11B61A21" w14:textId="77777777" w:rsidR="00FA0C5C" w:rsidRPr="00060B4F" w:rsidRDefault="00FA0C5C" w:rsidP="00182D28">
            <w:pPr>
              <w:pStyle w:val="Numberedpara3level1"/>
              <w:spacing w:after="0"/>
              <w:rPr>
                <w:rFonts w:cs="Calibri"/>
                <w:b/>
                <w:color w:val="FFFFFF"/>
                <w:szCs w:val="22"/>
              </w:rPr>
            </w:pPr>
            <w:r w:rsidRPr="00060B4F">
              <w:rPr>
                <w:rFonts w:cs="Calibri"/>
                <w:color w:val="FFFFFF"/>
                <w:szCs w:val="22"/>
              </w:rPr>
              <w:t>NZ</w:t>
            </w:r>
          </w:p>
        </w:tc>
        <w:tc>
          <w:tcPr>
            <w:tcW w:w="663" w:type="pct"/>
            <w:tcBorders>
              <w:top w:val="single" w:sz="12" w:space="0" w:color="000000"/>
              <w:left w:val="single" w:sz="6" w:space="0" w:color="FFFFFF"/>
              <w:bottom w:val="nil"/>
              <w:right w:val="single" w:sz="6" w:space="0" w:color="FFFFFF"/>
              <w:tl2br w:val="nil"/>
              <w:tr2bl w:val="nil"/>
            </w:tcBorders>
            <w:shd w:val="clear" w:color="auto" w:fill="000000"/>
          </w:tcPr>
          <w:p w14:paraId="12151F56" w14:textId="77777777" w:rsidR="00FA0C5C" w:rsidRPr="00060B4F" w:rsidRDefault="00FA0C5C" w:rsidP="00182D28">
            <w:pPr>
              <w:pStyle w:val="Numberedpara3level1"/>
              <w:spacing w:after="0"/>
              <w:rPr>
                <w:rFonts w:cs="Calibri"/>
                <w:b/>
                <w:color w:val="FFFFFF"/>
                <w:szCs w:val="22"/>
              </w:rPr>
            </w:pPr>
            <w:r w:rsidRPr="00060B4F">
              <w:rPr>
                <w:rFonts w:cs="Calibri"/>
                <w:color w:val="FFFFFF"/>
                <w:szCs w:val="22"/>
              </w:rPr>
              <w:t>Australia</w:t>
            </w:r>
            <w:r w:rsidRPr="00060B4F">
              <w:rPr>
                <w:rStyle w:val="FootnoteReference"/>
                <w:rFonts w:cs="Calibri"/>
                <w:szCs w:val="22"/>
              </w:rPr>
              <w:footnoteReference w:id="8"/>
            </w:r>
          </w:p>
        </w:tc>
        <w:tc>
          <w:tcPr>
            <w:tcW w:w="619" w:type="pct"/>
            <w:tcBorders>
              <w:top w:val="single" w:sz="12" w:space="0" w:color="000000"/>
              <w:left w:val="single" w:sz="6" w:space="0" w:color="FFFFFF"/>
              <w:bottom w:val="nil"/>
              <w:right w:val="single" w:sz="6" w:space="0" w:color="FFFFFF"/>
              <w:tl2br w:val="nil"/>
              <w:tr2bl w:val="nil"/>
            </w:tcBorders>
            <w:shd w:val="clear" w:color="auto" w:fill="000000"/>
          </w:tcPr>
          <w:p w14:paraId="4F5FD453" w14:textId="77777777" w:rsidR="00FA0C5C" w:rsidRPr="00060B4F" w:rsidRDefault="00FA0C5C" w:rsidP="00182D28">
            <w:pPr>
              <w:pStyle w:val="Numberedpara3level1"/>
              <w:spacing w:after="0"/>
              <w:rPr>
                <w:rFonts w:cs="Calibri"/>
                <w:b/>
                <w:color w:val="FFFFFF"/>
                <w:szCs w:val="22"/>
              </w:rPr>
            </w:pPr>
            <w:r w:rsidRPr="00060B4F">
              <w:rPr>
                <w:rFonts w:cs="Calibri"/>
                <w:color w:val="FFFFFF"/>
                <w:szCs w:val="22"/>
              </w:rPr>
              <w:t>Canada</w:t>
            </w:r>
            <w:r w:rsidRPr="00060B4F">
              <w:rPr>
                <w:rStyle w:val="FootnoteReference"/>
                <w:rFonts w:cs="Calibri"/>
                <w:szCs w:val="22"/>
              </w:rPr>
              <w:footnoteReference w:id="9"/>
            </w:r>
          </w:p>
        </w:tc>
        <w:tc>
          <w:tcPr>
            <w:tcW w:w="620" w:type="pct"/>
            <w:tcBorders>
              <w:top w:val="single" w:sz="12" w:space="0" w:color="000000"/>
              <w:left w:val="single" w:sz="6" w:space="0" w:color="FFFFFF"/>
              <w:bottom w:val="nil"/>
              <w:right w:val="single" w:sz="6" w:space="0" w:color="FFFFFF"/>
              <w:tl2br w:val="nil"/>
              <w:tr2bl w:val="nil"/>
            </w:tcBorders>
            <w:shd w:val="clear" w:color="auto" w:fill="000000"/>
          </w:tcPr>
          <w:p w14:paraId="2A6142D4" w14:textId="77777777" w:rsidR="00FA0C5C" w:rsidRPr="00060B4F" w:rsidRDefault="00FA0C5C" w:rsidP="00182D28">
            <w:pPr>
              <w:pStyle w:val="Numberedpara3level1"/>
              <w:spacing w:after="0"/>
              <w:rPr>
                <w:rFonts w:cs="Calibri"/>
                <w:b/>
                <w:color w:val="FFFFFF"/>
                <w:szCs w:val="22"/>
              </w:rPr>
            </w:pPr>
            <w:r w:rsidRPr="00060B4F">
              <w:rPr>
                <w:rFonts w:cs="Calibri"/>
                <w:color w:val="FFFFFF"/>
                <w:szCs w:val="22"/>
              </w:rPr>
              <w:t>Ireland</w:t>
            </w:r>
            <w:r w:rsidRPr="00060B4F">
              <w:rPr>
                <w:rStyle w:val="FootnoteReference"/>
                <w:rFonts w:cs="Calibri"/>
                <w:szCs w:val="22"/>
              </w:rPr>
              <w:footnoteReference w:id="10"/>
            </w:r>
          </w:p>
        </w:tc>
        <w:tc>
          <w:tcPr>
            <w:tcW w:w="620" w:type="pct"/>
            <w:tcBorders>
              <w:top w:val="single" w:sz="12" w:space="0" w:color="000000"/>
              <w:left w:val="single" w:sz="6" w:space="0" w:color="FFFFFF"/>
              <w:bottom w:val="nil"/>
              <w:right w:val="single" w:sz="6" w:space="0" w:color="FFFFFF"/>
              <w:tl2br w:val="nil"/>
              <w:tr2bl w:val="nil"/>
            </w:tcBorders>
            <w:shd w:val="clear" w:color="auto" w:fill="000000"/>
          </w:tcPr>
          <w:p w14:paraId="704D8E36" w14:textId="77777777" w:rsidR="00FA0C5C" w:rsidRPr="00060B4F" w:rsidRDefault="00FA0C5C" w:rsidP="00182D28">
            <w:pPr>
              <w:pStyle w:val="Numberedpara3level1"/>
              <w:spacing w:after="0"/>
              <w:rPr>
                <w:rFonts w:cs="Calibri"/>
                <w:b/>
                <w:color w:val="FFFFFF"/>
                <w:szCs w:val="22"/>
              </w:rPr>
            </w:pPr>
            <w:r w:rsidRPr="00060B4F">
              <w:rPr>
                <w:rFonts w:cs="Calibri"/>
                <w:color w:val="FFFFFF"/>
                <w:szCs w:val="22"/>
              </w:rPr>
              <w:t>UK</w:t>
            </w:r>
            <w:r w:rsidRPr="00060B4F">
              <w:rPr>
                <w:rStyle w:val="FootnoteReference"/>
                <w:rFonts w:cs="Calibri"/>
                <w:szCs w:val="22"/>
              </w:rPr>
              <w:footnoteReference w:id="11"/>
            </w:r>
          </w:p>
        </w:tc>
        <w:tc>
          <w:tcPr>
            <w:tcW w:w="649" w:type="pct"/>
            <w:tcBorders>
              <w:top w:val="single" w:sz="12" w:space="0" w:color="000000"/>
              <w:left w:val="single" w:sz="6" w:space="0" w:color="FFFFFF"/>
              <w:bottom w:val="nil"/>
              <w:right w:val="single" w:sz="12" w:space="0" w:color="000000"/>
              <w:tl2br w:val="nil"/>
              <w:tr2bl w:val="nil"/>
            </w:tcBorders>
            <w:shd w:val="clear" w:color="auto" w:fill="000000"/>
          </w:tcPr>
          <w:p w14:paraId="6A55AD98" w14:textId="77777777" w:rsidR="00FA0C5C" w:rsidRPr="00060B4F" w:rsidRDefault="00FA0C5C" w:rsidP="00182D28">
            <w:pPr>
              <w:pStyle w:val="Numberedpara3level1"/>
              <w:spacing w:after="0"/>
              <w:rPr>
                <w:rFonts w:cs="Calibri"/>
                <w:b/>
                <w:color w:val="FFFFFF"/>
                <w:szCs w:val="22"/>
              </w:rPr>
            </w:pPr>
            <w:r w:rsidRPr="00060B4F">
              <w:rPr>
                <w:rFonts w:cs="Calibri"/>
                <w:color w:val="FFFFFF"/>
                <w:szCs w:val="22"/>
              </w:rPr>
              <w:t>USA</w:t>
            </w:r>
            <w:r w:rsidRPr="00060B4F">
              <w:rPr>
                <w:rStyle w:val="FootnoteReference"/>
                <w:rFonts w:cs="Calibri"/>
                <w:szCs w:val="22"/>
              </w:rPr>
              <w:footnoteReference w:id="12"/>
            </w:r>
          </w:p>
        </w:tc>
      </w:tr>
      <w:tr w:rsidR="00FA0C5C" w14:paraId="3A5728C9" w14:textId="77777777" w:rsidTr="00182D28">
        <w:trPr>
          <w:cantSplit/>
        </w:trPr>
        <w:tc>
          <w:tcPr>
            <w:tcW w:w="1339" w:type="pct"/>
            <w:shd w:val="clear" w:color="auto" w:fill="auto"/>
          </w:tcPr>
          <w:p w14:paraId="1348D316" w14:textId="77777777" w:rsidR="00FA0C5C" w:rsidRPr="00060B4F" w:rsidRDefault="00FA0C5C" w:rsidP="00182D28">
            <w:pPr>
              <w:pStyle w:val="Numberedpara3level1"/>
              <w:spacing w:after="0"/>
              <w:rPr>
                <w:rFonts w:cs="Calibri"/>
                <w:b/>
                <w:szCs w:val="22"/>
              </w:rPr>
            </w:pPr>
            <w:r w:rsidRPr="00060B4F">
              <w:rPr>
                <w:rFonts w:cs="Calibri"/>
                <w:b/>
                <w:szCs w:val="22"/>
              </w:rPr>
              <w:t>Adult Passport</w:t>
            </w:r>
          </w:p>
        </w:tc>
        <w:tc>
          <w:tcPr>
            <w:tcW w:w="489" w:type="pct"/>
            <w:shd w:val="clear" w:color="auto" w:fill="auto"/>
          </w:tcPr>
          <w:p w14:paraId="6BD6C03E" w14:textId="77777777" w:rsidR="00FA0C5C" w:rsidRPr="00060B4F" w:rsidRDefault="00FA0C5C" w:rsidP="00182D28">
            <w:pPr>
              <w:pStyle w:val="Numberedpara3level1"/>
              <w:spacing w:after="0"/>
              <w:jc w:val="right"/>
              <w:rPr>
                <w:rFonts w:cs="Calibri"/>
                <w:szCs w:val="22"/>
              </w:rPr>
            </w:pPr>
            <w:r w:rsidRPr="00060B4F">
              <w:rPr>
                <w:rFonts w:cs="Calibri"/>
                <w:szCs w:val="22"/>
              </w:rPr>
              <w:t>$228</w:t>
            </w:r>
          </w:p>
        </w:tc>
        <w:tc>
          <w:tcPr>
            <w:tcW w:w="663" w:type="pct"/>
            <w:shd w:val="clear" w:color="auto" w:fill="auto"/>
          </w:tcPr>
          <w:p w14:paraId="2899EEC7" w14:textId="77777777" w:rsidR="00FA0C5C" w:rsidRPr="00060B4F" w:rsidRDefault="00FA0C5C" w:rsidP="00182D28">
            <w:pPr>
              <w:pStyle w:val="Numberedpara3level1"/>
              <w:spacing w:after="0"/>
              <w:jc w:val="right"/>
              <w:rPr>
                <w:rFonts w:cs="Calibri"/>
                <w:szCs w:val="22"/>
              </w:rPr>
            </w:pPr>
            <w:r w:rsidRPr="00060B4F">
              <w:rPr>
                <w:rFonts w:cs="Calibri"/>
                <w:szCs w:val="22"/>
              </w:rPr>
              <w:t>$329.02</w:t>
            </w:r>
          </w:p>
          <w:p w14:paraId="346A23A2" w14:textId="77777777" w:rsidR="00FA0C5C" w:rsidRPr="00060B4F" w:rsidRDefault="00FA0C5C" w:rsidP="00182D28">
            <w:pPr>
              <w:pStyle w:val="Numberedpara3level1"/>
              <w:spacing w:after="0"/>
              <w:jc w:val="right"/>
              <w:rPr>
                <w:rFonts w:cs="Calibri"/>
                <w:szCs w:val="22"/>
              </w:rPr>
            </w:pPr>
            <w:r w:rsidRPr="00060B4F">
              <w:rPr>
                <w:rFonts w:cs="Calibri"/>
                <w:szCs w:val="22"/>
              </w:rPr>
              <w:t>(AUD$308)</w:t>
            </w:r>
          </w:p>
        </w:tc>
        <w:tc>
          <w:tcPr>
            <w:tcW w:w="619" w:type="pct"/>
            <w:shd w:val="clear" w:color="auto" w:fill="auto"/>
          </w:tcPr>
          <w:p w14:paraId="66E5C16F" w14:textId="77777777" w:rsidR="00FA0C5C" w:rsidRPr="00060B4F" w:rsidRDefault="00FA0C5C" w:rsidP="00182D28">
            <w:pPr>
              <w:pStyle w:val="Numberedpara3level1"/>
              <w:spacing w:after="0"/>
              <w:jc w:val="right"/>
              <w:rPr>
                <w:rFonts w:cs="Calibri"/>
                <w:szCs w:val="22"/>
              </w:rPr>
            </w:pPr>
            <w:r w:rsidRPr="00060B4F">
              <w:rPr>
                <w:rFonts w:cs="Calibri"/>
                <w:szCs w:val="22"/>
              </w:rPr>
              <w:t>$191.42</w:t>
            </w:r>
          </w:p>
          <w:p w14:paraId="173AB963" w14:textId="77777777" w:rsidR="00FA0C5C" w:rsidRPr="00060B4F" w:rsidRDefault="00FA0C5C" w:rsidP="00182D28">
            <w:pPr>
              <w:pStyle w:val="Numberedpara3level1"/>
              <w:spacing w:after="0"/>
              <w:jc w:val="right"/>
              <w:rPr>
                <w:rFonts w:cs="Calibri"/>
                <w:szCs w:val="22"/>
              </w:rPr>
            </w:pPr>
            <w:r w:rsidRPr="00060B4F">
              <w:rPr>
                <w:rFonts w:cs="Calibri"/>
                <w:szCs w:val="22"/>
              </w:rPr>
              <w:t>(C$160)</w:t>
            </w:r>
          </w:p>
        </w:tc>
        <w:tc>
          <w:tcPr>
            <w:tcW w:w="620" w:type="pct"/>
            <w:shd w:val="clear" w:color="auto" w:fill="auto"/>
          </w:tcPr>
          <w:p w14:paraId="42E6BA52" w14:textId="77777777" w:rsidR="00FA0C5C" w:rsidRPr="00060B4F" w:rsidRDefault="00FA0C5C" w:rsidP="00182D28">
            <w:pPr>
              <w:pStyle w:val="Numberedpara3level1"/>
              <w:spacing w:after="0"/>
              <w:jc w:val="right"/>
              <w:rPr>
                <w:rFonts w:cs="Calibri"/>
                <w:szCs w:val="22"/>
              </w:rPr>
            </w:pPr>
            <w:r w:rsidRPr="00060B4F">
              <w:rPr>
                <w:rFonts w:cs="Calibri"/>
                <w:szCs w:val="22"/>
              </w:rPr>
              <w:t>$127.75</w:t>
            </w:r>
          </w:p>
          <w:p w14:paraId="2886ADD6" w14:textId="77777777" w:rsidR="00FA0C5C" w:rsidRPr="00060B4F" w:rsidRDefault="00FA0C5C" w:rsidP="00182D28">
            <w:pPr>
              <w:pStyle w:val="Numberedpara3level1"/>
              <w:spacing w:after="0"/>
              <w:jc w:val="right"/>
              <w:rPr>
                <w:rFonts w:cs="Calibri"/>
                <w:szCs w:val="22"/>
              </w:rPr>
            </w:pPr>
            <w:r w:rsidRPr="00060B4F">
              <w:rPr>
                <w:rFonts w:cs="Calibri"/>
                <w:szCs w:val="22"/>
              </w:rPr>
              <w:t>(€75)</w:t>
            </w:r>
          </w:p>
        </w:tc>
        <w:tc>
          <w:tcPr>
            <w:tcW w:w="620" w:type="pct"/>
            <w:shd w:val="clear" w:color="auto" w:fill="auto"/>
          </w:tcPr>
          <w:p w14:paraId="51C7C09C" w14:textId="77777777" w:rsidR="00FA0C5C" w:rsidRPr="00060B4F" w:rsidRDefault="00FA0C5C" w:rsidP="00182D28">
            <w:pPr>
              <w:pStyle w:val="Numberedpara3level1"/>
              <w:spacing w:after="0"/>
              <w:jc w:val="right"/>
              <w:rPr>
                <w:rFonts w:cs="Calibri"/>
                <w:szCs w:val="22"/>
              </w:rPr>
            </w:pPr>
            <w:r w:rsidRPr="00060B4F">
              <w:rPr>
                <w:rFonts w:cs="Calibri"/>
                <w:szCs w:val="22"/>
              </w:rPr>
              <w:t>$152</w:t>
            </w:r>
          </w:p>
          <w:p w14:paraId="773500A7" w14:textId="77777777" w:rsidR="00FA0C5C" w:rsidRPr="00060B4F" w:rsidRDefault="00FA0C5C" w:rsidP="00182D28">
            <w:pPr>
              <w:pStyle w:val="Numberedpara3level1"/>
              <w:spacing w:after="0"/>
              <w:jc w:val="right"/>
              <w:rPr>
                <w:rFonts w:cs="Calibri"/>
                <w:szCs w:val="22"/>
              </w:rPr>
            </w:pPr>
            <w:r w:rsidRPr="00060B4F">
              <w:rPr>
                <w:rFonts w:cs="Calibri"/>
                <w:szCs w:val="22"/>
              </w:rPr>
              <w:t>(£75.50)</w:t>
            </w:r>
          </w:p>
        </w:tc>
        <w:tc>
          <w:tcPr>
            <w:tcW w:w="649" w:type="pct"/>
            <w:shd w:val="clear" w:color="auto" w:fill="auto"/>
          </w:tcPr>
          <w:p w14:paraId="4766FAA8" w14:textId="77777777" w:rsidR="00FA0C5C" w:rsidRPr="00060B4F" w:rsidRDefault="00FA0C5C" w:rsidP="00182D28">
            <w:pPr>
              <w:pStyle w:val="Numberedpara3level1"/>
              <w:spacing w:after="0"/>
              <w:jc w:val="right"/>
              <w:rPr>
                <w:rFonts w:cs="Calibri"/>
                <w:szCs w:val="22"/>
              </w:rPr>
            </w:pPr>
            <w:r w:rsidRPr="00060B4F">
              <w:rPr>
                <w:rFonts w:cs="Calibri"/>
                <w:szCs w:val="22"/>
              </w:rPr>
              <w:t>$247</w:t>
            </w:r>
          </w:p>
          <w:p w14:paraId="54AADFC3" w14:textId="77777777" w:rsidR="00FA0C5C" w:rsidRPr="00060B4F" w:rsidRDefault="00FA0C5C" w:rsidP="00182D28">
            <w:pPr>
              <w:pStyle w:val="Numberedpara3level1"/>
              <w:spacing w:after="0"/>
              <w:jc w:val="right"/>
              <w:rPr>
                <w:rFonts w:cs="Calibri"/>
                <w:szCs w:val="22"/>
              </w:rPr>
            </w:pPr>
            <w:r w:rsidRPr="00060B4F">
              <w:rPr>
                <w:rFonts w:cs="Calibri"/>
                <w:szCs w:val="22"/>
              </w:rPr>
              <w:t>(USD$165)</w:t>
            </w:r>
          </w:p>
        </w:tc>
      </w:tr>
      <w:tr w:rsidR="00FA0C5C" w14:paraId="7770CD18" w14:textId="77777777" w:rsidTr="00182D28">
        <w:trPr>
          <w:cantSplit/>
        </w:trPr>
        <w:tc>
          <w:tcPr>
            <w:tcW w:w="1339" w:type="pct"/>
            <w:shd w:val="clear" w:color="auto" w:fill="auto"/>
          </w:tcPr>
          <w:p w14:paraId="3CC484E8" w14:textId="77777777" w:rsidR="00FA0C5C" w:rsidRPr="00060B4F" w:rsidRDefault="00FA0C5C" w:rsidP="00182D28">
            <w:pPr>
              <w:pStyle w:val="Numberedpara3level1"/>
              <w:spacing w:after="0"/>
              <w:rPr>
                <w:rFonts w:cs="Calibri"/>
                <w:b/>
                <w:szCs w:val="22"/>
              </w:rPr>
            </w:pPr>
            <w:r w:rsidRPr="00060B4F">
              <w:rPr>
                <w:rFonts w:cs="Calibri"/>
                <w:b/>
                <w:szCs w:val="22"/>
              </w:rPr>
              <w:t>Child Passport</w:t>
            </w:r>
          </w:p>
        </w:tc>
        <w:tc>
          <w:tcPr>
            <w:tcW w:w="489" w:type="pct"/>
            <w:shd w:val="clear" w:color="auto" w:fill="auto"/>
          </w:tcPr>
          <w:p w14:paraId="5A2B829C" w14:textId="77777777" w:rsidR="00FA0C5C" w:rsidRPr="00060B4F" w:rsidRDefault="00FA0C5C" w:rsidP="00182D28">
            <w:pPr>
              <w:pStyle w:val="Numberedpara3level1"/>
              <w:spacing w:after="0"/>
              <w:jc w:val="right"/>
              <w:rPr>
                <w:rFonts w:cs="Calibri"/>
                <w:szCs w:val="22"/>
              </w:rPr>
            </w:pPr>
            <w:r w:rsidRPr="00060B4F">
              <w:rPr>
                <w:rFonts w:cs="Calibri"/>
                <w:szCs w:val="22"/>
              </w:rPr>
              <w:t>$132</w:t>
            </w:r>
          </w:p>
        </w:tc>
        <w:tc>
          <w:tcPr>
            <w:tcW w:w="663" w:type="pct"/>
            <w:shd w:val="clear" w:color="auto" w:fill="auto"/>
          </w:tcPr>
          <w:p w14:paraId="523E7BB4" w14:textId="77777777" w:rsidR="00FA0C5C" w:rsidRPr="00060B4F" w:rsidRDefault="00FA0C5C" w:rsidP="00182D28">
            <w:pPr>
              <w:pStyle w:val="Numberedpara3level1"/>
              <w:spacing w:after="0"/>
              <w:jc w:val="right"/>
              <w:rPr>
                <w:rFonts w:cs="Calibri"/>
                <w:szCs w:val="22"/>
              </w:rPr>
            </w:pPr>
            <w:r w:rsidRPr="00060B4F">
              <w:rPr>
                <w:rFonts w:cs="Calibri"/>
                <w:szCs w:val="22"/>
              </w:rPr>
              <w:t>$165.58</w:t>
            </w:r>
          </w:p>
          <w:p w14:paraId="421C8AD9" w14:textId="77777777" w:rsidR="00FA0C5C" w:rsidRPr="00060B4F" w:rsidRDefault="00FA0C5C" w:rsidP="00182D28">
            <w:pPr>
              <w:pStyle w:val="Numberedpara3level1"/>
              <w:spacing w:after="0"/>
              <w:jc w:val="right"/>
              <w:rPr>
                <w:rFonts w:cs="Calibri"/>
                <w:szCs w:val="22"/>
              </w:rPr>
            </w:pPr>
            <w:r w:rsidRPr="00060B4F">
              <w:rPr>
                <w:rFonts w:cs="Calibri"/>
                <w:szCs w:val="22"/>
              </w:rPr>
              <w:t>(AUD155)</w:t>
            </w:r>
          </w:p>
        </w:tc>
        <w:tc>
          <w:tcPr>
            <w:tcW w:w="619" w:type="pct"/>
            <w:shd w:val="clear" w:color="auto" w:fill="auto"/>
          </w:tcPr>
          <w:p w14:paraId="5C07743B" w14:textId="77777777" w:rsidR="00FA0C5C" w:rsidRPr="00060B4F" w:rsidRDefault="00FA0C5C" w:rsidP="00182D28">
            <w:pPr>
              <w:pStyle w:val="Numberedpara3level1"/>
              <w:spacing w:after="0"/>
              <w:jc w:val="right"/>
              <w:rPr>
                <w:rFonts w:cs="Calibri"/>
                <w:szCs w:val="22"/>
              </w:rPr>
            </w:pPr>
            <w:r w:rsidRPr="00060B4F">
              <w:rPr>
                <w:rFonts w:cs="Calibri"/>
                <w:szCs w:val="22"/>
              </w:rPr>
              <w:t>$68.19</w:t>
            </w:r>
          </w:p>
          <w:p w14:paraId="2502EDA0" w14:textId="77777777" w:rsidR="00FA0C5C" w:rsidRPr="00060B4F" w:rsidRDefault="00FA0C5C" w:rsidP="00182D28">
            <w:pPr>
              <w:pStyle w:val="Numberedpara3level1"/>
              <w:spacing w:after="0"/>
              <w:jc w:val="right"/>
              <w:rPr>
                <w:rFonts w:cs="Calibri"/>
                <w:szCs w:val="22"/>
              </w:rPr>
            </w:pPr>
            <w:r w:rsidRPr="00060B4F">
              <w:rPr>
                <w:rFonts w:cs="Calibri"/>
                <w:szCs w:val="22"/>
              </w:rPr>
              <w:t>(C$57)</w:t>
            </w:r>
          </w:p>
        </w:tc>
        <w:tc>
          <w:tcPr>
            <w:tcW w:w="620" w:type="pct"/>
            <w:shd w:val="clear" w:color="auto" w:fill="auto"/>
          </w:tcPr>
          <w:p w14:paraId="7C62E611" w14:textId="77777777" w:rsidR="00FA0C5C" w:rsidRPr="00060B4F" w:rsidRDefault="00FA0C5C" w:rsidP="00182D28">
            <w:pPr>
              <w:pStyle w:val="Numberedpara3level1"/>
              <w:spacing w:after="0"/>
              <w:jc w:val="right"/>
              <w:rPr>
                <w:rFonts w:cs="Calibri"/>
                <w:szCs w:val="22"/>
              </w:rPr>
            </w:pPr>
            <w:r w:rsidRPr="00060B4F">
              <w:rPr>
                <w:rFonts w:cs="Calibri"/>
                <w:szCs w:val="22"/>
              </w:rPr>
              <w:t>$34.07</w:t>
            </w:r>
          </w:p>
          <w:p w14:paraId="79211D4C" w14:textId="77777777" w:rsidR="00FA0C5C" w:rsidRPr="00060B4F" w:rsidRDefault="00FA0C5C" w:rsidP="00182D28">
            <w:pPr>
              <w:pStyle w:val="Numberedpara3level1"/>
              <w:spacing w:after="0"/>
              <w:jc w:val="right"/>
              <w:rPr>
                <w:rFonts w:cs="Calibri"/>
                <w:szCs w:val="22"/>
              </w:rPr>
            </w:pPr>
            <w:r w:rsidRPr="00060B4F">
              <w:rPr>
                <w:rFonts w:cs="Calibri"/>
                <w:szCs w:val="22"/>
              </w:rPr>
              <w:t>(€20)</w:t>
            </w:r>
          </w:p>
        </w:tc>
        <w:tc>
          <w:tcPr>
            <w:tcW w:w="620" w:type="pct"/>
            <w:shd w:val="clear" w:color="auto" w:fill="auto"/>
          </w:tcPr>
          <w:p w14:paraId="066DE805" w14:textId="77777777" w:rsidR="00FA0C5C" w:rsidRPr="00060B4F" w:rsidRDefault="00FA0C5C" w:rsidP="00182D28">
            <w:pPr>
              <w:pStyle w:val="Numberedpara3level1"/>
              <w:spacing w:after="0"/>
              <w:jc w:val="right"/>
              <w:rPr>
                <w:rFonts w:cs="Calibri"/>
                <w:szCs w:val="22"/>
              </w:rPr>
            </w:pPr>
            <w:r w:rsidRPr="00060B4F">
              <w:rPr>
                <w:rFonts w:cs="Calibri"/>
                <w:szCs w:val="22"/>
              </w:rPr>
              <w:t>$98</w:t>
            </w:r>
          </w:p>
          <w:p w14:paraId="416AC196" w14:textId="77777777" w:rsidR="00FA0C5C" w:rsidRPr="00060B4F" w:rsidRDefault="00FA0C5C" w:rsidP="00182D28">
            <w:pPr>
              <w:pStyle w:val="Numberedpara3level1"/>
              <w:spacing w:after="0"/>
              <w:jc w:val="right"/>
              <w:rPr>
                <w:rFonts w:cs="Calibri"/>
                <w:szCs w:val="22"/>
              </w:rPr>
            </w:pPr>
            <w:r w:rsidRPr="00060B4F">
              <w:rPr>
                <w:rFonts w:cs="Calibri"/>
                <w:szCs w:val="22"/>
              </w:rPr>
              <w:t>(£49.00)</w:t>
            </w:r>
          </w:p>
        </w:tc>
        <w:tc>
          <w:tcPr>
            <w:tcW w:w="649" w:type="pct"/>
            <w:shd w:val="clear" w:color="auto" w:fill="auto"/>
          </w:tcPr>
          <w:p w14:paraId="3791730E" w14:textId="77777777" w:rsidR="00FA0C5C" w:rsidRPr="00060B4F" w:rsidRDefault="00FA0C5C" w:rsidP="00182D28">
            <w:pPr>
              <w:pStyle w:val="Numberedpara3level1"/>
              <w:spacing w:after="0"/>
              <w:jc w:val="right"/>
              <w:rPr>
                <w:rFonts w:cs="Calibri"/>
                <w:szCs w:val="22"/>
              </w:rPr>
            </w:pPr>
            <w:r w:rsidRPr="00060B4F">
              <w:rPr>
                <w:rFonts w:cs="Calibri"/>
                <w:szCs w:val="22"/>
              </w:rPr>
              <w:t>$202</w:t>
            </w:r>
          </w:p>
          <w:p w14:paraId="61F7B893" w14:textId="77777777" w:rsidR="00FA0C5C" w:rsidRPr="00060B4F" w:rsidRDefault="00FA0C5C" w:rsidP="00182D28">
            <w:pPr>
              <w:pStyle w:val="Numberedpara3level1"/>
              <w:spacing w:after="0"/>
              <w:jc w:val="right"/>
              <w:rPr>
                <w:rFonts w:cs="Calibri"/>
                <w:szCs w:val="22"/>
              </w:rPr>
            </w:pPr>
            <w:r w:rsidRPr="00060B4F">
              <w:rPr>
                <w:rFonts w:cs="Calibri"/>
                <w:szCs w:val="22"/>
              </w:rPr>
              <w:t>(USD$135)</w:t>
            </w:r>
          </w:p>
        </w:tc>
      </w:tr>
    </w:tbl>
    <w:p w14:paraId="5B0B232D" w14:textId="77777777" w:rsidR="008D5CD9" w:rsidRDefault="00433954" w:rsidP="00F578DB">
      <w:pPr>
        <w:pStyle w:val="Heading2"/>
      </w:pPr>
      <w:r>
        <w:t>I</w:t>
      </w:r>
      <w:r w:rsidR="008D5CD9" w:rsidRPr="00082653">
        <w:t>mpact analysis</w:t>
      </w:r>
      <w:bookmarkEnd w:id="43"/>
      <w:bookmarkEnd w:id="44"/>
      <w:bookmarkEnd w:id="45"/>
      <w:bookmarkEnd w:id="46"/>
      <w:bookmarkEnd w:id="47"/>
      <w:bookmarkEnd w:id="48"/>
      <w:bookmarkEnd w:id="49"/>
      <w:bookmarkEnd w:id="50"/>
      <w:bookmarkEnd w:id="51"/>
      <w:bookmarkEnd w:id="52"/>
      <w:bookmarkEnd w:id="53"/>
      <w:r w:rsidR="008D5CD9" w:rsidRPr="00082653">
        <w:t xml:space="preserve"> </w:t>
      </w:r>
    </w:p>
    <w:p w14:paraId="3E3FF19E" w14:textId="220F726C" w:rsidR="00AC0CA3" w:rsidRDefault="00AC0CA3" w:rsidP="00CC1447">
      <w:pPr>
        <w:pStyle w:val="Numberedpara3level1"/>
        <w:keepLines/>
        <w:spacing w:before="0" w:line="280" w:lineRule="atLeast"/>
        <w:jc w:val="both"/>
        <w:rPr>
          <w:rFonts w:ascii="Arial" w:hAnsi="Arial" w:cs="Arial"/>
          <w:sz w:val="22"/>
          <w:szCs w:val="22"/>
        </w:rPr>
      </w:pPr>
      <w:r>
        <w:rPr>
          <w:rFonts w:ascii="Arial" w:hAnsi="Arial" w:cs="Arial"/>
          <w:sz w:val="22"/>
          <w:szCs w:val="22"/>
        </w:rPr>
        <w:t xml:space="preserve">The Department forecasts that total annual </w:t>
      </w:r>
      <w:r w:rsidR="00A54001">
        <w:rPr>
          <w:rFonts w:ascii="Arial" w:hAnsi="Arial" w:cs="Arial"/>
          <w:sz w:val="22"/>
          <w:szCs w:val="22"/>
        </w:rPr>
        <w:t xml:space="preserve">passport </w:t>
      </w:r>
      <w:r>
        <w:rPr>
          <w:rFonts w:ascii="Arial" w:hAnsi="Arial" w:cs="Arial"/>
          <w:sz w:val="22"/>
          <w:szCs w:val="22"/>
        </w:rPr>
        <w:t xml:space="preserve">issuance over the next five years will be </w:t>
      </w:r>
      <w:r w:rsidR="00A54001">
        <w:rPr>
          <w:rFonts w:ascii="Arial" w:hAnsi="Arial" w:cs="Arial"/>
          <w:sz w:val="22"/>
          <w:szCs w:val="22"/>
        </w:rPr>
        <w:t>1,767,34</w:t>
      </w:r>
      <w:r w:rsidR="00DF412E">
        <w:rPr>
          <w:rFonts w:ascii="Arial" w:hAnsi="Arial" w:cs="Arial"/>
          <w:sz w:val="22"/>
          <w:szCs w:val="22"/>
        </w:rPr>
        <w:t>9</w:t>
      </w:r>
      <w:r w:rsidR="00A54001">
        <w:rPr>
          <w:rFonts w:ascii="Arial" w:hAnsi="Arial" w:cs="Arial"/>
          <w:sz w:val="22"/>
          <w:szCs w:val="22"/>
        </w:rPr>
        <w:t xml:space="preserve"> passports. The table shows the </w:t>
      </w:r>
      <w:r w:rsidR="00A54001" w:rsidRPr="00EB3389">
        <w:rPr>
          <w:rFonts w:ascii="Arial" w:hAnsi="Arial" w:cs="Arial"/>
          <w:sz w:val="22"/>
          <w:szCs w:val="22"/>
        </w:rPr>
        <w:t>number of applicants</w:t>
      </w:r>
      <w:r w:rsidR="00A54001">
        <w:rPr>
          <w:rFonts w:ascii="Arial" w:hAnsi="Arial" w:cs="Arial"/>
          <w:sz w:val="22"/>
          <w:szCs w:val="22"/>
        </w:rPr>
        <w:t xml:space="preserve"> who will be impacted by the fee increases </w:t>
      </w:r>
      <w:r w:rsidR="00EB3389">
        <w:rPr>
          <w:rFonts w:ascii="Arial" w:hAnsi="Arial" w:cs="Arial"/>
          <w:sz w:val="22"/>
          <w:szCs w:val="22"/>
        </w:rPr>
        <w:t xml:space="preserve">and the </w:t>
      </w:r>
      <w:r w:rsidR="00EB3389" w:rsidRPr="00EB3389">
        <w:rPr>
          <w:rFonts w:ascii="Arial" w:hAnsi="Arial" w:cs="Arial"/>
          <w:sz w:val="22"/>
          <w:szCs w:val="22"/>
          <w:u w:val="single"/>
        </w:rPr>
        <w:t>cumulative</w:t>
      </w:r>
      <w:r w:rsidR="00EB3389">
        <w:rPr>
          <w:rFonts w:ascii="Arial" w:hAnsi="Arial" w:cs="Arial"/>
          <w:sz w:val="22"/>
          <w:szCs w:val="22"/>
        </w:rPr>
        <w:t xml:space="preserve"> impacts of the increases </w:t>
      </w:r>
      <w:r w:rsidR="00A54001">
        <w:rPr>
          <w:rFonts w:ascii="Arial" w:hAnsi="Arial" w:cs="Arial"/>
          <w:sz w:val="22"/>
          <w:szCs w:val="22"/>
        </w:rPr>
        <w:t xml:space="preserve">over </w:t>
      </w:r>
      <w:r w:rsidR="00EB3389">
        <w:rPr>
          <w:rFonts w:ascii="Arial" w:hAnsi="Arial" w:cs="Arial"/>
          <w:sz w:val="22"/>
          <w:szCs w:val="22"/>
        </w:rPr>
        <w:t xml:space="preserve">a </w:t>
      </w:r>
      <w:r w:rsidR="00A54001">
        <w:rPr>
          <w:rFonts w:ascii="Arial" w:hAnsi="Arial" w:cs="Arial"/>
          <w:sz w:val="22"/>
          <w:szCs w:val="22"/>
        </w:rPr>
        <w:t>five-year period for each option.</w:t>
      </w:r>
      <w:r w:rsidR="00EB3389">
        <w:rPr>
          <w:rFonts w:ascii="Arial" w:hAnsi="Arial" w:cs="Arial"/>
          <w:sz w:val="22"/>
          <w:szCs w:val="22"/>
        </w:rPr>
        <w:t xml:space="preserve"> </w:t>
      </w:r>
    </w:p>
    <w:p w14:paraId="2202AF9E" w14:textId="7C3B0F1F" w:rsidR="00EB3389" w:rsidRDefault="00EB3389" w:rsidP="00EB3389">
      <w:pPr>
        <w:pStyle w:val="Caption"/>
        <w:rPr>
          <w:rFonts w:cs="Arial"/>
          <w:sz w:val="22"/>
          <w:szCs w:val="22"/>
        </w:rPr>
      </w:pPr>
      <w:r>
        <w:t xml:space="preserve">Table </w:t>
      </w:r>
      <w:r>
        <w:fldChar w:fldCharType="begin"/>
      </w:r>
      <w:r>
        <w:instrText xml:space="preserve"> SEQ Table \* ARABIC </w:instrText>
      </w:r>
      <w:r>
        <w:fldChar w:fldCharType="separate"/>
      </w:r>
      <w:r w:rsidR="003B6033">
        <w:rPr>
          <w:noProof/>
        </w:rPr>
        <w:t>3</w:t>
      </w:r>
      <w:r>
        <w:fldChar w:fldCharType="end"/>
      </w:r>
      <w:r>
        <w:t xml:space="preserve"> Forecast demand </w:t>
      </w:r>
    </w:p>
    <w:tbl>
      <w:tblPr>
        <w:tblStyle w:val="Cabinetpaper"/>
        <w:tblW w:w="0" w:type="auto"/>
        <w:tblLook w:val="04A0" w:firstRow="1" w:lastRow="0" w:firstColumn="1" w:lastColumn="0" w:noHBand="0" w:noVBand="1"/>
      </w:tblPr>
      <w:tblGrid>
        <w:gridCol w:w="1684"/>
        <w:gridCol w:w="2136"/>
        <w:gridCol w:w="1109"/>
        <w:gridCol w:w="1109"/>
      </w:tblGrid>
      <w:tr w:rsidR="00EB3389" w14:paraId="7F33205F" w14:textId="77777777" w:rsidTr="001A2731">
        <w:trPr>
          <w:cnfStyle w:val="100000000000" w:firstRow="1" w:lastRow="0" w:firstColumn="0" w:lastColumn="0" w:oddVBand="0" w:evenVBand="0" w:oddHBand="0" w:evenHBand="0" w:firstRowFirstColumn="0" w:firstRowLastColumn="0" w:lastRowFirstColumn="0" w:lastRowLastColumn="0"/>
        </w:trPr>
        <w:tc>
          <w:tcPr>
            <w:tcW w:w="0" w:type="auto"/>
          </w:tcPr>
          <w:p w14:paraId="1E210AB8" w14:textId="013FE463" w:rsidR="003F64CD" w:rsidRDefault="003F64CD" w:rsidP="00CC1447">
            <w:pPr>
              <w:pStyle w:val="Numberedpara3level1"/>
              <w:keepLines/>
              <w:spacing w:before="0" w:line="280" w:lineRule="atLeast"/>
              <w:jc w:val="both"/>
              <w:rPr>
                <w:rFonts w:ascii="Arial" w:hAnsi="Arial" w:cs="Arial"/>
                <w:sz w:val="22"/>
                <w:szCs w:val="22"/>
              </w:rPr>
            </w:pPr>
            <w:r>
              <w:rPr>
                <w:rFonts w:ascii="Arial" w:hAnsi="Arial" w:cs="Arial"/>
                <w:sz w:val="22"/>
                <w:szCs w:val="22"/>
              </w:rPr>
              <w:t>Financial year</w:t>
            </w:r>
          </w:p>
        </w:tc>
        <w:tc>
          <w:tcPr>
            <w:tcW w:w="0" w:type="auto"/>
          </w:tcPr>
          <w:p w14:paraId="74A4EC83" w14:textId="5735A15F" w:rsidR="003F64CD" w:rsidRDefault="003F64CD" w:rsidP="00CC1447">
            <w:pPr>
              <w:pStyle w:val="Numberedpara3level1"/>
              <w:keepLines/>
              <w:spacing w:before="0" w:line="280" w:lineRule="atLeast"/>
              <w:jc w:val="both"/>
              <w:rPr>
                <w:rFonts w:ascii="Arial" w:hAnsi="Arial" w:cs="Arial"/>
                <w:sz w:val="22"/>
                <w:szCs w:val="22"/>
              </w:rPr>
            </w:pPr>
            <w:r>
              <w:rPr>
                <w:rFonts w:ascii="Arial" w:hAnsi="Arial" w:cs="Arial"/>
                <w:sz w:val="22"/>
                <w:szCs w:val="22"/>
              </w:rPr>
              <w:t>Forecast Issuance</w:t>
            </w:r>
          </w:p>
        </w:tc>
        <w:tc>
          <w:tcPr>
            <w:tcW w:w="0" w:type="auto"/>
          </w:tcPr>
          <w:p w14:paraId="76125C37" w14:textId="73B9E65E" w:rsidR="003F64CD" w:rsidRDefault="003F64CD" w:rsidP="00CC1447">
            <w:pPr>
              <w:pStyle w:val="Numberedpara3level1"/>
              <w:keepLines/>
              <w:spacing w:before="0" w:line="280" w:lineRule="atLeast"/>
              <w:jc w:val="both"/>
              <w:rPr>
                <w:rFonts w:ascii="Arial" w:hAnsi="Arial" w:cs="Arial"/>
                <w:sz w:val="22"/>
                <w:szCs w:val="22"/>
              </w:rPr>
            </w:pPr>
            <w:r>
              <w:rPr>
                <w:rFonts w:ascii="Arial" w:hAnsi="Arial" w:cs="Arial"/>
                <w:sz w:val="22"/>
                <w:szCs w:val="22"/>
              </w:rPr>
              <w:t>Option 1</w:t>
            </w:r>
          </w:p>
        </w:tc>
        <w:tc>
          <w:tcPr>
            <w:tcW w:w="0" w:type="auto"/>
          </w:tcPr>
          <w:p w14:paraId="3968A949" w14:textId="5DE8E8E1" w:rsidR="003F64CD" w:rsidRDefault="003F64CD" w:rsidP="00CC1447">
            <w:pPr>
              <w:pStyle w:val="Numberedpara3level1"/>
              <w:keepLines/>
              <w:spacing w:before="0" w:line="280" w:lineRule="atLeast"/>
              <w:jc w:val="both"/>
              <w:rPr>
                <w:rFonts w:ascii="Arial" w:hAnsi="Arial" w:cs="Arial"/>
                <w:sz w:val="22"/>
                <w:szCs w:val="22"/>
              </w:rPr>
            </w:pPr>
            <w:r>
              <w:rPr>
                <w:rFonts w:ascii="Arial" w:hAnsi="Arial" w:cs="Arial"/>
                <w:sz w:val="22"/>
                <w:szCs w:val="22"/>
              </w:rPr>
              <w:t>Option 2</w:t>
            </w:r>
          </w:p>
        </w:tc>
      </w:tr>
      <w:tr w:rsidR="003F64CD" w14:paraId="39C87809" w14:textId="77777777" w:rsidTr="001A2731">
        <w:tc>
          <w:tcPr>
            <w:tcW w:w="0" w:type="auto"/>
          </w:tcPr>
          <w:p w14:paraId="676DC7F5" w14:textId="0D73DFBD" w:rsidR="003F64CD" w:rsidRDefault="003F64CD" w:rsidP="00CC1447">
            <w:pPr>
              <w:pStyle w:val="Numberedpara3level1"/>
              <w:keepLines/>
              <w:spacing w:before="0" w:line="280" w:lineRule="atLeast"/>
              <w:jc w:val="both"/>
              <w:rPr>
                <w:rFonts w:ascii="Arial" w:hAnsi="Arial" w:cs="Arial"/>
                <w:sz w:val="22"/>
                <w:szCs w:val="22"/>
              </w:rPr>
            </w:pPr>
            <w:r>
              <w:rPr>
                <w:rFonts w:ascii="Arial" w:hAnsi="Arial" w:cs="Arial"/>
                <w:sz w:val="22"/>
                <w:szCs w:val="22"/>
              </w:rPr>
              <w:t>2021/22</w:t>
            </w:r>
          </w:p>
        </w:tc>
        <w:tc>
          <w:tcPr>
            <w:tcW w:w="0" w:type="auto"/>
          </w:tcPr>
          <w:p w14:paraId="799CEE1F" w14:textId="5D1DA421" w:rsidR="003F64CD" w:rsidRDefault="003F64CD" w:rsidP="00A54001">
            <w:pPr>
              <w:pStyle w:val="Numberedpara3level1"/>
              <w:keepLines/>
              <w:spacing w:before="0" w:line="280" w:lineRule="atLeast"/>
              <w:jc w:val="right"/>
              <w:rPr>
                <w:rFonts w:ascii="Arial" w:hAnsi="Arial" w:cs="Arial"/>
                <w:sz w:val="22"/>
                <w:szCs w:val="22"/>
              </w:rPr>
            </w:pPr>
            <w:r>
              <w:rPr>
                <w:rFonts w:ascii="Arial" w:hAnsi="Arial" w:cs="Arial"/>
                <w:sz w:val="22"/>
                <w:szCs w:val="22"/>
              </w:rPr>
              <w:t>293,513</w:t>
            </w:r>
          </w:p>
        </w:tc>
        <w:tc>
          <w:tcPr>
            <w:tcW w:w="0" w:type="auto"/>
          </w:tcPr>
          <w:p w14:paraId="14681F97" w14:textId="6842F22F" w:rsidR="003F64CD" w:rsidRDefault="00A54001" w:rsidP="00CC1447">
            <w:pPr>
              <w:pStyle w:val="Numberedpara3level1"/>
              <w:keepLines/>
              <w:spacing w:before="0" w:line="280" w:lineRule="atLeast"/>
              <w:jc w:val="both"/>
              <w:rPr>
                <w:rFonts w:ascii="Arial" w:hAnsi="Arial" w:cs="Arial"/>
                <w:sz w:val="22"/>
                <w:szCs w:val="22"/>
              </w:rPr>
            </w:pPr>
            <w:r>
              <w:rPr>
                <w:rFonts w:ascii="Arial" w:hAnsi="Arial" w:cs="Arial"/>
                <w:sz w:val="22"/>
                <w:szCs w:val="22"/>
              </w:rPr>
              <w:t>19.37%</w:t>
            </w:r>
          </w:p>
        </w:tc>
        <w:tc>
          <w:tcPr>
            <w:tcW w:w="0" w:type="auto"/>
          </w:tcPr>
          <w:p w14:paraId="79908EF0" w14:textId="7E823CCB" w:rsidR="003F64CD" w:rsidRDefault="00A54001" w:rsidP="00CC1447">
            <w:pPr>
              <w:pStyle w:val="Numberedpara3level1"/>
              <w:keepLines/>
              <w:spacing w:before="0" w:line="280" w:lineRule="atLeast"/>
              <w:jc w:val="both"/>
              <w:rPr>
                <w:rFonts w:ascii="Arial" w:hAnsi="Arial" w:cs="Arial"/>
                <w:sz w:val="22"/>
                <w:szCs w:val="22"/>
              </w:rPr>
            </w:pPr>
            <w:r>
              <w:rPr>
                <w:rFonts w:ascii="Arial" w:hAnsi="Arial" w:cs="Arial"/>
                <w:sz w:val="22"/>
                <w:szCs w:val="22"/>
              </w:rPr>
              <w:t>3.97%</w:t>
            </w:r>
          </w:p>
        </w:tc>
      </w:tr>
      <w:tr w:rsidR="003F64CD" w14:paraId="15405CDC" w14:textId="77777777" w:rsidTr="001A2731">
        <w:tc>
          <w:tcPr>
            <w:tcW w:w="0" w:type="auto"/>
          </w:tcPr>
          <w:p w14:paraId="5AB1CC02" w14:textId="2244605F" w:rsidR="003F64CD" w:rsidRDefault="003F64CD" w:rsidP="00CC1447">
            <w:pPr>
              <w:pStyle w:val="Numberedpara3level1"/>
              <w:keepLines/>
              <w:spacing w:before="0" w:line="280" w:lineRule="atLeast"/>
              <w:jc w:val="both"/>
              <w:rPr>
                <w:rFonts w:ascii="Arial" w:hAnsi="Arial" w:cs="Arial"/>
                <w:sz w:val="22"/>
                <w:szCs w:val="22"/>
              </w:rPr>
            </w:pPr>
            <w:r>
              <w:rPr>
                <w:rFonts w:ascii="Arial" w:hAnsi="Arial" w:cs="Arial"/>
                <w:sz w:val="22"/>
                <w:szCs w:val="22"/>
              </w:rPr>
              <w:t>2022/23</w:t>
            </w:r>
          </w:p>
        </w:tc>
        <w:tc>
          <w:tcPr>
            <w:tcW w:w="0" w:type="auto"/>
          </w:tcPr>
          <w:p w14:paraId="71EC414A" w14:textId="5CBB18E5" w:rsidR="003F64CD" w:rsidRDefault="003F64CD" w:rsidP="00A54001">
            <w:pPr>
              <w:pStyle w:val="Numberedpara3level1"/>
              <w:keepLines/>
              <w:spacing w:before="0" w:line="280" w:lineRule="atLeast"/>
              <w:jc w:val="right"/>
              <w:rPr>
                <w:rFonts w:ascii="Arial" w:hAnsi="Arial" w:cs="Arial"/>
                <w:sz w:val="22"/>
                <w:szCs w:val="22"/>
              </w:rPr>
            </w:pPr>
            <w:r>
              <w:rPr>
                <w:rFonts w:ascii="Arial" w:hAnsi="Arial" w:cs="Arial"/>
                <w:sz w:val="22"/>
                <w:szCs w:val="22"/>
              </w:rPr>
              <w:t>316,995</w:t>
            </w:r>
          </w:p>
        </w:tc>
        <w:tc>
          <w:tcPr>
            <w:tcW w:w="0" w:type="auto"/>
          </w:tcPr>
          <w:p w14:paraId="0F91A88D" w14:textId="77777777" w:rsidR="003F64CD" w:rsidRDefault="003F64CD" w:rsidP="00CC1447">
            <w:pPr>
              <w:pStyle w:val="Numberedpara3level1"/>
              <w:keepLines/>
              <w:spacing w:before="0" w:line="280" w:lineRule="atLeast"/>
              <w:jc w:val="both"/>
              <w:rPr>
                <w:rFonts w:ascii="Arial" w:hAnsi="Arial" w:cs="Arial"/>
                <w:sz w:val="22"/>
                <w:szCs w:val="22"/>
              </w:rPr>
            </w:pPr>
          </w:p>
        </w:tc>
        <w:tc>
          <w:tcPr>
            <w:tcW w:w="0" w:type="auto"/>
          </w:tcPr>
          <w:p w14:paraId="61FBD5A7" w14:textId="720F4D31" w:rsidR="003F64CD" w:rsidRDefault="00DF412E" w:rsidP="00CC1447">
            <w:pPr>
              <w:pStyle w:val="Numberedpara3level1"/>
              <w:keepLines/>
              <w:spacing w:before="0" w:line="280" w:lineRule="atLeast"/>
              <w:jc w:val="both"/>
              <w:rPr>
                <w:rFonts w:ascii="Arial" w:hAnsi="Arial" w:cs="Arial"/>
                <w:sz w:val="22"/>
                <w:szCs w:val="22"/>
              </w:rPr>
            </w:pPr>
            <w:r>
              <w:rPr>
                <w:rFonts w:ascii="Arial" w:hAnsi="Arial" w:cs="Arial"/>
                <w:sz w:val="22"/>
                <w:szCs w:val="22"/>
              </w:rPr>
              <w:t>8.10</w:t>
            </w:r>
            <w:r w:rsidR="00A54001">
              <w:rPr>
                <w:rFonts w:ascii="Arial" w:hAnsi="Arial" w:cs="Arial"/>
                <w:sz w:val="22"/>
                <w:szCs w:val="22"/>
              </w:rPr>
              <w:t>%</w:t>
            </w:r>
          </w:p>
        </w:tc>
      </w:tr>
      <w:tr w:rsidR="003F64CD" w14:paraId="7C1D7734" w14:textId="77777777" w:rsidTr="001A2731">
        <w:tc>
          <w:tcPr>
            <w:tcW w:w="0" w:type="auto"/>
          </w:tcPr>
          <w:p w14:paraId="61371AB1" w14:textId="4AAFA61D" w:rsidR="003F64CD" w:rsidRDefault="003F64CD" w:rsidP="00CC1447">
            <w:pPr>
              <w:pStyle w:val="Numberedpara3level1"/>
              <w:keepLines/>
              <w:spacing w:before="0" w:line="280" w:lineRule="atLeast"/>
              <w:jc w:val="both"/>
              <w:rPr>
                <w:rFonts w:ascii="Arial" w:hAnsi="Arial" w:cs="Arial"/>
                <w:sz w:val="22"/>
                <w:szCs w:val="22"/>
              </w:rPr>
            </w:pPr>
            <w:r>
              <w:rPr>
                <w:rFonts w:ascii="Arial" w:hAnsi="Arial" w:cs="Arial"/>
                <w:sz w:val="22"/>
                <w:szCs w:val="22"/>
              </w:rPr>
              <w:t>2023/24</w:t>
            </w:r>
          </w:p>
        </w:tc>
        <w:tc>
          <w:tcPr>
            <w:tcW w:w="0" w:type="auto"/>
          </w:tcPr>
          <w:p w14:paraId="1A07F00A" w14:textId="7F90E611" w:rsidR="003F64CD" w:rsidRDefault="003F64CD" w:rsidP="00A54001">
            <w:pPr>
              <w:pStyle w:val="Numberedpara3level1"/>
              <w:keepLines/>
              <w:spacing w:before="0" w:line="280" w:lineRule="atLeast"/>
              <w:jc w:val="right"/>
              <w:rPr>
                <w:rFonts w:ascii="Arial" w:hAnsi="Arial" w:cs="Arial"/>
                <w:sz w:val="22"/>
                <w:szCs w:val="22"/>
              </w:rPr>
            </w:pPr>
            <w:r>
              <w:rPr>
                <w:rFonts w:ascii="Arial" w:hAnsi="Arial" w:cs="Arial"/>
                <w:sz w:val="22"/>
                <w:szCs w:val="22"/>
              </w:rPr>
              <w:t>293,715</w:t>
            </w:r>
          </w:p>
        </w:tc>
        <w:tc>
          <w:tcPr>
            <w:tcW w:w="0" w:type="auto"/>
          </w:tcPr>
          <w:p w14:paraId="3D906D26" w14:textId="77777777" w:rsidR="003F64CD" w:rsidRDefault="003F64CD" w:rsidP="00CC1447">
            <w:pPr>
              <w:pStyle w:val="Numberedpara3level1"/>
              <w:keepLines/>
              <w:spacing w:before="0" w:line="280" w:lineRule="atLeast"/>
              <w:jc w:val="both"/>
              <w:rPr>
                <w:rFonts w:ascii="Arial" w:hAnsi="Arial" w:cs="Arial"/>
                <w:sz w:val="22"/>
                <w:szCs w:val="22"/>
              </w:rPr>
            </w:pPr>
          </w:p>
        </w:tc>
        <w:tc>
          <w:tcPr>
            <w:tcW w:w="0" w:type="auto"/>
          </w:tcPr>
          <w:p w14:paraId="68B82983" w14:textId="50113E32" w:rsidR="003F64CD" w:rsidRDefault="00DF412E" w:rsidP="00CC1447">
            <w:pPr>
              <w:pStyle w:val="Numberedpara3level1"/>
              <w:keepLines/>
              <w:spacing w:before="0" w:line="280" w:lineRule="atLeast"/>
              <w:jc w:val="both"/>
              <w:rPr>
                <w:rFonts w:ascii="Arial" w:hAnsi="Arial" w:cs="Arial"/>
                <w:sz w:val="22"/>
                <w:szCs w:val="22"/>
              </w:rPr>
            </w:pPr>
            <w:r>
              <w:rPr>
                <w:rFonts w:ascii="Arial" w:hAnsi="Arial" w:cs="Arial"/>
                <w:sz w:val="22"/>
                <w:szCs w:val="22"/>
              </w:rPr>
              <w:t>12.40</w:t>
            </w:r>
            <w:r w:rsidR="00A54001">
              <w:rPr>
                <w:rFonts w:ascii="Arial" w:hAnsi="Arial" w:cs="Arial"/>
                <w:sz w:val="22"/>
                <w:szCs w:val="22"/>
              </w:rPr>
              <w:t xml:space="preserve">% </w:t>
            </w:r>
          </w:p>
        </w:tc>
      </w:tr>
      <w:tr w:rsidR="003F64CD" w14:paraId="502B16CE" w14:textId="77777777" w:rsidTr="001A2731">
        <w:tc>
          <w:tcPr>
            <w:tcW w:w="0" w:type="auto"/>
          </w:tcPr>
          <w:p w14:paraId="11730652" w14:textId="7540C8CD" w:rsidR="003F64CD" w:rsidRDefault="003F64CD" w:rsidP="00CC1447">
            <w:pPr>
              <w:pStyle w:val="Numberedpara3level1"/>
              <w:keepLines/>
              <w:spacing w:before="0" w:line="280" w:lineRule="atLeast"/>
              <w:jc w:val="both"/>
              <w:rPr>
                <w:rFonts w:ascii="Arial" w:hAnsi="Arial" w:cs="Arial"/>
                <w:sz w:val="22"/>
                <w:szCs w:val="22"/>
              </w:rPr>
            </w:pPr>
            <w:r>
              <w:rPr>
                <w:rFonts w:ascii="Arial" w:hAnsi="Arial" w:cs="Arial"/>
                <w:sz w:val="22"/>
                <w:szCs w:val="22"/>
              </w:rPr>
              <w:t>2024/25</w:t>
            </w:r>
          </w:p>
        </w:tc>
        <w:tc>
          <w:tcPr>
            <w:tcW w:w="0" w:type="auto"/>
          </w:tcPr>
          <w:p w14:paraId="04C63828" w14:textId="69D91EEC" w:rsidR="003F64CD" w:rsidRDefault="003F64CD" w:rsidP="00A54001">
            <w:pPr>
              <w:pStyle w:val="Numberedpara3level1"/>
              <w:keepLines/>
              <w:spacing w:before="0" w:line="280" w:lineRule="atLeast"/>
              <w:jc w:val="right"/>
              <w:rPr>
                <w:rFonts w:ascii="Arial" w:hAnsi="Arial" w:cs="Arial"/>
                <w:sz w:val="22"/>
                <w:szCs w:val="22"/>
              </w:rPr>
            </w:pPr>
            <w:r>
              <w:rPr>
                <w:rFonts w:ascii="Arial" w:hAnsi="Arial" w:cs="Arial"/>
                <w:sz w:val="22"/>
                <w:szCs w:val="22"/>
              </w:rPr>
              <w:t>287,751</w:t>
            </w:r>
          </w:p>
        </w:tc>
        <w:tc>
          <w:tcPr>
            <w:tcW w:w="0" w:type="auto"/>
          </w:tcPr>
          <w:p w14:paraId="43650B22" w14:textId="421FA161" w:rsidR="003F64CD" w:rsidRDefault="003F64CD" w:rsidP="00CC1447">
            <w:pPr>
              <w:pStyle w:val="Numberedpara3level1"/>
              <w:keepLines/>
              <w:spacing w:before="0" w:line="280" w:lineRule="atLeast"/>
              <w:jc w:val="both"/>
              <w:rPr>
                <w:rFonts w:ascii="Arial" w:hAnsi="Arial" w:cs="Arial"/>
                <w:sz w:val="22"/>
                <w:szCs w:val="22"/>
              </w:rPr>
            </w:pPr>
          </w:p>
        </w:tc>
        <w:tc>
          <w:tcPr>
            <w:tcW w:w="0" w:type="auto"/>
          </w:tcPr>
          <w:p w14:paraId="1668DE76" w14:textId="408BE57F" w:rsidR="00A54001" w:rsidRDefault="00DF412E" w:rsidP="00CC1447">
            <w:pPr>
              <w:pStyle w:val="Numberedpara3level1"/>
              <w:keepLines/>
              <w:spacing w:before="0" w:line="280" w:lineRule="atLeast"/>
              <w:jc w:val="both"/>
              <w:rPr>
                <w:rFonts w:ascii="Arial" w:hAnsi="Arial" w:cs="Arial"/>
                <w:sz w:val="22"/>
                <w:szCs w:val="22"/>
              </w:rPr>
            </w:pPr>
            <w:r>
              <w:rPr>
                <w:rFonts w:ascii="Arial" w:hAnsi="Arial" w:cs="Arial"/>
                <w:sz w:val="22"/>
                <w:szCs w:val="22"/>
              </w:rPr>
              <w:t>16.86</w:t>
            </w:r>
            <w:r w:rsidR="00A54001">
              <w:rPr>
                <w:rFonts w:ascii="Arial" w:hAnsi="Arial" w:cs="Arial"/>
                <w:sz w:val="22"/>
                <w:szCs w:val="22"/>
              </w:rPr>
              <w:t>%</w:t>
            </w:r>
          </w:p>
        </w:tc>
      </w:tr>
      <w:tr w:rsidR="003F64CD" w14:paraId="483BBF6B" w14:textId="77777777" w:rsidTr="001A2731">
        <w:tc>
          <w:tcPr>
            <w:tcW w:w="0" w:type="auto"/>
          </w:tcPr>
          <w:p w14:paraId="2016B0AF" w14:textId="157E9A58" w:rsidR="003F64CD" w:rsidRDefault="003F64CD" w:rsidP="00CC1447">
            <w:pPr>
              <w:pStyle w:val="Numberedpara3level1"/>
              <w:keepLines/>
              <w:spacing w:before="0" w:line="280" w:lineRule="atLeast"/>
              <w:jc w:val="both"/>
              <w:rPr>
                <w:rFonts w:ascii="Arial" w:hAnsi="Arial" w:cs="Arial"/>
                <w:sz w:val="22"/>
                <w:szCs w:val="22"/>
              </w:rPr>
            </w:pPr>
            <w:r>
              <w:rPr>
                <w:rFonts w:ascii="Arial" w:hAnsi="Arial" w:cs="Arial"/>
                <w:sz w:val="22"/>
                <w:szCs w:val="22"/>
              </w:rPr>
              <w:t>2025/26</w:t>
            </w:r>
          </w:p>
        </w:tc>
        <w:tc>
          <w:tcPr>
            <w:tcW w:w="0" w:type="auto"/>
          </w:tcPr>
          <w:p w14:paraId="2184E6DE" w14:textId="10786140" w:rsidR="003F64CD" w:rsidRDefault="003F64CD" w:rsidP="00A54001">
            <w:pPr>
              <w:pStyle w:val="Numberedpara3level1"/>
              <w:keepLines/>
              <w:spacing w:before="0" w:line="280" w:lineRule="atLeast"/>
              <w:jc w:val="right"/>
              <w:rPr>
                <w:rFonts w:ascii="Arial" w:hAnsi="Arial" w:cs="Arial"/>
                <w:sz w:val="22"/>
                <w:szCs w:val="22"/>
              </w:rPr>
            </w:pPr>
            <w:r>
              <w:rPr>
                <w:rFonts w:ascii="Arial" w:hAnsi="Arial" w:cs="Arial"/>
                <w:sz w:val="22"/>
                <w:szCs w:val="22"/>
              </w:rPr>
              <w:t>575,375</w:t>
            </w:r>
          </w:p>
        </w:tc>
        <w:tc>
          <w:tcPr>
            <w:tcW w:w="0" w:type="auto"/>
          </w:tcPr>
          <w:p w14:paraId="02999C75" w14:textId="77777777" w:rsidR="003F64CD" w:rsidRDefault="003F64CD" w:rsidP="00CC1447">
            <w:pPr>
              <w:pStyle w:val="Numberedpara3level1"/>
              <w:keepLines/>
              <w:spacing w:before="0" w:line="280" w:lineRule="atLeast"/>
              <w:jc w:val="both"/>
              <w:rPr>
                <w:rFonts w:ascii="Arial" w:hAnsi="Arial" w:cs="Arial"/>
                <w:sz w:val="22"/>
                <w:szCs w:val="22"/>
              </w:rPr>
            </w:pPr>
          </w:p>
        </w:tc>
        <w:tc>
          <w:tcPr>
            <w:tcW w:w="0" w:type="auto"/>
          </w:tcPr>
          <w:p w14:paraId="5A13E4C2" w14:textId="45A55088" w:rsidR="003F64CD" w:rsidRDefault="00DF412E" w:rsidP="00CC1447">
            <w:pPr>
              <w:pStyle w:val="Numberedpara3level1"/>
              <w:keepLines/>
              <w:spacing w:before="0" w:line="280" w:lineRule="atLeast"/>
              <w:jc w:val="both"/>
              <w:rPr>
                <w:rFonts w:ascii="Arial" w:hAnsi="Arial" w:cs="Arial"/>
                <w:sz w:val="22"/>
                <w:szCs w:val="22"/>
              </w:rPr>
            </w:pPr>
            <w:r>
              <w:rPr>
                <w:rFonts w:ascii="Arial" w:hAnsi="Arial" w:cs="Arial"/>
                <w:sz w:val="22"/>
                <w:szCs w:val="22"/>
              </w:rPr>
              <w:t>21.50</w:t>
            </w:r>
            <w:r w:rsidR="00A54001">
              <w:rPr>
                <w:rFonts w:ascii="Arial" w:hAnsi="Arial" w:cs="Arial"/>
                <w:sz w:val="22"/>
                <w:szCs w:val="22"/>
              </w:rPr>
              <w:t>%</w:t>
            </w:r>
          </w:p>
        </w:tc>
      </w:tr>
      <w:tr w:rsidR="003F64CD" w14:paraId="1654C97D" w14:textId="77777777" w:rsidTr="001A2731">
        <w:tc>
          <w:tcPr>
            <w:tcW w:w="0" w:type="auto"/>
          </w:tcPr>
          <w:p w14:paraId="0C6CCADD" w14:textId="06792517" w:rsidR="003F64CD" w:rsidRDefault="003F64CD" w:rsidP="00CC1447">
            <w:pPr>
              <w:pStyle w:val="Numberedpara3level1"/>
              <w:keepLines/>
              <w:spacing w:before="0" w:line="280" w:lineRule="atLeast"/>
              <w:jc w:val="both"/>
              <w:rPr>
                <w:rFonts w:ascii="Arial" w:hAnsi="Arial" w:cs="Arial"/>
                <w:sz w:val="22"/>
                <w:szCs w:val="22"/>
              </w:rPr>
            </w:pPr>
            <w:r>
              <w:rPr>
                <w:rFonts w:ascii="Arial" w:hAnsi="Arial" w:cs="Arial"/>
                <w:sz w:val="22"/>
                <w:szCs w:val="22"/>
              </w:rPr>
              <w:t>Total</w:t>
            </w:r>
          </w:p>
        </w:tc>
        <w:tc>
          <w:tcPr>
            <w:tcW w:w="0" w:type="auto"/>
          </w:tcPr>
          <w:p w14:paraId="44AF40B9" w14:textId="51F0111A" w:rsidR="003F64CD" w:rsidRDefault="003F64CD" w:rsidP="00A54001">
            <w:pPr>
              <w:pStyle w:val="Numberedpara3level1"/>
              <w:keepLines/>
              <w:spacing w:before="0" w:line="280" w:lineRule="atLeast"/>
              <w:jc w:val="right"/>
              <w:rPr>
                <w:rFonts w:ascii="Arial" w:hAnsi="Arial" w:cs="Arial"/>
                <w:sz w:val="22"/>
                <w:szCs w:val="22"/>
              </w:rPr>
            </w:pPr>
            <w:r>
              <w:rPr>
                <w:rFonts w:ascii="Arial" w:hAnsi="Arial" w:cs="Arial"/>
                <w:sz w:val="22"/>
                <w:szCs w:val="22"/>
              </w:rPr>
              <w:t>1,767,34</w:t>
            </w:r>
            <w:r w:rsidR="00DF412E">
              <w:rPr>
                <w:rFonts w:ascii="Arial" w:hAnsi="Arial" w:cs="Arial"/>
                <w:sz w:val="22"/>
                <w:szCs w:val="22"/>
              </w:rPr>
              <w:t>9</w:t>
            </w:r>
          </w:p>
        </w:tc>
        <w:tc>
          <w:tcPr>
            <w:tcW w:w="0" w:type="auto"/>
          </w:tcPr>
          <w:p w14:paraId="1252DB24" w14:textId="77777777" w:rsidR="003F64CD" w:rsidRDefault="003F64CD" w:rsidP="00CC1447">
            <w:pPr>
              <w:pStyle w:val="Numberedpara3level1"/>
              <w:keepLines/>
              <w:spacing w:before="0" w:line="280" w:lineRule="atLeast"/>
              <w:jc w:val="both"/>
              <w:rPr>
                <w:rFonts w:ascii="Arial" w:hAnsi="Arial" w:cs="Arial"/>
                <w:sz w:val="22"/>
                <w:szCs w:val="22"/>
              </w:rPr>
            </w:pPr>
          </w:p>
        </w:tc>
        <w:tc>
          <w:tcPr>
            <w:tcW w:w="0" w:type="auto"/>
          </w:tcPr>
          <w:p w14:paraId="0FADB711" w14:textId="77777777" w:rsidR="003F64CD" w:rsidRDefault="003F64CD" w:rsidP="00CC1447">
            <w:pPr>
              <w:pStyle w:val="Numberedpara3level1"/>
              <w:keepLines/>
              <w:spacing w:before="0" w:line="280" w:lineRule="atLeast"/>
              <w:jc w:val="both"/>
              <w:rPr>
                <w:rFonts w:ascii="Arial" w:hAnsi="Arial" w:cs="Arial"/>
                <w:sz w:val="22"/>
                <w:szCs w:val="22"/>
              </w:rPr>
            </w:pPr>
          </w:p>
        </w:tc>
      </w:tr>
    </w:tbl>
    <w:p w14:paraId="2F229E00" w14:textId="19A6894C" w:rsidR="003F64CD" w:rsidRDefault="003F64CD" w:rsidP="00CC1447">
      <w:pPr>
        <w:pStyle w:val="Numberedpara3level1"/>
        <w:keepLines/>
        <w:spacing w:before="0" w:line="280" w:lineRule="atLeast"/>
        <w:jc w:val="both"/>
        <w:rPr>
          <w:rFonts w:ascii="Arial" w:hAnsi="Arial" w:cs="Arial"/>
          <w:sz w:val="22"/>
          <w:szCs w:val="22"/>
        </w:rPr>
      </w:pPr>
    </w:p>
    <w:p w14:paraId="55516118" w14:textId="3F5E0776" w:rsidR="00DA7BC4" w:rsidRPr="00E173DC" w:rsidRDefault="00CE7B82" w:rsidP="00CC1447">
      <w:pPr>
        <w:pStyle w:val="Numberedpara3level1"/>
        <w:keepLines/>
        <w:spacing w:before="0" w:line="280" w:lineRule="atLeast"/>
        <w:jc w:val="both"/>
        <w:rPr>
          <w:rFonts w:ascii="Arial" w:hAnsi="Arial" w:cs="Arial"/>
          <w:sz w:val="22"/>
          <w:szCs w:val="22"/>
        </w:rPr>
      </w:pPr>
      <w:r w:rsidRPr="00E173DC">
        <w:rPr>
          <w:rFonts w:ascii="Arial" w:hAnsi="Arial" w:cs="Arial"/>
          <w:sz w:val="22"/>
          <w:szCs w:val="22"/>
        </w:rPr>
        <w:t xml:space="preserve">The </w:t>
      </w:r>
      <w:r w:rsidR="00CC1447">
        <w:rPr>
          <w:rFonts w:ascii="Arial" w:hAnsi="Arial" w:cs="Arial"/>
          <w:sz w:val="22"/>
          <w:szCs w:val="22"/>
        </w:rPr>
        <w:t xml:space="preserve">fee </w:t>
      </w:r>
      <w:r w:rsidRPr="00E173DC">
        <w:rPr>
          <w:rFonts w:ascii="Arial" w:hAnsi="Arial" w:cs="Arial"/>
          <w:sz w:val="22"/>
          <w:szCs w:val="22"/>
        </w:rPr>
        <w:t xml:space="preserve">increases will increase the cost of travel documents and services evenly </w:t>
      </w:r>
      <w:r>
        <w:rPr>
          <w:rFonts w:ascii="Arial" w:hAnsi="Arial" w:cs="Arial"/>
          <w:sz w:val="22"/>
          <w:szCs w:val="22"/>
        </w:rPr>
        <w:t xml:space="preserve">for </w:t>
      </w:r>
      <w:r w:rsidRPr="00E173DC">
        <w:rPr>
          <w:rFonts w:ascii="Arial" w:hAnsi="Arial" w:cs="Arial"/>
          <w:sz w:val="22"/>
          <w:szCs w:val="22"/>
        </w:rPr>
        <w:t>all population groups. The price increases will have an impact on family groups wishing to travel overseas where family members do not have a current passport</w:t>
      </w:r>
      <w:r w:rsidR="00067ACE">
        <w:rPr>
          <w:rFonts w:ascii="Arial" w:hAnsi="Arial" w:cs="Arial"/>
          <w:sz w:val="22"/>
          <w:szCs w:val="22"/>
        </w:rPr>
        <w:t>.</w:t>
      </w:r>
      <w:r w:rsidR="00A310F2">
        <w:rPr>
          <w:rFonts w:ascii="Arial" w:hAnsi="Arial" w:cs="Arial"/>
          <w:sz w:val="22"/>
          <w:szCs w:val="22"/>
        </w:rPr>
        <w:t xml:space="preserve"> The fee increases will also </w:t>
      </w:r>
      <w:r w:rsidR="00CC1447">
        <w:rPr>
          <w:rFonts w:ascii="Arial" w:hAnsi="Arial" w:cs="Arial"/>
          <w:sz w:val="22"/>
          <w:szCs w:val="22"/>
        </w:rPr>
        <w:t xml:space="preserve">have a disproportionate impact on </w:t>
      </w:r>
      <w:proofErr w:type="gramStart"/>
      <w:r w:rsidR="00144801">
        <w:rPr>
          <w:rFonts w:ascii="Arial" w:hAnsi="Arial" w:cs="Arial"/>
          <w:sz w:val="22"/>
          <w:szCs w:val="22"/>
        </w:rPr>
        <w:t>low income</w:t>
      </w:r>
      <w:proofErr w:type="gramEnd"/>
      <w:r w:rsidR="00144801">
        <w:rPr>
          <w:rFonts w:ascii="Arial" w:hAnsi="Arial" w:cs="Arial"/>
          <w:sz w:val="22"/>
          <w:szCs w:val="22"/>
        </w:rPr>
        <w:t xml:space="preserve"> </w:t>
      </w:r>
      <w:r w:rsidR="00A310F2">
        <w:rPr>
          <w:rFonts w:ascii="Arial" w:hAnsi="Arial" w:cs="Arial"/>
          <w:sz w:val="22"/>
          <w:szCs w:val="22"/>
        </w:rPr>
        <w:t xml:space="preserve">earners </w:t>
      </w:r>
      <w:r w:rsidR="00CC1447">
        <w:rPr>
          <w:rFonts w:ascii="Arial" w:hAnsi="Arial" w:cs="Arial"/>
          <w:sz w:val="22"/>
          <w:szCs w:val="22"/>
        </w:rPr>
        <w:t xml:space="preserve">as the fees </w:t>
      </w:r>
      <w:r w:rsidR="00A310F2">
        <w:rPr>
          <w:rFonts w:ascii="Arial" w:hAnsi="Arial" w:cs="Arial"/>
          <w:sz w:val="22"/>
          <w:szCs w:val="22"/>
        </w:rPr>
        <w:t xml:space="preserve">will </w:t>
      </w:r>
      <w:r w:rsidR="00067ACE">
        <w:rPr>
          <w:rFonts w:ascii="Arial" w:hAnsi="Arial" w:cs="Arial"/>
          <w:sz w:val="22"/>
          <w:szCs w:val="22"/>
        </w:rPr>
        <w:t xml:space="preserve">be </w:t>
      </w:r>
      <w:r w:rsidR="00CC1447">
        <w:rPr>
          <w:rFonts w:ascii="Arial" w:hAnsi="Arial" w:cs="Arial"/>
          <w:sz w:val="22"/>
          <w:szCs w:val="22"/>
        </w:rPr>
        <w:t>a greater proportion of their expenses</w:t>
      </w:r>
      <w:r w:rsidRPr="00E173DC">
        <w:rPr>
          <w:rFonts w:ascii="Arial" w:hAnsi="Arial" w:cs="Arial"/>
          <w:sz w:val="22"/>
          <w:szCs w:val="22"/>
        </w:rPr>
        <w:t xml:space="preserve">. To partly mitigate this the cost of a child’s passport </w:t>
      </w:r>
      <w:r w:rsidR="00B14A94">
        <w:rPr>
          <w:rFonts w:ascii="Arial" w:hAnsi="Arial" w:cs="Arial"/>
          <w:sz w:val="22"/>
          <w:szCs w:val="22"/>
        </w:rPr>
        <w:t>(</w:t>
      </w:r>
      <w:r w:rsidR="00D277A5">
        <w:rPr>
          <w:rFonts w:ascii="Arial" w:hAnsi="Arial" w:cs="Arial"/>
          <w:sz w:val="22"/>
          <w:szCs w:val="22"/>
        </w:rPr>
        <w:t xml:space="preserve">currently </w:t>
      </w:r>
      <w:r w:rsidR="00B14A94">
        <w:rPr>
          <w:rFonts w:ascii="Arial" w:hAnsi="Arial" w:cs="Arial"/>
          <w:sz w:val="22"/>
          <w:szCs w:val="22"/>
        </w:rPr>
        <w:t xml:space="preserve">$111) </w:t>
      </w:r>
      <w:r w:rsidRPr="00E173DC">
        <w:rPr>
          <w:rFonts w:ascii="Arial" w:hAnsi="Arial" w:cs="Arial"/>
          <w:sz w:val="22"/>
          <w:szCs w:val="22"/>
        </w:rPr>
        <w:t>is subsidised from the fees paid by adult applicants</w:t>
      </w:r>
      <w:r w:rsidR="00067ACE">
        <w:rPr>
          <w:rFonts w:ascii="Arial" w:hAnsi="Arial" w:cs="Arial"/>
          <w:sz w:val="22"/>
          <w:szCs w:val="22"/>
        </w:rPr>
        <w:t>.</w:t>
      </w:r>
      <w:r w:rsidR="00B14A94">
        <w:rPr>
          <w:rFonts w:ascii="Arial" w:hAnsi="Arial" w:cs="Arial"/>
          <w:sz w:val="22"/>
          <w:szCs w:val="22"/>
        </w:rPr>
        <w:t xml:space="preserve"> </w:t>
      </w:r>
      <w:r w:rsidR="00067ACE">
        <w:rPr>
          <w:rFonts w:ascii="Arial" w:hAnsi="Arial" w:cs="Arial"/>
          <w:sz w:val="22"/>
          <w:szCs w:val="22"/>
        </w:rPr>
        <w:t>T</w:t>
      </w:r>
      <w:r w:rsidR="00B14A94">
        <w:rPr>
          <w:rFonts w:ascii="Arial" w:hAnsi="Arial" w:cs="Arial"/>
          <w:sz w:val="22"/>
          <w:szCs w:val="22"/>
        </w:rPr>
        <w:t xml:space="preserve">his subsidy also recognises </w:t>
      </w:r>
      <w:r w:rsidR="00F32627">
        <w:rPr>
          <w:rFonts w:ascii="Arial" w:hAnsi="Arial" w:cs="Arial"/>
          <w:sz w:val="22"/>
          <w:szCs w:val="22"/>
        </w:rPr>
        <w:t xml:space="preserve">that over a ten-year period a child passport would cost more than an adult passport. This is </w:t>
      </w:r>
      <w:r w:rsidR="00B14A94">
        <w:rPr>
          <w:rFonts w:ascii="Arial" w:hAnsi="Arial" w:cs="Arial"/>
          <w:sz w:val="22"/>
          <w:szCs w:val="22"/>
        </w:rPr>
        <w:t xml:space="preserve">because child passports have a </w:t>
      </w:r>
      <w:r w:rsidR="00F32627">
        <w:rPr>
          <w:rFonts w:ascii="Arial" w:hAnsi="Arial" w:cs="Arial"/>
          <w:sz w:val="22"/>
          <w:szCs w:val="22"/>
        </w:rPr>
        <w:t xml:space="preserve">5-year validity </w:t>
      </w:r>
      <w:r w:rsidR="00B14A94">
        <w:rPr>
          <w:rFonts w:ascii="Arial" w:hAnsi="Arial" w:cs="Arial"/>
          <w:sz w:val="22"/>
          <w:szCs w:val="22"/>
        </w:rPr>
        <w:t>period</w:t>
      </w:r>
      <w:r w:rsidR="00067ACE">
        <w:rPr>
          <w:rFonts w:ascii="Arial" w:hAnsi="Arial" w:cs="Arial"/>
          <w:sz w:val="22"/>
          <w:szCs w:val="22"/>
        </w:rPr>
        <w:t>,</w:t>
      </w:r>
      <w:r w:rsidR="00F32627">
        <w:rPr>
          <w:rFonts w:ascii="Arial" w:hAnsi="Arial" w:cs="Arial"/>
          <w:sz w:val="22"/>
          <w:szCs w:val="22"/>
        </w:rPr>
        <w:t xml:space="preserve"> which means that the total c</w:t>
      </w:r>
      <w:r w:rsidR="00B14A94">
        <w:rPr>
          <w:rFonts w:ascii="Arial" w:hAnsi="Arial" w:cs="Arial"/>
          <w:sz w:val="22"/>
          <w:szCs w:val="22"/>
        </w:rPr>
        <w:t xml:space="preserve">ost over 10 years would be $222 compared to an adult passport, with a </w:t>
      </w:r>
      <w:r w:rsidR="00F32627">
        <w:rPr>
          <w:rFonts w:ascii="Arial" w:hAnsi="Arial" w:cs="Arial"/>
          <w:sz w:val="22"/>
          <w:szCs w:val="22"/>
        </w:rPr>
        <w:t>10-year</w:t>
      </w:r>
      <w:r w:rsidR="00B14A94">
        <w:rPr>
          <w:rFonts w:ascii="Arial" w:hAnsi="Arial" w:cs="Arial"/>
          <w:sz w:val="22"/>
          <w:szCs w:val="22"/>
        </w:rPr>
        <w:t xml:space="preserve"> validity period, which</w:t>
      </w:r>
      <w:r w:rsidR="000D6E4D">
        <w:rPr>
          <w:rFonts w:ascii="Arial" w:hAnsi="Arial" w:cs="Arial"/>
          <w:sz w:val="22"/>
          <w:szCs w:val="22"/>
        </w:rPr>
        <w:t xml:space="preserve"> currently</w:t>
      </w:r>
      <w:r w:rsidR="00B14A94">
        <w:rPr>
          <w:rFonts w:ascii="Arial" w:hAnsi="Arial" w:cs="Arial"/>
          <w:sz w:val="22"/>
          <w:szCs w:val="22"/>
        </w:rPr>
        <w:t xml:space="preserve"> costs $191.</w:t>
      </w:r>
      <w:r w:rsidRPr="00E173DC">
        <w:rPr>
          <w:rFonts w:ascii="Arial" w:hAnsi="Arial" w:cs="Arial"/>
          <w:sz w:val="22"/>
          <w:szCs w:val="22"/>
        </w:rPr>
        <w:t xml:space="preserve"> </w:t>
      </w:r>
    </w:p>
    <w:p w14:paraId="2E06B734" w14:textId="16C6DA10" w:rsidR="00A43139" w:rsidRDefault="00CE7B82" w:rsidP="00FA0C5C">
      <w:pPr>
        <w:pStyle w:val="Numberedpara3level1"/>
        <w:keepLines/>
        <w:spacing w:before="0" w:line="280" w:lineRule="atLeast"/>
        <w:jc w:val="both"/>
        <w:rPr>
          <w:rFonts w:ascii="Arial" w:hAnsi="Arial" w:cs="Arial"/>
          <w:sz w:val="22"/>
          <w:szCs w:val="22"/>
        </w:rPr>
      </w:pPr>
      <w:r w:rsidRPr="00DA7BC4">
        <w:rPr>
          <w:rFonts w:ascii="Arial" w:hAnsi="Arial" w:cs="Arial"/>
          <w:sz w:val="22"/>
          <w:szCs w:val="22"/>
        </w:rPr>
        <w:lastRenderedPageBreak/>
        <w:t>Some individuals who cannot obtain a driver licen</w:t>
      </w:r>
      <w:r w:rsidR="00067ACE">
        <w:rPr>
          <w:rFonts w:ascii="Arial" w:hAnsi="Arial" w:cs="Arial"/>
          <w:sz w:val="22"/>
          <w:szCs w:val="22"/>
        </w:rPr>
        <w:t>c</w:t>
      </w:r>
      <w:r w:rsidRPr="00DA7BC4">
        <w:rPr>
          <w:rFonts w:ascii="Arial" w:hAnsi="Arial" w:cs="Arial"/>
          <w:sz w:val="22"/>
          <w:szCs w:val="22"/>
        </w:rPr>
        <w:t xml:space="preserve">e may obtain a passport purely for domestic identification purposes. The proposed passport and travel document fees changes would increase the cost of obtaining photographic identification for such individuals.  Other groups that rely on passport and travel documents for identification, such as seniors, may </w:t>
      </w:r>
      <w:r w:rsidRPr="00FA0C5C">
        <w:rPr>
          <w:rFonts w:ascii="Arial" w:hAnsi="Arial" w:cs="Arial"/>
          <w:sz w:val="22"/>
          <w:szCs w:val="22"/>
        </w:rPr>
        <w:t xml:space="preserve">also be impacted.      </w:t>
      </w:r>
    </w:p>
    <w:p w14:paraId="22708387" w14:textId="3184F459" w:rsidR="00535D17" w:rsidRDefault="00535D17" w:rsidP="00FA0C5C">
      <w:pPr>
        <w:pStyle w:val="Numberedpara3level1"/>
        <w:keepLines/>
        <w:spacing w:before="0" w:line="280" w:lineRule="atLeast"/>
        <w:jc w:val="both"/>
        <w:rPr>
          <w:rFonts w:ascii="Arial" w:hAnsi="Arial" w:cs="Arial"/>
          <w:sz w:val="22"/>
          <w:szCs w:val="22"/>
        </w:rPr>
      </w:pPr>
      <w:r>
        <w:rPr>
          <w:rFonts w:ascii="Arial" w:hAnsi="Arial" w:cs="Arial"/>
          <w:sz w:val="22"/>
          <w:szCs w:val="22"/>
        </w:rPr>
        <w:t>The table below compares the impacts of each option on fee payers.</w:t>
      </w:r>
    </w:p>
    <w:p w14:paraId="549ED046" w14:textId="3474E70C" w:rsidR="00E26BC5" w:rsidRDefault="00E26BC5" w:rsidP="00E26BC5">
      <w:pPr>
        <w:pStyle w:val="Caption"/>
        <w:rPr>
          <w:rFonts w:cs="Arial"/>
          <w:sz w:val="22"/>
          <w:szCs w:val="22"/>
        </w:rPr>
      </w:pPr>
      <w:r>
        <w:t>Table 7 Option impacts</w:t>
      </w:r>
    </w:p>
    <w:tbl>
      <w:tblPr>
        <w:tblStyle w:val="DIATable"/>
        <w:tblW w:w="0" w:type="auto"/>
        <w:tblLook w:val="04A0" w:firstRow="1" w:lastRow="0" w:firstColumn="1" w:lastColumn="0" w:noHBand="0" w:noVBand="1"/>
      </w:tblPr>
      <w:tblGrid>
        <w:gridCol w:w="1146"/>
        <w:gridCol w:w="3697"/>
        <w:gridCol w:w="4090"/>
      </w:tblGrid>
      <w:tr w:rsidR="00535D17" w14:paraId="70E9CDB8" w14:textId="77777777" w:rsidTr="00A310F2">
        <w:trPr>
          <w:cnfStyle w:val="100000000000" w:firstRow="1" w:lastRow="0" w:firstColumn="0" w:lastColumn="0" w:oddVBand="0" w:evenVBand="0" w:oddHBand="0" w:evenHBand="0" w:firstRowFirstColumn="0" w:firstRowLastColumn="0" w:lastRowFirstColumn="0" w:lastRowLastColumn="0"/>
        </w:trPr>
        <w:tc>
          <w:tcPr>
            <w:tcW w:w="0" w:type="auto"/>
          </w:tcPr>
          <w:p w14:paraId="02F8BE4C" w14:textId="77777777" w:rsidR="00535D17" w:rsidRDefault="00535D17" w:rsidP="00FA0C5C">
            <w:pPr>
              <w:pStyle w:val="Numberedpara3level1"/>
              <w:keepLines/>
              <w:spacing w:before="0" w:line="280" w:lineRule="atLeast"/>
              <w:jc w:val="both"/>
              <w:rPr>
                <w:rFonts w:ascii="Arial" w:hAnsi="Arial" w:cs="Arial"/>
                <w:sz w:val="22"/>
                <w:szCs w:val="22"/>
              </w:rPr>
            </w:pPr>
          </w:p>
        </w:tc>
        <w:tc>
          <w:tcPr>
            <w:tcW w:w="3697" w:type="dxa"/>
          </w:tcPr>
          <w:p w14:paraId="1BA90D6D" w14:textId="65A087AE" w:rsidR="00535D17" w:rsidRDefault="00535D17" w:rsidP="00FA0C5C">
            <w:pPr>
              <w:pStyle w:val="Numberedpara3level1"/>
              <w:keepLines/>
              <w:spacing w:before="0" w:line="280" w:lineRule="atLeast"/>
              <w:jc w:val="both"/>
              <w:rPr>
                <w:rFonts w:ascii="Arial" w:hAnsi="Arial" w:cs="Arial"/>
                <w:sz w:val="22"/>
                <w:szCs w:val="22"/>
              </w:rPr>
            </w:pPr>
            <w:r>
              <w:rPr>
                <w:rFonts w:ascii="Arial" w:hAnsi="Arial" w:cs="Arial"/>
                <w:sz w:val="22"/>
                <w:szCs w:val="22"/>
              </w:rPr>
              <w:t>Option 1</w:t>
            </w:r>
          </w:p>
        </w:tc>
        <w:tc>
          <w:tcPr>
            <w:tcW w:w="4090" w:type="dxa"/>
          </w:tcPr>
          <w:p w14:paraId="3F74E1B2" w14:textId="22FF3B24" w:rsidR="00535D17" w:rsidRDefault="00535D17" w:rsidP="00FA0C5C">
            <w:pPr>
              <w:pStyle w:val="Numberedpara3level1"/>
              <w:keepLines/>
              <w:spacing w:before="0" w:line="280" w:lineRule="atLeast"/>
              <w:jc w:val="both"/>
              <w:rPr>
                <w:rFonts w:ascii="Arial" w:hAnsi="Arial" w:cs="Arial"/>
                <w:sz w:val="22"/>
                <w:szCs w:val="22"/>
              </w:rPr>
            </w:pPr>
            <w:r>
              <w:rPr>
                <w:rFonts w:ascii="Arial" w:hAnsi="Arial" w:cs="Arial"/>
                <w:sz w:val="22"/>
                <w:szCs w:val="22"/>
              </w:rPr>
              <w:t>Option 2</w:t>
            </w:r>
          </w:p>
        </w:tc>
      </w:tr>
      <w:tr w:rsidR="00535D17" w14:paraId="7C0BEF1B" w14:textId="77777777" w:rsidTr="00A310F2">
        <w:tc>
          <w:tcPr>
            <w:tcW w:w="0" w:type="auto"/>
          </w:tcPr>
          <w:p w14:paraId="5E43B02D" w14:textId="59CAF76C" w:rsidR="00535D17" w:rsidRDefault="00535D17" w:rsidP="00FA0C5C">
            <w:pPr>
              <w:pStyle w:val="Numberedpara3level1"/>
              <w:keepLines/>
              <w:spacing w:before="0" w:line="280" w:lineRule="atLeast"/>
              <w:jc w:val="both"/>
              <w:rPr>
                <w:rFonts w:ascii="Arial" w:hAnsi="Arial" w:cs="Arial"/>
                <w:sz w:val="22"/>
                <w:szCs w:val="22"/>
              </w:rPr>
            </w:pPr>
            <w:r>
              <w:rPr>
                <w:rFonts w:ascii="Arial" w:hAnsi="Arial" w:cs="Arial"/>
                <w:sz w:val="22"/>
                <w:szCs w:val="22"/>
              </w:rPr>
              <w:t>Fee Increase</w:t>
            </w:r>
          </w:p>
        </w:tc>
        <w:tc>
          <w:tcPr>
            <w:tcW w:w="3697" w:type="dxa"/>
          </w:tcPr>
          <w:p w14:paraId="65CA9DB0" w14:textId="7F451BF4" w:rsidR="00535D17" w:rsidRDefault="00535D17" w:rsidP="00FA0C5C">
            <w:pPr>
              <w:pStyle w:val="Numberedpara3level1"/>
              <w:keepLines/>
              <w:spacing w:before="0" w:line="280" w:lineRule="atLeast"/>
              <w:jc w:val="both"/>
              <w:rPr>
                <w:rFonts w:ascii="Arial" w:hAnsi="Arial" w:cs="Arial"/>
                <w:sz w:val="22"/>
                <w:szCs w:val="22"/>
              </w:rPr>
            </w:pPr>
            <w:r>
              <w:rPr>
                <w:rFonts w:ascii="Arial" w:hAnsi="Arial" w:cs="Arial"/>
                <w:sz w:val="22"/>
                <w:szCs w:val="22"/>
              </w:rPr>
              <w:t xml:space="preserve">In Option 1 there is one fee increase of 19.37% scheduled for 2022. The option also provides for a fee review in 2025 </w:t>
            </w:r>
            <w:r w:rsidR="003E5D09">
              <w:rPr>
                <w:rFonts w:ascii="Arial" w:hAnsi="Arial" w:cs="Arial"/>
                <w:sz w:val="22"/>
                <w:szCs w:val="22"/>
              </w:rPr>
              <w:t>which</w:t>
            </w:r>
            <w:r>
              <w:rPr>
                <w:rFonts w:ascii="Arial" w:hAnsi="Arial" w:cs="Arial"/>
                <w:sz w:val="22"/>
                <w:szCs w:val="22"/>
              </w:rPr>
              <w:t xml:space="preserve"> may or may not recommend a further fee increase.  </w:t>
            </w:r>
          </w:p>
        </w:tc>
        <w:tc>
          <w:tcPr>
            <w:tcW w:w="4090" w:type="dxa"/>
          </w:tcPr>
          <w:p w14:paraId="291065FF" w14:textId="2CCDD7D8" w:rsidR="00535D17" w:rsidRDefault="00535D17" w:rsidP="00FA0C5C">
            <w:pPr>
              <w:pStyle w:val="Numberedpara3level1"/>
              <w:keepLines/>
              <w:spacing w:before="0" w:line="280" w:lineRule="atLeast"/>
              <w:jc w:val="both"/>
              <w:rPr>
                <w:rFonts w:ascii="Arial" w:hAnsi="Arial" w:cs="Arial"/>
                <w:sz w:val="22"/>
                <w:szCs w:val="22"/>
              </w:rPr>
            </w:pPr>
            <w:r>
              <w:rPr>
                <w:rFonts w:ascii="Arial" w:hAnsi="Arial" w:cs="Arial"/>
                <w:sz w:val="22"/>
                <w:szCs w:val="22"/>
              </w:rPr>
              <w:t xml:space="preserve">Option 2 provides for 5 fee increases of 3.97%. Fee reviews will also take place every three years to confirm that issuance is on the path to cost recovery </w:t>
            </w:r>
          </w:p>
        </w:tc>
      </w:tr>
      <w:tr w:rsidR="00535D17" w14:paraId="4A55E732" w14:textId="77777777" w:rsidTr="00A310F2">
        <w:tc>
          <w:tcPr>
            <w:tcW w:w="0" w:type="auto"/>
          </w:tcPr>
          <w:p w14:paraId="41272B76" w14:textId="461E3502" w:rsidR="00535D17" w:rsidRDefault="00535D17" w:rsidP="00FA0C5C">
            <w:pPr>
              <w:pStyle w:val="Numberedpara3level1"/>
              <w:keepLines/>
              <w:spacing w:before="0" w:line="280" w:lineRule="atLeast"/>
              <w:jc w:val="both"/>
              <w:rPr>
                <w:rFonts w:ascii="Arial" w:hAnsi="Arial" w:cs="Arial"/>
                <w:sz w:val="22"/>
                <w:szCs w:val="22"/>
              </w:rPr>
            </w:pPr>
            <w:r>
              <w:rPr>
                <w:rFonts w:ascii="Arial" w:hAnsi="Arial" w:cs="Arial"/>
                <w:sz w:val="22"/>
                <w:szCs w:val="22"/>
              </w:rPr>
              <w:t>Impact</w:t>
            </w:r>
          </w:p>
        </w:tc>
        <w:tc>
          <w:tcPr>
            <w:tcW w:w="3697" w:type="dxa"/>
          </w:tcPr>
          <w:p w14:paraId="16BB2B28" w14:textId="53488206" w:rsidR="00535D17" w:rsidRDefault="00535D17" w:rsidP="00FA0C5C">
            <w:pPr>
              <w:pStyle w:val="Numberedpara3level1"/>
              <w:keepLines/>
              <w:spacing w:before="0" w:line="280" w:lineRule="atLeast"/>
              <w:jc w:val="both"/>
              <w:rPr>
                <w:rFonts w:ascii="Arial" w:hAnsi="Arial" w:cs="Arial"/>
                <w:sz w:val="22"/>
                <w:szCs w:val="22"/>
              </w:rPr>
            </w:pPr>
            <w:proofErr w:type="gramStart"/>
            <w:r>
              <w:rPr>
                <w:rFonts w:ascii="Arial" w:hAnsi="Arial" w:cs="Arial"/>
                <w:sz w:val="22"/>
                <w:szCs w:val="22"/>
              </w:rPr>
              <w:t>Low income</w:t>
            </w:r>
            <w:proofErr w:type="gramEnd"/>
            <w:r>
              <w:rPr>
                <w:rFonts w:ascii="Arial" w:hAnsi="Arial" w:cs="Arial"/>
                <w:sz w:val="22"/>
                <w:szCs w:val="22"/>
              </w:rPr>
              <w:t xml:space="preserve"> earners will </w:t>
            </w:r>
            <w:r w:rsidR="00AF4288">
              <w:rPr>
                <w:rFonts w:ascii="Arial" w:hAnsi="Arial" w:cs="Arial"/>
                <w:sz w:val="22"/>
                <w:szCs w:val="22"/>
              </w:rPr>
              <w:t xml:space="preserve">initially </w:t>
            </w:r>
            <w:r>
              <w:rPr>
                <w:rFonts w:ascii="Arial" w:hAnsi="Arial" w:cs="Arial"/>
                <w:sz w:val="22"/>
                <w:szCs w:val="22"/>
              </w:rPr>
              <w:t>be impacted more by the 19.37% fee increase</w:t>
            </w:r>
            <w:r w:rsidR="00AF4288">
              <w:rPr>
                <w:rFonts w:ascii="Arial" w:hAnsi="Arial" w:cs="Arial"/>
                <w:sz w:val="22"/>
                <w:szCs w:val="22"/>
              </w:rPr>
              <w:t>.</w:t>
            </w:r>
            <w:r>
              <w:rPr>
                <w:rFonts w:ascii="Arial" w:hAnsi="Arial" w:cs="Arial"/>
                <w:sz w:val="22"/>
                <w:szCs w:val="22"/>
              </w:rPr>
              <w:t xml:space="preserve"> </w:t>
            </w:r>
          </w:p>
        </w:tc>
        <w:tc>
          <w:tcPr>
            <w:tcW w:w="4090" w:type="dxa"/>
          </w:tcPr>
          <w:p w14:paraId="2573567B" w14:textId="0D525FFD" w:rsidR="00535D17" w:rsidRDefault="002114EC" w:rsidP="00FA0C5C">
            <w:pPr>
              <w:pStyle w:val="Numberedpara3level1"/>
              <w:keepLines/>
              <w:spacing w:before="0" w:line="280" w:lineRule="atLeast"/>
              <w:jc w:val="both"/>
              <w:rPr>
                <w:rFonts w:ascii="Arial" w:hAnsi="Arial" w:cs="Arial"/>
                <w:sz w:val="22"/>
                <w:szCs w:val="22"/>
              </w:rPr>
            </w:pPr>
            <w:r>
              <w:rPr>
                <w:rFonts w:ascii="Arial" w:hAnsi="Arial" w:cs="Arial"/>
                <w:sz w:val="22"/>
                <w:szCs w:val="22"/>
              </w:rPr>
              <w:t>Low-income</w:t>
            </w:r>
            <w:r w:rsidR="00535D17">
              <w:rPr>
                <w:rFonts w:ascii="Arial" w:hAnsi="Arial" w:cs="Arial"/>
                <w:sz w:val="22"/>
                <w:szCs w:val="22"/>
              </w:rPr>
              <w:t xml:space="preserve"> earners will initially be impacted less by the lower fee increase but they will be equally impacted by the increases by 2026, by which time fees would have increased by </w:t>
            </w:r>
            <w:r w:rsidR="0079792A">
              <w:rPr>
                <w:rFonts w:ascii="Arial" w:hAnsi="Arial" w:cs="Arial"/>
                <w:sz w:val="22"/>
                <w:szCs w:val="22"/>
              </w:rPr>
              <w:t>21.5</w:t>
            </w:r>
            <w:r w:rsidR="00535D17">
              <w:rPr>
                <w:rFonts w:ascii="Arial" w:hAnsi="Arial" w:cs="Arial"/>
                <w:sz w:val="22"/>
                <w:szCs w:val="22"/>
              </w:rPr>
              <w:t>%</w:t>
            </w:r>
          </w:p>
        </w:tc>
      </w:tr>
      <w:tr w:rsidR="00535D17" w14:paraId="4EDA1F9D" w14:textId="77777777" w:rsidTr="00A310F2">
        <w:tc>
          <w:tcPr>
            <w:tcW w:w="0" w:type="auto"/>
          </w:tcPr>
          <w:p w14:paraId="4E2EA944" w14:textId="79F45968" w:rsidR="00535D17" w:rsidRDefault="00535D17" w:rsidP="00FA0C5C">
            <w:pPr>
              <w:pStyle w:val="Numberedpara3level1"/>
              <w:keepLines/>
              <w:spacing w:before="0" w:line="280" w:lineRule="atLeast"/>
              <w:jc w:val="both"/>
              <w:rPr>
                <w:rFonts w:ascii="Arial" w:hAnsi="Arial" w:cs="Arial"/>
                <w:sz w:val="22"/>
                <w:szCs w:val="22"/>
              </w:rPr>
            </w:pPr>
            <w:r>
              <w:rPr>
                <w:rFonts w:ascii="Arial" w:hAnsi="Arial" w:cs="Arial"/>
                <w:sz w:val="22"/>
                <w:szCs w:val="22"/>
              </w:rPr>
              <w:t>Capital injections</w:t>
            </w:r>
          </w:p>
        </w:tc>
        <w:tc>
          <w:tcPr>
            <w:tcW w:w="3697" w:type="dxa"/>
          </w:tcPr>
          <w:p w14:paraId="6F208006" w14:textId="15A88991" w:rsidR="00535D17" w:rsidRDefault="00535D17" w:rsidP="00FA0C5C">
            <w:pPr>
              <w:pStyle w:val="Numberedpara3level1"/>
              <w:keepLines/>
              <w:spacing w:before="0" w:line="280" w:lineRule="atLeast"/>
              <w:jc w:val="both"/>
              <w:rPr>
                <w:rFonts w:ascii="Arial" w:hAnsi="Arial" w:cs="Arial"/>
                <w:sz w:val="22"/>
                <w:szCs w:val="22"/>
              </w:rPr>
            </w:pPr>
            <w:r>
              <w:rPr>
                <w:rFonts w:ascii="Arial" w:hAnsi="Arial" w:cs="Arial"/>
                <w:sz w:val="22"/>
                <w:szCs w:val="22"/>
              </w:rPr>
              <w:t>While the capital injections will be initially funded by Government the injections are repayable.  This is the same impact for both options</w:t>
            </w:r>
          </w:p>
        </w:tc>
        <w:tc>
          <w:tcPr>
            <w:tcW w:w="4090" w:type="dxa"/>
          </w:tcPr>
          <w:p w14:paraId="4CDC5CB7" w14:textId="6FA4FD97" w:rsidR="00535D17" w:rsidRDefault="00535D17" w:rsidP="00FA0C5C">
            <w:pPr>
              <w:pStyle w:val="Numberedpara3level1"/>
              <w:keepLines/>
              <w:spacing w:before="0" w:line="280" w:lineRule="atLeast"/>
              <w:jc w:val="both"/>
              <w:rPr>
                <w:rFonts w:ascii="Arial" w:hAnsi="Arial" w:cs="Arial"/>
                <w:sz w:val="22"/>
                <w:szCs w:val="22"/>
              </w:rPr>
            </w:pPr>
            <w:r>
              <w:rPr>
                <w:rFonts w:ascii="Arial" w:hAnsi="Arial" w:cs="Arial"/>
                <w:sz w:val="22"/>
                <w:szCs w:val="22"/>
              </w:rPr>
              <w:t>While the capital injections will be initially funded by Government the injections are repayable.  This is the same impact for both options</w:t>
            </w:r>
          </w:p>
        </w:tc>
      </w:tr>
    </w:tbl>
    <w:p w14:paraId="0A45526C" w14:textId="77777777" w:rsidR="00EB3389" w:rsidRDefault="00EB3389" w:rsidP="00EB3389">
      <w:pPr>
        <w:pStyle w:val="Numberedpara3level1"/>
        <w:keepLines/>
        <w:spacing w:before="0" w:line="280" w:lineRule="atLeast"/>
        <w:jc w:val="both"/>
        <w:rPr>
          <w:rFonts w:ascii="Arial" w:hAnsi="Arial" w:cs="Arial"/>
          <w:sz w:val="22"/>
          <w:szCs w:val="22"/>
        </w:rPr>
      </w:pPr>
      <w:bookmarkStart w:id="54" w:name="_Toc244580366"/>
      <w:bookmarkStart w:id="55" w:name="_Toc244587042"/>
      <w:bookmarkStart w:id="56" w:name="_Toc244857276"/>
      <w:bookmarkStart w:id="57" w:name="_Toc244912541"/>
      <w:bookmarkStart w:id="58" w:name="_Toc244916998"/>
      <w:bookmarkStart w:id="59" w:name="_Toc362368107"/>
      <w:bookmarkStart w:id="60" w:name="_Toc362434948"/>
      <w:bookmarkStart w:id="61" w:name="_Toc362589334"/>
      <w:bookmarkStart w:id="62" w:name="_Toc362619034"/>
      <w:bookmarkStart w:id="63" w:name="_Toc362940598"/>
      <w:bookmarkStart w:id="64" w:name="_Toc363047106"/>
    </w:p>
    <w:p w14:paraId="085FC58C" w14:textId="25AD73EF" w:rsidR="00EB3389" w:rsidRDefault="00EB3389" w:rsidP="00EB3389">
      <w:pPr>
        <w:pStyle w:val="Numberedpara3level1"/>
        <w:keepLines/>
        <w:spacing w:before="0" w:line="280" w:lineRule="atLeast"/>
        <w:jc w:val="both"/>
        <w:rPr>
          <w:rFonts w:ascii="Arial" w:hAnsi="Arial" w:cs="Arial"/>
          <w:sz w:val="22"/>
          <w:szCs w:val="22"/>
        </w:rPr>
      </w:pPr>
      <w:r>
        <w:rPr>
          <w:rFonts w:ascii="Arial" w:hAnsi="Arial" w:cs="Arial"/>
          <w:sz w:val="22"/>
          <w:szCs w:val="22"/>
        </w:rPr>
        <w:t xml:space="preserve">Another factor to consider in determining the long-term impact of fee increases on applicants is that the next fee review is scheduled for mid-2025. This review will include a review of forecasted costs, revenue, </w:t>
      </w:r>
      <w:proofErr w:type="gramStart"/>
      <w:r>
        <w:rPr>
          <w:rFonts w:ascii="Arial" w:hAnsi="Arial" w:cs="Arial"/>
          <w:sz w:val="22"/>
          <w:szCs w:val="22"/>
        </w:rPr>
        <w:t>demand</w:t>
      </w:r>
      <w:proofErr w:type="gramEnd"/>
      <w:r>
        <w:rPr>
          <w:rFonts w:ascii="Arial" w:hAnsi="Arial" w:cs="Arial"/>
          <w:sz w:val="22"/>
          <w:szCs w:val="22"/>
        </w:rPr>
        <w:t xml:space="preserve"> and capital injection requirements over the next three-year period to 2028.  This will impact on the forecasted fee increases. </w:t>
      </w:r>
    </w:p>
    <w:p w14:paraId="5D2A4314" w14:textId="77777777" w:rsidR="00EB3389" w:rsidRDefault="00EB3389" w:rsidP="00EB3389">
      <w:pPr>
        <w:pStyle w:val="Numberedpara3level1"/>
        <w:keepLines/>
        <w:spacing w:before="0" w:line="280" w:lineRule="atLeast"/>
        <w:jc w:val="both"/>
        <w:rPr>
          <w:rFonts w:ascii="Arial" w:hAnsi="Arial" w:cs="Arial"/>
          <w:sz w:val="22"/>
          <w:szCs w:val="22"/>
        </w:rPr>
      </w:pPr>
      <w:r>
        <w:rPr>
          <w:rFonts w:ascii="Arial" w:hAnsi="Arial" w:cs="Arial"/>
          <w:sz w:val="22"/>
          <w:szCs w:val="22"/>
        </w:rPr>
        <w:t xml:space="preserve">There will always be a group of applicants who feel that fee increases are unfair, this is especially true for applicants who apply just after a fee increase or those who apply before a fee decrease.  </w:t>
      </w:r>
    </w:p>
    <w:p w14:paraId="23585A96" w14:textId="6F1A1371" w:rsidR="00A310F2" w:rsidRDefault="002114EC" w:rsidP="00A310F2">
      <w:r>
        <w:t>Both options</w:t>
      </w:r>
      <w:r w:rsidR="00A310F2">
        <w:t xml:space="preserve"> meet the cost recovery principles and objectives set out </w:t>
      </w:r>
      <w:r w:rsidR="0040035B">
        <w:t>in Table 2 above.</w:t>
      </w:r>
    </w:p>
    <w:p w14:paraId="2CBB5614" w14:textId="1300DE2F" w:rsidR="008D5CD9" w:rsidRDefault="008D5CD9" w:rsidP="00F578DB">
      <w:pPr>
        <w:pStyle w:val="Heading2"/>
      </w:pPr>
      <w:r w:rsidRPr="00082653">
        <w:t>Consultation</w:t>
      </w:r>
      <w:bookmarkEnd w:id="54"/>
      <w:bookmarkEnd w:id="55"/>
      <w:bookmarkEnd w:id="56"/>
      <w:bookmarkEnd w:id="57"/>
      <w:bookmarkEnd w:id="58"/>
      <w:bookmarkEnd w:id="59"/>
      <w:bookmarkEnd w:id="60"/>
      <w:bookmarkEnd w:id="61"/>
      <w:bookmarkEnd w:id="62"/>
      <w:bookmarkEnd w:id="63"/>
      <w:bookmarkEnd w:id="64"/>
    </w:p>
    <w:p w14:paraId="10F573C2" w14:textId="09588490" w:rsidR="00535D17" w:rsidRDefault="00CE7B82" w:rsidP="00CC1447">
      <w:pPr>
        <w:spacing w:after="120"/>
        <w:jc w:val="both"/>
        <w:rPr>
          <w:rFonts w:cs="Arial"/>
          <w:szCs w:val="22"/>
          <w:lang w:val="en-NZ"/>
        </w:rPr>
      </w:pPr>
      <w:r w:rsidRPr="00502A2B">
        <w:rPr>
          <w:rFonts w:cs="Arial"/>
          <w:szCs w:val="22"/>
          <w:lang w:val="en-NZ"/>
        </w:rPr>
        <w:t xml:space="preserve">The Department </w:t>
      </w:r>
      <w:r w:rsidR="00671043">
        <w:rPr>
          <w:rFonts w:cs="Arial"/>
          <w:szCs w:val="22"/>
          <w:lang w:val="en-NZ"/>
        </w:rPr>
        <w:t xml:space="preserve">has </w:t>
      </w:r>
      <w:r w:rsidRPr="00502A2B">
        <w:rPr>
          <w:rFonts w:cs="Arial"/>
          <w:szCs w:val="22"/>
          <w:lang w:val="en-NZ"/>
        </w:rPr>
        <w:t>consult</w:t>
      </w:r>
      <w:r w:rsidR="00671043">
        <w:rPr>
          <w:rFonts w:cs="Arial"/>
          <w:szCs w:val="22"/>
          <w:lang w:val="en-NZ"/>
        </w:rPr>
        <w:t>ed</w:t>
      </w:r>
      <w:r w:rsidRPr="00502A2B">
        <w:rPr>
          <w:rFonts w:cs="Arial"/>
          <w:szCs w:val="22"/>
          <w:lang w:val="en-NZ"/>
        </w:rPr>
        <w:t xml:space="preserve"> </w:t>
      </w:r>
      <w:r w:rsidR="00535D17">
        <w:rPr>
          <w:rFonts w:cs="Arial"/>
          <w:szCs w:val="22"/>
          <w:lang w:val="en-NZ"/>
        </w:rPr>
        <w:t xml:space="preserve">on the Cabinet Submission with the following agencies: </w:t>
      </w:r>
    </w:p>
    <w:p w14:paraId="707F3FCC" w14:textId="3B0BE29C" w:rsidR="00535D17" w:rsidRDefault="00CE7B82" w:rsidP="00535D17">
      <w:pPr>
        <w:pStyle w:val="ListParagraph"/>
        <w:numPr>
          <w:ilvl w:val="0"/>
          <w:numId w:val="28"/>
        </w:numPr>
        <w:spacing w:before="120" w:after="120"/>
        <w:ind w:left="714" w:hanging="357"/>
        <w:contextualSpacing w:val="0"/>
        <w:jc w:val="both"/>
        <w:rPr>
          <w:szCs w:val="22"/>
          <w:lang w:val="en-NZ"/>
        </w:rPr>
      </w:pPr>
      <w:r w:rsidRPr="00535D17">
        <w:rPr>
          <w:szCs w:val="22"/>
          <w:lang w:val="en-NZ"/>
        </w:rPr>
        <w:t>Treasury</w:t>
      </w:r>
      <w:r w:rsidR="00535D17">
        <w:rPr>
          <w:szCs w:val="22"/>
          <w:lang w:val="en-NZ"/>
        </w:rPr>
        <w:t xml:space="preserve">, </w:t>
      </w:r>
      <w:r w:rsidRPr="00535D17">
        <w:rPr>
          <w:szCs w:val="22"/>
          <w:lang w:val="en-NZ"/>
        </w:rPr>
        <w:t xml:space="preserve">on the financial </w:t>
      </w:r>
      <w:r w:rsidR="00535D17">
        <w:rPr>
          <w:szCs w:val="22"/>
          <w:lang w:val="en-NZ"/>
        </w:rPr>
        <w:t xml:space="preserve">and policy </w:t>
      </w:r>
      <w:r w:rsidRPr="00535D17">
        <w:rPr>
          <w:szCs w:val="22"/>
          <w:lang w:val="en-NZ"/>
        </w:rPr>
        <w:t>implications of the proposal</w:t>
      </w:r>
      <w:r w:rsidR="00E527FA">
        <w:rPr>
          <w:szCs w:val="22"/>
          <w:lang w:val="en-NZ"/>
        </w:rPr>
        <w:t>;</w:t>
      </w:r>
      <w:r w:rsidR="00535D17" w:rsidRPr="00535D17">
        <w:rPr>
          <w:szCs w:val="22"/>
          <w:lang w:val="en-NZ"/>
        </w:rPr>
        <w:t xml:space="preserve"> </w:t>
      </w:r>
      <w:r w:rsidRPr="00535D17">
        <w:rPr>
          <w:szCs w:val="22"/>
          <w:lang w:val="en-NZ"/>
        </w:rPr>
        <w:t xml:space="preserve"> </w:t>
      </w:r>
    </w:p>
    <w:p w14:paraId="1BCAB796" w14:textId="1101FB24" w:rsidR="00671043" w:rsidRDefault="00CE7B82" w:rsidP="00535D17">
      <w:pPr>
        <w:pStyle w:val="ListParagraph"/>
        <w:numPr>
          <w:ilvl w:val="0"/>
          <w:numId w:val="28"/>
        </w:numPr>
        <w:spacing w:before="120" w:after="120"/>
        <w:ind w:left="714" w:hanging="357"/>
        <w:contextualSpacing w:val="0"/>
        <w:jc w:val="both"/>
        <w:rPr>
          <w:szCs w:val="22"/>
          <w:lang w:val="en-NZ"/>
        </w:rPr>
      </w:pPr>
      <w:r w:rsidRPr="00535D17">
        <w:rPr>
          <w:szCs w:val="22"/>
          <w:lang w:val="en-NZ"/>
        </w:rPr>
        <w:t>Ministry of Business Innovation and Employment</w:t>
      </w:r>
      <w:r w:rsidR="00671043">
        <w:rPr>
          <w:szCs w:val="22"/>
          <w:lang w:val="en-NZ"/>
        </w:rPr>
        <w:t xml:space="preserve"> on Immigration Policy;</w:t>
      </w:r>
      <w:r w:rsidRPr="00535D17">
        <w:rPr>
          <w:szCs w:val="22"/>
          <w:lang w:val="en-NZ"/>
        </w:rPr>
        <w:t xml:space="preserve"> </w:t>
      </w:r>
    </w:p>
    <w:p w14:paraId="1341F4E8" w14:textId="563D63BA" w:rsidR="00535D17" w:rsidRDefault="00671043" w:rsidP="00535D17">
      <w:pPr>
        <w:pStyle w:val="ListParagraph"/>
        <w:numPr>
          <w:ilvl w:val="0"/>
          <w:numId w:val="28"/>
        </w:numPr>
        <w:spacing w:before="120" w:after="120"/>
        <w:ind w:left="714" w:hanging="357"/>
        <w:contextualSpacing w:val="0"/>
        <w:jc w:val="both"/>
        <w:rPr>
          <w:szCs w:val="22"/>
          <w:lang w:val="en-NZ"/>
        </w:rPr>
      </w:pPr>
      <w:r>
        <w:rPr>
          <w:szCs w:val="22"/>
          <w:lang w:val="en-NZ"/>
        </w:rPr>
        <w:t xml:space="preserve">New Zealand </w:t>
      </w:r>
      <w:r w:rsidR="00535D17" w:rsidRPr="00535D17">
        <w:rPr>
          <w:szCs w:val="22"/>
          <w:lang w:val="en-NZ"/>
        </w:rPr>
        <w:t xml:space="preserve">Customs </w:t>
      </w:r>
      <w:r>
        <w:rPr>
          <w:szCs w:val="22"/>
          <w:lang w:val="en-NZ"/>
        </w:rPr>
        <w:t>Service on border control;</w:t>
      </w:r>
      <w:r w:rsidR="00E527FA">
        <w:rPr>
          <w:szCs w:val="22"/>
          <w:lang w:val="en-NZ"/>
        </w:rPr>
        <w:t xml:space="preserve"> and the </w:t>
      </w:r>
      <w:r w:rsidR="00535D17" w:rsidRPr="00535D17">
        <w:rPr>
          <w:szCs w:val="22"/>
          <w:lang w:val="en-NZ"/>
        </w:rPr>
        <w:t xml:space="preserve"> </w:t>
      </w:r>
    </w:p>
    <w:p w14:paraId="02680F4E" w14:textId="425E2FC1" w:rsidR="00671043" w:rsidRPr="00A3499B" w:rsidRDefault="00CE7B82" w:rsidP="00A3499B">
      <w:pPr>
        <w:pStyle w:val="ListParagraph"/>
        <w:numPr>
          <w:ilvl w:val="0"/>
          <w:numId w:val="28"/>
        </w:numPr>
        <w:spacing w:after="180"/>
        <w:contextualSpacing w:val="0"/>
        <w:jc w:val="both"/>
        <w:rPr>
          <w:szCs w:val="22"/>
        </w:rPr>
      </w:pPr>
      <w:r w:rsidRPr="00A3499B">
        <w:rPr>
          <w:szCs w:val="22"/>
          <w:lang w:val="en-NZ"/>
        </w:rPr>
        <w:t>Ministry of Foreign Affairs and Trade</w:t>
      </w:r>
      <w:r w:rsidR="00535D17" w:rsidRPr="00A3499B">
        <w:rPr>
          <w:szCs w:val="22"/>
          <w:lang w:val="en-NZ"/>
        </w:rPr>
        <w:t xml:space="preserve"> on any impact on New Zealand’s external relationships </w:t>
      </w:r>
      <w:r w:rsidR="00E527FA" w:rsidRPr="00A3499B">
        <w:rPr>
          <w:szCs w:val="22"/>
          <w:lang w:val="en-NZ"/>
        </w:rPr>
        <w:t xml:space="preserve">or </w:t>
      </w:r>
      <w:r w:rsidR="00535D17" w:rsidRPr="00A3499B">
        <w:rPr>
          <w:szCs w:val="22"/>
          <w:lang w:val="en-NZ"/>
        </w:rPr>
        <w:t>on services provided to New Zealanders overseas though their diplomatic posts.</w:t>
      </w:r>
      <w:r w:rsidRPr="00A3499B">
        <w:rPr>
          <w:szCs w:val="22"/>
          <w:lang w:val="en-NZ"/>
        </w:rPr>
        <w:t xml:space="preserve"> </w:t>
      </w:r>
      <w:r w:rsidRPr="00A3499B">
        <w:rPr>
          <w:szCs w:val="22"/>
        </w:rPr>
        <w:t xml:space="preserve">The Ministry of Foreign Affairs Trade (MFAT) provides the Department with some services relating to the provision of Emergency Travel Documents to New Zealanders overseas who have lost or had their passport stolen or whose passport has expired, and they have an urgent need to travel to New Zealand. </w:t>
      </w:r>
      <w:r w:rsidRPr="00A3499B">
        <w:rPr>
          <w:szCs w:val="22"/>
        </w:rPr>
        <w:lastRenderedPageBreak/>
        <w:t xml:space="preserve">MFAT also charge a </w:t>
      </w:r>
      <w:r w:rsidR="00535D17" w:rsidRPr="00A3499B">
        <w:rPr>
          <w:szCs w:val="22"/>
        </w:rPr>
        <w:t xml:space="preserve">$50 </w:t>
      </w:r>
      <w:r w:rsidRPr="00A3499B">
        <w:rPr>
          <w:szCs w:val="22"/>
        </w:rPr>
        <w:t>handling fee for documents received by overseas posts for transmission to New Zealand.</w:t>
      </w:r>
      <w:r w:rsidR="00671043" w:rsidRPr="00A3499B">
        <w:rPr>
          <w:szCs w:val="22"/>
          <w:highlight w:val="yellow"/>
        </w:rPr>
        <w:t xml:space="preserve"> </w:t>
      </w:r>
    </w:p>
    <w:p w14:paraId="60EBC9B3" w14:textId="6B6C6F76" w:rsidR="00A3499B" w:rsidRDefault="00A3499B" w:rsidP="00671043">
      <w:pPr>
        <w:pStyle w:val="Numberedpara3level211"/>
        <w:spacing w:before="0" w:after="180" w:line="280" w:lineRule="atLeast"/>
        <w:ind w:left="0" w:firstLine="0"/>
        <w:jc w:val="both"/>
        <w:rPr>
          <w:rFonts w:ascii="Arial" w:hAnsi="Arial" w:cs="Arial"/>
          <w:sz w:val="22"/>
          <w:szCs w:val="22"/>
        </w:rPr>
      </w:pPr>
      <w:r>
        <w:rPr>
          <w:rFonts w:ascii="Arial" w:hAnsi="Arial" w:cs="Arial"/>
          <w:sz w:val="22"/>
          <w:szCs w:val="22"/>
        </w:rPr>
        <w:t xml:space="preserve">Treasury had no feedback on the options set out in the draft Cabinet Paper. Their feedback related to the phrasing of the paper’s recommendations relating to the financial implications of the options. The recommendations were revised to address these matters.    </w:t>
      </w:r>
    </w:p>
    <w:p w14:paraId="23E23798" w14:textId="50A5CF76" w:rsidR="00671043" w:rsidRPr="00671043" w:rsidRDefault="00671043" w:rsidP="00671043">
      <w:pPr>
        <w:pStyle w:val="Numberedpara3level211"/>
        <w:spacing w:before="0" w:after="180" w:line="280" w:lineRule="atLeast"/>
        <w:ind w:left="0" w:firstLine="0"/>
        <w:jc w:val="both"/>
        <w:rPr>
          <w:rFonts w:ascii="Arial" w:hAnsi="Arial" w:cs="Arial"/>
          <w:sz w:val="22"/>
          <w:szCs w:val="22"/>
        </w:rPr>
      </w:pPr>
      <w:r w:rsidRPr="00671043">
        <w:rPr>
          <w:rFonts w:ascii="Arial" w:hAnsi="Arial" w:cs="Arial"/>
          <w:sz w:val="22"/>
          <w:szCs w:val="22"/>
        </w:rPr>
        <w:t xml:space="preserve">The view of the Ministry of Foreign and Trade is that the Proposed Option 1 (a single increase) is preferable.   The single jump is a slightly smaller increase overall, so creates fewer barriers to travellers getting the travel documents they require, </w:t>
      </w:r>
      <w:proofErr w:type="gramStart"/>
      <w:r w:rsidRPr="00671043">
        <w:rPr>
          <w:rFonts w:ascii="Arial" w:hAnsi="Arial" w:cs="Arial"/>
          <w:sz w:val="22"/>
          <w:szCs w:val="22"/>
        </w:rPr>
        <w:t>and also</w:t>
      </w:r>
      <w:proofErr w:type="gramEnd"/>
      <w:r w:rsidRPr="00671043">
        <w:rPr>
          <w:rFonts w:ascii="Arial" w:hAnsi="Arial" w:cs="Arial"/>
          <w:sz w:val="22"/>
          <w:szCs w:val="22"/>
        </w:rPr>
        <w:t xml:space="preserve"> the single change is administratively simpler for our posts and for New Zealanders around the world, rather than having three changes in consecutive years.</w:t>
      </w:r>
    </w:p>
    <w:p w14:paraId="46B3EFD5" w14:textId="701A465A" w:rsidR="00535D17" w:rsidRPr="00DA7BC4" w:rsidRDefault="00535D17" w:rsidP="00CC1447">
      <w:pPr>
        <w:spacing w:after="120"/>
        <w:jc w:val="both"/>
        <w:rPr>
          <w:rFonts w:cs="Arial"/>
          <w:szCs w:val="22"/>
          <w:lang w:val="en-NZ"/>
        </w:rPr>
      </w:pPr>
      <w:r>
        <w:rPr>
          <w:rFonts w:cs="Arial"/>
          <w:szCs w:val="22"/>
          <w:lang w:val="en-NZ"/>
        </w:rPr>
        <w:t xml:space="preserve">Consultation with </w:t>
      </w:r>
      <w:r w:rsidRPr="00502A2B">
        <w:rPr>
          <w:rFonts w:cs="Arial"/>
          <w:szCs w:val="22"/>
          <w:lang w:val="en-NZ"/>
        </w:rPr>
        <w:t>the Policy Advisory Group, Department of Prime Minister and Cabinet</w:t>
      </w:r>
      <w:r w:rsidR="00FF3E7B">
        <w:rPr>
          <w:rFonts w:cs="Arial"/>
          <w:szCs w:val="22"/>
          <w:lang w:val="en-NZ"/>
        </w:rPr>
        <w:t xml:space="preserve">, NZ Customs Service and the Ministry of Business Innovation and Employment </w:t>
      </w:r>
      <w:r>
        <w:rPr>
          <w:rFonts w:cs="Arial"/>
          <w:szCs w:val="22"/>
          <w:lang w:val="en-NZ"/>
        </w:rPr>
        <w:t>has been completed and no issues were identified.</w:t>
      </w:r>
    </w:p>
    <w:p w14:paraId="568DF0A0" w14:textId="50489D3D" w:rsidR="00182D28" w:rsidRPr="00380130" w:rsidRDefault="00D6534F" w:rsidP="00671043">
      <w:pPr>
        <w:pStyle w:val="Bullet-list"/>
        <w:numPr>
          <w:ilvl w:val="0"/>
          <w:numId w:val="0"/>
        </w:numPr>
        <w:jc w:val="both"/>
      </w:pPr>
      <w:r>
        <w:t>The public was not consulted regarding the fees increase</w:t>
      </w:r>
      <w:r w:rsidR="00182D28">
        <w:t xml:space="preserve"> </w:t>
      </w:r>
      <w:r w:rsidR="00182D28" w:rsidRPr="00380130">
        <w:t>as the passport service is based on a cost recovery model (including repayable capital injections) and changes to that model are outside of the scope of these proposals. Additionally, DIA is not proposing any change to passport services. Therefore, the value of public or stakeholder consultation would be limited.</w:t>
      </w:r>
      <w:r w:rsidR="0040035B">
        <w:t xml:space="preserve"> </w:t>
      </w:r>
      <w:r w:rsidR="00182D28" w:rsidRPr="00380130">
        <w:t xml:space="preserve"> </w:t>
      </w:r>
      <w:r w:rsidR="0040035B">
        <w:t xml:space="preserve">Public consultation has also not been undertaken as this would signal an intention to increase fees which would result in an increase in demand for travel documents from persons wishing to avoid the increase.  Such an increase would delay timely processing of applications and issuance. </w:t>
      </w:r>
    </w:p>
    <w:p w14:paraId="131A64BD" w14:textId="77777777" w:rsidR="008D5CD9" w:rsidRPr="00082653" w:rsidRDefault="008D5CD9" w:rsidP="00F578DB">
      <w:pPr>
        <w:pStyle w:val="Heading2"/>
      </w:pPr>
      <w:bookmarkStart w:id="65" w:name="_Preferred_option_[optional]"/>
      <w:bookmarkStart w:id="66" w:name="_Toc244580367"/>
      <w:bookmarkStart w:id="67" w:name="_Toc244587043"/>
      <w:bookmarkStart w:id="68" w:name="_Toc244857277"/>
      <w:bookmarkStart w:id="69" w:name="_Toc244912542"/>
      <w:bookmarkStart w:id="70" w:name="_Toc244916999"/>
      <w:bookmarkStart w:id="71" w:name="_Toc362368108"/>
      <w:bookmarkStart w:id="72" w:name="_Toc362434949"/>
      <w:bookmarkStart w:id="73" w:name="_Toc362589335"/>
      <w:bookmarkStart w:id="74" w:name="_Toc362619035"/>
      <w:bookmarkStart w:id="75" w:name="_Toc362940599"/>
      <w:bookmarkStart w:id="76" w:name="_Toc363047107"/>
      <w:bookmarkEnd w:id="65"/>
      <w:r>
        <w:t>Conclusions and recommendations</w:t>
      </w:r>
      <w:bookmarkEnd w:id="66"/>
      <w:bookmarkEnd w:id="67"/>
      <w:bookmarkEnd w:id="68"/>
      <w:bookmarkEnd w:id="69"/>
      <w:bookmarkEnd w:id="70"/>
      <w:bookmarkEnd w:id="71"/>
      <w:bookmarkEnd w:id="72"/>
      <w:bookmarkEnd w:id="73"/>
      <w:bookmarkEnd w:id="74"/>
      <w:bookmarkEnd w:id="75"/>
      <w:bookmarkEnd w:id="76"/>
    </w:p>
    <w:p w14:paraId="0611B183" w14:textId="192A9752" w:rsidR="00535D17" w:rsidRPr="00D6534F" w:rsidRDefault="002114EC" w:rsidP="00535D17">
      <w:pPr>
        <w:pStyle w:val="Bullet-list"/>
        <w:numPr>
          <w:ilvl w:val="0"/>
          <w:numId w:val="0"/>
        </w:numPr>
        <w:jc w:val="both"/>
        <w:rPr>
          <w:b/>
        </w:rPr>
      </w:pPr>
      <w:r>
        <w:t>Both options</w:t>
      </w:r>
      <w:r w:rsidR="00535D17">
        <w:t xml:space="preserve"> meet the desired policy outcome of passport issuance </w:t>
      </w:r>
      <w:r>
        <w:t>continuing</w:t>
      </w:r>
      <w:r w:rsidR="00535D17">
        <w:t xml:space="preserve"> a cost recovery basis</w:t>
      </w:r>
      <w:r w:rsidR="00E527FA">
        <w:t xml:space="preserve"> and zeroing the balance of the PMA by 2037</w:t>
      </w:r>
      <w:r w:rsidR="00535D17">
        <w:t xml:space="preserve">. </w:t>
      </w:r>
      <w:r w:rsidR="00CE7B82" w:rsidRPr="00D6534F">
        <w:t xml:space="preserve">The </w:t>
      </w:r>
      <w:r w:rsidR="00512258">
        <w:t xml:space="preserve">Department’s </w:t>
      </w:r>
      <w:r w:rsidR="00535D17">
        <w:t xml:space="preserve">preference </w:t>
      </w:r>
      <w:r w:rsidR="00D6534F">
        <w:t xml:space="preserve">is for </w:t>
      </w:r>
      <w:r w:rsidR="005F73DF">
        <w:t xml:space="preserve">a </w:t>
      </w:r>
      <w:r w:rsidR="00A008C2">
        <w:t xml:space="preserve">fee increase of approximately </w:t>
      </w:r>
      <w:r w:rsidR="005F73DF">
        <w:t>1</w:t>
      </w:r>
      <w:r w:rsidR="00CE7B82" w:rsidRPr="00E173DC">
        <w:t>9.</w:t>
      </w:r>
      <w:r w:rsidR="005F73DF">
        <w:t>37</w:t>
      </w:r>
      <w:r w:rsidR="00CE7B82" w:rsidRPr="00E173DC">
        <w:t>% in 2022 with 3</w:t>
      </w:r>
      <w:r>
        <w:t>-</w:t>
      </w:r>
      <w:r w:rsidR="00CE7B82" w:rsidRPr="00E173DC">
        <w:t xml:space="preserve">yearly fee reviews thereafter.  </w:t>
      </w:r>
      <w:r w:rsidR="00535D17">
        <w:t xml:space="preserve"> </w:t>
      </w:r>
    </w:p>
    <w:p w14:paraId="4097FF7D" w14:textId="439A1338" w:rsidR="00512258" w:rsidRDefault="00535D17" w:rsidP="00F113D2">
      <w:pPr>
        <w:pStyle w:val="Bullet-list"/>
        <w:numPr>
          <w:ilvl w:val="0"/>
          <w:numId w:val="0"/>
        </w:numPr>
        <w:jc w:val="both"/>
      </w:pPr>
      <w:r>
        <w:t>Under this option t</w:t>
      </w:r>
      <w:r w:rsidR="00CE7B82" w:rsidRPr="00E173DC">
        <w:t>he fee for a standard adult passport would increase from $1</w:t>
      </w:r>
      <w:r w:rsidR="005F73DF">
        <w:t>91</w:t>
      </w:r>
      <w:r w:rsidR="00CE7B82" w:rsidRPr="00E173DC">
        <w:t xml:space="preserve"> to $2</w:t>
      </w:r>
      <w:r w:rsidR="005F73DF">
        <w:t>28</w:t>
      </w:r>
      <w:r w:rsidR="00CE7B82" w:rsidRPr="00E173DC">
        <w:t xml:space="preserve"> in 2022 </w:t>
      </w:r>
      <w:r w:rsidR="005F73DF">
        <w:t xml:space="preserve">and the </w:t>
      </w:r>
      <w:r w:rsidR="00CE7B82" w:rsidRPr="00E173DC">
        <w:t>fee for a child’s passport would increase from $</w:t>
      </w:r>
      <w:r w:rsidR="00E27323">
        <w:t>111</w:t>
      </w:r>
      <w:r w:rsidR="00CE7B82" w:rsidRPr="00E173DC">
        <w:t xml:space="preserve"> to $1</w:t>
      </w:r>
      <w:r w:rsidR="00E27323">
        <w:t>32. Repa</w:t>
      </w:r>
      <w:r w:rsidR="00CE7B82" w:rsidRPr="00E173DC">
        <w:t>yable capital injections of $</w:t>
      </w:r>
      <w:r w:rsidR="00E27323">
        <w:t>195</w:t>
      </w:r>
      <w:r w:rsidR="00CE7B82" w:rsidRPr="00E173DC">
        <w:t xml:space="preserve">m would be required over 2022-2035, with full repayment over 2026-2037. </w:t>
      </w:r>
      <w:r w:rsidR="00DA7BC4">
        <w:t xml:space="preserve">This </w:t>
      </w:r>
      <w:r>
        <w:t xml:space="preserve">option is the Department’s preference </w:t>
      </w:r>
      <w:r w:rsidR="00B35D48">
        <w:t xml:space="preserve">for the following reasons: </w:t>
      </w:r>
      <w:r w:rsidR="00DA7BC4">
        <w:t xml:space="preserve"> </w:t>
      </w:r>
    </w:p>
    <w:p w14:paraId="71DF8538" w14:textId="670DA263" w:rsidR="00B35D48" w:rsidRPr="00B35D48" w:rsidRDefault="00512258" w:rsidP="00B35D48">
      <w:pPr>
        <w:pStyle w:val="Bullet-list"/>
        <w:numPr>
          <w:ilvl w:val="0"/>
          <w:numId w:val="35"/>
        </w:numPr>
        <w:jc w:val="both"/>
        <w:rPr>
          <w:b/>
        </w:rPr>
      </w:pPr>
      <w:r>
        <w:t xml:space="preserve">Over a </w:t>
      </w:r>
      <w:r w:rsidR="00B35D48">
        <w:t>three-year</w:t>
      </w:r>
      <w:r>
        <w:t xml:space="preserve"> </w:t>
      </w:r>
      <w:r w:rsidR="00B35D48">
        <w:t>period,</w:t>
      </w:r>
      <w:r>
        <w:t xml:space="preserve"> the cost of a passport under option 2 would increase by </w:t>
      </w:r>
      <w:r w:rsidR="00412E6D">
        <w:t>12.40</w:t>
      </w:r>
      <w:r w:rsidR="00B35D48">
        <w:t xml:space="preserve">% compared to 19.37% under option 1. By year 5 the costs under option 2 would have increased by </w:t>
      </w:r>
      <w:r w:rsidR="00412E6D">
        <w:t>21.50</w:t>
      </w:r>
      <w:r w:rsidR="00B35D48">
        <w:t xml:space="preserve">% compared with 19.37% under option 1. This means that after year 5 option 1 would be </w:t>
      </w:r>
      <w:r w:rsidR="00F05C43">
        <w:t>the least cost option</w:t>
      </w:r>
      <w:r w:rsidR="00FD4980">
        <w:t xml:space="preserve"> for future </w:t>
      </w:r>
      <w:proofErr w:type="gramStart"/>
      <w:r w:rsidR="00FD4980">
        <w:t>applicants</w:t>
      </w:r>
      <w:r w:rsidR="00F05C43">
        <w:t>;</w:t>
      </w:r>
      <w:proofErr w:type="gramEnd"/>
    </w:p>
    <w:p w14:paraId="34FA22C1" w14:textId="6D3C5568" w:rsidR="00512258" w:rsidRPr="00B35D48" w:rsidRDefault="00F05C43" w:rsidP="00512258">
      <w:pPr>
        <w:pStyle w:val="Bullet-list"/>
        <w:numPr>
          <w:ilvl w:val="0"/>
          <w:numId w:val="35"/>
        </w:numPr>
        <w:jc w:val="both"/>
        <w:rPr>
          <w:b/>
        </w:rPr>
      </w:pPr>
      <w:r>
        <w:t xml:space="preserve">option 1 </w:t>
      </w:r>
      <w:r w:rsidR="00E27323">
        <w:t xml:space="preserve">requires </w:t>
      </w:r>
      <w:r w:rsidR="00A008C2">
        <w:t xml:space="preserve">the least amount of </w:t>
      </w:r>
      <w:r w:rsidR="00E27323">
        <w:t xml:space="preserve">capital </w:t>
      </w:r>
      <w:r w:rsidR="00512258">
        <w:t>injections</w:t>
      </w:r>
      <w:r w:rsidR="00135162">
        <w:t xml:space="preserve"> by $15.6m</w:t>
      </w:r>
      <w:r w:rsidR="00512258">
        <w:t>; and</w:t>
      </w:r>
      <w:r w:rsidR="00E27323">
        <w:t xml:space="preserve"> </w:t>
      </w:r>
    </w:p>
    <w:p w14:paraId="76976DFD" w14:textId="250D7EE4" w:rsidR="008D5CD9" w:rsidRPr="00D6534F" w:rsidRDefault="00F05C43" w:rsidP="00135162">
      <w:pPr>
        <w:pStyle w:val="Bullet-list"/>
        <w:numPr>
          <w:ilvl w:val="0"/>
          <w:numId w:val="35"/>
        </w:numPr>
        <w:jc w:val="both"/>
        <w:rPr>
          <w:b/>
        </w:rPr>
      </w:pPr>
      <w:r>
        <w:t xml:space="preserve">option 1 </w:t>
      </w:r>
      <w:r w:rsidR="00E27323">
        <w:t>is administratively simpler and less expensive to implement</w:t>
      </w:r>
      <w:r w:rsidR="00512258">
        <w:t xml:space="preserve"> in terms of the cost </w:t>
      </w:r>
      <w:r w:rsidR="00135162">
        <w:t xml:space="preserve">and number </w:t>
      </w:r>
      <w:r w:rsidR="00512258">
        <w:t>of system changes and changes to published content relating to fees</w:t>
      </w:r>
      <w:r w:rsidR="00DA7BC4">
        <w:t xml:space="preserve">. </w:t>
      </w:r>
    </w:p>
    <w:p w14:paraId="043B8442" w14:textId="2C3B85F3" w:rsidR="00F05C43" w:rsidRDefault="00F05C43" w:rsidP="00135162">
      <w:pPr>
        <w:jc w:val="both"/>
      </w:pPr>
      <w:bookmarkStart w:id="77" w:name="_Toc244580368"/>
      <w:bookmarkStart w:id="78" w:name="_Toc244587044"/>
      <w:bookmarkStart w:id="79" w:name="_Toc244857278"/>
      <w:bookmarkStart w:id="80" w:name="_Toc244912543"/>
      <w:bookmarkStart w:id="81" w:name="_Toc244917000"/>
      <w:bookmarkStart w:id="82" w:name="_Toc362368109"/>
      <w:bookmarkStart w:id="83" w:name="_Toc362434950"/>
      <w:bookmarkStart w:id="84" w:name="_Toc362589336"/>
      <w:bookmarkStart w:id="85" w:name="_Toc362619036"/>
      <w:bookmarkStart w:id="86" w:name="_Toc362940600"/>
      <w:bookmarkStart w:id="87" w:name="_Toc363047108"/>
      <w:proofErr w:type="gramStart"/>
      <w:r>
        <w:t>Both of the options</w:t>
      </w:r>
      <w:proofErr w:type="gramEnd"/>
      <w:r>
        <w:t xml:space="preserve"> have provision for a further fee review in 2025.  That fee review will </w:t>
      </w:r>
      <w:proofErr w:type="gramStart"/>
      <w:r>
        <w:t>take into account</w:t>
      </w:r>
      <w:proofErr w:type="gramEnd"/>
      <w:r>
        <w:t xml:space="preserve"> demand, revenue</w:t>
      </w:r>
      <w:r w:rsidR="002A7956">
        <w:t xml:space="preserve">, </w:t>
      </w:r>
      <w:r>
        <w:t xml:space="preserve">expense forecasts </w:t>
      </w:r>
      <w:r w:rsidR="002A7956">
        <w:t xml:space="preserve">and capital injection requirements </w:t>
      </w:r>
      <w:r>
        <w:t xml:space="preserve">to determine </w:t>
      </w:r>
      <w:r w:rsidR="00FD4980">
        <w:t xml:space="preserve">if changes need to be made to fees. The outcome of the 2025 fee review will impact on the relative financial </w:t>
      </w:r>
      <w:r w:rsidR="002A7956">
        <w:t xml:space="preserve">costs and </w:t>
      </w:r>
      <w:r w:rsidR="00FD4980">
        <w:t>benefits of the two options, in terms of least cost to applicants</w:t>
      </w:r>
      <w:r w:rsidR="002A7956">
        <w:t>. R</w:t>
      </w:r>
      <w:r w:rsidR="00FD4980">
        <w:t>egardless of future fee changes option 1 will remain easier to implement and less expensive</w:t>
      </w:r>
      <w:r w:rsidR="002A7956">
        <w:t xml:space="preserve"> and is therefore the preferred option</w:t>
      </w:r>
      <w:r w:rsidR="00FD4980">
        <w:t xml:space="preserve">. </w:t>
      </w:r>
    </w:p>
    <w:p w14:paraId="2A63801E" w14:textId="2A1BB6AB" w:rsidR="008D5CD9" w:rsidRDefault="008D5CD9" w:rsidP="00F578DB">
      <w:pPr>
        <w:pStyle w:val="Heading2"/>
      </w:pPr>
      <w:r w:rsidRPr="00082653">
        <w:lastRenderedPageBreak/>
        <w:t>Implementation</w:t>
      </w:r>
      <w:bookmarkEnd w:id="77"/>
      <w:bookmarkEnd w:id="78"/>
      <w:bookmarkEnd w:id="79"/>
      <w:bookmarkEnd w:id="80"/>
      <w:bookmarkEnd w:id="81"/>
      <w:r>
        <w:t xml:space="preserve"> plan</w:t>
      </w:r>
      <w:bookmarkEnd w:id="82"/>
      <w:bookmarkEnd w:id="83"/>
      <w:bookmarkEnd w:id="84"/>
      <w:bookmarkEnd w:id="85"/>
      <w:bookmarkEnd w:id="86"/>
      <w:bookmarkEnd w:id="87"/>
    </w:p>
    <w:p w14:paraId="699DADD0" w14:textId="499E0E55" w:rsidR="000C5B1F" w:rsidRPr="00D6534F" w:rsidRDefault="000C5B1F" w:rsidP="00412FA2">
      <w:pPr>
        <w:jc w:val="both"/>
        <w:rPr>
          <w:szCs w:val="22"/>
          <w:lang w:val="en-NZ"/>
        </w:rPr>
      </w:pPr>
      <w:r w:rsidRPr="00502A2B">
        <w:rPr>
          <w:lang w:val="en-NZ"/>
        </w:rPr>
        <w:t>The implementation process includes</w:t>
      </w:r>
      <w:r w:rsidR="00412FA2">
        <w:rPr>
          <w:lang w:val="en-NZ"/>
        </w:rPr>
        <w:t xml:space="preserve"> </w:t>
      </w:r>
      <w:r w:rsidR="00412FA2">
        <w:rPr>
          <w:szCs w:val="22"/>
          <w:lang w:val="en-NZ"/>
        </w:rPr>
        <w:t>updating t</w:t>
      </w:r>
      <w:r w:rsidRPr="00D6534F">
        <w:rPr>
          <w:szCs w:val="22"/>
          <w:lang w:val="en-NZ"/>
        </w:rPr>
        <w:t xml:space="preserve">he Passport (Fees) Regulations 2015 </w:t>
      </w:r>
      <w:r w:rsidR="00412FA2">
        <w:rPr>
          <w:szCs w:val="22"/>
          <w:lang w:val="en-NZ"/>
        </w:rPr>
        <w:t xml:space="preserve">to </w:t>
      </w:r>
      <w:r w:rsidRPr="00D6534F">
        <w:rPr>
          <w:szCs w:val="22"/>
          <w:lang w:val="en-NZ"/>
        </w:rPr>
        <w:t>provide the legislative framework for the increase in fees. The Department will seek an exemption from the 28-day gazetting rules to allow for the changes to be implemented without this waiting period.</w:t>
      </w:r>
      <w:r w:rsidR="00412FA2">
        <w:rPr>
          <w:szCs w:val="22"/>
          <w:lang w:val="en-NZ"/>
        </w:rPr>
        <w:t xml:space="preserve"> </w:t>
      </w:r>
      <w:r w:rsidRPr="00D6534F">
        <w:rPr>
          <w:szCs w:val="22"/>
          <w:lang w:val="en-NZ"/>
        </w:rPr>
        <w:t>Th</w:t>
      </w:r>
      <w:r w:rsidR="00412FA2">
        <w:rPr>
          <w:szCs w:val="22"/>
          <w:lang w:val="en-NZ"/>
        </w:rPr>
        <w:t xml:space="preserve">is exemption is needed to </w:t>
      </w:r>
      <w:r w:rsidRPr="00D6534F">
        <w:rPr>
          <w:szCs w:val="22"/>
          <w:lang w:val="en-NZ"/>
        </w:rPr>
        <w:t>prevent a surge of applications being lodged before the pricing increases take effect.  The Minister and the Department will issue press statements with details of the fees and an explanation why the fee increases are required. The Department will update web content with relevant details.</w:t>
      </w:r>
    </w:p>
    <w:p w14:paraId="612205F6" w14:textId="77777777" w:rsidR="008D5CD9" w:rsidRDefault="008540AD" w:rsidP="00F578DB">
      <w:pPr>
        <w:pStyle w:val="Heading2"/>
      </w:pPr>
      <w:bookmarkStart w:id="88" w:name="_Toc244580369"/>
      <w:bookmarkStart w:id="89" w:name="_Toc244587045"/>
      <w:bookmarkStart w:id="90" w:name="_Toc244857279"/>
      <w:bookmarkStart w:id="91" w:name="_Toc244912544"/>
      <w:bookmarkStart w:id="92" w:name="_Toc244917001"/>
      <w:bookmarkStart w:id="93" w:name="_Toc362368110"/>
      <w:bookmarkStart w:id="94" w:name="_Toc362434951"/>
      <w:bookmarkStart w:id="95" w:name="_Toc362589337"/>
      <w:bookmarkStart w:id="96" w:name="_Toc362619037"/>
      <w:bookmarkStart w:id="97" w:name="_Toc362940601"/>
      <w:bookmarkStart w:id="98" w:name="_Toc363047109"/>
      <w:r>
        <w:t>Monitoring and</w:t>
      </w:r>
      <w:r w:rsidR="008D5CD9" w:rsidRPr="00082653">
        <w:t xml:space="preserve"> evaluation</w:t>
      </w:r>
      <w:bookmarkEnd w:id="88"/>
      <w:bookmarkEnd w:id="89"/>
      <w:bookmarkEnd w:id="90"/>
      <w:bookmarkEnd w:id="91"/>
      <w:bookmarkEnd w:id="92"/>
      <w:bookmarkEnd w:id="93"/>
      <w:bookmarkEnd w:id="94"/>
      <w:bookmarkEnd w:id="95"/>
      <w:bookmarkEnd w:id="96"/>
      <w:bookmarkEnd w:id="97"/>
      <w:bookmarkEnd w:id="98"/>
    </w:p>
    <w:p w14:paraId="714BA2CE" w14:textId="04347945" w:rsidR="00CE7B82" w:rsidRPr="00502A2B" w:rsidRDefault="00CE7B82" w:rsidP="00CC1447">
      <w:pPr>
        <w:pStyle w:val="Bullet-list"/>
        <w:numPr>
          <w:ilvl w:val="0"/>
          <w:numId w:val="0"/>
        </w:numPr>
        <w:jc w:val="both"/>
      </w:pPr>
      <w:r w:rsidRPr="00502A2B">
        <w:t>Fees for travel documents are formally reviewed every three years. These fee reviews involve a comparison of actual volumes against forecasted volumes to help determine if there are any inconsistencies in the forecasting methodology.  The review also involves an update of the forecasted volumes to assess the likely revenue against the expenses incurred in producing the travel documents. Fee increases will be considered where the indication is that expenses will exceed forecasted revenue.</w:t>
      </w:r>
      <w:r w:rsidR="002114EC">
        <w:t xml:space="preserve"> </w:t>
      </w:r>
      <w:r w:rsidRPr="00502A2B">
        <w:t xml:space="preserve">In determining expenses, we also consider the costs associated with maintaining travel document systems.  </w:t>
      </w:r>
    </w:p>
    <w:p w14:paraId="7DB19D03" w14:textId="323BE9DF" w:rsidR="00CE7B82" w:rsidRPr="00502A2B" w:rsidRDefault="00CE7B82" w:rsidP="00CC1447">
      <w:pPr>
        <w:pStyle w:val="Bullet-list"/>
        <w:numPr>
          <w:ilvl w:val="0"/>
          <w:numId w:val="0"/>
        </w:numPr>
        <w:jc w:val="both"/>
      </w:pPr>
      <w:r w:rsidRPr="00502A2B">
        <w:t>In addition to the three</w:t>
      </w:r>
      <w:r w:rsidR="002114EC">
        <w:t>-</w:t>
      </w:r>
      <w:r w:rsidRPr="00502A2B">
        <w:t xml:space="preserve">yearly fee reviews the Department continually monitors the balance of the PMA to ensure that it </w:t>
      </w:r>
      <w:r w:rsidR="006F670D">
        <w:t>is sufficient</w:t>
      </w:r>
      <w:r w:rsidRPr="00502A2B">
        <w:t xml:space="preserve"> to meet the forecasted expenses. Details of </w:t>
      </w:r>
      <w:r w:rsidR="006F670D">
        <w:t xml:space="preserve">the </w:t>
      </w:r>
      <w:r w:rsidRPr="00502A2B">
        <w:t>PMA balances are published in the Departments Annual Report and in the Estimates of Appropriation</w:t>
      </w:r>
      <w:r w:rsidR="006F670D">
        <w:t>s</w:t>
      </w:r>
      <w:r w:rsidRPr="00502A2B">
        <w:t xml:space="preserve">. </w:t>
      </w:r>
    </w:p>
    <w:p w14:paraId="0F87CB27" w14:textId="77777777" w:rsidR="00FD4980" w:rsidRDefault="00FD4980" w:rsidP="00CE7B82">
      <w:pPr>
        <w:pStyle w:val="Bullet-list"/>
        <w:numPr>
          <w:ilvl w:val="0"/>
          <w:numId w:val="0"/>
        </w:numPr>
        <w:rPr>
          <w:b/>
        </w:rPr>
      </w:pPr>
    </w:p>
    <w:p w14:paraId="21E176C0" w14:textId="2A9E21EA" w:rsidR="00CE7B82" w:rsidRPr="00613E99" w:rsidRDefault="00CE7B82" w:rsidP="00CE7B82">
      <w:pPr>
        <w:pStyle w:val="Bullet-list"/>
        <w:numPr>
          <w:ilvl w:val="0"/>
          <w:numId w:val="0"/>
        </w:numPr>
        <w:rPr>
          <w:b/>
        </w:rPr>
      </w:pPr>
      <w:r w:rsidRPr="00613E99">
        <w:rPr>
          <w:b/>
        </w:rPr>
        <w:t>P</w:t>
      </w:r>
      <w:r w:rsidR="00440182" w:rsidRPr="00613E99">
        <w:rPr>
          <w:b/>
        </w:rPr>
        <w:t xml:space="preserve">erformance metrics </w:t>
      </w:r>
    </w:p>
    <w:p w14:paraId="61956490" w14:textId="77777777" w:rsidR="00440182" w:rsidRDefault="00613E99" w:rsidP="00CC1447">
      <w:pPr>
        <w:pStyle w:val="Bullet-list"/>
        <w:numPr>
          <w:ilvl w:val="0"/>
          <w:numId w:val="0"/>
        </w:numPr>
        <w:jc w:val="both"/>
      </w:pPr>
      <w:r>
        <w:t xml:space="preserve">Performance metrics for the passport service are set out in the Estimates of Appropriation for the Department of </w:t>
      </w:r>
      <w:r w:rsidR="00C4367F">
        <w:t>Internal Affairs. The relevant metrics are that: 97%</w:t>
      </w:r>
      <w:r w:rsidR="00C4367F" w:rsidRPr="00C4367F">
        <w:t xml:space="preserve"> </w:t>
      </w:r>
      <w:r w:rsidR="00C4367F">
        <w:t>of passports will be issued within business timeframe standards on receipt of the application; the ease of accessing Identity</w:t>
      </w:r>
      <w:r>
        <w:t xml:space="preserve"> and Life Event Services </w:t>
      </w:r>
      <w:r w:rsidR="00C4367F">
        <w:t xml:space="preserve">is assessed as </w:t>
      </w:r>
      <w:r>
        <w:t>80</w:t>
      </w:r>
      <w:r w:rsidR="00C4367F">
        <w:t xml:space="preserve">%; and 75% of applications are made </w:t>
      </w:r>
      <w:proofErr w:type="gramStart"/>
      <w:r w:rsidR="00C4367F">
        <w:t>on line</w:t>
      </w:r>
      <w:proofErr w:type="gramEnd"/>
      <w:r w:rsidR="00C4367F">
        <w:t xml:space="preserve"> through the online service.  The Department reports on performance against these metrics in its Annual Report. </w:t>
      </w:r>
    </w:p>
    <w:p w14:paraId="3B3FC6B9" w14:textId="77777777" w:rsidR="008540AD" w:rsidRDefault="008540AD" w:rsidP="00F578DB">
      <w:pPr>
        <w:pStyle w:val="Heading2"/>
      </w:pPr>
      <w:r>
        <w:t>R</w:t>
      </w:r>
      <w:r w:rsidRPr="00082653">
        <w:t>eview</w:t>
      </w:r>
    </w:p>
    <w:p w14:paraId="18B77BF4" w14:textId="5C17A262" w:rsidR="008D5CD9" w:rsidRPr="00355D83" w:rsidRDefault="00C4367F" w:rsidP="00CC1447">
      <w:pPr>
        <w:jc w:val="both"/>
      </w:pPr>
      <w:r>
        <w:t xml:space="preserve">The Department conducts a formal review of travel document and passport fees every three years. This review </w:t>
      </w:r>
      <w:r w:rsidR="002114EC">
        <w:t>considers</w:t>
      </w:r>
      <w:r w:rsidR="00B326BF">
        <w:t>: the current balance of the Passport Memorandum Account; d</w:t>
      </w:r>
      <w:r>
        <w:t xml:space="preserve">emographic changes impacting on application volumes and projected revenue; external factors impacting on demand; </w:t>
      </w:r>
      <w:r w:rsidR="00B326BF">
        <w:t>and forecasted expenses over</w:t>
      </w:r>
      <w:r w:rsidR="006F670D">
        <w:t xml:space="preserve"> the period covered by the fee review</w:t>
      </w:r>
      <w:r w:rsidR="00B326BF">
        <w:t xml:space="preserve">. </w:t>
      </w:r>
      <w:r w:rsidR="00921641">
        <w:t xml:space="preserve"> </w:t>
      </w:r>
    </w:p>
    <w:bookmarkEnd w:id="8"/>
    <w:bookmarkEnd w:id="9"/>
    <w:bookmarkEnd w:id="10"/>
    <w:bookmarkEnd w:id="11"/>
    <w:bookmarkEnd w:id="12"/>
    <w:bookmarkEnd w:id="13"/>
    <w:bookmarkEnd w:id="14"/>
    <w:bookmarkEnd w:id="15"/>
    <w:bookmarkEnd w:id="16"/>
    <w:bookmarkEnd w:id="17"/>
    <w:p w14:paraId="521B03D3" w14:textId="77777777" w:rsidR="00732B9C" w:rsidRDefault="00732B9C" w:rsidP="00F578DB">
      <w:pPr>
        <w:pStyle w:val="Heading2"/>
      </w:pPr>
      <w:r>
        <w:t>Version control</w:t>
      </w:r>
    </w:p>
    <w:tbl>
      <w:tblPr>
        <w:tblW w:w="0" w:type="auto"/>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1846"/>
        <w:gridCol w:w="1960"/>
        <w:gridCol w:w="5151"/>
      </w:tblGrid>
      <w:tr w:rsidR="00D62C3A" w:rsidRPr="00D62C3A" w14:paraId="0901777B" w14:textId="77777777" w:rsidTr="0040035B">
        <w:tc>
          <w:tcPr>
            <w:tcW w:w="1846" w:type="dxa"/>
            <w:shd w:val="clear" w:color="auto" w:fill="EBF5F8"/>
          </w:tcPr>
          <w:p w14:paraId="716E9ABA" w14:textId="77777777" w:rsidR="00732B9C" w:rsidRPr="000C4A71" w:rsidRDefault="00732B9C" w:rsidP="00C5192E">
            <w:pPr>
              <w:pStyle w:val="TableText"/>
              <w:rPr>
                <w:b/>
                <w:color w:val="0082AB"/>
              </w:rPr>
            </w:pPr>
            <w:proofErr w:type="gramStart"/>
            <w:r w:rsidRPr="000C4A71">
              <w:rPr>
                <w:b/>
                <w:color w:val="0082AB"/>
              </w:rPr>
              <w:t>Other</w:t>
            </w:r>
            <w:proofErr w:type="gramEnd"/>
            <w:r w:rsidRPr="000C4A71">
              <w:rPr>
                <w:b/>
                <w:color w:val="0082AB"/>
              </w:rPr>
              <w:t xml:space="preserve"> version</w:t>
            </w:r>
          </w:p>
        </w:tc>
        <w:tc>
          <w:tcPr>
            <w:tcW w:w="1960" w:type="dxa"/>
            <w:shd w:val="clear" w:color="auto" w:fill="EBF5F8"/>
          </w:tcPr>
          <w:p w14:paraId="3B32D30C" w14:textId="77777777" w:rsidR="00732B9C" w:rsidRPr="000C4A71" w:rsidRDefault="00732B9C" w:rsidP="00C5192E">
            <w:pPr>
              <w:pStyle w:val="TableText"/>
              <w:rPr>
                <w:b/>
                <w:color w:val="0082AB"/>
              </w:rPr>
            </w:pPr>
            <w:r w:rsidRPr="000C4A71">
              <w:rPr>
                <w:b/>
                <w:color w:val="0082AB"/>
              </w:rPr>
              <w:t>Date</w:t>
            </w:r>
          </w:p>
        </w:tc>
        <w:tc>
          <w:tcPr>
            <w:tcW w:w="5151" w:type="dxa"/>
            <w:shd w:val="clear" w:color="auto" w:fill="EBF5F8"/>
          </w:tcPr>
          <w:p w14:paraId="27D74868" w14:textId="77777777" w:rsidR="00732B9C" w:rsidRPr="000C4A71" w:rsidRDefault="00732B9C" w:rsidP="00C5192E">
            <w:pPr>
              <w:pStyle w:val="TableText"/>
              <w:rPr>
                <w:b/>
                <w:color w:val="0082AB"/>
              </w:rPr>
            </w:pPr>
            <w:r w:rsidRPr="000C4A71">
              <w:rPr>
                <w:b/>
                <w:color w:val="0082AB"/>
              </w:rPr>
              <w:t>Link</w:t>
            </w:r>
          </w:p>
        </w:tc>
      </w:tr>
      <w:tr w:rsidR="00732B9C" w14:paraId="2E792735" w14:textId="77777777" w:rsidTr="0040035B">
        <w:tc>
          <w:tcPr>
            <w:tcW w:w="1846" w:type="dxa"/>
            <w:shd w:val="clear" w:color="auto" w:fill="auto"/>
          </w:tcPr>
          <w:p w14:paraId="185157EB" w14:textId="72587775" w:rsidR="00732B9C" w:rsidRDefault="00FA0C5C" w:rsidP="00C5192E">
            <w:pPr>
              <w:pStyle w:val="TableText"/>
            </w:pPr>
            <w:r>
              <w:t>V1</w:t>
            </w:r>
          </w:p>
        </w:tc>
        <w:tc>
          <w:tcPr>
            <w:tcW w:w="1960" w:type="dxa"/>
            <w:shd w:val="clear" w:color="auto" w:fill="auto"/>
          </w:tcPr>
          <w:p w14:paraId="03A688A0" w14:textId="546193DD" w:rsidR="00732B9C" w:rsidRDefault="00FA0C5C" w:rsidP="00C5192E">
            <w:pPr>
              <w:pStyle w:val="TableText"/>
            </w:pPr>
            <w:r>
              <w:t>1 February 2022</w:t>
            </w:r>
          </w:p>
        </w:tc>
        <w:tc>
          <w:tcPr>
            <w:tcW w:w="5151" w:type="dxa"/>
            <w:shd w:val="clear" w:color="auto" w:fill="auto"/>
          </w:tcPr>
          <w:p w14:paraId="26D402B8" w14:textId="71FB0687" w:rsidR="00CA216E" w:rsidRDefault="005940A6" w:rsidP="00CA216E">
            <w:pPr>
              <w:pStyle w:val="TableText"/>
            </w:pPr>
            <w:hyperlink r:id="rId17" w:history="1">
              <w:r w:rsidR="00DE5D26">
                <w:rPr>
                  <w:rStyle w:val="Hyperlink"/>
                </w:rPr>
                <w:t>RIS V1</w:t>
              </w:r>
            </w:hyperlink>
          </w:p>
        </w:tc>
      </w:tr>
      <w:tr w:rsidR="00FD4980" w14:paraId="6CF00904" w14:textId="77777777" w:rsidTr="0040035B">
        <w:tc>
          <w:tcPr>
            <w:tcW w:w="1846" w:type="dxa"/>
            <w:shd w:val="clear" w:color="auto" w:fill="auto"/>
          </w:tcPr>
          <w:p w14:paraId="139DCDBC" w14:textId="601ED6F5" w:rsidR="00FD4980" w:rsidRDefault="00FD4980" w:rsidP="00C5192E">
            <w:pPr>
              <w:pStyle w:val="TableText"/>
            </w:pPr>
            <w:r>
              <w:t xml:space="preserve">V2 </w:t>
            </w:r>
          </w:p>
        </w:tc>
        <w:tc>
          <w:tcPr>
            <w:tcW w:w="1960" w:type="dxa"/>
            <w:shd w:val="clear" w:color="auto" w:fill="auto"/>
          </w:tcPr>
          <w:p w14:paraId="27EA70FA" w14:textId="77777777" w:rsidR="00FD4980" w:rsidRDefault="00FD4980" w:rsidP="00C5192E">
            <w:pPr>
              <w:pStyle w:val="TableText"/>
            </w:pPr>
          </w:p>
        </w:tc>
        <w:tc>
          <w:tcPr>
            <w:tcW w:w="5151" w:type="dxa"/>
            <w:shd w:val="clear" w:color="auto" w:fill="auto"/>
          </w:tcPr>
          <w:p w14:paraId="67FCEBD4" w14:textId="57986AD1" w:rsidR="00FD4980" w:rsidRDefault="002B5A71" w:rsidP="00C5192E">
            <w:pPr>
              <w:pStyle w:val="TableText"/>
            </w:pPr>
            <w:r>
              <w:t>No version 2</w:t>
            </w:r>
          </w:p>
        </w:tc>
      </w:tr>
      <w:tr w:rsidR="00732B9C" w14:paraId="2F410912" w14:textId="77777777" w:rsidTr="0040035B">
        <w:tc>
          <w:tcPr>
            <w:tcW w:w="1846" w:type="dxa"/>
            <w:shd w:val="clear" w:color="auto" w:fill="auto"/>
          </w:tcPr>
          <w:p w14:paraId="10AB1D5D" w14:textId="43EE18F7" w:rsidR="00732B9C" w:rsidRDefault="00535D17" w:rsidP="00C5192E">
            <w:pPr>
              <w:pStyle w:val="TableText"/>
            </w:pPr>
            <w:r>
              <w:t>V</w:t>
            </w:r>
            <w:r w:rsidR="0040035B">
              <w:t>3</w:t>
            </w:r>
          </w:p>
        </w:tc>
        <w:tc>
          <w:tcPr>
            <w:tcW w:w="1960" w:type="dxa"/>
            <w:shd w:val="clear" w:color="auto" w:fill="auto"/>
          </w:tcPr>
          <w:p w14:paraId="0F92406B" w14:textId="39A4794F" w:rsidR="00732B9C" w:rsidRDefault="00535D17" w:rsidP="00C5192E">
            <w:pPr>
              <w:pStyle w:val="TableText"/>
            </w:pPr>
            <w:r>
              <w:t>24 February 2022</w:t>
            </w:r>
          </w:p>
        </w:tc>
        <w:tc>
          <w:tcPr>
            <w:tcW w:w="5151" w:type="dxa"/>
            <w:shd w:val="clear" w:color="auto" w:fill="auto"/>
          </w:tcPr>
          <w:p w14:paraId="5C9EC955" w14:textId="7E40DED0" w:rsidR="00732B9C" w:rsidRDefault="005940A6" w:rsidP="00C5192E">
            <w:pPr>
              <w:pStyle w:val="TableText"/>
            </w:pPr>
            <w:hyperlink r:id="rId18" w:history="1">
              <w:r w:rsidR="00DE5D26">
                <w:rPr>
                  <w:rStyle w:val="Hyperlink"/>
                </w:rPr>
                <w:t xml:space="preserve">RIS V3 </w:t>
              </w:r>
            </w:hyperlink>
          </w:p>
          <w:p w14:paraId="78BE1538" w14:textId="722A5228" w:rsidR="00FB3915" w:rsidRDefault="00FB3915" w:rsidP="00C5192E">
            <w:pPr>
              <w:pStyle w:val="TableText"/>
            </w:pPr>
          </w:p>
        </w:tc>
      </w:tr>
      <w:tr w:rsidR="00512258" w14:paraId="55F73A65" w14:textId="77777777" w:rsidTr="0040035B">
        <w:tc>
          <w:tcPr>
            <w:tcW w:w="1846" w:type="dxa"/>
            <w:shd w:val="clear" w:color="auto" w:fill="auto"/>
          </w:tcPr>
          <w:p w14:paraId="54950ADE" w14:textId="66322E1F" w:rsidR="00512258" w:rsidRDefault="00512258" w:rsidP="00C5192E">
            <w:pPr>
              <w:pStyle w:val="TableText"/>
            </w:pPr>
            <w:r>
              <w:lastRenderedPageBreak/>
              <w:t>V4</w:t>
            </w:r>
          </w:p>
        </w:tc>
        <w:tc>
          <w:tcPr>
            <w:tcW w:w="1960" w:type="dxa"/>
            <w:shd w:val="clear" w:color="auto" w:fill="auto"/>
          </w:tcPr>
          <w:p w14:paraId="74CEC880" w14:textId="711E7BCF" w:rsidR="00512258" w:rsidRDefault="00512258" w:rsidP="00C5192E">
            <w:pPr>
              <w:pStyle w:val="TableText"/>
            </w:pPr>
            <w:r>
              <w:t>3 March 2022</w:t>
            </w:r>
          </w:p>
        </w:tc>
        <w:tc>
          <w:tcPr>
            <w:tcW w:w="5151" w:type="dxa"/>
            <w:shd w:val="clear" w:color="auto" w:fill="auto"/>
          </w:tcPr>
          <w:p w14:paraId="467DC29C" w14:textId="67A0ED99" w:rsidR="00512258" w:rsidRDefault="005940A6" w:rsidP="00C5192E">
            <w:pPr>
              <w:pStyle w:val="TableText"/>
            </w:pPr>
            <w:hyperlink r:id="rId19" w:history="1">
              <w:r w:rsidR="00797AC8">
                <w:rPr>
                  <w:rStyle w:val="Hyperlink"/>
                </w:rPr>
                <w:t>RIS V4</w:t>
              </w:r>
            </w:hyperlink>
          </w:p>
          <w:p w14:paraId="3BEEDF3F" w14:textId="4D40B572" w:rsidR="00797AC8" w:rsidRDefault="00797AC8" w:rsidP="00C5192E">
            <w:pPr>
              <w:pStyle w:val="TableText"/>
            </w:pPr>
          </w:p>
        </w:tc>
      </w:tr>
      <w:tr w:rsidR="00B16D8B" w14:paraId="35E141D1" w14:textId="77777777" w:rsidTr="0040035B">
        <w:tc>
          <w:tcPr>
            <w:tcW w:w="1846" w:type="dxa"/>
            <w:shd w:val="clear" w:color="auto" w:fill="auto"/>
          </w:tcPr>
          <w:p w14:paraId="778F8E70" w14:textId="2B929609" w:rsidR="00B16D8B" w:rsidRDefault="00B16D8B" w:rsidP="00C5192E">
            <w:pPr>
              <w:pStyle w:val="TableText"/>
            </w:pPr>
            <w:r>
              <w:t xml:space="preserve">V5 </w:t>
            </w:r>
          </w:p>
        </w:tc>
        <w:tc>
          <w:tcPr>
            <w:tcW w:w="1960" w:type="dxa"/>
            <w:shd w:val="clear" w:color="auto" w:fill="auto"/>
          </w:tcPr>
          <w:p w14:paraId="59584E68" w14:textId="6C1D400D" w:rsidR="00B16D8B" w:rsidRDefault="00B16D8B" w:rsidP="00C5192E">
            <w:pPr>
              <w:pStyle w:val="TableText"/>
            </w:pPr>
            <w:r>
              <w:t>4 March 2022</w:t>
            </w:r>
          </w:p>
        </w:tc>
        <w:tc>
          <w:tcPr>
            <w:tcW w:w="5151" w:type="dxa"/>
            <w:shd w:val="clear" w:color="auto" w:fill="auto"/>
          </w:tcPr>
          <w:p w14:paraId="42C39D00" w14:textId="52FD7E36" w:rsidR="00B16D8B" w:rsidRDefault="005940A6" w:rsidP="004B607B">
            <w:pPr>
              <w:pStyle w:val="TableText"/>
            </w:pPr>
            <w:hyperlink r:id="rId20" w:history="1">
              <w:r w:rsidR="004B607B">
                <w:rPr>
                  <w:rStyle w:val="Hyperlink"/>
                </w:rPr>
                <w:t>RIS V5</w:t>
              </w:r>
            </w:hyperlink>
          </w:p>
          <w:p w14:paraId="2BC4BF07" w14:textId="77777777" w:rsidR="00B16D8B" w:rsidRDefault="00B16D8B" w:rsidP="00C5192E">
            <w:pPr>
              <w:pStyle w:val="TableText"/>
            </w:pPr>
          </w:p>
        </w:tc>
      </w:tr>
    </w:tbl>
    <w:p w14:paraId="6D05B79A" w14:textId="25A78C5A" w:rsidR="00732B9C" w:rsidRPr="00732B9C" w:rsidRDefault="00732B9C" w:rsidP="00ED186A"/>
    <w:p w14:paraId="0C348D2F" w14:textId="77777777" w:rsidR="00114986" w:rsidRDefault="00114986" w:rsidP="00114986">
      <w:pPr>
        <w:autoSpaceDE w:val="0"/>
        <w:autoSpaceDN w:val="0"/>
        <w:adjustRightInd w:val="0"/>
        <w:spacing w:after="0" w:line="240" w:lineRule="auto"/>
        <w:rPr>
          <w:rFonts w:ascii="DIN-Regular" w:hAnsi="DIN-Regular" w:cs="DIN-Regular"/>
          <w:color w:val="FFFFFF"/>
          <w:sz w:val="13"/>
          <w:szCs w:val="13"/>
          <w:lang w:val="en-NZ" w:eastAsia="en-NZ"/>
        </w:rPr>
      </w:pPr>
      <w:r>
        <w:rPr>
          <w:rFonts w:ascii="DIN-Regular" w:hAnsi="DIN-Regular" w:cs="DIN-Regular"/>
          <w:color w:val="FFFFFF"/>
          <w:sz w:val="13"/>
          <w:szCs w:val="13"/>
          <w:lang w:val="en-NZ" w:eastAsia="en-NZ"/>
        </w:rPr>
        <w:t>Activity</w:t>
      </w:r>
    </w:p>
    <w:p w14:paraId="755EDC90" w14:textId="77777777" w:rsidR="00282D64" w:rsidRPr="002F1429" w:rsidRDefault="00282D64" w:rsidP="002F1429"/>
    <w:p w14:paraId="534070EE" w14:textId="01CC401D" w:rsidR="00447DD2" w:rsidRPr="00447DD2" w:rsidRDefault="00447DD2" w:rsidP="00C85A27">
      <w:pPr>
        <w:pStyle w:val="NoSpacing"/>
        <w:spacing w:after="180"/>
        <w:rPr>
          <w:rFonts w:ascii="Arial" w:hAnsi="Arial" w:cs="Arial"/>
          <w:b/>
          <w:lang w:val="en-NZ"/>
        </w:rPr>
      </w:pPr>
    </w:p>
    <w:sectPr w:rsidR="00447DD2" w:rsidRPr="00447DD2" w:rsidSect="000C4A71">
      <w:headerReference w:type="default" r:id="rId21"/>
      <w:footerReference w:type="even" r:id="rId22"/>
      <w:footerReference w:type="default" r:id="rId23"/>
      <w:headerReference w:type="first" r:id="rId24"/>
      <w:footerReference w:type="first" r:id="rId25"/>
      <w:pgSz w:w="11907" w:h="16840" w:code="9"/>
      <w:pgMar w:top="1134" w:right="1418" w:bottom="992" w:left="1418" w:header="454"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408CD" w14:textId="77777777" w:rsidR="003B6033" w:rsidRDefault="003B6033" w:rsidP="00F72085">
      <w:r>
        <w:separator/>
      </w:r>
    </w:p>
  </w:endnote>
  <w:endnote w:type="continuationSeparator" w:id="0">
    <w:p w14:paraId="465F8C72" w14:textId="77777777" w:rsidR="003B6033" w:rsidRDefault="003B6033" w:rsidP="00F72085">
      <w:r>
        <w:continuationSeparator/>
      </w:r>
    </w:p>
  </w:endnote>
  <w:endnote w:type="continuationNotice" w:id="1">
    <w:p w14:paraId="27863AA1" w14:textId="77777777" w:rsidR="003B6033" w:rsidRDefault="003B60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illSans">
    <w:altName w:val="Calibri"/>
    <w:panose1 w:val="00000000000000000000"/>
    <w:charset w:val="00"/>
    <w:family w:val="moder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Bold">
    <w:altName w:val="Arial"/>
    <w:panose1 w:val="00000000000000000000"/>
    <w:charset w:val="00"/>
    <w:family w:val="roman"/>
    <w:notTrueType/>
    <w:pitch w:val="default"/>
    <w:sig w:usb0="00000003" w:usb1="00000000" w:usb2="00000000" w:usb3="00000000" w:csb0="00000001" w:csb1="00000000"/>
  </w:font>
  <w:font w:name="DIN-Regula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82749" w14:textId="77777777" w:rsidR="003B6033" w:rsidRPr="00C73AEA" w:rsidRDefault="003B6033" w:rsidP="007A4CBF">
    <w:pPr>
      <w:pStyle w:val="EvenFooter"/>
      <w:rPr>
        <w:caps/>
      </w:rPr>
    </w:pPr>
    <w:r>
      <w:fldChar w:fldCharType="begin"/>
    </w:r>
    <w:r>
      <w:instrText xml:space="preserve">PAGE  </w:instrText>
    </w:r>
    <w:r>
      <w:fldChar w:fldCharType="separate"/>
    </w:r>
    <w:r>
      <w:t>8</w:t>
    </w:r>
    <w:r>
      <w:fldChar w:fldCharType="end"/>
    </w:r>
    <w:r w:rsidRPr="00281580">
      <w:t xml:space="preserve"> </w:t>
    </w:r>
    <w:r>
      <w:t xml:space="preserve"> </w:t>
    </w:r>
    <w:r w:rsidRPr="00281580">
      <w:t xml:space="preserve"> | </w:t>
    </w:r>
    <w:r>
      <w:t xml:space="preserve"> </w:t>
    </w:r>
    <w:r w:rsidRPr="00281580">
      <w:t xml:space="preserve"> </w:t>
    </w:r>
    <w:r w:rsidRPr="005D2127">
      <w:t>Regulator</w:t>
    </w:r>
    <w:r>
      <w:t xml:space="preserve">y Impact Analysis: Cost Recovery Impact Statement - Overview of Required Information - Template </w:t>
    </w:r>
    <w:r w:rsidRPr="00B91224">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8620C" w14:textId="77777777" w:rsidR="003B6033" w:rsidRPr="00C73AEA" w:rsidRDefault="003B6033" w:rsidP="007A4CBF">
    <w:pPr>
      <w:pStyle w:val="Footer"/>
    </w:pPr>
    <w:r>
      <w:tab/>
    </w:r>
    <w:r w:rsidRPr="005D2127">
      <w:t>Regulator</w:t>
    </w:r>
    <w:r>
      <w:t xml:space="preserve">y Impact Analysis: Cost Recovery Impact Statement - Overview of Required Information - Template </w:t>
    </w:r>
    <w:r w:rsidRPr="00B91224">
      <w:t xml:space="preserve">  | </w:t>
    </w:r>
    <w:r>
      <w:t xml:space="preserve"> </w:t>
    </w:r>
    <w:r w:rsidRPr="00B91224">
      <w:t xml:space="preserve"> </w:t>
    </w:r>
    <w:r>
      <w:fldChar w:fldCharType="begin"/>
    </w:r>
    <w:r>
      <w:instrText xml:space="preserve"> PAGE </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1A57A" w14:textId="77777777" w:rsidR="003B6033" w:rsidRDefault="003B6033" w:rsidP="007A4CBF">
    <w:pPr>
      <w:pStyle w:val="Footer"/>
    </w:pPr>
    <w:r>
      <w:tab/>
    </w:r>
    <w:r w:rsidRPr="005D2127">
      <w:t>Regulator</w:t>
    </w:r>
    <w:r>
      <w:t xml:space="preserve">y Impact Analysis: Cost Recovery Impact Statement - Overview of Required Information - Template </w:t>
    </w:r>
    <w:r w:rsidRPr="00B91224">
      <w:t xml:space="preserve">  |</w:t>
    </w:r>
    <w:r>
      <w:t xml:space="preserve"> </w:t>
    </w:r>
    <w:r w:rsidRPr="00B91224">
      <w:t xml:space="preserve">  </w:t>
    </w:r>
    <w:r>
      <w:fldChar w:fldCharType="begin"/>
    </w:r>
    <w:r>
      <w:instrText xml:space="preserve"> PAGE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30C39" w14:textId="77777777" w:rsidR="003B6033" w:rsidRDefault="003B6033" w:rsidP="00F72085">
      <w:r>
        <w:separator/>
      </w:r>
    </w:p>
  </w:footnote>
  <w:footnote w:type="continuationSeparator" w:id="0">
    <w:p w14:paraId="6ACDEBE2" w14:textId="77777777" w:rsidR="003B6033" w:rsidRDefault="003B6033" w:rsidP="00F72085">
      <w:r>
        <w:continuationSeparator/>
      </w:r>
    </w:p>
  </w:footnote>
  <w:footnote w:type="continuationNotice" w:id="1">
    <w:p w14:paraId="2417EF80" w14:textId="77777777" w:rsidR="003B6033" w:rsidRDefault="003B6033">
      <w:pPr>
        <w:spacing w:after="0" w:line="240" w:lineRule="auto"/>
      </w:pPr>
    </w:p>
  </w:footnote>
  <w:footnote w:id="2">
    <w:p w14:paraId="554E980C" w14:textId="106AC9F1" w:rsidR="003B6033" w:rsidRPr="00E57C50" w:rsidRDefault="003B6033">
      <w:pPr>
        <w:pStyle w:val="FootnoteText"/>
        <w:rPr>
          <w:lang w:val="en-NZ"/>
        </w:rPr>
      </w:pPr>
      <w:r>
        <w:rPr>
          <w:rStyle w:val="FootnoteReference"/>
        </w:rPr>
        <w:footnoteRef/>
      </w:r>
      <w:r>
        <w:t xml:space="preserve"> </w:t>
      </w:r>
      <w:r>
        <w:rPr>
          <w:lang w:val="en-NZ"/>
        </w:rPr>
        <w:t>CAB-MIN-(15) 17/9</w:t>
      </w:r>
    </w:p>
  </w:footnote>
  <w:footnote w:id="3">
    <w:p w14:paraId="6D5CED15" w14:textId="060A90A4" w:rsidR="003B6033" w:rsidRPr="00E57C50" w:rsidRDefault="003B6033">
      <w:pPr>
        <w:pStyle w:val="FootnoteText"/>
        <w:rPr>
          <w:lang w:val="en-NZ"/>
        </w:rPr>
      </w:pPr>
      <w:r>
        <w:rPr>
          <w:rStyle w:val="FootnoteReference"/>
        </w:rPr>
        <w:footnoteRef/>
      </w:r>
      <w:r>
        <w:t xml:space="preserve"> </w:t>
      </w:r>
      <w:r>
        <w:rPr>
          <w:lang w:val="en-NZ"/>
        </w:rPr>
        <w:t>GOV-18-MIN-0084</w:t>
      </w:r>
    </w:p>
  </w:footnote>
  <w:footnote w:id="4">
    <w:p w14:paraId="2E3E292A" w14:textId="592DBCC8" w:rsidR="003B6033" w:rsidRPr="00B16D8B" w:rsidRDefault="003B6033">
      <w:pPr>
        <w:pStyle w:val="FootnoteText"/>
        <w:rPr>
          <w:lang w:val="en-NZ"/>
        </w:rPr>
      </w:pPr>
      <w:r>
        <w:rPr>
          <w:rStyle w:val="FootnoteReference"/>
        </w:rPr>
        <w:footnoteRef/>
      </w:r>
      <w:r>
        <w:t xml:space="preserve"> </w:t>
      </w:r>
      <w:r>
        <w:rPr>
          <w:lang w:val="en-NZ"/>
        </w:rPr>
        <w:t>Treasury Circular 2011/10, Guidance for the Operation of Departmental Memorandum Accounts, 16//9/2011</w:t>
      </w:r>
    </w:p>
  </w:footnote>
  <w:footnote w:id="5">
    <w:p w14:paraId="5E0EAE2C" w14:textId="13E785C9" w:rsidR="003B6033" w:rsidRPr="00EE0AF9" w:rsidRDefault="003B6033">
      <w:pPr>
        <w:pStyle w:val="FootnoteText"/>
        <w:rPr>
          <w:lang w:val="en-NZ"/>
        </w:rPr>
      </w:pPr>
      <w:r>
        <w:rPr>
          <w:rStyle w:val="FootnoteReference"/>
        </w:rPr>
        <w:footnoteRef/>
      </w:r>
      <w:r>
        <w:t xml:space="preserve"> 21 September 2015, </w:t>
      </w:r>
      <w:r>
        <w:rPr>
          <w:lang w:val="en-NZ"/>
        </w:rPr>
        <w:t>CAB-15-MIN-0086</w:t>
      </w:r>
    </w:p>
  </w:footnote>
  <w:footnote w:id="6">
    <w:p w14:paraId="1D3FF768" w14:textId="600D39B1" w:rsidR="003B6033" w:rsidRPr="00EE0AF9" w:rsidRDefault="003B6033">
      <w:pPr>
        <w:pStyle w:val="FootnoteText"/>
        <w:rPr>
          <w:lang w:val="en-NZ"/>
        </w:rPr>
      </w:pPr>
      <w:r>
        <w:rPr>
          <w:rStyle w:val="FootnoteReference"/>
        </w:rPr>
        <w:footnoteRef/>
      </w:r>
      <w:r>
        <w:t xml:space="preserve"> </w:t>
      </w:r>
      <w:r>
        <w:rPr>
          <w:lang w:val="en-NZ"/>
        </w:rPr>
        <w:t>12 November 2018, CAB-18-MIN-0560</w:t>
      </w:r>
    </w:p>
  </w:footnote>
  <w:footnote w:id="7">
    <w:p w14:paraId="176504BB" w14:textId="77777777" w:rsidR="003B6033" w:rsidRPr="000F4023" w:rsidRDefault="003B6033">
      <w:pPr>
        <w:pStyle w:val="FootnoteText"/>
        <w:rPr>
          <w:lang w:val="en-NZ"/>
        </w:rPr>
      </w:pPr>
      <w:r>
        <w:rPr>
          <w:rStyle w:val="FootnoteReference"/>
        </w:rPr>
        <w:footnoteRef/>
      </w:r>
      <w:r>
        <w:t xml:space="preserve"> </w:t>
      </w:r>
      <w:r>
        <w:tab/>
        <w:t xml:space="preserve">Page 35, paragraph 6.7 Guidelines for Setting Charges in the Public Sector, published April 2017 by The Treasury. </w:t>
      </w:r>
      <w:hyperlink r:id="rId1" w:history="1">
        <w:r w:rsidRPr="00076099">
          <w:rPr>
            <w:rStyle w:val="Hyperlink"/>
          </w:rPr>
          <w:t>https://www.treasury.govt.nz/sites/default/files/2017-04/settingcharges-apr17.pdf</w:t>
        </w:r>
      </w:hyperlink>
      <w:r>
        <w:t xml:space="preserve"> </w:t>
      </w:r>
    </w:p>
  </w:footnote>
  <w:footnote w:id="8">
    <w:p w14:paraId="3D790EED" w14:textId="77777777" w:rsidR="003B6033" w:rsidRDefault="003B6033" w:rsidP="00FA0C5C">
      <w:pPr>
        <w:pStyle w:val="FootnoteText"/>
      </w:pPr>
      <w:r>
        <w:rPr>
          <w:rStyle w:val="FootnoteReference"/>
        </w:rPr>
        <w:footnoteRef/>
      </w:r>
      <w:r>
        <w:t xml:space="preserve"> </w:t>
      </w:r>
      <w:r w:rsidRPr="00C47A02">
        <w:t>https://www.passports.gov.au/getting-passport-how-it-works/passport-fees</w:t>
      </w:r>
    </w:p>
  </w:footnote>
  <w:footnote w:id="9">
    <w:p w14:paraId="683E61A7" w14:textId="77777777" w:rsidR="003B6033" w:rsidRDefault="003B6033" w:rsidP="00FA0C5C">
      <w:pPr>
        <w:pStyle w:val="FootnoteText"/>
      </w:pPr>
      <w:r>
        <w:rPr>
          <w:rStyle w:val="FootnoteReference"/>
        </w:rPr>
        <w:footnoteRef/>
      </w:r>
      <w:r>
        <w:t xml:space="preserve"> </w:t>
      </w:r>
      <w:r w:rsidRPr="00C47A02">
        <w:t>https://www.canada.ca/en/immigration-refugees-citizenship/services/canadian-passports/fees/passport-canada.html</w:t>
      </w:r>
    </w:p>
  </w:footnote>
  <w:footnote w:id="10">
    <w:p w14:paraId="3C352F6A" w14:textId="77777777" w:rsidR="003B6033" w:rsidRDefault="003B6033" w:rsidP="00FA0C5C">
      <w:pPr>
        <w:pStyle w:val="FootnoteText"/>
      </w:pPr>
      <w:r>
        <w:rPr>
          <w:rStyle w:val="FootnoteReference"/>
        </w:rPr>
        <w:footnoteRef/>
      </w:r>
      <w:r>
        <w:t xml:space="preserve"> </w:t>
      </w:r>
      <w:r w:rsidRPr="00C47A02">
        <w:t>https://www.dfa.ie/passports/fees/</w:t>
      </w:r>
    </w:p>
  </w:footnote>
  <w:footnote w:id="11">
    <w:p w14:paraId="5F68D6FD" w14:textId="77777777" w:rsidR="003B6033" w:rsidRDefault="003B6033" w:rsidP="00FA0C5C">
      <w:pPr>
        <w:pStyle w:val="FootnoteText"/>
      </w:pPr>
      <w:r>
        <w:rPr>
          <w:rStyle w:val="FootnoteReference"/>
        </w:rPr>
        <w:footnoteRef/>
      </w:r>
      <w:r>
        <w:t xml:space="preserve"> </w:t>
      </w:r>
      <w:r w:rsidRPr="00C47A02">
        <w:t>https://www.gov.uk/passport-fees</w:t>
      </w:r>
    </w:p>
  </w:footnote>
  <w:footnote w:id="12">
    <w:p w14:paraId="540C8DD0" w14:textId="77777777" w:rsidR="003B6033" w:rsidRDefault="003B6033" w:rsidP="00FA0C5C">
      <w:pPr>
        <w:pStyle w:val="FootnoteText"/>
      </w:pPr>
      <w:r>
        <w:rPr>
          <w:rStyle w:val="FootnoteReference"/>
        </w:rPr>
        <w:footnoteRef/>
      </w:r>
      <w:r>
        <w:t xml:space="preserve"> </w:t>
      </w:r>
      <w:r w:rsidRPr="00C47A02">
        <w:t>https://travel.state.gov/content/dam/passports/forms-fees/Passport%20Fees%20Chart_TSG_JAN%202022.pdf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39490" w14:textId="1F2A64F7" w:rsidR="003B6033" w:rsidRPr="00AF3A6C" w:rsidRDefault="003B6033" w:rsidP="00AF3A6C">
    <w:pPr>
      <w:pStyle w:val="Header"/>
      <w:jc w:val="center"/>
      <w:rPr>
        <w:lang w:val="en-NZ"/>
      </w:rPr>
    </w:pPr>
    <w:r>
      <w:rPr>
        <w:lang w:val="en-NZ"/>
      </w:rPr>
      <w:t>Budget Sensitive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27D12" w14:textId="77777777" w:rsidR="003B6033" w:rsidRDefault="005940A6">
    <w:pPr>
      <w:pStyle w:val="Header"/>
    </w:pPr>
    <w:r>
      <w:rPr>
        <w:noProof/>
        <w:lang w:val="en-US" w:eastAsia="en-US"/>
      </w:rPr>
      <w:pict w14:anchorId="7C9C68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36D0"/>
    <w:multiLevelType w:val="hybridMultilevel"/>
    <w:tmpl w:val="D3F85AB6"/>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2BA46F3"/>
    <w:multiLevelType w:val="multilevel"/>
    <w:tmpl w:val="4484E996"/>
    <w:lvl w:ilvl="0">
      <w:start w:val="1"/>
      <w:numFmt w:val="decimal"/>
      <w:lvlText w:val="%1."/>
      <w:lvlJc w:val="left"/>
      <w:pPr>
        <w:ind w:left="567" w:hanging="567"/>
      </w:pPr>
      <w:rPr>
        <w:rFonts w:asciiTheme="minorHAnsi" w:hAnsiTheme="minorHAnsi" w:cstheme="minorHAnsi" w:hint="default"/>
        <w:sz w:val="22"/>
        <w:szCs w:val="22"/>
      </w:rPr>
    </w:lvl>
    <w:lvl w:ilvl="1">
      <w:start w:val="1"/>
      <w:numFmt w:val="decimal"/>
      <w:lvlText w:val="%1.%2"/>
      <w:lvlJc w:val="left"/>
      <w:pPr>
        <w:ind w:left="1304" w:hanging="737"/>
      </w:pPr>
      <w:rPr>
        <w:rFonts w:hint="default"/>
      </w:rPr>
    </w:lvl>
    <w:lvl w:ilvl="2">
      <w:start w:val="1"/>
      <w:numFmt w:val="decimal"/>
      <w:lvlText w:val="%1.%2.%3"/>
      <w:lvlJc w:val="left"/>
      <w:pPr>
        <w:tabs>
          <w:tab w:val="num" w:pos="1304"/>
        </w:tabs>
        <w:ind w:left="2211" w:hanging="90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6AB6EF1"/>
    <w:multiLevelType w:val="hybridMultilevel"/>
    <w:tmpl w:val="B2981C10"/>
    <w:lvl w:ilvl="0" w:tplc="14090001">
      <w:start w:val="1"/>
      <w:numFmt w:val="bullet"/>
      <w:lvlText w:val=""/>
      <w:lvlJc w:val="left"/>
      <w:pPr>
        <w:ind w:left="840" w:hanging="360"/>
      </w:pPr>
      <w:rPr>
        <w:rFonts w:ascii="Symbol" w:hAnsi="Symbol" w:hint="default"/>
      </w:rPr>
    </w:lvl>
    <w:lvl w:ilvl="1" w:tplc="14090003" w:tentative="1">
      <w:start w:val="1"/>
      <w:numFmt w:val="bullet"/>
      <w:lvlText w:val="o"/>
      <w:lvlJc w:val="left"/>
      <w:pPr>
        <w:ind w:left="1560" w:hanging="360"/>
      </w:pPr>
      <w:rPr>
        <w:rFonts w:ascii="Courier New" w:hAnsi="Courier New" w:cs="Courier New" w:hint="default"/>
      </w:rPr>
    </w:lvl>
    <w:lvl w:ilvl="2" w:tplc="14090005" w:tentative="1">
      <w:start w:val="1"/>
      <w:numFmt w:val="bullet"/>
      <w:lvlText w:val=""/>
      <w:lvlJc w:val="left"/>
      <w:pPr>
        <w:ind w:left="2280" w:hanging="360"/>
      </w:pPr>
      <w:rPr>
        <w:rFonts w:ascii="Wingdings" w:hAnsi="Wingdings" w:hint="default"/>
      </w:rPr>
    </w:lvl>
    <w:lvl w:ilvl="3" w:tplc="14090001" w:tentative="1">
      <w:start w:val="1"/>
      <w:numFmt w:val="bullet"/>
      <w:lvlText w:val=""/>
      <w:lvlJc w:val="left"/>
      <w:pPr>
        <w:ind w:left="3000" w:hanging="360"/>
      </w:pPr>
      <w:rPr>
        <w:rFonts w:ascii="Symbol" w:hAnsi="Symbol" w:hint="default"/>
      </w:rPr>
    </w:lvl>
    <w:lvl w:ilvl="4" w:tplc="14090003" w:tentative="1">
      <w:start w:val="1"/>
      <w:numFmt w:val="bullet"/>
      <w:lvlText w:val="o"/>
      <w:lvlJc w:val="left"/>
      <w:pPr>
        <w:ind w:left="3720" w:hanging="360"/>
      </w:pPr>
      <w:rPr>
        <w:rFonts w:ascii="Courier New" w:hAnsi="Courier New" w:cs="Courier New" w:hint="default"/>
      </w:rPr>
    </w:lvl>
    <w:lvl w:ilvl="5" w:tplc="14090005" w:tentative="1">
      <w:start w:val="1"/>
      <w:numFmt w:val="bullet"/>
      <w:lvlText w:val=""/>
      <w:lvlJc w:val="left"/>
      <w:pPr>
        <w:ind w:left="4440" w:hanging="360"/>
      </w:pPr>
      <w:rPr>
        <w:rFonts w:ascii="Wingdings" w:hAnsi="Wingdings" w:hint="default"/>
      </w:rPr>
    </w:lvl>
    <w:lvl w:ilvl="6" w:tplc="14090001" w:tentative="1">
      <w:start w:val="1"/>
      <w:numFmt w:val="bullet"/>
      <w:lvlText w:val=""/>
      <w:lvlJc w:val="left"/>
      <w:pPr>
        <w:ind w:left="5160" w:hanging="360"/>
      </w:pPr>
      <w:rPr>
        <w:rFonts w:ascii="Symbol" w:hAnsi="Symbol" w:hint="default"/>
      </w:rPr>
    </w:lvl>
    <w:lvl w:ilvl="7" w:tplc="14090003" w:tentative="1">
      <w:start w:val="1"/>
      <w:numFmt w:val="bullet"/>
      <w:lvlText w:val="o"/>
      <w:lvlJc w:val="left"/>
      <w:pPr>
        <w:ind w:left="5880" w:hanging="360"/>
      </w:pPr>
      <w:rPr>
        <w:rFonts w:ascii="Courier New" w:hAnsi="Courier New" w:cs="Courier New" w:hint="default"/>
      </w:rPr>
    </w:lvl>
    <w:lvl w:ilvl="8" w:tplc="14090005" w:tentative="1">
      <w:start w:val="1"/>
      <w:numFmt w:val="bullet"/>
      <w:lvlText w:val=""/>
      <w:lvlJc w:val="left"/>
      <w:pPr>
        <w:ind w:left="6600" w:hanging="360"/>
      </w:pPr>
      <w:rPr>
        <w:rFonts w:ascii="Wingdings" w:hAnsi="Wingdings" w:hint="default"/>
      </w:rPr>
    </w:lvl>
  </w:abstractNum>
  <w:abstractNum w:abstractNumId="3" w15:restartNumberingAfterBreak="0">
    <w:nsid w:val="0E7F445C"/>
    <w:multiLevelType w:val="hybridMultilevel"/>
    <w:tmpl w:val="8F7039E8"/>
    <w:lvl w:ilvl="0" w:tplc="678A89F8">
      <w:start w:val="2"/>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F8343C3"/>
    <w:multiLevelType w:val="hybridMultilevel"/>
    <w:tmpl w:val="BE009F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3F67F82"/>
    <w:multiLevelType w:val="hybridMultilevel"/>
    <w:tmpl w:val="5C2CA0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4400C70"/>
    <w:multiLevelType w:val="hybridMultilevel"/>
    <w:tmpl w:val="D2467CDC"/>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7" w15:restartNumberingAfterBreak="0">
    <w:nsid w:val="2231579A"/>
    <w:multiLevelType w:val="hybridMultilevel"/>
    <w:tmpl w:val="CF5EF9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6AD75BD"/>
    <w:multiLevelType w:val="hybridMultilevel"/>
    <w:tmpl w:val="62B405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7C028FE"/>
    <w:multiLevelType w:val="hybridMultilevel"/>
    <w:tmpl w:val="C51AEF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8AF00DD"/>
    <w:multiLevelType w:val="hybridMultilevel"/>
    <w:tmpl w:val="D54AF9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1105CB0"/>
    <w:multiLevelType w:val="hybridMultilevel"/>
    <w:tmpl w:val="1D3AC0F0"/>
    <w:lvl w:ilvl="0" w:tplc="BEF6918E">
      <w:start w:val="4"/>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7DC27CA"/>
    <w:multiLevelType w:val="multilevel"/>
    <w:tmpl w:val="07A473D0"/>
    <w:lvl w:ilvl="0">
      <w:start w:val="1"/>
      <w:numFmt w:val="bullet"/>
      <w:pStyle w:val="TableBullet1"/>
      <w:lvlText w:val=""/>
      <w:lvlJc w:val="left"/>
      <w:pPr>
        <w:tabs>
          <w:tab w:val="num" w:pos="284"/>
        </w:tabs>
        <w:ind w:left="284" w:hanging="284"/>
      </w:pPr>
      <w:rPr>
        <w:rFonts w:ascii="Wingdings" w:hAnsi="Wingdings" w:hint="default"/>
      </w:rPr>
    </w:lvl>
    <w:lvl w:ilvl="1">
      <w:start w:val="1"/>
      <w:numFmt w:val="bullet"/>
      <w:pStyle w:val="TableBullet2"/>
      <w:lvlText w:val="–"/>
      <w:lvlJc w:val="left"/>
      <w:pPr>
        <w:tabs>
          <w:tab w:val="num" w:pos="567"/>
        </w:tabs>
        <w:ind w:left="567" w:hanging="283"/>
      </w:pPr>
      <w:rPr>
        <w:rFonts w:ascii="Times New Roman" w:hAnsi="Times New Roman" w:cs="Times New Roman" w:hint="default"/>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3" w15:restartNumberingAfterBreak="0">
    <w:nsid w:val="38DE5A8D"/>
    <w:multiLevelType w:val="hybridMultilevel"/>
    <w:tmpl w:val="93802A1A"/>
    <w:lvl w:ilvl="0" w:tplc="E2C8BEB8">
      <w:start w:val="1"/>
      <w:numFmt w:val="bullet"/>
      <w:pStyle w:val="Bullet-lis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3A8B2E5F"/>
    <w:multiLevelType w:val="hybridMultilevel"/>
    <w:tmpl w:val="B256176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3B68358F"/>
    <w:multiLevelType w:val="hybridMultilevel"/>
    <w:tmpl w:val="C2B088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E1158FD"/>
    <w:multiLevelType w:val="hybridMultilevel"/>
    <w:tmpl w:val="6EE4AF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E4352B1"/>
    <w:multiLevelType w:val="hybridMultilevel"/>
    <w:tmpl w:val="2CE014D4"/>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18" w15:restartNumberingAfterBreak="0">
    <w:nsid w:val="493D677C"/>
    <w:multiLevelType w:val="multilevel"/>
    <w:tmpl w:val="2FBCCE06"/>
    <w:lvl w:ilvl="0">
      <w:start w:val="1"/>
      <w:numFmt w:val="bullet"/>
      <w:lvlText w:val=""/>
      <w:lvlJc w:val="left"/>
      <w:pPr>
        <w:tabs>
          <w:tab w:val="num" w:pos="720"/>
        </w:tabs>
        <w:ind w:left="720" w:hanging="360"/>
      </w:pPr>
      <w:rPr>
        <w:rFonts w:ascii="Symbol" w:hAnsi="Symbol" w:hint="default"/>
        <w:sz w:val="20"/>
      </w:rPr>
    </w:lvl>
    <w:lvl w:ilvl="1">
      <w:start w:val="1"/>
      <w:numFmt w:val="bullet"/>
      <w:pStyle w:val="Bulletlistlevel2"/>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E3D4AD7"/>
    <w:multiLevelType w:val="hybridMultilevel"/>
    <w:tmpl w:val="9D9CDAC6"/>
    <w:lvl w:ilvl="0" w:tplc="14090001">
      <w:start w:val="1"/>
      <w:numFmt w:val="bullet"/>
      <w:lvlText w:val=""/>
      <w:lvlJc w:val="left"/>
      <w:pPr>
        <w:ind w:left="843" w:hanging="360"/>
      </w:pPr>
      <w:rPr>
        <w:rFonts w:ascii="Symbol" w:hAnsi="Symbol" w:hint="default"/>
      </w:rPr>
    </w:lvl>
    <w:lvl w:ilvl="1" w:tplc="14090003" w:tentative="1">
      <w:start w:val="1"/>
      <w:numFmt w:val="bullet"/>
      <w:lvlText w:val="o"/>
      <w:lvlJc w:val="left"/>
      <w:pPr>
        <w:ind w:left="1563" w:hanging="360"/>
      </w:pPr>
      <w:rPr>
        <w:rFonts w:ascii="Courier New" w:hAnsi="Courier New" w:cs="Courier New" w:hint="default"/>
      </w:rPr>
    </w:lvl>
    <w:lvl w:ilvl="2" w:tplc="14090005" w:tentative="1">
      <w:start w:val="1"/>
      <w:numFmt w:val="bullet"/>
      <w:lvlText w:val=""/>
      <w:lvlJc w:val="left"/>
      <w:pPr>
        <w:ind w:left="2283" w:hanging="360"/>
      </w:pPr>
      <w:rPr>
        <w:rFonts w:ascii="Wingdings" w:hAnsi="Wingdings" w:hint="default"/>
      </w:rPr>
    </w:lvl>
    <w:lvl w:ilvl="3" w:tplc="14090001" w:tentative="1">
      <w:start w:val="1"/>
      <w:numFmt w:val="bullet"/>
      <w:lvlText w:val=""/>
      <w:lvlJc w:val="left"/>
      <w:pPr>
        <w:ind w:left="3003" w:hanging="360"/>
      </w:pPr>
      <w:rPr>
        <w:rFonts w:ascii="Symbol" w:hAnsi="Symbol" w:hint="default"/>
      </w:rPr>
    </w:lvl>
    <w:lvl w:ilvl="4" w:tplc="14090003" w:tentative="1">
      <w:start w:val="1"/>
      <w:numFmt w:val="bullet"/>
      <w:lvlText w:val="o"/>
      <w:lvlJc w:val="left"/>
      <w:pPr>
        <w:ind w:left="3723" w:hanging="360"/>
      </w:pPr>
      <w:rPr>
        <w:rFonts w:ascii="Courier New" w:hAnsi="Courier New" w:cs="Courier New" w:hint="default"/>
      </w:rPr>
    </w:lvl>
    <w:lvl w:ilvl="5" w:tplc="14090005" w:tentative="1">
      <w:start w:val="1"/>
      <w:numFmt w:val="bullet"/>
      <w:lvlText w:val=""/>
      <w:lvlJc w:val="left"/>
      <w:pPr>
        <w:ind w:left="4443" w:hanging="360"/>
      </w:pPr>
      <w:rPr>
        <w:rFonts w:ascii="Wingdings" w:hAnsi="Wingdings" w:hint="default"/>
      </w:rPr>
    </w:lvl>
    <w:lvl w:ilvl="6" w:tplc="14090001" w:tentative="1">
      <w:start w:val="1"/>
      <w:numFmt w:val="bullet"/>
      <w:lvlText w:val=""/>
      <w:lvlJc w:val="left"/>
      <w:pPr>
        <w:ind w:left="5163" w:hanging="360"/>
      </w:pPr>
      <w:rPr>
        <w:rFonts w:ascii="Symbol" w:hAnsi="Symbol" w:hint="default"/>
      </w:rPr>
    </w:lvl>
    <w:lvl w:ilvl="7" w:tplc="14090003" w:tentative="1">
      <w:start w:val="1"/>
      <w:numFmt w:val="bullet"/>
      <w:lvlText w:val="o"/>
      <w:lvlJc w:val="left"/>
      <w:pPr>
        <w:ind w:left="5883" w:hanging="360"/>
      </w:pPr>
      <w:rPr>
        <w:rFonts w:ascii="Courier New" w:hAnsi="Courier New" w:cs="Courier New" w:hint="default"/>
      </w:rPr>
    </w:lvl>
    <w:lvl w:ilvl="8" w:tplc="14090005" w:tentative="1">
      <w:start w:val="1"/>
      <w:numFmt w:val="bullet"/>
      <w:lvlText w:val=""/>
      <w:lvlJc w:val="left"/>
      <w:pPr>
        <w:ind w:left="6603" w:hanging="360"/>
      </w:pPr>
      <w:rPr>
        <w:rFonts w:ascii="Wingdings" w:hAnsi="Wingdings" w:hint="default"/>
      </w:rPr>
    </w:lvl>
  </w:abstractNum>
  <w:abstractNum w:abstractNumId="20" w15:restartNumberingAfterBreak="0">
    <w:nsid w:val="53580D89"/>
    <w:multiLevelType w:val="hybridMultilevel"/>
    <w:tmpl w:val="D6646446"/>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21" w15:restartNumberingAfterBreak="0">
    <w:nsid w:val="561A693C"/>
    <w:multiLevelType w:val="hybridMultilevel"/>
    <w:tmpl w:val="C8423C5E"/>
    <w:lvl w:ilvl="0" w:tplc="41F4BD7E">
      <w:start w:val="1"/>
      <w:numFmt w:val="bullet"/>
      <w:pStyle w:val="Boxbullet"/>
      <w:lvlText w:val="•"/>
      <w:lvlJc w:val="left"/>
      <w:pPr>
        <w:tabs>
          <w:tab w:val="num" w:pos="644"/>
        </w:tabs>
        <w:ind w:left="567" w:hanging="283"/>
      </w:pPr>
      <w:rPr>
        <w:rFonts w:hAnsi="Arial" w:hint="default"/>
        <w:b/>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7059C3"/>
    <w:multiLevelType w:val="hybridMultilevel"/>
    <w:tmpl w:val="9D8ECE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C021482"/>
    <w:multiLevelType w:val="hybridMultilevel"/>
    <w:tmpl w:val="D9DA24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C8654C8"/>
    <w:multiLevelType w:val="hybridMultilevel"/>
    <w:tmpl w:val="B94664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5E28612B"/>
    <w:multiLevelType w:val="hybridMultilevel"/>
    <w:tmpl w:val="CF78D9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69202CAB"/>
    <w:multiLevelType w:val="hybridMultilevel"/>
    <w:tmpl w:val="B8CE47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A811FF2"/>
    <w:multiLevelType w:val="hybridMultilevel"/>
    <w:tmpl w:val="9612D55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AAA380E"/>
    <w:multiLevelType w:val="hybridMultilevel"/>
    <w:tmpl w:val="4A5ABB8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6BCF431C"/>
    <w:multiLevelType w:val="hybridMultilevel"/>
    <w:tmpl w:val="DC9035E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0" w15:restartNumberingAfterBreak="0">
    <w:nsid w:val="6CEC7370"/>
    <w:multiLevelType w:val="hybridMultilevel"/>
    <w:tmpl w:val="D7B016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6D0D68D9"/>
    <w:multiLevelType w:val="hybridMultilevel"/>
    <w:tmpl w:val="2E9EAE1A"/>
    <w:lvl w:ilvl="0" w:tplc="E2C8BEB8">
      <w:start w:val="1"/>
      <w:numFmt w:val="bullet"/>
      <w:lvlText w:val=""/>
      <w:lvlJc w:val="left"/>
      <w:pPr>
        <w:ind w:left="720" w:hanging="360"/>
      </w:pPr>
      <w:rPr>
        <w:rFonts w:ascii="Symbol" w:hAnsi="Symbol" w:hint="default"/>
      </w:rPr>
    </w:lvl>
    <w:lvl w:ilvl="1" w:tplc="6A549158">
      <w:start w:val="1"/>
      <w:numFmt w:val="bullet"/>
      <w:pStyle w:val="TableBullet"/>
      <w:lvlText w:val=""/>
      <w:lvlJc w:val="left"/>
      <w:pPr>
        <w:ind w:left="1440" w:hanging="360"/>
      </w:pPr>
      <w:rPr>
        <w:rFonts w:ascii="Symbol" w:hAnsi="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6ED417B4"/>
    <w:multiLevelType w:val="hybridMultilevel"/>
    <w:tmpl w:val="0F06DC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74693F29"/>
    <w:multiLevelType w:val="hybridMultilevel"/>
    <w:tmpl w:val="1486B6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7BA12AF5"/>
    <w:multiLevelType w:val="hybridMultilevel"/>
    <w:tmpl w:val="609CD3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7DB97DDF"/>
    <w:multiLevelType w:val="hybridMultilevel"/>
    <w:tmpl w:val="EDCE9E3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2"/>
  </w:num>
  <w:num w:numId="2">
    <w:abstractNumId w:val="31"/>
  </w:num>
  <w:num w:numId="3">
    <w:abstractNumId w:val="21"/>
  </w:num>
  <w:num w:numId="4">
    <w:abstractNumId w:val="18"/>
  </w:num>
  <w:num w:numId="5">
    <w:abstractNumId w:val="13"/>
  </w:num>
  <w:num w:numId="6">
    <w:abstractNumId w:val="29"/>
  </w:num>
  <w:num w:numId="7">
    <w:abstractNumId w:val="5"/>
  </w:num>
  <w:num w:numId="8">
    <w:abstractNumId w:val="24"/>
  </w:num>
  <w:num w:numId="9">
    <w:abstractNumId w:val="10"/>
  </w:num>
  <w:num w:numId="10">
    <w:abstractNumId w:val="16"/>
  </w:num>
  <w:num w:numId="11">
    <w:abstractNumId w:val="27"/>
  </w:num>
  <w:num w:numId="12">
    <w:abstractNumId w:val="23"/>
  </w:num>
  <w:num w:numId="13">
    <w:abstractNumId w:val="14"/>
  </w:num>
  <w:num w:numId="14">
    <w:abstractNumId w:val="28"/>
  </w:num>
  <w:num w:numId="15">
    <w:abstractNumId w:val="26"/>
  </w:num>
  <w:num w:numId="16">
    <w:abstractNumId w:val="20"/>
  </w:num>
  <w:num w:numId="17">
    <w:abstractNumId w:val="33"/>
  </w:num>
  <w:num w:numId="18">
    <w:abstractNumId w:val="8"/>
  </w:num>
  <w:num w:numId="19">
    <w:abstractNumId w:val="0"/>
  </w:num>
  <w:num w:numId="20">
    <w:abstractNumId w:val="30"/>
  </w:num>
  <w:num w:numId="21">
    <w:abstractNumId w:val="4"/>
  </w:num>
  <w:num w:numId="22">
    <w:abstractNumId w:val="25"/>
  </w:num>
  <w:num w:numId="23">
    <w:abstractNumId w:val="2"/>
  </w:num>
  <w:num w:numId="24">
    <w:abstractNumId w:val="6"/>
  </w:num>
  <w:num w:numId="25">
    <w:abstractNumId w:val="17"/>
  </w:num>
  <w:num w:numId="26">
    <w:abstractNumId w:val="34"/>
  </w:num>
  <w:num w:numId="27">
    <w:abstractNumId w:val="22"/>
  </w:num>
  <w:num w:numId="28">
    <w:abstractNumId w:val="35"/>
  </w:num>
  <w:num w:numId="29">
    <w:abstractNumId w:val="15"/>
  </w:num>
  <w:num w:numId="30">
    <w:abstractNumId w:val="3"/>
  </w:num>
  <w:num w:numId="31">
    <w:abstractNumId w:val="11"/>
  </w:num>
  <w:num w:numId="32">
    <w:abstractNumId w:val="19"/>
  </w:num>
  <w:num w:numId="33">
    <w:abstractNumId w:val="32"/>
  </w:num>
  <w:num w:numId="34">
    <w:abstractNumId w:val="9"/>
  </w:num>
  <w:num w:numId="35">
    <w:abstractNumId w:val="7"/>
  </w:num>
  <w:num w:numId="36">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drawingGridHorizontalSpacing w:val="110"/>
  <w:displayHorizontalDrawingGridEvery w:val="0"/>
  <w:displayVerticalDrawingGridEvery w:val="0"/>
  <w:noPunctuationKerning/>
  <w:characterSpacingControl w:val="doNotCompress"/>
  <w:hdrShapeDefaults>
    <o:shapedefaults v:ext="edit" spidmax="2050" fillcolor="white" stroke="f">
      <v:fill color="white" opacity="0"/>
      <v:stroke on="f"/>
      <o:colormru v:ext="edit" colors="#ddd,#cfcfcf,#cacaca,#66f,blue,#ccd3e1,#002469,#335087"/>
    </o:shapedefaults>
    <o:shapelayout v:ext="edit">
      <o:idmap v:ext="edit" data="2"/>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127"/>
    <w:rsid w:val="00001539"/>
    <w:rsid w:val="00002433"/>
    <w:rsid w:val="000037F4"/>
    <w:rsid w:val="00004A8A"/>
    <w:rsid w:val="00005DC9"/>
    <w:rsid w:val="00010986"/>
    <w:rsid w:val="00010F7D"/>
    <w:rsid w:val="00011834"/>
    <w:rsid w:val="00011A8E"/>
    <w:rsid w:val="000130AD"/>
    <w:rsid w:val="00013A18"/>
    <w:rsid w:val="00014196"/>
    <w:rsid w:val="000147DC"/>
    <w:rsid w:val="00015072"/>
    <w:rsid w:val="00016722"/>
    <w:rsid w:val="00020305"/>
    <w:rsid w:val="0002068B"/>
    <w:rsid w:val="00020C42"/>
    <w:rsid w:val="000232EB"/>
    <w:rsid w:val="00023BAB"/>
    <w:rsid w:val="00023EA6"/>
    <w:rsid w:val="0002568E"/>
    <w:rsid w:val="00025954"/>
    <w:rsid w:val="00030DEA"/>
    <w:rsid w:val="00032FBB"/>
    <w:rsid w:val="00033950"/>
    <w:rsid w:val="000343E7"/>
    <w:rsid w:val="00035185"/>
    <w:rsid w:val="00036A3D"/>
    <w:rsid w:val="00036EE4"/>
    <w:rsid w:val="00041469"/>
    <w:rsid w:val="000435AD"/>
    <w:rsid w:val="00045AFC"/>
    <w:rsid w:val="00046B56"/>
    <w:rsid w:val="00046F46"/>
    <w:rsid w:val="00047559"/>
    <w:rsid w:val="0005079C"/>
    <w:rsid w:val="0005140D"/>
    <w:rsid w:val="000523FC"/>
    <w:rsid w:val="000526E4"/>
    <w:rsid w:val="0005434D"/>
    <w:rsid w:val="00054C3B"/>
    <w:rsid w:val="0005503E"/>
    <w:rsid w:val="00055373"/>
    <w:rsid w:val="000561AC"/>
    <w:rsid w:val="00056263"/>
    <w:rsid w:val="00056F77"/>
    <w:rsid w:val="00057AC4"/>
    <w:rsid w:val="000600CA"/>
    <w:rsid w:val="000606D4"/>
    <w:rsid w:val="00060AAB"/>
    <w:rsid w:val="00060B4F"/>
    <w:rsid w:val="00060CD3"/>
    <w:rsid w:val="00060D21"/>
    <w:rsid w:val="00064452"/>
    <w:rsid w:val="000655B2"/>
    <w:rsid w:val="00065F26"/>
    <w:rsid w:val="0006754B"/>
    <w:rsid w:val="00067ACE"/>
    <w:rsid w:val="00067C48"/>
    <w:rsid w:val="00070193"/>
    <w:rsid w:val="00073A19"/>
    <w:rsid w:val="00073F31"/>
    <w:rsid w:val="00074B13"/>
    <w:rsid w:val="00074D02"/>
    <w:rsid w:val="00080CE0"/>
    <w:rsid w:val="00080DE3"/>
    <w:rsid w:val="00082ABC"/>
    <w:rsid w:val="00083ADB"/>
    <w:rsid w:val="00085C41"/>
    <w:rsid w:val="00085E30"/>
    <w:rsid w:val="00086007"/>
    <w:rsid w:val="000863E2"/>
    <w:rsid w:val="00086898"/>
    <w:rsid w:val="000870D5"/>
    <w:rsid w:val="0008712F"/>
    <w:rsid w:val="00087A25"/>
    <w:rsid w:val="00087C41"/>
    <w:rsid w:val="00094699"/>
    <w:rsid w:val="000957AE"/>
    <w:rsid w:val="00095AE8"/>
    <w:rsid w:val="00096116"/>
    <w:rsid w:val="00096BFA"/>
    <w:rsid w:val="000A1125"/>
    <w:rsid w:val="000A18BF"/>
    <w:rsid w:val="000A20D1"/>
    <w:rsid w:val="000A39F4"/>
    <w:rsid w:val="000A43F8"/>
    <w:rsid w:val="000A4419"/>
    <w:rsid w:val="000B005C"/>
    <w:rsid w:val="000B01CC"/>
    <w:rsid w:val="000B0480"/>
    <w:rsid w:val="000B0615"/>
    <w:rsid w:val="000B0C12"/>
    <w:rsid w:val="000B0D42"/>
    <w:rsid w:val="000B16BF"/>
    <w:rsid w:val="000B29C0"/>
    <w:rsid w:val="000B3761"/>
    <w:rsid w:val="000B5B1E"/>
    <w:rsid w:val="000C0912"/>
    <w:rsid w:val="000C183B"/>
    <w:rsid w:val="000C26E9"/>
    <w:rsid w:val="000C3B07"/>
    <w:rsid w:val="000C3EB5"/>
    <w:rsid w:val="000C43B6"/>
    <w:rsid w:val="000C4A71"/>
    <w:rsid w:val="000C5B1F"/>
    <w:rsid w:val="000C684B"/>
    <w:rsid w:val="000C6EED"/>
    <w:rsid w:val="000D0FA0"/>
    <w:rsid w:val="000D2A6B"/>
    <w:rsid w:val="000D5E01"/>
    <w:rsid w:val="000D6393"/>
    <w:rsid w:val="000D6E4D"/>
    <w:rsid w:val="000D7A39"/>
    <w:rsid w:val="000D7C12"/>
    <w:rsid w:val="000E0036"/>
    <w:rsid w:val="000E2B57"/>
    <w:rsid w:val="000E3979"/>
    <w:rsid w:val="000E3CE1"/>
    <w:rsid w:val="000E730B"/>
    <w:rsid w:val="000E73FF"/>
    <w:rsid w:val="000E7BDD"/>
    <w:rsid w:val="000E7C1C"/>
    <w:rsid w:val="000F03B0"/>
    <w:rsid w:val="000F0F21"/>
    <w:rsid w:val="000F191E"/>
    <w:rsid w:val="000F1AAF"/>
    <w:rsid w:val="000F2286"/>
    <w:rsid w:val="000F3333"/>
    <w:rsid w:val="000F4023"/>
    <w:rsid w:val="000F4A1A"/>
    <w:rsid w:val="000F6464"/>
    <w:rsid w:val="000F6F99"/>
    <w:rsid w:val="000F7020"/>
    <w:rsid w:val="001015C8"/>
    <w:rsid w:val="00101A24"/>
    <w:rsid w:val="0010482E"/>
    <w:rsid w:val="00105555"/>
    <w:rsid w:val="00112E07"/>
    <w:rsid w:val="00113146"/>
    <w:rsid w:val="00114986"/>
    <w:rsid w:val="00114F56"/>
    <w:rsid w:val="00116006"/>
    <w:rsid w:val="00116B51"/>
    <w:rsid w:val="00122BF0"/>
    <w:rsid w:val="0012410B"/>
    <w:rsid w:val="00125812"/>
    <w:rsid w:val="00126CD1"/>
    <w:rsid w:val="00127757"/>
    <w:rsid w:val="00130E8F"/>
    <w:rsid w:val="0013229B"/>
    <w:rsid w:val="001336E3"/>
    <w:rsid w:val="001339BB"/>
    <w:rsid w:val="00133DD2"/>
    <w:rsid w:val="00135162"/>
    <w:rsid w:val="00136EED"/>
    <w:rsid w:val="00141B20"/>
    <w:rsid w:val="00141D39"/>
    <w:rsid w:val="00142051"/>
    <w:rsid w:val="00143437"/>
    <w:rsid w:val="00144369"/>
    <w:rsid w:val="00144801"/>
    <w:rsid w:val="00144ADC"/>
    <w:rsid w:val="00144BBB"/>
    <w:rsid w:val="00146FC1"/>
    <w:rsid w:val="00150932"/>
    <w:rsid w:val="001525A3"/>
    <w:rsid w:val="00152D49"/>
    <w:rsid w:val="00157E18"/>
    <w:rsid w:val="00161022"/>
    <w:rsid w:val="00161358"/>
    <w:rsid w:val="001620EB"/>
    <w:rsid w:val="0016280B"/>
    <w:rsid w:val="0016538E"/>
    <w:rsid w:val="00166A7A"/>
    <w:rsid w:val="00166C49"/>
    <w:rsid w:val="001674EB"/>
    <w:rsid w:val="00167CD7"/>
    <w:rsid w:val="00167EE1"/>
    <w:rsid w:val="001705C4"/>
    <w:rsid w:val="00171281"/>
    <w:rsid w:val="001712D6"/>
    <w:rsid w:val="001726B0"/>
    <w:rsid w:val="00174A13"/>
    <w:rsid w:val="00175644"/>
    <w:rsid w:val="001767C7"/>
    <w:rsid w:val="001800AF"/>
    <w:rsid w:val="00180A3B"/>
    <w:rsid w:val="00180BD5"/>
    <w:rsid w:val="00180D17"/>
    <w:rsid w:val="00182D28"/>
    <w:rsid w:val="00183132"/>
    <w:rsid w:val="00183C52"/>
    <w:rsid w:val="00183D99"/>
    <w:rsid w:val="00183EB1"/>
    <w:rsid w:val="00184219"/>
    <w:rsid w:val="00184B2D"/>
    <w:rsid w:val="00185884"/>
    <w:rsid w:val="00187CD4"/>
    <w:rsid w:val="001901C1"/>
    <w:rsid w:val="00190331"/>
    <w:rsid w:val="0019141D"/>
    <w:rsid w:val="00191A4F"/>
    <w:rsid w:val="00191B67"/>
    <w:rsid w:val="00191EEC"/>
    <w:rsid w:val="0019357F"/>
    <w:rsid w:val="00194CF9"/>
    <w:rsid w:val="00197273"/>
    <w:rsid w:val="001A13C8"/>
    <w:rsid w:val="001A1C61"/>
    <w:rsid w:val="001A1DFB"/>
    <w:rsid w:val="001A2731"/>
    <w:rsid w:val="001A5694"/>
    <w:rsid w:val="001A5BEE"/>
    <w:rsid w:val="001A6C15"/>
    <w:rsid w:val="001B0726"/>
    <w:rsid w:val="001B0DF0"/>
    <w:rsid w:val="001B1A87"/>
    <w:rsid w:val="001B1BDF"/>
    <w:rsid w:val="001B1DA3"/>
    <w:rsid w:val="001B24D5"/>
    <w:rsid w:val="001B2869"/>
    <w:rsid w:val="001B3F6D"/>
    <w:rsid w:val="001B3F81"/>
    <w:rsid w:val="001B41EF"/>
    <w:rsid w:val="001B4E6C"/>
    <w:rsid w:val="001B7122"/>
    <w:rsid w:val="001C0CF6"/>
    <w:rsid w:val="001C2214"/>
    <w:rsid w:val="001C2523"/>
    <w:rsid w:val="001C2524"/>
    <w:rsid w:val="001C28F4"/>
    <w:rsid w:val="001C41C2"/>
    <w:rsid w:val="001C4555"/>
    <w:rsid w:val="001C49A7"/>
    <w:rsid w:val="001C6634"/>
    <w:rsid w:val="001D0A46"/>
    <w:rsid w:val="001D16DB"/>
    <w:rsid w:val="001D22ED"/>
    <w:rsid w:val="001D3274"/>
    <w:rsid w:val="001D3440"/>
    <w:rsid w:val="001D37FB"/>
    <w:rsid w:val="001D53A8"/>
    <w:rsid w:val="001D7325"/>
    <w:rsid w:val="001E14CD"/>
    <w:rsid w:val="001E1A8F"/>
    <w:rsid w:val="001E1F3D"/>
    <w:rsid w:val="001E2483"/>
    <w:rsid w:val="001E3088"/>
    <w:rsid w:val="001E50E9"/>
    <w:rsid w:val="001E5873"/>
    <w:rsid w:val="001E7247"/>
    <w:rsid w:val="001F0DD3"/>
    <w:rsid w:val="001F2059"/>
    <w:rsid w:val="001F21CB"/>
    <w:rsid w:val="001F3ECD"/>
    <w:rsid w:val="001F4903"/>
    <w:rsid w:val="001F492F"/>
    <w:rsid w:val="001F6750"/>
    <w:rsid w:val="00200311"/>
    <w:rsid w:val="002008D1"/>
    <w:rsid w:val="002020AD"/>
    <w:rsid w:val="0020298F"/>
    <w:rsid w:val="002036AA"/>
    <w:rsid w:val="00203789"/>
    <w:rsid w:val="00205334"/>
    <w:rsid w:val="00205CD0"/>
    <w:rsid w:val="00210B4E"/>
    <w:rsid w:val="00211139"/>
    <w:rsid w:val="002111CF"/>
    <w:rsid w:val="002114EC"/>
    <w:rsid w:val="00213A98"/>
    <w:rsid w:val="00213B41"/>
    <w:rsid w:val="00216DB5"/>
    <w:rsid w:val="00216F08"/>
    <w:rsid w:val="00222CA5"/>
    <w:rsid w:val="0022367A"/>
    <w:rsid w:val="00224A1F"/>
    <w:rsid w:val="002258FC"/>
    <w:rsid w:val="00226226"/>
    <w:rsid w:val="00226FD2"/>
    <w:rsid w:val="00227B81"/>
    <w:rsid w:val="00227D78"/>
    <w:rsid w:val="00227FE4"/>
    <w:rsid w:val="002317B4"/>
    <w:rsid w:val="00232086"/>
    <w:rsid w:val="002331A0"/>
    <w:rsid w:val="00233DC9"/>
    <w:rsid w:val="0023447D"/>
    <w:rsid w:val="0023708B"/>
    <w:rsid w:val="00237318"/>
    <w:rsid w:val="00237FE9"/>
    <w:rsid w:val="00241A51"/>
    <w:rsid w:val="00244F20"/>
    <w:rsid w:val="00245DA0"/>
    <w:rsid w:val="00247ADA"/>
    <w:rsid w:val="00251406"/>
    <w:rsid w:val="002551B3"/>
    <w:rsid w:val="00257836"/>
    <w:rsid w:val="00263D33"/>
    <w:rsid w:val="002642AA"/>
    <w:rsid w:val="00264EEE"/>
    <w:rsid w:val="0026530E"/>
    <w:rsid w:val="00265DED"/>
    <w:rsid w:val="00265E6C"/>
    <w:rsid w:val="00266A30"/>
    <w:rsid w:val="0026794D"/>
    <w:rsid w:val="00267FAB"/>
    <w:rsid w:val="002712C8"/>
    <w:rsid w:val="002719ED"/>
    <w:rsid w:val="00271EB7"/>
    <w:rsid w:val="00272E82"/>
    <w:rsid w:val="002732EE"/>
    <w:rsid w:val="00273732"/>
    <w:rsid w:val="00273D5C"/>
    <w:rsid w:val="00273ECF"/>
    <w:rsid w:val="00275209"/>
    <w:rsid w:val="0027527B"/>
    <w:rsid w:val="00275B26"/>
    <w:rsid w:val="0027706F"/>
    <w:rsid w:val="00281580"/>
    <w:rsid w:val="00282D64"/>
    <w:rsid w:val="00282DD1"/>
    <w:rsid w:val="00283AFA"/>
    <w:rsid w:val="002840BC"/>
    <w:rsid w:val="00287942"/>
    <w:rsid w:val="00290407"/>
    <w:rsid w:val="00292626"/>
    <w:rsid w:val="0029399F"/>
    <w:rsid w:val="00293E21"/>
    <w:rsid w:val="00295264"/>
    <w:rsid w:val="00296404"/>
    <w:rsid w:val="0029649F"/>
    <w:rsid w:val="002A05D3"/>
    <w:rsid w:val="002A06C6"/>
    <w:rsid w:val="002A0B63"/>
    <w:rsid w:val="002A318F"/>
    <w:rsid w:val="002A535E"/>
    <w:rsid w:val="002A5881"/>
    <w:rsid w:val="002A5E16"/>
    <w:rsid w:val="002A5E7A"/>
    <w:rsid w:val="002A7956"/>
    <w:rsid w:val="002B0025"/>
    <w:rsid w:val="002B0801"/>
    <w:rsid w:val="002B2943"/>
    <w:rsid w:val="002B316D"/>
    <w:rsid w:val="002B3319"/>
    <w:rsid w:val="002B4215"/>
    <w:rsid w:val="002B5324"/>
    <w:rsid w:val="002B56E7"/>
    <w:rsid w:val="002B5A71"/>
    <w:rsid w:val="002C0074"/>
    <w:rsid w:val="002C062A"/>
    <w:rsid w:val="002C097E"/>
    <w:rsid w:val="002C2315"/>
    <w:rsid w:val="002C301D"/>
    <w:rsid w:val="002C4A38"/>
    <w:rsid w:val="002C4D32"/>
    <w:rsid w:val="002C6298"/>
    <w:rsid w:val="002C636B"/>
    <w:rsid w:val="002C65B8"/>
    <w:rsid w:val="002C734D"/>
    <w:rsid w:val="002C744C"/>
    <w:rsid w:val="002D01BF"/>
    <w:rsid w:val="002D0FAA"/>
    <w:rsid w:val="002D1556"/>
    <w:rsid w:val="002D3E81"/>
    <w:rsid w:val="002D4AC3"/>
    <w:rsid w:val="002D52A0"/>
    <w:rsid w:val="002D6691"/>
    <w:rsid w:val="002D68CC"/>
    <w:rsid w:val="002E062E"/>
    <w:rsid w:val="002E1D30"/>
    <w:rsid w:val="002E28C6"/>
    <w:rsid w:val="002E42CF"/>
    <w:rsid w:val="002E4DB3"/>
    <w:rsid w:val="002E79A6"/>
    <w:rsid w:val="002F10BF"/>
    <w:rsid w:val="002F110D"/>
    <w:rsid w:val="002F1429"/>
    <w:rsid w:val="002F32BD"/>
    <w:rsid w:val="002F4407"/>
    <w:rsid w:val="002F5A1A"/>
    <w:rsid w:val="002F6E67"/>
    <w:rsid w:val="002F70A1"/>
    <w:rsid w:val="002F71F1"/>
    <w:rsid w:val="002F7C03"/>
    <w:rsid w:val="0030111A"/>
    <w:rsid w:val="003020F3"/>
    <w:rsid w:val="003038AC"/>
    <w:rsid w:val="00305726"/>
    <w:rsid w:val="00306E9B"/>
    <w:rsid w:val="003076FA"/>
    <w:rsid w:val="00310BAF"/>
    <w:rsid w:val="00310D70"/>
    <w:rsid w:val="0031214B"/>
    <w:rsid w:val="00312AEE"/>
    <w:rsid w:val="00313880"/>
    <w:rsid w:val="00313F3E"/>
    <w:rsid w:val="00315307"/>
    <w:rsid w:val="00315423"/>
    <w:rsid w:val="00315D17"/>
    <w:rsid w:val="003176BB"/>
    <w:rsid w:val="00317E1A"/>
    <w:rsid w:val="003237B0"/>
    <w:rsid w:val="0032503F"/>
    <w:rsid w:val="003258CB"/>
    <w:rsid w:val="003262CE"/>
    <w:rsid w:val="003264ED"/>
    <w:rsid w:val="003308B4"/>
    <w:rsid w:val="003323FF"/>
    <w:rsid w:val="00333209"/>
    <w:rsid w:val="003339F8"/>
    <w:rsid w:val="00334A4E"/>
    <w:rsid w:val="003352EF"/>
    <w:rsid w:val="003365CD"/>
    <w:rsid w:val="003424A8"/>
    <w:rsid w:val="003425F7"/>
    <w:rsid w:val="00343012"/>
    <w:rsid w:val="00343233"/>
    <w:rsid w:val="00343B25"/>
    <w:rsid w:val="003441E3"/>
    <w:rsid w:val="003445EA"/>
    <w:rsid w:val="00351EC0"/>
    <w:rsid w:val="00352990"/>
    <w:rsid w:val="00353113"/>
    <w:rsid w:val="00353518"/>
    <w:rsid w:val="00356511"/>
    <w:rsid w:val="00356A14"/>
    <w:rsid w:val="00360A03"/>
    <w:rsid w:val="003613F4"/>
    <w:rsid w:val="00361819"/>
    <w:rsid w:val="00361BDE"/>
    <w:rsid w:val="00362FE1"/>
    <w:rsid w:val="00363DCE"/>
    <w:rsid w:val="00364E9D"/>
    <w:rsid w:val="00365680"/>
    <w:rsid w:val="00366A1A"/>
    <w:rsid w:val="00367B6E"/>
    <w:rsid w:val="003702AB"/>
    <w:rsid w:val="00370B2E"/>
    <w:rsid w:val="00372D68"/>
    <w:rsid w:val="00374070"/>
    <w:rsid w:val="0037447C"/>
    <w:rsid w:val="0037458C"/>
    <w:rsid w:val="00374AAB"/>
    <w:rsid w:val="00374E9A"/>
    <w:rsid w:val="00375004"/>
    <w:rsid w:val="003775A8"/>
    <w:rsid w:val="00380130"/>
    <w:rsid w:val="00381832"/>
    <w:rsid w:val="00381DB8"/>
    <w:rsid w:val="003826A0"/>
    <w:rsid w:val="00383462"/>
    <w:rsid w:val="00383D49"/>
    <w:rsid w:val="00385683"/>
    <w:rsid w:val="00386DD1"/>
    <w:rsid w:val="00387CA4"/>
    <w:rsid w:val="00395750"/>
    <w:rsid w:val="0039581F"/>
    <w:rsid w:val="00396861"/>
    <w:rsid w:val="0039783E"/>
    <w:rsid w:val="00397F68"/>
    <w:rsid w:val="003A0009"/>
    <w:rsid w:val="003A0ADF"/>
    <w:rsid w:val="003A4360"/>
    <w:rsid w:val="003A76E4"/>
    <w:rsid w:val="003B09F2"/>
    <w:rsid w:val="003B1384"/>
    <w:rsid w:val="003B35B8"/>
    <w:rsid w:val="003B3826"/>
    <w:rsid w:val="003B4753"/>
    <w:rsid w:val="003B4A9D"/>
    <w:rsid w:val="003B4B13"/>
    <w:rsid w:val="003B4D2C"/>
    <w:rsid w:val="003B53A6"/>
    <w:rsid w:val="003B6033"/>
    <w:rsid w:val="003B7A74"/>
    <w:rsid w:val="003C0785"/>
    <w:rsid w:val="003C1213"/>
    <w:rsid w:val="003C1764"/>
    <w:rsid w:val="003C2F52"/>
    <w:rsid w:val="003C3AD0"/>
    <w:rsid w:val="003C4916"/>
    <w:rsid w:val="003C56BA"/>
    <w:rsid w:val="003C5B64"/>
    <w:rsid w:val="003C722C"/>
    <w:rsid w:val="003C7985"/>
    <w:rsid w:val="003C7CAC"/>
    <w:rsid w:val="003D057B"/>
    <w:rsid w:val="003D06F0"/>
    <w:rsid w:val="003D1191"/>
    <w:rsid w:val="003D20ED"/>
    <w:rsid w:val="003D4ED7"/>
    <w:rsid w:val="003D6531"/>
    <w:rsid w:val="003E017A"/>
    <w:rsid w:val="003E1FAF"/>
    <w:rsid w:val="003E20B9"/>
    <w:rsid w:val="003E3836"/>
    <w:rsid w:val="003E39B9"/>
    <w:rsid w:val="003E4AC8"/>
    <w:rsid w:val="003E4BB4"/>
    <w:rsid w:val="003E5D09"/>
    <w:rsid w:val="003E68FB"/>
    <w:rsid w:val="003E7F60"/>
    <w:rsid w:val="003F0C14"/>
    <w:rsid w:val="003F14AC"/>
    <w:rsid w:val="003F2118"/>
    <w:rsid w:val="003F27A7"/>
    <w:rsid w:val="003F2D09"/>
    <w:rsid w:val="003F34BF"/>
    <w:rsid w:val="003F36DC"/>
    <w:rsid w:val="003F37EA"/>
    <w:rsid w:val="003F47D7"/>
    <w:rsid w:val="003F47F5"/>
    <w:rsid w:val="003F59CC"/>
    <w:rsid w:val="003F5B50"/>
    <w:rsid w:val="003F5E57"/>
    <w:rsid w:val="003F5F9D"/>
    <w:rsid w:val="003F64CD"/>
    <w:rsid w:val="003F7652"/>
    <w:rsid w:val="003F7EDA"/>
    <w:rsid w:val="0040035B"/>
    <w:rsid w:val="00401D87"/>
    <w:rsid w:val="004022C6"/>
    <w:rsid w:val="00402BF8"/>
    <w:rsid w:val="00403755"/>
    <w:rsid w:val="00406227"/>
    <w:rsid w:val="00407D3B"/>
    <w:rsid w:val="00412E6D"/>
    <w:rsid w:val="00412FA2"/>
    <w:rsid w:val="00413858"/>
    <w:rsid w:val="00414731"/>
    <w:rsid w:val="00415CC4"/>
    <w:rsid w:val="00415FD6"/>
    <w:rsid w:val="0041696F"/>
    <w:rsid w:val="00420D4C"/>
    <w:rsid w:val="00423B79"/>
    <w:rsid w:val="004240D2"/>
    <w:rsid w:val="00424ADF"/>
    <w:rsid w:val="004303B8"/>
    <w:rsid w:val="004312B1"/>
    <w:rsid w:val="00431677"/>
    <w:rsid w:val="00433183"/>
    <w:rsid w:val="00433954"/>
    <w:rsid w:val="00433AED"/>
    <w:rsid w:val="00435F4A"/>
    <w:rsid w:val="00437C49"/>
    <w:rsid w:val="00440182"/>
    <w:rsid w:val="0044117C"/>
    <w:rsid w:val="004418F2"/>
    <w:rsid w:val="00443662"/>
    <w:rsid w:val="00444BCD"/>
    <w:rsid w:val="00444E78"/>
    <w:rsid w:val="00445448"/>
    <w:rsid w:val="004455A5"/>
    <w:rsid w:val="00445911"/>
    <w:rsid w:val="00445F4D"/>
    <w:rsid w:val="00446050"/>
    <w:rsid w:val="00446FC1"/>
    <w:rsid w:val="00447C26"/>
    <w:rsid w:val="00447DD2"/>
    <w:rsid w:val="00447F1A"/>
    <w:rsid w:val="0045085A"/>
    <w:rsid w:val="00450CBA"/>
    <w:rsid w:val="0045110A"/>
    <w:rsid w:val="00455363"/>
    <w:rsid w:val="00455FE0"/>
    <w:rsid w:val="00456B8F"/>
    <w:rsid w:val="004574C4"/>
    <w:rsid w:val="00457A91"/>
    <w:rsid w:val="004604E9"/>
    <w:rsid w:val="00460A55"/>
    <w:rsid w:val="0046180A"/>
    <w:rsid w:val="00462BC6"/>
    <w:rsid w:val="00463FEB"/>
    <w:rsid w:val="004650F7"/>
    <w:rsid w:val="00470C11"/>
    <w:rsid w:val="00471226"/>
    <w:rsid w:val="00471759"/>
    <w:rsid w:val="0047175C"/>
    <w:rsid w:val="004721E0"/>
    <w:rsid w:val="00472F9C"/>
    <w:rsid w:val="00473803"/>
    <w:rsid w:val="00473D1A"/>
    <w:rsid w:val="00476857"/>
    <w:rsid w:val="00476B4E"/>
    <w:rsid w:val="0047782F"/>
    <w:rsid w:val="00477FFC"/>
    <w:rsid w:val="00480F1B"/>
    <w:rsid w:val="004828C6"/>
    <w:rsid w:val="00484675"/>
    <w:rsid w:val="00484F33"/>
    <w:rsid w:val="004869CF"/>
    <w:rsid w:val="00486FF3"/>
    <w:rsid w:val="004873F1"/>
    <w:rsid w:val="00487545"/>
    <w:rsid w:val="00487597"/>
    <w:rsid w:val="00490239"/>
    <w:rsid w:val="00490B1D"/>
    <w:rsid w:val="004911B9"/>
    <w:rsid w:val="00491DC5"/>
    <w:rsid w:val="00492871"/>
    <w:rsid w:val="004929EC"/>
    <w:rsid w:val="004935F6"/>
    <w:rsid w:val="00493965"/>
    <w:rsid w:val="00493B10"/>
    <w:rsid w:val="00493F24"/>
    <w:rsid w:val="00495017"/>
    <w:rsid w:val="00495861"/>
    <w:rsid w:val="0049615F"/>
    <w:rsid w:val="004971EF"/>
    <w:rsid w:val="004A0CE4"/>
    <w:rsid w:val="004A10E2"/>
    <w:rsid w:val="004A2043"/>
    <w:rsid w:val="004A3EF7"/>
    <w:rsid w:val="004A6D51"/>
    <w:rsid w:val="004B03BE"/>
    <w:rsid w:val="004B1950"/>
    <w:rsid w:val="004B1C45"/>
    <w:rsid w:val="004B2839"/>
    <w:rsid w:val="004B2DDD"/>
    <w:rsid w:val="004B300A"/>
    <w:rsid w:val="004B3C51"/>
    <w:rsid w:val="004B4AB0"/>
    <w:rsid w:val="004B4B2B"/>
    <w:rsid w:val="004B4E7B"/>
    <w:rsid w:val="004B607B"/>
    <w:rsid w:val="004B7418"/>
    <w:rsid w:val="004B780C"/>
    <w:rsid w:val="004C0FBA"/>
    <w:rsid w:val="004C1080"/>
    <w:rsid w:val="004C118D"/>
    <w:rsid w:val="004C2B29"/>
    <w:rsid w:val="004C3F7B"/>
    <w:rsid w:val="004C453F"/>
    <w:rsid w:val="004C78C4"/>
    <w:rsid w:val="004D0EE3"/>
    <w:rsid w:val="004D2B88"/>
    <w:rsid w:val="004D2EB8"/>
    <w:rsid w:val="004D2FCB"/>
    <w:rsid w:val="004D3A3F"/>
    <w:rsid w:val="004D3F9F"/>
    <w:rsid w:val="004D512D"/>
    <w:rsid w:val="004D58A1"/>
    <w:rsid w:val="004D5F74"/>
    <w:rsid w:val="004D6ED4"/>
    <w:rsid w:val="004E1004"/>
    <w:rsid w:val="004E10E0"/>
    <w:rsid w:val="004E198A"/>
    <w:rsid w:val="004E2276"/>
    <w:rsid w:val="004E2A32"/>
    <w:rsid w:val="004E3F7E"/>
    <w:rsid w:val="004E429D"/>
    <w:rsid w:val="004E67E6"/>
    <w:rsid w:val="004E759F"/>
    <w:rsid w:val="004F0526"/>
    <w:rsid w:val="004F19CD"/>
    <w:rsid w:val="004F1F6E"/>
    <w:rsid w:val="004F245D"/>
    <w:rsid w:val="004F2DDC"/>
    <w:rsid w:val="004F3340"/>
    <w:rsid w:val="004F582A"/>
    <w:rsid w:val="004F5E93"/>
    <w:rsid w:val="004F603D"/>
    <w:rsid w:val="004F6545"/>
    <w:rsid w:val="004F6D32"/>
    <w:rsid w:val="004F6FC8"/>
    <w:rsid w:val="0050046F"/>
    <w:rsid w:val="00500EEF"/>
    <w:rsid w:val="005015CE"/>
    <w:rsid w:val="00501BD9"/>
    <w:rsid w:val="005041A7"/>
    <w:rsid w:val="00504E3C"/>
    <w:rsid w:val="00506456"/>
    <w:rsid w:val="00506825"/>
    <w:rsid w:val="00506FA2"/>
    <w:rsid w:val="00507196"/>
    <w:rsid w:val="00507B26"/>
    <w:rsid w:val="005103B1"/>
    <w:rsid w:val="005104FC"/>
    <w:rsid w:val="005116C8"/>
    <w:rsid w:val="00512258"/>
    <w:rsid w:val="00513EA6"/>
    <w:rsid w:val="00514951"/>
    <w:rsid w:val="00515680"/>
    <w:rsid w:val="005159CE"/>
    <w:rsid w:val="00515DC7"/>
    <w:rsid w:val="00516410"/>
    <w:rsid w:val="005173F5"/>
    <w:rsid w:val="00517D7F"/>
    <w:rsid w:val="00517E7D"/>
    <w:rsid w:val="00520779"/>
    <w:rsid w:val="00523AAC"/>
    <w:rsid w:val="00523CF5"/>
    <w:rsid w:val="005246FD"/>
    <w:rsid w:val="00525A4C"/>
    <w:rsid w:val="00525C51"/>
    <w:rsid w:val="005267AD"/>
    <w:rsid w:val="005278CC"/>
    <w:rsid w:val="00530417"/>
    <w:rsid w:val="00530B0F"/>
    <w:rsid w:val="005321B7"/>
    <w:rsid w:val="005328C3"/>
    <w:rsid w:val="00532F52"/>
    <w:rsid w:val="0053379A"/>
    <w:rsid w:val="005337D5"/>
    <w:rsid w:val="00533BE7"/>
    <w:rsid w:val="0053484A"/>
    <w:rsid w:val="00535D17"/>
    <w:rsid w:val="0053679A"/>
    <w:rsid w:val="0054067C"/>
    <w:rsid w:val="005412AA"/>
    <w:rsid w:val="00541C62"/>
    <w:rsid w:val="00543754"/>
    <w:rsid w:val="005437B7"/>
    <w:rsid w:val="00543E03"/>
    <w:rsid w:val="00545F4F"/>
    <w:rsid w:val="00545F60"/>
    <w:rsid w:val="00547754"/>
    <w:rsid w:val="0054782B"/>
    <w:rsid w:val="00550336"/>
    <w:rsid w:val="0055051C"/>
    <w:rsid w:val="00550BD7"/>
    <w:rsid w:val="005520E3"/>
    <w:rsid w:val="005536BC"/>
    <w:rsid w:val="00554756"/>
    <w:rsid w:val="00554B2A"/>
    <w:rsid w:val="00554B2F"/>
    <w:rsid w:val="00557118"/>
    <w:rsid w:val="005612C1"/>
    <w:rsid w:val="00561CB5"/>
    <w:rsid w:val="0056357E"/>
    <w:rsid w:val="00563A12"/>
    <w:rsid w:val="00563B07"/>
    <w:rsid w:val="00564874"/>
    <w:rsid w:val="00566834"/>
    <w:rsid w:val="005668F0"/>
    <w:rsid w:val="005677E2"/>
    <w:rsid w:val="0057019F"/>
    <w:rsid w:val="005704E5"/>
    <w:rsid w:val="00570549"/>
    <w:rsid w:val="00570D36"/>
    <w:rsid w:val="00571BA5"/>
    <w:rsid w:val="00573B85"/>
    <w:rsid w:val="00574342"/>
    <w:rsid w:val="005754DE"/>
    <w:rsid w:val="0057568C"/>
    <w:rsid w:val="00576798"/>
    <w:rsid w:val="00577C67"/>
    <w:rsid w:val="00580450"/>
    <w:rsid w:val="00580CDE"/>
    <w:rsid w:val="00582DC6"/>
    <w:rsid w:val="00585418"/>
    <w:rsid w:val="00585F5E"/>
    <w:rsid w:val="00586DC7"/>
    <w:rsid w:val="00590BD9"/>
    <w:rsid w:val="00590D92"/>
    <w:rsid w:val="00591A45"/>
    <w:rsid w:val="00593561"/>
    <w:rsid w:val="00593830"/>
    <w:rsid w:val="005940A1"/>
    <w:rsid w:val="005940A6"/>
    <w:rsid w:val="00594541"/>
    <w:rsid w:val="00596392"/>
    <w:rsid w:val="00597DFE"/>
    <w:rsid w:val="00597EC6"/>
    <w:rsid w:val="00597FAF"/>
    <w:rsid w:val="005A13E7"/>
    <w:rsid w:val="005A196E"/>
    <w:rsid w:val="005A2A29"/>
    <w:rsid w:val="005A3D06"/>
    <w:rsid w:val="005A3DA9"/>
    <w:rsid w:val="005A4502"/>
    <w:rsid w:val="005A6565"/>
    <w:rsid w:val="005A6C3B"/>
    <w:rsid w:val="005A6CC1"/>
    <w:rsid w:val="005A6CCD"/>
    <w:rsid w:val="005A7107"/>
    <w:rsid w:val="005B174D"/>
    <w:rsid w:val="005B2316"/>
    <w:rsid w:val="005B29AF"/>
    <w:rsid w:val="005B39D2"/>
    <w:rsid w:val="005B3B36"/>
    <w:rsid w:val="005B545C"/>
    <w:rsid w:val="005B5516"/>
    <w:rsid w:val="005B55F8"/>
    <w:rsid w:val="005B5924"/>
    <w:rsid w:val="005B6561"/>
    <w:rsid w:val="005C0453"/>
    <w:rsid w:val="005C10C5"/>
    <w:rsid w:val="005C1B65"/>
    <w:rsid w:val="005C21D1"/>
    <w:rsid w:val="005C24B6"/>
    <w:rsid w:val="005C29FA"/>
    <w:rsid w:val="005C2A4F"/>
    <w:rsid w:val="005C6EDB"/>
    <w:rsid w:val="005D0763"/>
    <w:rsid w:val="005D0FD8"/>
    <w:rsid w:val="005D2127"/>
    <w:rsid w:val="005D3791"/>
    <w:rsid w:val="005D3DE0"/>
    <w:rsid w:val="005D4C84"/>
    <w:rsid w:val="005D57F3"/>
    <w:rsid w:val="005D6009"/>
    <w:rsid w:val="005D66C1"/>
    <w:rsid w:val="005D67EA"/>
    <w:rsid w:val="005D6E87"/>
    <w:rsid w:val="005E0B96"/>
    <w:rsid w:val="005E1947"/>
    <w:rsid w:val="005E4156"/>
    <w:rsid w:val="005E61BD"/>
    <w:rsid w:val="005E7559"/>
    <w:rsid w:val="005F2C40"/>
    <w:rsid w:val="005F3E1E"/>
    <w:rsid w:val="005F4DCE"/>
    <w:rsid w:val="005F5F1C"/>
    <w:rsid w:val="005F5F29"/>
    <w:rsid w:val="005F73DF"/>
    <w:rsid w:val="00601153"/>
    <w:rsid w:val="0060140F"/>
    <w:rsid w:val="0060184B"/>
    <w:rsid w:val="00601A52"/>
    <w:rsid w:val="00601F4F"/>
    <w:rsid w:val="00602084"/>
    <w:rsid w:val="00602E73"/>
    <w:rsid w:val="00603627"/>
    <w:rsid w:val="006036A6"/>
    <w:rsid w:val="00603E2B"/>
    <w:rsid w:val="00603FA8"/>
    <w:rsid w:val="006050DD"/>
    <w:rsid w:val="006057D8"/>
    <w:rsid w:val="006062EF"/>
    <w:rsid w:val="0061025C"/>
    <w:rsid w:val="006119BA"/>
    <w:rsid w:val="00612D19"/>
    <w:rsid w:val="0061317B"/>
    <w:rsid w:val="00613972"/>
    <w:rsid w:val="00613E99"/>
    <w:rsid w:val="006141B0"/>
    <w:rsid w:val="006159F2"/>
    <w:rsid w:val="00615E70"/>
    <w:rsid w:val="006170F2"/>
    <w:rsid w:val="00617398"/>
    <w:rsid w:val="0061761D"/>
    <w:rsid w:val="006207E9"/>
    <w:rsid w:val="00621E70"/>
    <w:rsid w:val="0062214E"/>
    <w:rsid w:val="00623880"/>
    <w:rsid w:val="00626B7E"/>
    <w:rsid w:val="00630D94"/>
    <w:rsid w:val="006329EA"/>
    <w:rsid w:val="00632BA7"/>
    <w:rsid w:val="00632C89"/>
    <w:rsid w:val="00632E8C"/>
    <w:rsid w:val="00634F11"/>
    <w:rsid w:val="006359F5"/>
    <w:rsid w:val="00635A18"/>
    <w:rsid w:val="006362C2"/>
    <w:rsid w:val="006377D3"/>
    <w:rsid w:val="00637BB7"/>
    <w:rsid w:val="0064249C"/>
    <w:rsid w:val="00642ADD"/>
    <w:rsid w:val="0064352A"/>
    <w:rsid w:val="0064402C"/>
    <w:rsid w:val="006445A2"/>
    <w:rsid w:val="00645C45"/>
    <w:rsid w:val="00646179"/>
    <w:rsid w:val="006464FD"/>
    <w:rsid w:val="0064671E"/>
    <w:rsid w:val="0064763A"/>
    <w:rsid w:val="006544DB"/>
    <w:rsid w:val="00655537"/>
    <w:rsid w:val="00655D3C"/>
    <w:rsid w:val="00656647"/>
    <w:rsid w:val="0065713B"/>
    <w:rsid w:val="0065713C"/>
    <w:rsid w:val="0065773E"/>
    <w:rsid w:val="00660777"/>
    <w:rsid w:val="00660B1F"/>
    <w:rsid w:val="00662194"/>
    <w:rsid w:val="00663B17"/>
    <w:rsid w:val="006666AD"/>
    <w:rsid w:val="00666A40"/>
    <w:rsid w:val="00671043"/>
    <w:rsid w:val="00671103"/>
    <w:rsid w:val="00671424"/>
    <w:rsid w:val="00671A52"/>
    <w:rsid w:val="00672C8A"/>
    <w:rsid w:val="006755C1"/>
    <w:rsid w:val="006772A7"/>
    <w:rsid w:val="006772CA"/>
    <w:rsid w:val="00677EE9"/>
    <w:rsid w:val="006822DA"/>
    <w:rsid w:val="00682473"/>
    <w:rsid w:val="006829A8"/>
    <w:rsid w:val="00682FBC"/>
    <w:rsid w:val="00683A57"/>
    <w:rsid w:val="0068449E"/>
    <w:rsid w:val="00684A4C"/>
    <w:rsid w:val="00685B40"/>
    <w:rsid w:val="006873EA"/>
    <w:rsid w:val="00692162"/>
    <w:rsid w:val="00692229"/>
    <w:rsid w:val="00693024"/>
    <w:rsid w:val="00694ABE"/>
    <w:rsid w:val="00694E49"/>
    <w:rsid w:val="006A080F"/>
    <w:rsid w:val="006A0E74"/>
    <w:rsid w:val="006A0FE1"/>
    <w:rsid w:val="006A218F"/>
    <w:rsid w:val="006A3F76"/>
    <w:rsid w:val="006A4054"/>
    <w:rsid w:val="006A40A1"/>
    <w:rsid w:val="006A5C00"/>
    <w:rsid w:val="006A6165"/>
    <w:rsid w:val="006A6392"/>
    <w:rsid w:val="006A7E28"/>
    <w:rsid w:val="006B2116"/>
    <w:rsid w:val="006B2982"/>
    <w:rsid w:val="006B4903"/>
    <w:rsid w:val="006C0A4C"/>
    <w:rsid w:val="006C1B43"/>
    <w:rsid w:val="006C1D7C"/>
    <w:rsid w:val="006C406F"/>
    <w:rsid w:val="006C60D9"/>
    <w:rsid w:val="006C6FA2"/>
    <w:rsid w:val="006C7000"/>
    <w:rsid w:val="006C7763"/>
    <w:rsid w:val="006D012B"/>
    <w:rsid w:val="006D12A7"/>
    <w:rsid w:val="006D2BD5"/>
    <w:rsid w:val="006D3ECE"/>
    <w:rsid w:val="006D4E45"/>
    <w:rsid w:val="006D5350"/>
    <w:rsid w:val="006D72BB"/>
    <w:rsid w:val="006D7858"/>
    <w:rsid w:val="006E0317"/>
    <w:rsid w:val="006E0511"/>
    <w:rsid w:val="006E12C1"/>
    <w:rsid w:val="006E5580"/>
    <w:rsid w:val="006E6F76"/>
    <w:rsid w:val="006E7DC2"/>
    <w:rsid w:val="006F0263"/>
    <w:rsid w:val="006F0D73"/>
    <w:rsid w:val="006F1342"/>
    <w:rsid w:val="006F3D80"/>
    <w:rsid w:val="006F3EF5"/>
    <w:rsid w:val="006F49F0"/>
    <w:rsid w:val="006F5009"/>
    <w:rsid w:val="006F670D"/>
    <w:rsid w:val="006F7D7E"/>
    <w:rsid w:val="00702E8D"/>
    <w:rsid w:val="0070360B"/>
    <w:rsid w:val="00704726"/>
    <w:rsid w:val="007053E7"/>
    <w:rsid w:val="00705884"/>
    <w:rsid w:val="00705BD1"/>
    <w:rsid w:val="00705D0A"/>
    <w:rsid w:val="007063F2"/>
    <w:rsid w:val="00706E77"/>
    <w:rsid w:val="00707B2E"/>
    <w:rsid w:val="00707BA2"/>
    <w:rsid w:val="00710B00"/>
    <w:rsid w:val="00711471"/>
    <w:rsid w:val="00716DEA"/>
    <w:rsid w:val="0072105B"/>
    <w:rsid w:val="00721CD9"/>
    <w:rsid w:val="00723508"/>
    <w:rsid w:val="0072575B"/>
    <w:rsid w:val="00726BC7"/>
    <w:rsid w:val="007276CD"/>
    <w:rsid w:val="007318CB"/>
    <w:rsid w:val="0073286C"/>
    <w:rsid w:val="007328CC"/>
    <w:rsid w:val="00732B9C"/>
    <w:rsid w:val="007330DF"/>
    <w:rsid w:val="00735070"/>
    <w:rsid w:val="00735AD3"/>
    <w:rsid w:val="007373FC"/>
    <w:rsid w:val="0073772A"/>
    <w:rsid w:val="007404F6"/>
    <w:rsid w:val="00742222"/>
    <w:rsid w:val="00743EA9"/>
    <w:rsid w:val="0074529C"/>
    <w:rsid w:val="00747ECC"/>
    <w:rsid w:val="00750BF8"/>
    <w:rsid w:val="00750E2F"/>
    <w:rsid w:val="007515BC"/>
    <w:rsid w:val="0075310A"/>
    <w:rsid w:val="00753328"/>
    <w:rsid w:val="00753433"/>
    <w:rsid w:val="00754E0C"/>
    <w:rsid w:val="00754E11"/>
    <w:rsid w:val="00756097"/>
    <w:rsid w:val="00762C09"/>
    <w:rsid w:val="00764F3A"/>
    <w:rsid w:val="00765CC1"/>
    <w:rsid w:val="007669BA"/>
    <w:rsid w:val="007712EA"/>
    <w:rsid w:val="00773ACD"/>
    <w:rsid w:val="007768C5"/>
    <w:rsid w:val="007773BD"/>
    <w:rsid w:val="00777B72"/>
    <w:rsid w:val="00777EEE"/>
    <w:rsid w:val="007811C0"/>
    <w:rsid w:val="007819CF"/>
    <w:rsid w:val="00783657"/>
    <w:rsid w:val="00784745"/>
    <w:rsid w:val="00784C80"/>
    <w:rsid w:val="00786840"/>
    <w:rsid w:val="00791304"/>
    <w:rsid w:val="00791677"/>
    <w:rsid w:val="00791E8E"/>
    <w:rsid w:val="007931A9"/>
    <w:rsid w:val="00793A45"/>
    <w:rsid w:val="00794715"/>
    <w:rsid w:val="00794E52"/>
    <w:rsid w:val="00794E6C"/>
    <w:rsid w:val="007952A7"/>
    <w:rsid w:val="00795F7E"/>
    <w:rsid w:val="00796982"/>
    <w:rsid w:val="0079792A"/>
    <w:rsid w:val="00797AC8"/>
    <w:rsid w:val="007A02C7"/>
    <w:rsid w:val="007A1334"/>
    <w:rsid w:val="007A2C70"/>
    <w:rsid w:val="007A375D"/>
    <w:rsid w:val="007A4CBF"/>
    <w:rsid w:val="007A5456"/>
    <w:rsid w:val="007A5826"/>
    <w:rsid w:val="007A657A"/>
    <w:rsid w:val="007B249F"/>
    <w:rsid w:val="007B2C52"/>
    <w:rsid w:val="007B4330"/>
    <w:rsid w:val="007B435A"/>
    <w:rsid w:val="007B5D7E"/>
    <w:rsid w:val="007C17B1"/>
    <w:rsid w:val="007C3547"/>
    <w:rsid w:val="007C43BB"/>
    <w:rsid w:val="007C47D9"/>
    <w:rsid w:val="007C6ED9"/>
    <w:rsid w:val="007D1D13"/>
    <w:rsid w:val="007D3127"/>
    <w:rsid w:val="007D36F2"/>
    <w:rsid w:val="007D3B6C"/>
    <w:rsid w:val="007D3F11"/>
    <w:rsid w:val="007D57DC"/>
    <w:rsid w:val="007E00A1"/>
    <w:rsid w:val="007E1808"/>
    <w:rsid w:val="007E2BB1"/>
    <w:rsid w:val="007E2F2D"/>
    <w:rsid w:val="007E3A3A"/>
    <w:rsid w:val="007E6D47"/>
    <w:rsid w:val="007E6F9E"/>
    <w:rsid w:val="007E71C7"/>
    <w:rsid w:val="007F0096"/>
    <w:rsid w:val="007F2BB3"/>
    <w:rsid w:val="007F35FA"/>
    <w:rsid w:val="007F3724"/>
    <w:rsid w:val="007F4330"/>
    <w:rsid w:val="007F45A7"/>
    <w:rsid w:val="007F4C1B"/>
    <w:rsid w:val="007F5830"/>
    <w:rsid w:val="007F62A9"/>
    <w:rsid w:val="008007C3"/>
    <w:rsid w:val="00800998"/>
    <w:rsid w:val="008022F1"/>
    <w:rsid w:val="0080288A"/>
    <w:rsid w:val="00802E2A"/>
    <w:rsid w:val="00803569"/>
    <w:rsid w:val="008049CE"/>
    <w:rsid w:val="00805558"/>
    <w:rsid w:val="00807058"/>
    <w:rsid w:val="0080739F"/>
    <w:rsid w:val="0080758E"/>
    <w:rsid w:val="0081025E"/>
    <w:rsid w:val="00810D3C"/>
    <w:rsid w:val="00810E6B"/>
    <w:rsid w:val="00810E72"/>
    <w:rsid w:val="008124E6"/>
    <w:rsid w:val="00812B72"/>
    <w:rsid w:val="00813360"/>
    <w:rsid w:val="00813620"/>
    <w:rsid w:val="00816F3A"/>
    <w:rsid w:val="008171ED"/>
    <w:rsid w:val="00820A32"/>
    <w:rsid w:val="00820A94"/>
    <w:rsid w:val="008230AC"/>
    <w:rsid w:val="00823B52"/>
    <w:rsid w:val="00823B90"/>
    <w:rsid w:val="00825F5A"/>
    <w:rsid w:val="00831ACA"/>
    <w:rsid w:val="00831AD5"/>
    <w:rsid w:val="00831BAA"/>
    <w:rsid w:val="00831E32"/>
    <w:rsid w:val="00834C7B"/>
    <w:rsid w:val="00836367"/>
    <w:rsid w:val="008375CF"/>
    <w:rsid w:val="00843D20"/>
    <w:rsid w:val="00844454"/>
    <w:rsid w:val="00847192"/>
    <w:rsid w:val="0084725D"/>
    <w:rsid w:val="0084731D"/>
    <w:rsid w:val="00850142"/>
    <w:rsid w:val="008511D0"/>
    <w:rsid w:val="008540AD"/>
    <w:rsid w:val="00855476"/>
    <w:rsid w:val="00857420"/>
    <w:rsid w:val="0085773A"/>
    <w:rsid w:val="008603F1"/>
    <w:rsid w:val="00860CCE"/>
    <w:rsid w:val="00862540"/>
    <w:rsid w:val="00862551"/>
    <w:rsid w:val="0086294E"/>
    <w:rsid w:val="00863459"/>
    <w:rsid w:val="008637E1"/>
    <w:rsid w:val="00864CE2"/>
    <w:rsid w:val="00867E68"/>
    <w:rsid w:val="00871BAB"/>
    <w:rsid w:val="0087340F"/>
    <w:rsid w:val="00873D37"/>
    <w:rsid w:val="00876879"/>
    <w:rsid w:val="00880112"/>
    <w:rsid w:val="0088302D"/>
    <w:rsid w:val="008830FE"/>
    <w:rsid w:val="008831E9"/>
    <w:rsid w:val="008841C7"/>
    <w:rsid w:val="00885271"/>
    <w:rsid w:val="0088541D"/>
    <w:rsid w:val="00885C28"/>
    <w:rsid w:val="00885EE5"/>
    <w:rsid w:val="00885F6B"/>
    <w:rsid w:val="00887803"/>
    <w:rsid w:val="00891481"/>
    <w:rsid w:val="00893A34"/>
    <w:rsid w:val="00893F1F"/>
    <w:rsid w:val="00897964"/>
    <w:rsid w:val="008A0157"/>
    <w:rsid w:val="008A2903"/>
    <w:rsid w:val="008A2ECB"/>
    <w:rsid w:val="008A31B4"/>
    <w:rsid w:val="008A41D1"/>
    <w:rsid w:val="008A67DB"/>
    <w:rsid w:val="008A6B32"/>
    <w:rsid w:val="008A7DEB"/>
    <w:rsid w:val="008B324A"/>
    <w:rsid w:val="008B39F2"/>
    <w:rsid w:val="008B7CC7"/>
    <w:rsid w:val="008C0BAD"/>
    <w:rsid w:val="008C1654"/>
    <w:rsid w:val="008C2E66"/>
    <w:rsid w:val="008C3CF3"/>
    <w:rsid w:val="008C4059"/>
    <w:rsid w:val="008C4133"/>
    <w:rsid w:val="008C5061"/>
    <w:rsid w:val="008D321E"/>
    <w:rsid w:val="008D4069"/>
    <w:rsid w:val="008D4C74"/>
    <w:rsid w:val="008D4D6F"/>
    <w:rsid w:val="008D578D"/>
    <w:rsid w:val="008D5CD9"/>
    <w:rsid w:val="008D607D"/>
    <w:rsid w:val="008E0799"/>
    <w:rsid w:val="008E07CE"/>
    <w:rsid w:val="008E144C"/>
    <w:rsid w:val="008E1524"/>
    <w:rsid w:val="008E1751"/>
    <w:rsid w:val="008E1C27"/>
    <w:rsid w:val="008E2875"/>
    <w:rsid w:val="008E35D5"/>
    <w:rsid w:val="008E499D"/>
    <w:rsid w:val="008E7188"/>
    <w:rsid w:val="008F078B"/>
    <w:rsid w:val="008F1742"/>
    <w:rsid w:val="008F2B6F"/>
    <w:rsid w:val="008F45DD"/>
    <w:rsid w:val="008F524F"/>
    <w:rsid w:val="008F546B"/>
    <w:rsid w:val="008F58B7"/>
    <w:rsid w:val="008F7E97"/>
    <w:rsid w:val="009011FA"/>
    <w:rsid w:val="0090228E"/>
    <w:rsid w:val="00903A46"/>
    <w:rsid w:val="00904824"/>
    <w:rsid w:val="009062B0"/>
    <w:rsid w:val="0090720F"/>
    <w:rsid w:val="00907276"/>
    <w:rsid w:val="00907EF1"/>
    <w:rsid w:val="009112D6"/>
    <w:rsid w:val="00911779"/>
    <w:rsid w:val="009121EB"/>
    <w:rsid w:val="00912583"/>
    <w:rsid w:val="0091465A"/>
    <w:rsid w:val="0091537A"/>
    <w:rsid w:val="0091613C"/>
    <w:rsid w:val="00917703"/>
    <w:rsid w:val="009215E1"/>
    <w:rsid w:val="00921613"/>
    <w:rsid w:val="00921641"/>
    <w:rsid w:val="00921AD9"/>
    <w:rsid w:val="0092220E"/>
    <w:rsid w:val="00922DFB"/>
    <w:rsid w:val="00924DAD"/>
    <w:rsid w:val="00924EF9"/>
    <w:rsid w:val="0092618F"/>
    <w:rsid w:val="00926B17"/>
    <w:rsid w:val="00927387"/>
    <w:rsid w:val="00931012"/>
    <w:rsid w:val="00931139"/>
    <w:rsid w:val="00931186"/>
    <w:rsid w:val="00931C60"/>
    <w:rsid w:val="00932080"/>
    <w:rsid w:val="009322FA"/>
    <w:rsid w:val="00932330"/>
    <w:rsid w:val="009328A9"/>
    <w:rsid w:val="00932E07"/>
    <w:rsid w:val="009331E2"/>
    <w:rsid w:val="009366A0"/>
    <w:rsid w:val="009376E9"/>
    <w:rsid w:val="009407EE"/>
    <w:rsid w:val="00943B26"/>
    <w:rsid w:val="00944EB1"/>
    <w:rsid w:val="0094616F"/>
    <w:rsid w:val="00950357"/>
    <w:rsid w:val="00951D9B"/>
    <w:rsid w:val="0095200D"/>
    <w:rsid w:val="009542D3"/>
    <w:rsid w:val="009544E0"/>
    <w:rsid w:val="00956DA6"/>
    <w:rsid w:val="009575E3"/>
    <w:rsid w:val="00957F52"/>
    <w:rsid w:val="00960387"/>
    <w:rsid w:val="00961716"/>
    <w:rsid w:val="00961C3D"/>
    <w:rsid w:val="00961DC0"/>
    <w:rsid w:val="00962484"/>
    <w:rsid w:val="0096278C"/>
    <w:rsid w:val="009643C4"/>
    <w:rsid w:val="00964FAB"/>
    <w:rsid w:val="00965870"/>
    <w:rsid w:val="009665CD"/>
    <w:rsid w:val="00967BAA"/>
    <w:rsid w:val="00970DF3"/>
    <w:rsid w:val="00972B5F"/>
    <w:rsid w:val="00975870"/>
    <w:rsid w:val="00975CDC"/>
    <w:rsid w:val="009768F2"/>
    <w:rsid w:val="00981A56"/>
    <w:rsid w:val="00983242"/>
    <w:rsid w:val="00984467"/>
    <w:rsid w:val="0098563C"/>
    <w:rsid w:val="0098603E"/>
    <w:rsid w:val="00986F53"/>
    <w:rsid w:val="0099053A"/>
    <w:rsid w:val="009918E8"/>
    <w:rsid w:val="00991ACC"/>
    <w:rsid w:val="00992345"/>
    <w:rsid w:val="0099604A"/>
    <w:rsid w:val="009962FE"/>
    <w:rsid w:val="00997C1F"/>
    <w:rsid w:val="00997E46"/>
    <w:rsid w:val="009A0777"/>
    <w:rsid w:val="009A0E5A"/>
    <w:rsid w:val="009A131E"/>
    <w:rsid w:val="009A2280"/>
    <w:rsid w:val="009A2C24"/>
    <w:rsid w:val="009A6068"/>
    <w:rsid w:val="009A6E0D"/>
    <w:rsid w:val="009B0716"/>
    <w:rsid w:val="009B1209"/>
    <w:rsid w:val="009B2774"/>
    <w:rsid w:val="009B353B"/>
    <w:rsid w:val="009B3F9B"/>
    <w:rsid w:val="009B4464"/>
    <w:rsid w:val="009B5ED9"/>
    <w:rsid w:val="009B687E"/>
    <w:rsid w:val="009B78C5"/>
    <w:rsid w:val="009C00D0"/>
    <w:rsid w:val="009C0E2C"/>
    <w:rsid w:val="009C3581"/>
    <w:rsid w:val="009C4DC5"/>
    <w:rsid w:val="009C5262"/>
    <w:rsid w:val="009C6B0A"/>
    <w:rsid w:val="009D2402"/>
    <w:rsid w:val="009D31B3"/>
    <w:rsid w:val="009D496D"/>
    <w:rsid w:val="009D5865"/>
    <w:rsid w:val="009D5E4C"/>
    <w:rsid w:val="009D6D25"/>
    <w:rsid w:val="009D76AB"/>
    <w:rsid w:val="009E03FB"/>
    <w:rsid w:val="009E17B9"/>
    <w:rsid w:val="009E31E7"/>
    <w:rsid w:val="009E56D2"/>
    <w:rsid w:val="009F09E6"/>
    <w:rsid w:val="009F169C"/>
    <w:rsid w:val="009F1B02"/>
    <w:rsid w:val="009F39B2"/>
    <w:rsid w:val="009F630C"/>
    <w:rsid w:val="009F7F75"/>
    <w:rsid w:val="00A008C2"/>
    <w:rsid w:val="00A0358C"/>
    <w:rsid w:val="00A03704"/>
    <w:rsid w:val="00A05AD3"/>
    <w:rsid w:val="00A067D6"/>
    <w:rsid w:val="00A06AC7"/>
    <w:rsid w:val="00A11347"/>
    <w:rsid w:val="00A12961"/>
    <w:rsid w:val="00A136AC"/>
    <w:rsid w:val="00A13885"/>
    <w:rsid w:val="00A144CF"/>
    <w:rsid w:val="00A161B2"/>
    <w:rsid w:val="00A169B4"/>
    <w:rsid w:val="00A16CD8"/>
    <w:rsid w:val="00A177E1"/>
    <w:rsid w:val="00A178DF"/>
    <w:rsid w:val="00A20C92"/>
    <w:rsid w:val="00A227F2"/>
    <w:rsid w:val="00A23954"/>
    <w:rsid w:val="00A240B1"/>
    <w:rsid w:val="00A241BD"/>
    <w:rsid w:val="00A271BC"/>
    <w:rsid w:val="00A276DD"/>
    <w:rsid w:val="00A2777E"/>
    <w:rsid w:val="00A27ED8"/>
    <w:rsid w:val="00A3103A"/>
    <w:rsid w:val="00A310F2"/>
    <w:rsid w:val="00A31268"/>
    <w:rsid w:val="00A31E8F"/>
    <w:rsid w:val="00A33FF9"/>
    <w:rsid w:val="00A3499B"/>
    <w:rsid w:val="00A350EB"/>
    <w:rsid w:val="00A3580A"/>
    <w:rsid w:val="00A41828"/>
    <w:rsid w:val="00A41E37"/>
    <w:rsid w:val="00A42070"/>
    <w:rsid w:val="00A43139"/>
    <w:rsid w:val="00A44EB9"/>
    <w:rsid w:val="00A458F0"/>
    <w:rsid w:val="00A46A67"/>
    <w:rsid w:val="00A474F8"/>
    <w:rsid w:val="00A51CC9"/>
    <w:rsid w:val="00A51EF6"/>
    <w:rsid w:val="00A52763"/>
    <w:rsid w:val="00A52964"/>
    <w:rsid w:val="00A535A2"/>
    <w:rsid w:val="00A54001"/>
    <w:rsid w:val="00A5767B"/>
    <w:rsid w:val="00A65EA6"/>
    <w:rsid w:val="00A7150E"/>
    <w:rsid w:val="00A72D91"/>
    <w:rsid w:val="00A73D4B"/>
    <w:rsid w:val="00A761FA"/>
    <w:rsid w:val="00A771C0"/>
    <w:rsid w:val="00A80CA4"/>
    <w:rsid w:val="00A81192"/>
    <w:rsid w:val="00A81297"/>
    <w:rsid w:val="00A81A21"/>
    <w:rsid w:val="00A82A72"/>
    <w:rsid w:val="00A85A08"/>
    <w:rsid w:val="00A85C45"/>
    <w:rsid w:val="00A866DC"/>
    <w:rsid w:val="00A86724"/>
    <w:rsid w:val="00A8672D"/>
    <w:rsid w:val="00A8721D"/>
    <w:rsid w:val="00A90B93"/>
    <w:rsid w:val="00A92C86"/>
    <w:rsid w:val="00A92E1D"/>
    <w:rsid w:val="00A94F1D"/>
    <w:rsid w:val="00A95810"/>
    <w:rsid w:val="00A95DA6"/>
    <w:rsid w:val="00A97DC2"/>
    <w:rsid w:val="00AA0305"/>
    <w:rsid w:val="00AA1E55"/>
    <w:rsid w:val="00AA2A15"/>
    <w:rsid w:val="00AA2A96"/>
    <w:rsid w:val="00AA42A7"/>
    <w:rsid w:val="00AA5E68"/>
    <w:rsid w:val="00AA714E"/>
    <w:rsid w:val="00AB1C8B"/>
    <w:rsid w:val="00AB1F25"/>
    <w:rsid w:val="00AB4B80"/>
    <w:rsid w:val="00AB7678"/>
    <w:rsid w:val="00AC014E"/>
    <w:rsid w:val="00AC0CA3"/>
    <w:rsid w:val="00AC238D"/>
    <w:rsid w:val="00AC4B7F"/>
    <w:rsid w:val="00AC587C"/>
    <w:rsid w:val="00AC7238"/>
    <w:rsid w:val="00AC7BEB"/>
    <w:rsid w:val="00AC7C05"/>
    <w:rsid w:val="00AD162D"/>
    <w:rsid w:val="00AD16E4"/>
    <w:rsid w:val="00AD2189"/>
    <w:rsid w:val="00AD2979"/>
    <w:rsid w:val="00AD2C02"/>
    <w:rsid w:val="00AD31A9"/>
    <w:rsid w:val="00AD5287"/>
    <w:rsid w:val="00AD63FE"/>
    <w:rsid w:val="00AD6CF5"/>
    <w:rsid w:val="00AD7847"/>
    <w:rsid w:val="00AE097A"/>
    <w:rsid w:val="00AE1B5A"/>
    <w:rsid w:val="00AE2151"/>
    <w:rsid w:val="00AE249D"/>
    <w:rsid w:val="00AE281C"/>
    <w:rsid w:val="00AE31B0"/>
    <w:rsid w:val="00AE3EC0"/>
    <w:rsid w:val="00AE4B34"/>
    <w:rsid w:val="00AE6FC4"/>
    <w:rsid w:val="00AF0479"/>
    <w:rsid w:val="00AF1C3D"/>
    <w:rsid w:val="00AF26A2"/>
    <w:rsid w:val="00AF3A6C"/>
    <w:rsid w:val="00AF3DFB"/>
    <w:rsid w:val="00AF411C"/>
    <w:rsid w:val="00AF4288"/>
    <w:rsid w:val="00AF4B64"/>
    <w:rsid w:val="00AF6189"/>
    <w:rsid w:val="00AF6606"/>
    <w:rsid w:val="00AF77F2"/>
    <w:rsid w:val="00AF7EC6"/>
    <w:rsid w:val="00B01B51"/>
    <w:rsid w:val="00B02013"/>
    <w:rsid w:val="00B03333"/>
    <w:rsid w:val="00B033B6"/>
    <w:rsid w:val="00B0406A"/>
    <w:rsid w:val="00B048D6"/>
    <w:rsid w:val="00B04C0B"/>
    <w:rsid w:val="00B04DB0"/>
    <w:rsid w:val="00B06841"/>
    <w:rsid w:val="00B06B03"/>
    <w:rsid w:val="00B07DB6"/>
    <w:rsid w:val="00B113E5"/>
    <w:rsid w:val="00B1162D"/>
    <w:rsid w:val="00B14A94"/>
    <w:rsid w:val="00B14C06"/>
    <w:rsid w:val="00B153F0"/>
    <w:rsid w:val="00B162A3"/>
    <w:rsid w:val="00B16BBC"/>
    <w:rsid w:val="00B16D79"/>
    <w:rsid w:val="00B16D8B"/>
    <w:rsid w:val="00B17ECC"/>
    <w:rsid w:val="00B23398"/>
    <w:rsid w:val="00B245B0"/>
    <w:rsid w:val="00B26E56"/>
    <w:rsid w:val="00B304D0"/>
    <w:rsid w:val="00B31879"/>
    <w:rsid w:val="00B326BF"/>
    <w:rsid w:val="00B3311C"/>
    <w:rsid w:val="00B33125"/>
    <w:rsid w:val="00B34A3B"/>
    <w:rsid w:val="00B355C5"/>
    <w:rsid w:val="00B35D48"/>
    <w:rsid w:val="00B3673D"/>
    <w:rsid w:val="00B43F15"/>
    <w:rsid w:val="00B44C6C"/>
    <w:rsid w:val="00B465AB"/>
    <w:rsid w:val="00B4757F"/>
    <w:rsid w:val="00B5187A"/>
    <w:rsid w:val="00B52E33"/>
    <w:rsid w:val="00B55CD1"/>
    <w:rsid w:val="00B56B79"/>
    <w:rsid w:val="00B605F9"/>
    <w:rsid w:val="00B61C67"/>
    <w:rsid w:val="00B62A9E"/>
    <w:rsid w:val="00B6314D"/>
    <w:rsid w:val="00B64BD8"/>
    <w:rsid w:val="00B6646A"/>
    <w:rsid w:val="00B70EFF"/>
    <w:rsid w:val="00B713DA"/>
    <w:rsid w:val="00B71654"/>
    <w:rsid w:val="00B727C2"/>
    <w:rsid w:val="00B738C7"/>
    <w:rsid w:val="00B73ACE"/>
    <w:rsid w:val="00B747AC"/>
    <w:rsid w:val="00B75C34"/>
    <w:rsid w:val="00B77124"/>
    <w:rsid w:val="00B8023E"/>
    <w:rsid w:val="00B82106"/>
    <w:rsid w:val="00B82526"/>
    <w:rsid w:val="00B82809"/>
    <w:rsid w:val="00B849AA"/>
    <w:rsid w:val="00B91224"/>
    <w:rsid w:val="00B91420"/>
    <w:rsid w:val="00B92DEC"/>
    <w:rsid w:val="00B94032"/>
    <w:rsid w:val="00B9525A"/>
    <w:rsid w:val="00BA015D"/>
    <w:rsid w:val="00BA064C"/>
    <w:rsid w:val="00BA0C85"/>
    <w:rsid w:val="00BA1B22"/>
    <w:rsid w:val="00BA4091"/>
    <w:rsid w:val="00BA4735"/>
    <w:rsid w:val="00BA606B"/>
    <w:rsid w:val="00BB0AFC"/>
    <w:rsid w:val="00BB0CEE"/>
    <w:rsid w:val="00BB2DB8"/>
    <w:rsid w:val="00BB3A50"/>
    <w:rsid w:val="00BB3BB1"/>
    <w:rsid w:val="00BB4D9B"/>
    <w:rsid w:val="00BB647C"/>
    <w:rsid w:val="00BC0C83"/>
    <w:rsid w:val="00BC1D1D"/>
    <w:rsid w:val="00BC33E7"/>
    <w:rsid w:val="00BC61B1"/>
    <w:rsid w:val="00BC6A69"/>
    <w:rsid w:val="00BC74B2"/>
    <w:rsid w:val="00BD1F16"/>
    <w:rsid w:val="00BD201F"/>
    <w:rsid w:val="00BD55D3"/>
    <w:rsid w:val="00BD787F"/>
    <w:rsid w:val="00BD7E26"/>
    <w:rsid w:val="00BE00F2"/>
    <w:rsid w:val="00BE209A"/>
    <w:rsid w:val="00BE2293"/>
    <w:rsid w:val="00BE24AF"/>
    <w:rsid w:val="00BE37DF"/>
    <w:rsid w:val="00BE37E1"/>
    <w:rsid w:val="00BE4B28"/>
    <w:rsid w:val="00BE4ED0"/>
    <w:rsid w:val="00BE57F6"/>
    <w:rsid w:val="00BE5C64"/>
    <w:rsid w:val="00BE7220"/>
    <w:rsid w:val="00BF021D"/>
    <w:rsid w:val="00BF28B4"/>
    <w:rsid w:val="00BF2D80"/>
    <w:rsid w:val="00BF2DF2"/>
    <w:rsid w:val="00BF32A0"/>
    <w:rsid w:val="00BF34A5"/>
    <w:rsid w:val="00BF3828"/>
    <w:rsid w:val="00BF4F4D"/>
    <w:rsid w:val="00BF5144"/>
    <w:rsid w:val="00BF5AAE"/>
    <w:rsid w:val="00BF5E9D"/>
    <w:rsid w:val="00C00747"/>
    <w:rsid w:val="00C01116"/>
    <w:rsid w:val="00C02336"/>
    <w:rsid w:val="00C04254"/>
    <w:rsid w:val="00C043A7"/>
    <w:rsid w:val="00C044B5"/>
    <w:rsid w:val="00C044F1"/>
    <w:rsid w:val="00C050D3"/>
    <w:rsid w:val="00C06B43"/>
    <w:rsid w:val="00C06D36"/>
    <w:rsid w:val="00C10374"/>
    <w:rsid w:val="00C12840"/>
    <w:rsid w:val="00C15583"/>
    <w:rsid w:val="00C1593D"/>
    <w:rsid w:val="00C172E3"/>
    <w:rsid w:val="00C17AA0"/>
    <w:rsid w:val="00C17AAF"/>
    <w:rsid w:val="00C217D7"/>
    <w:rsid w:val="00C21910"/>
    <w:rsid w:val="00C22372"/>
    <w:rsid w:val="00C22791"/>
    <w:rsid w:val="00C23E46"/>
    <w:rsid w:val="00C244FF"/>
    <w:rsid w:val="00C26228"/>
    <w:rsid w:val="00C26A8B"/>
    <w:rsid w:val="00C26D2C"/>
    <w:rsid w:val="00C27FC3"/>
    <w:rsid w:val="00C33D51"/>
    <w:rsid w:val="00C35BF3"/>
    <w:rsid w:val="00C3670D"/>
    <w:rsid w:val="00C407C6"/>
    <w:rsid w:val="00C41370"/>
    <w:rsid w:val="00C416CA"/>
    <w:rsid w:val="00C41AF0"/>
    <w:rsid w:val="00C41EED"/>
    <w:rsid w:val="00C42114"/>
    <w:rsid w:val="00C4367F"/>
    <w:rsid w:val="00C442B6"/>
    <w:rsid w:val="00C44E49"/>
    <w:rsid w:val="00C459A1"/>
    <w:rsid w:val="00C462AF"/>
    <w:rsid w:val="00C5096F"/>
    <w:rsid w:val="00C5192E"/>
    <w:rsid w:val="00C51C05"/>
    <w:rsid w:val="00C525DC"/>
    <w:rsid w:val="00C52B10"/>
    <w:rsid w:val="00C5302D"/>
    <w:rsid w:val="00C53DB6"/>
    <w:rsid w:val="00C5403F"/>
    <w:rsid w:val="00C55956"/>
    <w:rsid w:val="00C55B2E"/>
    <w:rsid w:val="00C55CDD"/>
    <w:rsid w:val="00C5787F"/>
    <w:rsid w:val="00C57E44"/>
    <w:rsid w:val="00C60E71"/>
    <w:rsid w:val="00C61A6F"/>
    <w:rsid w:val="00C62F4A"/>
    <w:rsid w:val="00C6318D"/>
    <w:rsid w:val="00C634DB"/>
    <w:rsid w:val="00C63883"/>
    <w:rsid w:val="00C63FEC"/>
    <w:rsid w:val="00C656F0"/>
    <w:rsid w:val="00C65F53"/>
    <w:rsid w:val="00C66506"/>
    <w:rsid w:val="00C70729"/>
    <w:rsid w:val="00C70AA7"/>
    <w:rsid w:val="00C72EF0"/>
    <w:rsid w:val="00C7318D"/>
    <w:rsid w:val="00C73AEA"/>
    <w:rsid w:val="00C74CC2"/>
    <w:rsid w:val="00C75ADD"/>
    <w:rsid w:val="00C76487"/>
    <w:rsid w:val="00C77322"/>
    <w:rsid w:val="00C77ACD"/>
    <w:rsid w:val="00C82699"/>
    <w:rsid w:val="00C8298B"/>
    <w:rsid w:val="00C82C3A"/>
    <w:rsid w:val="00C82FC1"/>
    <w:rsid w:val="00C83482"/>
    <w:rsid w:val="00C83726"/>
    <w:rsid w:val="00C85536"/>
    <w:rsid w:val="00C85A27"/>
    <w:rsid w:val="00C902DA"/>
    <w:rsid w:val="00C9240D"/>
    <w:rsid w:val="00C96565"/>
    <w:rsid w:val="00C96C4F"/>
    <w:rsid w:val="00C9766A"/>
    <w:rsid w:val="00C9795B"/>
    <w:rsid w:val="00CA1310"/>
    <w:rsid w:val="00CA216E"/>
    <w:rsid w:val="00CA27D5"/>
    <w:rsid w:val="00CA3336"/>
    <w:rsid w:val="00CA3630"/>
    <w:rsid w:val="00CA3E1E"/>
    <w:rsid w:val="00CA49A2"/>
    <w:rsid w:val="00CA4D80"/>
    <w:rsid w:val="00CA552A"/>
    <w:rsid w:val="00CA55AC"/>
    <w:rsid w:val="00CA5DA4"/>
    <w:rsid w:val="00CA6831"/>
    <w:rsid w:val="00CA683E"/>
    <w:rsid w:val="00CB0179"/>
    <w:rsid w:val="00CB0658"/>
    <w:rsid w:val="00CB078F"/>
    <w:rsid w:val="00CB0C87"/>
    <w:rsid w:val="00CB2278"/>
    <w:rsid w:val="00CB6BD8"/>
    <w:rsid w:val="00CB74C1"/>
    <w:rsid w:val="00CC0031"/>
    <w:rsid w:val="00CC1447"/>
    <w:rsid w:val="00CC1B2D"/>
    <w:rsid w:val="00CC2C4F"/>
    <w:rsid w:val="00CC3FDF"/>
    <w:rsid w:val="00CC60B9"/>
    <w:rsid w:val="00CC6DCF"/>
    <w:rsid w:val="00CD1628"/>
    <w:rsid w:val="00CD2712"/>
    <w:rsid w:val="00CD37F2"/>
    <w:rsid w:val="00CD39C7"/>
    <w:rsid w:val="00CD41EE"/>
    <w:rsid w:val="00CD4482"/>
    <w:rsid w:val="00CD476F"/>
    <w:rsid w:val="00CD664F"/>
    <w:rsid w:val="00CD7C95"/>
    <w:rsid w:val="00CE23FB"/>
    <w:rsid w:val="00CE3D5E"/>
    <w:rsid w:val="00CE4977"/>
    <w:rsid w:val="00CE508F"/>
    <w:rsid w:val="00CE547B"/>
    <w:rsid w:val="00CE7B82"/>
    <w:rsid w:val="00CF32E9"/>
    <w:rsid w:val="00CF345C"/>
    <w:rsid w:val="00CF4E94"/>
    <w:rsid w:val="00CF56C1"/>
    <w:rsid w:val="00CF75BA"/>
    <w:rsid w:val="00D010E3"/>
    <w:rsid w:val="00D01A19"/>
    <w:rsid w:val="00D02E90"/>
    <w:rsid w:val="00D03138"/>
    <w:rsid w:val="00D034E3"/>
    <w:rsid w:val="00D054B7"/>
    <w:rsid w:val="00D05810"/>
    <w:rsid w:val="00D05DAE"/>
    <w:rsid w:val="00D10925"/>
    <w:rsid w:val="00D15ADE"/>
    <w:rsid w:val="00D202AA"/>
    <w:rsid w:val="00D20416"/>
    <w:rsid w:val="00D20CCF"/>
    <w:rsid w:val="00D21942"/>
    <w:rsid w:val="00D21E92"/>
    <w:rsid w:val="00D22B65"/>
    <w:rsid w:val="00D232B4"/>
    <w:rsid w:val="00D23682"/>
    <w:rsid w:val="00D246AD"/>
    <w:rsid w:val="00D277A5"/>
    <w:rsid w:val="00D30C9F"/>
    <w:rsid w:val="00D3196B"/>
    <w:rsid w:val="00D324FC"/>
    <w:rsid w:val="00D35397"/>
    <w:rsid w:val="00D35F36"/>
    <w:rsid w:val="00D378DF"/>
    <w:rsid w:val="00D41322"/>
    <w:rsid w:val="00D42B0C"/>
    <w:rsid w:val="00D455F0"/>
    <w:rsid w:val="00D47AC5"/>
    <w:rsid w:val="00D5113F"/>
    <w:rsid w:val="00D51BBE"/>
    <w:rsid w:val="00D53CE6"/>
    <w:rsid w:val="00D56336"/>
    <w:rsid w:val="00D56BA7"/>
    <w:rsid w:val="00D576E9"/>
    <w:rsid w:val="00D5781D"/>
    <w:rsid w:val="00D617EF"/>
    <w:rsid w:val="00D62C3A"/>
    <w:rsid w:val="00D62ECD"/>
    <w:rsid w:val="00D64B5E"/>
    <w:rsid w:val="00D6534F"/>
    <w:rsid w:val="00D65CF2"/>
    <w:rsid w:val="00D65EA9"/>
    <w:rsid w:val="00D66635"/>
    <w:rsid w:val="00D6672E"/>
    <w:rsid w:val="00D6682C"/>
    <w:rsid w:val="00D66CF8"/>
    <w:rsid w:val="00D66DB5"/>
    <w:rsid w:val="00D67F9B"/>
    <w:rsid w:val="00D7008D"/>
    <w:rsid w:val="00D70829"/>
    <w:rsid w:val="00D7086E"/>
    <w:rsid w:val="00D70C49"/>
    <w:rsid w:val="00D70F3A"/>
    <w:rsid w:val="00D72BEF"/>
    <w:rsid w:val="00D72C62"/>
    <w:rsid w:val="00D73886"/>
    <w:rsid w:val="00D74708"/>
    <w:rsid w:val="00D75BB9"/>
    <w:rsid w:val="00D76AB8"/>
    <w:rsid w:val="00D772B3"/>
    <w:rsid w:val="00D77A52"/>
    <w:rsid w:val="00D81B58"/>
    <w:rsid w:val="00D81C14"/>
    <w:rsid w:val="00D832D5"/>
    <w:rsid w:val="00D83376"/>
    <w:rsid w:val="00D834F6"/>
    <w:rsid w:val="00D84B5D"/>
    <w:rsid w:val="00D853FF"/>
    <w:rsid w:val="00D86E89"/>
    <w:rsid w:val="00D8705F"/>
    <w:rsid w:val="00D87A07"/>
    <w:rsid w:val="00D92A15"/>
    <w:rsid w:val="00D9348E"/>
    <w:rsid w:val="00D957C0"/>
    <w:rsid w:val="00D965FE"/>
    <w:rsid w:val="00DA03FB"/>
    <w:rsid w:val="00DA0546"/>
    <w:rsid w:val="00DA1332"/>
    <w:rsid w:val="00DA336B"/>
    <w:rsid w:val="00DA377B"/>
    <w:rsid w:val="00DA48F6"/>
    <w:rsid w:val="00DA5238"/>
    <w:rsid w:val="00DA53C1"/>
    <w:rsid w:val="00DA5621"/>
    <w:rsid w:val="00DA5B67"/>
    <w:rsid w:val="00DA7BC4"/>
    <w:rsid w:val="00DA7ECD"/>
    <w:rsid w:val="00DB09E4"/>
    <w:rsid w:val="00DB0E50"/>
    <w:rsid w:val="00DB2D17"/>
    <w:rsid w:val="00DB5E4D"/>
    <w:rsid w:val="00DB5F9F"/>
    <w:rsid w:val="00DB6D1F"/>
    <w:rsid w:val="00DB78EA"/>
    <w:rsid w:val="00DC11CB"/>
    <w:rsid w:val="00DC13EA"/>
    <w:rsid w:val="00DC1BB7"/>
    <w:rsid w:val="00DC3ADA"/>
    <w:rsid w:val="00DC4A0B"/>
    <w:rsid w:val="00DC4D66"/>
    <w:rsid w:val="00DC785C"/>
    <w:rsid w:val="00DD026E"/>
    <w:rsid w:val="00DD1715"/>
    <w:rsid w:val="00DD2C4D"/>
    <w:rsid w:val="00DD35FE"/>
    <w:rsid w:val="00DD37BF"/>
    <w:rsid w:val="00DD44AD"/>
    <w:rsid w:val="00DD45F6"/>
    <w:rsid w:val="00DD5596"/>
    <w:rsid w:val="00DD5A7F"/>
    <w:rsid w:val="00DD6B23"/>
    <w:rsid w:val="00DE1E06"/>
    <w:rsid w:val="00DE24BA"/>
    <w:rsid w:val="00DE342A"/>
    <w:rsid w:val="00DE40B7"/>
    <w:rsid w:val="00DE48C3"/>
    <w:rsid w:val="00DE493A"/>
    <w:rsid w:val="00DE5099"/>
    <w:rsid w:val="00DE58AE"/>
    <w:rsid w:val="00DE5D26"/>
    <w:rsid w:val="00DE604F"/>
    <w:rsid w:val="00DE7190"/>
    <w:rsid w:val="00DE7839"/>
    <w:rsid w:val="00DF041B"/>
    <w:rsid w:val="00DF1157"/>
    <w:rsid w:val="00DF178D"/>
    <w:rsid w:val="00DF2E2D"/>
    <w:rsid w:val="00DF38C7"/>
    <w:rsid w:val="00DF412E"/>
    <w:rsid w:val="00DF4392"/>
    <w:rsid w:val="00DF4E1F"/>
    <w:rsid w:val="00DF5F9D"/>
    <w:rsid w:val="00DF69A1"/>
    <w:rsid w:val="00DF6AD8"/>
    <w:rsid w:val="00DF6DE1"/>
    <w:rsid w:val="00DF752E"/>
    <w:rsid w:val="00E0035B"/>
    <w:rsid w:val="00E00956"/>
    <w:rsid w:val="00E011B3"/>
    <w:rsid w:val="00E01A14"/>
    <w:rsid w:val="00E01A51"/>
    <w:rsid w:val="00E02EE2"/>
    <w:rsid w:val="00E04D61"/>
    <w:rsid w:val="00E05109"/>
    <w:rsid w:val="00E05894"/>
    <w:rsid w:val="00E0642C"/>
    <w:rsid w:val="00E06BD0"/>
    <w:rsid w:val="00E109E0"/>
    <w:rsid w:val="00E10CEB"/>
    <w:rsid w:val="00E11F11"/>
    <w:rsid w:val="00E14FA3"/>
    <w:rsid w:val="00E151B6"/>
    <w:rsid w:val="00E153CF"/>
    <w:rsid w:val="00E1543D"/>
    <w:rsid w:val="00E15D9B"/>
    <w:rsid w:val="00E17572"/>
    <w:rsid w:val="00E176F6"/>
    <w:rsid w:val="00E177EE"/>
    <w:rsid w:val="00E204AA"/>
    <w:rsid w:val="00E245F0"/>
    <w:rsid w:val="00E24F0A"/>
    <w:rsid w:val="00E2566D"/>
    <w:rsid w:val="00E25EF0"/>
    <w:rsid w:val="00E26BC5"/>
    <w:rsid w:val="00E27323"/>
    <w:rsid w:val="00E27820"/>
    <w:rsid w:val="00E304B3"/>
    <w:rsid w:val="00E308FB"/>
    <w:rsid w:val="00E3165D"/>
    <w:rsid w:val="00E31996"/>
    <w:rsid w:val="00E329AF"/>
    <w:rsid w:val="00E342B0"/>
    <w:rsid w:val="00E350B7"/>
    <w:rsid w:val="00E356BA"/>
    <w:rsid w:val="00E3598D"/>
    <w:rsid w:val="00E3611C"/>
    <w:rsid w:val="00E37D1E"/>
    <w:rsid w:val="00E40979"/>
    <w:rsid w:val="00E41DAF"/>
    <w:rsid w:val="00E428EA"/>
    <w:rsid w:val="00E435B7"/>
    <w:rsid w:val="00E43A26"/>
    <w:rsid w:val="00E44273"/>
    <w:rsid w:val="00E466D8"/>
    <w:rsid w:val="00E46AF2"/>
    <w:rsid w:val="00E47557"/>
    <w:rsid w:val="00E503F7"/>
    <w:rsid w:val="00E50FE3"/>
    <w:rsid w:val="00E527FA"/>
    <w:rsid w:val="00E5543F"/>
    <w:rsid w:val="00E57C50"/>
    <w:rsid w:val="00E6140D"/>
    <w:rsid w:val="00E61F52"/>
    <w:rsid w:val="00E63BF4"/>
    <w:rsid w:val="00E63F23"/>
    <w:rsid w:val="00E6414B"/>
    <w:rsid w:val="00E64851"/>
    <w:rsid w:val="00E67C51"/>
    <w:rsid w:val="00E67D5A"/>
    <w:rsid w:val="00E70BD3"/>
    <w:rsid w:val="00E71783"/>
    <w:rsid w:val="00E7237E"/>
    <w:rsid w:val="00E72799"/>
    <w:rsid w:val="00E72A5A"/>
    <w:rsid w:val="00E7310D"/>
    <w:rsid w:val="00E735B1"/>
    <w:rsid w:val="00E741ED"/>
    <w:rsid w:val="00E75545"/>
    <w:rsid w:val="00E770AD"/>
    <w:rsid w:val="00E77FD2"/>
    <w:rsid w:val="00E81DCB"/>
    <w:rsid w:val="00E84D98"/>
    <w:rsid w:val="00E85206"/>
    <w:rsid w:val="00E869BA"/>
    <w:rsid w:val="00E90B31"/>
    <w:rsid w:val="00E90BDF"/>
    <w:rsid w:val="00E948EF"/>
    <w:rsid w:val="00E94F36"/>
    <w:rsid w:val="00E95883"/>
    <w:rsid w:val="00E97370"/>
    <w:rsid w:val="00EA132C"/>
    <w:rsid w:val="00EA258A"/>
    <w:rsid w:val="00EA405A"/>
    <w:rsid w:val="00EA447E"/>
    <w:rsid w:val="00EA4DBC"/>
    <w:rsid w:val="00EB037F"/>
    <w:rsid w:val="00EB10EA"/>
    <w:rsid w:val="00EB31AB"/>
    <w:rsid w:val="00EB3389"/>
    <w:rsid w:val="00EB4305"/>
    <w:rsid w:val="00EB4EFE"/>
    <w:rsid w:val="00EB5751"/>
    <w:rsid w:val="00EB5E51"/>
    <w:rsid w:val="00EC175E"/>
    <w:rsid w:val="00EC22D7"/>
    <w:rsid w:val="00EC245A"/>
    <w:rsid w:val="00EC4771"/>
    <w:rsid w:val="00EC4BAE"/>
    <w:rsid w:val="00EC5D37"/>
    <w:rsid w:val="00EC6A3F"/>
    <w:rsid w:val="00EC6B0D"/>
    <w:rsid w:val="00ED186A"/>
    <w:rsid w:val="00ED2391"/>
    <w:rsid w:val="00ED3DA3"/>
    <w:rsid w:val="00ED4663"/>
    <w:rsid w:val="00ED4A05"/>
    <w:rsid w:val="00ED65E3"/>
    <w:rsid w:val="00EE0ABA"/>
    <w:rsid w:val="00EE0AF9"/>
    <w:rsid w:val="00EE1489"/>
    <w:rsid w:val="00EE328C"/>
    <w:rsid w:val="00EE38CF"/>
    <w:rsid w:val="00EE6411"/>
    <w:rsid w:val="00EE66C7"/>
    <w:rsid w:val="00EE6B2F"/>
    <w:rsid w:val="00EF02F8"/>
    <w:rsid w:val="00EF0400"/>
    <w:rsid w:val="00EF16A7"/>
    <w:rsid w:val="00EF1737"/>
    <w:rsid w:val="00EF5C83"/>
    <w:rsid w:val="00EF7D7A"/>
    <w:rsid w:val="00F002B2"/>
    <w:rsid w:val="00F00AC2"/>
    <w:rsid w:val="00F01C27"/>
    <w:rsid w:val="00F0204B"/>
    <w:rsid w:val="00F028C5"/>
    <w:rsid w:val="00F05C43"/>
    <w:rsid w:val="00F05FD6"/>
    <w:rsid w:val="00F0601A"/>
    <w:rsid w:val="00F0724E"/>
    <w:rsid w:val="00F105E2"/>
    <w:rsid w:val="00F113D2"/>
    <w:rsid w:val="00F128A9"/>
    <w:rsid w:val="00F12FA2"/>
    <w:rsid w:val="00F14C67"/>
    <w:rsid w:val="00F15518"/>
    <w:rsid w:val="00F17616"/>
    <w:rsid w:val="00F22E5F"/>
    <w:rsid w:val="00F233B0"/>
    <w:rsid w:val="00F243CF"/>
    <w:rsid w:val="00F24E5E"/>
    <w:rsid w:val="00F25D76"/>
    <w:rsid w:val="00F26DA9"/>
    <w:rsid w:val="00F2769A"/>
    <w:rsid w:val="00F31D64"/>
    <w:rsid w:val="00F32627"/>
    <w:rsid w:val="00F33736"/>
    <w:rsid w:val="00F33B09"/>
    <w:rsid w:val="00F33FAB"/>
    <w:rsid w:val="00F3434E"/>
    <w:rsid w:val="00F35873"/>
    <w:rsid w:val="00F358FC"/>
    <w:rsid w:val="00F36D4A"/>
    <w:rsid w:val="00F376EB"/>
    <w:rsid w:val="00F37FE5"/>
    <w:rsid w:val="00F402D0"/>
    <w:rsid w:val="00F40EC2"/>
    <w:rsid w:val="00F40EFA"/>
    <w:rsid w:val="00F41545"/>
    <w:rsid w:val="00F416D0"/>
    <w:rsid w:val="00F41EEA"/>
    <w:rsid w:val="00F4341D"/>
    <w:rsid w:val="00F4545C"/>
    <w:rsid w:val="00F45E80"/>
    <w:rsid w:val="00F50177"/>
    <w:rsid w:val="00F51132"/>
    <w:rsid w:val="00F51A99"/>
    <w:rsid w:val="00F51B6A"/>
    <w:rsid w:val="00F51CC5"/>
    <w:rsid w:val="00F51F90"/>
    <w:rsid w:val="00F53BFA"/>
    <w:rsid w:val="00F567BF"/>
    <w:rsid w:val="00F56AC0"/>
    <w:rsid w:val="00F56F0E"/>
    <w:rsid w:val="00F56F47"/>
    <w:rsid w:val="00F56F8A"/>
    <w:rsid w:val="00F57335"/>
    <w:rsid w:val="00F578DB"/>
    <w:rsid w:val="00F57A39"/>
    <w:rsid w:val="00F61F72"/>
    <w:rsid w:val="00F62680"/>
    <w:rsid w:val="00F63723"/>
    <w:rsid w:val="00F63BA4"/>
    <w:rsid w:val="00F64101"/>
    <w:rsid w:val="00F65E9E"/>
    <w:rsid w:val="00F66908"/>
    <w:rsid w:val="00F7025D"/>
    <w:rsid w:val="00F72085"/>
    <w:rsid w:val="00F72692"/>
    <w:rsid w:val="00F73FF5"/>
    <w:rsid w:val="00F74EFB"/>
    <w:rsid w:val="00F75577"/>
    <w:rsid w:val="00F76F54"/>
    <w:rsid w:val="00F7712A"/>
    <w:rsid w:val="00F803F8"/>
    <w:rsid w:val="00F80E02"/>
    <w:rsid w:val="00F8144D"/>
    <w:rsid w:val="00F82B0E"/>
    <w:rsid w:val="00F8415B"/>
    <w:rsid w:val="00F84536"/>
    <w:rsid w:val="00F84EF4"/>
    <w:rsid w:val="00F86276"/>
    <w:rsid w:val="00F869F8"/>
    <w:rsid w:val="00F86A62"/>
    <w:rsid w:val="00F86BE3"/>
    <w:rsid w:val="00F90EFD"/>
    <w:rsid w:val="00F917F2"/>
    <w:rsid w:val="00F926D8"/>
    <w:rsid w:val="00F93F4C"/>
    <w:rsid w:val="00F9535B"/>
    <w:rsid w:val="00F95DE8"/>
    <w:rsid w:val="00F962C7"/>
    <w:rsid w:val="00F96400"/>
    <w:rsid w:val="00F96FD2"/>
    <w:rsid w:val="00F9780A"/>
    <w:rsid w:val="00FA0C5C"/>
    <w:rsid w:val="00FA0E40"/>
    <w:rsid w:val="00FA13F8"/>
    <w:rsid w:val="00FA1906"/>
    <w:rsid w:val="00FA2EC0"/>
    <w:rsid w:val="00FA31AD"/>
    <w:rsid w:val="00FA47E1"/>
    <w:rsid w:val="00FA4EA3"/>
    <w:rsid w:val="00FB02BA"/>
    <w:rsid w:val="00FB13E0"/>
    <w:rsid w:val="00FB38D6"/>
    <w:rsid w:val="00FB3915"/>
    <w:rsid w:val="00FB4CA8"/>
    <w:rsid w:val="00FB5EBA"/>
    <w:rsid w:val="00FB6B34"/>
    <w:rsid w:val="00FC07C4"/>
    <w:rsid w:val="00FC1619"/>
    <w:rsid w:val="00FC19E8"/>
    <w:rsid w:val="00FC22CF"/>
    <w:rsid w:val="00FC4541"/>
    <w:rsid w:val="00FC4A6E"/>
    <w:rsid w:val="00FC5866"/>
    <w:rsid w:val="00FC5B63"/>
    <w:rsid w:val="00FC5E53"/>
    <w:rsid w:val="00FC6A01"/>
    <w:rsid w:val="00FD0BDA"/>
    <w:rsid w:val="00FD22DC"/>
    <w:rsid w:val="00FD3EB9"/>
    <w:rsid w:val="00FD449B"/>
    <w:rsid w:val="00FD4975"/>
    <w:rsid w:val="00FD4980"/>
    <w:rsid w:val="00FD4992"/>
    <w:rsid w:val="00FD79C6"/>
    <w:rsid w:val="00FD79FF"/>
    <w:rsid w:val="00FD7D37"/>
    <w:rsid w:val="00FE297B"/>
    <w:rsid w:val="00FE371A"/>
    <w:rsid w:val="00FE3880"/>
    <w:rsid w:val="00FE47DF"/>
    <w:rsid w:val="00FE50A7"/>
    <w:rsid w:val="00FE7555"/>
    <w:rsid w:val="00FE75DD"/>
    <w:rsid w:val="00FF0C5F"/>
    <w:rsid w:val="00FF0CC1"/>
    <w:rsid w:val="00FF1150"/>
    <w:rsid w:val="00FF274C"/>
    <w:rsid w:val="00FF2B67"/>
    <w:rsid w:val="00FF354D"/>
    <w:rsid w:val="00FF3E7B"/>
    <w:rsid w:val="00FF61E2"/>
    <w:rsid w:val="00FF63CA"/>
    <w:rsid w:val="00FF6841"/>
    <w:rsid w:val="00FF6B48"/>
    <w:rsid w:val="00FF756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opacity="0"/>
      <v:stroke on="f"/>
      <o:colormru v:ext="edit" colors="#ddd,#cfcfcf,#cacaca,#66f,blue,#ccd3e1,#002469,#335087"/>
    </o:shapedefaults>
    <o:shapelayout v:ext="edit">
      <o:idmap v:ext="edit" data="1"/>
    </o:shapelayout>
  </w:shapeDefaults>
  <w:decimalSymbol w:val="."/>
  <w:listSeparator w:val=","/>
  <w14:docId w14:val="0F79D208"/>
  <w15:chartTrackingRefBased/>
  <w15:docId w15:val="{AFF1EAE2-C7B2-47F4-9CFA-57290D82D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Default Paragraph Font" w:uiPriority="1"/>
    <w:lsdException w:name="Hyperlink" w:uiPriority="99"/>
    <w:lsdException w:name="Strong" w:uiPriority="22"/>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4A71"/>
    <w:pPr>
      <w:spacing w:after="240" w:line="280" w:lineRule="atLeast"/>
    </w:pPr>
    <w:rPr>
      <w:rFonts w:ascii="Arial" w:hAnsi="Arial"/>
      <w:sz w:val="22"/>
      <w:lang w:val="en-GB" w:eastAsia="en-GB"/>
    </w:rPr>
  </w:style>
  <w:style w:type="paragraph" w:styleId="Heading1">
    <w:name w:val="heading 1"/>
    <w:basedOn w:val="Normal"/>
    <w:next w:val="Normal"/>
    <w:link w:val="Heading1Char"/>
    <w:qFormat/>
    <w:rsid w:val="000C4A71"/>
    <w:pPr>
      <w:spacing w:before="120" w:line="240" w:lineRule="auto"/>
      <w:outlineLvl w:val="0"/>
    </w:pPr>
    <w:rPr>
      <w:b/>
      <w:color w:val="0082AB"/>
      <w:spacing w:val="20"/>
      <w:w w:val="90"/>
      <w:sz w:val="44"/>
      <w:szCs w:val="44"/>
      <w:lang w:val="en-NZ"/>
    </w:rPr>
  </w:style>
  <w:style w:type="paragraph" w:styleId="Heading2">
    <w:name w:val="heading 2"/>
    <w:basedOn w:val="Normal"/>
    <w:next w:val="Normal"/>
    <w:link w:val="Heading2Char"/>
    <w:autoRedefine/>
    <w:qFormat/>
    <w:rsid w:val="00F578DB"/>
    <w:pPr>
      <w:keepNext/>
      <w:spacing w:before="120" w:after="180" w:line="240" w:lineRule="auto"/>
      <w:outlineLvl w:val="1"/>
    </w:pPr>
    <w:rPr>
      <w:b/>
      <w:color w:val="0082AB"/>
      <w:spacing w:val="20"/>
      <w:w w:val="90"/>
      <w:sz w:val="32"/>
      <w:szCs w:val="24"/>
    </w:rPr>
  </w:style>
  <w:style w:type="paragraph" w:styleId="Heading3">
    <w:name w:val="heading 3"/>
    <w:basedOn w:val="Heading2"/>
    <w:next w:val="Normal"/>
    <w:link w:val="Heading3Char"/>
    <w:qFormat/>
    <w:rsid w:val="000C4A71"/>
    <w:pPr>
      <w:spacing w:before="200"/>
      <w:outlineLvl w:val="2"/>
    </w:pPr>
    <w:rPr>
      <w:sz w:val="24"/>
      <w:szCs w:val="22"/>
    </w:rPr>
  </w:style>
  <w:style w:type="paragraph" w:styleId="Heading4">
    <w:name w:val="heading 4"/>
    <w:basedOn w:val="Normal"/>
    <w:next w:val="Normal"/>
    <w:link w:val="Heading4Char"/>
    <w:qFormat/>
    <w:rsid w:val="000C4A71"/>
    <w:pPr>
      <w:spacing w:before="120" w:after="200" w:line="240" w:lineRule="auto"/>
      <w:outlineLvl w:val="3"/>
    </w:pPr>
    <w:rPr>
      <w:b/>
      <w:bCs/>
      <w:color w:val="335087"/>
      <w:sz w:val="20"/>
    </w:rPr>
  </w:style>
  <w:style w:type="paragraph" w:styleId="Heading5">
    <w:name w:val="heading 5"/>
    <w:basedOn w:val="Normal"/>
    <w:next w:val="Normal"/>
    <w:link w:val="Heading5Char"/>
    <w:rsid w:val="000C4A71"/>
    <w:pPr>
      <w:keepNext/>
      <w:widowControl w:val="0"/>
      <w:spacing w:before="80" w:after="120"/>
      <w:outlineLvl w:val="4"/>
    </w:pPr>
    <w:rPr>
      <w:color w:val="000000"/>
      <w:szCs w:val="22"/>
    </w:rPr>
  </w:style>
  <w:style w:type="paragraph" w:styleId="Heading6">
    <w:name w:val="heading 6"/>
    <w:basedOn w:val="Normal"/>
    <w:next w:val="Normal"/>
    <w:link w:val="Heading6Char"/>
    <w:rsid w:val="000C4A71"/>
    <w:pPr>
      <w:spacing w:before="240"/>
      <w:outlineLvl w:val="5"/>
    </w:pPr>
    <w:rPr>
      <w:i/>
      <w:sz w:val="20"/>
    </w:rPr>
  </w:style>
  <w:style w:type="paragraph" w:styleId="Heading7">
    <w:name w:val="heading 7"/>
    <w:basedOn w:val="Normal"/>
    <w:next w:val="Normal"/>
    <w:link w:val="Heading7Char"/>
    <w:rsid w:val="000C4A71"/>
    <w:pPr>
      <w:spacing w:before="240"/>
      <w:outlineLvl w:val="6"/>
    </w:pPr>
    <w:rPr>
      <w:sz w:val="20"/>
    </w:rPr>
  </w:style>
  <w:style w:type="paragraph" w:styleId="Heading8">
    <w:name w:val="heading 8"/>
    <w:basedOn w:val="Normal"/>
    <w:next w:val="Normal"/>
    <w:link w:val="Heading8Char"/>
    <w:rsid w:val="000C4A71"/>
    <w:pPr>
      <w:spacing w:before="80" w:after="80"/>
      <w:outlineLvl w:val="7"/>
    </w:pPr>
    <w:rPr>
      <w:sz w:val="20"/>
    </w:rPr>
  </w:style>
  <w:style w:type="paragraph" w:styleId="Heading9">
    <w:name w:val="heading 9"/>
    <w:next w:val="Normal"/>
    <w:link w:val="Heading9Char"/>
    <w:rsid w:val="000C4A71"/>
    <w:pPr>
      <w:keepNext/>
      <w:spacing w:before="160" w:line="260" w:lineRule="exact"/>
      <w:outlineLvl w:val="8"/>
    </w:pPr>
    <w:rPr>
      <w:rFonts w:ascii="Arial" w:hAnsi="Arial"/>
      <w:b/>
      <w:i/>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C4A71"/>
    <w:rPr>
      <w:rFonts w:ascii="Arial" w:hAnsi="Arial"/>
      <w:b/>
      <w:color w:val="0082AB"/>
      <w:spacing w:val="20"/>
      <w:w w:val="90"/>
      <w:sz w:val="44"/>
      <w:szCs w:val="44"/>
      <w:lang w:eastAsia="en-GB"/>
    </w:rPr>
  </w:style>
  <w:style w:type="character" w:customStyle="1" w:styleId="Heading2Char">
    <w:name w:val="Heading 2 Char"/>
    <w:link w:val="Heading2"/>
    <w:rsid w:val="00F578DB"/>
    <w:rPr>
      <w:rFonts w:ascii="Arial" w:hAnsi="Arial"/>
      <w:b/>
      <w:color w:val="0082AB"/>
      <w:spacing w:val="20"/>
      <w:w w:val="90"/>
      <w:sz w:val="32"/>
      <w:szCs w:val="24"/>
      <w:lang w:val="en-GB" w:eastAsia="en-GB"/>
    </w:rPr>
  </w:style>
  <w:style w:type="paragraph" w:styleId="Header">
    <w:name w:val="header"/>
    <w:basedOn w:val="Normal"/>
    <w:link w:val="HeaderChar"/>
    <w:rsid w:val="000C4A71"/>
    <w:pPr>
      <w:tabs>
        <w:tab w:val="center" w:pos="4153"/>
        <w:tab w:val="right" w:pos="8306"/>
      </w:tabs>
    </w:pPr>
  </w:style>
  <w:style w:type="paragraph" w:styleId="Footer">
    <w:name w:val="footer"/>
    <w:basedOn w:val="Normal"/>
    <w:link w:val="FooterChar"/>
    <w:autoRedefine/>
    <w:rsid w:val="000C4A71"/>
    <w:pPr>
      <w:spacing w:after="0" w:line="240" w:lineRule="auto"/>
      <w:ind w:left="-1985"/>
      <w:jc w:val="right"/>
    </w:pPr>
    <w:rPr>
      <w:noProof/>
      <w:color w:val="0082AB"/>
      <w:spacing w:val="6"/>
      <w:sz w:val="16"/>
      <w:szCs w:val="16"/>
    </w:rPr>
  </w:style>
  <w:style w:type="character" w:customStyle="1" w:styleId="FooterChar">
    <w:name w:val="Footer Char"/>
    <w:link w:val="Footer"/>
    <w:rsid w:val="000C4A71"/>
    <w:rPr>
      <w:rFonts w:ascii="Arial" w:hAnsi="Arial"/>
      <w:noProof/>
      <w:color w:val="0082AB"/>
      <w:spacing w:val="6"/>
      <w:sz w:val="16"/>
      <w:szCs w:val="16"/>
      <w:lang w:val="en-GB" w:eastAsia="en-GB"/>
    </w:rPr>
  </w:style>
  <w:style w:type="character" w:styleId="Hyperlink">
    <w:name w:val="Hyperlink"/>
    <w:uiPriority w:val="99"/>
    <w:rsid w:val="000C4A71"/>
    <w:rPr>
      <w:color w:val="0082AB"/>
      <w:u w:val="single"/>
    </w:rPr>
  </w:style>
  <w:style w:type="paragraph" w:styleId="BalloonText">
    <w:name w:val="Balloon Text"/>
    <w:basedOn w:val="Normal"/>
    <w:link w:val="BalloonTextChar"/>
    <w:semiHidden/>
    <w:rsid w:val="000C4A71"/>
    <w:rPr>
      <w:rFonts w:ascii="Tahoma" w:hAnsi="Tahoma" w:cs="Tahoma"/>
      <w:sz w:val="16"/>
      <w:szCs w:val="16"/>
    </w:rPr>
  </w:style>
  <w:style w:type="paragraph" w:styleId="Caption">
    <w:name w:val="caption"/>
    <w:basedOn w:val="Normal"/>
    <w:next w:val="Normal"/>
    <w:rsid w:val="000C4A71"/>
    <w:rPr>
      <w:b/>
      <w:bCs/>
      <w:sz w:val="20"/>
    </w:rPr>
  </w:style>
  <w:style w:type="paragraph" w:styleId="FootnoteText">
    <w:name w:val="footnote text"/>
    <w:basedOn w:val="Normal"/>
    <w:link w:val="FootnoteTextChar"/>
    <w:rsid w:val="000C4A71"/>
    <w:pPr>
      <w:tabs>
        <w:tab w:val="left" w:pos="425"/>
      </w:tabs>
      <w:spacing w:after="60" w:line="240" w:lineRule="auto"/>
      <w:ind w:left="425" w:hanging="425"/>
    </w:pPr>
    <w:rPr>
      <w:sz w:val="18"/>
    </w:rPr>
  </w:style>
  <w:style w:type="character" w:customStyle="1" w:styleId="FootnoteTextChar">
    <w:name w:val="Footnote Text Char"/>
    <w:link w:val="FootnoteText"/>
    <w:rsid w:val="000C4A71"/>
    <w:rPr>
      <w:rFonts w:ascii="Arial" w:hAnsi="Arial"/>
      <w:sz w:val="18"/>
      <w:lang w:val="en-GB" w:eastAsia="en-GB"/>
    </w:rPr>
  </w:style>
  <w:style w:type="character" w:styleId="FootnoteReference">
    <w:name w:val="footnote reference"/>
    <w:semiHidden/>
    <w:rsid w:val="000C4A71"/>
    <w:rPr>
      <w:rFonts w:ascii="Arial" w:hAnsi="Arial"/>
      <w:color w:val="auto"/>
      <w:position w:val="8"/>
      <w:sz w:val="16"/>
    </w:rPr>
  </w:style>
  <w:style w:type="paragraph" w:styleId="TOC1">
    <w:name w:val="toc 1"/>
    <w:basedOn w:val="Normal"/>
    <w:next w:val="Normal"/>
    <w:uiPriority w:val="39"/>
    <w:rsid w:val="000C4A71"/>
    <w:pPr>
      <w:tabs>
        <w:tab w:val="right" w:leader="dot" w:pos="9214"/>
      </w:tabs>
      <w:spacing w:before="240" w:after="120"/>
      <w:ind w:left="284" w:right="284"/>
    </w:pPr>
    <w:rPr>
      <w:bCs/>
      <w:noProof/>
      <w:sz w:val="24"/>
      <w:szCs w:val="44"/>
    </w:rPr>
  </w:style>
  <w:style w:type="paragraph" w:styleId="TOC2">
    <w:name w:val="toc 2"/>
    <w:basedOn w:val="Normal"/>
    <w:next w:val="Normal"/>
    <w:uiPriority w:val="39"/>
    <w:rsid w:val="000C4A71"/>
    <w:pPr>
      <w:tabs>
        <w:tab w:val="right" w:leader="dot" w:pos="9214"/>
      </w:tabs>
      <w:spacing w:before="100" w:after="100"/>
      <w:ind w:left="709" w:right="284"/>
    </w:pPr>
    <w:rPr>
      <w:noProof/>
      <w:sz w:val="24"/>
    </w:rPr>
  </w:style>
  <w:style w:type="paragraph" w:styleId="TOC3">
    <w:name w:val="toc 3"/>
    <w:basedOn w:val="Normal"/>
    <w:next w:val="Normal"/>
    <w:rsid w:val="000C4A71"/>
    <w:pPr>
      <w:tabs>
        <w:tab w:val="left" w:leader="dot" w:pos="8646"/>
        <w:tab w:val="right" w:pos="9072"/>
      </w:tabs>
      <w:ind w:left="1418" w:right="850"/>
    </w:pPr>
  </w:style>
  <w:style w:type="paragraph" w:styleId="CommentText">
    <w:name w:val="annotation text"/>
    <w:basedOn w:val="Normal"/>
    <w:link w:val="CommentTextChar"/>
    <w:semiHidden/>
    <w:rsid w:val="000C4A71"/>
    <w:rPr>
      <w:sz w:val="20"/>
    </w:rPr>
  </w:style>
  <w:style w:type="character" w:customStyle="1" w:styleId="CommentTextChar">
    <w:name w:val="Comment Text Char"/>
    <w:link w:val="CommentText"/>
    <w:semiHidden/>
    <w:rsid w:val="000C4A71"/>
    <w:rPr>
      <w:rFonts w:ascii="Arial" w:hAnsi="Arial"/>
      <w:lang w:val="en-GB" w:eastAsia="en-GB"/>
    </w:rPr>
  </w:style>
  <w:style w:type="paragraph" w:styleId="CommentSubject">
    <w:name w:val="annotation subject"/>
    <w:basedOn w:val="CommentText"/>
    <w:next w:val="CommentText"/>
    <w:link w:val="CommentSubjectChar"/>
    <w:semiHidden/>
    <w:rsid w:val="000C4A71"/>
    <w:rPr>
      <w:b/>
      <w:bCs/>
    </w:rPr>
  </w:style>
  <w:style w:type="paragraph" w:styleId="DocumentMap">
    <w:name w:val="Document Map"/>
    <w:basedOn w:val="Normal"/>
    <w:link w:val="DocumentMapChar"/>
    <w:semiHidden/>
    <w:rsid w:val="000C4A71"/>
    <w:pPr>
      <w:shd w:val="clear" w:color="auto" w:fill="000080"/>
    </w:pPr>
    <w:rPr>
      <w:rFonts w:ascii="Tahoma" w:hAnsi="Tahoma" w:cs="Tahoma"/>
      <w:sz w:val="20"/>
    </w:rPr>
  </w:style>
  <w:style w:type="paragraph" w:customStyle="1" w:styleId="Boxtext">
    <w:name w:val="Box text"/>
    <w:basedOn w:val="Normal"/>
    <w:rsid w:val="000C4A71"/>
    <w:pPr>
      <w:pBdr>
        <w:top w:val="single" w:sz="4" w:space="10" w:color="EBF5F8"/>
        <w:left w:val="single" w:sz="4" w:space="4" w:color="EBF5F8"/>
        <w:bottom w:val="single" w:sz="4" w:space="10" w:color="EBF5F8"/>
        <w:right w:val="single" w:sz="4" w:space="4" w:color="EBF5F8"/>
      </w:pBdr>
      <w:shd w:val="clear" w:color="auto" w:fill="EBF5F8"/>
      <w:spacing w:after="80"/>
      <w:ind w:left="142" w:right="142"/>
    </w:pPr>
    <w:rPr>
      <w:color w:val="000000"/>
      <w:szCs w:val="22"/>
    </w:rPr>
  </w:style>
  <w:style w:type="paragraph" w:customStyle="1" w:styleId="Boxbullet">
    <w:name w:val="Box bullet"/>
    <w:basedOn w:val="Boxtext"/>
    <w:rsid w:val="000C4A71"/>
    <w:pPr>
      <w:numPr>
        <w:numId w:val="3"/>
      </w:numPr>
      <w:tabs>
        <w:tab w:val="clear" w:pos="644"/>
        <w:tab w:val="num" w:pos="426"/>
      </w:tabs>
      <w:spacing w:before="80"/>
    </w:pPr>
  </w:style>
  <w:style w:type="paragraph" w:customStyle="1" w:styleId="Boxheading">
    <w:name w:val="Box heading"/>
    <w:basedOn w:val="Normal"/>
    <w:next w:val="Boxtext"/>
    <w:autoRedefine/>
    <w:rsid w:val="000C4A71"/>
    <w:pPr>
      <w:spacing w:before="180" w:after="60" w:line="240" w:lineRule="auto"/>
      <w:ind w:left="284" w:right="284"/>
    </w:pPr>
    <w:rPr>
      <w:rFonts w:ascii="Arial Narrow" w:hAnsi="Arial Narrow"/>
      <w:b/>
      <w:bCs/>
      <w:color w:val="335087"/>
      <w:spacing w:val="10"/>
      <w:szCs w:val="22"/>
    </w:rPr>
  </w:style>
  <w:style w:type="paragraph" w:customStyle="1" w:styleId="Bullet-list">
    <w:name w:val="Bullet-list"/>
    <w:qFormat/>
    <w:rsid w:val="000C4A71"/>
    <w:pPr>
      <w:numPr>
        <w:numId w:val="5"/>
      </w:numPr>
      <w:spacing w:after="180" w:line="280" w:lineRule="exact"/>
    </w:pPr>
    <w:rPr>
      <w:rFonts w:ascii="Arial" w:hAnsi="Arial"/>
      <w:sz w:val="22"/>
      <w:lang w:val="en-AU" w:eastAsia="en-US"/>
    </w:rPr>
  </w:style>
  <w:style w:type="paragraph" w:customStyle="1" w:styleId="EvenFooter">
    <w:name w:val="Even Footer"/>
    <w:basedOn w:val="Footer"/>
    <w:rsid w:val="000C4A71"/>
    <w:pPr>
      <w:jc w:val="left"/>
    </w:pPr>
  </w:style>
  <w:style w:type="table" w:styleId="TableGrid">
    <w:name w:val="Table Grid"/>
    <w:basedOn w:val="TableNormal"/>
    <w:rsid w:val="000C4A7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pacer">
    <w:name w:val="table_spacer"/>
    <w:basedOn w:val="Normal"/>
    <w:next w:val="Normal"/>
    <w:rsid w:val="000C4A71"/>
    <w:pPr>
      <w:keepNext/>
      <w:spacing w:after="0" w:line="240" w:lineRule="auto"/>
    </w:pPr>
    <w:rPr>
      <w:sz w:val="20"/>
    </w:rPr>
  </w:style>
  <w:style w:type="paragraph" w:customStyle="1" w:styleId="TableText">
    <w:name w:val="Table Text"/>
    <w:basedOn w:val="Normal"/>
    <w:link w:val="TableTextChar"/>
    <w:rsid w:val="000C4A71"/>
    <w:pPr>
      <w:autoSpaceDE w:val="0"/>
      <w:autoSpaceDN w:val="0"/>
      <w:adjustRightInd w:val="0"/>
      <w:spacing w:before="60" w:after="60" w:line="240" w:lineRule="atLeast"/>
    </w:pPr>
    <w:rPr>
      <w:rFonts w:cs="GillSans"/>
      <w:sz w:val="20"/>
      <w:szCs w:val="22"/>
      <w:lang w:eastAsia="en-AU"/>
    </w:rPr>
  </w:style>
  <w:style w:type="character" w:customStyle="1" w:styleId="TableTextChar">
    <w:name w:val="Table Text Char"/>
    <w:link w:val="TableText"/>
    <w:rsid w:val="00E25EF0"/>
    <w:rPr>
      <w:rFonts w:ascii="Arial" w:hAnsi="Arial" w:cs="GillSans"/>
      <w:szCs w:val="22"/>
      <w:lang w:val="en-GB" w:eastAsia="en-AU"/>
    </w:rPr>
  </w:style>
  <w:style w:type="paragraph" w:customStyle="1" w:styleId="Evenfooter-wide">
    <w:name w:val="Even footer-wide"/>
    <w:basedOn w:val="EvenFooter"/>
    <w:rsid w:val="000C4A71"/>
  </w:style>
  <w:style w:type="character" w:styleId="CommentReference">
    <w:name w:val="annotation reference"/>
    <w:semiHidden/>
    <w:rsid w:val="000C4A71"/>
    <w:rPr>
      <w:sz w:val="16"/>
      <w:szCs w:val="16"/>
    </w:rPr>
  </w:style>
  <w:style w:type="character" w:styleId="FollowedHyperlink">
    <w:name w:val="FollowedHyperlink"/>
    <w:rsid w:val="000C4A71"/>
    <w:rPr>
      <w:color w:val="800080"/>
      <w:u w:val="single"/>
    </w:rPr>
  </w:style>
  <w:style w:type="paragraph" w:styleId="List">
    <w:name w:val="List"/>
    <w:basedOn w:val="Normal"/>
    <w:rsid w:val="000C4A71"/>
    <w:pPr>
      <w:ind w:left="283" w:hanging="283"/>
    </w:pPr>
  </w:style>
  <w:style w:type="paragraph" w:customStyle="1" w:styleId="Boxindent">
    <w:name w:val="Box indent"/>
    <w:basedOn w:val="Boxtext"/>
    <w:rsid w:val="000C4A71"/>
    <w:pPr>
      <w:tabs>
        <w:tab w:val="left" w:pos="426"/>
      </w:tabs>
      <w:ind w:left="426" w:hanging="284"/>
    </w:pPr>
  </w:style>
  <w:style w:type="paragraph" w:styleId="Title">
    <w:name w:val="Title"/>
    <w:basedOn w:val="Normal"/>
    <w:link w:val="TitleChar"/>
    <w:rsid w:val="000C4A71"/>
    <w:pPr>
      <w:widowControl w:val="0"/>
      <w:autoSpaceDE w:val="0"/>
      <w:autoSpaceDN w:val="0"/>
      <w:adjustRightInd w:val="0"/>
      <w:spacing w:before="1560" w:after="720" w:line="240" w:lineRule="atLeast"/>
    </w:pPr>
    <w:rPr>
      <w:rFonts w:cs="Arial"/>
      <w:color w:val="002469"/>
      <w:spacing w:val="40"/>
      <w:w w:val="90"/>
      <w:sz w:val="48"/>
      <w:szCs w:val="48"/>
    </w:rPr>
  </w:style>
  <w:style w:type="paragraph" w:customStyle="1" w:styleId="Author">
    <w:name w:val="Author"/>
    <w:basedOn w:val="Normal"/>
    <w:semiHidden/>
    <w:rsid w:val="000C4A71"/>
    <w:pPr>
      <w:spacing w:before="240" w:after="1200"/>
      <w:ind w:left="-181"/>
      <w:jc w:val="right"/>
    </w:pPr>
    <w:rPr>
      <w:rFonts w:cs="Arial"/>
      <w:i/>
      <w:sz w:val="40"/>
      <w:szCs w:val="22"/>
    </w:rPr>
  </w:style>
  <w:style w:type="paragraph" w:customStyle="1" w:styleId="spacer">
    <w:name w:val="spacer"/>
    <w:basedOn w:val="Normal"/>
    <w:qFormat/>
    <w:rsid w:val="000C4A71"/>
    <w:pPr>
      <w:spacing w:after="0" w:line="240" w:lineRule="auto"/>
    </w:pPr>
    <w:rPr>
      <w:sz w:val="16"/>
      <w:szCs w:val="22"/>
      <w:lang w:eastAsia="en-AU"/>
    </w:rPr>
  </w:style>
  <w:style w:type="paragraph" w:styleId="Subtitle">
    <w:name w:val="Subtitle"/>
    <w:basedOn w:val="Title"/>
    <w:next w:val="Normal"/>
    <w:link w:val="SubtitleChar"/>
    <w:rsid w:val="000C4A71"/>
    <w:pPr>
      <w:spacing w:before="360" w:line="600" w:lineRule="atLeast"/>
    </w:pPr>
    <w:rPr>
      <w:sz w:val="36"/>
      <w:szCs w:val="36"/>
    </w:rPr>
  </w:style>
  <w:style w:type="character" w:customStyle="1" w:styleId="SubtitleChar">
    <w:name w:val="Subtitle Char"/>
    <w:link w:val="Subtitle"/>
    <w:rsid w:val="000C4A71"/>
    <w:rPr>
      <w:rFonts w:ascii="Arial" w:hAnsi="Arial" w:cs="Arial"/>
      <w:color w:val="002469"/>
      <w:spacing w:val="40"/>
      <w:w w:val="90"/>
      <w:sz w:val="36"/>
      <w:szCs w:val="36"/>
      <w:lang w:val="en-GB" w:eastAsia="en-GB"/>
    </w:rPr>
  </w:style>
  <w:style w:type="paragraph" w:customStyle="1" w:styleId="TableBullet1">
    <w:name w:val="Table Bullet 1"/>
    <w:basedOn w:val="TableText"/>
    <w:rsid w:val="00E25EF0"/>
    <w:pPr>
      <w:numPr>
        <w:numId w:val="1"/>
      </w:numPr>
      <w:autoSpaceDE/>
      <w:autoSpaceDN/>
      <w:adjustRightInd/>
      <w:spacing w:before="30" w:after="30" w:line="240" w:lineRule="auto"/>
    </w:pPr>
    <w:rPr>
      <w:rFonts w:ascii="Garamond" w:hAnsi="Garamond" w:cs="Times New Roman"/>
      <w:sz w:val="22"/>
      <w:szCs w:val="24"/>
      <w:lang w:val="en-NZ" w:eastAsia="en-NZ"/>
    </w:rPr>
  </w:style>
  <w:style w:type="paragraph" w:customStyle="1" w:styleId="TableBullet2">
    <w:name w:val="Table Bullet 2"/>
    <w:basedOn w:val="TableText"/>
    <w:rsid w:val="00E25EF0"/>
    <w:pPr>
      <w:numPr>
        <w:ilvl w:val="1"/>
        <w:numId w:val="1"/>
      </w:numPr>
      <w:autoSpaceDE/>
      <w:autoSpaceDN/>
      <w:adjustRightInd/>
      <w:spacing w:before="30" w:after="30" w:line="240" w:lineRule="auto"/>
    </w:pPr>
    <w:rPr>
      <w:rFonts w:ascii="Garamond" w:hAnsi="Garamond" w:cs="Times New Roman"/>
      <w:sz w:val="22"/>
      <w:szCs w:val="24"/>
      <w:lang w:val="en-NZ" w:eastAsia="en-NZ"/>
    </w:rPr>
  </w:style>
  <w:style w:type="paragraph" w:customStyle="1" w:styleId="Intro">
    <w:name w:val="Intro"/>
    <w:basedOn w:val="Normal"/>
    <w:qFormat/>
    <w:rsid w:val="008D5CD9"/>
    <w:pPr>
      <w:spacing w:line="360" w:lineRule="atLeast"/>
    </w:pPr>
    <w:rPr>
      <w:color w:val="335087"/>
      <w:sz w:val="24"/>
    </w:rPr>
  </w:style>
  <w:style w:type="paragraph" w:styleId="ListParagraph">
    <w:name w:val="List Paragraph"/>
    <w:basedOn w:val="Normal"/>
    <w:link w:val="ListParagraphChar"/>
    <w:uiPriority w:val="34"/>
    <w:qFormat/>
    <w:rsid w:val="000C4A71"/>
    <w:pPr>
      <w:spacing w:after="0"/>
      <w:ind w:left="720"/>
      <w:contextualSpacing/>
    </w:pPr>
    <w:rPr>
      <w:rFonts w:cs="Arial"/>
    </w:rPr>
  </w:style>
  <w:style w:type="paragraph" w:customStyle="1" w:styleId="Text">
    <w:name w:val="Text"/>
    <w:basedOn w:val="Normal"/>
    <w:link w:val="TextChar"/>
    <w:rsid w:val="008D5CD9"/>
    <w:pPr>
      <w:spacing w:before="120" w:after="120" w:line="300" w:lineRule="exact"/>
      <w:jc w:val="both"/>
    </w:pPr>
    <w:rPr>
      <w:lang w:eastAsia="en-US"/>
    </w:rPr>
  </w:style>
  <w:style w:type="character" w:customStyle="1" w:styleId="TextChar">
    <w:name w:val="Text Char"/>
    <w:link w:val="Text"/>
    <w:rsid w:val="008D5CD9"/>
    <w:rPr>
      <w:rFonts w:ascii="Arial" w:hAnsi="Arial"/>
      <w:sz w:val="22"/>
      <w:lang w:val="en-GB" w:eastAsia="en-US"/>
    </w:rPr>
  </w:style>
  <w:style w:type="paragraph" w:customStyle="1" w:styleId="TableBullet">
    <w:name w:val="Table Bullet"/>
    <w:basedOn w:val="Normal"/>
    <w:rsid w:val="001F492F"/>
    <w:pPr>
      <w:numPr>
        <w:ilvl w:val="1"/>
        <w:numId w:val="2"/>
      </w:numPr>
    </w:pPr>
  </w:style>
  <w:style w:type="paragraph" w:styleId="NoSpacing">
    <w:name w:val="No Spacing"/>
    <w:uiPriority w:val="1"/>
    <w:qFormat/>
    <w:rsid w:val="00447DD2"/>
    <w:rPr>
      <w:rFonts w:ascii="Calibri" w:hAnsi="Calibri"/>
      <w:sz w:val="22"/>
      <w:szCs w:val="22"/>
      <w:lang w:val="en-US" w:eastAsia="en-US" w:bidi="en-US"/>
    </w:rPr>
  </w:style>
  <w:style w:type="paragraph" w:styleId="Revision">
    <w:name w:val="Revision"/>
    <w:hidden/>
    <w:uiPriority w:val="99"/>
    <w:semiHidden/>
    <w:rsid w:val="009215E1"/>
    <w:rPr>
      <w:rFonts w:ascii="Arial" w:hAnsi="Arial"/>
      <w:sz w:val="22"/>
      <w:lang w:val="en-GB" w:eastAsia="en-GB"/>
    </w:rPr>
  </w:style>
  <w:style w:type="paragraph" w:customStyle="1" w:styleId="Default">
    <w:name w:val="Default"/>
    <w:rsid w:val="00D62C3A"/>
    <w:pPr>
      <w:autoSpaceDE w:val="0"/>
      <w:autoSpaceDN w:val="0"/>
      <w:adjustRightInd w:val="0"/>
    </w:pPr>
    <w:rPr>
      <w:rFonts w:ascii="Tahoma" w:hAnsi="Tahoma" w:cs="Tahoma"/>
      <w:color w:val="000000"/>
      <w:sz w:val="24"/>
      <w:szCs w:val="24"/>
    </w:rPr>
  </w:style>
  <w:style w:type="character" w:customStyle="1" w:styleId="BalloonTextChar">
    <w:name w:val="Balloon Text Char"/>
    <w:link w:val="BalloonText"/>
    <w:semiHidden/>
    <w:rsid w:val="000C4A71"/>
    <w:rPr>
      <w:rFonts w:ascii="Tahoma" w:hAnsi="Tahoma" w:cs="Tahoma"/>
      <w:sz w:val="16"/>
      <w:szCs w:val="16"/>
      <w:lang w:val="en-GB" w:eastAsia="en-GB"/>
    </w:rPr>
  </w:style>
  <w:style w:type="paragraph" w:customStyle="1" w:styleId="Bulletlistlevel2">
    <w:name w:val="Bullet list level 2"/>
    <w:basedOn w:val="Normal"/>
    <w:qFormat/>
    <w:rsid w:val="000C4A71"/>
    <w:pPr>
      <w:numPr>
        <w:ilvl w:val="1"/>
        <w:numId w:val="4"/>
      </w:numPr>
      <w:tabs>
        <w:tab w:val="clear" w:pos="1440"/>
      </w:tabs>
      <w:spacing w:after="180" w:line="280" w:lineRule="exact"/>
      <w:ind w:left="924" w:hanging="357"/>
    </w:pPr>
    <w:rPr>
      <w:rFonts w:cs="Arial"/>
      <w:lang w:eastAsia="en-AU"/>
    </w:rPr>
  </w:style>
  <w:style w:type="character" w:customStyle="1" w:styleId="CommentSubjectChar">
    <w:name w:val="Comment Subject Char"/>
    <w:link w:val="CommentSubject"/>
    <w:semiHidden/>
    <w:rsid w:val="000C4A71"/>
    <w:rPr>
      <w:rFonts w:ascii="Arial" w:hAnsi="Arial"/>
      <w:b/>
      <w:bCs/>
      <w:lang w:val="en-GB" w:eastAsia="en-GB"/>
    </w:rPr>
  </w:style>
  <w:style w:type="character" w:customStyle="1" w:styleId="DocumentMapChar">
    <w:name w:val="Document Map Char"/>
    <w:link w:val="DocumentMap"/>
    <w:semiHidden/>
    <w:rsid w:val="000C4A71"/>
    <w:rPr>
      <w:rFonts w:ascii="Tahoma" w:hAnsi="Tahoma" w:cs="Tahoma"/>
      <w:shd w:val="clear" w:color="auto" w:fill="000080"/>
      <w:lang w:val="en-GB" w:eastAsia="en-GB"/>
    </w:rPr>
  </w:style>
  <w:style w:type="character" w:customStyle="1" w:styleId="HeaderChar">
    <w:name w:val="Header Char"/>
    <w:link w:val="Header"/>
    <w:rsid w:val="000C4A71"/>
    <w:rPr>
      <w:rFonts w:ascii="Arial" w:hAnsi="Arial"/>
      <w:sz w:val="22"/>
      <w:lang w:val="en-GB" w:eastAsia="en-GB"/>
    </w:rPr>
  </w:style>
  <w:style w:type="character" w:customStyle="1" w:styleId="Heading3Char">
    <w:name w:val="Heading 3 Char"/>
    <w:link w:val="Heading3"/>
    <w:rsid w:val="000C4A71"/>
    <w:rPr>
      <w:rFonts w:ascii="Arial" w:hAnsi="Arial"/>
      <w:b/>
      <w:color w:val="0082AB"/>
      <w:spacing w:val="20"/>
      <w:w w:val="90"/>
      <w:sz w:val="24"/>
      <w:szCs w:val="22"/>
      <w:lang w:val="en-GB" w:eastAsia="en-GB"/>
    </w:rPr>
  </w:style>
  <w:style w:type="character" w:customStyle="1" w:styleId="Heading4Char">
    <w:name w:val="Heading 4 Char"/>
    <w:link w:val="Heading4"/>
    <w:rsid w:val="000C4A71"/>
    <w:rPr>
      <w:rFonts w:ascii="Arial" w:hAnsi="Arial"/>
      <w:b/>
      <w:bCs/>
      <w:color w:val="335087"/>
      <w:lang w:val="en-GB" w:eastAsia="en-GB"/>
    </w:rPr>
  </w:style>
  <w:style w:type="character" w:customStyle="1" w:styleId="Heading5Char">
    <w:name w:val="Heading 5 Char"/>
    <w:link w:val="Heading5"/>
    <w:rsid w:val="000C4A71"/>
    <w:rPr>
      <w:rFonts w:ascii="Arial" w:hAnsi="Arial"/>
      <w:color w:val="000000"/>
      <w:sz w:val="22"/>
      <w:szCs w:val="22"/>
      <w:lang w:val="en-GB" w:eastAsia="en-GB"/>
    </w:rPr>
  </w:style>
  <w:style w:type="character" w:customStyle="1" w:styleId="Heading6Char">
    <w:name w:val="Heading 6 Char"/>
    <w:link w:val="Heading6"/>
    <w:rsid w:val="000C4A71"/>
    <w:rPr>
      <w:rFonts w:ascii="Arial" w:hAnsi="Arial"/>
      <w:i/>
      <w:lang w:val="en-GB" w:eastAsia="en-GB"/>
    </w:rPr>
  </w:style>
  <w:style w:type="character" w:customStyle="1" w:styleId="Heading7Char">
    <w:name w:val="Heading 7 Char"/>
    <w:link w:val="Heading7"/>
    <w:rsid w:val="000C4A71"/>
    <w:rPr>
      <w:rFonts w:ascii="Arial" w:hAnsi="Arial"/>
      <w:lang w:val="en-GB" w:eastAsia="en-GB"/>
    </w:rPr>
  </w:style>
  <w:style w:type="character" w:customStyle="1" w:styleId="Heading8Char">
    <w:name w:val="Heading 8 Char"/>
    <w:link w:val="Heading8"/>
    <w:rsid w:val="000C4A71"/>
    <w:rPr>
      <w:rFonts w:ascii="Arial" w:hAnsi="Arial"/>
      <w:lang w:val="en-GB" w:eastAsia="en-GB"/>
    </w:rPr>
  </w:style>
  <w:style w:type="character" w:customStyle="1" w:styleId="Heading9Char">
    <w:name w:val="Heading 9 Char"/>
    <w:link w:val="Heading9"/>
    <w:rsid w:val="000C4A71"/>
    <w:rPr>
      <w:rFonts w:ascii="Arial" w:hAnsi="Arial"/>
      <w:b/>
      <w:i/>
      <w:lang w:val="en-AU" w:eastAsia="en-US"/>
    </w:rPr>
  </w:style>
  <w:style w:type="character" w:customStyle="1" w:styleId="ListParagraphChar">
    <w:name w:val="List Paragraph Char"/>
    <w:link w:val="ListParagraph"/>
    <w:uiPriority w:val="34"/>
    <w:locked/>
    <w:rsid w:val="000C4A71"/>
    <w:rPr>
      <w:rFonts w:ascii="Arial" w:hAnsi="Arial" w:cs="Arial"/>
      <w:sz w:val="22"/>
      <w:lang w:val="en-GB" w:eastAsia="en-GB"/>
    </w:rPr>
  </w:style>
  <w:style w:type="character" w:customStyle="1" w:styleId="TitleChar">
    <w:name w:val="Title Char"/>
    <w:link w:val="Title"/>
    <w:rsid w:val="000C4A71"/>
    <w:rPr>
      <w:rFonts w:ascii="Arial" w:hAnsi="Arial" w:cs="Arial"/>
      <w:color w:val="002469"/>
      <w:spacing w:val="40"/>
      <w:w w:val="90"/>
      <w:sz w:val="48"/>
      <w:szCs w:val="48"/>
      <w:lang w:val="en-GB" w:eastAsia="en-GB"/>
    </w:rPr>
  </w:style>
  <w:style w:type="paragraph" w:customStyle="1" w:styleId="TableHeadings">
    <w:name w:val="Table Headings"/>
    <w:basedOn w:val="Normal"/>
    <w:qFormat/>
    <w:rsid w:val="000C4A71"/>
    <w:pPr>
      <w:spacing w:before="60" w:after="60"/>
    </w:pPr>
    <w:rPr>
      <w:rFonts w:cs="Arial"/>
      <w:b/>
      <w:color w:val="000000"/>
    </w:rPr>
  </w:style>
  <w:style w:type="character" w:styleId="UnresolvedMention">
    <w:name w:val="Unresolved Mention"/>
    <w:uiPriority w:val="99"/>
    <w:semiHidden/>
    <w:unhideWhenUsed/>
    <w:rsid w:val="002B2943"/>
    <w:rPr>
      <w:color w:val="605E5C"/>
      <w:shd w:val="clear" w:color="auto" w:fill="E1DFDD"/>
    </w:rPr>
  </w:style>
  <w:style w:type="table" w:styleId="TableGrid6">
    <w:name w:val="Table Grid 6"/>
    <w:basedOn w:val="TableNormal"/>
    <w:rsid w:val="00F402D0"/>
    <w:pPr>
      <w:spacing w:after="240"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Cabinetpaper">
    <w:name w:val="_Cabinet paper"/>
    <w:basedOn w:val="TableNormal"/>
    <w:uiPriority w:val="99"/>
    <w:rsid w:val="00AB1F25"/>
    <w:pPr>
      <w:spacing w:before="56" w:after="32"/>
    </w:pPr>
    <w:rPr>
      <w:rFonts w:ascii="Calibri" w:eastAsia="Calibri" w:hAnsi="Calibri"/>
      <w:sz w:val="22"/>
      <w:szCs w:val="24"/>
      <w:lang w:val="en-US" w:eastAsia="en-US"/>
    </w:rPr>
    <w:tblPr>
      <w:tblInd w:w="6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rPr>
      <w:cantSplit/>
    </w:trPr>
    <w:tblStylePr w:type="firstRow">
      <w:pPr>
        <w:wordWrap/>
        <w:spacing w:beforeLines="0" w:before="60" w:beforeAutospacing="0" w:afterLines="0" w:after="24" w:afterAutospacing="0" w:line="240" w:lineRule="auto"/>
        <w:contextualSpacing w:val="0"/>
      </w:pPr>
      <w:rPr>
        <w:rFonts w:ascii="Calibri" w:hAnsi="Calibri"/>
        <w:b/>
        <w:color w:val="FFFFFF"/>
        <w:sz w:val="22"/>
      </w:rPr>
      <w:tblPr/>
      <w:trPr>
        <w:tblHeader/>
      </w:trPr>
      <w:tcPr>
        <w:tcBorders>
          <w:top w:val="single" w:sz="12" w:space="0" w:color="000000"/>
          <w:left w:val="single" w:sz="12" w:space="0" w:color="000000"/>
          <w:bottom w:val="nil"/>
          <w:right w:val="single" w:sz="12" w:space="0" w:color="000000"/>
          <w:insideH w:val="single" w:sz="6" w:space="0" w:color="FFFFFF"/>
          <w:insideV w:val="single" w:sz="6" w:space="0" w:color="FFFFFF"/>
          <w:tl2br w:val="nil"/>
          <w:tr2bl w:val="nil"/>
        </w:tcBorders>
        <w:shd w:val="clear" w:color="auto" w:fill="000000"/>
      </w:tcPr>
    </w:tblStylePr>
  </w:style>
  <w:style w:type="table" w:styleId="TableElegant">
    <w:name w:val="Table Elegant"/>
    <w:basedOn w:val="TableNormal"/>
    <w:rsid w:val="00AB1F25"/>
    <w:pPr>
      <w:spacing w:after="240"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5">
    <w:name w:val="Table Grid 5"/>
    <w:basedOn w:val="TableNormal"/>
    <w:rsid w:val="00AB1F25"/>
    <w:pPr>
      <w:spacing w:after="240"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DIATable">
    <w:name w:val="_DIA Table"/>
    <w:basedOn w:val="TableNormal"/>
    <w:uiPriority w:val="99"/>
    <w:rsid w:val="005F5F1C"/>
    <w:pPr>
      <w:spacing w:before="56" w:after="32"/>
    </w:pPr>
    <w:rPr>
      <w:rFonts w:ascii="Calibri" w:eastAsia="Calibri" w:hAnsi="Calibri"/>
      <w:sz w:val="22"/>
      <w:szCs w:val="24"/>
      <w:lang w:eastAsia="en-US"/>
    </w:rPr>
    <w:tblPr>
      <w:tblInd w:w="108" w:type="dxa"/>
      <w:tblBorders>
        <w:top w:val="single" w:sz="12" w:space="0" w:color="1F546B"/>
        <w:left w:val="single" w:sz="12" w:space="0" w:color="1F546B"/>
        <w:bottom w:val="single" w:sz="12" w:space="0" w:color="1F546B"/>
        <w:right w:val="single" w:sz="12" w:space="0" w:color="1F546B"/>
        <w:insideH w:val="single" w:sz="6" w:space="0" w:color="1F546B"/>
        <w:insideV w:val="single" w:sz="6" w:space="0" w:color="1F546B"/>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sz w:val="22"/>
      </w:rPr>
      <w:tblPr/>
      <w:tcPr>
        <w:tcBorders>
          <w:top w:val="single" w:sz="6" w:space="0" w:color="1F546B"/>
          <w:left w:val="single" w:sz="12" w:space="0" w:color="1F546B"/>
          <w:bottom w:val="nil"/>
          <w:right w:val="single" w:sz="12" w:space="0" w:color="1F546B"/>
          <w:insideH w:val="single" w:sz="6" w:space="0" w:color="FFFFFF"/>
          <w:insideV w:val="single" w:sz="6" w:space="0" w:color="FFFFFF"/>
          <w:tl2br w:val="nil"/>
          <w:tr2bl w:val="nil"/>
        </w:tcBorders>
        <w:shd w:val="clear" w:color="auto" w:fill="1F546B"/>
      </w:tcPr>
    </w:tblStylePr>
  </w:style>
  <w:style w:type="paragraph" w:customStyle="1" w:styleId="Numberedpara3level1">
    <w:name w:val="Numbered para (3) level 1"/>
    <w:basedOn w:val="Normal"/>
    <w:qFormat/>
    <w:rsid w:val="00CE7B82"/>
    <w:pPr>
      <w:spacing w:before="120" w:after="120" w:line="240" w:lineRule="auto"/>
    </w:pPr>
    <w:rPr>
      <w:rFonts w:ascii="Calibri" w:eastAsia="Calibri" w:hAnsi="Calibri"/>
      <w:sz w:val="24"/>
      <w:szCs w:val="24"/>
      <w:lang w:val="en-NZ" w:eastAsia="en-US"/>
    </w:rPr>
  </w:style>
  <w:style w:type="paragraph" w:customStyle="1" w:styleId="Numberedpara3level211">
    <w:name w:val="Numbered para (3) level 2 (1.1)"/>
    <w:basedOn w:val="Normal"/>
    <w:qFormat/>
    <w:rsid w:val="00A43139"/>
    <w:pPr>
      <w:spacing w:before="120" w:after="120" w:line="240" w:lineRule="auto"/>
      <w:ind w:left="1304" w:hanging="737"/>
    </w:pPr>
    <w:rPr>
      <w:rFonts w:ascii="Calibri" w:eastAsia="Calibri" w:hAnsi="Calibri"/>
      <w:sz w:val="24"/>
      <w:szCs w:val="24"/>
      <w:lang w:val="en-NZ" w:eastAsia="en-US"/>
    </w:rPr>
  </w:style>
  <w:style w:type="table" w:styleId="TableSimple3">
    <w:name w:val="Table Simple 3"/>
    <w:basedOn w:val="TableNormal"/>
    <w:rsid w:val="00F113D2"/>
    <w:pPr>
      <w:spacing w:after="240"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GridTable5Dark-Accent6">
    <w:name w:val="Grid Table 5 Dark Accent 6"/>
    <w:basedOn w:val="TableNormal"/>
    <w:uiPriority w:val="50"/>
    <w:rsid w:val="008A67D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5Dark-Accent5">
    <w:name w:val="Grid Table 5 Dark Accent 5"/>
    <w:basedOn w:val="TableNormal"/>
    <w:uiPriority w:val="50"/>
    <w:rsid w:val="008A67D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Numberedpara3level3111">
    <w:name w:val="Numbered para (3) level 3 (1.1.1)"/>
    <w:basedOn w:val="Normal"/>
    <w:qFormat/>
    <w:rsid w:val="00671043"/>
    <w:pPr>
      <w:tabs>
        <w:tab w:val="num" w:pos="1304"/>
      </w:tabs>
      <w:spacing w:before="120" w:after="120" w:line="240" w:lineRule="auto"/>
      <w:ind w:left="2211" w:hanging="907"/>
    </w:pPr>
    <w:rPr>
      <w:rFonts w:ascii="Calibri" w:eastAsiaTheme="minorHAnsi" w:hAnsi="Calibri"/>
      <w:sz w:val="24"/>
      <w:szCs w:val="24"/>
      <w:lang w:val="en-N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13835">
      <w:bodyDiv w:val="1"/>
      <w:marLeft w:val="0"/>
      <w:marRight w:val="0"/>
      <w:marTop w:val="0"/>
      <w:marBottom w:val="0"/>
      <w:divBdr>
        <w:top w:val="none" w:sz="0" w:space="0" w:color="auto"/>
        <w:left w:val="none" w:sz="0" w:space="0" w:color="auto"/>
        <w:bottom w:val="none" w:sz="0" w:space="0" w:color="auto"/>
        <w:right w:val="none" w:sz="0" w:space="0" w:color="auto"/>
      </w:divBdr>
      <w:divsChild>
        <w:div w:id="671572252">
          <w:marLeft w:val="0"/>
          <w:marRight w:val="0"/>
          <w:marTop w:val="0"/>
          <w:marBottom w:val="0"/>
          <w:divBdr>
            <w:top w:val="none" w:sz="0" w:space="0" w:color="auto"/>
            <w:left w:val="none" w:sz="0" w:space="0" w:color="auto"/>
            <w:bottom w:val="none" w:sz="0" w:space="0" w:color="auto"/>
            <w:right w:val="none" w:sz="0" w:space="0" w:color="auto"/>
          </w:divBdr>
          <w:divsChild>
            <w:div w:id="859707625">
              <w:marLeft w:val="0"/>
              <w:marRight w:val="0"/>
              <w:marTop w:val="0"/>
              <w:marBottom w:val="0"/>
              <w:divBdr>
                <w:top w:val="none" w:sz="0" w:space="0" w:color="auto"/>
                <w:left w:val="none" w:sz="0" w:space="0" w:color="auto"/>
                <w:bottom w:val="none" w:sz="0" w:space="0" w:color="auto"/>
                <w:right w:val="none" w:sz="0" w:space="0" w:color="auto"/>
              </w:divBdr>
              <w:divsChild>
                <w:div w:id="649408707">
                  <w:marLeft w:val="0"/>
                  <w:marRight w:val="0"/>
                  <w:marTop w:val="0"/>
                  <w:marBottom w:val="0"/>
                  <w:divBdr>
                    <w:top w:val="none" w:sz="0" w:space="0" w:color="auto"/>
                    <w:left w:val="none" w:sz="0" w:space="0" w:color="auto"/>
                    <w:bottom w:val="none" w:sz="0" w:space="0" w:color="auto"/>
                    <w:right w:val="none" w:sz="0" w:space="0" w:color="auto"/>
                  </w:divBdr>
                  <w:divsChild>
                    <w:div w:id="809906057">
                      <w:marLeft w:val="0"/>
                      <w:marRight w:val="0"/>
                      <w:marTop w:val="0"/>
                      <w:marBottom w:val="0"/>
                      <w:divBdr>
                        <w:top w:val="none" w:sz="0" w:space="0" w:color="auto"/>
                        <w:left w:val="none" w:sz="0" w:space="0" w:color="auto"/>
                        <w:bottom w:val="none" w:sz="0" w:space="0" w:color="auto"/>
                        <w:right w:val="none" w:sz="0" w:space="0" w:color="auto"/>
                      </w:divBdr>
                      <w:divsChild>
                        <w:div w:id="1132791379">
                          <w:marLeft w:val="0"/>
                          <w:marRight w:val="0"/>
                          <w:marTop w:val="0"/>
                          <w:marBottom w:val="0"/>
                          <w:divBdr>
                            <w:top w:val="none" w:sz="0" w:space="0" w:color="auto"/>
                            <w:left w:val="none" w:sz="0" w:space="0" w:color="auto"/>
                            <w:bottom w:val="none" w:sz="0" w:space="0" w:color="auto"/>
                            <w:right w:val="none" w:sz="0" w:space="0" w:color="auto"/>
                          </w:divBdr>
                          <w:divsChild>
                            <w:div w:id="1112633500">
                              <w:marLeft w:val="0"/>
                              <w:marRight w:val="0"/>
                              <w:marTop w:val="0"/>
                              <w:marBottom w:val="0"/>
                              <w:divBdr>
                                <w:top w:val="none" w:sz="0" w:space="0" w:color="auto"/>
                                <w:left w:val="none" w:sz="0" w:space="0" w:color="auto"/>
                                <w:bottom w:val="none" w:sz="0" w:space="0" w:color="auto"/>
                                <w:right w:val="none" w:sz="0" w:space="0" w:color="auto"/>
                              </w:divBdr>
                              <w:divsChild>
                                <w:div w:id="122167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309396">
      <w:bodyDiv w:val="1"/>
      <w:marLeft w:val="0"/>
      <w:marRight w:val="0"/>
      <w:marTop w:val="0"/>
      <w:marBottom w:val="0"/>
      <w:divBdr>
        <w:top w:val="none" w:sz="0" w:space="0" w:color="auto"/>
        <w:left w:val="none" w:sz="0" w:space="0" w:color="auto"/>
        <w:bottom w:val="none" w:sz="0" w:space="0" w:color="auto"/>
        <w:right w:val="none" w:sz="0" w:space="0" w:color="auto"/>
      </w:divBdr>
    </w:div>
    <w:div w:id="200172542">
      <w:bodyDiv w:val="1"/>
      <w:marLeft w:val="0"/>
      <w:marRight w:val="0"/>
      <w:marTop w:val="0"/>
      <w:marBottom w:val="0"/>
      <w:divBdr>
        <w:top w:val="none" w:sz="0" w:space="0" w:color="auto"/>
        <w:left w:val="none" w:sz="0" w:space="0" w:color="auto"/>
        <w:bottom w:val="none" w:sz="0" w:space="0" w:color="auto"/>
        <w:right w:val="none" w:sz="0" w:space="0" w:color="auto"/>
      </w:divBdr>
      <w:divsChild>
        <w:div w:id="1975140607">
          <w:marLeft w:val="0"/>
          <w:marRight w:val="0"/>
          <w:marTop w:val="0"/>
          <w:marBottom w:val="0"/>
          <w:divBdr>
            <w:top w:val="none" w:sz="0" w:space="0" w:color="auto"/>
            <w:left w:val="none" w:sz="0" w:space="0" w:color="auto"/>
            <w:bottom w:val="none" w:sz="0" w:space="0" w:color="auto"/>
            <w:right w:val="none" w:sz="0" w:space="0" w:color="auto"/>
          </w:divBdr>
          <w:divsChild>
            <w:div w:id="2107115890">
              <w:marLeft w:val="0"/>
              <w:marRight w:val="0"/>
              <w:marTop w:val="0"/>
              <w:marBottom w:val="0"/>
              <w:divBdr>
                <w:top w:val="none" w:sz="0" w:space="0" w:color="auto"/>
                <w:left w:val="none" w:sz="0" w:space="0" w:color="auto"/>
                <w:bottom w:val="none" w:sz="0" w:space="0" w:color="auto"/>
                <w:right w:val="none" w:sz="0" w:space="0" w:color="auto"/>
              </w:divBdr>
              <w:divsChild>
                <w:div w:id="1439450257">
                  <w:marLeft w:val="0"/>
                  <w:marRight w:val="0"/>
                  <w:marTop w:val="0"/>
                  <w:marBottom w:val="0"/>
                  <w:divBdr>
                    <w:top w:val="none" w:sz="0" w:space="0" w:color="auto"/>
                    <w:left w:val="none" w:sz="0" w:space="0" w:color="auto"/>
                    <w:bottom w:val="none" w:sz="0" w:space="0" w:color="auto"/>
                    <w:right w:val="none" w:sz="0" w:space="0" w:color="auto"/>
                  </w:divBdr>
                  <w:divsChild>
                    <w:div w:id="1832716204">
                      <w:marLeft w:val="0"/>
                      <w:marRight w:val="0"/>
                      <w:marTop w:val="0"/>
                      <w:marBottom w:val="0"/>
                      <w:divBdr>
                        <w:top w:val="none" w:sz="0" w:space="0" w:color="auto"/>
                        <w:left w:val="none" w:sz="0" w:space="0" w:color="auto"/>
                        <w:bottom w:val="none" w:sz="0" w:space="0" w:color="auto"/>
                        <w:right w:val="none" w:sz="0" w:space="0" w:color="auto"/>
                      </w:divBdr>
                      <w:divsChild>
                        <w:div w:id="1923293342">
                          <w:marLeft w:val="0"/>
                          <w:marRight w:val="0"/>
                          <w:marTop w:val="0"/>
                          <w:marBottom w:val="0"/>
                          <w:divBdr>
                            <w:top w:val="none" w:sz="0" w:space="0" w:color="auto"/>
                            <w:left w:val="none" w:sz="0" w:space="0" w:color="auto"/>
                            <w:bottom w:val="none" w:sz="0" w:space="0" w:color="auto"/>
                            <w:right w:val="none" w:sz="0" w:space="0" w:color="auto"/>
                          </w:divBdr>
                          <w:divsChild>
                            <w:div w:id="1192455352">
                              <w:marLeft w:val="0"/>
                              <w:marRight w:val="0"/>
                              <w:marTop w:val="0"/>
                              <w:marBottom w:val="0"/>
                              <w:divBdr>
                                <w:top w:val="none" w:sz="0" w:space="0" w:color="auto"/>
                                <w:left w:val="none" w:sz="0" w:space="0" w:color="auto"/>
                                <w:bottom w:val="none" w:sz="0" w:space="0" w:color="auto"/>
                                <w:right w:val="none" w:sz="0" w:space="0" w:color="auto"/>
                              </w:divBdr>
                              <w:divsChild>
                                <w:div w:id="15402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4485323">
      <w:bodyDiv w:val="1"/>
      <w:marLeft w:val="0"/>
      <w:marRight w:val="0"/>
      <w:marTop w:val="0"/>
      <w:marBottom w:val="0"/>
      <w:divBdr>
        <w:top w:val="none" w:sz="0" w:space="0" w:color="auto"/>
        <w:left w:val="none" w:sz="0" w:space="0" w:color="auto"/>
        <w:bottom w:val="none" w:sz="0" w:space="0" w:color="auto"/>
        <w:right w:val="none" w:sz="0" w:space="0" w:color="auto"/>
      </w:divBdr>
      <w:divsChild>
        <w:div w:id="745689828">
          <w:marLeft w:val="0"/>
          <w:marRight w:val="0"/>
          <w:marTop w:val="0"/>
          <w:marBottom w:val="0"/>
          <w:divBdr>
            <w:top w:val="none" w:sz="0" w:space="0" w:color="auto"/>
            <w:left w:val="none" w:sz="0" w:space="0" w:color="auto"/>
            <w:bottom w:val="none" w:sz="0" w:space="0" w:color="auto"/>
            <w:right w:val="none" w:sz="0" w:space="0" w:color="auto"/>
          </w:divBdr>
          <w:divsChild>
            <w:div w:id="1771196443">
              <w:marLeft w:val="0"/>
              <w:marRight w:val="0"/>
              <w:marTop w:val="0"/>
              <w:marBottom w:val="0"/>
              <w:divBdr>
                <w:top w:val="none" w:sz="0" w:space="0" w:color="auto"/>
                <w:left w:val="none" w:sz="0" w:space="0" w:color="auto"/>
                <w:bottom w:val="none" w:sz="0" w:space="0" w:color="auto"/>
                <w:right w:val="none" w:sz="0" w:space="0" w:color="auto"/>
              </w:divBdr>
              <w:divsChild>
                <w:div w:id="805047860">
                  <w:marLeft w:val="0"/>
                  <w:marRight w:val="0"/>
                  <w:marTop w:val="0"/>
                  <w:marBottom w:val="0"/>
                  <w:divBdr>
                    <w:top w:val="none" w:sz="0" w:space="0" w:color="auto"/>
                    <w:left w:val="none" w:sz="0" w:space="0" w:color="auto"/>
                    <w:bottom w:val="none" w:sz="0" w:space="0" w:color="auto"/>
                    <w:right w:val="none" w:sz="0" w:space="0" w:color="auto"/>
                  </w:divBdr>
                  <w:divsChild>
                    <w:div w:id="1012754767">
                      <w:marLeft w:val="0"/>
                      <w:marRight w:val="0"/>
                      <w:marTop w:val="0"/>
                      <w:marBottom w:val="0"/>
                      <w:divBdr>
                        <w:top w:val="none" w:sz="0" w:space="0" w:color="auto"/>
                        <w:left w:val="none" w:sz="0" w:space="0" w:color="auto"/>
                        <w:bottom w:val="none" w:sz="0" w:space="0" w:color="auto"/>
                        <w:right w:val="none" w:sz="0" w:space="0" w:color="auto"/>
                      </w:divBdr>
                      <w:divsChild>
                        <w:div w:id="138768720">
                          <w:marLeft w:val="0"/>
                          <w:marRight w:val="0"/>
                          <w:marTop w:val="0"/>
                          <w:marBottom w:val="0"/>
                          <w:divBdr>
                            <w:top w:val="none" w:sz="0" w:space="0" w:color="auto"/>
                            <w:left w:val="none" w:sz="0" w:space="0" w:color="auto"/>
                            <w:bottom w:val="none" w:sz="0" w:space="0" w:color="auto"/>
                            <w:right w:val="none" w:sz="0" w:space="0" w:color="auto"/>
                          </w:divBdr>
                          <w:divsChild>
                            <w:div w:id="138034671">
                              <w:marLeft w:val="0"/>
                              <w:marRight w:val="0"/>
                              <w:marTop w:val="0"/>
                              <w:marBottom w:val="0"/>
                              <w:divBdr>
                                <w:top w:val="none" w:sz="0" w:space="0" w:color="auto"/>
                                <w:left w:val="none" w:sz="0" w:space="0" w:color="auto"/>
                                <w:bottom w:val="none" w:sz="0" w:space="0" w:color="auto"/>
                                <w:right w:val="none" w:sz="0" w:space="0" w:color="auto"/>
                              </w:divBdr>
                              <w:divsChild>
                                <w:div w:id="178738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3511637">
      <w:bodyDiv w:val="1"/>
      <w:marLeft w:val="0"/>
      <w:marRight w:val="0"/>
      <w:marTop w:val="0"/>
      <w:marBottom w:val="0"/>
      <w:divBdr>
        <w:top w:val="none" w:sz="0" w:space="0" w:color="auto"/>
        <w:left w:val="none" w:sz="0" w:space="0" w:color="auto"/>
        <w:bottom w:val="none" w:sz="0" w:space="0" w:color="auto"/>
        <w:right w:val="none" w:sz="0" w:space="0" w:color="auto"/>
      </w:divBdr>
    </w:div>
    <w:div w:id="325062850">
      <w:bodyDiv w:val="1"/>
      <w:marLeft w:val="0"/>
      <w:marRight w:val="0"/>
      <w:marTop w:val="0"/>
      <w:marBottom w:val="0"/>
      <w:divBdr>
        <w:top w:val="none" w:sz="0" w:space="0" w:color="auto"/>
        <w:left w:val="none" w:sz="0" w:space="0" w:color="auto"/>
        <w:bottom w:val="none" w:sz="0" w:space="0" w:color="auto"/>
        <w:right w:val="none" w:sz="0" w:space="0" w:color="auto"/>
      </w:divBdr>
    </w:div>
    <w:div w:id="463156412">
      <w:bodyDiv w:val="1"/>
      <w:marLeft w:val="0"/>
      <w:marRight w:val="0"/>
      <w:marTop w:val="0"/>
      <w:marBottom w:val="0"/>
      <w:divBdr>
        <w:top w:val="none" w:sz="0" w:space="0" w:color="auto"/>
        <w:left w:val="none" w:sz="0" w:space="0" w:color="auto"/>
        <w:bottom w:val="none" w:sz="0" w:space="0" w:color="auto"/>
        <w:right w:val="none" w:sz="0" w:space="0" w:color="auto"/>
      </w:divBdr>
      <w:divsChild>
        <w:div w:id="1691570663">
          <w:marLeft w:val="0"/>
          <w:marRight w:val="0"/>
          <w:marTop w:val="0"/>
          <w:marBottom w:val="0"/>
          <w:divBdr>
            <w:top w:val="none" w:sz="0" w:space="0" w:color="auto"/>
            <w:left w:val="none" w:sz="0" w:space="0" w:color="auto"/>
            <w:bottom w:val="none" w:sz="0" w:space="0" w:color="auto"/>
            <w:right w:val="none" w:sz="0" w:space="0" w:color="auto"/>
          </w:divBdr>
          <w:divsChild>
            <w:div w:id="433551838">
              <w:marLeft w:val="0"/>
              <w:marRight w:val="0"/>
              <w:marTop w:val="0"/>
              <w:marBottom w:val="0"/>
              <w:divBdr>
                <w:top w:val="none" w:sz="0" w:space="0" w:color="auto"/>
                <w:left w:val="none" w:sz="0" w:space="0" w:color="auto"/>
                <w:bottom w:val="none" w:sz="0" w:space="0" w:color="auto"/>
                <w:right w:val="none" w:sz="0" w:space="0" w:color="auto"/>
              </w:divBdr>
              <w:divsChild>
                <w:div w:id="1065418759">
                  <w:marLeft w:val="0"/>
                  <w:marRight w:val="0"/>
                  <w:marTop w:val="0"/>
                  <w:marBottom w:val="0"/>
                  <w:divBdr>
                    <w:top w:val="none" w:sz="0" w:space="0" w:color="auto"/>
                    <w:left w:val="none" w:sz="0" w:space="0" w:color="auto"/>
                    <w:bottom w:val="none" w:sz="0" w:space="0" w:color="auto"/>
                    <w:right w:val="none" w:sz="0" w:space="0" w:color="auto"/>
                  </w:divBdr>
                  <w:divsChild>
                    <w:div w:id="392050089">
                      <w:marLeft w:val="0"/>
                      <w:marRight w:val="0"/>
                      <w:marTop w:val="0"/>
                      <w:marBottom w:val="0"/>
                      <w:divBdr>
                        <w:top w:val="none" w:sz="0" w:space="0" w:color="auto"/>
                        <w:left w:val="none" w:sz="0" w:space="0" w:color="auto"/>
                        <w:bottom w:val="none" w:sz="0" w:space="0" w:color="auto"/>
                        <w:right w:val="none" w:sz="0" w:space="0" w:color="auto"/>
                      </w:divBdr>
                      <w:divsChild>
                        <w:div w:id="1319269234">
                          <w:marLeft w:val="0"/>
                          <w:marRight w:val="0"/>
                          <w:marTop w:val="0"/>
                          <w:marBottom w:val="0"/>
                          <w:divBdr>
                            <w:top w:val="none" w:sz="0" w:space="0" w:color="auto"/>
                            <w:left w:val="none" w:sz="0" w:space="0" w:color="auto"/>
                            <w:bottom w:val="none" w:sz="0" w:space="0" w:color="auto"/>
                            <w:right w:val="none" w:sz="0" w:space="0" w:color="auto"/>
                          </w:divBdr>
                          <w:divsChild>
                            <w:div w:id="1292591590">
                              <w:marLeft w:val="0"/>
                              <w:marRight w:val="0"/>
                              <w:marTop w:val="0"/>
                              <w:marBottom w:val="0"/>
                              <w:divBdr>
                                <w:top w:val="none" w:sz="0" w:space="0" w:color="auto"/>
                                <w:left w:val="none" w:sz="0" w:space="0" w:color="auto"/>
                                <w:bottom w:val="none" w:sz="0" w:space="0" w:color="auto"/>
                                <w:right w:val="none" w:sz="0" w:space="0" w:color="auto"/>
                              </w:divBdr>
                              <w:divsChild>
                                <w:div w:id="88324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8607891">
      <w:bodyDiv w:val="1"/>
      <w:marLeft w:val="0"/>
      <w:marRight w:val="0"/>
      <w:marTop w:val="0"/>
      <w:marBottom w:val="0"/>
      <w:divBdr>
        <w:top w:val="none" w:sz="0" w:space="0" w:color="auto"/>
        <w:left w:val="none" w:sz="0" w:space="0" w:color="auto"/>
        <w:bottom w:val="none" w:sz="0" w:space="0" w:color="auto"/>
        <w:right w:val="none" w:sz="0" w:space="0" w:color="auto"/>
      </w:divBdr>
    </w:div>
    <w:div w:id="750543672">
      <w:bodyDiv w:val="1"/>
      <w:marLeft w:val="0"/>
      <w:marRight w:val="0"/>
      <w:marTop w:val="0"/>
      <w:marBottom w:val="0"/>
      <w:divBdr>
        <w:top w:val="none" w:sz="0" w:space="0" w:color="auto"/>
        <w:left w:val="none" w:sz="0" w:space="0" w:color="auto"/>
        <w:bottom w:val="none" w:sz="0" w:space="0" w:color="auto"/>
        <w:right w:val="none" w:sz="0" w:space="0" w:color="auto"/>
      </w:divBdr>
      <w:divsChild>
        <w:div w:id="369039519">
          <w:marLeft w:val="0"/>
          <w:marRight w:val="0"/>
          <w:marTop w:val="0"/>
          <w:marBottom w:val="0"/>
          <w:divBdr>
            <w:top w:val="none" w:sz="0" w:space="0" w:color="auto"/>
            <w:left w:val="none" w:sz="0" w:space="0" w:color="auto"/>
            <w:bottom w:val="none" w:sz="0" w:space="0" w:color="auto"/>
            <w:right w:val="none" w:sz="0" w:space="0" w:color="auto"/>
          </w:divBdr>
          <w:divsChild>
            <w:div w:id="1833064161">
              <w:marLeft w:val="0"/>
              <w:marRight w:val="0"/>
              <w:marTop w:val="0"/>
              <w:marBottom w:val="0"/>
              <w:divBdr>
                <w:top w:val="none" w:sz="0" w:space="0" w:color="auto"/>
                <w:left w:val="none" w:sz="0" w:space="0" w:color="auto"/>
                <w:bottom w:val="none" w:sz="0" w:space="0" w:color="auto"/>
                <w:right w:val="none" w:sz="0" w:space="0" w:color="auto"/>
              </w:divBdr>
              <w:divsChild>
                <w:div w:id="2073114934">
                  <w:marLeft w:val="0"/>
                  <w:marRight w:val="0"/>
                  <w:marTop w:val="0"/>
                  <w:marBottom w:val="0"/>
                  <w:divBdr>
                    <w:top w:val="none" w:sz="0" w:space="0" w:color="auto"/>
                    <w:left w:val="none" w:sz="0" w:space="0" w:color="auto"/>
                    <w:bottom w:val="none" w:sz="0" w:space="0" w:color="auto"/>
                    <w:right w:val="none" w:sz="0" w:space="0" w:color="auto"/>
                  </w:divBdr>
                  <w:divsChild>
                    <w:div w:id="1567687817">
                      <w:marLeft w:val="0"/>
                      <w:marRight w:val="0"/>
                      <w:marTop w:val="0"/>
                      <w:marBottom w:val="0"/>
                      <w:divBdr>
                        <w:top w:val="none" w:sz="0" w:space="0" w:color="auto"/>
                        <w:left w:val="none" w:sz="0" w:space="0" w:color="auto"/>
                        <w:bottom w:val="none" w:sz="0" w:space="0" w:color="auto"/>
                        <w:right w:val="none" w:sz="0" w:space="0" w:color="auto"/>
                      </w:divBdr>
                      <w:divsChild>
                        <w:div w:id="2107142745">
                          <w:marLeft w:val="0"/>
                          <w:marRight w:val="0"/>
                          <w:marTop w:val="0"/>
                          <w:marBottom w:val="0"/>
                          <w:divBdr>
                            <w:top w:val="none" w:sz="0" w:space="0" w:color="auto"/>
                            <w:left w:val="none" w:sz="0" w:space="0" w:color="auto"/>
                            <w:bottom w:val="none" w:sz="0" w:space="0" w:color="auto"/>
                            <w:right w:val="none" w:sz="0" w:space="0" w:color="auto"/>
                          </w:divBdr>
                          <w:divsChild>
                            <w:div w:id="1924214750">
                              <w:marLeft w:val="0"/>
                              <w:marRight w:val="0"/>
                              <w:marTop w:val="0"/>
                              <w:marBottom w:val="0"/>
                              <w:divBdr>
                                <w:top w:val="none" w:sz="0" w:space="0" w:color="auto"/>
                                <w:left w:val="none" w:sz="0" w:space="0" w:color="auto"/>
                                <w:bottom w:val="none" w:sz="0" w:space="0" w:color="auto"/>
                                <w:right w:val="none" w:sz="0" w:space="0" w:color="auto"/>
                              </w:divBdr>
                              <w:divsChild>
                                <w:div w:id="82493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0754394">
      <w:bodyDiv w:val="1"/>
      <w:marLeft w:val="0"/>
      <w:marRight w:val="0"/>
      <w:marTop w:val="0"/>
      <w:marBottom w:val="0"/>
      <w:divBdr>
        <w:top w:val="none" w:sz="0" w:space="0" w:color="auto"/>
        <w:left w:val="none" w:sz="0" w:space="0" w:color="auto"/>
        <w:bottom w:val="none" w:sz="0" w:space="0" w:color="auto"/>
        <w:right w:val="none" w:sz="0" w:space="0" w:color="auto"/>
      </w:divBdr>
      <w:divsChild>
        <w:div w:id="1256133631">
          <w:marLeft w:val="0"/>
          <w:marRight w:val="0"/>
          <w:marTop w:val="0"/>
          <w:marBottom w:val="0"/>
          <w:divBdr>
            <w:top w:val="none" w:sz="0" w:space="0" w:color="auto"/>
            <w:left w:val="none" w:sz="0" w:space="0" w:color="auto"/>
            <w:bottom w:val="none" w:sz="0" w:space="0" w:color="auto"/>
            <w:right w:val="none" w:sz="0" w:space="0" w:color="auto"/>
          </w:divBdr>
          <w:divsChild>
            <w:div w:id="1994405637">
              <w:marLeft w:val="0"/>
              <w:marRight w:val="0"/>
              <w:marTop w:val="0"/>
              <w:marBottom w:val="0"/>
              <w:divBdr>
                <w:top w:val="none" w:sz="0" w:space="0" w:color="auto"/>
                <w:left w:val="none" w:sz="0" w:space="0" w:color="auto"/>
                <w:bottom w:val="none" w:sz="0" w:space="0" w:color="auto"/>
                <w:right w:val="none" w:sz="0" w:space="0" w:color="auto"/>
              </w:divBdr>
              <w:divsChild>
                <w:div w:id="1107040778">
                  <w:marLeft w:val="0"/>
                  <w:marRight w:val="0"/>
                  <w:marTop w:val="0"/>
                  <w:marBottom w:val="0"/>
                  <w:divBdr>
                    <w:top w:val="none" w:sz="0" w:space="0" w:color="auto"/>
                    <w:left w:val="none" w:sz="0" w:space="0" w:color="auto"/>
                    <w:bottom w:val="none" w:sz="0" w:space="0" w:color="auto"/>
                    <w:right w:val="none" w:sz="0" w:space="0" w:color="auto"/>
                  </w:divBdr>
                  <w:divsChild>
                    <w:div w:id="1397359591">
                      <w:marLeft w:val="0"/>
                      <w:marRight w:val="0"/>
                      <w:marTop w:val="0"/>
                      <w:marBottom w:val="0"/>
                      <w:divBdr>
                        <w:top w:val="none" w:sz="0" w:space="0" w:color="auto"/>
                        <w:left w:val="none" w:sz="0" w:space="0" w:color="auto"/>
                        <w:bottom w:val="none" w:sz="0" w:space="0" w:color="auto"/>
                        <w:right w:val="none" w:sz="0" w:space="0" w:color="auto"/>
                      </w:divBdr>
                      <w:divsChild>
                        <w:div w:id="641693520">
                          <w:marLeft w:val="0"/>
                          <w:marRight w:val="0"/>
                          <w:marTop w:val="0"/>
                          <w:marBottom w:val="0"/>
                          <w:divBdr>
                            <w:top w:val="none" w:sz="0" w:space="0" w:color="auto"/>
                            <w:left w:val="none" w:sz="0" w:space="0" w:color="auto"/>
                            <w:bottom w:val="none" w:sz="0" w:space="0" w:color="auto"/>
                            <w:right w:val="none" w:sz="0" w:space="0" w:color="auto"/>
                          </w:divBdr>
                          <w:divsChild>
                            <w:div w:id="102195685">
                              <w:marLeft w:val="0"/>
                              <w:marRight w:val="0"/>
                              <w:marTop w:val="0"/>
                              <w:marBottom w:val="0"/>
                              <w:divBdr>
                                <w:top w:val="none" w:sz="0" w:space="0" w:color="auto"/>
                                <w:left w:val="none" w:sz="0" w:space="0" w:color="auto"/>
                                <w:bottom w:val="none" w:sz="0" w:space="0" w:color="auto"/>
                                <w:right w:val="none" w:sz="0" w:space="0" w:color="auto"/>
                              </w:divBdr>
                              <w:divsChild>
                                <w:div w:id="144908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6558438">
      <w:bodyDiv w:val="1"/>
      <w:marLeft w:val="0"/>
      <w:marRight w:val="0"/>
      <w:marTop w:val="0"/>
      <w:marBottom w:val="0"/>
      <w:divBdr>
        <w:top w:val="none" w:sz="0" w:space="0" w:color="auto"/>
        <w:left w:val="none" w:sz="0" w:space="0" w:color="auto"/>
        <w:bottom w:val="none" w:sz="0" w:space="0" w:color="auto"/>
        <w:right w:val="none" w:sz="0" w:space="0" w:color="auto"/>
      </w:divBdr>
    </w:div>
    <w:div w:id="1281298744">
      <w:bodyDiv w:val="1"/>
      <w:marLeft w:val="0"/>
      <w:marRight w:val="0"/>
      <w:marTop w:val="0"/>
      <w:marBottom w:val="0"/>
      <w:divBdr>
        <w:top w:val="none" w:sz="0" w:space="0" w:color="auto"/>
        <w:left w:val="none" w:sz="0" w:space="0" w:color="auto"/>
        <w:bottom w:val="none" w:sz="0" w:space="0" w:color="auto"/>
        <w:right w:val="none" w:sz="0" w:space="0" w:color="auto"/>
      </w:divBdr>
    </w:div>
    <w:div w:id="1480613111">
      <w:bodyDiv w:val="1"/>
      <w:marLeft w:val="0"/>
      <w:marRight w:val="0"/>
      <w:marTop w:val="0"/>
      <w:marBottom w:val="0"/>
      <w:divBdr>
        <w:top w:val="none" w:sz="0" w:space="0" w:color="auto"/>
        <w:left w:val="none" w:sz="0" w:space="0" w:color="auto"/>
        <w:bottom w:val="none" w:sz="0" w:space="0" w:color="auto"/>
        <w:right w:val="none" w:sz="0" w:space="0" w:color="auto"/>
      </w:divBdr>
      <w:divsChild>
        <w:div w:id="379594136">
          <w:marLeft w:val="0"/>
          <w:marRight w:val="0"/>
          <w:marTop w:val="0"/>
          <w:marBottom w:val="0"/>
          <w:divBdr>
            <w:top w:val="none" w:sz="0" w:space="0" w:color="auto"/>
            <w:left w:val="none" w:sz="0" w:space="0" w:color="auto"/>
            <w:bottom w:val="none" w:sz="0" w:space="0" w:color="auto"/>
            <w:right w:val="none" w:sz="0" w:space="0" w:color="auto"/>
          </w:divBdr>
          <w:divsChild>
            <w:div w:id="1208180123">
              <w:marLeft w:val="0"/>
              <w:marRight w:val="0"/>
              <w:marTop w:val="0"/>
              <w:marBottom w:val="0"/>
              <w:divBdr>
                <w:top w:val="none" w:sz="0" w:space="0" w:color="auto"/>
                <w:left w:val="none" w:sz="0" w:space="0" w:color="auto"/>
                <w:bottom w:val="none" w:sz="0" w:space="0" w:color="auto"/>
                <w:right w:val="none" w:sz="0" w:space="0" w:color="auto"/>
              </w:divBdr>
              <w:divsChild>
                <w:div w:id="1784225956">
                  <w:marLeft w:val="0"/>
                  <w:marRight w:val="0"/>
                  <w:marTop w:val="0"/>
                  <w:marBottom w:val="0"/>
                  <w:divBdr>
                    <w:top w:val="none" w:sz="0" w:space="0" w:color="auto"/>
                    <w:left w:val="none" w:sz="0" w:space="0" w:color="auto"/>
                    <w:bottom w:val="none" w:sz="0" w:space="0" w:color="auto"/>
                    <w:right w:val="none" w:sz="0" w:space="0" w:color="auto"/>
                  </w:divBdr>
                  <w:divsChild>
                    <w:div w:id="1716656976">
                      <w:marLeft w:val="0"/>
                      <w:marRight w:val="0"/>
                      <w:marTop w:val="0"/>
                      <w:marBottom w:val="0"/>
                      <w:divBdr>
                        <w:top w:val="none" w:sz="0" w:space="0" w:color="auto"/>
                        <w:left w:val="none" w:sz="0" w:space="0" w:color="auto"/>
                        <w:bottom w:val="none" w:sz="0" w:space="0" w:color="auto"/>
                        <w:right w:val="none" w:sz="0" w:space="0" w:color="auto"/>
                      </w:divBdr>
                      <w:divsChild>
                        <w:div w:id="844589303">
                          <w:marLeft w:val="0"/>
                          <w:marRight w:val="0"/>
                          <w:marTop w:val="0"/>
                          <w:marBottom w:val="0"/>
                          <w:divBdr>
                            <w:top w:val="none" w:sz="0" w:space="0" w:color="auto"/>
                            <w:left w:val="none" w:sz="0" w:space="0" w:color="auto"/>
                            <w:bottom w:val="none" w:sz="0" w:space="0" w:color="auto"/>
                            <w:right w:val="none" w:sz="0" w:space="0" w:color="auto"/>
                          </w:divBdr>
                          <w:divsChild>
                            <w:div w:id="1649704807">
                              <w:marLeft w:val="0"/>
                              <w:marRight w:val="0"/>
                              <w:marTop w:val="0"/>
                              <w:marBottom w:val="0"/>
                              <w:divBdr>
                                <w:top w:val="none" w:sz="0" w:space="0" w:color="auto"/>
                                <w:left w:val="none" w:sz="0" w:space="0" w:color="auto"/>
                                <w:bottom w:val="none" w:sz="0" w:space="0" w:color="auto"/>
                                <w:right w:val="none" w:sz="0" w:space="0" w:color="auto"/>
                              </w:divBdr>
                              <w:divsChild>
                                <w:div w:id="196434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541265">
      <w:bodyDiv w:val="1"/>
      <w:marLeft w:val="0"/>
      <w:marRight w:val="0"/>
      <w:marTop w:val="0"/>
      <w:marBottom w:val="0"/>
      <w:divBdr>
        <w:top w:val="none" w:sz="0" w:space="0" w:color="auto"/>
        <w:left w:val="none" w:sz="0" w:space="0" w:color="auto"/>
        <w:bottom w:val="none" w:sz="0" w:space="0" w:color="auto"/>
        <w:right w:val="none" w:sz="0" w:space="0" w:color="auto"/>
      </w:divBdr>
      <w:divsChild>
        <w:div w:id="58584075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hart" Target="charts/chart1.xml"/><Relationship Id="rId18" Type="http://schemas.openxmlformats.org/officeDocument/2006/relationships/hyperlink" Target="https://dia.cohesion.net.nz/sites/TEA/COMM/_layouts/15/DocIdRedir.aspx?ID=C326EWCD6JZ2-749981098-965"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dia.cohesion.net.nz/sites/TEA/COMM/_layouts/15/DocIdRedir.aspx?ID=C326EWCD6JZ2-749981098-941"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hyperlink" Target="https://dia.cohesion.net.nz/sites/TEA/COMM/_layouts/15/DocIdRedir.aspx?ID=C326EWCD6JZ2-749981098-1000"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chart" Target="charts/chart3.xm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s://dia.cohesion.net.nz/sites/TEA/COMM/_layouts/15/DocIdRedir.aspx?ID=C326EWCD6JZ2-749981098-997"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hart" Target="charts/chart2.xml"/><Relationship Id="rId22" Type="http://schemas.openxmlformats.org/officeDocument/2006/relationships/footer" Target="footer1.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treasury.govt.nz/sites/default/files/2017-04/settingcharges-apr17.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TsyTemplates\Guidance.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NZ"/>
              <a:t>Forecast Passport and Travel Document Issuance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Precovid Forecast</c:v>
                </c:pt>
              </c:strCache>
            </c:strRef>
          </c:tx>
          <c:spPr>
            <a:ln w="28575" cap="rnd">
              <a:solidFill>
                <a:schemeClr val="accent1"/>
              </a:solidFill>
              <a:round/>
            </a:ln>
            <a:effectLst/>
          </c:spPr>
          <c:marker>
            <c:symbol val="none"/>
          </c:marker>
          <c:cat>
            <c:strRef>
              <c:f>Sheet1!$A$2:$A$17</c:f>
              <c:strCache>
                <c:ptCount val="16"/>
                <c:pt idx="0">
                  <c:v>2021/22</c:v>
                </c:pt>
                <c:pt idx="1">
                  <c:v>2022/23</c:v>
                </c:pt>
                <c:pt idx="2">
                  <c:v>2023/24</c:v>
                </c:pt>
                <c:pt idx="3">
                  <c:v>2024/25</c:v>
                </c:pt>
                <c:pt idx="4">
                  <c:v>2025/26</c:v>
                </c:pt>
                <c:pt idx="5">
                  <c:v>2026/27</c:v>
                </c:pt>
                <c:pt idx="6">
                  <c:v>2027/28</c:v>
                </c:pt>
                <c:pt idx="7">
                  <c:v>2028/29</c:v>
                </c:pt>
                <c:pt idx="8">
                  <c:v>2029/30</c:v>
                </c:pt>
                <c:pt idx="9">
                  <c:v>2030/31</c:v>
                </c:pt>
                <c:pt idx="10">
                  <c:v>2031/32</c:v>
                </c:pt>
                <c:pt idx="11">
                  <c:v>2032/33</c:v>
                </c:pt>
                <c:pt idx="12">
                  <c:v>2033/34</c:v>
                </c:pt>
                <c:pt idx="13">
                  <c:v>2034/35</c:v>
                </c:pt>
                <c:pt idx="14">
                  <c:v>2035/36</c:v>
                </c:pt>
                <c:pt idx="15">
                  <c:v>2037/37</c:v>
                </c:pt>
              </c:strCache>
            </c:strRef>
          </c:cat>
          <c:val>
            <c:numRef>
              <c:f>Sheet1!$B$2:$B$17</c:f>
              <c:numCache>
                <c:formatCode>General</c:formatCode>
                <c:ptCount val="16"/>
                <c:pt idx="0">
                  <c:v>310135</c:v>
                </c:pt>
                <c:pt idx="1">
                  <c:v>248369</c:v>
                </c:pt>
                <c:pt idx="2" formatCode="#,##0">
                  <c:v>231153</c:v>
                </c:pt>
                <c:pt idx="3" formatCode="#,##0">
                  <c:v>225199</c:v>
                </c:pt>
                <c:pt idx="4" formatCode="#,##0">
                  <c:v>574115</c:v>
                </c:pt>
                <c:pt idx="5">
                  <c:v>745443</c:v>
                </c:pt>
                <c:pt idx="6" formatCode="#,##0">
                  <c:v>800741</c:v>
                </c:pt>
                <c:pt idx="7" formatCode="#,##0">
                  <c:v>826997</c:v>
                </c:pt>
                <c:pt idx="8" formatCode="#,##0">
                  <c:v>791639</c:v>
                </c:pt>
                <c:pt idx="9" formatCode="#,##0">
                  <c:v>627082</c:v>
                </c:pt>
                <c:pt idx="10">
                  <c:v>517621</c:v>
                </c:pt>
                <c:pt idx="11" formatCode="#,##0">
                  <c:v>464772</c:v>
                </c:pt>
                <c:pt idx="12" formatCode="#,##0">
                  <c:v>439032</c:v>
                </c:pt>
                <c:pt idx="13" formatCode="#,##0">
                  <c:v>459009</c:v>
                </c:pt>
                <c:pt idx="14" formatCode="#,##0">
                  <c:v>631362</c:v>
                </c:pt>
                <c:pt idx="15" formatCode="#,##0">
                  <c:v>735515</c:v>
                </c:pt>
              </c:numCache>
            </c:numRef>
          </c:val>
          <c:smooth val="0"/>
          <c:extLst>
            <c:ext xmlns:c16="http://schemas.microsoft.com/office/drawing/2014/chart" uri="{C3380CC4-5D6E-409C-BE32-E72D297353CC}">
              <c16:uniqueId val="{00000000-B3D4-40D7-9BD4-6F858B628B69}"/>
            </c:ext>
          </c:extLst>
        </c:ser>
        <c:ser>
          <c:idx val="1"/>
          <c:order val="1"/>
          <c:tx>
            <c:strRef>
              <c:f>Sheet1!$C$1</c:f>
              <c:strCache>
                <c:ptCount val="1"/>
                <c:pt idx="0">
                  <c:v>Revised forecast</c:v>
                </c:pt>
              </c:strCache>
            </c:strRef>
          </c:tx>
          <c:spPr>
            <a:ln w="28575" cap="rnd">
              <a:solidFill>
                <a:schemeClr val="accent2"/>
              </a:solidFill>
              <a:round/>
            </a:ln>
            <a:effectLst/>
          </c:spPr>
          <c:marker>
            <c:symbol val="none"/>
          </c:marker>
          <c:cat>
            <c:strRef>
              <c:f>Sheet1!$A$2:$A$17</c:f>
              <c:strCache>
                <c:ptCount val="16"/>
                <c:pt idx="0">
                  <c:v>2021/22</c:v>
                </c:pt>
                <c:pt idx="1">
                  <c:v>2022/23</c:v>
                </c:pt>
                <c:pt idx="2">
                  <c:v>2023/24</c:v>
                </c:pt>
                <c:pt idx="3">
                  <c:v>2024/25</c:v>
                </c:pt>
                <c:pt idx="4">
                  <c:v>2025/26</c:v>
                </c:pt>
                <c:pt idx="5">
                  <c:v>2026/27</c:v>
                </c:pt>
                <c:pt idx="6">
                  <c:v>2027/28</c:v>
                </c:pt>
                <c:pt idx="7">
                  <c:v>2028/29</c:v>
                </c:pt>
                <c:pt idx="8">
                  <c:v>2029/30</c:v>
                </c:pt>
                <c:pt idx="9">
                  <c:v>2030/31</c:v>
                </c:pt>
                <c:pt idx="10">
                  <c:v>2031/32</c:v>
                </c:pt>
                <c:pt idx="11">
                  <c:v>2032/33</c:v>
                </c:pt>
                <c:pt idx="12">
                  <c:v>2033/34</c:v>
                </c:pt>
                <c:pt idx="13">
                  <c:v>2034/35</c:v>
                </c:pt>
                <c:pt idx="14">
                  <c:v>2035/36</c:v>
                </c:pt>
                <c:pt idx="15">
                  <c:v>2037/37</c:v>
                </c:pt>
              </c:strCache>
            </c:strRef>
          </c:cat>
          <c:val>
            <c:numRef>
              <c:f>Sheet1!$C$2:$C$17</c:f>
              <c:numCache>
                <c:formatCode>General</c:formatCode>
                <c:ptCount val="16"/>
                <c:pt idx="0">
                  <c:v>293513</c:v>
                </c:pt>
                <c:pt idx="1">
                  <c:v>316995</c:v>
                </c:pt>
                <c:pt idx="2" formatCode="#,##0">
                  <c:v>293715</c:v>
                </c:pt>
                <c:pt idx="3" formatCode="#,##0">
                  <c:v>287751</c:v>
                </c:pt>
                <c:pt idx="4" formatCode="#,##0">
                  <c:v>575375</c:v>
                </c:pt>
                <c:pt idx="5" formatCode="#,##0">
                  <c:v>746703</c:v>
                </c:pt>
                <c:pt idx="6" formatCode="#,##0">
                  <c:v>802001</c:v>
                </c:pt>
                <c:pt idx="7" formatCode="#,##0">
                  <c:v>828257</c:v>
                </c:pt>
                <c:pt idx="8" formatCode="#,##0">
                  <c:v>792889</c:v>
                </c:pt>
                <c:pt idx="9" formatCode="#,##0">
                  <c:v>628342</c:v>
                </c:pt>
                <c:pt idx="10" formatCode="#,##0">
                  <c:v>518881</c:v>
                </c:pt>
                <c:pt idx="11" formatCode="#,##0">
                  <c:v>466032</c:v>
                </c:pt>
                <c:pt idx="12" formatCode="#,##0">
                  <c:v>440292</c:v>
                </c:pt>
                <c:pt idx="13" formatCode="#,##0">
                  <c:v>460269</c:v>
                </c:pt>
                <c:pt idx="14">
                  <c:v>632622</c:v>
                </c:pt>
                <c:pt idx="15" formatCode="#,##0">
                  <c:v>754775</c:v>
                </c:pt>
              </c:numCache>
            </c:numRef>
          </c:val>
          <c:smooth val="0"/>
          <c:extLst>
            <c:ext xmlns:c16="http://schemas.microsoft.com/office/drawing/2014/chart" uri="{C3380CC4-5D6E-409C-BE32-E72D297353CC}">
              <c16:uniqueId val="{00000001-B3D4-40D7-9BD4-6F858B628B69}"/>
            </c:ext>
          </c:extLst>
        </c:ser>
        <c:dLbls>
          <c:showLegendKey val="0"/>
          <c:showVal val="0"/>
          <c:showCatName val="0"/>
          <c:showSerName val="0"/>
          <c:showPercent val="0"/>
          <c:showBubbleSize val="0"/>
        </c:dLbls>
        <c:smooth val="0"/>
        <c:axId val="752515200"/>
        <c:axId val="752515856"/>
      </c:lineChart>
      <c:catAx>
        <c:axId val="752515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2515856"/>
        <c:crosses val="autoZero"/>
        <c:auto val="1"/>
        <c:lblAlgn val="ctr"/>
        <c:lblOffset val="100"/>
        <c:noMultiLvlLbl val="0"/>
      </c:catAx>
      <c:valAx>
        <c:axId val="7525158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25152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NZ"/>
              <a:t>Monthly Passport and Travel Document Issuance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2018/19</c:v>
                </c:pt>
              </c:strCache>
            </c:strRef>
          </c:tx>
          <c:spPr>
            <a:ln w="28575" cap="rnd">
              <a:solidFill>
                <a:schemeClr val="accent1"/>
              </a:solidFill>
              <a:round/>
            </a:ln>
            <a:effectLst/>
          </c:spPr>
          <c:marker>
            <c:symbol val="none"/>
          </c:marker>
          <c:cat>
            <c:strRef>
              <c:f>Sheet1!$A$2:$A$13</c:f>
              <c:strCache>
                <c:ptCount val="12"/>
                <c:pt idx="0">
                  <c:v>July</c:v>
                </c:pt>
                <c:pt idx="1">
                  <c:v>August</c:v>
                </c:pt>
                <c:pt idx="2">
                  <c:v>Sept</c:v>
                </c:pt>
                <c:pt idx="3">
                  <c:v>Oct</c:v>
                </c:pt>
                <c:pt idx="4">
                  <c:v>Nov</c:v>
                </c:pt>
                <c:pt idx="5">
                  <c:v>Dec</c:v>
                </c:pt>
                <c:pt idx="6">
                  <c:v>Jan</c:v>
                </c:pt>
                <c:pt idx="7">
                  <c:v>Feb</c:v>
                </c:pt>
                <c:pt idx="8">
                  <c:v>Mar</c:v>
                </c:pt>
                <c:pt idx="9">
                  <c:v>Apr</c:v>
                </c:pt>
                <c:pt idx="10">
                  <c:v>May</c:v>
                </c:pt>
                <c:pt idx="11">
                  <c:v>June</c:v>
                </c:pt>
              </c:strCache>
            </c:strRef>
          </c:cat>
          <c:val>
            <c:numRef>
              <c:f>Sheet1!$B$2:$B$13</c:f>
              <c:numCache>
                <c:formatCode>#,##0</c:formatCode>
                <c:ptCount val="12"/>
                <c:pt idx="0">
                  <c:v>65895</c:v>
                </c:pt>
                <c:pt idx="1">
                  <c:v>70001</c:v>
                </c:pt>
                <c:pt idx="2">
                  <c:v>53979</c:v>
                </c:pt>
                <c:pt idx="3">
                  <c:v>58413</c:v>
                </c:pt>
                <c:pt idx="4">
                  <c:v>56378</c:v>
                </c:pt>
                <c:pt idx="5">
                  <c:v>42814</c:v>
                </c:pt>
                <c:pt idx="6">
                  <c:v>53522</c:v>
                </c:pt>
                <c:pt idx="7">
                  <c:v>68410</c:v>
                </c:pt>
                <c:pt idx="8">
                  <c:v>79332</c:v>
                </c:pt>
                <c:pt idx="9">
                  <c:v>57075</c:v>
                </c:pt>
                <c:pt idx="10">
                  <c:v>74422</c:v>
                </c:pt>
                <c:pt idx="11">
                  <c:v>56686</c:v>
                </c:pt>
              </c:numCache>
            </c:numRef>
          </c:val>
          <c:smooth val="0"/>
          <c:extLst>
            <c:ext xmlns:c16="http://schemas.microsoft.com/office/drawing/2014/chart" uri="{C3380CC4-5D6E-409C-BE32-E72D297353CC}">
              <c16:uniqueId val="{00000000-FB6D-4435-8D23-04A9771739B1}"/>
            </c:ext>
          </c:extLst>
        </c:ser>
        <c:ser>
          <c:idx val="1"/>
          <c:order val="1"/>
          <c:tx>
            <c:strRef>
              <c:f>Sheet1!$C$1</c:f>
              <c:strCache>
                <c:ptCount val="1"/>
                <c:pt idx="0">
                  <c:v>2019/20</c:v>
                </c:pt>
              </c:strCache>
            </c:strRef>
          </c:tx>
          <c:spPr>
            <a:ln w="28575" cap="rnd">
              <a:solidFill>
                <a:schemeClr val="accent2"/>
              </a:solidFill>
              <a:round/>
            </a:ln>
            <a:effectLst/>
          </c:spPr>
          <c:marker>
            <c:symbol val="none"/>
          </c:marker>
          <c:cat>
            <c:strRef>
              <c:f>Sheet1!$A$2:$A$13</c:f>
              <c:strCache>
                <c:ptCount val="12"/>
                <c:pt idx="0">
                  <c:v>July</c:v>
                </c:pt>
                <c:pt idx="1">
                  <c:v>August</c:v>
                </c:pt>
                <c:pt idx="2">
                  <c:v>Sept</c:v>
                </c:pt>
                <c:pt idx="3">
                  <c:v>Oct</c:v>
                </c:pt>
                <c:pt idx="4">
                  <c:v>Nov</c:v>
                </c:pt>
                <c:pt idx="5">
                  <c:v>Dec</c:v>
                </c:pt>
                <c:pt idx="6">
                  <c:v>Jan</c:v>
                </c:pt>
                <c:pt idx="7">
                  <c:v>Feb</c:v>
                </c:pt>
                <c:pt idx="8">
                  <c:v>Mar</c:v>
                </c:pt>
                <c:pt idx="9">
                  <c:v>Apr</c:v>
                </c:pt>
                <c:pt idx="10">
                  <c:v>May</c:v>
                </c:pt>
                <c:pt idx="11">
                  <c:v>June</c:v>
                </c:pt>
              </c:strCache>
            </c:strRef>
          </c:cat>
          <c:val>
            <c:numRef>
              <c:f>Sheet1!$C$2:$C$13</c:f>
              <c:numCache>
                <c:formatCode>#,##0</c:formatCode>
                <c:ptCount val="12"/>
                <c:pt idx="0">
                  <c:v>64544</c:v>
                </c:pt>
                <c:pt idx="1">
                  <c:v>65967</c:v>
                </c:pt>
                <c:pt idx="2">
                  <c:v>61293</c:v>
                </c:pt>
                <c:pt idx="3">
                  <c:v>53173</c:v>
                </c:pt>
                <c:pt idx="4">
                  <c:v>54981</c:v>
                </c:pt>
                <c:pt idx="5">
                  <c:v>45887</c:v>
                </c:pt>
                <c:pt idx="6">
                  <c:v>52125</c:v>
                </c:pt>
                <c:pt idx="7">
                  <c:v>55615</c:v>
                </c:pt>
                <c:pt idx="8">
                  <c:v>47548</c:v>
                </c:pt>
                <c:pt idx="9">
                  <c:v>8658</c:v>
                </c:pt>
                <c:pt idx="10">
                  <c:v>11323</c:v>
                </c:pt>
                <c:pt idx="11">
                  <c:v>19503</c:v>
                </c:pt>
              </c:numCache>
            </c:numRef>
          </c:val>
          <c:smooth val="0"/>
          <c:extLst>
            <c:ext xmlns:c16="http://schemas.microsoft.com/office/drawing/2014/chart" uri="{C3380CC4-5D6E-409C-BE32-E72D297353CC}">
              <c16:uniqueId val="{00000001-FB6D-4435-8D23-04A9771739B1}"/>
            </c:ext>
          </c:extLst>
        </c:ser>
        <c:ser>
          <c:idx val="2"/>
          <c:order val="2"/>
          <c:tx>
            <c:strRef>
              <c:f>Sheet1!$D$1</c:f>
              <c:strCache>
                <c:ptCount val="1"/>
                <c:pt idx="0">
                  <c:v>2020/21</c:v>
                </c:pt>
              </c:strCache>
            </c:strRef>
          </c:tx>
          <c:spPr>
            <a:ln w="28575" cap="rnd">
              <a:solidFill>
                <a:schemeClr val="accent3"/>
              </a:solidFill>
              <a:round/>
            </a:ln>
            <a:effectLst/>
          </c:spPr>
          <c:marker>
            <c:symbol val="none"/>
          </c:marker>
          <c:cat>
            <c:strRef>
              <c:f>Sheet1!$A$2:$A$13</c:f>
              <c:strCache>
                <c:ptCount val="12"/>
                <c:pt idx="0">
                  <c:v>July</c:v>
                </c:pt>
                <c:pt idx="1">
                  <c:v>August</c:v>
                </c:pt>
                <c:pt idx="2">
                  <c:v>Sept</c:v>
                </c:pt>
                <c:pt idx="3">
                  <c:v>Oct</c:v>
                </c:pt>
                <c:pt idx="4">
                  <c:v>Nov</c:v>
                </c:pt>
                <c:pt idx="5">
                  <c:v>Dec</c:v>
                </c:pt>
                <c:pt idx="6">
                  <c:v>Jan</c:v>
                </c:pt>
                <c:pt idx="7">
                  <c:v>Feb</c:v>
                </c:pt>
                <c:pt idx="8">
                  <c:v>Mar</c:v>
                </c:pt>
                <c:pt idx="9">
                  <c:v>Apr</c:v>
                </c:pt>
                <c:pt idx="10">
                  <c:v>May</c:v>
                </c:pt>
                <c:pt idx="11">
                  <c:v>June</c:v>
                </c:pt>
              </c:strCache>
            </c:strRef>
          </c:cat>
          <c:val>
            <c:numRef>
              <c:f>Sheet1!$D$2:$D$13</c:f>
              <c:numCache>
                <c:formatCode>#,##0</c:formatCode>
                <c:ptCount val="12"/>
                <c:pt idx="0">
                  <c:v>16052</c:v>
                </c:pt>
                <c:pt idx="1">
                  <c:v>12090</c:v>
                </c:pt>
                <c:pt idx="2">
                  <c:v>11866</c:v>
                </c:pt>
                <c:pt idx="3">
                  <c:v>11403</c:v>
                </c:pt>
                <c:pt idx="4">
                  <c:v>10904</c:v>
                </c:pt>
                <c:pt idx="5">
                  <c:v>8779</c:v>
                </c:pt>
                <c:pt idx="6">
                  <c:v>9446</c:v>
                </c:pt>
                <c:pt idx="7">
                  <c:v>8267</c:v>
                </c:pt>
                <c:pt idx="8">
                  <c:v>10584</c:v>
                </c:pt>
                <c:pt idx="9">
                  <c:v>14389</c:v>
                </c:pt>
                <c:pt idx="10">
                  <c:v>19802</c:v>
                </c:pt>
                <c:pt idx="11">
                  <c:v>17740</c:v>
                </c:pt>
              </c:numCache>
            </c:numRef>
          </c:val>
          <c:smooth val="0"/>
          <c:extLst>
            <c:ext xmlns:c16="http://schemas.microsoft.com/office/drawing/2014/chart" uri="{C3380CC4-5D6E-409C-BE32-E72D297353CC}">
              <c16:uniqueId val="{00000002-FB6D-4435-8D23-04A9771739B1}"/>
            </c:ext>
          </c:extLst>
        </c:ser>
        <c:ser>
          <c:idx val="3"/>
          <c:order val="3"/>
          <c:tx>
            <c:strRef>
              <c:f>Sheet1!$E$1</c:f>
              <c:strCache>
                <c:ptCount val="1"/>
                <c:pt idx="0">
                  <c:v>2021/22</c:v>
                </c:pt>
              </c:strCache>
            </c:strRef>
          </c:tx>
          <c:spPr>
            <a:ln w="28575" cap="rnd">
              <a:solidFill>
                <a:schemeClr val="accent4"/>
              </a:solidFill>
              <a:round/>
            </a:ln>
            <a:effectLst/>
          </c:spPr>
          <c:marker>
            <c:symbol val="none"/>
          </c:marker>
          <c:cat>
            <c:strRef>
              <c:f>Sheet1!$A$2:$A$13</c:f>
              <c:strCache>
                <c:ptCount val="12"/>
                <c:pt idx="0">
                  <c:v>July</c:v>
                </c:pt>
                <c:pt idx="1">
                  <c:v>August</c:v>
                </c:pt>
                <c:pt idx="2">
                  <c:v>Sept</c:v>
                </c:pt>
                <c:pt idx="3">
                  <c:v>Oct</c:v>
                </c:pt>
                <c:pt idx="4">
                  <c:v>Nov</c:v>
                </c:pt>
                <c:pt idx="5">
                  <c:v>Dec</c:v>
                </c:pt>
                <c:pt idx="6">
                  <c:v>Jan</c:v>
                </c:pt>
                <c:pt idx="7">
                  <c:v>Feb</c:v>
                </c:pt>
                <c:pt idx="8">
                  <c:v>Mar</c:v>
                </c:pt>
                <c:pt idx="9">
                  <c:v>Apr</c:v>
                </c:pt>
                <c:pt idx="10">
                  <c:v>May</c:v>
                </c:pt>
                <c:pt idx="11">
                  <c:v>June</c:v>
                </c:pt>
              </c:strCache>
            </c:strRef>
          </c:cat>
          <c:val>
            <c:numRef>
              <c:f>Sheet1!$E$2:$E$13</c:f>
              <c:numCache>
                <c:formatCode>#,##0</c:formatCode>
                <c:ptCount val="12"/>
                <c:pt idx="0">
                  <c:v>15877</c:v>
                </c:pt>
                <c:pt idx="1">
                  <c:v>10232</c:v>
                </c:pt>
                <c:pt idx="2">
                  <c:v>9173</c:v>
                </c:pt>
                <c:pt idx="3">
                  <c:v>8712</c:v>
                </c:pt>
                <c:pt idx="4">
                  <c:v>11592</c:v>
                </c:pt>
                <c:pt idx="5">
                  <c:v>12945</c:v>
                </c:pt>
                <c:pt idx="6">
                  <c:v>11123</c:v>
                </c:pt>
                <c:pt idx="7" formatCode="General">
                  <c:v>14016</c:v>
                </c:pt>
              </c:numCache>
            </c:numRef>
          </c:val>
          <c:smooth val="0"/>
          <c:extLst>
            <c:ext xmlns:c16="http://schemas.microsoft.com/office/drawing/2014/chart" uri="{C3380CC4-5D6E-409C-BE32-E72D297353CC}">
              <c16:uniqueId val="{00000003-FB6D-4435-8D23-04A9771739B1}"/>
            </c:ext>
          </c:extLst>
        </c:ser>
        <c:dLbls>
          <c:showLegendKey val="0"/>
          <c:showVal val="0"/>
          <c:showCatName val="0"/>
          <c:showSerName val="0"/>
          <c:showPercent val="0"/>
          <c:showBubbleSize val="0"/>
        </c:dLbls>
        <c:smooth val="0"/>
        <c:axId val="597393848"/>
        <c:axId val="597392536"/>
      </c:lineChart>
      <c:catAx>
        <c:axId val="597393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7392536"/>
        <c:crosses val="autoZero"/>
        <c:auto val="1"/>
        <c:lblAlgn val="ctr"/>
        <c:lblOffset val="100"/>
        <c:noMultiLvlLbl val="0"/>
      </c:catAx>
      <c:valAx>
        <c:axId val="59739253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73938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Passport Service Cost Structure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Costs</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CC99-496E-BDCE-ACDA63CB7F59}"/>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CC99-496E-BDCE-ACDA63CB7F59}"/>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CC99-496E-BDCE-ACDA63CB7F59}"/>
              </c:ext>
            </c:extLst>
          </c:dPt>
          <c:dLbls>
            <c:dLbl>
              <c:idx val="0"/>
              <c:tx>
                <c:rich>
                  <a:bodyPr/>
                  <a:lstStyle/>
                  <a:p>
                    <a:r>
                      <a:rPr lang="en-US"/>
                      <a:t>26.7%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CC99-496E-BDCE-ACDA63CB7F59}"/>
                </c:ext>
              </c:extLst>
            </c:dLbl>
            <c:dLbl>
              <c:idx val="1"/>
              <c:layout>
                <c:manualLayout>
                  <c:x val="2.8499198016914553E-2"/>
                  <c:y val="-0.23676668126192049"/>
                </c:manualLayout>
              </c:layout>
              <c:tx>
                <c:rich>
                  <a:bodyPr/>
                  <a:lstStyle/>
                  <a:p>
                    <a:r>
                      <a:rPr lang="en-US"/>
                      <a:t>49.6%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CC99-496E-BDCE-ACDA63CB7F59}"/>
                </c:ext>
              </c:extLst>
            </c:dLbl>
            <c:dLbl>
              <c:idx val="2"/>
              <c:tx>
                <c:rich>
                  <a:bodyPr/>
                  <a:lstStyle/>
                  <a:p>
                    <a:r>
                      <a:rPr lang="en-US"/>
                      <a:t>23.7%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CC99-496E-BDCE-ACDA63CB7F59}"/>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Direct Costs</c:v>
                </c:pt>
                <c:pt idx="1">
                  <c:v>Indirect Costs</c:v>
                </c:pt>
                <c:pt idx="2">
                  <c:v>Business Support costs</c:v>
                </c:pt>
              </c:strCache>
            </c:strRef>
          </c:cat>
          <c:val>
            <c:numRef>
              <c:f>Sheet1!$B$2:$B$4</c:f>
              <c:numCache>
                <c:formatCode>0%</c:formatCode>
                <c:ptCount val="3"/>
                <c:pt idx="0">
                  <c:v>0.27</c:v>
                </c:pt>
                <c:pt idx="1">
                  <c:v>0.5</c:v>
                </c:pt>
                <c:pt idx="2">
                  <c:v>0.24</c:v>
                </c:pt>
              </c:numCache>
            </c:numRef>
          </c:val>
          <c:extLst>
            <c:ext xmlns:c16="http://schemas.microsoft.com/office/drawing/2014/chart" uri="{C3380CC4-5D6E-409C-BE32-E72D297353CC}">
              <c16:uniqueId val="{00000000-91FB-42A4-B128-5BD33E2B57B5}"/>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percentStacked"/>
        <c:varyColors val="0"/>
        <c:ser>
          <c:idx val="0"/>
          <c:order val="0"/>
          <c:tx>
            <c:strRef>
              <c:f>Sheet1!$B$1</c:f>
              <c:strCache>
                <c:ptCount val="1"/>
                <c:pt idx="0">
                  <c:v>Series 1</c:v>
                </c:pt>
              </c:strCache>
            </c:strRef>
          </c:tx>
          <c:spPr>
            <a:solidFill>
              <a:schemeClr val="accent1"/>
            </a:solidFill>
            <a:ln>
              <a:noFill/>
            </a:ln>
            <a:effectLst/>
            <a:sp3d/>
          </c:spPr>
          <c:invertIfNegative val="0"/>
          <c:cat>
            <c:strRef>
              <c:f>Sheet1!$A$2:$A$4</c:f>
              <c:strCache>
                <c:ptCount val="3"/>
                <c:pt idx="0">
                  <c:v>Direct costs</c:v>
                </c:pt>
                <c:pt idx="1">
                  <c:v>Indirect costs</c:v>
                </c:pt>
                <c:pt idx="2">
                  <c:v>Business support costs</c:v>
                </c:pt>
              </c:strCache>
            </c:strRef>
          </c:cat>
          <c:val>
            <c:numRef>
              <c:f>Sheet1!$B$2:$B$4</c:f>
              <c:numCache>
                <c:formatCode>General</c:formatCode>
                <c:ptCount val="3"/>
                <c:pt idx="0">
                  <c:v>4.3</c:v>
                </c:pt>
                <c:pt idx="1">
                  <c:v>2.5</c:v>
                </c:pt>
                <c:pt idx="2">
                  <c:v>3.5</c:v>
                </c:pt>
              </c:numCache>
            </c:numRef>
          </c:val>
          <c:extLst>
            <c:ext xmlns:c16="http://schemas.microsoft.com/office/drawing/2014/chart" uri="{C3380CC4-5D6E-409C-BE32-E72D297353CC}">
              <c16:uniqueId val="{00000000-4A6D-419A-BCB5-C42C791906CC}"/>
            </c:ext>
          </c:extLst>
        </c:ser>
        <c:dLbls>
          <c:showLegendKey val="0"/>
          <c:showVal val="0"/>
          <c:showCatName val="0"/>
          <c:showSerName val="0"/>
          <c:showPercent val="0"/>
          <c:showBubbleSize val="0"/>
        </c:dLbls>
        <c:gapWidth val="150"/>
        <c:shape val="box"/>
        <c:axId val="597413528"/>
        <c:axId val="597417136"/>
        <c:axId val="0"/>
      </c:bar3DChart>
      <c:catAx>
        <c:axId val="59741352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7417136"/>
        <c:crosses val="autoZero"/>
        <c:auto val="1"/>
        <c:lblAlgn val="ctr"/>
        <c:lblOffset val="100"/>
        <c:noMultiLvlLbl val="0"/>
      </c:catAx>
      <c:valAx>
        <c:axId val="59741713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74135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TermInfo xmlns="http://schemas.microsoft.com/office/infopath/2007/PartnerControls">
          <TermName xmlns="http://schemas.microsoft.com/office/infopath/2007/PartnerControls">2022 Passport Fee Review</TermName>
          <TermId xmlns="http://schemas.microsoft.com/office/infopath/2007/PartnerControls">6769cdca-3323-4c96-92da-fdbaefc8e746</TermId>
        </TermInfo>
      </Terms>
    </C3TopicNote>
    <f7db6f05725346c582133fc3f09905b2 xmlns="85311de4-afe1-4671-a683-c93bf693c152">
      <Terms xmlns="http://schemas.microsoft.com/office/infopath/2007/PartnerControls"/>
    </f7db6f05725346c582133fc3f09905b2>
    <TaxCatchAll xmlns="85311de4-afe1-4671-a683-c93bf693c152">
      <Value>16146</Value>
      <Value>23</Value>
      <Value>476</Value>
    </TaxCatchAll>
    <TaxKeywordTaxHTField xmlns="85311de4-afe1-4671-a683-c93bf693c152">
      <Terms xmlns="http://schemas.microsoft.com/office/infopath/2007/PartnerControls"/>
    </TaxKeywordTaxHTField>
    <jeb09f582616404f9d46a5642ee103c2 xmlns="85311de4-afe1-4671-a683-c93bf693c152">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77f4172b-882e-4297-814d-b2ee26b4bdfb</TermId>
        </TermInfo>
      </Terms>
    </jeb09f582616404f9d46a5642ee103c2>
    <DIANotes xmlns="85311de4-afe1-4671-a683-c93bf693c152" xsi:nil="true"/>
    <_dlc_DocId xmlns="85311de4-afe1-4671-a683-c93bf693c152">C326EWCD6JZ2-749981098-1000</_dlc_DocId>
    <_dlc_DocIdUrl xmlns="85311de4-afe1-4671-a683-c93bf693c152">
      <Url>https://dia.cohesion.net.nz/sites/TEA/COMM/_layouts/15/DocIdRedir.aspx?ID=C326EWCD6JZ2-749981098-1000</Url>
      <Description>C326EWCD6JZ2-749981098-1000</Description>
    </_dlc_DocIdUrl>
    <SharedWithUsers xmlns="85311de4-afe1-4671-a683-c93bf693c152">
      <UserInfo>
        <DisplayName>Sirshen Naik</DisplayName>
        <AccountId>2538</AccountId>
        <AccountType/>
      </UserInfo>
      <UserInfo>
        <DisplayName>Cathy Nijman</DisplayName>
        <AccountId>960</AccountId>
        <AccountType/>
      </UserInfo>
      <UserInfo>
        <DisplayName>Sue Boland-Vernon</DisplayName>
        <AccountId>408</AccountId>
        <AccountType/>
      </UserInfo>
    </SharedWithUsers>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Planning Document" ma:contentTypeID="0x0101005496552013C0BA46BE88192D5C6EB20B0015FC31BDD77A41B1B3FE00733A6FDA210067E581E7B18350468869B77D57422646" ma:contentTypeVersion="7" ma:contentTypeDescription="Planning Document" ma:contentTypeScope="" ma:versionID="bb7f163c447021baabb56ac26be9467e">
  <xsd:schema xmlns:xsd="http://www.w3.org/2001/XMLSchema" xmlns:xs="http://www.w3.org/2001/XMLSchema" xmlns:p="http://schemas.microsoft.com/office/2006/metadata/properties" xmlns:ns3="01be4277-2979-4a68-876d-b92b25fceece" xmlns:ns4="85311de4-afe1-4671-a683-c93bf693c152" targetNamespace="http://schemas.microsoft.com/office/2006/metadata/properties" ma:root="true" ma:fieldsID="00d94051b3e8e51c3c189d8a689c7ea3" ns3:_="" ns4:_="">
    <xsd:import namespace="01be4277-2979-4a68-876d-b92b25fceece"/>
    <xsd:import namespace="85311de4-afe1-4671-a683-c93bf693c152"/>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_dlc_DocId" minOccurs="0"/>
                <xsd:element ref="ns4:_dlc_DocIdUrl" minOccurs="0"/>
                <xsd:element ref="ns4:_dlc_DocIdPersistId" minOccurs="0"/>
                <xsd:element ref="ns4:DIANotes" minOccurs="0"/>
                <xsd:element ref="ns4:jeb09f582616404f9d46a5642ee103c2" minOccurs="0"/>
                <xsd:element ref="ns4:f7db6f05725346c582133fc3f09905b2"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readOnly="false" ma:default="" ma:fieldId="{6a3fe89f-a6dd-4490-a9c1-3ef38d67b8c7}" ma:sspId="caf61cd4-0327-4679-8f8a-6e41773e81e7" ma:termSetId="a86d9efd-8d6a-464a-916a-4676e2ac499c" ma:anchorId="87e949a2-559f-4c1d-bf8d-27a0ae2f7a48"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5311de4-afe1-4671-a683-c93bf693c152"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caf61cd4-0327-4679-8f8a-6e41773e81e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description="" ma:hidden="true" ma:list="{b281b031-b199-44e2-93de-73af9f7e1b5d}" ma:internalName="TaxCatchAll" ma:showField="CatchAllData" ma:web="85311de4-afe1-4671-a683-c93bf693c15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b281b031-b199-44e2-93de-73af9f7e1b5d}" ma:internalName="TaxCatchAllLabel" ma:readOnly="true" ma:showField="CatchAllDataLabel" ma:web="85311de4-afe1-4671-a683-c93bf693c152">
      <xsd:complexType>
        <xsd:complexContent>
          <xsd:extension base="dms:MultiChoiceLookup">
            <xsd:sequence>
              <xsd:element name="Value" type="dms:Lookup" maxOccurs="unbounded" minOccurs="0" nillable="true"/>
            </xsd:sequence>
          </xsd:extension>
        </xsd:complexContent>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DIANotes" ma:index="17" nillable="true" ma:displayName="Notes" ma:description="Additional information, can include URL link to another document" ma:internalName="DIANotes">
      <xsd:simpleType>
        <xsd:restriction base="dms:Note">
          <xsd:maxLength value="255"/>
        </xsd:restriction>
      </xsd:simpleType>
    </xsd:element>
    <xsd:element name="jeb09f582616404f9d46a5642ee103c2" ma:index="18" ma:taxonomy="true" ma:internalName="jeb09f582616404f9d46a5642ee103c2" ma:taxonomyFieldName="DIASecurityClassification" ma:displayName="Security Classification" ma:readOnly="false" ma:default="1;#UNCLASSIFIED|875d92a8-67e2-4a32-9472-8fe99549e1eb" ma:fieldId="{3eb09f58-2616-404f-9d46-a5642ee103c2}" ma:sspId="caf61cd4-0327-4679-8f8a-6e41773e81e7" ma:termSetId="6e030844-242a-4d29-a562-8ce1d1b5efae" ma:anchorId="00000000-0000-0000-0000-000000000000" ma:open="false" ma:isKeyword="false">
      <xsd:complexType>
        <xsd:sequence>
          <xsd:element ref="pc:Terms" minOccurs="0" maxOccurs="1"/>
        </xsd:sequence>
      </xsd:complexType>
    </xsd:element>
    <xsd:element name="f7db6f05725346c582133fc3f09905b2" ma:index="20" nillable="true" ma:taxonomy="true" ma:internalName="f7db6f05725346c582133fc3f09905b2" ma:taxonomyFieldName="DIAPlanningDocumentType" ma:displayName="Planning Document Type" ma:fieldId="{f7db6f05-7253-46c5-8213-3fc3f09905b2}" ma:sspId="caf61cd4-0327-4679-8f8a-6e41773e81e7" ma:termSetId="7ded7b10-a949-433c-9668-0b36b5a9b83b" ma:anchorId="00000000-0000-0000-0000-000000000000" ma:open="true" ma:isKeyword="false">
      <xsd:complexType>
        <xsd:sequence>
          <xsd:element ref="pc:Terms" minOccurs="0" maxOccurs="1"/>
        </xsd:sequence>
      </xsd:complexType>
    </xsd:element>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05298E12-4AE9-4DBE-AFC1-6C761D6EC7D2}">
  <ds:schemaRef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purl.org/dc/dcmitype/"/>
    <ds:schemaRef ds:uri="85311de4-afe1-4671-a683-c93bf693c152"/>
    <ds:schemaRef ds:uri="01be4277-2979-4a68-876d-b92b25fceece"/>
    <ds:schemaRef ds:uri="http://www.w3.org/XML/1998/namespace"/>
    <ds:schemaRef ds:uri="http://purl.org/dc/terms/"/>
  </ds:schemaRefs>
</ds:datastoreItem>
</file>

<file path=customXml/itemProps2.xml><?xml version="1.0" encoding="utf-8"?>
<ds:datastoreItem xmlns:ds="http://schemas.openxmlformats.org/officeDocument/2006/customXml" ds:itemID="{AE255BE3-389E-4C70-AA3D-520EF9C621D8}">
  <ds:schemaRefs>
    <ds:schemaRef ds:uri="http://schemas.microsoft.com/sharepoint/events"/>
  </ds:schemaRefs>
</ds:datastoreItem>
</file>

<file path=customXml/itemProps3.xml><?xml version="1.0" encoding="utf-8"?>
<ds:datastoreItem xmlns:ds="http://schemas.openxmlformats.org/officeDocument/2006/customXml" ds:itemID="{4F1860D9-242E-4A09-8F53-810CF82ED725}">
  <ds:schemaRefs>
    <ds:schemaRef ds:uri="http://schemas.microsoft.com/sharepoint/v3/contenttype/forms"/>
  </ds:schemaRefs>
</ds:datastoreItem>
</file>

<file path=customXml/itemProps4.xml><?xml version="1.0" encoding="utf-8"?>
<ds:datastoreItem xmlns:ds="http://schemas.openxmlformats.org/officeDocument/2006/customXml" ds:itemID="{AA2703C3-939F-47F1-8540-80A199D26691}">
  <ds:schemaRefs>
    <ds:schemaRef ds:uri="http://schemas.openxmlformats.org/officeDocument/2006/bibliography"/>
  </ds:schemaRefs>
</ds:datastoreItem>
</file>

<file path=customXml/itemProps5.xml><?xml version="1.0" encoding="utf-8"?>
<ds:datastoreItem xmlns:ds="http://schemas.openxmlformats.org/officeDocument/2006/customXml" ds:itemID="{2C048390-98E9-42D5-B8FB-13C382670B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e4277-2979-4a68-876d-b92b25fceece"/>
    <ds:schemaRef ds:uri="85311de4-afe1-4671-a683-c93bf693c1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306311E-0B93-4593-80C2-1EAE84B35E67}">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Guidance</Template>
  <TotalTime>1</TotalTime>
  <Pages>25</Pages>
  <Words>9327</Words>
  <Characters>50730</Characters>
  <Application>Microsoft Office Word</Application>
  <DocSecurity>0</DocSecurity>
  <Lines>422</Lines>
  <Paragraphs>119</Paragraphs>
  <ScaleCrop>false</ScaleCrop>
  <HeadingPairs>
    <vt:vector size="2" baseType="variant">
      <vt:variant>
        <vt:lpstr>Title</vt:lpstr>
      </vt:variant>
      <vt:variant>
        <vt:i4>1</vt:i4>
      </vt:variant>
    </vt:vector>
  </HeadingPairs>
  <TitlesOfParts>
    <vt:vector size="1" baseType="lpstr">
      <vt:lpstr>PFA SECTION 04(D) – 2006/07 SOI GUIDANCE</vt:lpstr>
    </vt:vector>
  </TitlesOfParts>
  <Company>The Treasury</Company>
  <LinksUpToDate>false</LinksUpToDate>
  <CharactersWithSpaces>59938</CharactersWithSpaces>
  <SharedDoc>false</SharedDoc>
  <HLinks>
    <vt:vector size="30" baseType="variant">
      <vt:variant>
        <vt:i4>39</vt:i4>
      </vt:variant>
      <vt:variant>
        <vt:i4>27</vt:i4>
      </vt:variant>
      <vt:variant>
        <vt:i4>0</vt:i4>
      </vt:variant>
      <vt:variant>
        <vt:i4>5</vt:i4>
      </vt:variant>
      <vt:variant>
        <vt:lpwstr>http://www.google.co.nz/url?sa=t&amp;rct=j&amp;q=&amp;esrc=s&amp;source=web&amp;cd=10&amp;cad=rja&amp;uact=8&amp;ved=0CF8QFjAJahUKEwjp0M-DquHGAhWnXaYKHVt-Bwk&amp;url=http%3A%2F%2Fwww.teqsa.gov.au%2Fsites%2Fdefault%2Ffiles%2FTEQSACRIS201516.pdf&amp;ei=i4SoVanfB6e7mQXb_J1I&amp;usg=AFQjCNHidzHh6NAMZDV28iIHh7mk1I_uvg&amp;sig2=uj5EeKzY79BjFF__43nOrw&amp;bvm=bv.98197061,d.dGY</vt:lpwstr>
      </vt:variant>
      <vt:variant>
        <vt:lpwstr/>
      </vt:variant>
      <vt:variant>
        <vt:i4>5177372</vt:i4>
      </vt:variant>
      <vt:variant>
        <vt:i4>24</vt:i4>
      </vt:variant>
      <vt:variant>
        <vt:i4>0</vt:i4>
      </vt:variant>
      <vt:variant>
        <vt:i4>5</vt:i4>
      </vt:variant>
      <vt:variant>
        <vt:lpwstr>http://www.finance.gov.au/sites/default/files/australian-government-cost-recovery-guidelines.pdf</vt:lpwstr>
      </vt:variant>
      <vt:variant>
        <vt:lpwstr/>
      </vt:variant>
      <vt:variant>
        <vt:i4>7667810</vt:i4>
      </vt:variant>
      <vt:variant>
        <vt:i4>18</vt:i4>
      </vt:variant>
      <vt:variant>
        <vt:i4>0</vt:i4>
      </vt:variant>
      <vt:variant>
        <vt:i4>5</vt:i4>
      </vt:variant>
      <vt:variant>
        <vt:lpwstr>http://www.google.co.nz/url?sa=t&amp;rct=j&amp;q=&amp;esrc=s&amp;source=web&amp;cd=1&amp;cad=rja&amp;uact=8&amp;ved=0CCAQFjAAahUKEwjU6urskeHGAhXhr6YKHXo2AIg&amp;url=http%3A%2F%2Fwww.cic.gc.ca%2Fenglish%2Fdepartment%2Fconsultations%2Fpassport%2Fpdf%2F2012-03-proposition-eng.pdf&amp;ei=MGuoVdSSNuHfmgX67IDACA&amp;usg=AFQjCNGQ86IEynoiY4tv00JSrpNjTTzk5Q&amp;sig2=FusFC7xloIzdkVOmGd7ASQ&amp;bvm=bv.98197061,d.dGY</vt:lpwstr>
      </vt:variant>
      <vt:variant>
        <vt:lpwstr/>
      </vt:variant>
      <vt:variant>
        <vt:i4>5177372</vt:i4>
      </vt:variant>
      <vt:variant>
        <vt:i4>15</vt:i4>
      </vt:variant>
      <vt:variant>
        <vt:i4>0</vt:i4>
      </vt:variant>
      <vt:variant>
        <vt:i4>5</vt:i4>
      </vt:variant>
      <vt:variant>
        <vt:lpwstr>http://www.finance.gov.au/sites/default/files/australian-government-cost-recovery-guidelines.pdf</vt:lpwstr>
      </vt:variant>
      <vt:variant>
        <vt:lpwstr/>
      </vt:variant>
      <vt:variant>
        <vt:i4>5636166</vt:i4>
      </vt:variant>
      <vt:variant>
        <vt:i4>0</vt:i4>
      </vt:variant>
      <vt:variant>
        <vt:i4>0</vt:i4>
      </vt:variant>
      <vt:variant>
        <vt:i4>5</vt:i4>
      </vt:variant>
      <vt:variant>
        <vt:lpwstr>https://www.treasury.govt.nz/sites/default/files/2017-04/settingcharges-apr17.pdf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PFA SECTION 04(D) – 2006/07 SOI GUIDANCE</dc:title>
  <dc:subject/>
  <dc:creator>Geraldine Bruin</dc:creator>
  <cp:keywords/>
  <cp:lastModifiedBy>John Wilson</cp:lastModifiedBy>
  <cp:revision>4</cp:revision>
  <cp:lastPrinted>2022-03-13T20:10:00Z</cp:lastPrinted>
  <dcterms:created xsi:type="dcterms:W3CDTF">2022-04-26T22:20:00Z</dcterms:created>
  <dcterms:modified xsi:type="dcterms:W3CDTF">2022-04-26T22:20:00Z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yUpdateFooter">
    <vt:bool>false</vt:bool>
  </property>
  <property fmtid="{D5CDD505-2E9C-101B-9397-08002B2CF9AE}" pid="3" name="TsySecurityClassification">
    <vt:lpwstr>IN-CONFIDENCE</vt:lpwstr>
  </property>
  <property fmtid="{D5CDD505-2E9C-101B-9397-08002B2CF9AE}" pid="4" name="TsyDisplayedSecurityClassification">
    <vt:lpwstr>IN-CONFIDENCE</vt:lpwstr>
  </property>
  <property fmtid="{D5CDD505-2E9C-101B-9397-08002B2CF9AE}" pid="5" name="TsySeemailSecurityClassification">
    <vt:lpwstr> [IN-CONFIDENCE]</vt:lpwstr>
  </property>
  <property fmtid="{D5CDD505-2E9C-101B-9397-08002B2CF9AE}" pid="6" name="TsyDocNum">
    <vt:i4>3252791</vt:i4>
  </property>
  <property fmtid="{D5CDD505-2E9C-101B-9397-08002B2CF9AE}" pid="7" name="TsyDocVer">
    <vt:i4>4</vt:i4>
  </property>
  <property fmtid="{D5CDD505-2E9C-101B-9397-08002B2CF9AE}" pid="8" name="TsyDisplayedDocNumVer">
    <vt:lpwstr>Treasury:3252791v4</vt:lpwstr>
  </property>
  <property fmtid="{D5CDD505-2E9C-101B-9397-08002B2CF9AE}" pid="9" name="TsyFileNo">
    <vt:lpwstr>SH-11-2-7-2</vt:lpwstr>
  </property>
  <property fmtid="{D5CDD505-2E9C-101B-9397-08002B2CF9AE}" pid="10" name="TsyDescription">
    <vt:lpwstr>Stage 2 Cost Recovery Impact Statement - web version</vt:lpwstr>
  </property>
  <property fmtid="{D5CDD505-2E9C-101B-9397-08002B2CF9AE}" pid="11" name="TsyTrNum">
    <vt:lpwstr> </vt:lpwstr>
  </property>
  <property fmtid="{D5CDD505-2E9C-101B-9397-08002B2CF9AE}" pid="12" name="TsyOiaNum">
    <vt:lpwstr> </vt:lpwstr>
  </property>
  <property fmtid="{D5CDD505-2E9C-101B-9397-08002B2CF9AE}" pid="13" name="TsyManagerUsername">
    <vt:lpwstr> </vt:lpwstr>
  </property>
  <property fmtid="{D5CDD505-2E9C-101B-9397-08002B2CF9AE}" pid="14" name="TsyManagerFullname">
    <vt:lpwstr> </vt:lpwstr>
  </property>
  <property fmtid="{D5CDD505-2E9C-101B-9397-08002B2CF9AE}" pid="15" name="TsyHeaderFooterPropertyVersion">
    <vt:i4>1</vt:i4>
  </property>
  <property fmtid="{D5CDD505-2E9C-101B-9397-08002B2CF9AE}" pid="16" name="TsyAuthorUsername">
    <vt:lpwstr>SPENCEN</vt:lpwstr>
  </property>
  <property fmtid="{D5CDD505-2E9C-101B-9397-08002B2CF9AE}" pid="17" name="TsyAuthorFullname">
    <vt:lpwstr>Nathan Spence</vt:lpwstr>
  </property>
  <property fmtid="{D5CDD505-2E9C-101B-9397-08002B2CF9AE}" pid="18" name="m4b7cad729d540cc87a02edd2c660710">
    <vt:lpwstr>Correspondence|dcd6b05f-dc80-4336-b228-09aebf3d212c</vt:lpwstr>
  </property>
  <property fmtid="{D5CDD505-2E9C-101B-9397-08002B2CF9AE}" pid="19" name="_dlc_DocId">
    <vt:lpwstr>C326EWCD6JZ2-749981098-915</vt:lpwstr>
  </property>
  <property fmtid="{D5CDD505-2E9C-101B-9397-08002B2CF9AE}" pid="20" name="_dlc_DocIdItemGuid">
    <vt:lpwstr>8a95e750-f307-44fe-93aa-134931dd00d4</vt:lpwstr>
  </property>
  <property fmtid="{D5CDD505-2E9C-101B-9397-08002B2CF9AE}" pid="21" name="_dlc_DocIdUrl">
    <vt:lpwstr>https://dia.cohesion.net.nz/sites/TEA/COMM/_layouts/15/DocIdRedir.aspx?ID=C326EWCD6JZ2-749981098-915, C326EWCD6JZ2-749981098-915</vt:lpwstr>
  </property>
  <property fmtid="{D5CDD505-2E9C-101B-9397-08002B2CF9AE}" pid="22" name="C3Topic">
    <vt:lpwstr>16146;#2022 Passport Fee Review|6769cdca-3323-4c96-92da-fdbaefc8e746</vt:lpwstr>
  </property>
  <property fmtid="{D5CDD505-2E9C-101B-9397-08002B2CF9AE}" pid="23" name="TaxKeyword">
    <vt:lpwstr/>
  </property>
  <property fmtid="{D5CDD505-2E9C-101B-9397-08002B2CF9AE}" pid="24" name="DIASecurityClassification">
    <vt:lpwstr>476;#SENSITIVE|77f4172b-882e-4297-814d-b2ee26b4bdfb</vt:lpwstr>
  </property>
  <property fmtid="{D5CDD505-2E9C-101B-9397-08002B2CF9AE}" pid="25" name="DIAEmailContentType">
    <vt:lpwstr>23;#Correspondence|dcd6b05f-dc80-4336-b228-09aebf3d212c</vt:lpwstr>
  </property>
  <property fmtid="{D5CDD505-2E9C-101B-9397-08002B2CF9AE}" pid="26" name="DIAPlanningDocumentType">
    <vt:lpwstr/>
  </property>
  <property fmtid="{D5CDD505-2E9C-101B-9397-08002B2CF9AE}" pid="27" name="ContentTypeId">
    <vt:lpwstr>0x0101005496552013C0BA46BE88192D5C6EB20B0015FC31BDD77A41B1B3FE00733A6FDA210067E581E7B18350468869B77D57422646</vt:lpwstr>
  </property>
</Properties>
</file>