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B4AB" w14:textId="1410EDBE" w:rsidR="00EF50FD" w:rsidRPr="00A864A5" w:rsidRDefault="00254712" w:rsidP="00EF50FD">
      <w:pPr>
        <w:pStyle w:val="Heading1"/>
        <w:spacing w:before="0" w:after="120" w:line="276" w:lineRule="auto"/>
        <w:rPr>
          <w:color w:val="0082AB"/>
          <w:lang w:val="en-NZ"/>
        </w:rPr>
      </w:pPr>
      <w:r>
        <w:rPr>
          <w:color w:val="0082AB"/>
          <w:lang w:val="en-NZ"/>
        </w:rPr>
        <w:t xml:space="preserve">Interim </w:t>
      </w:r>
      <w:r w:rsidR="00EF50FD" w:rsidRPr="00A864A5">
        <w:rPr>
          <w:color w:val="0082AB"/>
          <w:lang w:val="en-NZ"/>
        </w:rPr>
        <w:t xml:space="preserve">Regulatory Impact Statement: </w:t>
      </w:r>
      <w:r w:rsidR="0045592C">
        <w:rPr>
          <w:color w:val="0082AB"/>
          <w:lang w:val="en-NZ"/>
        </w:rPr>
        <w:t xml:space="preserve">Regulations to support the </w:t>
      </w:r>
      <w:r w:rsidR="00036FE7">
        <w:rPr>
          <w:color w:val="0082AB"/>
          <w:lang w:val="en-NZ"/>
        </w:rPr>
        <w:t>self-identification</w:t>
      </w:r>
      <w:r w:rsidR="0045592C">
        <w:rPr>
          <w:color w:val="0082AB"/>
          <w:lang w:val="en-NZ"/>
        </w:rPr>
        <w:t xml:space="preserve"> process for recognising gender on birth certificates</w:t>
      </w:r>
    </w:p>
    <w:p w14:paraId="3BD94C32" w14:textId="2F835BE6" w:rsidR="0062657E" w:rsidRPr="00A864A5" w:rsidRDefault="0017116F" w:rsidP="00802AB2">
      <w:pPr>
        <w:pStyle w:val="Heading2"/>
        <w:rPr>
          <w:lang w:val="en-NZ"/>
        </w:rPr>
      </w:pPr>
      <w:r w:rsidRPr="00A864A5">
        <w:rPr>
          <w:lang w:val="en-NZ"/>
        </w:rPr>
        <w:t>Covershee</w:t>
      </w:r>
      <w:r w:rsidR="00EF50FD" w:rsidRPr="00A864A5">
        <w:rPr>
          <w:lang w:val="en-NZ"/>
        </w:rPr>
        <w:t>t</w:t>
      </w:r>
    </w:p>
    <w:p w14:paraId="6DD276F7" w14:textId="7DC5C400" w:rsidR="0062657E" w:rsidRPr="00A864A5" w:rsidRDefault="0062657E" w:rsidP="00743278">
      <w:pPr>
        <w:pStyle w:val="spacer"/>
        <w:rPr>
          <w:lang w:val="en-NZ"/>
        </w:rPr>
      </w:pPr>
    </w:p>
    <w:tbl>
      <w:tblPr>
        <w:tblW w:w="5000" w:type="pct"/>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600" w:firstRow="0" w:lastRow="0" w:firstColumn="0" w:lastColumn="0" w:noHBand="1" w:noVBand="1"/>
      </w:tblPr>
      <w:tblGrid>
        <w:gridCol w:w="2406"/>
        <w:gridCol w:w="6654"/>
      </w:tblGrid>
      <w:tr w:rsidR="001F29E6" w:rsidRPr="00A864A5" w14:paraId="24CAC5A8" w14:textId="77777777" w:rsidTr="006448CF">
        <w:tc>
          <w:tcPr>
            <w:tcW w:w="5000" w:type="pct"/>
            <w:gridSpan w:val="2"/>
            <w:tcBorders>
              <w:bottom w:val="single" w:sz="4" w:space="0" w:color="DDDDDD"/>
            </w:tcBorders>
            <w:shd w:val="clear" w:color="auto" w:fill="99CDDD"/>
            <w:hideMark/>
          </w:tcPr>
          <w:p w14:paraId="3273EFFF" w14:textId="48C848C9" w:rsidR="001F29E6" w:rsidRPr="00A864A5" w:rsidRDefault="001F29E6" w:rsidP="002B1B9D">
            <w:pPr>
              <w:pStyle w:val="TableHeadings"/>
              <w:rPr>
                <w:color w:val="002060"/>
                <w:szCs w:val="22"/>
                <w:lang w:val="en-NZ"/>
              </w:rPr>
            </w:pPr>
            <w:bookmarkStart w:id="0" w:name="_Hlk47357107"/>
            <w:r w:rsidRPr="00A864A5">
              <w:rPr>
                <w:szCs w:val="22"/>
                <w:lang w:val="en-NZ"/>
              </w:rPr>
              <w:t>Purpose</w:t>
            </w:r>
            <w:r w:rsidR="002C0E77">
              <w:rPr>
                <w:szCs w:val="22"/>
                <w:lang w:val="en-NZ"/>
              </w:rPr>
              <w:t xml:space="preserve"> of Document</w:t>
            </w:r>
          </w:p>
        </w:tc>
      </w:tr>
      <w:tr w:rsidR="001F29E6" w:rsidRPr="00A864A5" w14:paraId="24C44C49" w14:textId="77777777" w:rsidTr="006448CF">
        <w:trPr>
          <w:trHeight w:val="414"/>
        </w:trPr>
        <w:tc>
          <w:tcPr>
            <w:tcW w:w="1328" w:type="pct"/>
            <w:tcBorders>
              <w:top w:val="nil"/>
            </w:tcBorders>
            <w:shd w:val="clear" w:color="auto" w:fill="EBF5F8"/>
          </w:tcPr>
          <w:p w14:paraId="120D8478" w14:textId="731F9FCE" w:rsidR="001F29E6" w:rsidRPr="00A864A5" w:rsidRDefault="001F29E6" w:rsidP="002B1B9D">
            <w:pPr>
              <w:rPr>
                <w:rFonts w:cs="Arial"/>
                <w:iCs/>
                <w:color w:val="000000"/>
                <w:szCs w:val="22"/>
                <w:lang w:val="en-NZ"/>
              </w:rPr>
            </w:pPr>
            <w:r w:rsidRPr="00A864A5">
              <w:rPr>
                <w:rFonts w:cs="Arial"/>
                <w:iCs/>
                <w:color w:val="000000"/>
                <w:szCs w:val="22"/>
                <w:lang w:val="en-NZ"/>
              </w:rPr>
              <w:t xml:space="preserve">Decision </w:t>
            </w:r>
            <w:r w:rsidR="002C0E77">
              <w:rPr>
                <w:rFonts w:cs="Arial"/>
                <w:iCs/>
                <w:color w:val="000000"/>
                <w:szCs w:val="22"/>
                <w:lang w:val="en-NZ"/>
              </w:rPr>
              <w:t>s</w:t>
            </w:r>
            <w:r w:rsidRPr="00A864A5">
              <w:rPr>
                <w:rFonts w:cs="Arial"/>
                <w:iCs/>
                <w:color w:val="000000"/>
                <w:szCs w:val="22"/>
                <w:lang w:val="en-NZ"/>
              </w:rPr>
              <w:t>ought:</w:t>
            </w:r>
          </w:p>
        </w:tc>
        <w:tc>
          <w:tcPr>
            <w:tcW w:w="3672" w:type="pct"/>
            <w:tcBorders>
              <w:top w:val="nil"/>
            </w:tcBorders>
            <w:shd w:val="clear" w:color="auto" w:fill="auto"/>
          </w:tcPr>
          <w:p w14:paraId="2B9F992E" w14:textId="3A7508CE" w:rsidR="001F29E6" w:rsidRPr="00EA65E2" w:rsidRDefault="00EA65E2" w:rsidP="002B1B9D">
            <w:pPr>
              <w:rPr>
                <w:rFonts w:cs="Arial"/>
                <w:color w:val="000000"/>
                <w:szCs w:val="22"/>
                <w:lang w:val="en-NZ"/>
              </w:rPr>
            </w:pPr>
            <w:r w:rsidRPr="00EA65E2">
              <w:rPr>
                <w:rFonts w:cs="Arial"/>
                <w:color w:val="000000"/>
                <w:szCs w:val="22"/>
                <w:lang w:val="en-NZ"/>
              </w:rPr>
              <w:t>Release of a public discussion document seeking views on measures to support the self-identification process for amending registered sex</w:t>
            </w:r>
            <w:r w:rsidR="0011738B">
              <w:rPr>
                <w:rFonts w:cs="Arial"/>
                <w:color w:val="000000"/>
                <w:szCs w:val="22"/>
                <w:lang w:val="en-NZ"/>
              </w:rPr>
              <w:t xml:space="preserve">. This discussion document also seeks </w:t>
            </w:r>
            <w:r w:rsidR="00DB63E2">
              <w:rPr>
                <w:rFonts w:cs="Arial"/>
                <w:color w:val="000000"/>
                <w:szCs w:val="22"/>
                <w:lang w:val="en-NZ"/>
              </w:rPr>
              <w:t xml:space="preserve">views on introducing a self-identification process for New Zealanders born </w:t>
            </w:r>
            <w:r w:rsidR="00D2107A">
              <w:rPr>
                <w:rFonts w:cs="Arial"/>
                <w:color w:val="000000"/>
                <w:szCs w:val="22"/>
                <w:lang w:val="en-NZ"/>
              </w:rPr>
              <w:t>overseas but</w:t>
            </w:r>
            <w:r w:rsidR="00DB63E2">
              <w:rPr>
                <w:rFonts w:cs="Arial"/>
                <w:color w:val="000000"/>
                <w:szCs w:val="22"/>
                <w:lang w:val="en-NZ"/>
              </w:rPr>
              <w:t xml:space="preserve"> is not subject to the </w:t>
            </w:r>
            <w:r w:rsidR="00D36A22">
              <w:rPr>
                <w:rFonts w:cs="Arial"/>
                <w:color w:val="000000"/>
                <w:szCs w:val="22"/>
                <w:lang w:val="en-NZ"/>
              </w:rPr>
              <w:t>RIS</w:t>
            </w:r>
            <w:r w:rsidR="00DB63E2">
              <w:rPr>
                <w:rFonts w:cs="Arial"/>
                <w:color w:val="000000"/>
                <w:szCs w:val="22"/>
                <w:lang w:val="en-NZ"/>
              </w:rPr>
              <w:t xml:space="preserve"> requirements at this stage.</w:t>
            </w:r>
          </w:p>
        </w:tc>
      </w:tr>
      <w:tr w:rsidR="001F29E6" w:rsidRPr="00A864A5" w14:paraId="2895A1B0" w14:textId="77777777" w:rsidTr="006448CF">
        <w:trPr>
          <w:trHeight w:val="506"/>
        </w:trPr>
        <w:tc>
          <w:tcPr>
            <w:tcW w:w="1328" w:type="pct"/>
            <w:tcBorders>
              <w:top w:val="nil"/>
            </w:tcBorders>
            <w:shd w:val="clear" w:color="auto" w:fill="EBF5F8"/>
          </w:tcPr>
          <w:p w14:paraId="19AF4671" w14:textId="697D59E7" w:rsidR="001F29E6" w:rsidRPr="00A864A5" w:rsidRDefault="002C0E77" w:rsidP="002B1B9D">
            <w:pPr>
              <w:rPr>
                <w:rFonts w:cs="Arial"/>
                <w:iCs/>
                <w:color w:val="000000"/>
                <w:szCs w:val="22"/>
                <w:lang w:val="en-NZ"/>
              </w:rPr>
            </w:pPr>
            <w:r>
              <w:rPr>
                <w:rFonts w:cs="Arial"/>
                <w:iCs/>
                <w:color w:val="000000"/>
                <w:szCs w:val="22"/>
                <w:lang w:val="en-NZ"/>
              </w:rPr>
              <w:t>Advising agencies</w:t>
            </w:r>
            <w:r w:rsidR="007F3B1C">
              <w:rPr>
                <w:rFonts w:cs="Arial"/>
                <w:iCs/>
                <w:color w:val="000000"/>
                <w:szCs w:val="22"/>
                <w:lang w:val="en-NZ"/>
              </w:rPr>
              <w:t>:</w:t>
            </w:r>
          </w:p>
        </w:tc>
        <w:tc>
          <w:tcPr>
            <w:tcW w:w="3672" w:type="pct"/>
            <w:tcBorders>
              <w:top w:val="nil"/>
            </w:tcBorders>
            <w:shd w:val="clear" w:color="auto" w:fill="auto"/>
          </w:tcPr>
          <w:p w14:paraId="742E202F" w14:textId="37787A7F" w:rsidR="001F29E6" w:rsidRPr="00EA65E2" w:rsidRDefault="00825237" w:rsidP="002B1B9D">
            <w:pPr>
              <w:rPr>
                <w:rFonts w:cs="Arial"/>
                <w:color w:val="000000"/>
                <w:szCs w:val="22"/>
                <w:lang w:val="en-NZ"/>
              </w:rPr>
            </w:pPr>
            <w:r w:rsidRPr="00EA65E2">
              <w:rPr>
                <w:rFonts w:cs="Arial"/>
                <w:color w:val="000000"/>
                <w:szCs w:val="22"/>
                <w:lang w:val="en-NZ"/>
              </w:rPr>
              <w:t>Department of Internal Affairs</w:t>
            </w:r>
          </w:p>
        </w:tc>
      </w:tr>
      <w:tr w:rsidR="001F29E6" w:rsidRPr="00A864A5" w14:paraId="568C5BEC" w14:textId="77777777" w:rsidTr="006448CF">
        <w:trPr>
          <w:trHeight w:val="317"/>
        </w:trPr>
        <w:tc>
          <w:tcPr>
            <w:tcW w:w="1328" w:type="pct"/>
            <w:tcBorders>
              <w:top w:val="nil"/>
            </w:tcBorders>
            <w:shd w:val="clear" w:color="auto" w:fill="EBF5F8"/>
          </w:tcPr>
          <w:p w14:paraId="0F68A519" w14:textId="4F678206" w:rsidR="001F29E6" w:rsidRPr="00A864A5" w:rsidRDefault="001F29E6" w:rsidP="002B1B9D">
            <w:pPr>
              <w:rPr>
                <w:rFonts w:cs="Arial"/>
                <w:iCs/>
                <w:color w:val="000000"/>
                <w:szCs w:val="22"/>
                <w:lang w:val="en-NZ"/>
              </w:rPr>
            </w:pPr>
            <w:r w:rsidRPr="00A864A5">
              <w:rPr>
                <w:rFonts w:cs="Arial"/>
                <w:iCs/>
                <w:color w:val="000000"/>
                <w:szCs w:val="22"/>
                <w:lang w:val="en-NZ"/>
              </w:rPr>
              <w:t>Proposing Minister</w:t>
            </w:r>
            <w:r w:rsidR="000C29FA">
              <w:rPr>
                <w:rFonts w:cs="Arial"/>
                <w:iCs/>
                <w:color w:val="000000"/>
                <w:szCs w:val="22"/>
                <w:lang w:val="en-NZ"/>
              </w:rPr>
              <w:t>s:</w:t>
            </w:r>
          </w:p>
        </w:tc>
        <w:tc>
          <w:tcPr>
            <w:tcW w:w="3672" w:type="pct"/>
            <w:tcBorders>
              <w:top w:val="nil"/>
            </w:tcBorders>
            <w:shd w:val="clear" w:color="auto" w:fill="auto"/>
          </w:tcPr>
          <w:p w14:paraId="3C92607C" w14:textId="3BCCD9DB" w:rsidR="001F29E6" w:rsidRPr="00EA65E2" w:rsidRDefault="00825237" w:rsidP="002B1B9D">
            <w:pPr>
              <w:rPr>
                <w:rFonts w:cs="Arial"/>
                <w:color w:val="000000"/>
                <w:szCs w:val="22"/>
                <w:lang w:val="en-NZ"/>
              </w:rPr>
            </w:pPr>
            <w:r w:rsidRPr="00EA65E2">
              <w:rPr>
                <w:rFonts w:cs="Arial"/>
                <w:color w:val="000000"/>
                <w:szCs w:val="22"/>
                <w:lang w:val="en-NZ"/>
              </w:rPr>
              <w:t>Minister of Internal Affairs</w:t>
            </w:r>
          </w:p>
        </w:tc>
      </w:tr>
      <w:tr w:rsidR="00C11B3B" w:rsidRPr="00A864A5" w14:paraId="73C7C7FD" w14:textId="77777777" w:rsidTr="006448CF">
        <w:trPr>
          <w:trHeight w:val="202"/>
        </w:trPr>
        <w:tc>
          <w:tcPr>
            <w:tcW w:w="1328" w:type="pct"/>
            <w:tcBorders>
              <w:top w:val="nil"/>
            </w:tcBorders>
            <w:shd w:val="clear" w:color="auto" w:fill="EBF5F8"/>
          </w:tcPr>
          <w:p w14:paraId="5B57759D" w14:textId="6F936C83" w:rsidR="00C11B3B" w:rsidRPr="00A864A5" w:rsidRDefault="00C11B3B" w:rsidP="002B1B9D">
            <w:pPr>
              <w:rPr>
                <w:rFonts w:cs="Arial"/>
                <w:iCs/>
                <w:color w:val="000000"/>
                <w:szCs w:val="22"/>
                <w:lang w:val="en-NZ"/>
              </w:rPr>
            </w:pPr>
            <w:r w:rsidRPr="00A864A5">
              <w:rPr>
                <w:rFonts w:cs="Arial"/>
                <w:iCs/>
                <w:color w:val="000000"/>
                <w:szCs w:val="22"/>
                <w:lang w:val="en-NZ"/>
              </w:rPr>
              <w:t>Date</w:t>
            </w:r>
            <w:r w:rsidR="002C0E77">
              <w:rPr>
                <w:rFonts w:cs="Arial"/>
                <w:iCs/>
                <w:color w:val="000000"/>
                <w:szCs w:val="22"/>
                <w:lang w:val="en-NZ"/>
              </w:rPr>
              <w:t xml:space="preserve"> finalised</w:t>
            </w:r>
            <w:r w:rsidRPr="00A864A5">
              <w:rPr>
                <w:rFonts w:cs="Arial"/>
                <w:iCs/>
                <w:color w:val="000000"/>
                <w:szCs w:val="22"/>
                <w:lang w:val="en-NZ"/>
              </w:rPr>
              <w:t>:</w:t>
            </w:r>
          </w:p>
        </w:tc>
        <w:tc>
          <w:tcPr>
            <w:tcW w:w="3672" w:type="pct"/>
            <w:tcBorders>
              <w:top w:val="nil"/>
            </w:tcBorders>
            <w:shd w:val="clear" w:color="auto" w:fill="auto"/>
          </w:tcPr>
          <w:p w14:paraId="4547EFD0" w14:textId="3EB30861" w:rsidR="00C11B3B" w:rsidRPr="00770650" w:rsidRDefault="00770650" w:rsidP="002B1B9D">
            <w:pPr>
              <w:rPr>
                <w:rFonts w:cs="Arial"/>
                <w:iCs/>
                <w:color w:val="000000"/>
                <w:szCs w:val="22"/>
                <w:lang w:val="en-NZ"/>
              </w:rPr>
            </w:pPr>
            <w:r>
              <w:rPr>
                <w:rFonts w:cs="Arial"/>
                <w:iCs/>
                <w:color w:val="000000"/>
                <w:szCs w:val="22"/>
                <w:lang w:val="en-NZ"/>
              </w:rPr>
              <w:t>6 May 2022</w:t>
            </w:r>
            <w:r w:rsidR="00E375E2">
              <w:rPr>
                <w:rFonts w:cs="Arial"/>
                <w:iCs/>
                <w:color w:val="000000"/>
                <w:szCs w:val="22"/>
                <w:lang w:val="en-NZ"/>
              </w:rPr>
              <w:t xml:space="preserve"> </w:t>
            </w:r>
          </w:p>
        </w:tc>
      </w:tr>
      <w:tr w:rsidR="0079435C" w:rsidRPr="00A864A5" w14:paraId="7F643A0E" w14:textId="77777777" w:rsidTr="006448CF">
        <w:tc>
          <w:tcPr>
            <w:tcW w:w="5000" w:type="pct"/>
            <w:gridSpan w:val="2"/>
            <w:tcBorders>
              <w:bottom w:val="single" w:sz="4" w:space="0" w:color="DDDDDD"/>
            </w:tcBorders>
            <w:shd w:val="clear" w:color="auto" w:fill="99CDDD"/>
            <w:hideMark/>
          </w:tcPr>
          <w:p w14:paraId="7F446F06" w14:textId="570ED786" w:rsidR="0079435C" w:rsidRPr="00A864A5" w:rsidRDefault="0079435C" w:rsidP="002B1B9D">
            <w:pPr>
              <w:pStyle w:val="TableHeadings"/>
              <w:rPr>
                <w:color w:val="002060"/>
                <w:szCs w:val="22"/>
                <w:lang w:val="en-NZ"/>
              </w:rPr>
            </w:pPr>
            <w:r w:rsidRPr="00A864A5">
              <w:rPr>
                <w:szCs w:val="22"/>
                <w:lang w:val="en-NZ"/>
              </w:rPr>
              <w:t>Problem Definition</w:t>
            </w:r>
          </w:p>
        </w:tc>
      </w:tr>
      <w:tr w:rsidR="0079435C" w:rsidRPr="00A864A5" w14:paraId="058C86B2" w14:textId="77777777" w:rsidTr="006448CF">
        <w:trPr>
          <w:trHeight w:val="824"/>
        </w:trPr>
        <w:tc>
          <w:tcPr>
            <w:tcW w:w="5000" w:type="pct"/>
            <w:gridSpan w:val="2"/>
            <w:tcBorders>
              <w:top w:val="nil"/>
            </w:tcBorders>
            <w:shd w:val="clear" w:color="auto" w:fill="auto"/>
          </w:tcPr>
          <w:p w14:paraId="203D6104" w14:textId="06B72CDD" w:rsidR="001E05A9" w:rsidRDefault="00FB6B18" w:rsidP="00904610">
            <w:pPr>
              <w:tabs>
                <w:tab w:val="left" w:pos="7424"/>
                <w:tab w:val="right" w:pos="8636"/>
              </w:tabs>
              <w:spacing w:line="240" w:lineRule="auto"/>
              <w:rPr>
                <w:rFonts w:cs="Arial"/>
              </w:rPr>
            </w:pPr>
            <w:r>
              <w:rPr>
                <w:rFonts w:cs="Arial"/>
              </w:rPr>
              <w:t xml:space="preserve">The self-identification process </w:t>
            </w:r>
            <w:r w:rsidR="00A866B1">
              <w:rPr>
                <w:rFonts w:cs="Arial"/>
              </w:rPr>
              <w:t>was</w:t>
            </w:r>
            <w:r>
              <w:rPr>
                <w:rFonts w:cs="Arial"/>
              </w:rPr>
              <w:t xml:space="preserve"> introduced to make it easier for individuals to apply to </w:t>
            </w:r>
            <w:r w:rsidR="007A0045">
              <w:rPr>
                <w:rFonts w:cs="Arial"/>
              </w:rPr>
              <w:t>amend</w:t>
            </w:r>
            <w:r>
              <w:rPr>
                <w:rFonts w:cs="Arial"/>
              </w:rPr>
              <w:t xml:space="preserve"> </w:t>
            </w:r>
            <w:r w:rsidR="007A0045">
              <w:rPr>
                <w:rFonts w:cs="Arial"/>
              </w:rPr>
              <w:t xml:space="preserve">the </w:t>
            </w:r>
            <w:r>
              <w:rPr>
                <w:rFonts w:cs="Arial"/>
              </w:rPr>
              <w:t>sex shown on their birth certificate</w:t>
            </w:r>
            <w:r w:rsidR="00A866B1">
              <w:rPr>
                <w:rFonts w:cs="Arial"/>
              </w:rPr>
              <w:t xml:space="preserve"> so that it</w:t>
            </w:r>
            <w:r>
              <w:rPr>
                <w:rFonts w:cs="Arial"/>
              </w:rPr>
              <w:t xml:space="preserve"> aligns with their</w:t>
            </w:r>
            <w:r w:rsidR="007A0045">
              <w:rPr>
                <w:rFonts w:cs="Arial"/>
              </w:rPr>
              <w:t xml:space="preserve"> gender.</w:t>
            </w:r>
            <w:r w:rsidR="001E05A9">
              <w:rPr>
                <w:rFonts w:cs="Arial"/>
              </w:rPr>
              <w:t xml:space="preserve"> </w:t>
            </w:r>
            <w:r>
              <w:rPr>
                <w:rFonts w:cs="Arial"/>
              </w:rPr>
              <w:t>P</w:t>
            </w:r>
            <w:r w:rsidR="001E05A9">
              <w:rPr>
                <w:rFonts w:cs="Arial"/>
              </w:rPr>
              <w:t>eople will no longer have to apply through the Family Court</w:t>
            </w:r>
            <w:r w:rsidR="0020106B">
              <w:rPr>
                <w:rFonts w:cs="Arial"/>
              </w:rPr>
              <w:t xml:space="preserve"> or prove that they have undertaken medical treatment to align their registered sex with their gender</w:t>
            </w:r>
            <w:r w:rsidR="001E05A9">
              <w:rPr>
                <w:rFonts w:cs="Arial"/>
              </w:rPr>
              <w:t>.</w:t>
            </w:r>
            <w:r>
              <w:rPr>
                <w:rFonts w:cs="Arial"/>
              </w:rPr>
              <w:t xml:space="preserve"> Instead, they will assert their gender on a statutory declaration.</w:t>
            </w:r>
            <w:r w:rsidR="001E05A9">
              <w:rPr>
                <w:rFonts w:cs="Arial"/>
              </w:rPr>
              <w:t xml:space="preserve"> </w:t>
            </w:r>
            <w:r>
              <w:rPr>
                <w:rFonts w:cs="Arial"/>
              </w:rPr>
              <w:t xml:space="preserve">The new process </w:t>
            </w:r>
            <w:r w:rsidR="00BA346F">
              <w:rPr>
                <w:rFonts w:cs="Arial"/>
              </w:rPr>
              <w:t xml:space="preserve">supports all New Zealanders to assert their identity </w:t>
            </w:r>
            <w:proofErr w:type="gramStart"/>
            <w:r w:rsidR="00BA346F">
              <w:rPr>
                <w:rFonts w:cs="Arial"/>
              </w:rPr>
              <w:t>in order to</w:t>
            </w:r>
            <w:proofErr w:type="gramEnd"/>
            <w:r w:rsidR="00BA346F">
              <w:rPr>
                <w:rFonts w:cs="Arial"/>
              </w:rPr>
              <w:t xml:space="preserve"> access services, </w:t>
            </w:r>
            <w:r>
              <w:rPr>
                <w:rFonts w:cs="Arial"/>
              </w:rPr>
              <w:t xml:space="preserve">makes birth certificates more inclusive and </w:t>
            </w:r>
            <w:r w:rsidR="00814BA4">
              <w:rPr>
                <w:rFonts w:cs="Arial"/>
              </w:rPr>
              <w:t xml:space="preserve">will </w:t>
            </w:r>
            <w:r>
              <w:rPr>
                <w:rFonts w:cs="Arial"/>
              </w:rPr>
              <w:t>support people’s autonomy over how their gender is recognised.</w:t>
            </w:r>
          </w:p>
          <w:p w14:paraId="4EBB6131" w14:textId="3C40CF1C" w:rsidR="00F006DB" w:rsidRPr="00814BA4" w:rsidRDefault="00FB6B18" w:rsidP="00904610">
            <w:pPr>
              <w:tabs>
                <w:tab w:val="left" w:pos="7424"/>
                <w:tab w:val="right" w:pos="8636"/>
              </w:tabs>
              <w:spacing w:line="240" w:lineRule="auto"/>
              <w:rPr>
                <w:rFonts w:cs="Arial"/>
                <w:szCs w:val="22"/>
                <w:lang w:val="en-NZ"/>
              </w:rPr>
            </w:pPr>
            <w:r>
              <w:rPr>
                <w:rFonts w:cs="Arial"/>
              </w:rPr>
              <w:t xml:space="preserve">There are </w:t>
            </w:r>
            <w:r w:rsidR="007A0045">
              <w:rPr>
                <w:rFonts w:cs="Arial"/>
              </w:rPr>
              <w:t>further</w:t>
            </w:r>
            <w:r w:rsidR="008F1C19">
              <w:rPr>
                <w:rFonts w:cs="Arial"/>
              </w:rPr>
              <w:t>, mainly regulatory</w:t>
            </w:r>
            <w:r w:rsidR="00BA346F">
              <w:rPr>
                <w:rFonts w:cs="Arial"/>
              </w:rPr>
              <w:t>,</w:t>
            </w:r>
            <w:r w:rsidR="004633BF">
              <w:rPr>
                <w:rFonts w:cs="Arial"/>
              </w:rPr>
              <w:t xml:space="preserve"> measures </w:t>
            </w:r>
            <w:r>
              <w:rPr>
                <w:rFonts w:cs="Arial"/>
              </w:rPr>
              <w:t xml:space="preserve">needed to </w:t>
            </w:r>
            <w:r w:rsidR="00814BA4">
              <w:rPr>
                <w:rFonts w:cs="Arial"/>
              </w:rPr>
              <w:t>ensure the process is widely accessible and inclusive</w:t>
            </w:r>
            <w:r>
              <w:rPr>
                <w:rFonts w:cs="Arial"/>
              </w:rPr>
              <w:t>. Without these measures</w:t>
            </w:r>
            <w:r w:rsidR="00776F8B">
              <w:rPr>
                <w:rFonts w:cs="Arial"/>
              </w:rPr>
              <w:t>,</w:t>
            </w:r>
            <w:r w:rsidR="00814BA4">
              <w:rPr>
                <w:rFonts w:cs="Arial"/>
              </w:rPr>
              <w:t xml:space="preserve"> </w:t>
            </w:r>
            <w:r w:rsidR="007A0045">
              <w:rPr>
                <w:rFonts w:cs="Arial"/>
                <w:szCs w:val="22"/>
                <w:lang w:val="en-NZ"/>
              </w:rPr>
              <w:t xml:space="preserve">transgender children and </w:t>
            </w:r>
            <w:r w:rsidR="00C67705">
              <w:rPr>
                <w:rFonts w:cs="Arial"/>
                <w:szCs w:val="22"/>
                <w:lang w:val="en-NZ"/>
              </w:rPr>
              <w:t xml:space="preserve">people who are </w:t>
            </w:r>
            <w:r w:rsidR="005B065F">
              <w:rPr>
                <w:rFonts w:cs="Arial"/>
                <w:szCs w:val="22"/>
                <w:lang w:val="en-NZ"/>
              </w:rPr>
              <w:t>non-binary</w:t>
            </w:r>
            <w:r w:rsidR="00954080">
              <w:rPr>
                <w:rStyle w:val="FootnoteReference"/>
                <w:rFonts w:cs="Arial"/>
                <w:szCs w:val="22"/>
                <w:lang w:val="en-NZ"/>
              </w:rPr>
              <w:footnoteReference w:id="2"/>
            </w:r>
            <w:r w:rsidR="00F24B39">
              <w:rPr>
                <w:rFonts w:cs="Arial"/>
                <w:szCs w:val="22"/>
                <w:lang w:val="en-NZ"/>
              </w:rPr>
              <w:t xml:space="preserve"> </w:t>
            </w:r>
            <w:r w:rsidR="007A0045">
              <w:rPr>
                <w:rFonts w:cs="Arial"/>
                <w:szCs w:val="22"/>
                <w:lang w:val="en-NZ"/>
              </w:rPr>
              <w:t xml:space="preserve">will not gain the benefits of the </w:t>
            </w:r>
            <w:r w:rsidR="00814BA4">
              <w:rPr>
                <w:rFonts w:cs="Arial"/>
                <w:szCs w:val="22"/>
                <w:lang w:val="en-NZ"/>
              </w:rPr>
              <w:t>self-identification process.</w:t>
            </w:r>
            <w:r w:rsidR="005A64C4">
              <w:rPr>
                <w:rFonts w:cs="Arial"/>
                <w:szCs w:val="22"/>
                <w:lang w:val="en-NZ"/>
              </w:rPr>
              <w:t xml:space="preserve"> </w:t>
            </w:r>
            <w:r w:rsidR="00814BA4">
              <w:rPr>
                <w:rFonts w:cs="Arial"/>
                <w:szCs w:val="22"/>
                <w:lang w:val="en-NZ"/>
              </w:rPr>
              <w:t>T</w:t>
            </w:r>
            <w:r w:rsidRPr="00814BA4">
              <w:rPr>
                <w:rFonts w:cs="Arial"/>
                <w:szCs w:val="22"/>
                <w:lang w:val="en-NZ"/>
              </w:rPr>
              <w:t>here is</w:t>
            </w:r>
            <w:r w:rsidR="005A64C4">
              <w:rPr>
                <w:rFonts w:cs="Arial"/>
                <w:szCs w:val="22"/>
                <w:lang w:val="en-NZ"/>
              </w:rPr>
              <w:t xml:space="preserve"> also</w:t>
            </w:r>
            <w:r w:rsidRPr="00814BA4">
              <w:rPr>
                <w:rFonts w:cs="Arial"/>
                <w:szCs w:val="22"/>
                <w:lang w:val="en-NZ"/>
              </w:rPr>
              <w:t xml:space="preserve"> some risk that the process </w:t>
            </w:r>
            <w:r w:rsidR="00BA346F">
              <w:rPr>
                <w:rFonts w:cs="Arial"/>
                <w:szCs w:val="22"/>
                <w:lang w:val="en-NZ"/>
              </w:rPr>
              <w:t>c</w:t>
            </w:r>
            <w:r w:rsidRPr="00814BA4">
              <w:rPr>
                <w:rFonts w:cs="Arial"/>
                <w:szCs w:val="22"/>
                <w:lang w:val="en-NZ"/>
              </w:rPr>
              <w:t xml:space="preserve">ould be exploited for </w:t>
            </w:r>
            <w:r w:rsidR="007A0045" w:rsidRPr="00814BA4">
              <w:rPr>
                <w:rFonts w:cs="Arial"/>
                <w:szCs w:val="22"/>
                <w:lang w:val="en-NZ"/>
              </w:rPr>
              <w:t>identity fraud</w:t>
            </w:r>
            <w:r w:rsidR="00814BA4">
              <w:rPr>
                <w:rFonts w:cs="Arial"/>
                <w:szCs w:val="22"/>
                <w:lang w:val="en-NZ"/>
              </w:rPr>
              <w:t xml:space="preserve"> as birth certificates </w:t>
            </w:r>
            <w:r w:rsidR="0020106B">
              <w:rPr>
                <w:rFonts w:cs="Arial"/>
                <w:szCs w:val="22"/>
                <w:lang w:val="en-NZ"/>
              </w:rPr>
              <w:t>c</w:t>
            </w:r>
            <w:r w:rsidR="00814BA4">
              <w:rPr>
                <w:rFonts w:cs="Arial"/>
                <w:szCs w:val="22"/>
                <w:lang w:val="en-NZ"/>
              </w:rPr>
              <w:t>ould be more easily changed. There needs to be consideration of a proportionate response to this risk</w:t>
            </w:r>
            <w:r w:rsidR="00A866B1">
              <w:rPr>
                <w:rFonts w:cs="Arial"/>
                <w:szCs w:val="22"/>
                <w:lang w:val="en-NZ"/>
              </w:rPr>
              <w:t xml:space="preserve"> so</w:t>
            </w:r>
            <w:r w:rsidR="00814BA4">
              <w:rPr>
                <w:rFonts w:cs="Arial"/>
                <w:szCs w:val="22"/>
                <w:lang w:val="en-NZ"/>
              </w:rPr>
              <w:t xml:space="preserve"> that </w:t>
            </w:r>
            <w:r w:rsidR="00A866B1">
              <w:rPr>
                <w:rFonts w:cs="Arial"/>
                <w:szCs w:val="22"/>
                <w:lang w:val="en-NZ"/>
              </w:rPr>
              <w:t xml:space="preserve">it </w:t>
            </w:r>
            <w:r w:rsidR="00814BA4">
              <w:rPr>
                <w:rFonts w:cs="Arial"/>
                <w:szCs w:val="22"/>
                <w:lang w:val="en-NZ"/>
              </w:rPr>
              <w:t xml:space="preserve">does not </w:t>
            </w:r>
            <w:r w:rsidR="00435C29">
              <w:rPr>
                <w:rFonts w:cs="Arial"/>
                <w:szCs w:val="22"/>
                <w:lang w:val="en-NZ"/>
              </w:rPr>
              <w:t xml:space="preserve">significantly </w:t>
            </w:r>
            <w:r w:rsidR="00817163">
              <w:rPr>
                <w:rFonts w:cs="Arial"/>
                <w:szCs w:val="22"/>
                <w:lang w:val="en-NZ"/>
              </w:rPr>
              <w:t>affect</w:t>
            </w:r>
            <w:r w:rsidR="005A6AA0">
              <w:rPr>
                <w:rFonts w:cs="Arial"/>
                <w:szCs w:val="22"/>
                <w:lang w:val="en-NZ"/>
              </w:rPr>
              <w:t xml:space="preserve"> </w:t>
            </w:r>
            <w:r w:rsidR="00814BA4">
              <w:rPr>
                <w:rFonts w:cs="Arial"/>
                <w:szCs w:val="22"/>
                <w:lang w:val="en-NZ"/>
              </w:rPr>
              <w:t>the accessibility or inclusivity of the process.</w:t>
            </w:r>
          </w:p>
        </w:tc>
      </w:tr>
      <w:tr w:rsidR="00C93549" w:rsidRPr="00A864A5" w14:paraId="7CED8916" w14:textId="77777777" w:rsidTr="006448CF">
        <w:tc>
          <w:tcPr>
            <w:tcW w:w="5000" w:type="pct"/>
            <w:gridSpan w:val="2"/>
            <w:tcBorders>
              <w:bottom w:val="single" w:sz="4" w:space="0" w:color="DDDDDD"/>
            </w:tcBorders>
            <w:shd w:val="clear" w:color="auto" w:fill="99CDDD"/>
            <w:hideMark/>
          </w:tcPr>
          <w:p w14:paraId="163B530B" w14:textId="0ACEE607" w:rsidR="00C93549" w:rsidRPr="00A864A5" w:rsidRDefault="00063943" w:rsidP="002B1B9D">
            <w:pPr>
              <w:pStyle w:val="TableHeadings"/>
              <w:rPr>
                <w:color w:val="002060"/>
                <w:szCs w:val="22"/>
                <w:lang w:val="en-NZ"/>
              </w:rPr>
            </w:pPr>
            <w:bookmarkStart w:id="1" w:name="_Hlk57202117"/>
            <w:r w:rsidRPr="00A864A5">
              <w:rPr>
                <w:szCs w:val="22"/>
                <w:lang w:val="en-NZ"/>
              </w:rPr>
              <w:t>Exe</w:t>
            </w:r>
            <w:r w:rsidR="0079435C" w:rsidRPr="00A864A5">
              <w:rPr>
                <w:szCs w:val="22"/>
                <w:lang w:val="en-NZ"/>
              </w:rPr>
              <w:t>cutive Summary</w:t>
            </w:r>
          </w:p>
        </w:tc>
      </w:tr>
      <w:tr w:rsidR="00FE3199" w:rsidRPr="00A864A5" w14:paraId="6B25993E" w14:textId="77777777" w:rsidTr="006448CF">
        <w:trPr>
          <w:trHeight w:val="944"/>
        </w:trPr>
        <w:tc>
          <w:tcPr>
            <w:tcW w:w="5000" w:type="pct"/>
            <w:gridSpan w:val="2"/>
            <w:tcBorders>
              <w:top w:val="nil"/>
            </w:tcBorders>
            <w:shd w:val="clear" w:color="auto" w:fill="auto"/>
          </w:tcPr>
          <w:p w14:paraId="14D6A77B" w14:textId="354F1242" w:rsidR="00166921" w:rsidRDefault="00166921" w:rsidP="00684A1D">
            <w:pPr>
              <w:keepLines/>
              <w:spacing w:line="240" w:lineRule="auto"/>
            </w:pPr>
            <w:r>
              <w:t xml:space="preserve">The </w:t>
            </w:r>
            <w:r w:rsidR="00CC5045">
              <w:t xml:space="preserve">self-identification provisions established in the </w:t>
            </w:r>
            <w:r w:rsidR="00BB7C9B">
              <w:t>Births, Deaths, Marriages and Relationship Registration Act 2021 (</w:t>
            </w:r>
            <w:r w:rsidR="00DC75E7">
              <w:t>BDMRR Act</w:t>
            </w:r>
            <w:r w:rsidR="00BB7C9B">
              <w:t>)</w:t>
            </w:r>
            <w:r>
              <w:t xml:space="preserve"> need to be suppor</w:t>
            </w:r>
            <w:r w:rsidR="00CC5045">
              <w:t>ted by regulations</w:t>
            </w:r>
            <w:r w:rsidR="00776F8B">
              <w:t>,</w:t>
            </w:r>
            <w:r w:rsidR="00CC5045">
              <w:t xml:space="preserve"> so that the</w:t>
            </w:r>
            <w:r>
              <w:t xml:space="preserve"> benefits</w:t>
            </w:r>
            <w:r w:rsidR="00CC5045">
              <w:t xml:space="preserve"> of the process</w:t>
            </w:r>
            <w:r>
              <w:t xml:space="preserve"> can be experienced by children and people who are </w:t>
            </w:r>
            <w:r w:rsidR="005B065F">
              <w:t>non-binary</w:t>
            </w:r>
            <w:r>
              <w:t>. Additional measures may also be warranted to reduce the risk of people exploiting the self-identification process for identity fraud</w:t>
            </w:r>
            <w:r w:rsidR="00702F48">
              <w:t>.</w:t>
            </w:r>
          </w:p>
          <w:p w14:paraId="582C0281" w14:textId="39C8D686" w:rsidR="00012BB4" w:rsidRDefault="00931D9A" w:rsidP="00684A1D">
            <w:pPr>
              <w:keepLines/>
              <w:spacing w:line="240" w:lineRule="auto"/>
            </w:pPr>
            <w:r>
              <w:t xml:space="preserve">The preferred options will be determined on each of the </w:t>
            </w:r>
            <w:r w:rsidR="00012BB4">
              <w:t xml:space="preserve">three issues </w:t>
            </w:r>
            <w:r>
              <w:t>f</w:t>
            </w:r>
            <w:r w:rsidR="00012BB4">
              <w:t>ollowing public consultation.</w:t>
            </w:r>
            <w:r>
              <w:t xml:space="preserve"> We are proposing consultation take place in mid-2022.</w:t>
            </w:r>
          </w:p>
          <w:p w14:paraId="7364556C" w14:textId="5026BEA8" w:rsidR="00262ADF" w:rsidRDefault="00262ADF" w:rsidP="00B906DC">
            <w:pPr>
              <w:keepNext/>
              <w:keepLines/>
              <w:spacing w:line="240" w:lineRule="auto"/>
            </w:pPr>
            <w:r>
              <w:lastRenderedPageBreak/>
              <w:t>The three issues are outlined below:</w:t>
            </w:r>
          </w:p>
          <w:p w14:paraId="426CD46E" w14:textId="460C06C3" w:rsidR="00517D79" w:rsidRDefault="00517D79" w:rsidP="00684A1D">
            <w:pPr>
              <w:keepLines/>
              <w:rPr>
                <w:b/>
              </w:rPr>
            </w:pPr>
            <w:r>
              <w:rPr>
                <w:b/>
              </w:rPr>
              <w:t xml:space="preserve">Issue 1: Recognising </w:t>
            </w:r>
            <w:r w:rsidR="008E6E49">
              <w:rPr>
                <w:b/>
              </w:rPr>
              <w:t>non-binary genders</w:t>
            </w:r>
            <w:r>
              <w:rPr>
                <w:b/>
              </w:rPr>
              <w:t xml:space="preserve"> on birth certificates</w:t>
            </w:r>
          </w:p>
          <w:p w14:paraId="129C4940" w14:textId="005FA32A" w:rsidR="004633BF" w:rsidRDefault="00517D79" w:rsidP="00684A1D">
            <w:pPr>
              <w:keepLines/>
              <w:spacing w:line="240" w:lineRule="auto"/>
            </w:pPr>
            <w:r>
              <w:t xml:space="preserve">The primary legislation </w:t>
            </w:r>
            <w:r w:rsidR="00262ADF">
              <w:t>allows people</w:t>
            </w:r>
            <w:r>
              <w:t xml:space="preserve"> to amend their registered sex to ‘male’ or ‘female’ through the self-identification process</w:t>
            </w:r>
            <w:r w:rsidR="00BA346F">
              <w:t>,</w:t>
            </w:r>
            <w:r w:rsidR="00C67705">
              <w:t xml:space="preserve"> </w:t>
            </w:r>
            <w:r w:rsidR="00262ADF">
              <w:t>with</w:t>
            </w:r>
            <w:r w:rsidR="00C67705">
              <w:t xml:space="preserve"> any other </w:t>
            </w:r>
            <w:r w:rsidR="00262ADF">
              <w:t>options for registered sex</w:t>
            </w:r>
            <w:r>
              <w:t xml:space="preserve"> </w:t>
            </w:r>
            <w:r w:rsidR="00C67705">
              <w:t>to be prescribed in regulations</w:t>
            </w:r>
            <w:r>
              <w:t xml:space="preserve">. </w:t>
            </w:r>
            <w:r w:rsidR="004633BF">
              <w:t xml:space="preserve">When </w:t>
            </w:r>
            <w:r w:rsidR="005A173D">
              <w:t>s</w:t>
            </w:r>
            <w:r w:rsidR="004633BF">
              <w:t xml:space="preserve">elect </w:t>
            </w:r>
            <w:r w:rsidR="005A173D">
              <w:t>c</w:t>
            </w:r>
            <w:r w:rsidR="004633BF">
              <w:t>ommittee consulted on the self-identification provisions in 202</w:t>
            </w:r>
            <w:r w:rsidR="005A173D">
              <w:t>1</w:t>
            </w:r>
            <w:r w:rsidR="004633BF">
              <w:t xml:space="preserve">, many submitters raised that there needs to be a non-binary option made available </w:t>
            </w:r>
            <w:r w:rsidR="006E007C">
              <w:t>as well as</w:t>
            </w:r>
            <w:r w:rsidR="004633BF">
              <w:t xml:space="preserve"> of culturally appropriate markers. Some submitters were concerned about additional options for registered sex impacting on statistics and data collection. We expect consultation will help to identify possible options for registered sex outside of the binary.</w:t>
            </w:r>
          </w:p>
          <w:p w14:paraId="0C97F7AF" w14:textId="4E639A83" w:rsidR="00A0304C" w:rsidRDefault="00517D79" w:rsidP="00684A1D">
            <w:pPr>
              <w:keepLines/>
              <w:spacing w:line="240" w:lineRule="auto"/>
            </w:pPr>
            <w:r>
              <w:t>Th</w:t>
            </w:r>
            <w:r w:rsidR="00D36A22">
              <w:t>is</w:t>
            </w:r>
            <w:r>
              <w:t xml:space="preserve"> R</w:t>
            </w:r>
            <w:r w:rsidR="00642C2F">
              <w:t xml:space="preserve">egulatory </w:t>
            </w:r>
            <w:r>
              <w:t>I</w:t>
            </w:r>
            <w:r w:rsidR="00642C2F">
              <w:t xml:space="preserve">mpact </w:t>
            </w:r>
            <w:r>
              <w:t>S</w:t>
            </w:r>
            <w:r w:rsidR="00642C2F">
              <w:t>tatement (RIS)</w:t>
            </w:r>
            <w:r>
              <w:t xml:space="preserve"> provides four high-level options</w:t>
            </w:r>
            <w:r w:rsidR="00D36A22">
              <w:t xml:space="preserve"> to recognise non-binary genders on birth certificates</w:t>
            </w:r>
            <w:r w:rsidR="009B5272">
              <w:t>. These</w:t>
            </w:r>
            <w:r w:rsidR="00D36A22">
              <w:t xml:space="preserve"> options</w:t>
            </w:r>
            <w:r w:rsidR="009B5272">
              <w:t xml:space="preserve"> balance the interests in ensuring that everyone will have options that appropriate</w:t>
            </w:r>
            <w:r w:rsidR="0090043C">
              <w:t>ly</w:t>
            </w:r>
            <w:r w:rsidR="009B5272">
              <w:t xml:space="preserve"> represent their gender with the interest in ensuring birth certificates will be </w:t>
            </w:r>
            <w:r w:rsidR="00262ADF">
              <w:t>widely useable</w:t>
            </w:r>
            <w:r w:rsidR="006E2E5D">
              <w:t xml:space="preserve">. </w:t>
            </w:r>
            <w:r w:rsidR="000D624F">
              <w:t xml:space="preserve">The counterfactual is included in the </w:t>
            </w:r>
            <w:r w:rsidR="00D2107A">
              <w:t>analysis but</w:t>
            </w:r>
            <w:r w:rsidR="000D624F">
              <w:t xml:space="preserve"> </w:t>
            </w:r>
            <w:r w:rsidR="00262ADF">
              <w:t>would</w:t>
            </w:r>
            <w:r w:rsidR="000D624F">
              <w:t xml:space="preserve"> </w:t>
            </w:r>
            <w:r w:rsidR="006E2E5D">
              <w:t>undermin</w:t>
            </w:r>
            <w:r w:rsidR="00262ADF">
              <w:t xml:space="preserve">e </w:t>
            </w:r>
            <w:r w:rsidR="006E2E5D">
              <w:t>the</w:t>
            </w:r>
            <w:r w:rsidR="00262ADF">
              <w:t xml:space="preserve"> policy</w:t>
            </w:r>
            <w:r w:rsidR="006E2E5D">
              <w:t xml:space="preserve"> intent of the self-identification process</w:t>
            </w:r>
            <w:r w:rsidR="00A0304C">
              <w:t xml:space="preserve">. </w:t>
            </w:r>
          </w:p>
          <w:p w14:paraId="7BF44AD0" w14:textId="227AC23D" w:rsidR="00517D79" w:rsidRDefault="00517D79" w:rsidP="00684A1D">
            <w:pPr>
              <w:keepLines/>
              <w:spacing w:line="240" w:lineRule="auto"/>
              <w:rPr>
                <w:b/>
              </w:rPr>
            </w:pPr>
            <w:r>
              <w:rPr>
                <w:b/>
              </w:rPr>
              <w:t>Issue 2: Prescribing suitably qualified third parties to support a child’s application</w:t>
            </w:r>
          </w:p>
          <w:p w14:paraId="65E6FCFB" w14:textId="7003233A" w:rsidR="00517D79" w:rsidRDefault="00517D79" w:rsidP="00684A1D">
            <w:pPr>
              <w:keepLines/>
              <w:spacing w:line="240" w:lineRule="auto"/>
            </w:pPr>
            <w:r>
              <w:t xml:space="preserve">The </w:t>
            </w:r>
            <w:r w:rsidR="00DC75E7">
              <w:t>BDMRR Act</w:t>
            </w:r>
            <w:r>
              <w:t xml:space="preserve"> sets out that children and young people aged 15 and under can access the self-identification process if the application is completed by their guardian and has a letter of support from a ‘suitably qualified third party’.</w:t>
            </w:r>
            <w:r w:rsidR="001E1DF7">
              <w:t xml:space="preserve"> </w:t>
            </w:r>
            <w:r w:rsidR="001E1DF7" w:rsidRPr="006B494D">
              <w:rPr>
                <w:szCs w:val="18"/>
              </w:rPr>
              <w:t xml:space="preserve">Young people aged 16 or 17 will be able to amend their registered sex with either guardian consent or a letter of support from a ‘suitably qualified third party’. </w:t>
            </w:r>
            <w:r>
              <w:t>The letter from the third party will provide assurance</w:t>
            </w:r>
            <w:r w:rsidR="00AA15D5">
              <w:t xml:space="preserve"> that</w:t>
            </w:r>
            <w:r>
              <w:t xml:space="preserve"> the child understands</w:t>
            </w:r>
            <w:r w:rsidR="00C70904">
              <w:t xml:space="preserve"> what</w:t>
            </w:r>
            <w:r>
              <w:t xml:space="preserve"> amending their registered sex means and it is what they want.</w:t>
            </w:r>
          </w:p>
          <w:p w14:paraId="52525890" w14:textId="1FB4D7C9" w:rsidR="004633BF" w:rsidRDefault="004633BF" w:rsidP="00684A1D">
            <w:pPr>
              <w:keepLines/>
              <w:spacing w:line="240" w:lineRule="auto"/>
            </w:pPr>
            <w:r>
              <w:t xml:space="preserve">Some submissions to the </w:t>
            </w:r>
            <w:r w:rsidR="005A173D">
              <w:t>s</w:t>
            </w:r>
            <w:r>
              <w:t xml:space="preserve">elect </w:t>
            </w:r>
            <w:r w:rsidR="005A173D">
              <w:t>c</w:t>
            </w:r>
            <w:r>
              <w:t>ommittee requested that suitably qualified third parties be medical professionals</w:t>
            </w:r>
            <w:r w:rsidR="00AA15D5">
              <w:t>,</w:t>
            </w:r>
            <w:r>
              <w:t xml:space="preserve"> whereas others questioned the need for suitably qualified third parties altogether.</w:t>
            </w:r>
            <w:r w:rsidR="00CB17E4">
              <w:t xml:space="preserve"> </w:t>
            </w:r>
            <w:bookmarkStart w:id="2" w:name="_Hlk103864372"/>
            <w:r w:rsidR="00CB17E4">
              <w:t>Through consultation</w:t>
            </w:r>
            <w:r w:rsidR="0068775E">
              <w:t>,</w:t>
            </w:r>
            <w:r w:rsidR="00CB17E4">
              <w:t xml:space="preserve"> we hope to </w:t>
            </w:r>
            <w:r w:rsidR="001B2C68">
              <w:t>learn</w:t>
            </w:r>
            <w:r w:rsidR="00CB17E4">
              <w:t xml:space="preserve"> how</w:t>
            </w:r>
            <w:r w:rsidR="00201AAA">
              <w:t xml:space="preserve"> to</w:t>
            </w:r>
            <w:r w:rsidR="00CB17E4">
              <w:t xml:space="preserve"> appropriately balance</w:t>
            </w:r>
            <w:r>
              <w:t xml:space="preserve"> </w:t>
            </w:r>
            <w:r w:rsidR="00CB17E4" w:rsidRPr="001B2C68">
              <w:t xml:space="preserve">ensuring a child </w:t>
            </w:r>
            <w:r w:rsidR="00773957">
              <w:t>or</w:t>
            </w:r>
            <w:r w:rsidR="00CB17E4" w:rsidRPr="001B2C68">
              <w:t xml:space="preserve"> young person understands the decision </w:t>
            </w:r>
            <w:r w:rsidR="001B2C68" w:rsidRPr="001B2C68">
              <w:t>with</w:t>
            </w:r>
            <w:r w:rsidR="00CB17E4" w:rsidRPr="001B2C68">
              <w:t xml:space="preserve"> </w:t>
            </w:r>
            <w:r w:rsidR="001B2C68" w:rsidRPr="001B2C68">
              <w:t>ensuring</w:t>
            </w:r>
            <w:r w:rsidR="00CB17E4" w:rsidRPr="001B2C68">
              <w:t xml:space="preserve"> third parties are accessible.</w:t>
            </w:r>
            <w:bookmarkEnd w:id="2"/>
            <w:r w:rsidR="00CB17E4" w:rsidRPr="001B2C68">
              <w:t xml:space="preserve"> </w:t>
            </w:r>
            <w:r w:rsidRPr="001B2C68">
              <w:t xml:space="preserve">Most submitters </w:t>
            </w:r>
            <w:r w:rsidR="001B2C68" w:rsidRPr="001B2C68">
              <w:t xml:space="preserve">that </w:t>
            </w:r>
            <w:r w:rsidRPr="001B2C68">
              <w:t>support</w:t>
            </w:r>
            <w:r w:rsidR="001B2C68" w:rsidRPr="001B2C68">
              <w:t>ed</w:t>
            </w:r>
            <w:r w:rsidRPr="001B2C68">
              <w:t xml:space="preserve"> </w:t>
            </w:r>
            <w:r w:rsidR="001B2C68" w:rsidRPr="001B2C68">
              <w:t xml:space="preserve">the concept of </w:t>
            </w:r>
            <w:r w:rsidRPr="001B2C68">
              <w:t>introduc</w:t>
            </w:r>
            <w:r w:rsidR="001B2C68" w:rsidRPr="001B2C68">
              <w:t>ing</w:t>
            </w:r>
            <w:r w:rsidRPr="001B2C68">
              <w:t xml:space="preserve"> a suitably qualified</w:t>
            </w:r>
            <w:r w:rsidR="001B2C68">
              <w:t xml:space="preserve"> third party</w:t>
            </w:r>
            <w:r w:rsidRPr="001B2C68">
              <w:t xml:space="preserve"> </w:t>
            </w:r>
            <w:r w:rsidR="001B2C68" w:rsidRPr="001B2C68">
              <w:t>also</w:t>
            </w:r>
            <w:r w:rsidRPr="001B2C68">
              <w:t xml:space="preserve"> requested that consultation be undertaken with community groups to ensure that those who can act as a third party are accessible</w:t>
            </w:r>
            <w:r w:rsidRPr="004633BF">
              <w:rPr>
                <w:color w:val="000000"/>
                <w:szCs w:val="22"/>
              </w:rPr>
              <w:t>.</w:t>
            </w:r>
          </w:p>
          <w:p w14:paraId="698406EB" w14:textId="51F199A8" w:rsidR="00517D79" w:rsidRDefault="00517D79" w:rsidP="00684A1D">
            <w:pPr>
              <w:keepLines/>
              <w:spacing w:line="240" w:lineRule="auto"/>
            </w:pPr>
            <w:r>
              <w:t>The RIS sets out four high-level options</w:t>
            </w:r>
            <w:r w:rsidR="00D36A22">
              <w:t xml:space="preserve"> for prescribing ‘suitably qualified third parties’ to support a child’s application</w:t>
            </w:r>
            <w:r w:rsidR="00E3528E">
              <w:t>.</w:t>
            </w:r>
            <w:r>
              <w:t xml:space="preserve"> </w:t>
            </w:r>
            <w:r w:rsidR="009B5272">
              <w:t xml:space="preserve">In broad terms, the </w:t>
            </w:r>
            <w:r w:rsidR="00E3528E">
              <w:t>options</w:t>
            </w:r>
            <w:r w:rsidR="009B5272">
              <w:t xml:space="preserve"> provide different ways to balance the interest in ensuring children can access the process </w:t>
            </w:r>
            <w:r w:rsidR="00614129">
              <w:t>whilst</w:t>
            </w:r>
            <w:r w:rsidR="004B4D95">
              <w:t xml:space="preserve"> ensuring the third parties will be able to </w:t>
            </w:r>
            <w:r w:rsidR="009B5272">
              <w:t xml:space="preserve">fulfil their function. The counterfactual is included in the analysis but </w:t>
            </w:r>
            <w:r w:rsidR="00EB2F14">
              <w:t xml:space="preserve">would </w:t>
            </w:r>
            <w:r w:rsidR="006E2E5D">
              <w:t>undermin</w:t>
            </w:r>
            <w:r w:rsidR="00EB2F14">
              <w:t>e</w:t>
            </w:r>
            <w:r w:rsidR="006E2E5D">
              <w:t xml:space="preserve"> the</w:t>
            </w:r>
            <w:r w:rsidR="00EB2F14">
              <w:t xml:space="preserve"> policy</w:t>
            </w:r>
            <w:r w:rsidR="006E2E5D">
              <w:t xml:space="preserve"> intent of the self-identification process</w:t>
            </w:r>
            <w:r w:rsidR="009B5272">
              <w:t>.</w:t>
            </w:r>
            <w:r>
              <w:t xml:space="preserve"> </w:t>
            </w:r>
          </w:p>
          <w:p w14:paraId="7B39743A" w14:textId="0D7DDBF8" w:rsidR="000132F6" w:rsidRDefault="00517D79" w:rsidP="00684A1D">
            <w:pPr>
              <w:keepLines/>
              <w:spacing w:line="240" w:lineRule="auto"/>
              <w:rPr>
                <w:b/>
              </w:rPr>
            </w:pPr>
            <w:r>
              <w:rPr>
                <w:b/>
              </w:rPr>
              <w:t xml:space="preserve">Issue 3: Additional </w:t>
            </w:r>
            <w:r w:rsidR="00802AB2">
              <w:rPr>
                <w:b/>
              </w:rPr>
              <w:t>requirement</w:t>
            </w:r>
            <w:r w:rsidR="00A71B8C">
              <w:rPr>
                <w:b/>
              </w:rPr>
              <w:t xml:space="preserve">s </w:t>
            </w:r>
            <w:r w:rsidR="00C67705">
              <w:rPr>
                <w:b/>
              </w:rPr>
              <w:t>for multiple applications</w:t>
            </w:r>
          </w:p>
          <w:p w14:paraId="1ACCB695" w14:textId="5B75C7F7" w:rsidR="006E2E5D" w:rsidRDefault="006E2E5D" w:rsidP="00684A1D">
            <w:pPr>
              <w:keepLines/>
              <w:spacing w:line="240" w:lineRule="auto"/>
            </w:pPr>
            <w:r>
              <w:t xml:space="preserve">The </w:t>
            </w:r>
            <w:r w:rsidR="00DC75E7">
              <w:t>BDMRR Act</w:t>
            </w:r>
            <w:r>
              <w:t xml:space="preserve"> sets no limits on the number of times people can amend their registered sex</w:t>
            </w:r>
            <w:r w:rsidR="0090043C">
              <w:t xml:space="preserve"> to recognise that gender change</w:t>
            </w:r>
            <w:r w:rsidR="003C18B8">
              <w:t>s</w:t>
            </w:r>
            <w:r w:rsidR="0090043C">
              <w:t xml:space="preserve"> over time</w:t>
            </w:r>
            <w:r>
              <w:t xml:space="preserve">. Because people can change their name at the same time as amending their registered sex, and not have their previous details listed on a </w:t>
            </w:r>
            <w:r w:rsidR="00F452A1">
              <w:t>new</w:t>
            </w:r>
            <w:r>
              <w:t xml:space="preserve"> birth certificate, there is some risk that some people may abuse the process to create multiple identities. To mitigate this risk, the </w:t>
            </w:r>
            <w:r w:rsidR="00DC75E7">
              <w:t>BDMRR Act</w:t>
            </w:r>
            <w:r>
              <w:t xml:space="preserve"> enables regulations that would provide additional requirements for people who </w:t>
            </w:r>
            <w:r w:rsidR="006B494D">
              <w:t xml:space="preserve">wish to amend their </w:t>
            </w:r>
            <w:r>
              <w:t xml:space="preserve">registered sex </w:t>
            </w:r>
            <w:r w:rsidR="006B494D">
              <w:t>more than once</w:t>
            </w:r>
            <w:r>
              <w:t>.</w:t>
            </w:r>
          </w:p>
          <w:p w14:paraId="67145A06" w14:textId="001144C7" w:rsidR="001B2C68" w:rsidRDefault="00D33239" w:rsidP="00684A1D">
            <w:pPr>
              <w:keepLines/>
              <w:spacing w:line="240" w:lineRule="auto"/>
              <w:rPr>
                <w:color w:val="000000"/>
                <w:szCs w:val="22"/>
              </w:rPr>
            </w:pPr>
            <w:bookmarkStart w:id="3" w:name="_Hlk103864547"/>
            <w:r>
              <w:t xml:space="preserve">Some submissions received by the </w:t>
            </w:r>
            <w:r w:rsidR="005A173D">
              <w:t>s</w:t>
            </w:r>
            <w:r>
              <w:t xml:space="preserve">elect </w:t>
            </w:r>
            <w:r w:rsidR="005A173D">
              <w:t>c</w:t>
            </w:r>
            <w:r>
              <w:t>ommittee requested the removal of additional requirements for subsequent applications to amend registered sex as it opens the possibility for discriminatory</w:t>
            </w:r>
            <w:r w:rsidR="00773957">
              <w:t>,</w:t>
            </w:r>
            <w:r>
              <w:t xml:space="preserve"> or significantly different regulations</w:t>
            </w:r>
            <w:r w:rsidR="005D4415">
              <w:t>,</w:t>
            </w:r>
            <w:r>
              <w:t xml:space="preserve"> to be implemented in the future.</w:t>
            </w:r>
            <w:bookmarkEnd w:id="3"/>
            <w:r>
              <w:t xml:space="preserve"> Other submissions raised concerns </w:t>
            </w:r>
            <w:r w:rsidR="008A6674">
              <w:t>that multiple applications will mean there is</w:t>
            </w:r>
            <w:r w:rsidR="005D4415">
              <w:t xml:space="preserve"> a</w:t>
            </w:r>
            <w:r>
              <w:t xml:space="preserve"> lack of prevention of misuse of the process for fraudulent reasons. </w:t>
            </w:r>
            <w:bookmarkStart w:id="4" w:name="_Hlk103864727"/>
            <w:r w:rsidRPr="008A6674">
              <w:rPr>
                <w:szCs w:val="22"/>
              </w:rPr>
              <w:t xml:space="preserve">Submitters </w:t>
            </w:r>
            <w:r w:rsidR="008A6674" w:rsidRPr="008A6674">
              <w:rPr>
                <w:szCs w:val="22"/>
              </w:rPr>
              <w:t xml:space="preserve">requested that </w:t>
            </w:r>
            <w:r w:rsidR="008A6674" w:rsidRPr="008A6674">
              <w:rPr>
                <w:color w:val="000000"/>
                <w:szCs w:val="22"/>
              </w:rPr>
              <w:t>any measures relating to additional requirements must be done in consultation with community</w:t>
            </w:r>
            <w:r w:rsidR="008A6674">
              <w:rPr>
                <w:color w:val="000000"/>
                <w:szCs w:val="22"/>
              </w:rPr>
              <w:t xml:space="preserve"> groups.</w:t>
            </w:r>
            <w:r w:rsidR="008A6674" w:rsidRPr="008A6674">
              <w:rPr>
                <w:color w:val="000000"/>
                <w:szCs w:val="22"/>
              </w:rPr>
              <w:t xml:space="preserve"> </w:t>
            </w:r>
            <w:bookmarkEnd w:id="4"/>
          </w:p>
          <w:p w14:paraId="32A1256D" w14:textId="4297831B" w:rsidR="00E3528E" w:rsidRPr="00E3528E" w:rsidRDefault="008A6674" w:rsidP="00684A1D">
            <w:pPr>
              <w:keepLines/>
              <w:spacing w:line="240" w:lineRule="auto"/>
              <w:rPr>
                <w:b/>
              </w:rPr>
            </w:pPr>
            <w:r>
              <w:lastRenderedPageBreak/>
              <w:t>This</w:t>
            </w:r>
            <w:r w:rsidR="00E3528E">
              <w:t xml:space="preserve"> RIS sets out three high-level options</w:t>
            </w:r>
            <w:r w:rsidR="006E2E5D">
              <w:t xml:space="preserve"> </w:t>
            </w:r>
            <w:r w:rsidR="00D36A22">
              <w:t>for additional requirements for multiple applications</w:t>
            </w:r>
            <w:r w:rsidR="00C3314A">
              <w:t>.</w:t>
            </w:r>
            <w:r w:rsidR="006E2E5D">
              <w:t xml:space="preserve"> </w:t>
            </w:r>
            <w:r w:rsidR="00C3314A">
              <w:t>The options</w:t>
            </w:r>
            <w:r w:rsidR="006E2E5D">
              <w:t xml:space="preserve"> balance </w:t>
            </w:r>
            <w:r w:rsidR="00F452A1">
              <w:t xml:space="preserve">the mitigation of </w:t>
            </w:r>
            <w:r w:rsidR="006E2E5D">
              <w:t>the risk of identity fraud with ensur</w:t>
            </w:r>
            <w:r w:rsidR="005A2AD0">
              <w:t>ing</w:t>
            </w:r>
            <w:r w:rsidR="006E2E5D">
              <w:t xml:space="preserve"> the requirements do not create unnecessary barriers to applications. The status </w:t>
            </w:r>
            <w:r w:rsidR="005A2AD0">
              <w:t>quo is included in the analysis</w:t>
            </w:r>
            <w:r w:rsidR="006E2E5D">
              <w:t xml:space="preserve"> and may be</w:t>
            </w:r>
            <w:r w:rsidR="005A2AD0">
              <w:t xml:space="preserve"> retained </w:t>
            </w:r>
            <w:r w:rsidR="007B5213">
              <w:t xml:space="preserve">as </w:t>
            </w:r>
            <w:r w:rsidR="006E2E5D">
              <w:t xml:space="preserve">other options </w:t>
            </w:r>
            <w:r w:rsidR="006B494D">
              <w:t xml:space="preserve">could </w:t>
            </w:r>
            <w:r w:rsidR="0090043C">
              <w:t>be a</w:t>
            </w:r>
            <w:r w:rsidR="006E2E5D">
              <w:t xml:space="preserve"> disproportionate </w:t>
            </w:r>
            <w:r w:rsidR="0090043C">
              <w:t xml:space="preserve">response </w:t>
            </w:r>
            <w:r w:rsidR="006E2E5D">
              <w:t>to the risks of identity fraud.</w:t>
            </w:r>
          </w:p>
        </w:tc>
      </w:tr>
      <w:tr w:rsidR="00E8143E" w:rsidRPr="00A864A5" w14:paraId="42ED5650" w14:textId="77777777" w:rsidTr="006448CF">
        <w:tc>
          <w:tcPr>
            <w:tcW w:w="5000" w:type="pct"/>
            <w:gridSpan w:val="2"/>
            <w:tcBorders>
              <w:bottom w:val="single" w:sz="4" w:space="0" w:color="DDDDDD"/>
            </w:tcBorders>
            <w:shd w:val="clear" w:color="auto" w:fill="99CDDD"/>
            <w:hideMark/>
          </w:tcPr>
          <w:p w14:paraId="195A9405" w14:textId="74F1F41C" w:rsidR="00E8143E" w:rsidRPr="00A864A5" w:rsidRDefault="00E8143E" w:rsidP="00684A1D">
            <w:pPr>
              <w:pStyle w:val="TableHeadings"/>
              <w:keepLines/>
              <w:rPr>
                <w:color w:val="002060"/>
                <w:szCs w:val="22"/>
                <w:lang w:val="en-NZ"/>
              </w:rPr>
            </w:pPr>
            <w:bookmarkStart w:id="5" w:name="_Hlk98492414"/>
            <w:bookmarkStart w:id="6" w:name="_Hlk57203483"/>
            <w:bookmarkEnd w:id="0"/>
            <w:bookmarkEnd w:id="1"/>
            <w:r w:rsidRPr="00A864A5">
              <w:rPr>
                <w:szCs w:val="22"/>
                <w:lang w:val="en-NZ"/>
              </w:rPr>
              <w:lastRenderedPageBreak/>
              <w:t xml:space="preserve">Limitations </w:t>
            </w:r>
            <w:r w:rsidR="003F775E">
              <w:rPr>
                <w:szCs w:val="22"/>
                <w:lang w:val="en-NZ"/>
              </w:rPr>
              <w:t>and</w:t>
            </w:r>
            <w:r w:rsidRPr="00A864A5">
              <w:rPr>
                <w:szCs w:val="22"/>
                <w:lang w:val="en-NZ"/>
              </w:rPr>
              <w:t xml:space="preserve"> Constraints on Analysis</w:t>
            </w:r>
          </w:p>
        </w:tc>
      </w:tr>
      <w:bookmarkEnd w:id="5"/>
      <w:tr w:rsidR="00E8143E" w:rsidRPr="00A864A5" w14:paraId="2E89EDEC" w14:textId="77777777" w:rsidTr="006448CF">
        <w:trPr>
          <w:trHeight w:val="978"/>
        </w:trPr>
        <w:tc>
          <w:tcPr>
            <w:tcW w:w="5000" w:type="pct"/>
            <w:gridSpan w:val="2"/>
            <w:tcBorders>
              <w:top w:val="nil"/>
            </w:tcBorders>
            <w:shd w:val="clear" w:color="auto" w:fill="auto"/>
          </w:tcPr>
          <w:p w14:paraId="65DE4E36" w14:textId="170A9098" w:rsidR="003B009F" w:rsidRDefault="0032296F" w:rsidP="00684A1D">
            <w:pPr>
              <w:keepLines/>
              <w:spacing w:before="240" w:line="240" w:lineRule="auto"/>
              <w:rPr>
                <w:b/>
                <w:iCs/>
                <w:color w:val="000000"/>
                <w:lang w:val="en-NZ"/>
              </w:rPr>
            </w:pPr>
            <w:r>
              <w:rPr>
                <w:b/>
                <w:iCs/>
                <w:color w:val="000000"/>
                <w:lang w:val="en-NZ"/>
              </w:rPr>
              <w:t>Scoping of the problem</w:t>
            </w:r>
          </w:p>
          <w:p w14:paraId="003C8072" w14:textId="68CCC7EC" w:rsidR="00C340CC" w:rsidRPr="00C340CC" w:rsidRDefault="001D3B85" w:rsidP="00684A1D">
            <w:pPr>
              <w:keepLines/>
              <w:spacing w:line="240" w:lineRule="auto"/>
              <w:rPr>
                <w:iCs/>
                <w:color w:val="000000"/>
                <w:lang w:val="en-NZ"/>
              </w:rPr>
            </w:pPr>
            <w:r>
              <w:rPr>
                <w:iCs/>
                <w:color w:val="000000"/>
                <w:lang w:val="en-NZ"/>
              </w:rPr>
              <w:t>W</w:t>
            </w:r>
            <w:r w:rsidR="005E02B8" w:rsidRPr="001D3B85">
              <w:rPr>
                <w:iCs/>
                <w:color w:val="000000"/>
                <w:lang w:val="en-NZ"/>
              </w:rPr>
              <w:t xml:space="preserve">e </w:t>
            </w:r>
            <w:r w:rsidR="008756D2" w:rsidRPr="001D3B85">
              <w:rPr>
                <w:iCs/>
                <w:color w:val="000000"/>
                <w:lang w:val="en-NZ"/>
              </w:rPr>
              <w:t>have been asked by the Minister of Internal Affairs to consult on three issues</w:t>
            </w:r>
            <w:r w:rsidR="00787FC5" w:rsidRPr="001D3B85">
              <w:rPr>
                <w:iCs/>
                <w:color w:val="000000"/>
                <w:lang w:val="en-NZ"/>
              </w:rPr>
              <w:t xml:space="preserve"> </w:t>
            </w:r>
            <w:r w:rsidR="00F24B39" w:rsidRPr="001D3B85">
              <w:rPr>
                <w:iCs/>
                <w:color w:val="000000"/>
                <w:lang w:val="en-NZ"/>
              </w:rPr>
              <w:t xml:space="preserve">which are </w:t>
            </w:r>
            <w:r w:rsidR="00787FC5" w:rsidRPr="001D3B85">
              <w:rPr>
                <w:iCs/>
                <w:color w:val="000000"/>
                <w:lang w:val="en-NZ"/>
              </w:rPr>
              <w:t>delegated to regulations</w:t>
            </w:r>
            <w:r w:rsidR="007B1F60" w:rsidRPr="001D3B85">
              <w:rPr>
                <w:iCs/>
                <w:color w:val="000000"/>
                <w:lang w:val="en-NZ"/>
              </w:rPr>
              <w:t xml:space="preserve"> </w:t>
            </w:r>
            <w:r w:rsidR="00193813" w:rsidRPr="001D3B85">
              <w:rPr>
                <w:iCs/>
                <w:color w:val="000000"/>
                <w:lang w:val="en-NZ"/>
              </w:rPr>
              <w:t>in</w:t>
            </w:r>
            <w:r w:rsidR="007B1F60" w:rsidRPr="001D3B85">
              <w:rPr>
                <w:iCs/>
                <w:color w:val="000000"/>
                <w:lang w:val="en-NZ"/>
              </w:rPr>
              <w:t xml:space="preserve"> the</w:t>
            </w:r>
            <w:r w:rsidR="00DC75E7">
              <w:rPr>
                <w:iCs/>
                <w:color w:val="000000"/>
                <w:lang w:val="en-NZ"/>
              </w:rPr>
              <w:t xml:space="preserve"> BDMRR Act</w:t>
            </w:r>
            <w:r w:rsidR="00EE6484" w:rsidRPr="001D3B85">
              <w:rPr>
                <w:iCs/>
                <w:color w:val="000000"/>
                <w:lang w:val="en-NZ"/>
              </w:rPr>
              <w:t>.</w:t>
            </w:r>
            <w:r w:rsidR="00FA516A" w:rsidRPr="001D3B85">
              <w:rPr>
                <w:iCs/>
                <w:color w:val="000000"/>
                <w:lang w:val="en-NZ"/>
              </w:rPr>
              <w:t xml:space="preserve"> </w:t>
            </w:r>
            <w:r w:rsidR="00262ADF">
              <w:rPr>
                <w:iCs/>
                <w:color w:val="000000"/>
                <w:lang w:val="en-NZ"/>
              </w:rPr>
              <w:t>We need to address</w:t>
            </w:r>
            <w:r w:rsidR="00FA516A" w:rsidRPr="00C340CC">
              <w:rPr>
                <w:iCs/>
                <w:color w:val="000000"/>
                <w:lang w:val="en-NZ"/>
              </w:rPr>
              <w:t xml:space="preserve"> these issues </w:t>
            </w:r>
            <w:r w:rsidR="00262ADF">
              <w:rPr>
                <w:iCs/>
                <w:color w:val="000000"/>
                <w:lang w:val="en-NZ"/>
              </w:rPr>
              <w:t xml:space="preserve">to fulfil the policy intent of </w:t>
            </w:r>
            <w:r w:rsidR="00FA516A" w:rsidRPr="00C340CC">
              <w:rPr>
                <w:iCs/>
                <w:color w:val="000000"/>
                <w:lang w:val="en-NZ"/>
              </w:rPr>
              <w:t>the self-identification process</w:t>
            </w:r>
            <w:r w:rsidR="00D2107A">
              <w:rPr>
                <w:iCs/>
                <w:color w:val="000000"/>
                <w:lang w:val="en-NZ"/>
              </w:rPr>
              <w:t>.</w:t>
            </w:r>
          </w:p>
          <w:p w14:paraId="60D7637A" w14:textId="137819FF" w:rsidR="00C340CC" w:rsidRDefault="00C340CC" w:rsidP="00684A1D">
            <w:pPr>
              <w:keepLines/>
              <w:spacing w:line="240" w:lineRule="auto"/>
              <w:rPr>
                <w:iCs/>
                <w:color w:val="000000"/>
                <w:lang w:val="en-NZ"/>
              </w:rPr>
            </w:pPr>
            <w:r>
              <w:rPr>
                <w:iCs/>
                <w:color w:val="000000"/>
                <w:lang w:val="en-NZ"/>
              </w:rPr>
              <w:t>Our problem definition has therefore been limited to addressing these issues to support the self-identification process.</w:t>
            </w:r>
          </w:p>
          <w:p w14:paraId="04BD61C3" w14:textId="4C1A09CE" w:rsidR="0032296F" w:rsidRPr="0032296F" w:rsidRDefault="0032296F" w:rsidP="00684A1D">
            <w:pPr>
              <w:keepLines/>
              <w:spacing w:line="240" w:lineRule="auto"/>
              <w:rPr>
                <w:b/>
                <w:iCs/>
                <w:color w:val="000000"/>
                <w:lang w:val="en-NZ"/>
              </w:rPr>
            </w:pPr>
            <w:r w:rsidRPr="0032296F">
              <w:rPr>
                <w:b/>
                <w:iCs/>
                <w:color w:val="000000"/>
                <w:lang w:val="en-NZ"/>
              </w:rPr>
              <w:t>Range of options considered</w:t>
            </w:r>
          </w:p>
          <w:p w14:paraId="37567AA3" w14:textId="3CA0A829" w:rsidR="00317AF4" w:rsidRDefault="00193813" w:rsidP="00684A1D">
            <w:pPr>
              <w:keepLines/>
              <w:spacing w:line="240" w:lineRule="auto"/>
              <w:rPr>
                <w:iCs/>
                <w:color w:val="000000"/>
                <w:lang w:val="en-NZ"/>
              </w:rPr>
            </w:pPr>
            <w:r>
              <w:rPr>
                <w:iCs/>
                <w:color w:val="000000"/>
                <w:lang w:val="en-NZ"/>
              </w:rPr>
              <w:t xml:space="preserve">The </w:t>
            </w:r>
            <w:r w:rsidR="00DC75E7">
              <w:rPr>
                <w:iCs/>
                <w:color w:val="000000"/>
                <w:lang w:val="en-NZ"/>
              </w:rPr>
              <w:t>BDMRR Act</w:t>
            </w:r>
            <w:r>
              <w:rPr>
                <w:iCs/>
                <w:color w:val="000000"/>
                <w:lang w:val="en-NZ"/>
              </w:rPr>
              <w:t xml:space="preserve"> </w:t>
            </w:r>
            <w:r w:rsidR="00EB2F14">
              <w:rPr>
                <w:iCs/>
                <w:color w:val="000000"/>
                <w:lang w:val="en-NZ"/>
              </w:rPr>
              <w:t xml:space="preserve">includes </w:t>
            </w:r>
            <w:r w:rsidR="00A27387">
              <w:rPr>
                <w:iCs/>
                <w:color w:val="000000"/>
                <w:lang w:val="en-NZ"/>
              </w:rPr>
              <w:t>regulation</w:t>
            </w:r>
            <w:r w:rsidR="00317AF4">
              <w:rPr>
                <w:iCs/>
                <w:color w:val="000000"/>
                <w:lang w:val="en-NZ"/>
              </w:rPr>
              <w:t>-making powers</w:t>
            </w:r>
            <w:r w:rsidR="00A27387">
              <w:rPr>
                <w:iCs/>
                <w:color w:val="000000"/>
                <w:lang w:val="en-NZ"/>
              </w:rPr>
              <w:t xml:space="preserve"> to address each of the three </w:t>
            </w:r>
            <w:r w:rsidR="00C636DE">
              <w:rPr>
                <w:iCs/>
                <w:color w:val="000000"/>
                <w:lang w:val="en-NZ"/>
              </w:rPr>
              <w:t>issue</w:t>
            </w:r>
            <w:r w:rsidR="00A27387">
              <w:rPr>
                <w:iCs/>
                <w:color w:val="000000"/>
                <w:lang w:val="en-NZ"/>
              </w:rPr>
              <w:t>s</w:t>
            </w:r>
            <w:r w:rsidR="00EB2F14">
              <w:rPr>
                <w:iCs/>
                <w:color w:val="000000"/>
                <w:lang w:val="en-NZ"/>
              </w:rPr>
              <w:t xml:space="preserve"> but does not require that those regulations are developed</w:t>
            </w:r>
            <w:r w:rsidR="00A27387">
              <w:rPr>
                <w:iCs/>
                <w:color w:val="000000"/>
                <w:lang w:val="en-NZ"/>
              </w:rPr>
              <w:t>. Two of the issues w</w:t>
            </w:r>
            <w:r w:rsidR="00C636DE">
              <w:rPr>
                <w:iCs/>
                <w:color w:val="000000"/>
                <w:lang w:val="en-NZ"/>
              </w:rPr>
              <w:t>ill</w:t>
            </w:r>
            <w:r w:rsidR="00A27387">
              <w:rPr>
                <w:iCs/>
                <w:color w:val="000000"/>
                <w:lang w:val="en-NZ"/>
              </w:rPr>
              <w:t xml:space="preserve"> need regulatory solutions</w:t>
            </w:r>
            <w:r w:rsidR="00EB2F14">
              <w:rPr>
                <w:iCs/>
                <w:color w:val="000000"/>
                <w:lang w:val="en-NZ"/>
              </w:rPr>
              <w:t xml:space="preserve"> to achieve the policy intent of the legislation</w:t>
            </w:r>
            <w:r w:rsidR="00A27387">
              <w:rPr>
                <w:iCs/>
                <w:color w:val="000000"/>
                <w:lang w:val="en-NZ"/>
              </w:rPr>
              <w:t xml:space="preserve">, while the third issue could be addressed through regulatory or operational </w:t>
            </w:r>
            <w:r w:rsidR="0027057A">
              <w:rPr>
                <w:iCs/>
                <w:color w:val="000000"/>
                <w:lang w:val="en-NZ"/>
              </w:rPr>
              <w:t>solutions.</w:t>
            </w:r>
            <w:r w:rsidR="0008373E">
              <w:rPr>
                <w:iCs/>
                <w:color w:val="000000"/>
                <w:lang w:val="en-NZ"/>
              </w:rPr>
              <w:t xml:space="preserve"> </w:t>
            </w:r>
          </w:p>
          <w:p w14:paraId="11F35FA3" w14:textId="3FBD134F" w:rsidR="005E02B8" w:rsidRDefault="009E5865" w:rsidP="00684A1D">
            <w:pPr>
              <w:keepLines/>
              <w:spacing w:line="240" w:lineRule="auto"/>
              <w:rPr>
                <w:iCs/>
                <w:color w:val="000000"/>
                <w:lang w:val="en-NZ"/>
              </w:rPr>
            </w:pPr>
            <w:r>
              <w:rPr>
                <w:iCs/>
                <w:color w:val="000000"/>
                <w:lang w:val="en-NZ"/>
              </w:rPr>
              <w:t xml:space="preserve">The </w:t>
            </w:r>
            <w:r w:rsidR="00DC75E7">
              <w:rPr>
                <w:iCs/>
                <w:color w:val="000000"/>
                <w:lang w:val="en-NZ"/>
              </w:rPr>
              <w:t>BDMRR Act</w:t>
            </w:r>
            <w:r w:rsidR="0008373E">
              <w:rPr>
                <w:iCs/>
                <w:color w:val="000000"/>
                <w:lang w:val="en-NZ"/>
              </w:rPr>
              <w:t xml:space="preserve"> </w:t>
            </w:r>
            <w:r>
              <w:rPr>
                <w:iCs/>
                <w:color w:val="000000"/>
                <w:lang w:val="en-NZ"/>
              </w:rPr>
              <w:t>sets h</w:t>
            </w:r>
            <w:r w:rsidR="007831BC">
              <w:rPr>
                <w:iCs/>
                <w:color w:val="000000"/>
                <w:lang w:val="en-NZ"/>
              </w:rPr>
              <w:t>igh-level criteria</w:t>
            </w:r>
            <w:r>
              <w:rPr>
                <w:iCs/>
                <w:color w:val="000000"/>
                <w:lang w:val="en-NZ"/>
              </w:rPr>
              <w:t xml:space="preserve"> </w:t>
            </w:r>
            <w:r w:rsidR="00E76C15">
              <w:rPr>
                <w:iCs/>
                <w:color w:val="000000"/>
                <w:lang w:val="en-NZ"/>
              </w:rPr>
              <w:t xml:space="preserve">to ensure </w:t>
            </w:r>
            <w:r w:rsidR="00470794">
              <w:rPr>
                <w:iCs/>
                <w:color w:val="000000"/>
                <w:lang w:val="en-NZ"/>
              </w:rPr>
              <w:t xml:space="preserve">that any </w:t>
            </w:r>
            <w:r w:rsidR="00E76C15">
              <w:rPr>
                <w:iCs/>
                <w:color w:val="000000"/>
                <w:lang w:val="en-NZ"/>
              </w:rPr>
              <w:t xml:space="preserve">regulations </w:t>
            </w:r>
            <w:r w:rsidR="00470794">
              <w:rPr>
                <w:iCs/>
                <w:color w:val="000000"/>
                <w:lang w:val="en-NZ"/>
              </w:rPr>
              <w:t xml:space="preserve">created </w:t>
            </w:r>
            <w:r w:rsidR="00E76C15">
              <w:rPr>
                <w:iCs/>
                <w:color w:val="000000"/>
                <w:lang w:val="en-NZ"/>
              </w:rPr>
              <w:t>remain in line with the policy intent of the self-identification process</w:t>
            </w:r>
            <w:r w:rsidR="007831BC">
              <w:rPr>
                <w:iCs/>
                <w:color w:val="000000"/>
                <w:lang w:val="en-NZ"/>
              </w:rPr>
              <w:t>.</w:t>
            </w:r>
            <w:r w:rsidR="005E02B8">
              <w:rPr>
                <w:iCs/>
                <w:color w:val="000000"/>
                <w:lang w:val="en-NZ"/>
              </w:rPr>
              <w:t xml:space="preserve"> </w:t>
            </w:r>
            <w:r w:rsidR="00E76C15">
              <w:rPr>
                <w:iCs/>
                <w:color w:val="000000"/>
                <w:lang w:val="en-NZ"/>
              </w:rPr>
              <w:t>The</w:t>
            </w:r>
            <w:r w:rsidR="007831BC">
              <w:rPr>
                <w:iCs/>
                <w:color w:val="000000"/>
                <w:lang w:val="en-NZ"/>
              </w:rPr>
              <w:t xml:space="preserve"> </w:t>
            </w:r>
            <w:r w:rsidR="00E76C15">
              <w:rPr>
                <w:iCs/>
                <w:color w:val="000000"/>
                <w:lang w:val="en-NZ"/>
              </w:rPr>
              <w:t>criteria</w:t>
            </w:r>
            <w:r w:rsidR="007831BC">
              <w:rPr>
                <w:iCs/>
                <w:color w:val="000000"/>
                <w:lang w:val="en-NZ"/>
              </w:rPr>
              <w:t xml:space="preserve"> </w:t>
            </w:r>
            <w:r w:rsidR="00E76C15">
              <w:rPr>
                <w:iCs/>
                <w:color w:val="000000"/>
                <w:lang w:val="en-NZ"/>
              </w:rPr>
              <w:t xml:space="preserve">are </w:t>
            </w:r>
            <w:r w:rsidR="0032296F">
              <w:rPr>
                <w:iCs/>
                <w:color w:val="000000"/>
                <w:lang w:val="en-NZ"/>
              </w:rPr>
              <w:t>intend</w:t>
            </w:r>
            <w:r w:rsidR="00E76C15">
              <w:rPr>
                <w:iCs/>
                <w:color w:val="000000"/>
                <w:lang w:val="en-NZ"/>
              </w:rPr>
              <w:t xml:space="preserve">ed to ensure that regulations do not </w:t>
            </w:r>
            <w:r w:rsidR="00262ADF">
              <w:rPr>
                <w:iCs/>
                <w:color w:val="000000"/>
                <w:lang w:val="en-NZ"/>
              </w:rPr>
              <w:t>stop people from accessing</w:t>
            </w:r>
            <w:r w:rsidR="00E76C15">
              <w:rPr>
                <w:iCs/>
                <w:color w:val="000000"/>
                <w:lang w:val="en-NZ"/>
              </w:rPr>
              <w:t xml:space="preserve"> the self-identification process </w:t>
            </w:r>
            <w:r w:rsidR="00931D9A">
              <w:rPr>
                <w:iCs/>
                <w:color w:val="000000"/>
                <w:lang w:val="en-NZ"/>
              </w:rPr>
              <w:t xml:space="preserve">and that no </w:t>
            </w:r>
            <w:r w:rsidR="00262ADF">
              <w:rPr>
                <w:iCs/>
                <w:color w:val="000000"/>
                <w:lang w:val="en-NZ"/>
              </w:rPr>
              <w:t>parts</w:t>
            </w:r>
            <w:r w:rsidR="00931D9A">
              <w:rPr>
                <w:iCs/>
                <w:color w:val="000000"/>
                <w:lang w:val="en-NZ"/>
              </w:rPr>
              <w:t xml:space="preserve"> of the process are medicalised</w:t>
            </w:r>
            <w:r w:rsidR="00E76C15">
              <w:rPr>
                <w:iCs/>
                <w:color w:val="000000"/>
                <w:lang w:val="en-NZ"/>
              </w:rPr>
              <w:t>.</w:t>
            </w:r>
          </w:p>
          <w:p w14:paraId="1F249AA5" w14:textId="4D381487" w:rsidR="002D3CD5" w:rsidRDefault="002D3CD5" w:rsidP="00684A1D">
            <w:pPr>
              <w:keepLines/>
              <w:spacing w:line="240" w:lineRule="auto"/>
              <w:rPr>
                <w:iCs/>
                <w:color w:val="000000"/>
                <w:lang w:val="en-NZ"/>
              </w:rPr>
            </w:pPr>
            <w:r>
              <w:rPr>
                <w:color w:val="000000"/>
                <w:szCs w:val="22"/>
              </w:rPr>
              <w:t xml:space="preserve">The BDMRR Act received Royal assent on 15 December 2021 and the self-identification provisions </w:t>
            </w:r>
            <w:r w:rsidR="00D43B4C">
              <w:rPr>
                <w:color w:val="000000"/>
                <w:szCs w:val="22"/>
              </w:rPr>
              <w:t>will</w:t>
            </w:r>
            <w:r>
              <w:rPr>
                <w:color w:val="000000"/>
                <w:szCs w:val="22"/>
              </w:rPr>
              <w:t xml:space="preserve"> come into force 18</w:t>
            </w:r>
            <w:r w:rsidR="00F57EF5">
              <w:rPr>
                <w:color w:val="000000"/>
                <w:szCs w:val="22"/>
              </w:rPr>
              <w:t xml:space="preserve"> </w:t>
            </w:r>
            <w:r>
              <w:rPr>
                <w:color w:val="000000"/>
                <w:szCs w:val="22"/>
              </w:rPr>
              <w:t xml:space="preserve">months later (June 2023). Under the BDMRR Act, </w:t>
            </w:r>
            <w:r w:rsidRPr="00970CA8">
              <w:rPr>
                <w:color w:val="000000"/>
                <w:szCs w:val="22"/>
              </w:rPr>
              <w:t xml:space="preserve">any regulations made relating to the self-identification provisions </w:t>
            </w:r>
            <w:r>
              <w:rPr>
                <w:color w:val="000000"/>
                <w:szCs w:val="22"/>
              </w:rPr>
              <w:t xml:space="preserve">must </w:t>
            </w:r>
            <w:r w:rsidRPr="00970CA8">
              <w:rPr>
                <w:color w:val="000000"/>
                <w:szCs w:val="22"/>
              </w:rPr>
              <w:t>be in place when the</w:t>
            </w:r>
            <w:r>
              <w:rPr>
                <w:color w:val="000000"/>
                <w:szCs w:val="22"/>
              </w:rPr>
              <w:t>se</w:t>
            </w:r>
            <w:r w:rsidRPr="00970CA8">
              <w:rPr>
                <w:color w:val="000000"/>
                <w:szCs w:val="22"/>
              </w:rPr>
              <w:t xml:space="preserve"> provisions commence. </w:t>
            </w:r>
            <w:r>
              <w:rPr>
                <w:color w:val="000000"/>
                <w:szCs w:val="22"/>
              </w:rPr>
              <w:t xml:space="preserve">The 18-month timeframe has </w:t>
            </w:r>
            <w:r w:rsidR="00832281">
              <w:rPr>
                <w:color w:val="000000"/>
                <w:szCs w:val="22"/>
              </w:rPr>
              <w:t>limited</w:t>
            </w:r>
            <w:r>
              <w:rPr>
                <w:color w:val="000000"/>
                <w:szCs w:val="22"/>
              </w:rPr>
              <w:t xml:space="preserve"> the period for policy development of feasible options.</w:t>
            </w:r>
          </w:p>
          <w:p w14:paraId="4B5568C0" w14:textId="14840F06" w:rsidR="007B1F60" w:rsidRPr="00EE6484" w:rsidRDefault="005B1E61" w:rsidP="00684A1D">
            <w:pPr>
              <w:keepLines/>
              <w:spacing w:line="240" w:lineRule="auto"/>
              <w:rPr>
                <w:b/>
                <w:iCs/>
                <w:color w:val="000000"/>
                <w:lang w:val="en-NZ"/>
              </w:rPr>
            </w:pPr>
            <w:r>
              <w:rPr>
                <w:b/>
                <w:iCs/>
                <w:color w:val="000000"/>
                <w:lang w:val="en-NZ"/>
              </w:rPr>
              <w:t>U</w:t>
            </w:r>
            <w:r w:rsidR="0032296F" w:rsidRPr="00EE6484">
              <w:rPr>
                <w:b/>
                <w:iCs/>
                <w:color w:val="000000"/>
                <w:lang w:val="en-NZ"/>
              </w:rPr>
              <w:t xml:space="preserve">ncertainties </w:t>
            </w:r>
            <w:r>
              <w:rPr>
                <w:b/>
                <w:iCs/>
                <w:color w:val="000000"/>
                <w:lang w:val="en-NZ"/>
              </w:rPr>
              <w:t>for</w:t>
            </w:r>
            <w:r w:rsidR="00EE6484">
              <w:rPr>
                <w:b/>
                <w:iCs/>
                <w:color w:val="000000"/>
                <w:lang w:val="en-NZ"/>
              </w:rPr>
              <w:t xml:space="preserve"> the impact analysis</w:t>
            </w:r>
          </w:p>
          <w:p w14:paraId="16F44DC3" w14:textId="7EE5565C" w:rsidR="009446FD" w:rsidRDefault="00207ED1" w:rsidP="00684A1D">
            <w:pPr>
              <w:keepLines/>
              <w:spacing w:line="240" w:lineRule="auto"/>
              <w:rPr>
                <w:iCs/>
                <w:color w:val="000000"/>
                <w:lang w:val="en-NZ"/>
              </w:rPr>
            </w:pPr>
            <w:r>
              <w:rPr>
                <w:iCs/>
                <w:color w:val="000000"/>
                <w:lang w:val="en-NZ"/>
              </w:rPr>
              <w:t>Public</w:t>
            </w:r>
            <w:r w:rsidR="001B3FB7">
              <w:rPr>
                <w:iCs/>
                <w:color w:val="000000"/>
                <w:lang w:val="en-NZ"/>
              </w:rPr>
              <w:t xml:space="preserve"> submissions on the </w:t>
            </w:r>
            <w:r>
              <w:rPr>
                <w:iCs/>
                <w:color w:val="000000"/>
                <w:lang w:val="en-NZ"/>
              </w:rPr>
              <w:t xml:space="preserve">select committee </w:t>
            </w:r>
            <w:r w:rsidR="001B3FB7">
              <w:rPr>
                <w:iCs/>
                <w:color w:val="000000"/>
                <w:lang w:val="en-NZ"/>
              </w:rPr>
              <w:t xml:space="preserve">inquiry into the self-identification provisions in September 2021 </w:t>
            </w:r>
            <w:r w:rsidR="009446FD">
              <w:rPr>
                <w:iCs/>
                <w:color w:val="000000"/>
                <w:lang w:val="en-NZ"/>
              </w:rPr>
              <w:t xml:space="preserve">provided some insights that have supported the analysis and options for the three issues. However, a discussion document and </w:t>
            </w:r>
            <w:r w:rsidR="006B494D">
              <w:rPr>
                <w:iCs/>
                <w:color w:val="000000"/>
                <w:lang w:val="en-NZ"/>
              </w:rPr>
              <w:t xml:space="preserve">public </w:t>
            </w:r>
            <w:r w:rsidR="009446FD">
              <w:rPr>
                <w:iCs/>
                <w:color w:val="000000"/>
                <w:lang w:val="en-NZ"/>
              </w:rPr>
              <w:t>engagement focussed on these issues is required to get a clear picture of the public’s views</w:t>
            </w:r>
            <w:r w:rsidR="00C71615">
              <w:rPr>
                <w:iCs/>
                <w:color w:val="000000"/>
                <w:lang w:val="en-NZ"/>
              </w:rPr>
              <w:t xml:space="preserve">, particularly the views of </w:t>
            </w:r>
            <w:r w:rsidR="006A49C1">
              <w:rPr>
                <w:iCs/>
                <w:color w:val="000000"/>
                <w:lang w:val="en-NZ"/>
              </w:rPr>
              <w:t xml:space="preserve">people who are </w:t>
            </w:r>
            <w:proofErr w:type="spellStart"/>
            <w:r w:rsidR="00C71615">
              <w:rPr>
                <w:iCs/>
                <w:color w:val="000000"/>
                <w:lang w:val="en-NZ"/>
              </w:rPr>
              <w:t>takatāpui</w:t>
            </w:r>
            <w:proofErr w:type="spellEnd"/>
            <w:r w:rsidR="00EE74AA">
              <w:rPr>
                <w:iCs/>
                <w:color w:val="000000"/>
                <w:lang w:val="en-NZ"/>
              </w:rPr>
              <w:t>,</w:t>
            </w:r>
            <w:r w:rsidR="00D43B4C">
              <w:rPr>
                <w:rStyle w:val="FootnoteReference"/>
                <w:iCs/>
                <w:lang w:val="en-NZ"/>
              </w:rPr>
              <w:footnoteReference w:id="3"/>
            </w:r>
            <w:r w:rsidR="00C71615">
              <w:rPr>
                <w:iCs/>
                <w:color w:val="000000"/>
                <w:lang w:val="en-NZ"/>
              </w:rPr>
              <w:t xml:space="preserve"> transgender</w:t>
            </w:r>
            <w:r w:rsidR="00EE74AA">
              <w:rPr>
                <w:iCs/>
                <w:color w:val="000000"/>
                <w:lang w:val="en-NZ"/>
              </w:rPr>
              <w:t>,</w:t>
            </w:r>
            <w:r w:rsidR="00D43B4C">
              <w:rPr>
                <w:rStyle w:val="FootnoteReference"/>
                <w:iCs/>
                <w:lang w:val="en-NZ"/>
              </w:rPr>
              <w:footnoteReference w:id="4"/>
            </w:r>
            <w:r w:rsidR="00C71615">
              <w:rPr>
                <w:iCs/>
                <w:color w:val="000000"/>
                <w:lang w:val="en-NZ"/>
              </w:rPr>
              <w:t xml:space="preserve"> and intersex</w:t>
            </w:r>
            <w:r w:rsidR="00EE74AA">
              <w:rPr>
                <w:iCs/>
                <w:color w:val="000000"/>
                <w:lang w:val="en-NZ"/>
              </w:rPr>
              <w:t>.</w:t>
            </w:r>
            <w:r w:rsidR="00D43B4C">
              <w:rPr>
                <w:rStyle w:val="FootnoteReference"/>
                <w:iCs/>
                <w:lang w:val="en-NZ"/>
              </w:rPr>
              <w:footnoteReference w:id="5"/>
            </w:r>
          </w:p>
          <w:p w14:paraId="47AD43D6" w14:textId="4BC73056" w:rsidR="00207ED1" w:rsidRDefault="00207ED1" w:rsidP="00684A1D">
            <w:pPr>
              <w:keepLines/>
              <w:spacing w:line="240" w:lineRule="auto"/>
              <w:rPr>
                <w:iCs/>
                <w:color w:val="000000"/>
                <w:lang w:val="en-NZ"/>
              </w:rPr>
            </w:pPr>
            <w:r>
              <w:rPr>
                <w:iCs/>
                <w:color w:val="000000"/>
                <w:lang w:val="en-NZ"/>
              </w:rPr>
              <w:t>Along with considering the submissions on the select committee inquiry, the analysis and options have been informed by recent consultation and research, particularly:</w:t>
            </w:r>
          </w:p>
          <w:p w14:paraId="53F6D561" w14:textId="6D278B86" w:rsidR="00207ED1" w:rsidRDefault="00262ADF" w:rsidP="00684A1D">
            <w:pPr>
              <w:pStyle w:val="ListParagraph"/>
              <w:keepLines/>
              <w:numPr>
                <w:ilvl w:val="0"/>
                <w:numId w:val="40"/>
              </w:numPr>
              <w:spacing w:line="240" w:lineRule="auto"/>
              <w:rPr>
                <w:iCs/>
                <w:color w:val="000000"/>
                <w:lang w:val="en-NZ"/>
              </w:rPr>
            </w:pPr>
            <w:r>
              <w:rPr>
                <w:iCs/>
                <w:color w:val="000000"/>
                <w:lang w:val="en-NZ"/>
              </w:rPr>
              <w:t>s</w:t>
            </w:r>
            <w:r w:rsidR="00207ED1">
              <w:rPr>
                <w:iCs/>
                <w:color w:val="000000"/>
                <w:lang w:val="en-NZ"/>
              </w:rPr>
              <w:t xml:space="preserve">ettings for self-identification processes introduced </w:t>
            </w:r>
            <w:proofErr w:type="gramStart"/>
            <w:r w:rsidR="00207ED1">
              <w:rPr>
                <w:iCs/>
                <w:color w:val="000000"/>
                <w:lang w:val="en-NZ"/>
              </w:rPr>
              <w:t>overseas;</w:t>
            </w:r>
            <w:proofErr w:type="gramEnd"/>
          </w:p>
          <w:p w14:paraId="3F64D9F5" w14:textId="130F5A49" w:rsidR="00207ED1" w:rsidRDefault="00207ED1" w:rsidP="00684A1D">
            <w:pPr>
              <w:pStyle w:val="ListParagraph"/>
              <w:keepLines/>
              <w:numPr>
                <w:ilvl w:val="0"/>
                <w:numId w:val="40"/>
              </w:numPr>
              <w:spacing w:line="240" w:lineRule="auto"/>
              <w:rPr>
                <w:iCs/>
                <w:color w:val="000000"/>
                <w:lang w:val="en-NZ"/>
              </w:rPr>
            </w:pPr>
            <w:r>
              <w:rPr>
                <w:iCs/>
                <w:color w:val="000000"/>
                <w:lang w:val="en-NZ"/>
              </w:rPr>
              <w:t>Stats</w:t>
            </w:r>
            <w:r w:rsidR="00ED64B4">
              <w:rPr>
                <w:iCs/>
                <w:color w:val="000000"/>
                <w:lang w:val="en-NZ"/>
              </w:rPr>
              <w:t xml:space="preserve"> </w:t>
            </w:r>
            <w:r>
              <w:rPr>
                <w:iCs/>
                <w:color w:val="000000"/>
                <w:lang w:val="en-NZ"/>
              </w:rPr>
              <w:t>NZ’s review of its statistica</w:t>
            </w:r>
            <w:r w:rsidR="00AD3C6E">
              <w:rPr>
                <w:iCs/>
                <w:color w:val="000000"/>
                <w:lang w:val="en-NZ"/>
              </w:rPr>
              <w:t xml:space="preserve">l standards for sex and </w:t>
            </w:r>
            <w:proofErr w:type="gramStart"/>
            <w:r w:rsidR="00AD3C6E">
              <w:rPr>
                <w:iCs/>
                <w:color w:val="000000"/>
                <w:lang w:val="en-NZ"/>
              </w:rPr>
              <w:t>gender;</w:t>
            </w:r>
            <w:proofErr w:type="gramEnd"/>
          </w:p>
          <w:p w14:paraId="28017BFF" w14:textId="7D547B67" w:rsidR="008924D7" w:rsidRDefault="00207ED1" w:rsidP="00684A1D">
            <w:pPr>
              <w:pStyle w:val="ListParagraph"/>
              <w:keepLines/>
              <w:numPr>
                <w:ilvl w:val="0"/>
                <w:numId w:val="40"/>
              </w:numPr>
              <w:spacing w:line="240" w:lineRule="auto"/>
              <w:rPr>
                <w:iCs/>
                <w:color w:val="000000"/>
                <w:lang w:val="en-NZ"/>
              </w:rPr>
            </w:pPr>
            <w:r>
              <w:rPr>
                <w:i/>
                <w:iCs/>
                <w:color w:val="000000"/>
                <w:lang w:val="en-NZ"/>
              </w:rPr>
              <w:t xml:space="preserve">Counting Ourselves, </w:t>
            </w:r>
            <w:r>
              <w:rPr>
                <w:iCs/>
                <w:color w:val="000000"/>
                <w:lang w:val="en-NZ"/>
              </w:rPr>
              <w:t xml:space="preserve">a 2019 survey of 1,178 transgender and </w:t>
            </w:r>
            <w:r w:rsidR="005B065F">
              <w:rPr>
                <w:iCs/>
                <w:color w:val="000000"/>
                <w:lang w:val="en-NZ"/>
              </w:rPr>
              <w:t>non-binary</w:t>
            </w:r>
            <w:r>
              <w:rPr>
                <w:iCs/>
                <w:color w:val="000000"/>
                <w:lang w:val="en-NZ"/>
              </w:rPr>
              <w:t xml:space="preserve"> people in New Zealand</w:t>
            </w:r>
            <w:r w:rsidR="00AD3C6E">
              <w:rPr>
                <w:iCs/>
                <w:color w:val="000000"/>
                <w:lang w:val="en-NZ"/>
              </w:rPr>
              <w:t>; and</w:t>
            </w:r>
          </w:p>
          <w:p w14:paraId="1B0A5F2D" w14:textId="328CCF3E" w:rsidR="00207ED1" w:rsidRPr="005B1E61" w:rsidRDefault="005C2246" w:rsidP="00684A1D">
            <w:pPr>
              <w:pStyle w:val="ListParagraph"/>
              <w:keepLines/>
              <w:numPr>
                <w:ilvl w:val="0"/>
                <w:numId w:val="40"/>
              </w:numPr>
              <w:spacing w:line="240" w:lineRule="auto"/>
              <w:rPr>
                <w:iCs/>
                <w:color w:val="000000"/>
                <w:lang w:val="en-NZ"/>
              </w:rPr>
            </w:pPr>
            <w:r>
              <w:rPr>
                <w:iCs/>
                <w:color w:val="000000"/>
                <w:lang w:val="en-NZ"/>
              </w:rPr>
              <w:lastRenderedPageBreak/>
              <w:t>previous consultation with</w:t>
            </w:r>
            <w:r w:rsidR="008924D7">
              <w:rPr>
                <w:iCs/>
                <w:color w:val="000000"/>
                <w:lang w:val="en-NZ"/>
              </w:rPr>
              <w:t xml:space="preserve"> other agencies about identity fraud</w:t>
            </w:r>
            <w:r>
              <w:rPr>
                <w:iCs/>
                <w:color w:val="000000"/>
                <w:lang w:val="en-NZ"/>
              </w:rPr>
              <w:t xml:space="preserve"> risks and the ability to integrate different gender terms across government systems</w:t>
            </w:r>
            <w:r w:rsidR="00207ED1">
              <w:rPr>
                <w:iCs/>
                <w:color w:val="000000"/>
                <w:lang w:val="en-NZ"/>
              </w:rPr>
              <w:t>.</w:t>
            </w:r>
          </w:p>
          <w:p w14:paraId="2B302236" w14:textId="5D32E0B3" w:rsidR="009D3D6E" w:rsidRDefault="00570CEB" w:rsidP="00684A1D">
            <w:pPr>
              <w:keepLines/>
              <w:spacing w:line="240" w:lineRule="auto"/>
              <w:rPr>
                <w:iCs/>
                <w:color w:val="000000"/>
                <w:lang w:val="en-NZ"/>
              </w:rPr>
            </w:pPr>
            <w:r>
              <w:rPr>
                <w:iCs/>
                <w:color w:val="000000"/>
                <w:lang w:val="en-NZ"/>
              </w:rPr>
              <w:t>T</w:t>
            </w:r>
            <w:r w:rsidR="00A252DC">
              <w:rPr>
                <w:iCs/>
                <w:color w:val="000000"/>
                <w:lang w:val="en-NZ"/>
              </w:rPr>
              <w:t>he impact analysis</w:t>
            </w:r>
            <w:r>
              <w:rPr>
                <w:iCs/>
                <w:color w:val="000000"/>
                <w:lang w:val="en-NZ"/>
              </w:rPr>
              <w:t xml:space="preserve"> is </w:t>
            </w:r>
            <w:r w:rsidR="00711922">
              <w:rPr>
                <w:iCs/>
                <w:color w:val="000000"/>
                <w:lang w:val="en-NZ"/>
              </w:rPr>
              <w:t xml:space="preserve">constrained </w:t>
            </w:r>
            <w:r>
              <w:rPr>
                <w:iCs/>
                <w:color w:val="000000"/>
                <w:lang w:val="en-NZ"/>
              </w:rPr>
              <w:t>by limited</w:t>
            </w:r>
            <w:r w:rsidR="0038293B">
              <w:rPr>
                <w:iCs/>
                <w:color w:val="000000"/>
                <w:lang w:val="en-NZ"/>
              </w:rPr>
              <w:t xml:space="preserve"> information or</w:t>
            </w:r>
            <w:r>
              <w:rPr>
                <w:iCs/>
                <w:color w:val="000000"/>
                <w:lang w:val="en-NZ"/>
              </w:rPr>
              <w:t xml:space="preserve"> evidence </w:t>
            </w:r>
            <w:r w:rsidR="0038293B">
              <w:rPr>
                <w:iCs/>
                <w:color w:val="000000"/>
                <w:lang w:val="en-NZ"/>
              </w:rPr>
              <w:t>to support an understanding of</w:t>
            </w:r>
            <w:r w:rsidR="00A252DC">
              <w:rPr>
                <w:iCs/>
                <w:color w:val="000000"/>
                <w:lang w:val="en-NZ"/>
              </w:rPr>
              <w:t>:</w:t>
            </w:r>
          </w:p>
          <w:p w14:paraId="3439F32D" w14:textId="1F1C77FA" w:rsidR="0038293B" w:rsidRPr="00B53952" w:rsidRDefault="005C2246" w:rsidP="00B53952">
            <w:pPr>
              <w:pStyle w:val="ListParagraph"/>
              <w:keepLines/>
              <w:numPr>
                <w:ilvl w:val="0"/>
                <w:numId w:val="39"/>
              </w:numPr>
              <w:spacing w:line="240" w:lineRule="auto"/>
              <w:rPr>
                <w:iCs/>
                <w:color w:val="000000"/>
                <w:lang w:val="en-NZ"/>
              </w:rPr>
            </w:pPr>
            <w:r>
              <w:rPr>
                <w:iCs/>
                <w:color w:val="000000"/>
                <w:lang w:val="en-NZ"/>
              </w:rPr>
              <w:t>the v</w:t>
            </w:r>
            <w:r w:rsidR="00A252DC">
              <w:rPr>
                <w:iCs/>
                <w:color w:val="000000"/>
                <w:lang w:val="en-NZ"/>
              </w:rPr>
              <w:t xml:space="preserve">iews on the three issues </w:t>
            </w:r>
            <w:r w:rsidR="00C70904">
              <w:rPr>
                <w:iCs/>
                <w:color w:val="000000"/>
                <w:lang w:val="en-NZ"/>
              </w:rPr>
              <w:t xml:space="preserve">among Māori, Pacific peoples and ethnic </w:t>
            </w:r>
            <w:proofErr w:type="gramStart"/>
            <w:r w:rsidR="00C70904">
              <w:rPr>
                <w:iCs/>
                <w:color w:val="000000"/>
                <w:lang w:val="en-NZ"/>
              </w:rPr>
              <w:t>communities;</w:t>
            </w:r>
            <w:proofErr w:type="gramEnd"/>
          </w:p>
          <w:p w14:paraId="32431B93" w14:textId="03D0CF10" w:rsidR="00A002B6" w:rsidRDefault="005A2AD0" w:rsidP="00684A1D">
            <w:pPr>
              <w:pStyle w:val="ListParagraph"/>
              <w:keepLines/>
              <w:numPr>
                <w:ilvl w:val="0"/>
                <w:numId w:val="39"/>
              </w:numPr>
              <w:spacing w:line="240" w:lineRule="auto"/>
              <w:rPr>
                <w:iCs/>
                <w:color w:val="000000"/>
                <w:lang w:val="en-NZ"/>
              </w:rPr>
            </w:pPr>
            <w:r>
              <w:rPr>
                <w:iCs/>
                <w:color w:val="000000"/>
                <w:lang w:val="en-NZ"/>
              </w:rPr>
              <w:t xml:space="preserve">the </w:t>
            </w:r>
            <w:r w:rsidR="00B8031C">
              <w:rPr>
                <w:iCs/>
                <w:color w:val="000000"/>
                <w:lang w:val="en-NZ"/>
              </w:rPr>
              <w:t>practical constraints for service providers recording and sharing sex or gender information</w:t>
            </w:r>
            <w:r w:rsidR="005C2246">
              <w:rPr>
                <w:iCs/>
                <w:color w:val="000000"/>
                <w:lang w:val="en-NZ"/>
              </w:rPr>
              <w:t xml:space="preserve"> and to what degree these will be resolved by adopting the new </w:t>
            </w:r>
            <w:r w:rsidR="00520855">
              <w:rPr>
                <w:iCs/>
                <w:color w:val="000000"/>
                <w:lang w:val="en-NZ"/>
              </w:rPr>
              <w:t>statistical</w:t>
            </w:r>
            <w:r w:rsidR="005C2246">
              <w:rPr>
                <w:iCs/>
                <w:color w:val="000000"/>
                <w:lang w:val="en-NZ"/>
              </w:rPr>
              <w:t xml:space="preserve"> standard for </w:t>
            </w:r>
            <w:r w:rsidR="00520855">
              <w:rPr>
                <w:iCs/>
                <w:color w:val="000000"/>
                <w:lang w:val="en-NZ"/>
              </w:rPr>
              <w:t>gender, sex, and variations in sex characteristics</w:t>
            </w:r>
            <w:r w:rsidR="00B046C2">
              <w:rPr>
                <w:iCs/>
                <w:color w:val="000000"/>
                <w:lang w:val="en-NZ"/>
              </w:rPr>
              <w:t>;</w:t>
            </w:r>
            <w:r w:rsidR="00AD3C6E">
              <w:rPr>
                <w:iCs/>
                <w:color w:val="000000"/>
                <w:lang w:val="en-NZ"/>
              </w:rPr>
              <w:t xml:space="preserve"> and</w:t>
            </w:r>
          </w:p>
          <w:p w14:paraId="53ADF5F6" w14:textId="4BD3E923" w:rsidR="00570CEB" w:rsidRDefault="00262ADF" w:rsidP="00684A1D">
            <w:pPr>
              <w:pStyle w:val="ListParagraph"/>
              <w:keepLines/>
              <w:numPr>
                <w:ilvl w:val="0"/>
                <w:numId w:val="39"/>
              </w:numPr>
              <w:spacing w:line="240" w:lineRule="auto"/>
              <w:rPr>
                <w:iCs/>
                <w:color w:val="000000"/>
                <w:lang w:val="en-NZ"/>
              </w:rPr>
            </w:pPr>
            <w:r>
              <w:rPr>
                <w:iCs/>
                <w:color w:val="000000"/>
                <w:lang w:val="en-NZ"/>
              </w:rPr>
              <w:t>exactly how much risk</w:t>
            </w:r>
            <w:r w:rsidR="005C2246">
              <w:rPr>
                <w:iCs/>
                <w:color w:val="000000"/>
                <w:lang w:val="en-NZ"/>
              </w:rPr>
              <w:t xml:space="preserve"> of identity fraud</w:t>
            </w:r>
            <w:r w:rsidR="00570CEB">
              <w:rPr>
                <w:iCs/>
                <w:color w:val="000000"/>
                <w:lang w:val="en-NZ"/>
              </w:rPr>
              <w:t xml:space="preserve"> the self-identification process</w:t>
            </w:r>
            <w:r>
              <w:rPr>
                <w:iCs/>
                <w:color w:val="000000"/>
                <w:lang w:val="en-NZ"/>
              </w:rPr>
              <w:t xml:space="preserve"> could create</w:t>
            </w:r>
            <w:r w:rsidR="00570CEB">
              <w:rPr>
                <w:iCs/>
                <w:color w:val="000000"/>
                <w:lang w:val="en-NZ"/>
              </w:rPr>
              <w:t>.</w:t>
            </w:r>
          </w:p>
          <w:p w14:paraId="7A5EC390" w14:textId="60361AE3" w:rsidR="00470794" w:rsidRDefault="00470794" w:rsidP="00684A1D">
            <w:pPr>
              <w:keepLines/>
              <w:spacing w:line="240" w:lineRule="auto"/>
              <w:rPr>
                <w:iCs/>
                <w:color w:val="000000"/>
                <w:lang w:val="en-NZ"/>
              </w:rPr>
            </w:pPr>
            <w:r>
              <w:rPr>
                <w:iCs/>
                <w:color w:val="000000"/>
                <w:lang w:val="en-NZ"/>
              </w:rPr>
              <w:t xml:space="preserve">Due to the lack of available information or evidence, </w:t>
            </w:r>
            <w:r w:rsidR="00793B7D">
              <w:rPr>
                <w:iCs/>
                <w:color w:val="000000"/>
                <w:lang w:val="en-NZ"/>
              </w:rPr>
              <w:t xml:space="preserve">we have made </w:t>
            </w:r>
            <w:r w:rsidR="00EE74AA">
              <w:rPr>
                <w:iCs/>
                <w:color w:val="000000"/>
                <w:lang w:val="en-NZ"/>
              </w:rPr>
              <w:t xml:space="preserve">some </w:t>
            </w:r>
            <w:r>
              <w:rPr>
                <w:iCs/>
                <w:color w:val="000000"/>
                <w:lang w:val="en-NZ"/>
              </w:rPr>
              <w:t xml:space="preserve">assumptions </w:t>
            </w:r>
            <w:r w:rsidR="00793B7D">
              <w:rPr>
                <w:iCs/>
                <w:color w:val="000000"/>
                <w:lang w:val="en-NZ"/>
              </w:rPr>
              <w:t>to determine</w:t>
            </w:r>
            <w:r w:rsidR="00FF6B9F">
              <w:rPr>
                <w:iCs/>
                <w:color w:val="000000"/>
                <w:lang w:val="en-NZ"/>
              </w:rPr>
              <w:t xml:space="preserve"> the range of feasible options discussed</w:t>
            </w:r>
            <w:r w:rsidR="001F751F">
              <w:rPr>
                <w:iCs/>
                <w:color w:val="000000"/>
                <w:lang w:val="en-NZ"/>
              </w:rPr>
              <w:t xml:space="preserve"> in this RIS</w:t>
            </w:r>
            <w:r w:rsidR="00FF6B9F">
              <w:rPr>
                <w:iCs/>
                <w:color w:val="000000"/>
                <w:lang w:val="en-NZ"/>
              </w:rPr>
              <w:t xml:space="preserve"> and </w:t>
            </w:r>
            <w:r w:rsidR="001F751F">
              <w:rPr>
                <w:iCs/>
                <w:color w:val="000000"/>
                <w:lang w:val="en-NZ"/>
              </w:rPr>
              <w:t xml:space="preserve">how they are </w:t>
            </w:r>
            <w:r w:rsidR="00FF6B9F">
              <w:rPr>
                <w:iCs/>
                <w:color w:val="000000"/>
                <w:lang w:val="en-NZ"/>
              </w:rPr>
              <w:t>assess</w:t>
            </w:r>
            <w:r w:rsidR="001F751F">
              <w:rPr>
                <w:iCs/>
                <w:color w:val="000000"/>
                <w:lang w:val="en-NZ"/>
              </w:rPr>
              <w:t>ed</w:t>
            </w:r>
            <w:r w:rsidR="00FF6B9F">
              <w:rPr>
                <w:iCs/>
                <w:color w:val="000000"/>
                <w:lang w:val="en-NZ"/>
              </w:rPr>
              <w:t xml:space="preserve"> against the criteria. The assumptions we have made are based largely on feedback select committee received during its consultation on the self-identification provisions, overseas models for self-identification, and the recent research described above.</w:t>
            </w:r>
            <w:r w:rsidR="008634AC">
              <w:rPr>
                <w:iCs/>
                <w:color w:val="000000"/>
                <w:lang w:val="en-NZ"/>
              </w:rPr>
              <w:t xml:space="preserve"> </w:t>
            </w:r>
            <w:r w:rsidR="00EE74AA">
              <w:rPr>
                <w:iCs/>
                <w:color w:val="000000"/>
                <w:lang w:val="en-NZ"/>
              </w:rPr>
              <w:t>We have made assumptions, for example, about the</w:t>
            </w:r>
            <w:r w:rsidR="00021B75">
              <w:rPr>
                <w:iCs/>
                <w:color w:val="000000"/>
                <w:lang w:val="en-NZ"/>
              </w:rPr>
              <w:t xml:space="preserve"> importance of including culturally specific markers, the use of umbrella terms as a suitable option or the</w:t>
            </w:r>
            <w:r w:rsidR="00EE74AA">
              <w:rPr>
                <w:iCs/>
                <w:color w:val="000000"/>
                <w:lang w:val="en-NZ"/>
              </w:rPr>
              <w:t xml:space="preserve"> level of fraud risk we anticipate from enabling people to change their gender more than once</w:t>
            </w:r>
            <w:r w:rsidR="00021B75">
              <w:rPr>
                <w:iCs/>
                <w:color w:val="000000"/>
                <w:lang w:val="en-NZ"/>
              </w:rPr>
              <w:t>.</w:t>
            </w:r>
            <w:r w:rsidR="00EE74AA">
              <w:rPr>
                <w:iCs/>
                <w:color w:val="000000"/>
                <w:lang w:val="en-NZ"/>
              </w:rPr>
              <w:t xml:space="preserve"> </w:t>
            </w:r>
            <w:r w:rsidR="008634AC">
              <w:rPr>
                <w:iCs/>
                <w:color w:val="000000"/>
                <w:lang w:val="en-NZ"/>
              </w:rPr>
              <w:t>We expect that consultation on the draft options will help to fill our knowledge gaps or clarify any assumptions being made.</w:t>
            </w:r>
            <w:r w:rsidR="00021B75">
              <w:rPr>
                <w:iCs/>
                <w:color w:val="000000"/>
                <w:lang w:val="en-NZ"/>
              </w:rPr>
              <w:t xml:space="preserve"> As a result, our assumptions and analysis may be refined following consultation.</w:t>
            </w:r>
            <w:r w:rsidR="008634AC">
              <w:rPr>
                <w:iCs/>
                <w:color w:val="000000"/>
                <w:lang w:val="en-NZ"/>
              </w:rPr>
              <w:t xml:space="preserve"> </w:t>
            </w:r>
          </w:p>
          <w:p w14:paraId="3DBA48DC" w14:textId="2EDB740C" w:rsidR="00970CA8" w:rsidRPr="002D3CD5" w:rsidRDefault="005C2246" w:rsidP="00684A1D">
            <w:pPr>
              <w:keepLines/>
              <w:spacing w:line="240" w:lineRule="auto"/>
              <w:rPr>
                <w:iCs/>
                <w:color w:val="000000"/>
                <w:lang w:val="en-NZ"/>
              </w:rPr>
            </w:pPr>
            <w:r>
              <w:rPr>
                <w:iCs/>
                <w:color w:val="000000"/>
                <w:lang w:val="en-NZ"/>
              </w:rPr>
              <w:t>We</w:t>
            </w:r>
            <w:r w:rsidR="00570CEB">
              <w:rPr>
                <w:iCs/>
                <w:color w:val="000000"/>
                <w:lang w:val="en-NZ"/>
              </w:rPr>
              <w:t xml:space="preserve"> do not</w:t>
            </w:r>
            <w:r>
              <w:rPr>
                <w:iCs/>
                <w:color w:val="000000"/>
                <w:lang w:val="en-NZ"/>
              </w:rPr>
              <w:t xml:space="preserve"> think</w:t>
            </w:r>
            <w:r w:rsidR="00570CEB">
              <w:rPr>
                <w:iCs/>
                <w:color w:val="000000"/>
                <w:lang w:val="en-NZ"/>
              </w:rPr>
              <w:t xml:space="preserve"> these constraints will impact on Ministers’ decision to release </w:t>
            </w:r>
            <w:r w:rsidR="00262ADF">
              <w:rPr>
                <w:iCs/>
                <w:color w:val="000000"/>
                <w:lang w:val="en-NZ"/>
              </w:rPr>
              <w:t>the discussion document</w:t>
            </w:r>
            <w:r w:rsidR="00570CEB">
              <w:rPr>
                <w:iCs/>
                <w:color w:val="000000"/>
                <w:lang w:val="en-NZ"/>
              </w:rPr>
              <w:t>.</w:t>
            </w:r>
            <w:r w:rsidR="0038293B">
              <w:rPr>
                <w:iCs/>
                <w:color w:val="000000"/>
                <w:lang w:val="en-NZ"/>
              </w:rPr>
              <w:t xml:space="preserve"> </w:t>
            </w:r>
            <w:r w:rsidR="0038293B" w:rsidRPr="002C0A68">
              <w:rPr>
                <w:iCs/>
                <w:color w:val="000000"/>
                <w:lang w:val="en-NZ"/>
              </w:rPr>
              <w:t>The options</w:t>
            </w:r>
            <w:r w:rsidR="00262ADF">
              <w:rPr>
                <w:iCs/>
                <w:color w:val="000000"/>
                <w:lang w:val="en-NZ"/>
              </w:rPr>
              <w:t xml:space="preserve"> in the discussion document</w:t>
            </w:r>
            <w:r w:rsidR="0038293B" w:rsidRPr="002C0A68">
              <w:rPr>
                <w:iCs/>
                <w:color w:val="000000"/>
                <w:lang w:val="en-NZ"/>
              </w:rPr>
              <w:t xml:space="preserve"> are set at a high</w:t>
            </w:r>
            <w:r w:rsidR="0038293B">
              <w:rPr>
                <w:iCs/>
                <w:color w:val="000000"/>
                <w:lang w:val="en-NZ"/>
              </w:rPr>
              <w:t xml:space="preserve"> </w:t>
            </w:r>
            <w:r w:rsidR="0038293B" w:rsidRPr="002C0A68">
              <w:rPr>
                <w:iCs/>
                <w:color w:val="000000"/>
                <w:lang w:val="en-NZ"/>
              </w:rPr>
              <w:t>level so that feedback can inform more detailed proposals.</w:t>
            </w:r>
          </w:p>
        </w:tc>
      </w:tr>
      <w:tr w:rsidR="00413FD8" w:rsidRPr="00A864A5" w14:paraId="0EA0047F" w14:textId="77777777" w:rsidTr="006448CF">
        <w:tc>
          <w:tcPr>
            <w:tcW w:w="5000" w:type="pct"/>
            <w:gridSpan w:val="2"/>
            <w:tcBorders>
              <w:bottom w:val="single" w:sz="4" w:space="0" w:color="DDDDDD"/>
            </w:tcBorders>
            <w:shd w:val="clear" w:color="auto" w:fill="99CDDD"/>
            <w:hideMark/>
          </w:tcPr>
          <w:p w14:paraId="7A579FF2" w14:textId="77777777" w:rsidR="00413FD8" w:rsidRPr="00A864A5" w:rsidRDefault="00413FD8" w:rsidP="002B1B9D">
            <w:pPr>
              <w:pStyle w:val="TableHeadings"/>
              <w:rPr>
                <w:color w:val="002060"/>
                <w:szCs w:val="22"/>
                <w:lang w:val="en-NZ"/>
              </w:rPr>
            </w:pPr>
            <w:bookmarkStart w:id="7" w:name="_Hlk47608084"/>
            <w:bookmarkEnd w:id="6"/>
            <w:r w:rsidRPr="00A864A5">
              <w:rPr>
                <w:szCs w:val="22"/>
                <w:lang w:val="en-NZ"/>
              </w:rPr>
              <w:lastRenderedPageBreak/>
              <w:t>Responsible Manager(s) (completed by relevant manager)</w:t>
            </w:r>
          </w:p>
        </w:tc>
      </w:tr>
      <w:tr w:rsidR="00413FD8" w:rsidRPr="00A864A5" w14:paraId="091E60B6" w14:textId="77777777" w:rsidTr="006C3B28">
        <w:trPr>
          <w:trHeight w:val="359"/>
        </w:trPr>
        <w:tc>
          <w:tcPr>
            <w:tcW w:w="5000" w:type="pct"/>
            <w:gridSpan w:val="2"/>
            <w:tcBorders>
              <w:top w:val="nil"/>
            </w:tcBorders>
            <w:shd w:val="clear" w:color="auto" w:fill="auto"/>
          </w:tcPr>
          <w:p w14:paraId="4E99BE46" w14:textId="0E2C653C" w:rsidR="00413FD8" w:rsidRPr="00AB6445" w:rsidRDefault="00DB3A97" w:rsidP="00560FED">
            <w:pPr>
              <w:spacing w:before="60" w:after="0" w:line="276" w:lineRule="auto"/>
              <w:ind w:left="284" w:hanging="284"/>
              <w:jc w:val="both"/>
              <w:rPr>
                <w:rFonts w:cs="Arial"/>
                <w:szCs w:val="22"/>
                <w:lang w:val="en-NZ"/>
              </w:rPr>
            </w:pPr>
            <w:r w:rsidRPr="00AB6445">
              <w:rPr>
                <w:rFonts w:cs="Arial"/>
                <w:szCs w:val="22"/>
                <w:lang w:val="en-NZ"/>
              </w:rPr>
              <w:t xml:space="preserve">Suzanne Doig </w:t>
            </w:r>
          </w:p>
          <w:p w14:paraId="58345635" w14:textId="35333364" w:rsidR="00DB3A97" w:rsidRPr="00AB6445" w:rsidRDefault="00DB3A97" w:rsidP="00560FED">
            <w:pPr>
              <w:spacing w:before="60" w:after="0" w:line="276" w:lineRule="auto"/>
              <w:ind w:left="284" w:hanging="284"/>
              <w:jc w:val="both"/>
              <w:rPr>
                <w:rFonts w:cs="Arial"/>
                <w:szCs w:val="22"/>
                <w:lang w:val="en-NZ"/>
              </w:rPr>
            </w:pPr>
            <w:r w:rsidRPr="00AB6445">
              <w:rPr>
                <w:rFonts w:cs="Arial"/>
                <w:szCs w:val="22"/>
                <w:lang w:val="en-NZ"/>
              </w:rPr>
              <w:t>General Manager</w:t>
            </w:r>
            <w:r w:rsidR="000A5060">
              <w:rPr>
                <w:rFonts w:cs="Arial"/>
                <w:szCs w:val="22"/>
                <w:lang w:val="en-NZ"/>
              </w:rPr>
              <w:t>,</w:t>
            </w:r>
            <w:r w:rsidRPr="00AB6445">
              <w:rPr>
                <w:rFonts w:cs="Arial"/>
                <w:szCs w:val="22"/>
                <w:lang w:val="en-NZ"/>
              </w:rPr>
              <w:t xml:space="preserve"> Policy Group </w:t>
            </w:r>
          </w:p>
          <w:p w14:paraId="536F0022" w14:textId="763FFFC4" w:rsidR="00DB3A97" w:rsidRPr="00AB6445" w:rsidRDefault="00DB3A97" w:rsidP="00560FED">
            <w:pPr>
              <w:spacing w:before="60" w:after="0" w:line="276" w:lineRule="auto"/>
              <w:ind w:left="284" w:hanging="284"/>
              <w:jc w:val="both"/>
              <w:rPr>
                <w:rFonts w:cs="Arial"/>
                <w:szCs w:val="22"/>
                <w:lang w:val="en-NZ"/>
              </w:rPr>
            </w:pPr>
            <w:r w:rsidRPr="00AB6445">
              <w:rPr>
                <w:rFonts w:cs="Arial"/>
                <w:szCs w:val="22"/>
                <w:lang w:val="en-NZ"/>
              </w:rPr>
              <w:t xml:space="preserve">Department of Internal Affairs </w:t>
            </w:r>
          </w:p>
          <w:p w14:paraId="18A7C95D" w14:textId="75D6BF8A" w:rsidR="00DB3A97" w:rsidRDefault="00DB3A97" w:rsidP="00560FED">
            <w:pPr>
              <w:spacing w:after="0"/>
              <w:rPr>
                <w:rFonts w:cs="Arial"/>
                <w:i/>
                <w:iCs/>
                <w:szCs w:val="22"/>
                <w:lang w:val="en-NZ"/>
              </w:rPr>
            </w:pPr>
          </w:p>
          <w:p w14:paraId="6F54A2EA" w14:textId="4A7F0413" w:rsidR="000A5060" w:rsidRDefault="009E15DE" w:rsidP="00560FED">
            <w:pPr>
              <w:spacing w:after="0"/>
              <w:rPr>
                <w:rFonts w:cs="Arial"/>
                <w:i/>
                <w:iCs/>
                <w:szCs w:val="22"/>
                <w:lang w:val="en-NZ"/>
              </w:rPr>
            </w:pPr>
            <w:r>
              <w:rPr>
                <w:rFonts w:cs="Arial"/>
                <w:i/>
                <w:iCs/>
                <w:noProof/>
                <w:szCs w:val="22"/>
                <w:lang w:val="en-NZ"/>
              </w:rPr>
              <mc:AlternateContent>
                <mc:Choice Requires="wpi">
                  <w:drawing>
                    <wp:anchor distT="0" distB="0" distL="114300" distR="114300" simplePos="0" relativeHeight="251664386" behindDoc="0" locked="0" layoutInCell="1" allowOverlap="1" wp14:anchorId="5376CBD4" wp14:editId="442EEBDC">
                      <wp:simplePos x="0" y="0"/>
                      <wp:positionH relativeFrom="column">
                        <wp:posOffset>931897</wp:posOffset>
                      </wp:positionH>
                      <wp:positionV relativeFrom="paragraph">
                        <wp:posOffset>-134215</wp:posOffset>
                      </wp:positionV>
                      <wp:extent cx="1291215" cy="455910"/>
                      <wp:effectExtent l="38100" t="38100" r="4445" b="40005"/>
                      <wp:wrapNone/>
                      <wp:docPr id="8"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1291215" cy="455910"/>
                            </w14:xfrm>
                          </w14:contentPart>
                        </a:graphicData>
                      </a:graphic>
                    </wp:anchor>
                  </w:drawing>
                </mc:Choice>
                <mc:Fallback>
                  <w:pict>
                    <v:shapetype w14:anchorId="74E699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72.7pt;margin-top:-11.25pt;width:103.05pt;height:37.35pt;z-index:25166438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">
                      <v:imagedata r:id="rId16" o:title=""/>
                    </v:shape>
                  </w:pict>
                </mc:Fallback>
              </mc:AlternateContent>
            </w:r>
          </w:p>
          <w:p w14:paraId="65FBD4C4" w14:textId="169BCDA8" w:rsidR="007A20DD" w:rsidRPr="006C3B28" w:rsidRDefault="000A5060" w:rsidP="00560FED">
            <w:pPr>
              <w:spacing w:after="0"/>
              <w:rPr>
                <w:rFonts w:cs="Arial"/>
                <w:i/>
                <w:szCs w:val="22"/>
                <w:lang w:val="en-NZ"/>
              </w:rPr>
            </w:pPr>
            <w:r>
              <w:rPr>
                <w:rFonts w:cs="Arial"/>
                <w:szCs w:val="22"/>
                <w:lang w:val="en-NZ"/>
              </w:rPr>
              <w:t>6 May 2022</w:t>
            </w:r>
          </w:p>
        </w:tc>
      </w:tr>
      <w:tr w:rsidR="00EB2157" w:rsidRPr="00A864A5" w14:paraId="5FCD62D5" w14:textId="77777777" w:rsidTr="006448CF">
        <w:tc>
          <w:tcPr>
            <w:tcW w:w="5000" w:type="pct"/>
            <w:gridSpan w:val="2"/>
            <w:tcBorders>
              <w:bottom w:val="single" w:sz="4" w:space="0" w:color="DDDDDD"/>
            </w:tcBorders>
            <w:shd w:val="clear" w:color="auto" w:fill="99CDDD"/>
            <w:hideMark/>
          </w:tcPr>
          <w:p w14:paraId="55C0C834" w14:textId="0B23483F" w:rsidR="00EB2157" w:rsidRPr="00A864A5" w:rsidRDefault="00EB2157" w:rsidP="002B1B9D">
            <w:pPr>
              <w:pStyle w:val="TableHeadings"/>
              <w:rPr>
                <w:color w:val="002060"/>
                <w:szCs w:val="22"/>
                <w:lang w:val="en-NZ"/>
              </w:rPr>
            </w:pPr>
            <w:r w:rsidRPr="00A864A5">
              <w:rPr>
                <w:szCs w:val="22"/>
                <w:lang w:val="en-NZ"/>
              </w:rPr>
              <w:t xml:space="preserve">Quality </w:t>
            </w:r>
            <w:r w:rsidR="009F6501" w:rsidRPr="00A864A5">
              <w:rPr>
                <w:szCs w:val="22"/>
                <w:lang w:val="en-NZ"/>
              </w:rPr>
              <w:t>A</w:t>
            </w:r>
            <w:r w:rsidRPr="00A864A5">
              <w:rPr>
                <w:szCs w:val="22"/>
                <w:lang w:val="en-NZ"/>
              </w:rPr>
              <w:t xml:space="preserve">ssurance </w:t>
            </w:r>
            <w:r w:rsidR="00076368" w:rsidRPr="00A864A5">
              <w:rPr>
                <w:szCs w:val="22"/>
                <w:lang w:val="en-NZ"/>
              </w:rPr>
              <w:t>(completed by QA panel)</w:t>
            </w:r>
          </w:p>
        </w:tc>
      </w:tr>
      <w:tr w:rsidR="00EB2157" w:rsidRPr="00A864A5" w14:paraId="6F7BACA2" w14:textId="77777777" w:rsidTr="006448CF">
        <w:trPr>
          <w:trHeight w:val="141"/>
        </w:trPr>
        <w:tc>
          <w:tcPr>
            <w:tcW w:w="1328" w:type="pct"/>
            <w:tcBorders>
              <w:top w:val="nil"/>
            </w:tcBorders>
            <w:shd w:val="clear" w:color="auto" w:fill="EBF5F8"/>
          </w:tcPr>
          <w:p w14:paraId="22AF1207" w14:textId="7EA6C592" w:rsidR="00EB2157" w:rsidRPr="00A864A5" w:rsidRDefault="00EB2157" w:rsidP="002B1B9D">
            <w:pPr>
              <w:rPr>
                <w:rFonts w:cs="Arial"/>
                <w:iCs/>
                <w:color w:val="000000"/>
                <w:szCs w:val="22"/>
                <w:lang w:val="en-NZ"/>
              </w:rPr>
            </w:pPr>
            <w:r w:rsidRPr="00A864A5">
              <w:rPr>
                <w:rFonts w:cs="Arial"/>
                <w:iCs/>
                <w:color w:val="000000"/>
                <w:szCs w:val="22"/>
                <w:lang w:val="en-NZ"/>
              </w:rPr>
              <w:t xml:space="preserve">Reviewing </w:t>
            </w:r>
            <w:r w:rsidR="00575FF9" w:rsidRPr="00A864A5">
              <w:rPr>
                <w:rFonts w:cs="Arial"/>
                <w:iCs/>
                <w:color w:val="000000"/>
                <w:szCs w:val="22"/>
                <w:lang w:val="en-NZ"/>
              </w:rPr>
              <w:t>A</w:t>
            </w:r>
            <w:r w:rsidRPr="00A864A5">
              <w:rPr>
                <w:rFonts w:cs="Arial"/>
                <w:iCs/>
                <w:color w:val="000000"/>
                <w:szCs w:val="22"/>
                <w:lang w:val="en-NZ"/>
              </w:rPr>
              <w:t>gency:</w:t>
            </w:r>
          </w:p>
        </w:tc>
        <w:tc>
          <w:tcPr>
            <w:tcW w:w="3672" w:type="pct"/>
            <w:tcBorders>
              <w:top w:val="nil"/>
            </w:tcBorders>
            <w:shd w:val="clear" w:color="auto" w:fill="auto"/>
          </w:tcPr>
          <w:p w14:paraId="402BE84D" w14:textId="41A77CE1" w:rsidR="00EB2157" w:rsidRPr="00A864A5" w:rsidRDefault="008E517E" w:rsidP="002B1B9D">
            <w:pPr>
              <w:rPr>
                <w:rFonts w:cs="Arial"/>
                <w:iCs/>
                <w:color w:val="000000"/>
                <w:szCs w:val="22"/>
                <w:lang w:val="en-NZ"/>
              </w:rPr>
            </w:pPr>
            <w:r>
              <w:rPr>
                <w:rFonts w:cs="Arial"/>
                <w:szCs w:val="22"/>
                <w:lang w:val="en-NZ"/>
              </w:rPr>
              <w:t xml:space="preserve">Department of Internal Affairs </w:t>
            </w:r>
          </w:p>
        </w:tc>
      </w:tr>
      <w:tr w:rsidR="00EB2157" w:rsidRPr="00A864A5" w14:paraId="228C68D7" w14:textId="77777777" w:rsidTr="006448CF">
        <w:trPr>
          <w:trHeight w:val="1639"/>
        </w:trPr>
        <w:tc>
          <w:tcPr>
            <w:tcW w:w="1328" w:type="pct"/>
            <w:tcBorders>
              <w:top w:val="nil"/>
            </w:tcBorders>
            <w:shd w:val="clear" w:color="auto" w:fill="EBF5F8"/>
          </w:tcPr>
          <w:p w14:paraId="4DF0990E" w14:textId="00252464" w:rsidR="00EB2157" w:rsidRPr="00A864A5" w:rsidRDefault="00F321A6" w:rsidP="002B1B9D">
            <w:pPr>
              <w:rPr>
                <w:rFonts w:cs="Arial"/>
                <w:iCs/>
                <w:color w:val="000000"/>
                <w:szCs w:val="22"/>
                <w:lang w:val="en-NZ"/>
              </w:rPr>
            </w:pPr>
            <w:r w:rsidRPr="00A864A5">
              <w:rPr>
                <w:rFonts w:cs="Arial"/>
                <w:iCs/>
                <w:color w:val="000000"/>
                <w:szCs w:val="22"/>
                <w:lang w:val="en-NZ"/>
              </w:rPr>
              <w:t xml:space="preserve">Panel </w:t>
            </w:r>
            <w:r w:rsidR="00EB2157" w:rsidRPr="00A864A5">
              <w:rPr>
                <w:rFonts w:cs="Arial"/>
                <w:iCs/>
                <w:color w:val="000000"/>
                <w:szCs w:val="22"/>
                <w:lang w:val="en-NZ"/>
              </w:rPr>
              <w:t>Assessment</w:t>
            </w:r>
            <w:r w:rsidRPr="00A864A5">
              <w:rPr>
                <w:rFonts w:cs="Arial"/>
                <w:iCs/>
                <w:color w:val="000000"/>
                <w:szCs w:val="22"/>
                <w:lang w:val="en-NZ"/>
              </w:rPr>
              <w:t xml:space="preserve"> &amp; </w:t>
            </w:r>
            <w:r w:rsidR="0085441F" w:rsidRPr="00A864A5">
              <w:rPr>
                <w:rFonts w:cs="Arial"/>
                <w:iCs/>
                <w:color w:val="000000"/>
                <w:szCs w:val="22"/>
                <w:lang w:val="en-NZ"/>
              </w:rPr>
              <w:t>Comment</w:t>
            </w:r>
            <w:r w:rsidR="00EB2157" w:rsidRPr="00A864A5">
              <w:rPr>
                <w:rFonts w:cs="Arial"/>
                <w:iCs/>
                <w:color w:val="000000"/>
                <w:szCs w:val="22"/>
                <w:lang w:val="en-NZ"/>
              </w:rPr>
              <w:t>:</w:t>
            </w:r>
          </w:p>
        </w:tc>
        <w:tc>
          <w:tcPr>
            <w:tcW w:w="3672" w:type="pct"/>
            <w:tcBorders>
              <w:top w:val="nil"/>
            </w:tcBorders>
            <w:shd w:val="clear" w:color="auto" w:fill="auto"/>
          </w:tcPr>
          <w:p w14:paraId="552DBC07" w14:textId="77777777" w:rsidR="00EB2157" w:rsidRDefault="008E517E" w:rsidP="002B1B9D">
            <w:pPr>
              <w:rPr>
                <w:rFonts w:cs="Arial"/>
                <w:iCs/>
                <w:color w:val="000000"/>
                <w:szCs w:val="22"/>
                <w:lang w:val="en-NZ"/>
              </w:rPr>
            </w:pPr>
            <w:r>
              <w:rPr>
                <w:rFonts w:cs="Arial"/>
                <w:iCs/>
                <w:color w:val="000000"/>
                <w:szCs w:val="22"/>
                <w:lang w:val="en-NZ"/>
              </w:rPr>
              <w:t xml:space="preserve">The panel considers that the information and analysis summarised in the RIA </w:t>
            </w:r>
            <w:r w:rsidRPr="008E517E">
              <w:rPr>
                <w:rFonts w:cs="Arial"/>
                <w:i/>
                <w:color w:val="000000"/>
                <w:szCs w:val="22"/>
                <w:lang w:val="en-NZ"/>
              </w:rPr>
              <w:t>meets</w:t>
            </w:r>
            <w:r>
              <w:rPr>
                <w:rFonts w:cs="Arial"/>
                <w:iCs/>
                <w:color w:val="000000"/>
                <w:szCs w:val="22"/>
                <w:lang w:val="en-NZ"/>
              </w:rPr>
              <w:t xml:space="preserve"> the quality assurance criteria. </w:t>
            </w:r>
          </w:p>
          <w:p w14:paraId="28FD900F" w14:textId="7CF0653B" w:rsidR="00EB2157" w:rsidRPr="00A864A5" w:rsidRDefault="008E517E" w:rsidP="002B1B9D">
            <w:pPr>
              <w:rPr>
                <w:rFonts w:cs="Arial"/>
                <w:iCs/>
                <w:color w:val="000000"/>
                <w:szCs w:val="22"/>
                <w:lang w:val="en-NZ"/>
              </w:rPr>
            </w:pPr>
            <w:r>
              <w:rPr>
                <w:rFonts w:cs="Arial"/>
                <w:iCs/>
                <w:color w:val="000000"/>
                <w:szCs w:val="22"/>
                <w:lang w:val="en-NZ"/>
              </w:rPr>
              <w:t xml:space="preserve">This interim RIA supports the release of a discussion document on regulatory options to give effect to aspects of the Births, Deaths, Marriages and Relationships Registration Act 2021. The RIA clearly </w:t>
            </w:r>
            <w:r w:rsidR="007E08C2">
              <w:rPr>
                <w:rFonts w:cs="Arial"/>
                <w:iCs/>
                <w:color w:val="000000"/>
                <w:szCs w:val="22"/>
                <w:lang w:val="en-NZ"/>
              </w:rPr>
              <w:t>l</w:t>
            </w:r>
            <w:r>
              <w:rPr>
                <w:rFonts w:cs="Arial"/>
                <w:iCs/>
                <w:color w:val="000000"/>
                <w:szCs w:val="22"/>
                <w:lang w:val="en-NZ"/>
              </w:rPr>
              <w:t>inks the objectives of the proposals</w:t>
            </w:r>
            <w:r w:rsidR="007E08C2">
              <w:rPr>
                <w:rFonts w:cs="Arial"/>
                <w:iCs/>
                <w:color w:val="000000"/>
                <w:szCs w:val="22"/>
                <w:lang w:val="en-NZ"/>
              </w:rPr>
              <w:t xml:space="preserve"> in the discussion document to the overarching purpose of the Act. It clearly explains complex concepts using plain English and is concise relative to the complex nature of the issues being discussed. It convincingly describes the issues to be addressed, the issues impacting on the current situation and sets out the full range of options. Assumptions, constraints and uncertainties are clearly </w:t>
            </w:r>
            <w:proofErr w:type="gramStart"/>
            <w:r w:rsidR="007E08C2">
              <w:rPr>
                <w:rFonts w:cs="Arial"/>
                <w:iCs/>
                <w:color w:val="000000"/>
                <w:szCs w:val="22"/>
                <w:lang w:val="en-NZ"/>
              </w:rPr>
              <w:t>stated</w:t>
            </w:r>
            <w:proofErr w:type="gramEnd"/>
            <w:r w:rsidR="007E08C2">
              <w:rPr>
                <w:rFonts w:cs="Arial"/>
                <w:iCs/>
                <w:color w:val="000000"/>
                <w:szCs w:val="22"/>
                <w:lang w:val="en-NZ"/>
              </w:rPr>
              <w:t xml:space="preserve"> and it provides balanced analysis. Complete information is provided by setting out the full range of issues to be consulted on, including risks and mitigation measures. </w:t>
            </w:r>
          </w:p>
        </w:tc>
      </w:tr>
    </w:tbl>
    <w:p w14:paraId="78C7D67C" w14:textId="089024B6" w:rsidR="00072EA7" w:rsidRDefault="005852A9" w:rsidP="00802AB2">
      <w:pPr>
        <w:pStyle w:val="Heading2"/>
        <w:rPr>
          <w:lang w:val="en-NZ"/>
        </w:rPr>
      </w:pPr>
      <w:bookmarkStart w:id="8" w:name="_Toc363047038"/>
      <w:bookmarkStart w:id="9" w:name="_Toc362940530"/>
      <w:bookmarkStart w:id="10" w:name="_Toc362618966"/>
      <w:bookmarkStart w:id="11" w:name="_Toc362434720"/>
      <w:bookmarkStart w:id="12" w:name="_Toc362368098"/>
      <w:bookmarkEnd w:id="7"/>
      <w:r>
        <w:rPr>
          <w:lang w:val="en-NZ"/>
        </w:rPr>
        <w:lastRenderedPageBreak/>
        <w:t>Background: Introduction of the self-identification process</w:t>
      </w:r>
    </w:p>
    <w:p w14:paraId="286B9000" w14:textId="772C496A" w:rsidR="007E62F2" w:rsidRDefault="00A5730C" w:rsidP="00684A1D">
      <w:pPr>
        <w:pStyle w:val="Heading4"/>
        <w:keepLines/>
        <w:rPr>
          <w:lang w:val="en-NZ"/>
        </w:rPr>
      </w:pPr>
      <w:r>
        <w:rPr>
          <w:lang w:val="en-NZ"/>
        </w:rPr>
        <w:t>Sex and gender are different</w:t>
      </w:r>
      <w:r w:rsidR="004B4D95">
        <w:rPr>
          <w:lang w:val="en-NZ"/>
        </w:rPr>
        <w:t xml:space="preserve"> – </w:t>
      </w:r>
      <w:r w:rsidR="00262ADF">
        <w:rPr>
          <w:lang w:val="en-NZ"/>
        </w:rPr>
        <w:t xml:space="preserve">and </w:t>
      </w:r>
      <w:r w:rsidR="004B4D95">
        <w:rPr>
          <w:lang w:val="en-NZ"/>
        </w:rPr>
        <w:t>a process to recognise gender on birth certificates has been in place since 1995</w:t>
      </w:r>
    </w:p>
    <w:p w14:paraId="253F3D25" w14:textId="5C2C5B57" w:rsidR="00A5730C" w:rsidRPr="00A5730C" w:rsidRDefault="00A5730C" w:rsidP="00684A1D">
      <w:pPr>
        <w:pStyle w:val="BodyText-Numbered"/>
        <w:keepNext w:val="0"/>
        <w:keepLines/>
        <w:rPr>
          <w:lang w:val="en-NZ"/>
        </w:rPr>
      </w:pPr>
      <w:r w:rsidRPr="00A5730C">
        <w:rPr>
          <w:lang w:val="en-NZ"/>
        </w:rPr>
        <w:t>Gender is distinct from sex. Gender refers to a person’s social and personal identity as a male, female, or another gender</w:t>
      </w:r>
      <w:r w:rsidR="004B4D95">
        <w:rPr>
          <w:lang w:val="en-NZ"/>
        </w:rPr>
        <w:t>, such as ‘non-binary’</w:t>
      </w:r>
      <w:r w:rsidRPr="00A5730C">
        <w:rPr>
          <w:lang w:val="en-NZ"/>
        </w:rPr>
        <w:t>. Sex refers to a person’s physiological features that characterise people as male, female or intersex. A person’s gender is not always the same as their sex.</w:t>
      </w:r>
    </w:p>
    <w:p w14:paraId="5CE64099" w14:textId="6D3ADA55" w:rsidR="00A5730C" w:rsidRDefault="00A5730C" w:rsidP="00684A1D">
      <w:pPr>
        <w:pStyle w:val="BodyText-Numbered"/>
        <w:keepNext w:val="0"/>
        <w:keepLines/>
      </w:pPr>
      <w:r>
        <w:t>A person’s s</w:t>
      </w:r>
      <w:r w:rsidRPr="00014F56">
        <w:t>ex is re</w:t>
      </w:r>
      <w:r>
        <w:t>gistered</w:t>
      </w:r>
      <w:r w:rsidRPr="00014F56">
        <w:t xml:space="preserve"> at</w:t>
      </w:r>
      <w:r>
        <w:t xml:space="preserve"> birth</w:t>
      </w:r>
      <w:r w:rsidR="0035526F">
        <w:t>, with details provided by someone present at the birth</w:t>
      </w:r>
      <w:r>
        <w:t xml:space="preserve">. </w:t>
      </w:r>
      <w:r w:rsidR="0023621A">
        <w:t>P</w:t>
      </w:r>
      <w:r>
        <w:t xml:space="preserve">eople have been </w:t>
      </w:r>
      <w:r w:rsidRPr="00014F56">
        <w:t xml:space="preserve">able to </w:t>
      </w:r>
      <w:r>
        <w:t>amend</w:t>
      </w:r>
      <w:r w:rsidRPr="00014F56">
        <w:t xml:space="preserve"> </w:t>
      </w:r>
      <w:r>
        <w:t>their registered sex, which is printed</w:t>
      </w:r>
      <w:r w:rsidRPr="00014F56">
        <w:t xml:space="preserve"> on their birth certificate</w:t>
      </w:r>
      <w:r>
        <w:t>,</w:t>
      </w:r>
      <w:r w:rsidRPr="00014F56">
        <w:t xml:space="preserve"> </w:t>
      </w:r>
      <w:r w:rsidR="00B82870">
        <w:t>since</w:t>
      </w:r>
      <w:r w:rsidRPr="00014F56">
        <w:t xml:space="preserve"> the </w:t>
      </w:r>
      <w:r>
        <w:t xml:space="preserve">Births, Deaths, Marriages and Relationships Registration Act </w:t>
      </w:r>
      <w:r w:rsidR="004B4D95">
        <w:t xml:space="preserve">1995 </w:t>
      </w:r>
      <w:r>
        <w:t>(</w:t>
      </w:r>
      <w:r w:rsidR="004B4D95">
        <w:t>the 1995</w:t>
      </w:r>
      <w:r w:rsidRPr="00014F56">
        <w:t xml:space="preserve"> Act</w:t>
      </w:r>
      <w:r>
        <w:t>)</w:t>
      </w:r>
      <w:r w:rsidR="0023621A">
        <w:t xml:space="preserve"> was enacted</w:t>
      </w:r>
      <w:r w:rsidRPr="00014F56">
        <w:t>.</w:t>
      </w:r>
      <w:r>
        <w:t xml:space="preserve"> </w:t>
      </w:r>
    </w:p>
    <w:p w14:paraId="08491D27" w14:textId="6E41C20D" w:rsidR="00A5730C" w:rsidRDefault="00A5730C" w:rsidP="00684A1D">
      <w:pPr>
        <w:pStyle w:val="BodyText-Numbered"/>
        <w:keepNext w:val="0"/>
        <w:keepLines/>
      </w:pPr>
      <w:r>
        <w:t xml:space="preserve">Under the </w:t>
      </w:r>
      <w:r w:rsidR="004B4D95">
        <w:t>1995 Act</w:t>
      </w:r>
      <w:r>
        <w:t xml:space="preserve">, </w:t>
      </w:r>
      <w:r w:rsidRPr="00420F66">
        <w:t>applicants</w:t>
      </w:r>
      <w:r w:rsidR="004B4D95">
        <w:t xml:space="preserve"> have</w:t>
      </w:r>
      <w:r w:rsidRPr="00420F66">
        <w:t xml:space="preserve"> </w:t>
      </w:r>
      <w:r>
        <w:t>need</w:t>
      </w:r>
      <w:r w:rsidR="004B4D95">
        <w:t>ed</w:t>
      </w:r>
      <w:r>
        <w:t xml:space="preserve"> to</w:t>
      </w:r>
      <w:r w:rsidRPr="00420F66">
        <w:t xml:space="preserve"> provide evidence of medical treatment</w:t>
      </w:r>
      <w:r>
        <w:t>, which is</w:t>
      </w:r>
      <w:r w:rsidRPr="00420F66">
        <w:t xml:space="preserve"> then assessed by a Family Court judge who determines if the </w:t>
      </w:r>
      <w:r>
        <w:t>amendment</w:t>
      </w:r>
      <w:r w:rsidR="004D64CA">
        <w:t xml:space="preserve"> to the birth record</w:t>
      </w:r>
      <w:r w:rsidRPr="00420F66">
        <w:t xml:space="preserve"> can be made. </w:t>
      </w:r>
      <w:r>
        <w:t xml:space="preserve">While this process is about amending sex information, </w:t>
      </w:r>
      <w:r w:rsidR="00EE1CA8">
        <w:t>i</w:t>
      </w:r>
      <w:r>
        <w:t xml:space="preserve">t </w:t>
      </w:r>
      <w:r w:rsidR="002722CB">
        <w:t>has been</w:t>
      </w:r>
      <w:r>
        <w:t xml:space="preserve"> </w:t>
      </w:r>
      <w:r w:rsidRPr="00014F56">
        <w:t>a mechanism for people to have their gender recognised.</w:t>
      </w:r>
    </w:p>
    <w:p w14:paraId="414088F1" w14:textId="4FE1DA9A" w:rsidR="00A5730C" w:rsidRPr="004B4D95" w:rsidRDefault="00262ADF" w:rsidP="00684A1D">
      <w:pPr>
        <w:pStyle w:val="Heading4"/>
        <w:keepLines/>
        <w:rPr>
          <w:lang w:val="en-NZ"/>
        </w:rPr>
      </w:pPr>
      <w:r>
        <w:rPr>
          <w:lang w:val="en-NZ"/>
        </w:rPr>
        <w:t>We will no longer require</w:t>
      </w:r>
      <w:r w:rsidR="004B4D95" w:rsidRPr="004B4D95">
        <w:rPr>
          <w:lang w:val="en-NZ"/>
        </w:rPr>
        <w:t xml:space="preserve"> medical</w:t>
      </w:r>
      <w:r>
        <w:rPr>
          <w:lang w:val="en-NZ"/>
        </w:rPr>
        <w:t xml:space="preserve"> evidence of a person’s gender</w:t>
      </w:r>
    </w:p>
    <w:p w14:paraId="0C8EC273" w14:textId="31FFCEA4" w:rsidR="00C6027E" w:rsidRDefault="006A2CFA" w:rsidP="00684A1D">
      <w:pPr>
        <w:pStyle w:val="BodyText-Numbered"/>
        <w:keepNext w:val="0"/>
        <w:keepLines/>
      </w:pPr>
      <w:r>
        <w:t xml:space="preserve">The </w:t>
      </w:r>
      <w:r w:rsidR="00DC75E7">
        <w:t>BDMRR Act</w:t>
      </w:r>
      <w:r w:rsidR="00AA7857">
        <w:t xml:space="preserve"> </w:t>
      </w:r>
      <w:r w:rsidR="00EE1CA8">
        <w:t xml:space="preserve">introduces </w:t>
      </w:r>
      <w:r w:rsidR="00AA7857">
        <w:t xml:space="preserve">a self-identification process </w:t>
      </w:r>
      <w:r w:rsidR="00A456CA">
        <w:t>to replace the process established in the 1995 Act</w:t>
      </w:r>
      <w:r w:rsidR="00CE50A0">
        <w:t>. The process will allow people to amend their registered sex by applying to the Registrar-General</w:t>
      </w:r>
      <w:r w:rsidR="00A456CA">
        <w:t xml:space="preserve"> of Births, Deaths, and Marriages with a statutory declaration.</w:t>
      </w:r>
      <w:r w:rsidR="00064677">
        <w:t xml:space="preserve"> The </w:t>
      </w:r>
      <w:r w:rsidR="00AD3DB8">
        <w:t>introduction of the self-identification process means there is no longer a</w:t>
      </w:r>
      <w:r w:rsidR="00064677">
        <w:t xml:space="preserve"> requirement to present medical evidence</w:t>
      </w:r>
      <w:r w:rsidR="00CC48C1">
        <w:t xml:space="preserve"> to a Family Court</w:t>
      </w:r>
      <w:r w:rsidR="00064677">
        <w:t xml:space="preserve">. </w:t>
      </w:r>
    </w:p>
    <w:p w14:paraId="2FFA4CF9" w14:textId="1302EF58" w:rsidR="00C6027E" w:rsidRDefault="00C6027E" w:rsidP="00684A1D">
      <w:pPr>
        <w:pStyle w:val="BodyText-Numbered"/>
        <w:keepNext w:val="0"/>
        <w:keepLines/>
      </w:pPr>
      <w:r>
        <w:t>The self-identification process will make amending registered sex accessible to people who do not want</w:t>
      </w:r>
      <w:r w:rsidR="00CE230E">
        <w:t xml:space="preserve"> or are unable to access </w:t>
      </w:r>
      <w:r>
        <w:t>medical treatment, people who</w:t>
      </w:r>
      <w:r w:rsidR="00CC48C1">
        <w:t>se</w:t>
      </w:r>
      <w:r>
        <w:t xml:space="preserve"> gender </w:t>
      </w:r>
      <w:r w:rsidR="00CC48C1">
        <w:t>has changed</w:t>
      </w:r>
      <w:r>
        <w:t xml:space="preserve">, and (if regulations are set) people who are </w:t>
      </w:r>
      <w:r w:rsidR="00CE230E">
        <w:t xml:space="preserve">a </w:t>
      </w:r>
      <w:r>
        <w:t>non-binary</w:t>
      </w:r>
      <w:r w:rsidR="00CE230E">
        <w:t xml:space="preserve"> gender</w:t>
      </w:r>
      <w:r>
        <w:t>.</w:t>
      </w:r>
    </w:p>
    <w:p w14:paraId="69191390" w14:textId="47F18338" w:rsidR="0031504F" w:rsidRDefault="0031504F" w:rsidP="00684A1D">
      <w:pPr>
        <w:pStyle w:val="Heading4"/>
        <w:keepLines/>
      </w:pPr>
      <w:r>
        <w:t xml:space="preserve">The </w:t>
      </w:r>
      <w:r w:rsidR="00DC75E7">
        <w:t>BDMRR Act</w:t>
      </w:r>
      <w:r>
        <w:t xml:space="preserve"> </w:t>
      </w:r>
      <w:r w:rsidR="00582826">
        <w:t>includes regulation-making powers</w:t>
      </w:r>
      <w:r w:rsidR="00B53952">
        <w:t xml:space="preserve"> to help operationalise the self-identification provisions</w:t>
      </w:r>
    </w:p>
    <w:p w14:paraId="699EA532" w14:textId="38EC91E4" w:rsidR="00FF5727" w:rsidRDefault="00FF5727" w:rsidP="00684A1D">
      <w:pPr>
        <w:pStyle w:val="BodyText-Numbered"/>
        <w:keepNext w:val="0"/>
        <w:keepLines/>
      </w:pPr>
      <w:r>
        <w:t xml:space="preserve">The </w:t>
      </w:r>
      <w:r w:rsidR="00DC75E7">
        <w:t>BDMRR Act</w:t>
      </w:r>
      <w:r>
        <w:t xml:space="preserve"> </w:t>
      </w:r>
      <w:r w:rsidR="00C6027E">
        <w:t xml:space="preserve">includes </w:t>
      </w:r>
      <w:r>
        <w:t>regulation</w:t>
      </w:r>
      <w:r w:rsidR="00C6027E">
        <w:t>-making powers to</w:t>
      </w:r>
      <w:r w:rsidR="0013736D">
        <w:t xml:space="preserve"> prescribe</w:t>
      </w:r>
      <w:r>
        <w:t>:</w:t>
      </w:r>
    </w:p>
    <w:p w14:paraId="48AE5489" w14:textId="4503D2AD" w:rsidR="00FF5727" w:rsidRDefault="0035526F" w:rsidP="00684A1D">
      <w:pPr>
        <w:pStyle w:val="BodyText-Numbered"/>
        <w:keepNext w:val="0"/>
        <w:keepLines/>
        <w:numPr>
          <w:ilvl w:val="1"/>
          <w:numId w:val="1"/>
        </w:numPr>
      </w:pPr>
      <w:r>
        <w:t xml:space="preserve">any </w:t>
      </w:r>
      <w:r w:rsidR="00FF5727">
        <w:t xml:space="preserve">sex </w:t>
      </w:r>
      <w:r w:rsidR="00CC48C1">
        <w:t xml:space="preserve">and </w:t>
      </w:r>
      <w:r w:rsidR="0082788B">
        <w:t>gender terms</w:t>
      </w:r>
      <w:r w:rsidR="00CC48C1">
        <w:t xml:space="preserve"> </w:t>
      </w:r>
      <w:r w:rsidR="00FF5727">
        <w:t xml:space="preserve">other than male and female that people can </w:t>
      </w:r>
      <w:r w:rsidR="0082788B">
        <w:t xml:space="preserve">select from to amend their registered </w:t>
      </w:r>
      <w:proofErr w:type="gramStart"/>
      <w:r w:rsidR="0082788B">
        <w:t>sex</w:t>
      </w:r>
      <w:r w:rsidR="00FF5727">
        <w:t>;</w:t>
      </w:r>
      <w:proofErr w:type="gramEnd"/>
    </w:p>
    <w:p w14:paraId="07820E90" w14:textId="6C03C694" w:rsidR="00FF5727" w:rsidRDefault="00FF5727" w:rsidP="00684A1D">
      <w:pPr>
        <w:pStyle w:val="BodyText-Numbered"/>
        <w:keepNext w:val="0"/>
        <w:keepLines/>
        <w:numPr>
          <w:ilvl w:val="1"/>
          <w:numId w:val="1"/>
        </w:numPr>
      </w:pPr>
      <w:r>
        <w:t xml:space="preserve">the types of persons who can be ‘suitably qualified third parties’ </w:t>
      </w:r>
      <w:r w:rsidR="0082788B">
        <w:t>t</w:t>
      </w:r>
      <w:r>
        <w:t>o provide a letter of support for applications for children and young people; and</w:t>
      </w:r>
    </w:p>
    <w:p w14:paraId="2FCA50D5" w14:textId="5116A0D8" w:rsidR="00FF5727" w:rsidRDefault="0082788B" w:rsidP="00684A1D">
      <w:pPr>
        <w:pStyle w:val="BodyText-Numbered"/>
        <w:keepNext w:val="0"/>
        <w:keepLines/>
        <w:numPr>
          <w:ilvl w:val="1"/>
          <w:numId w:val="1"/>
        </w:numPr>
      </w:pPr>
      <w:r>
        <w:t xml:space="preserve">any </w:t>
      </w:r>
      <w:r w:rsidR="00FF5727">
        <w:t xml:space="preserve">additional requirements </w:t>
      </w:r>
      <w:r w:rsidR="00CE230E">
        <w:t>for</w:t>
      </w:r>
      <w:r w:rsidR="00FF5727">
        <w:t xml:space="preserve"> a person</w:t>
      </w:r>
      <w:r w:rsidR="00CE230E">
        <w:t xml:space="preserve"> to amend their registered sex if they</w:t>
      </w:r>
      <w:r w:rsidR="00FF5727">
        <w:t xml:space="preserve"> ha</w:t>
      </w:r>
      <w:r w:rsidR="00CE230E">
        <w:t>ve</w:t>
      </w:r>
      <w:r w:rsidR="00647946">
        <w:t xml:space="preserve"> previously</w:t>
      </w:r>
      <w:r w:rsidR="00FF5727">
        <w:t xml:space="preserve"> amended their registered sex.</w:t>
      </w:r>
    </w:p>
    <w:p w14:paraId="3C2E6106" w14:textId="4D37D945" w:rsidR="008A585C" w:rsidRDefault="0085124A" w:rsidP="00684A1D">
      <w:pPr>
        <w:pStyle w:val="BodyText-Numbered"/>
        <w:keepNext w:val="0"/>
        <w:keepLines/>
      </w:pPr>
      <w:r>
        <w:t>The self-identification process will come into force in June 2023.</w:t>
      </w:r>
      <w:r w:rsidR="00430F9A">
        <w:t xml:space="preserve"> </w:t>
      </w:r>
      <w:r w:rsidR="003B698D">
        <w:t xml:space="preserve">Regulations </w:t>
      </w:r>
      <w:r w:rsidR="0013736D">
        <w:t xml:space="preserve">need to </w:t>
      </w:r>
      <w:r w:rsidR="003B698D">
        <w:t>be in place by this point to ensure key aspects of the process can be operationalised.</w:t>
      </w:r>
    </w:p>
    <w:p w14:paraId="28EC8E62" w14:textId="724B86FF" w:rsidR="00EB6671" w:rsidRPr="002A1634" w:rsidRDefault="00D36A22" w:rsidP="00EB6671">
      <w:pPr>
        <w:pStyle w:val="Heading4"/>
        <w:keepLines/>
      </w:pPr>
      <w:r>
        <w:t>The transgender population makes up close to one per cent of the general</w:t>
      </w:r>
      <w:r w:rsidR="00EB6671" w:rsidRPr="002A1634">
        <w:t xml:space="preserve"> population</w:t>
      </w:r>
    </w:p>
    <w:p w14:paraId="161F0F42" w14:textId="098769E0" w:rsidR="00EB6671" w:rsidRDefault="00EB6671" w:rsidP="00EB6671">
      <w:pPr>
        <w:pStyle w:val="BodyText-Numbered"/>
        <w:keepNext w:val="0"/>
        <w:keepLines/>
      </w:pPr>
      <w:r>
        <w:t>We do not have any comprehensive measurement of the New Zealand transgender population as it has not been measured in a nationwide census. There have been surveys that provide approximate measurements of the transgender population. The surveys indicate that there is a small but significant transgender population</w:t>
      </w:r>
      <w:r w:rsidR="00165971">
        <w:t>,</w:t>
      </w:r>
      <w:r>
        <w:t xml:space="preserve"> and a large proportion of this population is non-binary:</w:t>
      </w:r>
    </w:p>
    <w:p w14:paraId="40991FA8" w14:textId="72E1FD67" w:rsidR="00EB6671" w:rsidRPr="00B53952" w:rsidRDefault="00EB6671" w:rsidP="00EB6671">
      <w:pPr>
        <w:pStyle w:val="BodyText-Numbered"/>
        <w:keepNext w:val="0"/>
        <w:keepLines/>
        <w:numPr>
          <w:ilvl w:val="1"/>
          <w:numId w:val="1"/>
        </w:numPr>
        <w:rPr>
          <w:lang w:val="en-NZ"/>
        </w:rPr>
      </w:pPr>
      <w:proofErr w:type="spellStart"/>
      <w:r w:rsidRPr="00B53952">
        <w:rPr>
          <w:lang w:val="en-NZ"/>
        </w:rPr>
        <w:t>StatsNZ</w:t>
      </w:r>
      <w:proofErr w:type="spellEnd"/>
      <w:r w:rsidRPr="00B53952">
        <w:rPr>
          <w:lang w:val="en-NZ"/>
        </w:rPr>
        <w:t xml:space="preserve"> Household Economic Survey 2020 surveyed 31,000 adults and measured 0.8</w:t>
      </w:r>
      <w:r w:rsidR="00D36A22">
        <w:rPr>
          <w:lang w:val="en-NZ"/>
        </w:rPr>
        <w:t xml:space="preserve"> per cent</w:t>
      </w:r>
      <w:r w:rsidRPr="00B53952">
        <w:rPr>
          <w:lang w:val="en-NZ"/>
        </w:rPr>
        <w:t xml:space="preserve"> of the general population as transgender. Of those who were identified as transgender, 38.5</w:t>
      </w:r>
      <w:r w:rsidR="00447BEF">
        <w:rPr>
          <w:lang w:val="en-NZ"/>
        </w:rPr>
        <w:t xml:space="preserve"> per cent</w:t>
      </w:r>
      <w:r w:rsidRPr="00B53952">
        <w:rPr>
          <w:lang w:val="en-NZ"/>
        </w:rPr>
        <w:t xml:space="preserve"> identified as a gender outside of the male and female </w:t>
      </w:r>
      <w:proofErr w:type="gramStart"/>
      <w:r w:rsidRPr="00B53952">
        <w:rPr>
          <w:lang w:val="en-NZ"/>
        </w:rPr>
        <w:t>binary;</w:t>
      </w:r>
      <w:proofErr w:type="gramEnd"/>
    </w:p>
    <w:p w14:paraId="4D605136" w14:textId="55F8B31B" w:rsidR="00EB6671" w:rsidRPr="00B53952" w:rsidRDefault="008F44DD" w:rsidP="00EB6671">
      <w:pPr>
        <w:pStyle w:val="BodyText-Numbered"/>
        <w:keepNext w:val="0"/>
        <w:keepLines/>
        <w:numPr>
          <w:ilvl w:val="1"/>
          <w:numId w:val="1"/>
        </w:numPr>
        <w:rPr>
          <w:lang w:val="en-NZ"/>
        </w:rPr>
      </w:pPr>
      <w:r>
        <w:rPr>
          <w:lang w:val="en-NZ"/>
        </w:rPr>
        <w:lastRenderedPageBreak/>
        <w:t>t</w:t>
      </w:r>
      <w:r w:rsidR="00EB6671" w:rsidRPr="00B53952">
        <w:rPr>
          <w:lang w:val="en-NZ"/>
        </w:rPr>
        <w:t xml:space="preserve">he 2019 </w:t>
      </w:r>
      <w:r w:rsidR="00165971">
        <w:rPr>
          <w:lang w:val="en-NZ"/>
        </w:rPr>
        <w:t>‘</w:t>
      </w:r>
      <w:r w:rsidR="00EB6671" w:rsidRPr="00B53952">
        <w:rPr>
          <w:lang w:val="en-NZ"/>
        </w:rPr>
        <w:t>Counting Ourselves</w:t>
      </w:r>
      <w:r w:rsidR="00165971">
        <w:rPr>
          <w:lang w:val="en-NZ"/>
        </w:rPr>
        <w:t>’</w:t>
      </w:r>
      <w:r w:rsidR="00EB6671" w:rsidRPr="00B53952">
        <w:rPr>
          <w:lang w:val="en-NZ"/>
        </w:rPr>
        <w:t xml:space="preserve"> </w:t>
      </w:r>
      <w:r w:rsidR="00165971">
        <w:rPr>
          <w:lang w:val="en-NZ"/>
        </w:rPr>
        <w:t>s</w:t>
      </w:r>
      <w:r w:rsidR="00EB6671" w:rsidRPr="00B53952">
        <w:rPr>
          <w:lang w:val="en-NZ"/>
        </w:rPr>
        <w:t xml:space="preserve">urvey surveyed 1,178 transgender people </w:t>
      </w:r>
      <w:r w:rsidR="00D36A22">
        <w:rPr>
          <w:lang w:val="en-NZ"/>
        </w:rPr>
        <w:t>–</w:t>
      </w:r>
      <w:r w:rsidR="00EB6671" w:rsidRPr="00B53952">
        <w:rPr>
          <w:lang w:val="en-NZ"/>
        </w:rPr>
        <w:t xml:space="preserve"> 45</w:t>
      </w:r>
      <w:r w:rsidR="00D36A22">
        <w:rPr>
          <w:lang w:val="en-NZ"/>
        </w:rPr>
        <w:t xml:space="preserve"> per cent</w:t>
      </w:r>
      <w:r w:rsidR="00EB6671" w:rsidRPr="00B53952">
        <w:rPr>
          <w:lang w:val="en-NZ"/>
        </w:rPr>
        <w:t xml:space="preserve"> of participants identified within a non-binary grouping of genders; and </w:t>
      </w:r>
    </w:p>
    <w:p w14:paraId="72971424" w14:textId="27F8D02D" w:rsidR="00EB6671" w:rsidRPr="00EB6671" w:rsidRDefault="008F44DD" w:rsidP="00EB6671">
      <w:pPr>
        <w:pStyle w:val="BodyText-Numbered"/>
        <w:keepNext w:val="0"/>
        <w:keepLines/>
        <w:numPr>
          <w:ilvl w:val="1"/>
          <w:numId w:val="1"/>
        </w:numPr>
        <w:rPr>
          <w:lang w:val="en-NZ"/>
        </w:rPr>
      </w:pPr>
      <w:r>
        <w:rPr>
          <w:lang w:val="en-NZ"/>
        </w:rPr>
        <w:t>i</w:t>
      </w:r>
      <w:r w:rsidR="00EB6671" w:rsidRPr="00B53952">
        <w:rPr>
          <w:lang w:val="en-NZ"/>
        </w:rPr>
        <w:t>n the Youth ’19 survey of 7,724 adolescent students, 1</w:t>
      </w:r>
      <w:r w:rsidR="00D36A22">
        <w:rPr>
          <w:lang w:val="en-NZ"/>
        </w:rPr>
        <w:t xml:space="preserve"> per cent</w:t>
      </w:r>
      <w:r w:rsidR="00EB6671" w:rsidRPr="00B53952">
        <w:rPr>
          <w:lang w:val="en-NZ"/>
        </w:rPr>
        <w:t xml:space="preserve"> identified as transgender (this was inclusive of non-binary people), while 0.6</w:t>
      </w:r>
      <w:r w:rsidR="00D36A22">
        <w:rPr>
          <w:lang w:val="en-NZ"/>
        </w:rPr>
        <w:t xml:space="preserve"> per cent</w:t>
      </w:r>
      <w:r w:rsidR="00EB6671" w:rsidRPr="00B53952">
        <w:rPr>
          <w:lang w:val="en-NZ"/>
        </w:rPr>
        <w:t xml:space="preserve"> indicated they were not sure of their gender.</w:t>
      </w:r>
    </w:p>
    <w:p w14:paraId="2291FF0B" w14:textId="159A22AB" w:rsidR="00975F2E" w:rsidRDefault="00BF69FF" w:rsidP="00802AB2">
      <w:pPr>
        <w:pStyle w:val="Heading2"/>
      </w:pPr>
      <w:r>
        <w:t>This document con</w:t>
      </w:r>
      <w:r w:rsidR="008A585C">
        <w:t>siders</w:t>
      </w:r>
      <w:r w:rsidR="00505C22">
        <w:t xml:space="preserve"> </w:t>
      </w:r>
      <w:r w:rsidR="00FF5727">
        <w:t xml:space="preserve">the </w:t>
      </w:r>
      <w:r w:rsidR="00505C22">
        <w:t>three issues separately</w:t>
      </w:r>
    </w:p>
    <w:p w14:paraId="3D8870F9" w14:textId="5C802CEF" w:rsidR="00BF69FF" w:rsidRDefault="00BF69FF" w:rsidP="00684A1D">
      <w:pPr>
        <w:pStyle w:val="Heading4"/>
      </w:pPr>
      <w:r>
        <w:t xml:space="preserve">The </w:t>
      </w:r>
      <w:r w:rsidR="00995B8B">
        <w:t>three issues contribute to the self-identification objectives in different ways</w:t>
      </w:r>
    </w:p>
    <w:p w14:paraId="63F71281" w14:textId="31C2A39C" w:rsidR="00064677" w:rsidRPr="005F71B6" w:rsidRDefault="00064677" w:rsidP="00684A1D">
      <w:pPr>
        <w:keepLines/>
        <w:widowControl w:val="0"/>
        <w:numPr>
          <w:ilvl w:val="0"/>
          <w:numId w:val="1"/>
        </w:numPr>
        <w:spacing w:before="60" w:after="120" w:line="240" w:lineRule="auto"/>
        <w:rPr>
          <w:rFonts w:eastAsiaTheme="minorHAnsi" w:cs="Arial"/>
          <w:szCs w:val="22"/>
          <w:lang w:val="en-NZ" w:eastAsia="en-US"/>
        </w:rPr>
      </w:pPr>
      <w:bookmarkStart w:id="13" w:name="_Hlk70421344"/>
      <w:r w:rsidRPr="005F71B6">
        <w:rPr>
          <w:rFonts w:eastAsiaTheme="minorHAnsi" w:cs="Arial"/>
          <w:szCs w:val="22"/>
          <w:lang w:val="en-NZ" w:eastAsia="en-US"/>
        </w:rPr>
        <w:t xml:space="preserve">The objectives </w:t>
      </w:r>
      <w:r w:rsidR="009F7655">
        <w:rPr>
          <w:rFonts w:eastAsiaTheme="minorHAnsi" w:cs="Arial"/>
          <w:szCs w:val="22"/>
          <w:lang w:val="en-NZ" w:eastAsia="en-US"/>
        </w:rPr>
        <w:t>for</w:t>
      </w:r>
      <w:r>
        <w:rPr>
          <w:rFonts w:eastAsiaTheme="minorHAnsi" w:cs="Arial"/>
          <w:szCs w:val="22"/>
          <w:lang w:val="en-NZ" w:eastAsia="en-US"/>
        </w:rPr>
        <w:t xml:space="preserve"> introducing a self-identification process</w:t>
      </w:r>
      <w:r>
        <w:rPr>
          <w:rStyle w:val="BodyText-NumberedChar"/>
          <w:lang w:val="en-NZ" w:eastAsia="en-US"/>
        </w:rPr>
        <w:t xml:space="preserve"> were</w:t>
      </w:r>
      <w:r w:rsidRPr="008F0C4F">
        <w:rPr>
          <w:rStyle w:val="BodyText-NumberedChar"/>
          <w:lang w:val="en-NZ" w:eastAsia="en-US"/>
        </w:rPr>
        <w:t xml:space="preserve"> to:</w:t>
      </w:r>
    </w:p>
    <w:p w14:paraId="188DBC27" w14:textId="77777777" w:rsidR="00064677" w:rsidRPr="00B53952" w:rsidRDefault="00064677" w:rsidP="00B53952">
      <w:pPr>
        <w:pStyle w:val="BodyText-Numbered"/>
        <w:keepNext w:val="0"/>
        <w:keepLines/>
        <w:numPr>
          <w:ilvl w:val="1"/>
          <w:numId w:val="1"/>
        </w:numPr>
      </w:pPr>
      <w:r w:rsidRPr="00B53952">
        <w:t xml:space="preserve">provide a process that better reflects society’s changing views on gender diversity and gender </w:t>
      </w:r>
      <w:proofErr w:type="gramStart"/>
      <w:r w:rsidRPr="00B53952">
        <w:t>fluidity;</w:t>
      </w:r>
      <w:proofErr w:type="gramEnd"/>
    </w:p>
    <w:p w14:paraId="1077DD1E" w14:textId="77777777" w:rsidR="00064677" w:rsidRPr="00B53952" w:rsidRDefault="00064677" w:rsidP="00B53952">
      <w:pPr>
        <w:pStyle w:val="BodyText-Numbered"/>
        <w:keepNext w:val="0"/>
        <w:keepLines/>
        <w:numPr>
          <w:ilvl w:val="1"/>
          <w:numId w:val="1"/>
        </w:numPr>
      </w:pPr>
      <w:r w:rsidRPr="00B53952">
        <w:t xml:space="preserve">improve people’s control over how their gender is recognised, a deeply personal part of how a person understands and perceives </w:t>
      </w:r>
      <w:proofErr w:type="gramStart"/>
      <w:r w:rsidRPr="00B53952">
        <w:t>themselves;</w:t>
      </w:r>
      <w:proofErr w:type="gramEnd"/>
    </w:p>
    <w:p w14:paraId="616A7D2C" w14:textId="04F847B4" w:rsidR="00064677" w:rsidRPr="00B53952" w:rsidRDefault="00064677" w:rsidP="00B53952">
      <w:pPr>
        <w:pStyle w:val="BodyText-Numbered"/>
        <w:keepNext w:val="0"/>
        <w:keepLines/>
        <w:numPr>
          <w:ilvl w:val="1"/>
          <w:numId w:val="1"/>
        </w:numPr>
      </w:pPr>
      <w:r w:rsidRPr="00B53952">
        <w:t>improve people’s sense of social belonging and their general wellbeing</w:t>
      </w:r>
      <w:r w:rsidR="00402EE1">
        <w:t>, i</w:t>
      </w:r>
      <w:r w:rsidR="00512D0B">
        <w:t xml:space="preserve">ncluding through </w:t>
      </w:r>
      <w:r w:rsidR="00402EE1">
        <w:t xml:space="preserve">ensuring everyone </w:t>
      </w:r>
      <w:proofErr w:type="gramStart"/>
      <w:r w:rsidR="00402EE1">
        <w:t xml:space="preserve">is able </w:t>
      </w:r>
      <w:r w:rsidR="00512D0B">
        <w:t>to</w:t>
      </w:r>
      <w:proofErr w:type="gramEnd"/>
      <w:r w:rsidR="00512D0B">
        <w:t xml:space="preserve"> assert their identity in order to access services</w:t>
      </w:r>
      <w:r w:rsidRPr="00B53952">
        <w:t>; and</w:t>
      </w:r>
    </w:p>
    <w:p w14:paraId="4D50E071" w14:textId="77777777" w:rsidR="00064677" w:rsidRPr="005F71B6" w:rsidRDefault="00064677" w:rsidP="00B53952">
      <w:pPr>
        <w:pStyle w:val="BodyText-Numbered"/>
        <w:keepNext w:val="0"/>
        <w:keepLines/>
        <w:numPr>
          <w:ilvl w:val="1"/>
          <w:numId w:val="1"/>
        </w:numPr>
        <w:rPr>
          <w:lang w:val="en-AU" w:eastAsia="en-US"/>
        </w:rPr>
      </w:pPr>
      <w:r w:rsidRPr="00B53952">
        <w:t>uphold public</w:t>
      </w:r>
      <w:r w:rsidRPr="005F71B6">
        <w:rPr>
          <w:lang w:val="en-AU" w:eastAsia="en-US"/>
        </w:rPr>
        <w:t xml:space="preserve"> trust and confidence in how birth register information is used and maintained.</w:t>
      </w:r>
    </w:p>
    <w:bookmarkEnd w:id="13"/>
    <w:p w14:paraId="20A999FF" w14:textId="05AC9D75" w:rsidR="00B53952" w:rsidRDefault="00FF5727" w:rsidP="00684A1D">
      <w:pPr>
        <w:pStyle w:val="BodyText-Numbered"/>
        <w:keepNext w:val="0"/>
        <w:keepLines/>
      </w:pPr>
      <w:r>
        <w:t xml:space="preserve">The three issues </w:t>
      </w:r>
      <w:r w:rsidR="0035526F">
        <w:t xml:space="preserve">are </w:t>
      </w:r>
      <w:r>
        <w:t>specific and</w:t>
      </w:r>
      <w:r w:rsidR="0085124A">
        <w:t xml:space="preserve"> distinct</w:t>
      </w:r>
      <w:r w:rsidR="00900866">
        <w:t xml:space="preserve"> </w:t>
      </w:r>
      <w:r w:rsidR="0035526F">
        <w:t>problem</w:t>
      </w:r>
      <w:r w:rsidR="00561B63">
        <w:t>s.</w:t>
      </w:r>
      <w:r w:rsidR="00505C22">
        <w:t xml:space="preserve"> </w:t>
      </w:r>
      <w:r w:rsidR="00561B63">
        <w:t>A</w:t>
      </w:r>
      <w:r w:rsidR="00505C22">
        <w:t>ddressing these</w:t>
      </w:r>
      <w:r w:rsidR="00BB2605">
        <w:t xml:space="preserve"> will contribute to the overarching objectives of the self-identification process in dif</w:t>
      </w:r>
      <w:r w:rsidR="008A585C">
        <w:t xml:space="preserve">ferent ways. </w:t>
      </w:r>
      <w:r w:rsidR="00B53952">
        <w:t xml:space="preserve">For example, providing additional requirements for multiple applications would primarily contribute to upholding public trust and confidence in the birth register by mitigating risks of identity fraud. Whereas, providing non-binary sex marker options will better reflect society’s views on gender diversity, improve people’s control over how their gender is recognised, and improve people’s sense of social belonging. </w:t>
      </w:r>
    </w:p>
    <w:p w14:paraId="3203F1B9" w14:textId="2828FD72" w:rsidR="00D215C0" w:rsidRDefault="00B53952" w:rsidP="00684A1D">
      <w:pPr>
        <w:pStyle w:val="BodyText-Numbered"/>
        <w:keepNext w:val="0"/>
        <w:keepLines/>
      </w:pPr>
      <w:r>
        <w:t>Each of the three issues</w:t>
      </w:r>
      <w:r w:rsidR="00BB2605">
        <w:t xml:space="preserve"> </w:t>
      </w:r>
      <w:r w:rsidR="003E5E6F">
        <w:t>requir</w:t>
      </w:r>
      <w:r w:rsidR="00BB2605">
        <w:t>e</w:t>
      </w:r>
      <w:r w:rsidR="003E5E6F">
        <w:t xml:space="preserve"> different criteria</w:t>
      </w:r>
      <w:r w:rsidR="00BB2605">
        <w:t xml:space="preserve"> </w:t>
      </w:r>
      <w:r w:rsidR="00D215C0">
        <w:t xml:space="preserve">which </w:t>
      </w:r>
      <w:r w:rsidR="004D5BDF">
        <w:t>mean</w:t>
      </w:r>
      <w:r w:rsidR="00D215C0">
        <w:t>s</w:t>
      </w:r>
      <w:r w:rsidR="004D5BDF">
        <w:t xml:space="preserve"> they </w:t>
      </w:r>
      <w:r w:rsidR="00D215C0">
        <w:t xml:space="preserve">cannot be </w:t>
      </w:r>
      <w:r w:rsidR="008A585C">
        <w:t xml:space="preserve">easily </w:t>
      </w:r>
      <w:r w:rsidR="00505C22">
        <w:t>considered together</w:t>
      </w:r>
      <w:r w:rsidR="003E5E6F">
        <w:t>.</w:t>
      </w:r>
      <w:r w:rsidR="00D215C0">
        <w:t xml:space="preserve"> This document will consider the issues individually in </w:t>
      </w:r>
      <w:r w:rsidR="00505C22">
        <w:t>‘</w:t>
      </w:r>
      <w:r w:rsidR="00D215C0">
        <w:t>diagnosing the policy problem</w:t>
      </w:r>
      <w:r w:rsidR="00505C22">
        <w:t>’</w:t>
      </w:r>
      <w:r w:rsidR="00D215C0">
        <w:t xml:space="preserve"> and </w:t>
      </w:r>
      <w:r w:rsidR="00505C22">
        <w:t>‘</w:t>
      </w:r>
      <w:r w:rsidR="00D215C0">
        <w:t xml:space="preserve">deciding </w:t>
      </w:r>
      <w:r w:rsidR="00505C22">
        <w:t>up</w:t>
      </w:r>
      <w:r w:rsidR="00D215C0">
        <w:t xml:space="preserve">on </w:t>
      </w:r>
      <w:r w:rsidR="00505C22">
        <w:t xml:space="preserve">an </w:t>
      </w:r>
      <w:r w:rsidR="00D215C0">
        <w:t>option to address the proble</w:t>
      </w:r>
      <w:r w:rsidR="00505C22">
        <w:t>m’. The document will consider the three issues together for the section on ‘Delivering an option’.</w:t>
      </w:r>
    </w:p>
    <w:p w14:paraId="67AB68A8" w14:textId="04D39D37" w:rsidR="00997356" w:rsidRPr="00BF69FF" w:rsidRDefault="00505C22" w:rsidP="00684A1D">
      <w:pPr>
        <w:pStyle w:val="BodyText-Numbered"/>
        <w:keepNext w:val="0"/>
        <w:keepLines/>
      </w:pPr>
      <w:r>
        <w:t>T</w:t>
      </w:r>
      <w:r w:rsidR="00BB2605">
        <w:t xml:space="preserve">he objectives and criteria of the three issues </w:t>
      </w:r>
      <w:r w:rsidR="00D52A24">
        <w:t>should</w:t>
      </w:r>
      <w:r>
        <w:t xml:space="preserve"> align with</w:t>
      </w:r>
      <w:r w:rsidR="00BB2605">
        <w:t xml:space="preserve"> the overarching objectives and criteria of the self-identification process.</w:t>
      </w:r>
      <w:r w:rsidR="00D52A24">
        <w:t xml:space="preserve"> This way, we can have greater assurance that the preferred options will support the overarching policy of the self-identification process.</w:t>
      </w:r>
      <w:r w:rsidR="00900866">
        <w:t xml:space="preserve"> </w:t>
      </w:r>
      <w:r>
        <w:t>Where possible, the objectives and criteria of the three</w:t>
      </w:r>
      <w:r w:rsidR="00BB73F2">
        <w:t xml:space="preserve"> issues mirror those that were used in</w:t>
      </w:r>
      <w:r w:rsidR="008A585C">
        <w:t xml:space="preserve"> the RIS</w:t>
      </w:r>
      <w:r w:rsidR="00BB73F2">
        <w:t xml:space="preserve"> for introducing a self-identification process</w:t>
      </w:r>
      <w:r w:rsidR="008A585C">
        <w:t xml:space="preserve"> to ensure this alignment.</w:t>
      </w:r>
    </w:p>
    <w:p w14:paraId="10D01351" w14:textId="77777777" w:rsidR="006C3B28" w:rsidRDefault="006C3B28">
      <w:pPr>
        <w:spacing w:after="0" w:line="240" w:lineRule="auto"/>
        <w:rPr>
          <w:b/>
          <w:color w:val="0082AB"/>
          <w:spacing w:val="20"/>
          <w:w w:val="90"/>
          <w:sz w:val="44"/>
          <w:szCs w:val="44"/>
          <w:lang w:val="en-NZ"/>
        </w:rPr>
      </w:pPr>
      <w:r>
        <w:rPr>
          <w:color w:val="0082AB"/>
          <w:lang w:val="en-NZ"/>
        </w:rPr>
        <w:br w:type="page"/>
      </w:r>
    </w:p>
    <w:p w14:paraId="6B7D1F99" w14:textId="65A0BDEE" w:rsidR="00072EA7" w:rsidRPr="00072EA7" w:rsidRDefault="00072EA7" w:rsidP="00072EA7">
      <w:pPr>
        <w:pStyle w:val="Heading1"/>
        <w:rPr>
          <w:color w:val="0082AB"/>
          <w:lang w:val="en-NZ"/>
        </w:rPr>
      </w:pPr>
      <w:r w:rsidRPr="00072EA7">
        <w:rPr>
          <w:color w:val="0082AB"/>
          <w:lang w:val="en-NZ"/>
        </w:rPr>
        <w:lastRenderedPageBreak/>
        <w:t xml:space="preserve">Issue 1: </w:t>
      </w:r>
      <w:r w:rsidR="005E0AE7">
        <w:rPr>
          <w:color w:val="0082AB"/>
          <w:lang w:val="en-NZ"/>
        </w:rPr>
        <w:t xml:space="preserve">Recognising </w:t>
      </w:r>
      <w:r w:rsidR="008E6E49">
        <w:rPr>
          <w:color w:val="0082AB"/>
          <w:lang w:val="en-NZ"/>
        </w:rPr>
        <w:t>non-binary genders</w:t>
      </w:r>
      <w:r w:rsidR="005E0AE7">
        <w:rPr>
          <w:color w:val="0082AB"/>
          <w:lang w:val="en-NZ"/>
        </w:rPr>
        <w:t xml:space="preserve"> on birth certificates</w:t>
      </w:r>
    </w:p>
    <w:p w14:paraId="3E327532" w14:textId="0B1326E5" w:rsidR="00C53DAC" w:rsidRDefault="00F16C50" w:rsidP="00802AB2">
      <w:pPr>
        <w:pStyle w:val="Heading2"/>
        <w:rPr>
          <w:lang w:val="en-NZ"/>
        </w:rPr>
      </w:pPr>
      <w:r w:rsidRPr="00A864A5">
        <w:rPr>
          <w:lang w:val="en-NZ"/>
        </w:rPr>
        <w:t xml:space="preserve">Section 1: </w:t>
      </w:r>
      <w:r w:rsidR="0022201B">
        <w:rPr>
          <w:lang w:val="en-NZ"/>
        </w:rPr>
        <w:t>Diagnos</w:t>
      </w:r>
      <w:r w:rsidR="001C4A82">
        <w:rPr>
          <w:lang w:val="en-NZ"/>
        </w:rPr>
        <w:t>ing</w:t>
      </w:r>
      <w:r w:rsidR="0022201B">
        <w:rPr>
          <w:lang w:val="en-NZ"/>
        </w:rPr>
        <w:t xml:space="preserve"> the policy problem</w:t>
      </w:r>
    </w:p>
    <w:p w14:paraId="4E48D616" w14:textId="2440994C" w:rsidR="007D78A1" w:rsidRPr="00A864A5" w:rsidRDefault="007E4F5A" w:rsidP="00802AB2">
      <w:pPr>
        <w:pStyle w:val="Heading3"/>
        <w:rPr>
          <w:lang w:val="en-NZ"/>
        </w:rPr>
      </w:pPr>
      <w:r>
        <w:rPr>
          <w:lang w:val="en-NZ"/>
        </w:rPr>
        <w:t xml:space="preserve">What is the context behind the </w:t>
      </w:r>
      <w:r w:rsidR="008E4014">
        <w:rPr>
          <w:lang w:val="en-NZ"/>
        </w:rPr>
        <w:t xml:space="preserve">policy </w:t>
      </w:r>
      <w:r>
        <w:rPr>
          <w:lang w:val="en-NZ"/>
        </w:rPr>
        <w:t>problem</w:t>
      </w:r>
      <w:r w:rsidR="000F740F">
        <w:rPr>
          <w:lang w:val="en-NZ"/>
        </w:rPr>
        <w:t xml:space="preserve"> and </w:t>
      </w:r>
      <w:r w:rsidR="00E0257A">
        <w:rPr>
          <w:lang w:val="en-NZ"/>
        </w:rPr>
        <w:t>how is the s</w:t>
      </w:r>
      <w:r w:rsidR="000F740F">
        <w:rPr>
          <w:lang w:val="en-NZ"/>
        </w:rPr>
        <w:t>tatus quo</w:t>
      </w:r>
      <w:r w:rsidR="00E0257A">
        <w:rPr>
          <w:lang w:val="en-NZ"/>
        </w:rPr>
        <w:t xml:space="preserve"> expected to develop</w:t>
      </w:r>
      <w:r>
        <w:rPr>
          <w:lang w:val="en-NZ"/>
        </w:rPr>
        <w:t>?</w:t>
      </w:r>
    </w:p>
    <w:p w14:paraId="788E7240" w14:textId="3F42B40B" w:rsidR="003563AA" w:rsidRDefault="007745C4" w:rsidP="00684A1D">
      <w:pPr>
        <w:pStyle w:val="Heading4"/>
        <w:keepLines/>
        <w:rPr>
          <w:lang w:val="en-NZ"/>
        </w:rPr>
      </w:pPr>
      <w:r>
        <w:rPr>
          <w:lang w:val="en-NZ"/>
        </w:rPr>
        <w:t>G</w:t>
      </w:r>
      <w:r w:rsidR="00DE48FD">
        <w:rPr>
          <w:lang w:val="en-NZ"/>
        </w:rPr>
        <w:t>ender diversity is increasingly recognised</w:t>
      </w:r>
      <w:r>
        <w:rPr>
          <w:lang w:val="en-NZ"/>
        </w:rPr>
        <w:t xml:space="preserve"> in New Zealand</w:t>
      </w:r>
    </w:p>
    <w:p w14:paraId="5B8FCE06" w14:textId="3C7CC2B2" w:rsidR="0031504F" w:rsidRPr="0031504F" w:rsidRDefault="00376364" w:rsidP="00684A1D">
      <w:pPr>
        <w:pStyle w:val="BodyText-Numbered"/>
        <w:keepNext w:val="0"/>
        <w:keepLines/>
        <w:rPr>
          <w:lang w:val="en-NZ"/>
        </w:rPr>
      </w:pPr>
      <w:r>
        <w:t xml:space="preserve">People relate to gender in diverse ways and </w:t>
      </w:r>
      <w:r w:rsidR="0031504F">
        <w:t>there are a</w:t>
      </w:r>
      <w:r w:rsidR="00BF69FF">
        <w:t xml:space="preserve"> </w:t>
      </w:r>
      <w:r>
        <w:t>range of gender terms</w:t>
      </w:r>
      <w:r w:rsidR="00DE48FD">
        <w:t xml:space="preserve"> that are outside of the binary of ‘male’ or ‘female’</w:t>
      </w:r>
      <w:r>
        <w:t>.</w:t>
      </w:r>
      <w:r w:rsidR="007F4112">
        <w:t xml:space="preserve"> This terminology </w:t>
      </w:r>
      <w:r w:rsidR="0031504F">
        <w:t>continues to evolve quickly</w:t>
      </w:r>
      <w:r w:rsidR="00BF69FF">
        <w:t>;</w:t>
      </w:r>
      <w:r w:rsidR="007F4112">
        <w:t xml:space="preserve"> certain terms that </w:t>
      </w:r>
      <w:r w:rsidR="00ED5FEF">
        <w:t>are</w:t>
      </w:r>
      <w:r w:rsidR="007F4112">
        <w:t xml:space="preserve"> in favour now</w:t>
      </w:r>
      <w:r w:rsidR="00ED5FEF">
        <w:t xml:space="preserve"> may not necessarily be in favour in the future</w:t>
      </w:r>
      <w:r w:rsidR="007F4112">
        <w:t>.</w:t>
      </w:r>
      <w:r w:rsidR="00EF1D5D">
        <w:t xml:space="preserve"> </w:t>
      </w:r>
    </w:p>
    <w:p w14:paraId="660C7EFA" w14:textId="7D35CF62" w:rsidR="00DE48FD" w:rsidRPr="00417C31" w:rsidRDefault="00376364" w:rsidP="00684A1D">
      <w:pPr>
        <w:pStyle w:val="BodyText-Numbered"/>
        <w:keepNext w:val="0"/>
        <w:keepLines/>
        <w:rPr>
          <w:lang w:val="en-NZ"/>
        </w:rPr>
      </w:pPr>
      <w:r>
        <w:t>G</w:t>
      </w:r>
      <w:r w:rsidR="00EF1D5D">
        <w:t>ender diversity</w:t>
      </w:r>
      <w:r>
        <w:t xml:space="preserve"> has</w:t>
      </w:r>
      <w:r w:rsidR="0031504F">
        <w:t xml:space="preserve"> distinct characteristics and terminology </w:t>
      </w:r>
      <w:r>
        <w:t>for different cultural or ethnic groups</w:t>
      </w:r>
      <w:r w:rsidR="00DE48FD">
        <w:t xml:space="preserve">. </w:t>
      </w:r>
      <w:r w:rsidR="008445E0">
        <w:t xml:space="preserve">Participants in the 2019 </w:t>
      </w:r>
      <w:r w:rsidR="008C6B39">
        <w:t>‘</w:t>
      </w:r>
      <w:r w:rsidR="008445E0">
        <w:t>Counting Ourselves</w:t>
      </w:r>
      <w:r w:rsidR="008C6B39">
        <w:t>’</w:t>
      </w:r>
      <w:r w:rsidR="008445E0">
        <w:t xml:space="preserve"> survey</w:t>
      </w:r>
      <w:r>
        <w:t xml:space="preserve"> </w:t>
      </w:r>
      <w:r w:rsidR="008445E0">
        <w:t xml:space="preserve">identified with a wide range of genders, including </w:t>
      </w:r>
      <w:r w:rsidR="00AE7AC0">
        <w:t>w</w:t>
      </w:r>
      <w:r w:rsidR="0031504F">
        <w:t>estern</w:t>
      </w:r>
      <w:r w:rsidR="008445E0">
        <w:t xml:space="preserve">, </w:t>
      </w:r>
      <w:proofErr w:type="spellStart"/>
      <w:r w:rsidR="00AE7AC0">
        <w:t>te</w:t>
      </w:r>
      <w:proofErr w:type="spellEnd"/>
      <w:r w:rsidR="00AE7AC0">
        <w:t xml:space="preserve"> </w:t>
      </w:r>
      <w:proofErr w:type="spellStart"/>
      <w:r w:rsidR="00AE7AC0">
        <w:t>reo</w:t>
      </w:r>
      <w:proofErr w:type="spellEnd"/>
      <w:r w:rsidR="00AE7AC0">
        <w:t xml:space="preserve"> </w:t>
      </w:r>
      <w:r w:rsidR="008445E0">
        <w:t xml:space="preserve">Māori and other </w:t>
      </w:r>
      <w:r w:rsidR="00D36A22">
        <w:t>culturally specific</w:t>
      </w:r>
      <w:r>
        <w:t xml:space="preserve"> gender</w:t>
      </w:r>
      <w:r w:rsidR="008445E0">
        <w:t xml:space="preserve"> terms</w:t>
      </w:r>
      <w:r w:rsidR="00D57F7E">
        <w:t>.</w:t>
      </w:r>
      <w:r w:rsidR="008445E0">
        <w:rPr>
          <w:rStyle w:val="FootnoteReference"/>
        </w:rPr>
        <w:footnoteReference w:id="6"/>
      </w:r>
      <w:r w:rsidR="008445E0">
        <w:t xml:space="preserve"> </w:t>
      </w:r>
    </w:p>
    <w:p w14:paraId="42919894" w14:textId="55B7CCCF" w:rsidR="00142F5F" w:rsidRPr="00142F5F" w:rsidRDefault="004A5AD1" w:rsidP="00684A1D">
      <w:pPr>
        <w:pStyle w:val="BodyText-Numbered"/>
        <w:keepNext w:val="0"/>
        <w:keepLines/>
        <w:rPr>
          <w:lang w:val="en-NZ"/>
        </w:rPr>
      </w:pPr>
      <w:r>
        <w:t>G</w:t>
      </w:r>
      <w:r w:rsidR="00EF1D5D">
        <w:t>ender</w:t>
      </w:r>
      <w:r w:rsidR="004E1852">
        <w:t xml:space="preserve"> </w:t>
      </w:r>
      <w:r w:rsidR="007745C4">
        <w:t>diversity</w:t>
      </w:r>
      <w:r w:rsidR="004E1852">
        <w:t xml:space="preserve"> is increasingly being recognised through official processes. For example, in 20</w:t>
      </w:r>
      <w:r w:rsidR="00B43482">
        <w:t>15</w:t>
      </w:r>
      <w:r w:rsidR="004E1852">
        <w:t xml:space="preserve"> </w:t>
      </w:r>
      <w:proofErr w:type="spellStart"/>
      <w:r w:rsidR="004E1852">
        <w:t>StatsNZ</w:t>
      </w:r>
      <w:proofErr w:type="spellEnd"/>
      <w:r w:rsidR="004E1852">
        <w:t xml:space="preserve"> </w:t>
      </w:r>
      <w:r w:rsidR="00B43482">
        <w:t>introduced the ‘</w:t>
      </w:r>
      <w:r w:rsidR="00D2107A">
        <w:t>gender diverse’</w:t>
      </w:r>
      <w:r w:rsidR="00B43482">
        <w:t xml:space="preserve"> category in its</w:t>
      </w:r>
      <w:r w:rsidR="004E1852">
        <w:t xml:space="preserve"> statistical standard for gender</w:t>
      </w:r>
      <w:r w:rsidR="00B43482">
        <w:t>. In 2021, the standard was further developed to enable better recognition of the range of terms people use to describe their gender.</w:t>
      </w:r>
      <w:r w:rsidR="00B43482">
        <w:rPr>
          <w:rStyle w:val="FootnoteReference"/>
          <w:lang w:val="en-NZ"/>
        </w:rPr>
        <w:footnoteReference w:id="7"/>
      </w:r>
      <w:r w:rsidR="00F16A65">
        <w:t xml:space="preserve"> Additionally, New Zealanders </w:t>
      </w:r>
      <w:r w:rsidR="00D2107A">
        <w:t>can</w:t>
      </w:r>
      <w:r w:rsidR="00F16A65">
        <w:t xml:space="preserve"> select a non-binary gender for their </w:t>
      </w:r>
      <w:r w:rsidR="0082788B">
        <w:t xml:space="preserve">passport and </w:t>
      </w:r>
      <w:r w:rsidR="00F16A65">
        <w:t>citizenship record.</w:t>
      </w:r>
      <w:r w:rsidR="00BB73F2">
        <w:rPr>
          <w:rStyle w:val="FootnoteReference"/>
          <w:lang w:val="en-NZ"/>
        </w:rPr>
        <w:footnoteReference w:id="8"/>
      </w:r>
    </w:p>
    <w:p w14:paraId="7E709F8A" w14:textId="5BA5F059" w:rsidR="0024499A" w:rsidRPr="0024499A" w:rsidRDefault="0024499A" w:rsidP="00684A1D">
      <w:pPr>
        <w:pStyle w:val="Heading4"/>
        <w:keepLines/>
        <w:rPr>
          <w:lang w:val="en-NZ"/>
        </w:rPr>
      </w:pPr>
      <w:r>
        <w:rPr>
          <w:lang w:val="en-NZ"/>
        </w:rPr>
        <w:t xml:space="preserve">The Births, Deaths, Marriages, and Relationships Registration Act 2021 enables </w:t>
      </w:r>
      <w:r w:rsidR="006A4AD9">
        <w:rPr>
          <w:lang w:val="en-NZ"/>
        </w:rPr>
        <w:t xml:space="preserve">easier </w:t>
      </w:r>
      <w:r w:rsidR="00C73810">
        <w:rPr>
          <w:lang w:val="en-NZ"/>
        </w:rPr>
        <w:t>recognition of gender on birth certificates</w:t>
      </w:r>
    </w:p>
    <w:p w14:paraId="0E762A58" w14:textId="4904783C" w:rsidR="00C73810" w:rsidRPr="00CD6003" w:rsidRDefault="00C73810" w:rsidP="00684A1D">
      <w:pPr>
        <w:pStyle w:val="BodyText-Numbered"/>
        <w:keepNext w:val="0"/>
        <w:keepLines/>
        <w:rPr>
          <w:lang w:val="en-NZ"/>
        </w:rPr>
      </w:pPr>
      <w:r w:rsidRPr="00CD6003">
        <w:rPr>
          <w:lang w:val="en-NZ"/>
        </w:rPr>
        <w:t xml:space="preserve">Birth certificates are required to include a person’s sex. A person may want to change this information </w:t>
      </w:r>
      <w:r w:rsidR="0082788B" w:rsidRPr="00CD6003">
        <w:rPr>
          <w:lang w:val="en-NZ"/>
        </w:rPr>
        <w:t xml:space="preserve">if </w:t>
      </w:r>
      <w:r w:rsidRPr="00CD6003">
        <w:rPr>
          <w:lang w:val="en-NZ"/>
        </w:rPr>
        <w:t xml:space="preserve">their gender does not align with the sex recorded. </w:t>
      </w:r>
      <w:r w:rsidR="006A4AD9">
        <w:rPr>
          <w:lang w:val="en-NZ"/>
        </w:rPr>
        <w:t>T</w:t>
      </w:r>
      <w:r w:rsidR="0082788B" w:rsidRPr="00CD6003">
        <w:rPr>
          <w:lang w:val="en-NZ"/>
        </w:rPr>
        <w:t xml:space="preserve">he </w:t>
      </w:r>
      <w:r w:rsidR="00DC5CDD" w:rsidRPr="00CD6003">
        <w:rPr>
          <w:lang w:val="en-NZ"/>
        </w:rPr>
        <w:t xml:space="preserve">self-identification process introduced with </w:t>
      </w:r>
      <w:r w:rsidRPr="00CD6003">
        <w:rPr>
          <w:lang w:val="en-NZ"/>
        </w:rPr>
        <w:t>t</w:t>
      </w:r>
      <w:r>
        <w:t xml:space="preserve">he </w:t>
      </w:r>
      <w:r w:rsidR="00DC75E7">
        <w:t>BDMRR Act</w:t>
      </w:r>
      <w:r>
        <w:t xml:space="preserve"> will make it possible to recognise </w:t>
      </w:r>
      <w:r w:rsidR="005B065F">
        <w:t>non-binary</w:t>
      </w:r>
      <w:r>
        <w:t xml:space="preserve"> terms on birth certificates</w:t>
      </w:r>
      <w:r w:rsidR="00CD6003">
        <w:t xml:space="preserve">. </w:t>
      </w:r>
      <w:bookmarkStart w:id="14" w:name="_Hlk98828724"/>
      <w:r w:rsidR="00084D6A" w:rsidRPr="00CD6003">
        <w:rPr>
          <w:lang w:val="en-NZ"/>
        </w:rPr>
        <w:t xml:space="preserve">The </w:t>
      </w:r>
      <w:r w:rsidR="00DC75E7">
        <w:rPr>
          <w:lang w:val="en-NZ"/>
        </w:rPr>
        <w:t>BDMRR Act</w:t>
      </w:r>
      <w:r w:rsidR="00084D6A" w:rsidRPr="00CD6003">
        <w:rPr>
          <w:lang w:val="en-NZ"/>
        </w:rPr>
        <w:t xml:space="preserve"> </w:t>
      </w:r>
      <w:r w:rsidR="00BB73F2" w:rsidRPr="00CD6003">
        <w:rPr>
          <w:lang w:val="en-NZ"/>
        </w:rPr>
        <w:t>provides that</w:t>
      </w:r>
      <w:r w:rsidR="00084D6A" w:rsidRPr="00CD6003">
        <w:rPr>
          <w:lang w:val="en-NZ"/>
        </w:rPr>
        <w:t xml:space="preserve"> </w:t>
      </w:r>
      <w:r w:rsidR="00BB73F2" w:rsidRPr="00CD6003">
        <w:rPr>
          <w:lang w:val="en-NZ"/>
        </w:rPr>
        <w:t>sex or gender terms</w:t>
      </w:r>
      <w:r w:rsidR="00084D6A" w:rsidRPr="00CD6003">
        <w:rPr>
          <w:lang w:val="en-NZ"/>
        </w:rPr>
        <w:t xml:space="preserve"> other than ‘male’ or ‘female</w:t>
      </w:r>
      <w:r w:rsidR="00BB73F2" w:rsidRPr="00CD6003">
        <w:rPr>
          <w:lang w:val="en-NZ"/>
        </w:rPr>
        <w:t>’ will be specified by</w:t>
      </w:r>
      <w:r w:rsidR="00DC5CDD" w:rsidRPr="00CD6003">
        <w:rPr>
          <w:lang w:val="en-NZ"/>
        </w:rPr>
        <w:t xml:space="preserve"> regulations.</w:t>
      </w:r>
      <w:r w:rsidR="00DC5CDD">
        <w:rPr>
          <w:rStyle w:val="FootnoteReference"/>
          <w:lang w:val="en-NZ"/>
        </w:rPr>
        <w:footnoteReference w:id="9"/>
      </w:r>
    </w:p>
    <w:bookmarkEnd w:id="14"/>
    <w:p w14:paraId="37503B03" w14:textId="4154EF8A" w:rsidR="00A5787D" w:rsidRDefault="0012532D" w:rsidP="00684A1D">
      <w:pPr>
        <w:pStyle w:val="BodyText-Numbered"/>
        <w:keepNext w:val="0"/>
        <w:keepLines/>
        <w:rPr>
          <w:lang w:val="en-NZ"/>
        </w:rPr>
      </w:pPr>
      <w:r>
        <w:rPr>
          <w:lang w:val="en-NZ"/>
        </w:rPr>
        <w:t>A person’s gender is a personal expression of self, forming a central part of how a person identifies and perceive</w:t>
      </w:r>
      <w:r w:rsidR="00B55637">
        <w:rPr>
          <w:lang w:val="en-NZ"/>
        </w:rPr>
        <w:t xml:space="preserve">s themselves. Ensuring all people could have their gender recognised was a key objective of the </w:t>
      </w:r>
      <w:r w:rsidR="00DC75E7">
        <w:rPr>
          <w:lang w:val="en-NZ"/>
        </w:rPr>
        <w:t>BDMRR Act</w:t>
      </w:r>
      <w:r w:rsidR="00B55637">
        <w:rPr>
          <w:lang w:val="en-NZ"/>
        </w:rPr>
        <w:t>.</w:t>
      </w:r>
      <w:r>
        <w:rPr>
          <w:lang w:val="en-NZ"/>
        </w:rPr>
        <w:t xml:space="preserve"> </w:t>
      </w:r>
      <w:r w:rsidR="00DC5CDD">
        <w:rPr>
          <w:lang w:val="en-NZ"/>
        </w:rPr>
        <w:t xml:space="preserve">The </w:t>
      </w:r>
      <w:r w:rsidR="00642C2F">
        <w:rPr>
          <w:lang w:val="en-NZ"/>
        </w:rPr>
        <w:t>RIS</w:t>
      </w:r>
      <w:r w:rsidR="00DC5CDD">
        <w:rPr>
          <w:lang w:val="en-NZ"/>
        </w:rPr>
        <w:t xml:space="preserve"> for introducing the self-identification process identified two ways in which the policy was intended to improve inclusivity:</w:t>
      </w:r>
    </w:p>
    <w:p w14:paraId="1038D103" w14:textId="1AFCCC32" w:rsidR="00DC5CDD" w:rsidRPr="00B53952" w:rsidRDefault="004B076B" w:rsidP="00B53952">
      <w:pPr>
        <w:pStyle w:val="BodyText-Numbered"/>
        <w:keepNext w:val="0"/>
        <w:keepLines/>
        <w:numPr>
          <w:ilvl w:val="1"/>
          <w:numId w:val="1"/>
        </w:numPr>
      </w:pPr>
      <w:r>
        <w:rPr>
          <w:lang w:val="en-NZ"/>
        </w:rPr>
        <w:t>e</w:t>
      </w:r>
      <w:r w:rsidR="00DC5CDD">
        <w:rPr>
          <w:lang w:val="en-NZ"/>
        </w:rPr>
        <w:t xml:space="preserve">nabling transgender men or women </w:t>
      </w:r>
      <w:r w:rsidR="00BB73F2">
        <w:rPr>
          <w:lang w:val="en-NZ"/>
        </w:rPr>
        <w:t>who do not want to</w:t>
      </w:r>
      <w:r w:rsidR="00CE230E">
        <w:rPr>
          <w:lang w:val="en-NZ"/>
        </w:rPr>
        <w:t xml:space="preserve"> or are unable to</w:t>
      </w:r>
      <w:r w:rsidR="00BB73F2">
        <w:rPr>
          <w:lang w:val="en-NZ"/>
        </w:rPr>
        <w:t xml:space="preserve"> undertake</w:t>
      </w:r>
      <w:r w:rsidR="00265977">
        <w:rPr>
          <w:lang w:val="en-NZ"/>
        </w:rPr>
        <w:t xml:space="preserve"> </w:t>
      </w:r>
      <w:r>
        <w:rPr>
          <w:lang w:val="en-NZ"/>
        </w:rPr>
        <w:t xml:space="preserve">medical treatment to </w:t>
      </w:r>
      <w:r w:rsidRPr="00B53952">
        <w:t>have access to a birth certificate that reflects their gender; and</w:t>
      </w:r>
    </w:p>
    <w:p w14:paraId="63558CD8" w14:textId="1957578B" w:rsidR="00EB6671" w:rsidRPr="00EB6671" w:rsidRDefault="004B076B" w:rsidP="00684A1D">
      <w:pPr>
        <w:pStyle w:val="BodyText-Numbered"/>
        <w:keepNext w:val="0"/>
        <w:keepLines/>
        <w:numPr>
          <w:ilvl w:val="1"/>
          <w:numId w:val="1"/>
        </w:numPr>
        <w:rPr>
          <w:lang w:val="en-NZ"/>
        </w:rPr>
      </w:pPr>
      <w:r w:rsidRPr="00B53952">
        <w:t>enabling people</w:t>
      </w:r>
      <w:r>
        <w:rPr>
          <w:lang w:val="en-NZ"/>
        </w:rPr>
        <w:t xml:space="preserve"> whose gender is outside the binary of ‘male’ and ‘female’ to have access to a birth certificate that reflects their gender.</w:t>
      </w:r>
    </w:p>
    <w:p w14:paraId="675015F3" w14:textId="7078BF73" w:rsidR="003563AA" w:rsidRPr="003563AA" w:rsidRDefault="00C73810" w:rsidP="00684A1D">
      <w:pPr>
        <w:pStyle w:val="Heading4"/>
        <w:keepLines/>
        <w:rPr>
          <w:lang w:val="en-NZ"/>
        </w:rPr>
      </w:pPr>
      <w:r>
        <w:rPr>
          <w:lang w:val="en-NZ"/>
        </w:rPr>
        <w:lastRenderedPageBreak/>
        <w:t>Counterfactual: birth certificates will be inclusive of people who identify as male or female but not of people who are non-binary</w:t>
      </w:r>
    </w:p>
    <w:p w14:paraId="18D54D03" w14:textId="1EDC3C80" w:rsidR="007D78A1" w:rsidRDefault="00CD0631" w:rsidP="00684A1D">
      <w:pPr>
        <w:pStyle w:val="BodyText-Numbered"/>
        <w:keepNext w:val="0"/>
        <w:keepLines/>
        <w:rPr>
          <w:lang w:val="en-NZ"/>
        </w:rPr>
      </w:pPr>
      <w:r>
        <w:rPr>
          <w:lang w:val="en-NZ"/>
        </w:rPr>
        <w:t xml:space="preserve">Without setting </w:t>
      </w:r>
      <w:r w:rsidR="005B065F">
        <w:rPr>
          <w:lang w:val="en-NZ"/>
        </w:rPr>
        <w:t>non-binary</w:t>
      </w:r>
      <w:r>
        <w:rPr>
          <w:lang w:val="en-NZ"/>
        </w:rPr>
        <w:t xml:space="preserve"> terms as sex marker options in regulations</w:t>
      </w:r>
      <w:r w:rsidR="00256A25">
        <w:rPr>
          <w:lang w:val="en-NZ"/>
        </w:rPr>
        <w:t>,</w:t>
      </w:r>
      <w:r>
        <w:rPr>
          <w:lang w:val="en-NZ"/>
        </w:rPr>
        <w:t xml:space="preserve"> the </w:t>
      </w:r>
      <w:r w:rsidR="00DC75E7">
        <w:rPr>
          <w:lang w:val="en-NZ"/>
        </w:rPr>
        <w:t>BDMRR Act</w:t>
      </w:r>
      <w:r>
        <w:rPr>
          <w:lang w:val="en-NZ"/>
        </w:rPr>
        <w:t xml:space="preserve"> will enable all transgender men and transgender women to have access to a birth certifi</w:t>
      </w:r>
      <w:r w:rsidR="0012532D">
        <w:rPr>
          <w:lang w:val="en-NZ"/>
        </w:rPr>
        <w:t>cate that reflects their gender</w:t>
      </w:r>
      <w:r>
        <w:rPr>
          <w:lang w:val="en-NZ"/>
        </w:rPr>
        <w:t xml:space="preserve"> but will exclude people who do not identify as ‘male’ or ‘female’.</w:t>
      </w:r>
      <w:r w:rsidR="0012532D">
        <w:rPr>
          <w:lang w:val="en-NZ"/>
        </w:rPr>
        <w:t xml:space="preserve"> </w:t>
      </w:r>
    </w:p>
    <w:p w14:paraId="478EFC4A" w14:textId="553E55CF" w:rsidR="00E901E5" w:rsidRPr="00E901E5" w:rsidRDefault="007D78A1" w:rsidP="00802AB2">
      <w:pPr>
        <w:pStyle w:val="Heading3"/>
        <w:rPr>
          <w:lang w:val="en-NZ"/>
        </w:rPr>
      </w:pPr>
      <w:r w:rsidRPr="00A864A5">
        <w:rPr>
          <w:lang w:val="en-NZ"/>
        </w:rPr>
        <w:t>What is the policy problem</w:t>
      </w:r>
      <w:r w:rsidR="002352C4">
        <w:rPr>
          <w:lang w:val="en-NZ"/>
        </w:rPr>
        <w:t xml:space="preserve"> or opportunity</w:t>
      </w:r>
      <w:r w:rsidRPr="00A864A5">
        <w:rPr>
          <w:lang w:val="en-NZ"/>
        </w:rPr>
        <w:t>?</w:t>
      </w:r>
    </w:p>
    <w:p w14:paraId="3F400D6A" w14:textId="71AFCB9B" w:rsidR="00F76786" w:rsidRDefault="00F76786" w:rsidP="00684A1D">
      <w:pPr>
        <w:pStyle w:val="Heading4"/>
        <w:keepLines/>
        <w:rPr>
          <w:lang w:val="en-NZ"/>
        </w:rPr>
      </w:pPr>
      <w:r>
        <w:rPr>
          <w:lang w:val="en-NZ"/>
        </w:rPr>
        <w:t xml:space="preserve">Additional sex markers are needed to recognise people who are </w:t>
      </w:r>
      <w:r w:rsidR="005B065F">
        <w:rPr>
          <w:lang w:val="en-NZ"/>
        </w:rPr>
        <w:t>non-binary</w:t>
      </w:r>
    </w:p>
    <w:p w14:paraId="760FFEE0" w14:textId="46C13DAE" w:rsidR="007E4F5A" w:rsidRDefault="00CE0410" w:rsidP="00684A1D">
      <w:pPr>
        <w:pStyle w:val="BodyText-Numbered"/>
        <w:keepNext w:val="0"/>
        <w:keepLines/>
        <w:rPr>
          <w:lang w:val="en-NZ"/>
        </w:rPr>
      </w:pPr>
      <w:bookmarkStart w:id="15" w:name="_Hlk103865144"/>
      <w:bookmarkStart w:id="16" w:name="_Hlk98831307"/>
      <w:r>
        <w:rPr>
          <w:noProof/>
          <w:lang w:val="en-NZ" w:eastAsia="en-NZ"/>
        </w:rPr>
        <w:t>Some people cannot get birth certificates that represent their gender because non-binary or culturally specific terms are not permitted.</w:t>
      </w:r>
      <w:bookmarkEnd w:id="15"/>
      <w:r w:rsidR="0034357A">
        <w:rPr>
          <w:lang w:val="en-NZ"/>
        </w:rPr>
        <w:t xml:space="preserve"> </w:t>
      </w:r>
      <w:r>
        <w:rPr>
          <w:lang w:val="en-NZ"/>
        </w:rPr>
        <w:t>While the self-identification process would make birt</w:t>
      </w:r>
      <w:r w:rsidR="00BB73F2">
        <w:rPr>
          <w:lang w:val="en-NZ"/>
        </w:rPr>
        <w:t>h certificates more inclusive for</w:t>
      </w:r>
      <w:r>
        <w:rPr>
          <w:lang w:val="en-NZ"/>
        </w:rPr>
        <w:t xml:space="preserve"> transgender men and transg</w:t>
      </w:r>
      <w:r w:rsidR="00554B23">
        <w:rPr>
          <w:lang w:val="en-NZ"/>
        </w:rPr>
        <w:t>ender women, it would exclude</w:t>
      </w:r>
      <w:r>
        <w:rPr>
          <w:lang w:val="en-NZ"/>
        </w:rPr>
        <w:t xml:space="preserve"> non-binary people</w:t>
      </w:r>
      <w:r w:rsidR="0031504F">
        <w:rPr>
          <w:lang w:val="en-NZ"/>
        </w:rPr>
        <w:t xml:space="preserve"> unless additional sex markers are added.</w:t>
      </w:r>
    </w:p>
    <w:bookmarkEnd w:id="16"/>
    <w:p w14:paraId="6D56514F" w14:textId="34FA80BD" w:rsidR="002B6B7C" w:rsidRDefault="0052120E" w:rsidP="00684A1D">
      <w:pPr>
        <w:pStyle w:val="BodyText-Numbered"/>
        <w:keepNext w:val="0"/>
        <w:keepLines/>
        <w:numPr>
          <w:ilvl w:val="0"/>
          <w:numId w:val="0"/>
        </w:numPr>
        <w:rPr>
          <w:i/>
          <w:lang w:val="en-NZ"/>
        </w:rPr>
      </w:pPr>
      <w:r w:rsidRPr="0052120E">
        <w:rPr>
          <w:i/>
          <w:lang w:val="en-NZ"/>
        </w:rPr>
        <w:t>Stakeholders clearly want options outside of the binary, but we have limited evidence on the desired number of options or the preferred terminology</w:t>
      </w:r>
    </w:p>
    <w:p w14:paraId="1FE5BC35" w14:textId="4A2B8033" w:rsidR="002B6B7C" w:rsidRDefault="002B6B7C" w:rsidP="00684A1D">
      <w:pPr>
        <w:pStyle w:val="BodyText-Numbered"/>
        <w:keepNext w:val="0"/>
        <w:keepLines/>
      </w:pPr>
      <w:r>
        <w:t>The issue of sex marker options was submitted on as part of the select committee process for the self-identification legislation (approximately 398 submissions were made on this issue). Submitters had diverging views, but a significant number supported the inclusion of a non-binary option</w:t>
      </w:r>
      <w:r w:rsidR="00582826">
        <w:t>, and some people</w:t>
      </w:r>
      <w:r w:rsidR="00BB754E">
        <w:t xml:space="preserve"> suggested including</w:t>
      </w:r>
      <w:r>
        <w:t xml:space="preserve"> </w:t>
      </w:r>
      <w:r w:rsidR="00D36A22">
        <w:t>culturally specific</w:t>
      </w:r>
      <w:r>
        <w:t xml:space="preserve"> options.</w:t>
      </w:r>
      <w:r w:rsidR="003640B0">
        <w:t xml:space="preserve"> </w:t>
      </w:r>
      <w:r>
        <w:t>Some people who submitted on the legislation</w:t>
      </w:r>
      <w:r w:rsidR="00BB754E">
        <w:t xml:space="preserve"> indicated they were non-binary</w:t>
      </w:r>
      <w:r>
        <w:t xml:space="preserve"> and </w:t>
      </w:r>
      <w:r w:rsidR="00BB754E">
        <w:t>said</w:t>
      </w:r>
      <w:r>
        <w:t xml:space="preserve"> they felt excluded from the Family Court process because there were no non-binary options.</w:t>
      </w:r>
    </w:p>
    <w:p w14:paraId="1A8D0E48" w14:textId="0E464168" w:rsidR="003640B0" w:rsidRDefault="003640B0" w:rsidP="00684A1D">
      <w:pPr>
        <w:pStyle w:val="BodyText-Numbered"/>
        <w:keepNext w:val="0"/>
        <w:keepLines/>
      </w:pPr>
      <w:r>
        <w:t>Most submissions did not support the inclusion of ‘intersex’ as a marker. Many submitters noted that intersex is neither a sex or a gender, with intersex people identifying themselves across the whole spectrum as male, female, or as non-binary. However, this view was not universal. Intersex Trust Aotearoa New Zealand</w:t>
      </w:r>
      <w:r w:rsidR="00CD495F">
        <w:rPr>
          <w:rStyle w:val="FootnoteReference"/>
        </w:rPr>
        <w:footnoteReference w:id="10"/>
      </w:r>
      <w:r>
        <w:t>, supported the inclusion of ‘indeterminate</w:t>
      </w:r>
      <w:r w:rsidR="00250693">
        <w:t>’</w:t>
      </w:r>
      <w:r w:rsidR="00FE0400">
        <w:rPr>
          <w:rStyle w:val="FootnoteReference"/>
        </w:rPr>
        <w:footnoteReference w:id="11"/>
      </w:r>
      <w:r>
        <w:t xml:space="preserve"> for people aged 16 and over. </w:t>
      </w:r>
      <w:r w:rsidR="00250693">
        <w:t>We will seek views on the inclusion of ‘intersex’ or</w:t>
      </w:r>
      <w:r w:rsidR="00C55DF3">
        <w:t xml:space="preserve"> a</w:t>
      </w:r>
      <w:r w:rsidR="00250693">
        <w:t xml:space="preserve"> related term in our consultation.</w:t>
      </w:r>
    </w:p>
    <w:p w14:paraId="4B720961" w14:textId="2574053E" w:rsidR="002B6B7C" w:rsidRDefault="002B6B7C" w:rsidP="00684A1D">
      <w:pPr>
        <w:pStyle w:val="BodyText-Numbered"/>
        <w:keepNext w:val="0"/>
        <w:keepLines/>
      </w:pPr>
      <w:r>
        <w:t xml:space="preserve">Submissions provide a limited gauge on what number of genders or terminology would be favoured (some suggestions for sex marker options were made). Public submissions were generally not focussed on deciding between options for the number of non-binary </w:t>
      </w:r>
      <w:r w:rsidR="00C55DF3">
        <w:t>terms</w:t>
      </w:r>
      <w:r>
        <w:t>.</w:t>
      </w:r>
    </w:p>
    <w:p w14:paraId="02DF66AD" w14:textId="4FE245DB" w:rsidR="002B6B7C" w:rsidRPr="00684A1D" w:rsidRDefault="002B6B7C" w:rsidP="00684A1D">
      <w:pPr>
        <w:pStyle w:val="BodyText-Numbered"/>
        <w:keepNext w:val="0"/>
        <w:keepLines/>
        <w:rPr>
          <w:i/>
          <w:lang w:val="en-NZ"/>
        </w:rPr>
      </w:pPr>
      <w:proofErr w:type="spellStart"/>
      <w:r>
        <w:t>StatsNZ</w:t>
      </w:r>
      <w:proofErr w:type="spellEnd"/>
      <w:r>
        <w:t xml:space="preserve"> sought feedback on its proposal to replace ‘gender divers</w:t>
      </w:r>
      <w:r w:rsidR="00CD6003">
        <w:t>e</w:t>
      </w:r>
      <w:r>
        <w:t>’ with ‘another gender’ as part of its review of the statistical standard on gender</w:t>
      </w:r>
      <w:r w:rsidR="00520855">
        <w:t xml:space="preserve">, </w:t>
      </w:r>
      <w:proofErr w:type="gramStart"/>
      <w:r w:rsidR="00520855">
        <w:t>sex</w:t>
      </w:r>
      <w:proofErr w:type="gramEnd"/>
      <w:r w:rsidR="00520855">
        <w:t xml:space="preserve"> and variations of sex characteristics</w:t>
      </w:r>
      <w:r>
        <w:t xml:space="preserve"> in 2020-21.</w:t>
      </w:r>
      <w:r>
        <w:rPr>
          <w:rStyle w:val="FootnoteReference"/>
        </w:rPr>
        <w:footnoteReference w:id="12"/>
      </w:r>
      <w:r>
        <w:t xml:space="preserve"> While there was significant support for the approach, public feedback suggested that more specific recognition of different non-binary and culturally specific genders is also important. </w:t>
      </w:r>
    </w:p>
    <w:p w14:paraId="5C9EB03E" w14:textId="5E32B7B9" w:rsidR="008B4C5A" w:rsidRPr="002B6B7C" w:rsidRDefault="00D72DD2" w:rsidP="009E15DE">
      <w:pPr>
        <w:pStyle w:val="BodyText-Numbered"/>
        <w:keepLines/>
        <w:numPr>
          <w:ilvl w:val="0"/>
          <w:numId w:val="0"/>
        </w:numPr>
        <w:rPr>
          <w:i/>
          <w:lang w:val="en-NZ"/>
        </w:rPr>
      </w:pPr>
      <w:r>
        <w:rPr>
          <w:i/>
          <w:lang w:val="en-NZ"/>
        </w:rPr>
        <w:lastRenderedPageBreak/>
        <w:t>G</w:t>
      </w:r>
      <w:r w:rsidR="009D4BD5" w:rsidRPr="002B6B7C">
        <w:rPr>
          <w:i/>
          <w:lang w:val="en-NZ"/>
        </w:rPr>
        <w:t>ender recognition</w:t>
      </w:r>
      <w:r w:rsidR="00163C37" w:rsidRPr="002B6B7C">
        <w:rPr>
          <w:i/>
          <w:lang w:val="en-NZ"/>
        </w:rPr>
        <w:t xml:space="preserve"> </w:t>
      </w:r>
      <w:r w:rsidR="009D4BD5" w:rsidRPr="002B6B7C">
        <w:rPr>
          <w:i/>
          <w:lang w:val="en-NZ"/>
        </w:rPr>
        <w:t xml:space="preserve">on birth certificates </w:t>
      </w:r>
      <w:r>
        <w:rPr>
          <w:i/>
          <w:lang w:val="en-NZ"/>
        </w:rPr>
        <w:t>would positively</w:t>
      </w:r>
      <w:r w:rsidR="00163C37" w:rsidRPr="002B6B7C">
        <w:rPr>
          <w:i/>
          <w:lang w:val="en-NZ"/>
        </w:rPr>
        <w:t xml:space="preserve"> affect social participation and wellbeing</w:t>
      </w:r>
    </w:p>
    <w:p w14:paraId="16E723A8" w14:textId="7A0117BC" w:rsidR="00214B75" w:rsidRDefault="00214B75" w:rsidP="00214B75">
      <w:pPr>
        <w:pStyle w:val="BodyText-Numbered"/>
        <w:keepNext w:val="0"/>
        <w:keepLines/>
      </w:pPr>
      <w:r>
        <w:t>Birth certificates are not intended to provide conclusive evidence of someone’s identity. However, they are often used by people to prove they are New Zealand citizens with the right to work and study in New Zealand</w:t>
      </w:r>
      <w:r w:rsidR="00A3107F">
        <w:t xml:space="preserve"> or used in conjunction with other identity documents to prove their identity</w:t>
      </w:r>
      <w:r>
        <w:t xml:space="preserve">. </w:t>
      </w:r>
      <w:r w:rsidRPr="001A3423">
        <w:t>While other documents can be used in many of the same processes (such as a passport or driver licence), birth certificates are often more practical as they are low cost and do not expire. Everyone born in New Zealand can access their birth certificate, including children who have limited options for documentation that enable them to prove their identity.</w:t>
      </w:r>
    </w:p>
    <w:p w14:paraId="25023172" w14:textId="59E12460" w:rsidR="00717832" w:rsidRDefault="00BA4F3F" w:rsidP="00684A1D">
      <w:pPr>
        <w:pStyle w:val="BodyText-Numbered"/>
        <w:keepNext w:val="0"/>
        <w:keepLines/>
        <w:rPr>
          <w:lang w:val="en-NZ"/>
        </w:rPr>
      </w:pPr>
      <w:r>
        <w:rPr>
          <w:lang w:val="en-NZ"/>
        </w:rPr>
        <w:t>Non-binary people experience a</w:t>
      </w:r>
      <w:r w:rsidR="00717832">
        <w:rPr>
          <w:lang w:val="en-NZ"/>
        </w:rPr>
        <w:t xml:space="preserve"> range of </w:t>
      </w:r>
      <w:r>
        <w:rPr>
          <w:lang w:val="en-NZ"/>
        </w:rPr>
        <w:t>issues</w:t>
      </w:r>
      <w:r w:rsidR="00717832">
        <w:rPr>
          <w:lang w:val="en-NZ"/>
        </w:rPr>
        <w:t xml:space="preserve"> when presenting identity documents, including:</w:t>
      </w:r>
    </w:p>
    <w:p w14:paraId="5C34CBF7" w14:textId="2A872332" w:rsidR="00754249" w:rsidRDefault="00C55DF3" w:rsidP="00684A1D">
      <w:pPr>
        <w:pStyle w:val="BodyText-Numbered"/>
        <w:keepNext w:val="0"/>
        <w:keepLines/>
        <w:numPr>
          <w:ilvl w:val="1"/>
          <w:numId w:val="1"/>
        </w:numPr>
        <w:rPr>
          <w:lang w:val="en-NZ"/>
        </w:rPr>
      </w:pPr>
      <w:bookmarkStart w:id="17" w:name="_Hlk100034328"/>
      <w:r>
        <w:rPr>
          <w:lang w:val="en-NZ"/>
        </w:rPr>
        <w:t>i</w:t>
      </w:r>
      <w:r w:rsidR="00717832">
        <w:rPr>
          <w:lang w:val="en-NZ"/>
        </w:rPr>
        <w:t xml:space="preserve">nconsistency between </w:t>
      </w:r>
      <w:proofErr w:type="gramStart"/>
      <w:r w:rsidR="00717832">
        <w:rPr>
          <w:lang w:val="en-NZ"/>
        </w:rPr>
        <w:t>documents</w:t>
      </w:r>
      <w:r w:rsidR="00CF1BF8">
        <w:rPr>
          <w:lang w:val="en-NZ"/>
        </w:rPr>
        <w:t>,</w:t>
      </w:r>
      <w:r w:rsidR="00717832">
        <w:rPr>
          <w:lang w:val="en-NZ"/>
        </w:rPr>
        <w:t xml:space="preserve"> because</w:t>
      </w:r>
      <w:proofErr w:type="gramEnd"/>
      <w:r w:rsidR="00717832">
        <w:rPr>
          <w:lang w:val="en-NZ"/>
        </w:rPr>
        <w:t xml:space="preserve"> there are not many </w:t>
      </w:r>
      <w:r w:rsidR="003B698D">
        <w:rPr>
          <w:lang w:val="en-NZ"/>
        </w:rPr>
        <w:t>widely</w:t>
      </w:r>
      <w:r w:rsidR="009E062A">
        <w:rPr>
          <w:lang w:val="en-NZ"/>
        </w:rPr>
        <w:t xml:space="preserve"> </w:t>
      </w:r>
      <w:r w:rsidR="003B698D">
        <w:rPr>
          <w:lang w:val="en-NZ"/>
        </w:rPr>
        <w:t xml:space="preserve">used </w:t>
      </w:r>
      <w:r w:rsidR="00717832">
        <w:rPr>
          <w:lang w:val="en-NZ"/>
        </w:rPr>
        <w:t>documents offering non-binary options</w:t>
      </w:r>
      <w:r w:rsidR="00D57F7E">
        <w:rPr>
          <w:lang w:val="en-NZ"/>
        </w:rPr>
        <w:t>;</w:t>
      </w:r>
      <w:r w:rsidR="00754249">
        <w:rPr>
          <w:rStyle w:val="FootnoteReference"/>
          <w:lang w:val="en-NZ"/>
        </w:rPr>
        <w:footnoteReference w:id="13"/>
      </w:r>
    </w:p>
    <w:p w14:paraId="13502539" w14:textId="31858C54" w:rsidR="00717832" w:rsidRDefault="00717832" w:rsidP="00684A1D">
      <w:pPr>
        <w:pStyle w:val="BodyText-Numbered"/>
        <w:keepNext w:val="0"/>
        <w:keepLines/>
        <w:numPr>
          <w:ilvl w:val="1"/>
          <w:numId w:val="1"/>
        </w:numPr>
        <w:rPr>
          <w:lang w:val="en-NZ"/>
        </w:rPr>
      </w:pPr>
      <w:r>
        <w:rPr>
          <w:lang w:val="en-NZ"/>
        </w:rPr>
        <w:t>experiences of verbal harassment and being denied services</w:t>
      </w:r>
      <w:r w:rsidR="00D72DD2">
        <w:rPr>
          <w:lang w:val="en-NZ"/>
        </w:rPr>
        <w:t xml:space="preserve"> if the gender in the</w:t>
      </w:r>
      <w:r w:rsidR="00C55DF3">
        <w:rPr>
          <w:lang w:val="en-NZ"/>
        </w:rPr>
        <w:t>ir identity</w:t>
      </w:r>
      <w:r w:rsidR="00D72DD2">
        <w:rPr>
          <w:lang w:val="en-NZ"/>
        </w:rPr>
        <w:t xml:space="preserve"> document does not match their appearance</w:t>
      </w:r>
      <w:r w:rsidR="00D57F7E">
        <w:rPr>
          <w:lang w:val="en-NZ"/>
        </w:rPr>
        <w:t>;</w:t>
      </w:r>
      <w:r>
        <w:rPr>
          <w:rStyle w:val="FootnoteReference"/>
          <w:lang w:val="en-NZ"/>
        </w:rPr>
        <w:footnoteReference w:id="14"/>
      </w:r>
      <w:r w:rsidR="00D72DD2">
        <w:rPr>
          <w:lang w:val="en-NZ"/>
        </w:rPr>
        <w:t xml:space="preserve"> and</w:t>
      </w:r>
    </w:p>
    <w:p w14:paraId="0EBD9833" w14:textId="17B26753" w:rsidR="00BA4F3F" w:rsidRDefault="00BA4F3F" w:rsidP="00684A1D">
      <w:pPr>
        <w:pStyle w:val="BodyText-Numbered"/>
        <w:keepNext w:val="0"/>
        <w:keepLines/>
        <w:numPr>
          <w:ilvl w:val="1"/>
          <w:numId w:val="1"/>
        </w:numPr>
        <w:rPr>
          <w:lang w:val="en-NZ"/>
        </w:rPr>
      </w:pPr>
      <w:r>
        <w:rPr>
          <w:lang w:val="en-NZ"/>
        </w:rPr>
        <w:t>experiences of being misgendered</w:t>
      </w:r>
      <w:r w:rsidR="00D72DD2">
        <w:rPr>
          <w:lang w:val="en-NZ"/>
        </w:rPr>
        <w:t>.</w:t>
      </w:r>
    </w:p>
    <w:bookmarkEnd w:id="17"/>
    <w:p w14:paraId="18820483" w14:textId="52E05124" w:rsidR="00717832" w:rsidRDefault="00717832" w:rsidP="00684A1D">
      <w:pPr>
        <w:pStyle w:val="BodyText-Numbered"/>
        <w:keepNext w:val="0"/>
        <w:keepLines/>
        <w:rPr>
          <w:lang w:val="en-NZ"/>
        </w:rPr>
      </w:pPr>
      <w:r>
        <w:rPr>
          <w:lang w:val="en-NZ"/>
        </w:rPr>
        <w:t xml:space="preserve">Enabling </w:t>
      </w:r>
      <w:r w:rsidR="00D72DD2">
        <w:rPr>
          <w:lang w:val="en-NZ"/>
        </w:rPr>
        <w:t xml:space="preserve">non-binary options on birth certificates would mean </w:t>
      </w:r>
      <w:r w:rsidR="00B74FA3">
        <w:rPr>
          <w:lang w:val="en-NZ"/>
        </w:rPr>
        <w:t>people who are non-binary would</w:t>
      </w:r>
      <w:r w:rsidR="00D72DD2">
        <w:rPr>
          <w:lang w:val="en-NZ"/>
        </w:rPr>
        <w:t xml:space="preserve"> have an accessible official document they can use to assert their gender with servic</w:t>
      </w:r>
      <w:r w:rsidR="00BB73F2">
        <w:rPr>
          <w:lang w:val="en-NZ"/>
        </w:rPr>
        <w:t xml:space="preserve">e providers. We consider </w:t>
      </w:r>
      <w:r w:rsidR="00D72DD2">
        <w:rPr>
          <w:lang w:val="en-NZ"/>
        </w:rPr>
        <w:t>this will increase confidence for non-binary p</w:t>
      </w:r>
      <w:r w:rsidR="0098723D">
        <w:rPr>
          <w:lang w:val="en-NZ"/>
        </w:rPr>
        <w:t>eople to access services. The discussion document will seek feedback to verify this view.</w:t>
      </w:r>
    </w:p>
    <w:p w14:paraId="689F2551" w14:textId="432C6CAA" w:rsidR="00B94B68" w:rsidRDefault="0098723D" w:rsidP="00684A1D">
      <w:pPr>
        <w:pStyle w:val="Heading4"/>
        <w:keepLines/>
        <w:rPr>
          <w:lang w:val="en-NZ"/>
        </w:rPr>
      </w:pPr>
      <w:r>
        <w:rPr>
          <w:lang w:val="en-NZ"/>
        </w:rPr>
        <w:t>We need a better understanding of how gender</w:t>
      </w:r>
      <w:r w:rsidR="00FF610B">
        <w:rPr>
          <w:lang w:val="en-NZ"/>
        </w:rPr>
        <w:t xml:space="preserve"> is</w:t>
      </w:r>
      <w:r>
        <w:rPr>
          <w:lang w:val="en-NZ"/>
        </w:rPr>
        <w:t xml:space="preserve"> recognised across different cultures</w:t>
      </w:r>
    </w:p>
    <w:p w14:paraId="02CCFB69" w14:textId="5ED9A421" w:rsidR="0021310F" w:rsidRDefault="002F13F7" w:rsidP="00AB10D5">
      <w:pPr>
        <w:pStyle w:val="BodyText-Numbered"/>
        <w:keepNext w:val="0"/>
        <w:keepLines/>
      </w:pPr>
      <w:r>
        <w:t>Gender diversity is known and accepted across many cultures. The terms used have meanings specific to these cultures.</w:t>
      </w:r>
      <w:r w:rsidR="0021310F">
        <w:t xml:space="preserve"> This means that, while these terms can have loose translations to English, they represent distinct identities that can only really be understood within their cultural context.</w:t>
      </w:r>
    </w:p>
    <w:p w14:paraId="50952CA1" w14:textId="517BA19F" w:rsidR="0098723D" w:rsidRPr="00B53952" w:rsidRDefault="0098723D" w:rsidP="00AB10D5">
      <w:pPr>
        <w:pStyle w:val="BodyText-Numbered"/>
        <w:keepNext w:val="0"/>
        <w:keepLines/>
      </w:pPr>
      <w:r w:rsidRPr="00B53952">
        <w:t>We have some understanding of the views of gender diversity among M</w:t>
      </w:r>
      <w:r w:rsidR="00214B75" w:rsidRPr="00B53952">
        <w:t>ā</w:t>
      </w:r>
      <w:r w:rsidRPr="00B53952">
        <w:t xml:space="preserve">ori and </w:t>
      </w:r>
      <w:r w:rsidR="008B1CF1">
        <w:t>P</w:t>
      </w:r>
      <w:r w:rsidRPr="00B53952">
        <w:t xml:space="preserve">acific </w:t>
      </w:r>
      <w:r w:rsidRPr="00AB10D5">
        <w:rPr>
          <w:szCs w:val="22"/>
        </w:rPr>
        <w:t xml:space="preserve">communities as well as </w:t>
      </w:r>
      <w:r w:rsidR="00B26F38" w:rsidRPr="00AB10D5">
        <w:rPr>
          <w:szCs w:val="22"/>
        </w:rPr>
        <w:t>the terminology that is used.</w:t>
      </w:r>
      <w:r w:rsidR="00AB10D5">
        <w:rPr>
          <w:szCs w:val="22"/>
        </w:rPr>
        <w:t xml:space="preserve"> </w:t>
      </w:r>
      <w:r w:rsidR="00AB10D5" w:rsidRPr="00AB10D5">
        <w:rPr>
          <w:szCs w:val="22"/>
        </w:rPr>
        <w:t xml:space="preserve">However, this assumption is based on relevant research as submissions to </w:t>
      </w:r>
      <w:r w:rsidR="00304E35">
        <w:rPr>
          <w:szCs w:val="22"/>
        </w:rPr>
        <w:t>s</w:t>
      </w:r>
      <w:r w:rsidR="00AB10D5" w:rsidRPr="00AB10D5">
        <w:rPr>
          <w:szCs w:val="22"/>
        </w:rPr>
        <w:t xml:space="preserve">elect </w:t>
      </w:r>
      <w:r w:rsidR="00304E35">
        <w:rPr>
          <w:szCs w:val="22"/>
        </w:rPr>
        <w:t>c</w:t>
      </w:r>
      <w:r w:rsidR="00AB10D5" w:rsidRPr="00AB10D5">
        <w:rPr>
          <w:szCs w:val="22"/>
        </w:rPr>
        <w:t>ommittee on the self-identification provisions did not indicate preferred or commonly used gender terms in Māori or Pacific communities</w:t>
      </w:r>
      <w:r w:rsidR="00304E35">
        <w:rPr>
          <w:szCs w:val="22"/>
        </w:rPr>
        <w:t>.</w:t>
      </w:r>
      <w:r w:rsidR="00AB10D5" w:rsidRPr="00AB10D5">
        <w:rPr>
          <w:szCs w:val="22"/>
        </w:rPr>
        <w:t xml:space="preserve"> </w:t>
      </w:r>
      <w:r w:rsidR="00082502" w:rsidRPr="00AB10D5">
        <w:rPr>
          <w:szCs w:val="22"/>
        </w:rPr>
        <w:t>F</w:t>
      </w:r>
      <w:r w:rsidR="00B26F38" w:rsidRPr="00AB10D5">
        <w:rPr>
          <w:szCs w:val="22"/>
        </w:rPr>
        <w:t xml:space="preserve">eedback from these communities will be important in deciding which </w:t>
      </w:r>
      <w:r w:rsidR="00D36A22" w:rsidRPr="00AB10D5">
        <w:rPr>
          <w:szCs w:val="22"/>
        </w:rPr>
        <w:t>culturally specific</w:t>
      </w:r>
      <w:r w:rsidR="00B26F38" w:rsidRPr="00AB10D5">
        <w:rPr>
          <w:szCs w:val="22"/>
        </w:rPr>
        <w:t xml:space="preserve"> gender terms should be included, if any.</w:t>
      </w:r>
      <w:r w:rsidRPr="00B53952">
        <w:t xml:space="preserve"> </w:t>
      </w:r>
    </w:p>
    <w:p w14:paraId="655DA7F8" w14:textId="77777777" w:rsidR="0098723D" w:rsidRPr="00747229" w:rsidRDefault="0098723D" w:rsidP="00684A1D">
      <w:pPr>
        <w:pStyle w:val="BodyText-Numbered"/>
        <w:keepNext w:val="0"/>
        <w:keepLines/>
        <w:numPr>
          <w:ilvl w:val="0"/>
          <w:numId w:val="0"/>
        </w:numPr>
        <w:rPr>
          <w:i/>
        </w:rPr>
      </w:pPr>
      <w:r>
        <w:rPr>
          <w:i/>
        </w:rPr>
        <w:t>Reclaimed or modern terminology is used to recognise gender diversity among Māori</w:t>
      </w:r>
    </w:p>
    <w:p w14:paraId="3EE29E80" w14:textId="3CB5EB9B" w:rsidR="0098723D" w:rsidRPr="0098723D" w:rsidRDefault="0098723D" w:rsidP="00684A1D">
      <w:pPr>
        <w:pStyle w:val="BodyText-Numbered"/>
        <w:keepNext w:val="0"/>
        <w:keepLines/>
      </w:pPr>
      <w:r w:rsidRPr="0098723D">
        <w:t>For Māori, the term ‘</w:t>
      </w:r>
      <w:proofErr w:type="spellStart"/>
      <w:r w:rsidRPr="0098723D">
        <w:t>takatāpui</w:t>
      </w:r>
      <w:proofErr w:type="spellEnd"/>
      <w:r w:rsidRPr="0098723D">
        <w:t>’ (originally meaning intimate companion of the same sex) has been reclaimed in the modern context as an umbrella term</w:t>
      </w:r>
      <w:r w:rsidR="001F751F">
        <w:rPr>
          <w:rStyle w:val="FootnoteReference"/>
        </w:rPr>
        <w:footnoteReference w:id="15"/>
      </w:r>
      <w:r w:rsidRPr="0098723D">
        <w:t xml:space="preserve"> for diverse gender identities, sex characteristics, and sexualities.</w:t>
      </w:r>
      <w:r w:rsidRPr="0098723D">
        <w:rPr>
          <w:rStyle w:val="FootnoteReference"/>
        </w:rPr>
        <w:footnoteReference w:id="16"/>
      </w:r>
      <w:r>
        <w:t xml:space="preserve"> </w:t>
      </w:r>
      <w:r w:rsidRPr="0098723D">
        <w:t xml:space="preserve">Other terminology has </w:t>
      </w:r>
      <w:r>
        <w:t xml:space="preserve">also </w:t>
      </w:r>
      <w:r w:rsidRPr="0098723D">
        <w:t xml:space="preserve">been introduced in recent years by the </w:t>
      </w:r>
      <w:proofErr w:type="spellStart"/>
      <w:r w:rsidRPr="0098723D">
        <w:t>takatāpui</w:t>
      </w:r>
      <w:proofErr w:type="spellEnd"/>
      <w:r w:rsidRPr="0098723D">
        <w:t xml:space="preserve"> community including ‘</w:t>
      </w:r>
      <w:proofErr w:type="spellStart"/>
      <w:r w:rsidR="00D2107A">
        <w:t>whakawahine</w:t>
      </w:r>
      <w:proofErr w:type="spellEnd"/>
      <w:r w:rsidRPr="0098723D">
        <w:t>’ (like a woman), ‘</w:t>
      </w:r>
      <w:proofErr w:type="spellStart"/>
      <w:r w:rsidRPr="0098723D">
        <w:t>tangata</w:t>
      </w:r>
      <w:proofErr w:type="spellEnd"/>
      <w:r w:rsidRPr="0098723D">
        <w:t xml:space="preserve"> </w:t>
      </w:r>
      <w:proofErr w:type="spellStart"/>
      <w:r w:rsidRPr="0098723D">
        <w:t>ira</w:t>
      </w:r>
      <w:proofErr w:type="spellEnd"/>
      <w:r w:rsidRPr="0098723D">
        <w:t xml:space="preserve"> </w:t>
      </w:r>
      <w:proofErr w:type="spellStart"/>
      <w:r w:rsidRPr="0098723D">
        <w:t>tāne</w:t>
      </w:r>
      <w:proofErr w:type="spellEnd"/>
      <w:r w:rsidRPr="0098723D">
        <w:t>’ (spirit of a man), and ‘</w:t>
      </w:r>
      <w:proofErr w:type="spellStart"/>
      <w:r w:rsidRPr="0098723D">
        <w:t>tāhine</w:t>
      </w:r>
      <w:proofErr w:type="spellEnd"/>
      <w:r w:rsidRPr="0098723D">
        <w:t>’ (</w:t>
      </w:r>
      <w:r w:rsidR="007D39C4">
        <w:t>non-binary/</w:t>
      </w:r>
      <w:r w:rsidRPr="0098723D">
        <w:t>transgender).</w:t>
      </w:r>
      <w:r w:rsidRPr="0098723D">
        <w:rPr>
          <w:rStyle w:val="FootnoteReference"/>
        </w:rPr>
        <w:footnoteReference w:id="17"/>
      </w:r>
      <w:r w:rsidRPr="0098723D">
        <w:t xml:space="preserve"> We do not know the degree to which these terms have had broader acknowledgement within </w:t>
      </w:r>
      <w:proofErr w:type="spellStart"/>
      <w:r w:rsidR="00BB73F2">
        <w:t>t</w:t>
      </w:r>
      <w:r w:rsidRPr="0098723D">
        <w:t>e</w:t>
      </w:r>
      <w:proofErr w:type="spellEnd"/>
      <w:r w:rsidRPr="0098723D">
        <w:t xml:space="preserve"> </w:t>
      </w:r>
      <w:proofErr w:type="spellStart"/>
      <w:r w:rsidR="00BB73F2">
        <w:t>a</w:t>
      </w:r>
      <w:r w:rsidRPr="0098723D">
        <w:t>o</w:t>
      </w:r>
      <w:proofErr w:type="spellEnd"/>
      <w:r w:rsidRPr="0098723D">
        <w:t xml:space="preserve"> Māori.</w:t>
      </w:r>
    </w:p>
    <w:p w14:paraId="16E77D8D" w14:textId="14DBBA1F" w:rsidR="0098723D" w:rsidRPr="0098723D" w:rsidRDefault="0098723D" w:rsidP="00684A1D">
      <w:pPr>
        <w:pStyle w:val="BodyText-Numbered"/>
        <w:keepNext w:val="0"/>
        <w:keepLines/>
      </w:pPr>
      <w:r w:rsidRPr="0098723D">
        <w:lastRenderedPageBreak/>
        <w:t xml:space="preserve">Some researchers suggest that using these terms is a way of reclaiming customary views of gender diversity that had been marginalised because of colonisation. </w:t>
      </w:r>
      <w:r w:rsidR="00214B75">
        <w:t>W</w:t>
      </w:r>
      <w:r w:rsidRPr="0098723D">
        <w:t>e do not know how broadly that view is held.</w:t>
      </w:r>
    </w:p>
    <w:p w14:paraId="6BE220F4" w14:textId="3F2822B2" w:rsidR="00747229" w:rsidRDefault="00BB73F2" w:rsidP="00684A1D">
      <w:pPr>
        <w:pStyle w:val="BodyText-Numbered"/>
        <w:keepNext w:val="0"/>
        <w:keepLines/>
        <w:numPr>
          <w:ilvl w:val="0"/>
          <w:numId w:val="0"/>
        </w:numPr>
      </w:pPr>
      <w:r>
        <w:rPr>
          <w:i/>
        </w:rPr>
        <w:t>S</w:t>
      </w:r>
      <w:r w:rsidR="009E4462">
        <w:rPr>
          <w:i/>
        </w:rPr>
        <w:t xml:space="preserve">ome Pacific cultures have </w:t>
      </w:r>
      <w:r w:rsidR="00AA06E4">
        <w:rPr>
          <w:i/>
        </w:rPr>
        <w:t xml:space="preserve">terminology for </w:t>
      </w:r>
      <w:r w:rsidR="00C14B61">
        <w:rPr>
          <w:i/>
        </w:rPr>
        <w:t>gender diversity</w:t>
      </w:r>
    </w:p>
    <w:p w14:paraId="4BD12D3C" w14:textId="0F76C654" w:rsidR="009E4462" w:rsidRDefault="009E4462" w:rsidP="00684A1D">
      <w:pPr>
        <w:pStyle w:val="BodyText-Numbered"/>
        <w:keepNext w:val="0"/>
        <w:keepLines/>
      </w:pPr>
      <w:r>
        <w:t xml:space="preserve">From initial research </w:t>
      </w:r>
      <w:r w:rsidR="0098723D">
        <w:t>we have found that</w:t>
      </w:r>
      <w:r>
        <w:t xml:space="preserve"> some Pacific cultures have </w:t>
      </w:r>
      <w:r w:rsidR="00FF610B">
        <w:t xml:space="preserve">gender </w:t>
      </w:r>
      <w:r>
        <w:t>terms that can be loosely understood as transfeminine and transmasculine.</w:t>
      </w:r>
      <w:r w:rsidR="00B26F38">
        <w:rPr>
          <w:rStyle w:val="FootnoteReference"/>
        </w:rPr>
        <w:footnoteReference w:id="18"/>
      </w:r>
    </w:p>
    <w:p w14:paraId="34CF5922" w14:textId="4DB772DE" w:rsidR="009E4462" w:rsidRDefault="009E4462" w:rsidP="00684A1D">
      <w:pPr>
        <w:pStyle w:val="BodyText-Numbered"/>
        <w:keepNext w:val="0"/>
        <w:keepLines/>
      </w:pPr>
      <w:r>
        <w:t xml:space="preserve">While it seems that gender diversity is broadly acknowledged in some </w:t>
      </w:r>
      <w:r w:rsidR="00D6465D">
        <w:t>P</w:t>
      </w:r>
      <w:r>
        <w:t>acific countries, we do not understand the degree to which transfeminine and transmasculine gender supersedes biological sex as an identifier, or if there are specific contexts where biological sex is</w:t>
      </w:r>
      <w:r w:rsidR="00AA06E4">
        <w:t xml:space="preserve"> considered</w:t>
      </w:r>
      <w:r>
        <w:t xml:space="preserve"> the more appropriate identifier.</w:t>
      </w:r>
    </w:p>
    <w:p w14:paraId="597D3A42" w14:textId="2A01F476" w:rsidR="00B26F38" w:rsidRDefault="00B26F38" w:rsidP="00684A1D">
      <w:pPr>
        <w:pStyle w:val="BodyText-Numbered"/>
        <w:keepNext w:val="0"/>
        <w:keepLines/>
        <w:numPr>
          <w:ilvl w:val="0"/>
          <w:numId w:val="0"/>
        </w:numPr>
        <w:ind w:left="567" w:hanging="567"/>
        <w:rPr>
          <w:i/>
        </w:rPr>
      </w:pPr>
      <w:r>
        <w:rPr>
          <w:i/>
        </w:rPr>
        <w:t>We do not have a good understanding of gender diversity in ethnic communities</w:t>
      </w:r>
    </w:p>
    <w:p w14:paraId="4A98BF23" w14:textId="28786F3D" w:rsidR="00BA62DD" w:rsidRDefault="00B26F38" w:rsidP="00F6094B">
      <w:pPr>
        <w:pStyle w:val="BodyText-Numbered"/>
        <w:keepNext w:val="0"/>
        <w:keepLines/>
      </w:pPr>
      <w:r>
        <w:t>We do have not a good understanding of the views about gender diversity among ethnic communities</w:t>
      </w:r>
      <w:r>
        <w:rPr>
          <w:rStyle w:val="FootnoteReference"/>
        </w:rPr>
        <w:footnoteReference w:id="19"/>
      </w:r>
      <w:r w:rsidR="00CC48C0">
        <w:t>. W</w:t>
      </w:r>
      <w:r>
        <w:t>e understand there are gender diverse terms among ethnic communities that may be present in New Zealand</w:t>
      </w:r>
      <w:r w:rsidR="00CC48C0">
        <w:t>, f</w:t>
      </w:r>
      <w:r>
        <w:t xml:space="preserve">or example, </w:t>
      </w:r>
      <w:r w:rsidR="00A3225A">
        <w:t>there is a large population of people who are</w:t>
      </w:r>
      <w:r>
        <w:t xml:space="preserve"> ‘</w:t>
      </w:r>
      <w:r w:rsidR="002E3E5B">
        <w:t>h</w:t>
      </w:r>
      <w:r>
        <w:t xml:space="preserve">ijra’ </w:t>
      </w:r>
      <w:r w:rsidR="00CC48C0">
        <w:t>(</w:t>
      </w:r>
      <w:r>
        <w:t>a transfeminine gender</w:t>
      </w:r>
      <w:r w:rsidR="00CC48C0">
        <w:t xml:space="preserve">) </w:t>
      </w:r>
      <w:r>
        <w:t xml:space="preserve">in India, </w:t>
      </w:r>
      <w:proofErr w:type="gramStart"/>
      <w:r>
        <w:t>Pakistan</w:t>
      </w:r>
      <w:proofErr w:type="gramEnd"/>
      <w:r>
        <w:t xml:space="preserve"> and Bangladesh.</w:t>
      </w:r>
    </w:p>
    <w:p w14:paraId="5BC21EA0" w14:textId="59742B36" w:rsidR="00D44942" w:rsidRDefault="00D44942" w:rsidP="00F6094B">
      <w:pPr>
        <w:pStyle w:val="BodyText-Numbered"/>
        <w:keepNext w:val="0"/>
        <w:keepLines/>
      </w:pPr>
      <w:r>
        <w:rPr>
          <w:szCs w:val="22"/>
        </w:rPr>
        <w:t>Along with feedback from Māori and Pacific communities, f</w:t>
      </w:r>
      <w:r w:rsidRPr="0021310F">
        <w:rPr>
          <w:szCs w:val="22"/>
        </w:rPr>
        <w:t xml:space="preserve">eedback from </w:t>
      </w:r>
      <w:r>
        <w:rPr>
          <w:szCs w:val="22"/>
        </w:rPr>
        <w:t>ethnic</w:t>
      </w:r>
      <w:r w:rsidRPr="0021310F">
        <w:rPr>
          <w:szCs w:val="22"/>
        </w:rPr>
        <w:t xml:space="preserve"> communities will be important in deciding which culturally specific gender terms should be included, if any.</w:t>
      </w:r>
    </w:p>
    <w:p w14:paraId="38D856BE" w14:textId="6F73BF6D" w:rsidR="002E3E5B" w:rsidRPr="002E4479" w:rsidRDefault="00F6094B" w:rsidP="00265977">
      <w:pPr>
        <w:pStyle w:val="BodyText-Numbered"/>
        <w:keepNext w:val="0"/>
        <w:keepLines/>
        <w:numPr>
          <w:ilvl w:val="0"/>
          <w:numId w:val="0"/>
        </w:numPr>
        <w:ind w:left="567" w:hanging="567"/>
        <w:rPr>
          <w:i/>
        </w:rPr>
      </w:pPr>
      <w:r>
        <w:t xml:space="preserve"> </w:t>
      </w:r>
      <w:r w:rsidR="002E4479">
        <w:rPr>
          <w:i/>
        </w:rPr>
        <w:t xml:space="preserve">We </w:t>
      </w:r>
      <w:r w:rsidR="007D454A">
        <w:rPr>
          <w:i/>
        </w:rPr>
        <w:t>note some risk</w:t>
      </w:r>
      <w:r w:rsidR="002E4479">
        <w:rPr>
          <w:i/>
        </w:rPr>
        <w:t xml:space="preserve"> of </w:t>
      </w:r>
      <w:r w:rsidR="008E4BE4">
        <w:rPr>
          <w:i/>
        </w:rPr>
        <w:t>the misuse of terms</w:t>
      </w:r>
    </w:p>
    <w:p w14:paraId="2ACFF1E4" w14:textId="6FA86429" w:rsidR="00F6094B" w:rsidRPr="00F6094B" w:rsidRDefault="00ED0382" w:rsidP="00265977">
      <w:pPr>
        <w:pStyle w:val="BodyText-Numbered"/>
      </w:pPr>
      <w:r>
        <w:t xml:space="preserve">Self-identification is based on a person’s own views of their gender. </w:t>
      </w:r>
      <w:r w:rsidR="001F58FB">
        <w:t>T</w:t>
      </w:r>
      <w:r w:rsidR="004B6BAB">
        <w:t>here would be no</w:t>
      </w:r>
      <w:r w:rsidR="00414DA6">
        <w:t xml:space="preserve"> requirements for an application to prove a person’s</w:t>
      </w:r>
      <w:r>
        <w:t xml:space="preserve"> gender or their</w:t>
      </w:r>
      <w:r w:rsidR="00414DA6">
        <w:t xml:space="preserve"> cultural or ethnic background. We note that this means a person</w:t>
      </w:r>
      <w:r w:rsidR="00B46ECC">
        <w:t xml:space="preserve"> could apply for a culturally specific term even if they do not have a background in that culture. </w:t>
      </w:r>
      <w:r w:rsidR="007D454A">
        <w:t xml:space="preserve">We do not see this as likely occurring at scale or being a substantial enough reason to not include culturally specific terms. </w:t>
      </w:r>
      <w:r>
        <w:t xml:space="preserve">We will look to explore this issue through consultation to determine if it is perceived as an issue by the affected communities.  </w:t>
      </w:r>
    </w:p>
    <w:p w14:paraId="119E053C" w14:textId="4DD1A806" w:rsidR="00CA0FE1" w:rsidRDefault="00CA0FE1" w:rsidP="00684A1D">
      <w:pPr>
        <w:pStyle w:val="Heading4"/>
        <w:keepLines/>
        <w:rPr>
          <w:lang w:val="en-NZ"/>
        </w:rPr>
      </w:pPr>
      <w:r>
        <w:rPr>
          <w:lang w:val="en-NZ"/>
        </w:rPr>
        <w:t xml:space="preserve">Te </w:t>
      </w:r>
      <w:proofErr w:type="spellStart"/>
      <w:r>
        <w:rPr>
          <w:lang w:val="en-NZ"/>
        </w:rPr>
        <w:t>Tiriti</w:t>
      </w:r>
      <w:proofErr w:type="spellEnd"/>
      <w:r>
        <w:rPr>
          <w:lang w:val="en-NZ"/>
        </w:rPr>
        <w:t xml:space="preserve"> o Waitangi considerations</w:t>
      </w:r>
    </w:p>
    <w:p w14:paraId="0DEE03DA" w14:textId="67727DF5" w:rsidR="00CA0FE1" w:rsidRDefault="00CA0FE1" w:rsidP="00684A1D">
      <w:pPr>
        <w:pStyle w:val="BodyText-Numbered"/>
        <w:keepNext w:val="0"/>
        <w:keepLines/>
      </w:pPr>
      <w:r>
        <w:t xml:space="preserve">The existence of gender identities that are specific to </w:t>
      </w:r>
      <w:proofErr w:type="spellStart"/>
      <w:r>
        <w:t>te</w:t>
      </w:r>
      <w:proofErr w:type="spellEnd"/>
      <w:r>
        <w:t xml:space="preserve"> </w:t>
      </w:r>
      <w:proofErr w:type="spellStart"/>
      <w:r>
        <w:t>ao</w:t>
      </w:r>
      <w:proofErr w:type="spellEnd"/>
      <w:r>
        <w:t xml:space="preserve"> Māori means there </w:t>
      </w:r>
      <w:r w:rsidR="000A70C9">
        <w:t>is</w:t>
      </w:r>
      <w:r>
        <w:t xml:space="preserve"> a specific interest for Māori in the sex marker terms available for birth certificates. </w:t>
      </w:r>
    </w:p>
    <w:p w14:paraId="7F166AF4" w14:textId="361B699A" w:rsidR="00CA0FE1" w:rsidRDefault="00CA0FE1" w:rsidP="00684A1D">
      <w:pPr>
        <w:pStyle w:val="BodyText-Numbered"/>
        <w:keepNext w:val="0"/>
        <w:keepLines/>
      </w:pPr>
      <w:r>
        <w:t xml:space="preserve">Tino Rangatiratanga is protected by Article </w:t>
      </w:r>
      <w:r w:rsidR="00E201D9">
        <w:t>T</w:t>
      </w:r>
      <w:r>
        <w:t xml:space="preserve">wo of Te </w:t>
      </w:r>
      <w:proofErr w:type="spellStart"/>
      <w:r>
        <w:t>Tiriti</w:t>
      </w:r>
      <w:proofErr w:type="spellEnd"/>
      <w:r>
        <w:t xml:space="preserve"> o </w:t>
      </w:r>
      <w:r w:rsidR="00EA787C">
        <w:t>Waitangi and</w:t>
      </w:r>
      <w:r>
        <w:t xml:space="preserve"> provides for the right to</w:t>
      </w:r>
      <w:r w:rsidR="00E201D9">
        <w:t xml:space="preserve"> self-determination. Tino Rangatiratanga might be an appropriate </w:t>
      </w:r>
      <w:r w:rsidR="00D6465D">
        <w:t>T</w:t>
      </w:r>
      <w:r w:rsidR="00E201D9">
        <w:t>reaty principle to consider in the context of sex markers, as it</w:t>
      </w:r>
      <w:r>
        <w:t xml:space="preserve"> mirrors </w:t>
      </w:r>
      <w:r w:rsidR="00E201D9">
        <w:t xml:space="preserve">a key element </w:t>
      </w:r>
      <w:r>
        <w:t>of the self-identification process</w:t>
      </w:r>
      <w:r w:rsidR="00E201D9">
        <w:t>, which is</w:t>
      </w:r>
      <w:r>
        <w:t xml:space="preserve"> to provide people the autonomy to determine how they want their gender to be </w:t>
      </w:r>
      <w:r w:rsidR="00E201D9">
        <w:t>recognised</w:t>
      </w:r>
      <w:r>
        <w:t xml:space="preserve">. Given that some Māori choose to identify with </w:t>
      </w:r>
      <w:proofErr w:type="spellStart"/>
      <w:r w:rsidR="00AA06E4">
        <w:t>te</w:t>
      </w:r>
      <w:proofErr w:type="spellEnd"/>
      <w:r w:rsidR="00AA06E4">
        <w:t xml:space="preserve"> </w:t>
      </w:r>
      <w:proofErr w:type="spellStart"/>
      <w:r w:rsidR="00AA06E4">
        <w:t>reo</w:t>
      </w:r>
      <w:proofErr w:type="spellEnd"/>
      <w:r>
        <w:t xml:space="preserve"> Māori gender terms, </w:t>
      </w:r>
      <w:r w:rsidR="00CE0410">
        <w:t>it could</w:t>
      </w:r>
      <w:r w:rsidR="00E201D9">
        <w:t xml:space="preserve"> be argued </w:t>
      </w:r>
      <w:r>
        <w:t>there should be an equal right to have their self-determined gender recognised in official documentation.</w:t>
      </w:r>
    </w:p>
    <w:p w14:paraId="79DE437C" w14:textId="58FDFE9A" w:rsidR="00CA0FE1" w:rsidRDefault="00AA06E4" w:rsidP="00684A1D">
      <w:pPr>
        <w:pStyle w:val="BodyText-Numbered"/>
        <w:keepNext w:val="0"/>
        <w:keepLines/>
      </w:pPr>
      <w:r>
        <w:t xml:space="preserve">The potential addition of </w:t>
      </w:r>
      <w:proofErr w:type="spellStart"/>
      <w:r>
        <w:t>te</w:t>
      </w:r>
      <w:proofErr w:type="spellEnd"/>
      <w:r>
        <w:t xml:space="preserve"> </w:t>
      </w:r>
      <w:proofErr w:type="spellStart"/>
      <w:r>
        <w:t>reo</w:t>
      </w:r>
      <w:proofErr w:type="spellEnd"/>
      <w:r w:rsidR="00CA0FE1">
        <w:t xml:space="preserve"> Māori gender terms as sex markers for birth certificates has not been widely canvassed with Māori. Engagement will help us to understand further the views of Māori within the </w:t>
      </w:r>
      <w:proofErr w:type="spellStart"/>
      <w:r w:rsidR="00CA0FE1">
        <w:t>takatāpui</w:t>
      </w:r>
      <w:proofErr w:type="spellEnd"/>
      <w:r w:rsidR="00CA0FE1">
        <w:t xml:space="preserve"> and rainbow community along with the broader views of Māori. Te </w:t>
      </w:r>
      <w:proofErr w:type="spellStart"/>
      <w:r w:rsidR="00CA0FE1">
        <w:t>reo</w:t>
      </w:r>
      <w:proofErr w:type="spellEnd"/>
      <w:r w:rsidR="00CA0FE1">
        <w:t xml:space="preserve"> Māori is protected as a taonga, so establishing </w:t>
      </w:r>
      <w:proofErr w:type="spellStart"/>
      <w:r w:rsidR="00CA0FE1">
        <w:t>te</w:t>
      </w:r>
      <w:proofErr w:type="spellEnd"/>
      <w:r w:rsidR="00CA0FE1">
        <w:t xml:space="preserve"> </w:t>
      </w:r>
      <w:proofErr w:type="spellStart"/>
      <w:r w:rsidR="00CA0FE1">
        <w:t>reo</w:t>
      </w:r>
      <w:proofErr w:type="spellEnd"/>
      <w:r w:rsidR="00CA0FE1">
        <w:t xml:space="preserve"> Māori terms in legislation requires careful co</w:t>
      </w:r>
      <w:r>
        <w:t>nsidera</w:t>
      </w:r>
      <w:r w:rsidR="00CE0410">
        <w:t>tion</w:t>
      </w:r>
      <w:r>
        <w:t>.</w:t>
      </w:r>
      <w:r w:rsidR="00CA0FE1">
        <w:t xml:space="preserve"> </w:t>
      </w:r>
    </w:p>
    <w:p w14:paraId="59BB5BCF" w14:textId="22A4878C" w:rsidR="007037C4" w:rsidRPr="00847E6E" w:rsidRDefault="007037C4" w:rsidP="009E15DE">
      <w:pPr>
        <w:pStyle w:val="Heading3"/>
        <w:rPr>
          <w:lang w:val="en-NZ"/>
        </w:rPr>
      </w:pPr>
      <w:r w:rsidRPr="00A864A5">
        <w:rPr>
          <w:lang w:val="en-NZ"/>
        </w:rPr>
        <w:lastRenderedPageBreak/>
        <w:t xml:space="preserve">What objectives </w:t>
      </w:r>
      <w:r w:rsidR="00CB08AA">
        <w:rPr>
          <w:lang w:val="en-NZ"/>
        </w:rPr>
        <w:t xml:space="preserve">are </w:t>
      </w:r>
      <w:r w:rsidR="00D6670E">
        <w:rPr>
          <w:lang w:val="en-NZ"/>
        </w:rPr>
        <w:t>sought</w:t>
      </w:r>
      <w:r w:rsidRPr="00A864A5">
        <w:rPr>
          <w:lang w:val="en-NZ"/>
        </w:rPr>
        <w:t xml:space="preserve"> in relation to th</w:t>
      </w:r>
      <w:r w:rsidR="0052670F">
        <w:rPr>
          <w:lang w:val="en-NZ"/>
        </w:rPr>
        <w:t>e</w:t>
      </w:r>
      <w:r w:rsidRPr="00A864A5">
        <w:rPr>
          <w:lang w:val="en-NZ"/>
        </w:rPr>
        <w:t xml:space="preserve"> policy problem?</w:t>
      </w:r>
    </w:p>
    <w:bookmarkEnd w:id="8"/>
    <w:bookmarkEnd w:id="9"/>
    <w:bookmarkEnd w:id="10"/>
    <w:bookmarkEnd w:id="11"/>
    <w:bookmarkEnd w:id="12"/>
    <w:p w14:paraId="60C6CF32" w14:textId="78995355" w:rsidR="008321F8" w:rsidRDefault="00184EDE" w:rsidP="009E15DE">
      <w:pPr>
        <w:pStyle w:val="BodyText-Numbered"/>
        <w:keepLines/>
        <w:rPr>
          <w:lang w:val="en-NZ"/>
        </w:rPr>
      </w:pPr>
      <w:r>
        <w:rPr>
          <w:lang w:val="en-NZ"/>
        </w:rPr>
        <w:t xml:space="preserve">The objectives for </w:t>
      </w:r>
      <w:r w:rsidR="005E0AE7">
        <w:rPr>
          <w:lang w:val="en-NZ"/>
        </w:rPr>
        <w:t>improving recognition of gender diversity on birth certificates are to:</w:t>
      </w:r>
    </w:p>
    <w:p w14:paraId="1EEED5F9" w14:textId="52FC3433" w:rsidR="00BD0405" w:rsidRDefault="00BD0405" w:rsidP="00684A1D">
      <w:pPr>
        <w:pStyle w:val="BodyText-Numbered"/>
        <w:keepNext w:val="0"/>
        <w:keepLines/>
        <w:numPr>
          <w:ilvl w:val="1"/>
          <w:numId w:val="1"/>
        </w:numPr>
        <w:rPr>
          <w:lang w:val="en-NZ"/>
        </w:rPr>
      </w:pPr>
      <w:r>
        <w:rPr>
          <w:lang w:val="en-NZ"/>
        </w:rPr>
        <w:t xml:space="preserve">provide </w:t>
      </w:r>
      <w:r w:rsidR="008D679C">
        <w:rPr>
          <w:lang w:val="en-NZ"/>
        </w:rPr>
        <w:t>sex marker options that better reflect</w:t>
      </w:r>
      <w:r>
        <w:rPr>
          <w:lang w:val="en-NZ"/>
        </w:rPr>
        <w:t xml:space="preserve"> society’s changing views on gender </w:t>
      </w:r>
      <w:proofErr w:type="gramStart"/>
      <w:r>
        <w:rPr>
          <w:lang w:val="en-NZ"/>
        </w:rPr>
        <w:t>diversity;</w:t>
      </w:r>
      <w:proofErr w:type="gramEnd"/>
    </w:p>
    <w:p w14:paraId="0E8B9C5C" w14:textId="76E2AED5" w:rsidR="005E0AE7" w:rsidRDefault="004271BC" w:rsidP="00684A1D">
      <w:pPr>
        <w:pStyle w:val="BodyText-Numbered"/>
        <w:keepNext w:val="0"/>
        <w:keepLines/>
        <w:numPr>
          <w:ilvl w:val="1"/>
          <w:numId w:val="1"/>
        </w:numPr>
        <w:rPr>
          <w:lang w:val="en-NZ"/>
        </w:rPr>
      </w:pPr>
      <w:r>
        <w:rPr>
          <w:lang w:val="en-NZ"/>
        </w:rPr>
        <w:t>i</w:t>
      </w:r>
      <w:r w:rsidR="005E0AE7">
        <w:rPr>
          <w:lang w:val="en-NZ"/>
        </w:rPr>
        <w:t xml:space="preserve">mprove people’s </w:t>
      </w:r>
      <w:r w:rsidR="0056507E">
        <w:rPr>
          <w:lang w:val="en-NZ"/>
        </w:rPr>
        <w:t xml:space="preserve">autonomy </w:t>
      </w:r>
      <w:r w:rsidR="005E0AE7">
        <w:rPr>
          <w:lang w:val="en-NZ"/>
        </w:rPr>
        <w:t xml:space="preserve">over how their gender is recognised, a deeply personal part of how a person understands and perceives </w:t>
      </w:r>
      <w:proofErr w:type="gramStart"/>
      <w:r w:rsidR="005E0AE7">
        <w:rPr>
          <w:lang w:val="en-NZ"/>
        </w:rPr>
        <w:t>themselves;</w:t>
      </w:r>
      <w:proofErr w:type="gramEnd"/>
      <w:r w:rsidR="0056507E">
        <w:rPr>
          <w:lang w:val="en-NZ"/>
        </w:rPr>
        <w:t xml:space="preserve"> </w:t>
      </w:r>
    </w:p>
    <w:p w14:paraId="35DEFEBA" w14:textId="40CFA606" w:rsidR="00151C13" w:rsidRDefault="004271BC" w:rsidP="00684A1D">
      <w:pPr>
        <w:pStyle w:val="BodyText-Numbered"/>
        <w:keepNext w:val="0"/>
        <w:keepLines/>
        <w:numPr>
          <w:ilvl w:val="1"/>
          <w:numId w:val="1"/>
        </w:numPr>
        <w:rPr>
          <w:lang w:val="en-NZ"/>
        </w:rPr>
      </w:pPr>
      <w:r>
        <w:rPr>
          <w:lang w:val="en-NZ"/>
        </w:rPr>
        <w:t>i</w:t>
      </w:r>
      <w:r w:rsidR="005E0AE7">
        <w:rPr>
          <w:lang w:val="en-NZ"/>
        </w:rPr>
        <w:t>mprove people’s sense of social belongi</w:t>
      </w:r>
      <w:r w:rsidR="00C22C22">
        <w:rPr>
          <w:lang w:val="en-NZ"/>
        </w:rPr>
        <w:t>ng and their general wellbeing</w:t>
      </w:r>
      <w:r w:rsidR="0068645E">
        <w:rPr>
          <w:lang w:val="en-NZ"/>
        </w:rPr>
        <w:t xml:space="preserve"> </w:t>
      </w:r>
      <w:r w:rsidR="0068645E">
        <w:t xml:space="preserve">including through ensuring everyone can assert their identity </w:t>
      </w:r>
      <w:r w:rsidR="00F4179D">
        <w:t>to</w:t>
      </w:r>
      <w:r w:rsidR="0068645E">
        <w:t xml:space="preserve"> access services</w:t>
      </w:r>
      <w:r w:rsidR="00151C13">
        <w:rPr>
          <w:lang w:val="en-NZ"/>
        </w:rPr>
        <w:t>; and</w:t>
      </w:r>
    </w:p>
    <w:p w14:paraId="0DB10FAF" w14:textId="416F62C5" w:rsidR="00B05825" w:rsidRDefault="00606A1E" w:rsidP="00684A1D">
      <w:pPr>
        <w:pStyle w:val="BodyText-Numbered"/>
        <w:keepNext w:val="0"/>
        <w:keepLines/>
        <w:numPr>
          <w:ilvl w:val="1"/>
          <w:numId w:val="1"/>
        </w:numPr>
        <w:rPr>
          <w:lang w:val="en-NZ"/>
        </w:rPr>
      </w:pPr>
      <w:r>
        <w:rPr>
          <w:lang w:val="en-NZ"/>
        </w:rPr>
        <w:t xml:space="preserve">ensure birth certificates are fit for purpose for people who are non-binary, </w:t>
      </w:r>
      <w:proofErr w:type="spellStart"/>
      <w:r>
        <w:rPr>
          <w:lang w:val="en-NZ"/>
        </w:rPr>
        <w:t>takatāpui</w:t>
      </w:r>
      <w:proofErr w:type="spellEnd"/>
      <w:r>
        <w:rPr>
          <w:lang w:val="en-NZ"/>
        </w:rPr>
        <w:t>, or have another culturally specific gender</w:t>
      </w:r>
      <w:r w:rsidR="00B05825">
        <w:rPr>
          <w:lang w:val="en-NZ"/>
        </w:rPr>
        <w:t xml:space="preserve">. </w:t>
      </w:r>
    </w:p>
    <w:p w14:paraId="0DA53CAC" w14:textId="58E93CAC" w:rsidR="005E0AE7" w:rsidRPr="005E0AE7" w:rsidRDefault="00A71E07" w:rsidP="00684A1D">
      <w:pPr>
        <w:pStyle w:val="BodyText-Numbered"/>
        <w:keepNext w:val="0"/>
        <w:keepLines/>
        <w:rPr>
          <w:lang w:val="en-NZ"/>
        </w:rPr>
      </w:pPr>
      <w:r>
        <w:rPr>
          <w:lang w:val="en-NZ"/>
        </w:rPr>
        <w:t>Th</w:t>
      </w:r>
      <w:r w:rsidR="001D2FAB">
        <w:rPr>
          <w:lang w:val="en-NZ"/>
        </w:rPr>
        <w:t>ree of th</w:t>
      </w:r>
      <w:r>
        <w:rPr>
          <w:lang w:val="en-NZ"/>
        </w:rPr>
        <w:t>e</w:t>
      </w:r>
      <w:r w:rsidR="007F4112">
        <w:rPr>
          <w:lang w:val="en-NZ"/>
        </w:rPr>
        <w:t>se</w:t>
      </w:r>
      <w:r w:rsidR="00BD0405">
        <w:rPr>
          <w:lang w:val="en-NZ"/>
        </w:rPr>
        <w:t xml:space="preserve"> </w:t>
      </w:r>
      <w:r>
        <w:rPr>
          <w:lang w:val="en-NZ"/>
        </w:rPr>
        <w:t>objectiv</w:t>
      </w:r>
      <w:r w:rsidR="00BD0405">
        <w:rPr>
          <w:lang w:val="en-NZ"/>
        </w:rPr>
        <w:t xml:space="preserve">es </w:t>
      </w:r>
      <w:r w:rsidR="007F4112">
        <w:rPr>
          <w:lang w:val="en-NZ"/>
        </w:rPr>
        <w:t>mirror</w:t>
      </w:r>
      <w:r w:rsidR="00BD0405">
        <w:rPr>
          <w:lang w:val="en-NZ"/>
        </w:rPr>
        <w:t xml:space="preserve"> three of the objectives for introducing a self-identification process.</w:t>
      </w:r>
      <w:r w:rsidR="007F4112">
        <w:rPr>
          <w:lang w:val="en-NZ"/>
        </w:rPr>
        <w:t xml:space="preserve"> </w:t>
      </w:r>
      <w:r w:rsidR="00B1014F">
        <w:rPr>
          <w:lang w:val="en-NZ"/>
        </w:rPr>
        <w:t>This approach is intended</w:t>
      </w:r>
      <w:r w:rsidR="00D0479B">
        <w:rPr>
          <w:lang w:val="en-NZ"/>
        </w:rPr>
        <w:t xml:space="preserve"> to ensure any regulations are aligned with the policy intent of the self-identification process.</w:t>
      </w:r>
      <w:r w:rsidR="001D2FAB">
        <w:rPr>
          <w:lang w:val="en-NZ"/>
        </w:rPr>
        <w:t xml:space="preserve"> The </w:t>
      </w:r>
      <w:r w:rsidR="00606A1E">
        <w:rPr>
          <w:lang w:val="en-NZ"/>
        </w:rPr>
        <w:t>objective to ensure birth certificates are fit for purpose is added to recognise the additional challenges that people may encounter when presenting a birth certificate to service providers who may be unfami</w:t>
      </w:r>
      <w:r w:rsidR="00C8523E">
        <w:rPr>
          <w:lang w:val="en-NZ"/>
        </w:rPr>
        <w:t xml:space="preserve">liar </w:t>
      </w:r>
      <w:r w:rsidR="00606A1E">
        <w:rPr>
          <w:lang w:val="en-NZ"/>
        </w:rPr>
        <w:t xml:space="preserve">with identity documents that do not </w:t>
      </w:r>
      <w:r w:rsidR="00785D15">
        <w:rPr>
          <w:lang w:val="en-NZ"/>
        </w:rPr>
        <w:t>list</w:t>
      </w:r>
      <w:r w:rsidR="00606A1E">
        <w:rPr>
          <w:lang w:val="en-NZ"/>
        </w:rPr>
        <w:t xml:space="preserve"> ‘male’ or ‘female’. </w:t>
      </w:r>
    </w:p>
    <w:p w14:paraId="425EE2BB" w14:textId="77777777" w:rsidR="00D80717" w:rsidRDefault="00D80717">
      <w:pPr>
        <w:spacing w:after="0" w:line="240" w:lineRule="auto"/>
        <w:rPr>
          <w:rFonts w:ascii="Arial Bold" w:hAnsi="Arial Bold"/>
          <w:b/>
          <w:color w:val="0082AB"/>
          <w:spacing w:val="20"/>
          <w:w w:val="90"/>
          <w:sz w:val="32"/>
          <w:szCs w:val="24"/>
          <w:lang w:val="en-NZ"/>
        </w:rPr>
      </w:pPr>
      <w:r>
        <w:rPr>
          <w:lang w:val="en-NZ"/>
        </w:rPr>
        <w:br w:type="page"/>
      </w:r>
    </w:p>
    <w:p w14:paraId="2B635B3D" w14:textId="18E272E8" w:rsidR="008321F8" w:rsidRDefault="00F402DF" w:rsidP="00802AB2">
      <w:pPr>
        <w:pStyle w:val="Heading2"/>
        <w:rPr>
          <w:lang w:val="en-NZ"/>
        </w:rPr>
      </w:pPr>
      <w:r w:rsidRPr="00A864A5">
        <w:rPr>
          <w:lang w:val="en-NZ"/>
        </w:rPr>
        <w:lastRenderedPageBreak/>
        <w:t xml:space="preserve">Section 2: </w:t>
      </w:r>
      <w:r w:rsidR="001C4A82">
        <w:rPr>
          <w:lang w:val="en-NZ"/>
        </w:rPr>
        <w:t xml:space="preserve">Deciding </w:t>
      </w:r>
      <w:r w:rsidR="005275ED">
        <w:rPr>
          <w:lang w:val="en-NZ"/>
        </w:rPr>
        <w:t>upon an option</w:t>
      </w:r>
      <w:r w:rsidR="007336C9">
        <w:rPr>
          <w:lang w:val="en-NZ"/>
        </w:rPr>
        <w:t xml:space="preserve"> </w:t>
      </w:r>
      <w:r w:rsidR="005C38A2">
        <w:rPr>
          <w:lang w:val="en-NZ"/>
        </w:rPr>
        <w:t>to address the policy problem</w:t>
      </w:r>
    </w:p>
    <w:p w14:paraId="3A199392" w14:textId="34836E89" w:rsidR="008321F8" w:rsidRPr="00A864A5" w:rsidRDefault="008321F8" w:rsidP="00802AB2">
      <w:pPr>
        <w:pStyle w:val="Heading3"/>
        <w:rPr>
          <w:lang w:val="en-NZ"/>
        </w:rPr>
      </w:pPr>
      <w:r w:rsidRPr="00A864A5">
        <w:rPr>
          <w:lang w:val="en-NZ"/>
        </w:rPr>
        <w:t xml:space="preserve">What criteria will </w:t>
      </w:r>
      <w:r w:rsidR="007336C9">
        <w:rPr>
          <w:lang w:val="en-NZ"/>
        </w:rPr>
        <w:t>be used</w:t>
      </w:r>
      <w:r w:rsidR="003A6757">
        <w:rPr>
          <w:lang w:val="en-NZ"/>
        </w:rPr>
        <w:t xml:space="preserve"> to</w:t>
      </w:r>
      <w:r w:rsidRPr="00A864A5">
        <w:rPr>
          <w:lang w:val="en-NZ"/>
        </w:rPr>
        <w:t xml:space="preserve"> </w:t>
      </w:r>
      <w:r w:rsidR="003A6757">
        <w:rPr>
          <w:lang w:val="en-NZ"/>
        </w:rPr>
        <w:t>compare</w:t>
      </w:r>
      <w:r w:rsidRPr="00A864A5">
        <w:rPr>
          <w:lang w:val="en-NZ"/>
        </w:rPr>
        <w:t xml:space="preserve"> options </w:t>
      </w:r>
      <w:r w:rsidR="003A6757">
        <w:rPr>
          <w:lang w:val="en-NZ"/>
        </w:rPr>
        <w:t>to</w:t>
      </w:r>
      <w:r w:rsidRPr="00A864A5">
        <w:rPr>
          <w:lang w:val="en-NZ"/>
        </w:rPr>
        <w:t xml:space="preserve"> the status quo?</w:t>
      </w:r>
    </w:p>
    <w:p w14:paraId="42C72D1A" w14:textId="1D3C7950" w:rsidR="00A24836" w:rsidRDefault="00A24836" w:rsidP="00684A1D">
      <w:pPr>
        <w:pStyle w:val="BodyText-Numbered"/>
        <w:keepNext w:val="0"/>
        <w:keepLines/>
      </w:pPr>
      <w:bookmarkStart w:id="18" w:name="_Hlk99524137"/>
      <w:r>
        <w:t>The criteria used to assess the options for prescribing what sex or gender terms will be included in regulations are:</w:t>
      </w:r>
    </w:p>
    <w:p w14:paraId="6E1A112A" w14:textId="77777777" w:rsidR="00A24836" w:rsidRDefault="00A24836" w:rsidP="00B53952">
      <w:pPr>
        <w:pStyle w:val="BodyText-Numbered"/>
        <w:keepNext w:val="0"/>
        <w:keepLines/>
        <w:numPr>
          <w:ilvl w:val="1"/>
          <w:numId w:val="1"/>
        </w:numPr>
      </w:pPr>
      <w:r w:rsidRPr="00900866">
        <w:rPr>
          <w:b/>
        </w:rPr>
        <w:t>Inclusivity</w:t>
      </w:r>
      <w:r>
        <w:t xml:space="preserve"> – as many people as possible can access a birth certificate that adequately represents their </w:t>
      </w:r>
      <w:proofErr w:type="gramStart"/>
      <w:r>
        <w:t>gender;</w:t>
      </w:r>
      <w:proofErr w:type="gramEnd"/>
    </w:p>
    <w:p w14:paraId="79116679" w14:textId="2DD8DB74" w:rsidR="00A24836" w:rsidRDefault="00482D93" w:rsidP="00B53952">
      <w:pPr>
        <w:pStyle w:val="BodyText-Numbered"/>
        <w:keepNext w:val="0"/>
        <w:keepLines/>
        <w:numPr>
          <w:ilvl w:val="1"/>
          <w:numId w:val="1"/>
        </w:numPr>
      </w:pPr>
      <w:r>
        <w:rPr>
          <w:b/>
        </w:rPr>
        <w:t>Future-proof</w:t>
      </w:r>
      <w:r w:rsidR="00A24836">
        <w:t xml:space="preserve"> – </w:t>
      </w:r>
      <w:r w:rsidR="00A24836" w:rsidRPr="007F4112">
        <w:t>the list of sex markers is</w:t>
      </w:r>
      <w:r w:rsidR="00A24836">
        <w:t xml:space="preserve"> future </w:t>
      </w:r>
      <w:proofErr w:type="gramStart"/>
      <w:r w:rsidR="00A24836">
        <w:t>proof;</w:t>
      </w:r>
      <w:proofErr w:type="gramEnd"/>
    </w:p>
    <w:p w14:paraId="1684D9B6" w14:textId="48DA1DF4" w:rsidR="00A24836" w:rsidRDefault="00A24836" w:rsidP="00B53952">
      <w:pPr>
        <w:pStyle w:val="BodyText-Numbered"/>
        <w:keepNext w:val="0"/>
        <w:keepLines/>
        <w:numPr>
          <w:ilvl w:val="1"/>
          <w:numId w:val="1"/>
        </w:numPr>
      </w:pPr>
      <w:r w:rsidRPr="00900866">
        <w:rPr>
          <w:b/>
        </w:rPr>
        <w:t>Practicality</w:t>
      </w:r>
      <w:r>
        <w:t xml:space="preserve"> – </w:t>
      </w:r>
      <w:r w:rsidR="004C077F">
        <w:t>the</w:t>
      </w:r>
      <w:r>
        <w:t xml:space="preserve"> </w:t>
      </w:r>
      <w:r w:rsidRPr="00B53952">
        <w:rPr>
          <w:lang w:val="en-NZ"/>
        </w:rPr>
        <w:t>information</w:t>
      </w:r>
      <w:r w:rsidR="004C077F">
        <w:t xml:space="preserve"> can</w:t>
      </w:r>
      <w:r>
        <w:t xml:space="preserve"> be shared across systems and </w:t>
      </w:r>
      <w:r w:rsidR="0067439C">
        <w:t xml:space="preserve">birth certificates can be easily used </w:t>
      </w:r>
      <w:r>
        <w:t>by people as necessary.</w:t>
      </w:r>
    </w:p>
    <w:p w14:paraId="01A0DF02" w14:textId="58AB1884" w:rsidR="00A24836" w:rsidRDefault="00DF3EDA" w:rsidP="00684A1D">
      <w:pPr>
        <w:pStyle w:val="BodyText-Numbered"/>
        <w:keepNext w:val="0"/>
        <w:keepLines/>
      </w:pPr>
      <w:r>
        <w:t xml:space="preserve">The criteria have been loosely developed off the original criteria used to assess options for improving the process to amend sex on birth certificates because it is important that the regulatory options are consistent with the original policy intent of self-identification. </w:t>
      </w:r>
      <w:r w:rsidR="00A24836">
        <w:t xml:space="preserve">The criteria are described further below: </w:t>
      </w:r>
    </w:p>
    <w:p w14:paraId="1397F292" w14:textId="6FAF57AE" w:rsidR="00A24836" w:rsidRPr="00B53952" w:rsidRDefault="00A24836" w:rsidP="00684A1D">
      <w:pPr>
        <w:pStyle w:val="BodyText-Numbered"/>
        <w:keepNext w:val="0"/>
        <w:keepLines/>
        <w:numPr>
          <w:ilvl w:val="1"/>
          <w:numId w:val="1"/>
        </w:numPr>
        <w:rPr>
          <w:lang w:val="en-NZ"/>
        </w:rPr>
      </w:pPr>
      <w:r>
        <w:t xml:space="preserve">Inclusivity is about whether people who are non-binary or have a </w:t>
      </w:r>
      <w:r w:rsidR="00D36A22">
        <w:t>culturally specific</w:t>
      </w:r>
      <w:r w:rsidRPr="00B53952">
        <w:rPr>
          <w:lang w:val="en-NZ"/>
        </w:rPr>
        <w:t xml:space="preserve"> gender will have a sex marker option that they consider represents their gender. The inclusivity criterion also aims to </w:t>
      </w:r>
      <w:r w:rsidR="00736876" w:rsidRPr="00B53952">
        <w:rPr>
          <w:lang w:val="en-NZ"/>
        </w:rPr>
        <w:t>uphold</w:t>
      </w:r>
      <w:r w:rsidRPr="00B53952">
        <w:rPr>
          <w:lang w:val="en-NZ"/>
        </w:rPr>
        <w:t xml:space="preserve"> </w:t>
      </w:r>
      <w:r w:rsidR="00FE2DF4">
        <w:rPr>
          <w:lang w:val="en-NZ"/>
        </w:rPr>
        <w:t>T</w:t>
      </w:r>
      <w:r w:rsidRPr="00B53952">
        <w:rPr>
          <w:lang w:val="en-NZ"/>
        </w:rPr>
        <w:t xml:space="preserve">e </w:t>
      </w:r>
      <w:proofErr w:type="spellStart"/>
      <w:r w:rsidRPr="00B53952">
        <w:rPr>
          <w:lang w:val="en-NZ"/>
        </w:rPr>
        <w:t>Tiriti</w:t>
      </w:r>
      <w:proofErr w:type="spellEnd"/>
      <w:r w:rsidRPr="00B53952">
        <w:rPr>
          <w:lang w:val="en-NZ"/>
        </w:rPr>
        <w:t xml:space="preserve"> o Waitangi</w:t>
      </w:r>
      <w:r w:rsidR="00736876" w:rsidRPr="00B53952">
        <w:rPr>
          <w:lang w:val="en-NZ"/>
        </w:rPr>
        <w:t xml:space="preserve"> by</w:t>
      </w:r>
      <w:r w:rsidRPr="00B53952">
        <w:rPr>
          <w:lang w:val="en-NZ"/>
        </w:rPr>
        <w:t xml:space="preserve"> contribut</w:t>
      </w:r>
      <w:r w:rsidR="00736876" w:rsidRPr="00B53952">
        <w:rPr>
          <w:lang w:val="en-NZ"/>
        </w:rPr>
        <w:t>ing</w:t>
      </w:r>
      <w:r w:rsidRPr="00B53952">
        <w:rPr>
          <w:lang w:val="en-NZ"/>
        </w:rPr>
        <w:t xml:space="preserve"> to better outcomes for Māori to exercise </w:t>
      </w:r>
      <w:proofErr w:type="spellStart"/>
      <w:r w:rsidRPr="00B53952">
        <w:rPr>
          <w:lang w:val="en-NZ"/>
        </w:rPr>
        <w:t>tino</w:t>
      </w:r>
      <w:proofErr w:type="spellEnd"/>
      <w:r w:rsidRPr="00B53952">
        <w:rPr>
          <w:lang w:val="en-NZ"/>
        </w:rPr>
        <w:t xml:space="preserve"> </w:t>
      </w:r>
      <w:proofErr w:type="gramStart"/>
      <w:r w:rsidRPr="00B53952">
        <w:rPr>
          <w:lang w:val="en-NZ"/>
        </w:rPr>
        <w:t>rangatiratanga;</w:t>
      </w:r>
      <w:proofErr w:type="gramEnd"/>
    </w:p>
    <w:p w14:paraId="47419046" w14:textId="340E09BE" w:rsidR="00A24836" w:rsidRPr="00B53952" w:rsidRDefault="00482D93" w:rsidP="00684A1D">
      <w:pPr>
        <w:pStyle w:val="BodyText-Numbered"/>
        <w:keepNext w:val="0"/>
        <w:keepLines/>
        <w:numPr>
          <w:ilvl w:val="1"/>
          <w:numId w:val="1"/>
        </w:numPr>
        <w:rPr>
          <w:lang w:val="en-NZ"/>
        </w:rPr>
      </w:pPr>
      <w:r w:rsidRPr="00B53952">
        <w:rPr>
          <w:lang w:val="en-NZ"/>
        </w:rPr>
        <w:t>Future-proof</w:t>
      </w:r>
      <w:r w:rsidR="00A24836" w:rsidRPr="00B53952">
        <w:rPr>
          <w:lang w:val="en-NZ"/>
        </w:rPr>
        <w:t xml:space="preserve"> is about ensuring that people will have </w:t>
      </w:r>
      <w:r w:rsidR="007F4112" w:rsidRPr="00B53952">
        <w:rPr>
          <w:lang w:val="en-NZ"/>
        </w:rPr>
        <w:t xml:space="preserve">appropriate </w:t>
      </w:r>
      <w:r w:rsidR="00A24836" w:rsidRPr="00B53952">
        <w:rPr>
          <w:lang w:val="en-NZ"/>
        </w:rPr>
        <w:t xml:space="preserve">sex marker options </w:t>
      </w:r>
      <w:r w:rsidR="007F4112" w:rsidRPr="00B53952">
        <w:rPr>
          <w:lang w:val="en-NZ"/>
        </w:rPr>
        <w:t>even as</w:t>
      </w:r>
      <w:r w:rsidR="00A24836" w:rsidRPr="00B53952">
        <w:rPr>
          <w:lang w:val="en-NZ"/>
        </w:rPr>
        <w:t xml:space="preserve"> New Zealanders’ views on gender terminology</w:t>
      </w:r>
      <w:r w:rsidRPr="00B53952">
        <w:rPr>
          <w:lang w:val="en-NZ"/>
        </w:rPr>
        <w:t xml:space="preserve"> evolve</w:t>
      </w:r>
      <w:r w:rsidR="007F4112" w:rsidRPr="00B53952">
        <w:rPr>
          <w:lang w:val="en-NZ"/>
        </w:rPr>
        <w:t xml:space="preserve"> over time</w:t>
      </w:r>
      <w:r w:rsidRPr="00B53952">
        <w:rPr>
          <w:lang w:val="en-NZ"/>
        </w:rPr>
        <w:t>. R</w:t>
      </w:r>
      <w:r w:rsidR="00736876" w:rsidRPr="00B53952">
        <w:rPr>
          <w:lang w:val="en-NZ"/>
        </w:rPr>
        <w:t>egulations can be updated more readily</w:t>
      </w:r>
      <w:r w:rsidRPr="00B53952">
        <w:rPr>
          <w:lang w:val="en-NZ"/>
        </w:rPr>
        <w:t xml:space="preserve"> than primary legislation</w:t>
      </w:r>
      <w:r w:rsidR="004A21F0" w:rsidRPr="00B53952">
        <w:rPr>
          <w:lang w:val="en-NZ"/>
        </w:rPr>
        <w:t>, but significant time and resource</w:t>
      </w:r>
      <w:r w:rsidR="00633BDD" w:rsidRPr="00B53952">
        <w:rPr>
          <w:lang w:val="en-NZ"/>
        </w:rPr>
        <w:t xml:space="preserve"> is still needed to do </w:t>
      </w:r>
      <w:proofErr w:type="gramStart"/>
      <w:r w:rsidR="00633BDD" w:rsidRPr="00B53952">
        <w:rPr>
          <w:lang w:val="en-NZ"/>
        </w:rPr>
        <w:t>so</w:t>
      </w:r>
      <w:r w:rsidR="00A24836" w:rsidRPr="00B53952">
        <w:rPr>
          <w:lang w:val="en-NZ"/>
        </w:rPr>
        <w:t>;</w:t>
      </w:r>
      <w:proofErr w:type="gramEnd"/>
    </w:p>
    <w:p w14:paraId="340D9ACA" w14:textId="4C7FFFDF" w:rsidR="00A24836" w:rsidRDefault="00A24836" w:rsidP="00684A1D">
      <w:pPr>
        <w:pStyle w:val="BodyText-Numbered"/>
        <w:keepNext w:val="0"/>
        <w:keepLines/>
        <w:numPr>
          <w:ilvl w:val="1"/>
          <w:numId w:val="1"/>
        </w:numPr>
      </w:pPr>
      <w:r w:rsidRPr="00B53952">
        <w:rPr>
          <w:lang w:val="en-NZ"/>
        </w:rPr>
        <w:t xml:space="preserve">Practicality is about ensuring that the list of sex markers can be shared across systems and that people will not encounter difficulties when presenting a birth certificate with this sex marker on it. This criterion was not used for </w:t>
      </w:r>
      <w:r w:rsidR="007F4112" w:rsidRPr="00B53952">
        <w:rPr>
          <w:lang w:val="en-NZ"/>
        </w:rPr>
        <w:t xml:space="preserve">the </w:t>
      </w:r>
      <w:r w:rsidRPr="00B53952">
        <w:rPr>
          <w:lang w:val="en-NZ"/>
        </w:rPr>
        <w:t>policy to introduce</w:t>
      </w:r>
      <w:r>
        <w:t xml:space="preserve"> a self-identification </w:t>
      </w:r>
      <w:r w:rsidR="00D2107A">
        <w:t>process but</w:t>
      </w:r>
      <w:r>
        <w:t xml:space="preserve"> is appropriate here as </w:t>
      </w:r>
      <w:r w:rsidR="0066247B">
        <w:t>the policy’s effectiveness depends on birth certificates being able to be used</w:t>
      </w:r>
      <w:r>
        <w:t>.</w:t>
      </w:r>
    </w:p>
    <w:p w14:paraId="08BFBC97" w14:textId="05BC78B8" w:rsidR="00EE0102" w:rsidRDefault="00A24836" w:rsidP="00B740F5">
      <w:pPr>
        <w:pStyle w:val="BodyText-Numbered"/>
      </w:pPr>
      <w:r>
        <w:t xml:space="preserve">Practicality to a certain extent will </w:t>
      </w:r>
      <w:r w:rsidR="00736876">
        <w:t xml:space="preserve">compete with </w:t>
      </w:r>
      <w:r w:rsidR="0042356F">
        <w:t>i</w:t>
      </w:r>
      <w:r w:rsidR="00736876">
        <w:t>nclusivity as it</w:t>
      </w:r>
      <w:r>
        <w:t xml:space="preserve"> may constrain the number of sex markers that would be desirable.</w:t>
      </w:r>
      <w:r w:rsidR="00A853DC">
        <w:t xml:space="preserve"> </w:t>
      </w:r>
    </w:p>
    <w:p w14:paraId="08F80264" w14:textId="18C4EC80" w:rsidR="00A24836" w:rsidRDefault="00A853DC" w:rsidP="00684A1D">
      <w:pPr>
        <w:pStyle w:val="BodyText-Numbered"/>
      </w:pPr>
      <w:r>
        <w:t xml:space="preserve">We note that the </w:t>
      </w:r>
      <w:proofErr w:type="spellStart"/>
      <w:r w:rsidR="001F5C5D">
        <w:t>StatsNZ</w:t>
      </w:r>
      <w:proofErr w:type="spellEnd"/>
      <w:r w:rsidR="001F5C5D">
        <w:t xml:space="preserve"> statistical </w:t>
      </w:r>
      <w:r>
        <w:t xml:space="preserve">standard for sex, gender, and </w:t>
      </w:r>
      <w:r w:rsidR="001F5C5D">
        <w:t xml:space="preserve">variations in sex characteristics has been mandated for public sector agencies. </w:t>
      </w:r>
      <w:r w:rsidR="00EE0102" w:rsidRPr="00EE0102">
        <w:t>Agencies should have at least three fields to represent sex or gender to comply with the s</w:t>
      </w:r>
      <w:r w:rsidR="00EE0102">
        <w:t>tandard</w:t>
      </w:r>
      <w:r w:rsidR="00EE0102" w:rsidRPr="00EE0102">
        <w:t>. Any agency compliant with this standard would be able to use the “another gender” field for markers besides male and female.</w:t>
      </w:r>
    </w:p>
    <w:bookmarkEnd w:id="18"/>
    <w:p w14:paraId="5F422897" w14:textId="4536AA44" w:rsidR="000718C6" w:rsidRDefault="00414C14" w:rsidP="00684A1D">
      <w:pPr>
        <w:pStyle w:val="BodyText-Numbered"/>
      </w:pPr>
      <w:r>
        <w:t xml:space="preserve">We note there </w:t>
      </w:r>
      <w:r w:rsidR="00527F6E">
        <w:t>may</w:t>
      </w:r>
      <w:r>
        <w:t xml:space="preserve"> be concerns that a long list of terms would not be readily accepted by the wider public </w:t>
      </w:r>
      <w:proofErr w:type="gramStart"/>
      <w:r>
        <w:t>at this point in time</w:t>
      </w:r>
      <w:proofErr w:type="gramEnd"/>
      <w:r>
        <w:t xml:space="preserve">. While gender diversity is increasingly being accepted, it is not accepted by everyone. If the change is so great that negative attention </w:t>
      </w:r>
      <w:r w:rsidR="00527F6E">
        <w:t xml:space="preserve">is </w:t>
      </w:r>
      <w:r>
        <w:t xml:space="preserve">given to </w:t>
      </w:r>
      <w:r w:rsidR="00AB175D">
        <w:t>the</w:t>
      </w:r>
      <w:r>
        <w:t xml:space="preserve"> issue</w:t>
      </w:r>
      <w:r w:rsidR="00F27846">
        <w:t xml:space="preserve"> of</w:t>
      </w:r>
      <w:r w:rsidR="00AB175D">
        <w:t xml:space="preserve"> recognising gender</w:t>
      </w:r>
      <w:r w:rsidR="00092030">
        <w:t xml:space="preserve"> generally</w:t>
      </w:r>
      <w:r>
        <w:t xml:space="preserve">, this </w:t>
      </w:r>
      <w:r w:rsidR="00527F6E">
        <w:t>may</w:t>
      </w:r>
      <w:r>
        <w:t xml:space="preserve"> have a detrimental effect on people who are </w:t>
      </w:r>
      <w:proofErr w:type="spellStart"/>
      <w:r>
        <w:t>takatāpui</w:t>
      </w:r>
      <w:proofErr w:type="spellEnd"/>
      <w:r>
        <w:t>, transgender and intersex. If this is a significant concern raised in consultation, the final set of criteria could be updated.</w:t>
      </w:r>
    </w:p>
    <w:p w14:paraId="3252D892" w14:textId="6EAB8221" w:rsidR="00E52B84" w:rsidRPr="00CD4B62" w:rsidRDefault="007D78A1" w:rsidP="00802AB2">
      <w:pPr>
        <w:pStyle w:val="Heading3"/>
        <w:rPr>
          <w:lang w:val="en-NZ"/>
        </w:rPr>
      </w:pPr>
      <w:r w:rsidRPr="00A864A5">
        <w:rPr>
          <w:lang w:val="en-NZ"/>
        </w:rPr>
        <w:t xml:space="preserve">What scope </w:t>
      </w:r>
      <w:r w:rsidR="003A6757">
        <w:rPr>
          <w:lang w:val="en-NZ"/>
        </w:rPr>
        <w:t>will</w:t>
      </w:r>
      <w:r w:rsidRPr="00A864A5">
        <w:rPr>
          <w:lang w:val="en-NZ"/>
        </w:rPr>
        <w:t xml:space="preserve"> </w:t>
      </w:r>
      <w:r w:rsidR="007336C9">
        <w:rPr>
          <w:lang w:val="en-NZ"/>
        </w:rPr>
        <w:t>options be considered</w:t>
      </w:r>
      <w:r w:rsidRPr="00A864A5">
        <w:rPr>
          <w:lang w:val="en-NZ"/>
        </w:rPr>
        <w:t xml:space="preserve"> within?</w:t>
      </w:r>
    </w:p>
    <w:p w14:paraId="5F52AEC4" w14:textId="11836A32" w:rsidR="0066247B" w:rsidRDefault="0066247B" w:rsidP="00684A1D">
      <w:pPr>
        <w:pStyle w:val="BodyText-Numbered"/>
        <w:keepNext w:val="0"/>
        <w:keepLines/>
      </w:pPr>
      <w:r>
        <w:t xml:space="preserve">The direction set by the </w:t>
      </w:r>
      <w:r w:rsidR="00DC75E7">
        <w:t>BDMRR Act</w:t>
      </w:r>
      <w:r>
        <w:t xml:space="preserve"> means that we can only consider options for how we could approach specifying sex marker options in regulations.</w:t>
      </w:r>
    </w:p>
    <w:p w14:paraId="5A5DDCB7" w14:textId="516C35C2" w:rsidR="0066247B" w:rsidRDefault="0066247B" w:rsidP="00684A1D">
      <w:pPr>
        <w:pStyle w:val="BodyText-Numbered"/>
        <w:keepNext w:val="0"/>
        <w:keepLines/>
      </w:pPr>
      <w:r>
        <w:lastRenderedPageBreak/>
        <w:t xml:space="preserve">We did consider an exceptions process that would allow people to </w:t>
      </w:r>
      <w:r w:rsidR="005A17F5">
        <w:t>‘</w:t>
      </w:r>
      <w:r>
        <w:t>write in</w:t>
      </w:r>
      <w:r w:rsidR="005A17F5">
        <w:t>’</w:t>
      </w:r>
      <w:r>
        <w:t xml:space="preserve"> their nominated sex. This would be </w:t>
      </w:r>
      <w:r w:rsidR="00793B7D">
        <w:t>like</w:t>
      </w:r>
      <w:r>
        <w:t xml:space="preserve"> processes developed in Victoria and Tasmania, where the Registrar-General </w:t>
      </w:r>
      <w:r w:rsidR="005A17F5">
        <w:t>has</w:t>
      </w:r>
      <w:r>
        <w:t xml:space="preserve"> the discretion to determine whether the written-in sex marker could be registered on the individual’s birth record, regardless of its inclusion in regulations. </w:t>
      </w:r>
      <w:r w:rsidR="005A17F5">
        <w:t>T</w:t>
      </w:r>
      <w:r>
        <w:t>he drafting of the legislation precludes this option, as the legislation only allows people to apply to amend their registered sex to terms “specified in regulations”.</w:t>
      </w:r>
    </w:p>
    <w:p w14:paraId="7905A877" w14:textId="77777777" w:rsidR="002C02D5" w:rsidRDefault="000C467F" w:rsidP="00684A1D">
      <w:pPr>
        <w:pStyle w:val="BodyText-Numbered"/>
        <w:keepNext w:val="0"/>
        <w:keepLines/>
      </w:pPr>
      <w:r>
        <w:t>At least 15 other jurisdictions have introduced a self-identification process for amending registered sex. Most of these jurisdictions have either only ‘male’ or ‘female’ as options or have a third ‘non-binary’ option.</w:t>
      </w:r>
      <w:r w:rsidR="009A6C5A">
        <w:rPr>
          <w:rStyle w:val="FootnoteReference"/>
        </w:rPr>
        <w:footnoteReference w:id="20"/>
      </w:r>
      <w:r w:rsidR="005A17F5">
        <w:t xml:space="preserve"> </w:t>
      </w:r>
      <w:r w:rsidR="00D813F3">
        <w:t>Similar to the approach of having only one ‘non-binary’ term, one of the options includes only umbrella terms.</w:t>
      </w:r>
      <w:r w:rsidR="002C02D5">
        <w:t xml:space="preserve"> T</w:t>
      </w:r>
      <w:r w:rsidR="00D813F3">
        <w:t xml:space="preserve">his option </w:t>
      </w:r>
      <w:r w:rsidR="00C8523E">
        <w:t>may</w:t>
      </w:r>
      <w:r w:rsidR="00C07618">
        <w:t xml:space="preserve"> include</w:t>
      </w:r>
      <w:r w:rsidR="00D813F3">
        <w:t xml:space="preserve"> more than one</w:t>
      </w:r>
      <w:r w:rsidR="00C07618">
        <w:t xml:space="preserve"> term to be inclusive of non-western cultures and because people </w:t>
      </w:r>
      <w:r w:rsidR="002C02D5">
        <w:t>may</w:t>
      </w:r>
      <w:r w:rsidR="00C07618">
        <w:t xml:space="preserve"> not agree on the most appropriate umbrella term.</w:t>
      </w:r>
    </w:p>
    <w:p w14:paraId="1F2570DC" w14:textId="6D0F24DA" w:rsidR="000C467F" w:rsidRDefault="00441D64" w:rsidP="00684A1D">
      <w:pPr>
        <w:pStyle w:val="BodyText-Numbered"/>
        <w:keepNext w:val="0"/>
        <w:keepLines/>
      </w:pPr>
      <w:r>
        <w:t>We have confirmed</w:t>
      </w:r>
      <w:r w:rsidR="000C467F">
        <w:t xml:space="preserve"> with </w:t>
      </w:r>
      <w:proofErr w:type="spellStart"/>
      <w:r w:rsidR="000C467F">
        <w:t>StatsNZ</w:t>
      </w:r>
      <w:proofErr w:type="spellEnd"/>
      <w:r w:rsidR="000C467F">
        <w:t xml:space="preserve"> that the mandate</w:t>
      </w:r>
      <w:r>
        <w:t xml:space="preserve">d data standard for gender, sex, and variations of sex characteristics should not </w:t>
      </w:r>
      <w:r w:rsidR="001F5C5D">
        <w:t xml:space="preserve">preclude any of </w:t>
      </w:r>
      <w:r>
        <w:t>our options for sex markers.</w:t>
      </w:r>
    </w:p>
    <w:p w14:paraId="4607A884" w14:textId="3F2E4DB8" w:rsidR="00AB4BB3" w:rsidRDefault="00AB4BB3" w:rsidP="00AB4BB3">
      <w:pPr>
        <w:pStyle w:val="BodyText-Numbered"/>
        <w:keepNext w:val="0"/>
        <w:keepLines/>
      </w:pPr>
      <w:r>
        <w:t xml:space="preserve">We note that the range of sex markers available on birth certificates may not be </w:t>
      </w:r>
      <w:r w:rsidR="00AA1B4F">
        <w:t>reflected in how other agencies and or</w:t>
      </w:r>
      <w:r w:rsidR="006D6EC8">
        <w:t>ganisations collect and</w:t>
      </w:r>
      <w:r w:rsidR="00AA1B4F">
        <w:t xml:space="preserve"> record sex or gender information. Government agencies, for instance, may simply record any sex markers outside of the binary as ‘another gender’, in line with the </w:t>
      </w:r>
      <w:proofErr w:type="spellStart"/>
      <w:r w:rsidR="00AA1B4F">
        <w:t>StatsNZ</w:t>
      </w:r>
      <w:proofErr w:type="spellEnd"/>
      <w:r w:rsidR="00AA1B4F">
        <w:t xml:space="preserve"> data standard. Decisions across government</w:t>
      </w:r>
      <w:r w:rsidR="00A165BC">
        <w:t xml:space="preserve"> or the private sector</w:t>
      </w:r>
      <w:r w:rsidR="00AA1B4F">
        <w:t xml:space="preserve"> to invest in systems to be able to record a greater range of sex or gender terms would be determined by </w:t>
      </w:r>
      <w:r w:rsidR="00A165BC">
        <w:t>individual</w:t>
      </w:r>
      <w:r w:rsidR="00AA1B4F">
        <w:t xml:space="preserve"> agencies or organisations. </w:t>
      </w:r>
    </w:p>
    <w:p w14:paraId="147C734D" w14:textId="02280826" w:rsidR="00173A6D" w:rsidRPr="006C3B28" w:rsidRDefault="00373851" w:rsidP="00802AB2">
      <w:pPr>
        <w:pStyle w:val="Heading3"/>
      </w:pPr>
      <w:r w:rsidRPr="006C3B28">
        <w:rPr>
          <w:lang w:val="en-NZ"/>
        </w:rPr>
        <w:t xml:space="preserve">What options </w:t>
      </w:r>
      <w:r w:rsidR="003A6757" w:rsidRPr="006C3B28">
        <w:rPr>
          <w:lang w:val="en-NZ"/>
        </w:rPr>
        <w:t xml:space="preserve">are </w:t>
      </w:r>
      <w:r w:rsidR="007336C9" w:rsidRPr="006C3B28">
        <w:rPr>
          <w:lang w:val="en-NZ"/>
        </w:rPr>
        <w:t>being considered</w:t>
      </w:r>
      <w:r w:rsidRPr="006C3B28">
        <w:rPr>
          <w:lang w:val="en-NZ"/>
        </w:rPr>
        <w:t>?</w:t>
      </w:r>
    </w:p>
    <w:p w14:paraId="632F6928" w14:textId="6C59FCF5" w:rsidR="00896669" w:rsidRPr="00952460" w:rsidRDefault="00FF0087" w:rsidP="00684A1D">
      <w:pPr>
        <w:pStyle w:val="BodyText-Numbered"/>
        <w:keepNext w:val="0"/>
        <w:keepLines/>
        <w:rPr>
          <w:lang w:val="en-NZ"/>
        </w:rPr>
      </w:pPr>
      <w:r w:rsidRPr="00952460">
        <w:rPr>
          <w:lang w:val="en-NZ"/>
        </w:rPr>
        <w:t xml:space="preserve">The options are set at a high level and are progressively more inclusive. This potentially is counterbalanced by the list of sex markers becoming less practical </w:t>
      </w:r>
      <w:r w:rsidR="00896669" w:rsidRPr="00952460">
        <w:rPr>
          <w:lang w:val="en-NZ"/>
        </w:rPr>
        <w:t>the more markers are included</w:t>
      </w:r>
      <w:r w:rsidRPr="00952460">
        <w:rPr>
          <w:lang w:val="en-NZ"/>
        </w:rPr>
        <w:t xml:space="preserve">. </w:t>
      </w:r>
    </w:p>
    <w:p w14:paraId="7371D7BB" w14:textId="261D1EEA" w:rsidR="00173A6D" w:rsidRPr="00173A6D" w:rsidRDefault="00173A6D" w:rsidP="00684A1D">
      <w:pPr>
        <w:pStyle w:val="BodyText-Numbered"/>
        <w:keepNext w:val="0"/>
        <w:keepLines/>
        <w:rPr>
          <w:lang w:val="en-NZ"/>
        </w:rPr>
      </w:pPr>
      <w:r w:rsidRPr="00173A6D">
        <w:rPr>
          <w:lang w:val="en-NZ"/>
        </w:rPr>
        <w:t>The options include:</w:t>
      </w:r>
    </w:p>
    <w:p w14:paraId="716E05EF" w14:textId="646E7B1C" w:rsidR="00173A6D" w:rsidRPr="00173A6D" w:rsidRDefault="00173A6D" w:rsidP="00684A1D">
      <w:pPr>
        <w:pStyle w:val="BodyText-Numbered"/>
        <w:keepNext w:val="0"/>
        <w:keepLines/>
        <w:numPr>
          <w:ilvl w:val="1"/>
          <w:numId w:val="1"/>
        </w:numPr>
        <w:rPr>
          <w:lang w:val="en-NZ"/>
        </w:rPr>
      </w:pPr>
      <w:r w:rsidRPr="00173A6D">
        <w:rPr>
          <w:lang w:val="en-NZ"/>
        </w:rPr>
        <w:t xml:space="preserve">Option one - </w:t>
      </w:r>
      <w:r>
        <w:rPr>
          <w:lang w:val="en-NZ"/>
        </w:rPr>
        <w:t>Counterfactual</w:t>
      </w:r>
      <w:r w:rsidRPr="00173A6D">
        <w:rPr>
          <w:lang w:val="en-NZ"/>
        </w:rPr>
        <w:t xml:space="preserve">: do not create additional sex </w:t>
      </w:r>
      <w:proofErr w:type="gramStart"/>
      <w:r w:rsidRPr="00173A6D">
        <w:rPr>
          <w:lang w:val="en-NZ"/>
        </w:rPr>
        <w:t>markers</w:t>
      </w:r>
      <w:r w:rsidR="005A17F5">
        <w:rPr>
          <w:lang w:val="en-NZ"/>
        </w:rPr>
        <w:t>;</w:t>
      </w:r>
      <w:proofErr w:type="gramEnd"/>
    </w:p>
    <w:p w14:paraId="24E69C55" w14:textId="62173D59" w:rsidR="00173A6D" w:rsidRPr="00173A6D" w:rsidRDefault="00173A6D" w:rsidP="00684A1D">
      <w:pPr>
        <w:pStyle w:val="BodyText-Numbered"/>
        <w:keepNext w:val="0"/>
        <w:keepLines/>
        <w:numPr>
          <w:ilvl w:val="1"/>
          <w:numId w:val="1"/>
        </w:numPr>
        <w:rPr>
          <w:lang w:val="en-NZ"/>
        </w:rPr>
      </w:pPr>
      <w:r w:rsidRPr="00173A6D">
        <w:rPr>
          <w:lang w:val="en-NZ"/>
        </w:rPr>
        <w:t xml:space="preserve">Option two - </w:t>
      </w:r>
      <w:r w:rsidR="00441D64">
        <w:rPr>
          <w:lang w:val="en-NZ"/>
        </w:rPr>
        <w:t xml:space="preserve">Add </w:t>
      </w:r>
      <w:r w:rsidR="00FF0087">
        <w:rPr>
          <w:lang w:val="en-NZ"/>
        </w:rPr>
        <w:t xml:space="preserve">only </w:t>
      </w:r>
      <w:r w:rsidR="00441D64">
        <w:rPr>
          <w:lang w:val="en-NZ"/>
        </w:rPr>
        <w:t>umbrella</w:t>
      </w:r>
      <w:r w:rsidRPr="00173A6D">
        <w:rPr>
          <w:lang w:val="en-NZ"/>
        </w:rPr>
        <w:t xml:space="preserve"> </w:t>
      </w:r>
      <w:r w:rsidR="00A86F7F">
        <w:rPr>
          <w:lang w:val="en-NZ"/>
        </w:rPr>
        <w:t>non-binary</w:t>
      </w:r>
      <w:r w:rsidRPr="00173A6D">
        <w:rPr>
          <w:lang w:val="en-NZ"/>
        </w:rPr>
        <w:t xml:space="preserve"> sex marker</w:t>
      </w:r>
      <w:r w:rsidR="00A86F7F">
        <w:rPr>
          <w:lang w:val="en-NZ"/>
        </w:rPr>
        <w:t>s</w:t>
      </w:r>
      <w:r w:rsidR="000B242C">
        <w:rPr>
          <w:lang w:val="en-NZ"/>
        </w:rPr>
        <w:t xml:space="preserve"> (</w:t>
      </w:r>
      <w:r w:rsidR="006D6EC8">
        <w:rPr>
          <w:lang w:val="en-NZ"/>
        </w:rPr>
        <w:t>one</w:t>
      </w:r>
      <w:r w:rsidR="0043484B">
        <w:rPr>
          <w:lang w:val="en-NZ"/>
        </w:rPr>
        <w:t xml:space="preserve"> </w:t>
      </w:r>
      <w:r w:rsidR="000B242C">
        <w:rPr>
          <w:lang w:val="en-NZ"/>
        </w:rPr>
        <w:t>-</w:t>
      </w:r>
      <w:r w:rsidR="0043484B">
        <w:rPr>
          <w:lang w:val="en-NZ"/>
        </w:rPr>
        <w:t xml:space="preserve"> five</w:t>
      </w:r>
      <w:r w:rsidR="000B242C">
        <w:rPr>
          <w:lang w:val="en-NZ"/>
        </w:rPr>
        <w:t xml:space="preserve"> markers</w:t>
      </w:r>
      <w:proofErr w:type="gramStart"/>
      <w:r w:rsidR="000B242C">
        <w:rPr>
          <w:lang w:val="en-NZ"/>
        </w:rPr>
        <w:t>)</w:t>
      </w:r>
      <w:r w:rsidRPr="00173A6D">
        <w:rPr>
          <w:lang w:val="en-NZ"/>
        </w:rPr>
        <w:t>;</w:t>
      </w:r>
      <w:proofErr w:type="gramEnd"/>
    </w:p>
    <w:p w14:paraId="3E08421E" w14:textId="2538F546" w:rsidR="00173A6D" w:rsidRPr="00173A6D" w:rsidRDefault="00173A6D" w:rsidP="00684A1D">
      <w:pPr>
        <w:pStyle w:val="BodyText-Numbered"/>
        <w:keepNext w:val="0"/>
        <w:keepLines/>
        <w:numPr>
          <w:ilvl w:val="1"/>
          <w:numId w:val="1"/>
        </w:numPr>
        <w:rPr>
          <w:lang w:val="en-NZ"/>
        </w:rPr>
      </w:pPr>
      <w:r w:rsidRPr="00173A6D">
        <w:rPr>
          <w:lang w:val="en-NZ"/>
        </w:rPr>
        <w:t xml:space="preserve">Option three – Include </w:t>
      </w:r>
      <w:r w:rsidR="00FF0087">
        <w:rPr>
          <w:lang w:val="en-NZ"/>
        </w:rPr>
        <w:t>umbrella non-binary sex markers along with some other</w:t>
      </w:r>
      <w:r w:rsidR="00A86F7F">
        <w:rPr>
          <w:lang w:val="en-NZ"/>
        </w:rPr>
        <w:t xml:space="preserve"> non-binary sex markers </w:t>
      </w:r>
      <w:r w:rsidR="00725CA6">
        <w:rPr>
          <w:lang w:val="en-NZ"/>
        </w:rPr>
        <w:t>and</w:t>
      </w:r>
      <w:r w:rsidR="00A86F7F">
        <w:rPr>
          <w:lang w:val="en-NZ"/>
        </w:rPr>
        <w:t xml:space="preserve"> culturally specific options </w:t>
      </w:r>
      <w:r w:rsidRPr="00173A6D">
        <w:rPr>
          <w:lang w:val="en-NZ"/>
        </w:rPr>
        <w:t>arising out of consultation</w:t>
      </w:r>
      <w:r w:rsidR="000B242C">
        <w:rPr>
          <w:lang w:val="en-NZ"/>
        </w:rPr>
        <w:t xml:space="preserve"> (</w:t>
      </w:r>
      <w:r w:rsidR="0043484B">
        <w:rPr>
          <w:lang w:val="en-NZ"/>
        </w:rPr>
        <w:t xml:space="preserve">six </w:t>
      </w:r>
      <w:r w:rsidR="000B242C">
        <w:rPr>
          <w:lang w:val="en-NZ"/>
        </w:rPr>
        <w:t>-</w:t>
      </w:r>
      <w:r w:rsidR="003017B5">
        <w:rPr>
          <w:lang w:val="en-NZ"/>
        </w:rPr>
        <w:t xml:space="preserve"> twelve</w:t>
      </w:r>
      <w:r w:rsidR="000B242C">
        <w:rPr>
          <w:lang w:val="en-NZ"/>
        </w:rPr>
        <w:t xml:space="preserve"> western and </w:t>
      </w:r>
      <w:proofErr w:type="spellStart"/>
      <w:r w:rsidR="000B242C">
        <w:rPr>
          <w:lang w:val="en-NZ"/>
        </w:rPr>
        <w:t>te</w:t>
      </w:r>
      <w:proofErr w:type="spellEnd"/>
      <w:r w:rsidR="000B242C">
        <w:rPr>
          <w:lang w:val="en-NZ"/>
        </w:rPr>
        <w:t xml:space="preserve"> </w:t>
      </w:r>
      <w:proofErr w:type="spellStart"/>
      <w:r w:rsidR="000B242C">
        <w:rPr>
          <w:lang w:val="en-NZ"/>
        </w:rPr>
        <w:t>reo</w:t>
      </w:r>
      <w:proofErr w:type="spellEnd"/>
      <w:r w:rsidR="000B242C">
        <w:rPr>
          <w:lang w:val="en-NZ"/>
        </w:rPr>
        <w:t xml:space="preserve"> Māori markers</w:t>
      </w:r>
      <w:proofErr w:type="gramStart"/>
      <w:r w:rsidR="000B242C">
        <w:rPr>
          <w:lang w:val="en-NZ"/>
        </w:rPr>
        <w:t>)</w:t>
      </w:r>
      <w:r w:rsidRPr="00173A6D">
        <w:rPr>
          <w:lang w:val="en-NZ"/>
        </w:rPr>
        <w:t>;</w:t>
      </w:r>
      <w:proofErr w:type="gramEnd"/>
    </w:p>
    <w:p w14:paraId="10A77838" w14:textId="34C3A25A" w:rsidR="00173A6D" w:rsidRDefault="00173A6D" w:rsidP="00684A1D">
      <w:pPr>
        <w:pStyle w:val="BodyText-Numbered"/>
        <w:keepNext w:val="0"/>
        <w:keepLines/>
        <w:numPr>
          <w:ilvl w:val="1"/>
          <w:numId w:val="1"/>
        </w:numPr>
        <w:rPr>
          <w:lang w:val="en-NZ"/>
        </w:rPr>
      </w:pPr>
      <w:r w:rsidRPr="00173A6D">
        <w:rPr>
          <w:lang w:val="en-NZ"/>
        </w:rPr>
        <w:t>Option f</w:t>
      </w:r>
      <w:r w:rsidR="00A86F7F">
        <w:rPr>
          <w:lang w:val="en-NZ"/>
        </w:rPr>
        <w:t>our</w:t>
      </w:r>
      <w:r w:rsidRPr="00173A6D">
        <w:rPr>
          <w:lang w:val="en-NZ"/>
        </w:rPr>
        <w:t xml:space="preserve"> – Include a more extensive list of </w:t>
      </w:r>
      <w:r w:rsidR="00A86F7F">
        <w:rPr>
          <w:lang w:val="en-NZ"/>
        </w:rPr>
        <w:t>non-binary sex markers</w:t>
      </w:r>
      <w:r w:rsidRPr="00173A6D">
        <w:rPr>
          <w:lang w:val="en-NZ"/>
        </w:rPr>
        <w:t xml:space="preserve"> along with </w:t>
      </w:r>
      <w:r w:rsidR="00D36A22">
        <w:rPr>
          <w:lang w:val="en-NZ"/>
        </w:rPr>
        <w:t>culturally specific</w:t>
      </w:r>
      <w:r w:rsidRPr="00173A6D">
        <w:rPr>
          <w:lang w:val="en-NZ"/>
        </w:rPr>
        <w:t xml:space="preserve"> terms arising out of consultation</w:t>
      </w:r>
      <w:r w:rsidR="000B242C">
        <w:rPr>
          <w:lang w:val="en-NZ"/>
        </w:rPr>
        <w:t xml:space="preserve"> (more than 12 western and </w:t>
      </w:r>
      <w:proofErr w:type="spellStart"/>
      <w:r w:rsidR="000B242C">
        <w:rPr>
          <w:lang w:val="en-NZ"/>
        </w:rPr>
        <w:t>te</w:t>
      </w:r>
      <w:proofErr w:type="spellEnd"/>
      <w:r w:rsidR="000B242C">
        <w:rPr>
          <w:lang w:val="en-NZ"/>
        </w:rPr>
        <w:t xml:space="preserve"> </w:t>
      </w:r>
      <w:proofErr w:type="spellStart"/>
      <w:r w:rsidR="000B242C">
        <w:rPr>
          <w:lang w:val="en-NZ"/>
        </w:rPr>
        <w:t>reo</w:t>
      </w:r>
      <w:proofErr w:type="spellEnd"/>
      <w:r w:rsidR="000B242C">
        <w:rPr>
          <w:lang w:val="en-NZ"/>
        </w:rPr>
        <w:t xml:space="preserve"> Māori markers)</w:t>
      </w:r>
      <w:r w:rsidRPr="00173A6D">
        <w:rPr>
          <w:lang w:val="en-NZ"/>
        </w:rPr>
        <w:t>.</w:t>
      </w:r>
    </w:p>
    <w:p w14:paraId="74CCE16C" w14:textId="140FE773" w:rsidR="00173A6D" w:rsidRPr="00173A6D" w:rsidRDefault="00173A6D" w:rsidP="00684A1D">
      <w:pPr>
        <w:pStyle w:val="BodyText-Numbered"/>
        <w:keepNext w:val="0"/>
        <w:keepLines/>
        <w:rPr>
          <w:lang w:val="en-NZ"/>
        </w:rPr>
      </w:pPr>
      <w:r>
        <w:rPr>
          <w:lang w:val="en-NZ"/>
        </w:rPr>
        <w:t xml:space="preserve">These options are not mutually exclusive. For instance, it might be appropriate to have an extensive list of western terms along with </w:t>
      </w:r>
      <w:proofErr w:type="spellStart"/>
      <w:r>
        <w:rPr>
          <w:lang w:val="en-NZ"/>
        </w:rPr>
        <w:t>te</w:t>
      </w:r>
      <w:proofErr w:type="spellEnd"/>
      <w:r>
        <w:rPr>
          <w:lang w:val="en-NZ"/>
        </w:rPr>
        <w:t xml:space="preserve"> </w:t>
      </w:r>
      <w:proofErr w:type="spellStart"/>
      <w:r>
        <w:rPr>
          <w:lang w:val="en-NZ"/>
        </w:rPr>
        <w:t>reo</w:t>
      </w:r>
      <w:proofErr w:type="spellEnd"/>
      <w:r>
        <w:rPr>
          <w:lang w:val="en-NZ"/>
        </w:rPr>
        <w:t xml:space="preserve"> Māori terms as in option </w:t>
      </w:r>
      <w:r w:rsidR="00EA4C26">
        <w:rPr>
          <w:lang w:val="en-NZ"/>
        </w:rPr>
        <w:t>four</w:t>
      </w:r>
      <w:r>
        <w:rPr>
          <w:lang w:val="en-NZ"/>
        </w:rPr>
        <w:t xml:space="preserve">, but not have other </w:t>
      </w:r>
      <w:r w:rsidR="00D36A22">
        <w:rPr>
          <w:lang w:val="en-NZ"/>
        </w:rPr>
        <w:t>culturally specific</w:t>
      </w:r>
      <w:r w:rsidR="00725CA6">
        <w:rPr>
          <w:lang w:val="en-NZ"/>
        </w:rPr>
        <w:t xml:space="preserve"> terms as in options one and</w:t>
      </w:r>
      <w:r>
        <w:rPr>
          <w:lang w:val="en-NZ"/>
        </w:rPr>
        <w:t xml:space="preserve"> two.</w:t>
      </w:r>
    </w:p>
    <w:p w14:paraId="00861FFE" w14:textId="37E05ACB" w:rsidR="00294646" w:rsidRPr="00A864A5" w:rsidRDefault="007D78A1" w:rsidP="00684A1D">
      <w:pPr>
        <w:pStyle w:val="Heading4"/>
        <w:keepLines/>
        <w:rPr>
          <w:lang w:val="en-NZ"/>
        </w:rPr>
      </w:pPr>
      <w:r w:rsidRPr="00A864A5">
        <w:rPr>
          <w:lang w:val="en-NZ"/>
        </w:rPr>
        <w:t>Option One –</w:t>
      </w:r>
      <w:r w:rsidR="00B07DAD">
        <w:rPr>
          <w:lang w:val="en-NZ"/>
        </w:rPr>
        <w:t xml:space="preserve"> Counterfactual: do not add sex markers to regulations</w:t>
      </w:r>
    </w:p>
    <w:p w14:paraId="51B42674" w14:textId="77777777" w:rsidR="00BF417F" w:rsidRPr="00BF417F" w:rsidRDefault="00BF417F" w:rsidP="00684A1D">
      <w:pPr>
        <w:pStyle w:val="BodyText-Numbered"/>
        <w:keepNext w:val="0"/>
        <w:keepLines/>
        <w:numPr>
          <w:ilvl w:val="0"/>
          <w:numId w:val="0"/>
        </w:numPr>
        <w:ind w:left="567" w:hanging="567"/>
        <w:rPr>
          <w:i/>
          <w:lang w:val="en-NZ"/>
        </w:rPr>
      </w:pPr>
      <w:r w:rsidRPr="00BF417F">
        <w:rPr>
          <w:i/>
          <w:lang w:val="en-NZ"/>
        </w:rPr>
        <w:t>Key features</w:t>
      </w:r>
    </w:p>
    <w:p w14:paraId="073412C1" w14:textId="1AF2F9EC" w:rsidR="00BF417F" w:rsidRPr="00BF417F" w:rsidRDefault="00BF417F" w:rsidP="00684A1D">
      <w:pPr>
        <w:pStyle w:val="BodyText-Numbered"/>
        <w:keepNext w:val="0"/>
        <w:keepLines/>
        <w:rPr>
          <w:lang w:val="en-NZ"/>
        </w:rPr>
      </w:pPr>
      <w:r w:rsidRPr="00BF417F">
        <w:rPr>
          <w:lang w:val="en-NZ"/>
        </w:rPr>
        <w:t xml:space="preserve">Under the </w:t>
      </w:r>
      <w:r>
        <w:rPr>
          <w:lang w:val="en-NZ"/>
        </w:rPr>
        <w:t>counterfactual</w:t>
      </w:r>
      <w:r w:rsidRPr="00BF417F">
        <w:rPr>
          <w:lang w:val="en-NZ"/>
        </w:rPr>
        <w:t xml:space="preserve">, </w:t>
      </w:r>
      <w:r w:rsidR="001D7632">
        <w:rPr>
          <w:lang w:val="en-NZ"/>
        </w:rPr>
        <w:t>regulations to provide for</w:t>
      </w:r>
      <w:r w:rsidRPr="00BF417F">
        <w:rPr>
          <w:lang w:val="en-NZ"/>
        </w:rPr>
        <w:t xml:space="preserve"> additional sex markers </w:t>
      </w:r>
      <w:r w:rsidR="001D7632">
        <w:rPr>
          <w:lang w:val="en-NZ"/>
        </w:rPr>
        <w:t>would not be developed.</w:t>
      </w:r>
      <w:r w:rsidRPr="00BF417F">
        <w:rPr>
          <w:lang w:val="en-NZ"/>
        </w:rPr>
        <w:t xml:space="preserve"> People would only have the option to register their nominated sex as ‘male’ or ‘female’.</w:t>
      </w:r>
      <w:r w:rsidR="00B07DAD">
        <w:rPr>
          <w:lang w:val="en-NZ"/>
        </w:rPr>
        <w:t xml:space="preserve"> The introduction of the self-identification process means birth certificates will become more inclusive of transgender men and transgender women even if no sex markers are added to regulations.</w:t>
      </w:r>
    </w:p>
    <w:p w14:paraId="73C01BB9" w14:textId="77777777" w:rsidR="00BF417F" w:rsidRPr="00BF417F" w:rsidRDefault="00BF417F" w:rsidP="00684A1D">
      <w:pPr>
        <w:pStyle w:val="BodyText-Numbered"/>
        <w:keepNext w:val="0"/>
        <w:keepLines/>
        <w:numPr>
          <w:ilvl w:val="0"/>
          <w:numId w:val="0"/>
        </w:numPr>
        <w:rPr>
          <w:i/>
          <w:lang w:val="en-NZ"/>
        </w:rPr>
      </w:pPr>
      <w:r w:rsidRPr="00BF417F">
        <w:rPr>
          <w:i/>
          <w:lang w:val="en-NZ"/>
        </w:rPr>
        <w:lastRenderedPageBreak/>
        <w:t>Analysis</w:t>
      </w:r>
    </w:p>
    <w:p w14:paraId="2BF48F74" w14:textId="7119AE3C" w:rsidR="00BF417F" w:rsidRPr="00BF417F" w:rsidRDefault="00BF417F" w:rsidP="00684A1D">
      <w:pPr>
        <w:pStyle w:val="BodyText-Numbered"/>
        <w:keepNext w:val="0"/>
        <w:keepLines/>
        <w:rPr>
          <w:lang w:val="en-NZ"/>
        </w:rPr>
      </w:pPr>
      <w:r w:rsidRPr="00BF417F">
        <w:rPr>
          <w:lang w:val="en-NZ"/>
        </w:rPr>
        <w:t xml:space="preserve">Retaining </w:t>
      </w:r>
      <w:r w:rsidR="005A17F5">
        <w:rPr>
          <w:lang w:val="en-NZ"/>
        </w:rPr>
        <w:t>only</w:t>
      </w:r>
      <w:r w:rsidRPr="00BF417F">
        <w:rPr>
          <w:lang w:val="en-NZ"/>
        </w:rPr>
        <w:t xml:space="preserve"> male and female fail</w:t>
      </w:r>
      <w:r w:rsidR="005A17F5">
        <w:rPr>
          <w:lang w:val="en-NZ"/>
        </w:rPr>
        <w:t>s</w:t>
      </w:r>
      <w:r w:rsidRPr="00BF417F">
        <w:rPr>
          <w:lang w:val="en-NZ"/>
        </w:rPr>
        <w:t xml:space="preserve"> to recognise people whose gender is outside of the binary. This would diverge significantly from the policy intention of the self-identification process, which is to make birth certificates inclusive of all transgender people.</w:t>
      </w:r>
      <w:r w:rsidR="000718C6">
        <w:rPr>
          <w:lang w:val="en-NZ"/>
        </w:rPr>
        <w:t xml:space="preserve"> </w:t>
      </w:r>
    </w:p>
    <w:p w14:paraId="2DF45E0E" w14:textId="77777777" w:rsidR="00EB6671" w:rsidRDefault="00BF417F" w:rsidP="00EB6671">
      <w:pPr>
        <w:pStyle w:val="BodyText-Numbered"/>
        <w:keepNext w:val="0"/>
        <w:keepLines/>
        <w:rPr>
          <w:lang w:val="en-NZ"/>
        </w:rPr>
      </w:pPr>
      <w:r w:rsidRPr="00BF417F">
        <w:rPr>
          <w:lang w:val="en-NZ"/>
        </w:rPr>
        <w:t xml:space="preserve">Not including </w:t>
      </w:r>
      <w:proofErr w:type="spellStart"/>
      <w:r w:rsidRPr="00BF417F">
        <w:rPr>
          <w:lang w:val="en-NZ"/>
        </w:rPr>
        <w:t>te</w:t>
      </w:r>
      <w:proofErr w:type="spellEnd"/>
      <w:r w:rsidRPr="00BF417F">
        <w:rPr>
          <w:lang w:val="en-NZ"/>
        </w:rPr>
        <w:t xml:space="preserve"> </w:t>
      </w:r>
      <w:proofErr w:type="spellStart"/>
      <w:r w:rsidRPr="00BF417F">
        <w:rPr>
          <w:lang w:val="en-NZ"/>
        </w:rPr>
        <w:t>reo</w:t>
      </w:r>
      <w:proofErr w:type="spellEnd"/>
      <w:r w:rsidRPr="00BF417F">
        <w:rPr>
          <w:lang w:val="en-NZ"/>
        </w:rPr>
        <w:t xml:space="preserve"> Māori terminology could also mean falling short of our obligations under Te </w:t>
      </w:r>
      <w:proofErr w:type="spellStart"/>
      <w:r w:rsidRPr="00BF417F">
        <w:rPr>
          <w:lang w:val="en-NZ"/>
        </w:rPr>
        <w:t>Tiriti</w:t>
      </w:r>
      <w:proofErr w:type="spellEnd"/>
      <w:r w:rsidRPr="00BF417F">
        <w:rPr>
          <w:lang w:val="en-NZ"/>
        </w:rPr>
        <w:t xml:space="preserve"> o Waitangi. As </w:t>
      </w:r>
      <w:r w:rsidR="00736876">
        <w:rPr>
          <w:lang w:val="en-NZ"/>
        </w:rPr>
        <w:t xml:space="preserve">partners to </w:t>
      </w:r>
      <w:proofErr w:type="gramStart"/>
      <w:r w:rsidR="00736876">
        <w:rPr>
          <w:lang w:val="en-NZ"/>
        </w:rPr>
        <w:t xml:space="preserve">Te </w:t>
      </w:r>
      <w:proofErr w:type="spellStart"/>
      <w:r w:rsidR="00736876">
        <w:rPr>
          <w:lang w:val="en-NZ"/>
        </w:rPr>
        <w:t>Tiriti</w:t>
      </w:r>
      <w:proofErr w:type="spellEnd"/>
      <w:proofErr w:type="gramEnd"/>
      <w:r w:rsidR="00736876">
        <w:rPr>
          <w:lang w:val="en-NZ"/>
        </w:rPr>
        <w:t xml:space="preserve"> we have an </w:t>
      </w:r>
      <w:r w:rsidRPr="00BF417F">
        <w:rPr>
          <w:lang w:val="en-NZ"/>
        </w:rPr>
        <w:t>obligation to support positive outcomes for Māori</w:t>
      </w:r>
      <w:r w:rsidR="0067439C">
        <w:rPr>
          <w:lang w:val="en-NZ"/>
        </w:rPr>
        <w:t>,</w:t>
      </w:r>
      <w:r w:rsidR="002720E1">
        <w:rPr>
          <w:lang w:val="en-NZ"/>
        </w:rPr>
        <w:t xml:space="preserve"> including supporting </w:t>
      </w:r>
      <w:proofErr w:type="spellStart"/>
      <w:r w:rsidR="002720E1">
        <w:rPr>
          <w:lang w:val="en-NZ"/>
        </w:rPr>
        <w:t>tino</w:t>
      </w:r>
      <w:proofErr w:type="spellEnd"/>
      <w:r w:rsidR="002720E1">
        <w:rPr>
          <w:lang w:val="en-NZ"/>
        </w:rPr>
        <w:t xml:space="preserve"> rangatiratanga</w:t>
      </w:r>
      <w:r w:rsidRPr="00BF417F">
        <w:rPr>
          <w:lang w:val="en-NZ"/>
        </w:rPr>
        <w:t xml:space="preserve">. Engagement with </w:t>
      </w:r>
      <w:proofErr w:type="spellStart"/>
      <w:r w:rsidRPr="00BF417F">
        <w:rPr>
          <w:lang w:val="en-NZ"/>
        </w:rPr>
        <w:t>takatāpui</w:t>
      </w:r>
      <w:proofErr w:type="spellEnd"/>
      <w:r w:rsidRPr="00BF417F">
        <w:rPr>
          <w:lang w:val="en-NZ"/>
        </w:rPr>
        <w:t xml:space="preserve"> and other </w:t>
      </w:r>
      <w:r w:rsidR="005B065F">
        <w:rPr>
          <w:lang w:val="en-NZ"/>
        </w:rPr>
        <w:t>non-binary</w:t>
      </w:r>
      <w:r w:rsidRPr="00BF417F">
        <w:rPr>
          <w:lang w:val="en-NZ"/>
        </w:rPr>
        <w:t xml:space="preserve"> Māori will help to identify how important it is to officially recognise </w:t>
      </w:r>
      <w:proofErr w:type="spellStart"/>
      <w:r w:rsidRPr="00BF417F">
        <w:rPr>
          <w:lang w:val="en-NZ"/>
        </w:rPr>
        <w:t>te</w:t>
      </w:r>
      <w:proofErr w:type="spellEnd"/>
      <w:r w:rsidRPr="00BF417F">
        <w:rPr>
          <w:lang w:val="en-NZ"/>
        </w:rPr>
        <w:t xml:space="preserve"> </w:t>
      </w:r>
      <w:proofErr w:type="spellStart"/>
      <w:r w:rsidRPr="00BF417F">
        <w:rPr>
          <w:lang w:val="en-NZ"/>
        </w:rPr>
        <w:t>reo</w:t>
      </w:r>
      <w:proofErr w:type="spellEnd"/>
      <w:r w:rsidRPr="00BF417F">
        <w:rPr>
          <w:lang w:val="en-NZ"/>
        </w:rPr>
        <w:t xml:space="preserve"> Māori gender terms in government documents.</w:t>
      </w:r>
    </w:p>
    <w:p w14:paraId="32BDEDE9" w14:textId="25B7525D" w:rsidR="00BF417F" w:rsidRPr="00EB6671" w:rsidRDefault="00B07DAD" w:rsidP="00EB6671">
      <w:pPr>
        <w:pStyle w:val="BodyText-Numbered"/>
        <w:keepNext w:val="0"/>
        <w:keepLines/>
        <w:rPr>
          <w:lang w:val="en-NZ"/>
        </w:rPr>
      </w:pPr>
      <w:r w:rsidRPr="00EB6671">
        <w:rPr>
          <w:lang w:val="en-NZ"/>
        </w:rPr>
        <w:t>This option</w:t>
      </w:r>
      <w:r w:rsidR="00952460" w:rsidRPr="00EB6671">
        <w:rPr>
          <w:lang w:val="en-NZ"/>
        </w:rPr>
        <w:t xml:space="preserve"> would not be future-proof </w:t>
      </w:r>
      <w:r w:rsidR="00BF417F" w:rsidRPr="00EB6671">
        <w:rPr>
          <w:lang w:val="en-NZ"/>
        </w:rPr>
        <w:t>as</w:t>
      </w:r>
      <w:r w:rsidR="00A55678" w:rsidRPr="00EB6671">
        <w:rPr>
          <w:lang w:val="en-NZ"/>
        </w:rPr>
        <w:t xml:space="preserve"> non-binary</w:t>
      </w:r>
      <w:r w:rsidR="00BF417F" w:rsidRPr="00EB6671">
        <w:rPr>
          <w:lang w:val="en-NZ"/>
        </w:rPr>
        <w:t xml:space="preserve"> sex</w:t>
      </w:r>
      <w:r w:rsidR="002720E1" w:rsidRPr="00EB6671">
        <w:rPr>
          <w:lang w:val="en-NZ"/>
        </w:rPr>
        <w:t xml:space="preserve"> marker</w:t>
      </w:r>
      <w:r w:rsidR="00A42E62" w:rsidRPr="00EB6671">
        <w:rPr>
          <w:lang w:val="en-NZ"/>
        </w:rPr>
        <w:t xml:space="preserve"> options</w:t>
      </w:r>
      <w:r w:rsidR="002720E1" w:rsidRPr="00EB6671">
        <w:rPr>
          <w:lang w:val="en-NZ"/>
        </w:rPr>
        <w:t xml:space="preserve"> w</w:t>
      </w:r>
      <w:r w:rsidR="00BF417F" w:rsidRPr="00EB6671">
        <w:rPr>
          <w:lang w:val="en-NZ"/>
        </w:rPr>
        <w:t>ould</w:t>
      </w:r>
      <w:r w:rsidR="002720E1" w:rsidRPr="00EB6671">
        <w:rPr>
          <w:lang w:val="en-NZ"/>
        </w:rPr>
        <w:t xml:space="preserve"> not be avail</w:t>
      </w:r>
      <w:r w:rsidR="008D7774" w:rsidRPr="00EB6671">
        <w:rPr>
          <w:lang w:val="en-NZ"/>
        </w:rPr>
        <w:t>able even if there is in</w:t>
      </w:r>
      <w:r w:rsidR="008A28DE" w:rsidRPr="00EB6671">
        <w:rPr>
          <w:lang w:val="en-NZ"/>
        </w:rPr>
        <w:t xml:space="preserve">creasing demand for </w:t>
      </w:r>
      <w:r w:rsidR="00A55678" w:rsidRPr="00EB6671">
        <w:rPr>
          <w:lang w:val="en-NZ"/>
        </w:rPr>
        <w:t>non-binary sex marker</w:t>
      </w:r>
      <w:r w:rsidR="00A42E62" w:rsidRPr="00EB6671">
        <w:rPr>
          <w:lang w:val="en-NZ"/>
        </w:rPr>
        <w:t>s</w:t>
      </w:r>
      <w:r w:rsidR="00BF417F" w:rsidRPr="00EB6671">
        <w:rPr>
          <w:lang w:val="en-NZ"/>
        </w:rPr>
        <w:t>.</w:t>
      </w:r>
      <w:r w:rsidR="00EB6671" w:rsidRPr="00EB6671">
        <w:rPr>
          <w:lang w:val="en-NZ"/>
        </w:rPr>
        <w:t xml:space="preserve"> </w:t>
      </w:r>
      <w:r w:rsidR="00FB749B">
        <w:rPr>
          <w:lang w:val="en-NZ"/>
        </w:rPr>
        <w:t>Also,</w:t>
      </w:r>
      <w:r w:rsidR="00EB6671">
        <w:rPr>
          <w:lang w:val="en-NZ"/>
        </w:rPr>
        <w:t xml:space="preserve"> b</w:t>
      </w:r>
      <w:r w:rsidR="00EB6671">
        <w:t xml:space="preserve">y excluding non-binary sex markers, birth records would be a step behind the </w:t>
      </w:r>
      <w:proofErr w:type="spellStart"/>
      <w:r w:rsidR="00EB6671">
        <w:t>StatsNZ</w:t>
      </w:r>
      <w:proofErr w:type="spellEnd"/>
      <w:r w:rsidR="00EB6671">
        <w:t xml:space="preserve"> data </w:t>
      </w:r>
      <w:proofErr w:type="gramStart"/>
      <w:r w:rsidR="00EB6671">
        <w:t>standard</w:t>
      </w:r>
      <w:proofErr w:type="gramEnd"/>
      <w:r w:rsidR="00EB6671">
        <w:t xml:space="preserve"> and the way other agencies will be collecting, sharing, and publishing gender information.</w:t>
      </w:r>
    </w:p>
    <w:p w14:paraId="528A4C83" w14:textId="48FE55DA" w:rsidR="001C1FFB" w:rsidRPr="003D3FC0" w:rsidRDefault="00817978" w:rsidP="00684A1D">
      <w:pPr>
        <w:pStyle w:val="BodyText-Numbered"/>
        <w:keepNext w:val="0"/>
        <w:keepLines/>
        <w:rPr>
          <w:lang w:val="en-NZ"/>
        </w:rPr>
      </w:pPr>
      <w:r>
        <w:rPr>
          <w:lang w:val="en-NZ"/>
        </w:rPr>
        <w:t>T</w:t>
      </w:r>
      <w:r w:rsidR="00BF417F" w:rsidRPr="00BF417F">
        <w:rPr>
          <w:lang w:val="en-NZ"/>
        </w:rPr>
        <w:t xml:space="preserve">he status quo is somewhat unpractical. Data systems have been designed to include the male and female options, so the status quo would mean information could be recorded and shared easily. </w:t>
      </w:r>
      <w:r w:rsidR="001C1FFB">
        <w:t xml:space="preserve">However, the status quo will not support people who are non-binary to have their gender recognised by service providers. </w:t>
      </w:r>
    </w:p>
    <w:p w14:paraId="3E455C3B" w14:textId="1498928C" w:rsidR="00BC702B" w:rsidRDefault="00BC702B" w:rsidP="00BC702B">
      <w:pPr>
        <w:pStyle w:val="BodyText-Numbered"/>
        <w:keepNext w:val="0"/>
        <w:keepLines/>
        <w:rPr>
          <w:lang w:val="en-NZ"/>
        </w:rPr>
      </w:pPr>
      <w:r>
        <w:rPr>
          <w:lang w:val="en-NZ"/>
        </w:rPr>
        <w:t>Public submissions on the self-identification provisions were split on whether to include gender terms other than male or female. Views on this issue generally aligned with views on introducing a self-identification process. People who supported the self-identification process also supported including terms other than male or female.</w:t>
      </w:r>
    </w:p>
    <w:p w14:paraId="0F6FCE9D" w14:textId="134A22CE" w:rsidR="00570E3F" w:rsidRPr="00B07DAD" w:rsidRDefault="00B07DAD" w:rsidP="00684A1D">
      <w:pPr>
        <w:pStyle w:val="Heading4"/>
        <w:keepLines/>
        <w:rPr>
          <w:lang w:val="en-NZ"/>
        </w:rPr>
      </w:pPr>
      <w:r>
        <w:rPr>
          <w:lang w:val="en-NZ"/>
        </w:rPr>
        <w:t xml:space="preserve">Option Two – </w:t>
      </w:r>
      <w:r w:rsidRPr="00B07DAD">
        <w:rPr>
          <w:lang w:val="en-NZ"/>
        </w:rPr>
        <w:t xml:space="preserve">Include </w:t>
      </w:r>
      <w:r w:rsidR="00725CA6">
        <w:rPr>
          <w:lang w:val="en-NZ"/>
        </w:rPr>
        <w:t xml:space="preserve">a few </w:t>
      </w:r>
      <w:proofErr w:type="gramStart"/>
      <w:r w:rsidR="00725CA6">
        <w:rPr>
          <w:lang w:val="en-NZ"/>
        </w:rPr>
        <w:t>umbrella</w:t>
      </w:r>
      <w:proofErr w:type="gramEnd"/>
      <w:r w:rsidRPr="00B07DAD">
        <w:rPr>
          <w:lang w:val="en-NZ"/>
        </w:rPr>
        <w:t xml:space="preserve"> non-binary </w:t>
      </w:r>
      <w:r w:rsidR="00FC3275">
        <w:rPr>
          <w:lang w:val="en-NZ"/>
        </w:rPr>
        <w:t>term</w:t>
      </w:r>
      <w:r w:rsidR="00725CA6">
        <w:rPr>
          <w:lang w:val="en-NZ"/>
        </w:rPr>
        <w:t xml:space="preserve">s, including </w:t>
      </w:r>
      <w:proofErr w:type="spellStart"/>
      <w:r w:rsidR="00725CA6">
        <w:rPr>
          <w:lang w:val="en-NZ"/>
        </w:rPr>
        <w:t>takatāpui</w:t>
      </w:r>
      <w:proofErr w:type="spellEnd"/>
    </w:p>
    <w:p w14:paraId="3169DBCA" w14:textId="77777777" w:rsidR="00B07DAD" w:rsidRDefault="00B07DAD" w:rsidP="00684A1D">
      <w:pPr>
        <w:keepLines/>
        <w:rPr>
          <w:i/>
        </w:rPr>
      </w:pPr>
      <w:r>
        <w:rPr>
          <w:i/>
        </w:rPr>
        <w:t>Key features</w:t>
      </w:r>
    </w:p>
    <w:p w14:paraId="45219558" w14:textId="62F97008" w:rsidR="00B07DAD" w:rsidRDefault="00B07DAD" w:rsidP="00684A1D">
      <w:pPr>
        <w:pStyle w:val="BodyText-Numbered"/>
        <w:keepNext w:val="0"/>
        <w:keepLines/>
      </w:pPr>
      <w:r>
        <w:t xml:space="preserve">Under this option there would be </w:t>
      </w:r>
      <w:r w:rsidR="00725CA6">
        <w:t xml:space="preserve">approximately </w:t>
      </w:r>
      <w:r w:rsidR="006D6EC8">
        <w:t>one</w:t>
      </w:r>
      <w:r w:rsidR="00725CA6">
        <w:t xml:space="preserve"> to </w:t>
      </w:r>
      <w:r w:rsidR="00014EC4">
        <w:t>five</w:t>
      </w:r>
      <w:r w:rsidR="00FC3275">
        <w:t xml:space="preserve"> non-binary terms</w:t>
      </w:r>
      <w:r>
        <w:t>. Th</w:t>
      </w:r>
      <w:r w:rsidR="00FC3275">
        <w:t>ese</w:t>
      </w:r>
      <w:r>
        <w:t xml:space="preserve"> would be </w:t>
      </w:r>
      <w:r w:rsidR="00014EC4">
        <w:t>umbrella terms</w:t>
      </w:r>
      <w:r w:rsidR="00725CA6">
        <w:t xml:space="preserve"> such as ‘non-binary’,</w:t>
      </w:r>
      <w:r>
        <w:t xml:space="preserve"> ‘</w:t>
      </w:r>
      <w:r w:rsidR="00725CA6">
        <w:t>another gender’, ‘gender diverse’</w:t>
      </w:r>
      <w:r w:rsidR="00B74E80">
        <w:t>,</w:t>
      </w:r>
      <w:r w:rsidR="00725CA6">
        <w:t xml:space="preserve"> ‘</w:t>
      </w:r>
      <w:proofErr w:type="spellStart"/>
      <w:r w:rsidR="00725CA6">
        <w:t>takatāpui</w:t>
      </w:r>
      <w:proofErr w:type="spellEnd"/>
      <w:r w:rsidR="00725CA6">
        <w:t>’</w:t>
      </w:r>
      <w:r w:rsidR="00B74E80">
        <w:t>, and MVPFAFF+</w:t>
      </w:r>
      <w:r w:rsidR="003D3FC0">
        <w:t>.</w:t>
      </w:r>
      <w:r w:rsidR="00B74E80">
        <w:rPr>
          <w:rStyle w:val="FootnoteReference"/>
        </w:rPr>
        <w:footnoteReference w:id="21"/>
      </w:r>
    </w:p>
    <w:p w14:paraId="18C5F6BB" w14:textId="5F344B01" w:rsidR="008A28DE" w:rsidRDefault="008A28DE" w:rsidP="00684A1D">
      <w:pPr>
        <w:pStyle w:val="BodyText-Numbered"/>
        <w:keepNext w:val="0"/>
        <w:keepLines/>
      </w:pPr>
      <w:r>
        <w:t>This option entail</w:t>
      </w:r>
      <w:r w:rsidR="001333EF">
        <w:t>s</w:t>
      </w:r>
      <w:r>
        <w:t xml:space="preserve"> attempting to determine the most acceptable umbrella term</w:t>
      </w:r>
      <w:r w:rsidR="00FC3275">
        <w:t>(s)</w:t>
      </w:r>
      <w:r>
        <w:t>, which may need to be updated over time. This option would prioritise alignment with other official documents (</w:t>
      </w:r>
      <w:proofErr w:type="gramStart"/>
      <w:r>
        <w:t>e.g.</w:t>
      </w:r>
      <w:proofErr w:type="gramEnd"/>
      <w:r>
        <w:t xml:space="preserve"> passports) that also only have a third umbrella term.</w:t>
      </w:r>
      <w:r w:rsidR="00725CA6">
        <w:t xml:space="preserve"> </w:t>
      </w:r>
    </w:p>
    <w:p w14:paraId="346B3D51" w14:textId="77777777" w:rsidR="00B07DAD" w:rsidRDefault="00B07DAD" w:rsidP="00684A1D">
      <w:pPr>
        <w:keepLines/>
        <w:rPr>
          <w:i/>
        </w:rPr>
      </w:pPr>
      <w:r>
        <w:rPr>
          <w:i/>
        </w:rPr>
        <w:t>Analysis</w:t>
      </w:r>
    </w:p>
    <w:p w14:paraId="111C18EE" w14:textId="537D47BF" w:rsidR="00B07DAD" w:rsidRDefault="00B07DAD" w:rsidP="00684A1D">
      <w:pPr>
        <w:pStyle w:val="BodyText-Numbered"/>
        <w:keepNext w:val="0"/>
        <w:keepLines/>
      </w:pPr>
      <w:r>
        <w:t>This option provide</w:t>
      </w:r>
      <w:r w:rsidR="001333EF">
        <w:t>s</w:t>
      </w:r>
      <w:r>
        <w:t xml:space="preserve"> some recognition of people who do not identify as ‘male’ or ‘female’.</w:t>
      </w:r>
      <w:r w:rsidR="00F5422D">
        <w:t xml:space="preserve"> T</w:t>
      </w:r>
      <w:r w:rsidR="007D125B">
        <w:t xml:space="preserve">he available </w:t>
      </w:r>
      <w:r>
        <w:t>umbrella term</w:t>
      </w:r>
      <w:r w:rsidR="007D125B">
        <w:t>s</w:t>
      </w:r>
      <w:r>
        <w:t xml:space="preserve"> may not adequately describe</w:t>
      </w:r>
      <w:r w:rsidR="007D125B">
        <w:t xml:space="preserve"> some people’s gender and would</w:t>
      </w:r>
      <w:r>
        <w:t xml:space="preserve"> therefore exclude those people from the self-identification process. The umbrella term</w:t>
      </w:r>
      <w:r w:rsidR="00F5422D">
        <w:t>s</w:t>
      </w:r>
      <w:r>
        <w:t xml:space="preserve"> would not represent people who identify with genders that are distinct to other cultures.</w:t>
      </w:r>
    </w:p>
    <w:p w14:paraId="7DF52764" w14:textId="44B27FA2" w:rsidR="00B07DAD" w:rsidRDefault="00B07DAD" w:rsidP="00684A1D">
      <w:pPr>
        <w:pStyle w:val="BodyText-Numbered"/>
        <w:keepNext w:val="0"/>
        <w:keepLines/>
      </w:pPr>
      <w:r>
        <w:t>This option support</w:t>
      </w:r>
      <w:r w:rsidR="00F5422D">
        <w:t>s</w:t>
      </w:r>
      <w:r>
        <w:t xml:space="preserve"> our obligations under </w:t>
      </w:r>
      <w:r w:rsidR="00FE2DF4">
        <w:t>T</w:t>
      </w:r>
      <w:r>
        <w:t xml:space="preserve">e </w:t>
      </w:r>
      <w:proofErr w:type="spellStart"/>
      <w:r>
        <w:t>Tiriti</w:t>
      </w:r>
      <w:proofErr w:type="spellEnd"/>
      <w:r>
        <w:t xml:space="preserve"> by allowing for the inclusion of </w:t>
      </w:r>
      <w:proofErr w:type="spellStart"/>
      <w:r>
        <w:t>te</w:t>
      </w:r>
      <w:proofErr w:type="spellEnd"/>
      <w:r>
        <w:t xml:space="preserve"> </w:t>
      </w:r>
      <w:proofErr w:type="spellStart"/>
      <w:r>
        <w:t>reo</w:t>
      </w:r>
      <w:proofErr w:type="spellEnd"/>
      <w:r>
        <w:t xml:space="preserve"> Māori terminology. Engagement with </w:t>
      </w:r>
      <w:proofErr w:type="spellStart"/>
      <w:r>
        <w:t>takatāpui</w:t>
      </w:r>
      <w:proofErr w:type="spellEnd"/>
      <w:r w:rsidR="0042356F">
        <w:t>,</w:t>
      </w:r>
      <w:r>
        <w:t xml:space="preserve"> and other </w:t>
      </w:r>
      <w:r w:rsidR="005B065F">
        <w:t>non-binary</w:t>
      </w:r>
      <w:r>
        <w:t xml:space="preserve"> Māori</w:t>
      </w:r>
      <w:r w:rsidR="00467D3F">
        <w:t>,</w:t>
      </w:r>
      <w:r>
        <w:t xml:space="preserve"> will help to identify how important it is to officially recognise </w:t>
      </w:r>
      <w:proofErr w:type="spellStart"/>
      <w:r>
        <w:t>te</w:t>
      </w:r>
      <w:proofErr w:type="spellEnd"/>
      <w:r>
        <w:t xml:space="preserve"> </w:t>
      </w:r>
      <w:proofErr w:type="spellStart"/>
      <w:r>
        <w:t>reo</w:t>
      </w:r>
      <w:proofErr w:type="spellEnd"/>
      <w:r>
        <w:t xml:space="preserve"> Māori gender terms in government documents.</w:t>
      </w:r>
    </w:p>
    <w:p w14:paraId="1A4FCE01" w14:textId="03603AF5" w:rsidR="005A0840" w:rsidRDefault="00207705" w:rsidP="005A0840">
      <w:pPr>
        <w:pStyle w:val="BodyText-Numbered"/>
        <w:keepNext w:val="0"/>
        <w:keepLines/>
      </w:pPr>
      <w:r>
        <w:lastRenderedPageBreak/>
        <w:t xml:space="preserve">It is assumed that </w:t>
      </w:r>
      <w:r w:rsidR="005A0840">
        <w:t>‘</w:t>
      </w:r>
      <w:r>
        <w:t>a</w:t>
      </w:r>
      <w:r w:rsidR="005A0840">
        <w:t xml:space="preserve">nother gender’ </w:t>
      </w:r>
      <w:r>
        <w:t>could provide a</w:t>
      </w:r>
      <w:r w:rsidR="005A0840">
        <w:t xml:space="preserve"> catch-all term for people who do not have a suitable option listed in regulations</w:t>
      </w:r>
      <w:r w:rsidR="00520855">
        <w:t xml:space="preserve"> (somewhat aligning with its use in the </w:t>
      </w:r>
      <w:proofErr w:type="spellStart"/>
      <w:r w:rsidR="00520855">
        <w:t>StatsNZ</w:t>
      </w:r>
      <w:proofErr w:type="spellEnd"/>
      <w:r w:rsidR="00520855">
        <w:t xml:space="preserve"> data standard)</w:t>
      </w:r>
      <w:r w:rsidR="005A0840">
        <w:t>. It would provide an alternative option so that people are not forced to select inappropriate terminology. In effect, ‘another gender’ would mean – “I identify with a gender that is not included in the options available”.</w:t>
      </w:r>
    </w:p>
    <w:p w14:paraId="56C411B4" w14:textId="6A1540AB" w:rsidR="005A0840" w:rsidRDefault="00B07DAD" w:rsidP="005A0840">
      <w:pPr>
        <w:pStyle w:val="BodyText-Numbered"/>
        <w:keepNext w:val="0"/>
        <w:keepLines/>
      </w:pPr>
      <w:r w:rsidRPr="006622D0">
        <w:t>This option would</w:t>
      </w:r>
      <w:r w:rsidR="00087C6F">
        <w:t xml:space="preserve"> </w:t>
      </w:r>
      <w:r w:rsidR="00D2107A">
        <w:t xml:space="preserve">be </w:t>
      </w:r>
      <w:r w:rsidR="003F59DE">
        <w:t>future proof</w:t>
      </w:r>
      <w:r w:rsidR="00087C6F">
        <w:t>. If the umbrella term</w:t>
      </w:r>
      <w:r w:rsidR="00952460">
        <w:t>s</w:t>
      </w:r>
      <w:r w:rsidR="00087C6F">
        <w:t xml:space="preserve"> become outdated there would </w:t>
      </w:r>
      <w:r w:rsidR="007D125B">
        <w:t>be</w:t>
      </w:r>
      <w:r w:rsidR="00087C6F">
        <w:t xml:space="preserve"> alternative</w:t>
      </w:r>
      <w:r w:rsidR="007D125B">
        <w:t>s</w:t>
      </w:r>
      <w:r w:rsidR="00087C6F">
        <w:t xml:space="preserve"> to select from</w:t>
      </w:r>
      <w:r>
        <w:t xml:space="preserve">. </w:t>
      </w:r>
      <w:r w:rsidR="00FB749B">
        <w:t>It is assumed that t</w:t>
      </w:r>
      <w:r w:rsidR="004A21F0">
        <w:t>he umbrella terms will likely have longevity as they are well established and broadly recognis</w:t>
      </w:r>
      <w:r w:rsidR="00FB749B">
        <w:t xml:space="preserve">ed; however, this is something we expect to test during consultation. </w:t>
      </w:r>
    </w:p>
    <w:p w14:paraId="36DCB999" w14:textId="3C3ACB98" w:rsidR="00B07DAD" w:rsidRDefault="00B07DAD" w:rsidP="00684A1D">
      <w:pPr>
        <w:pStyle w:val="BodyText-Numbered"/>
        <w:keepNext w:val="0"/>
        <w:keepLines/>
      </w:pPr>
      <w:r>
        <w:t xml:space="preserve">This option would be highly practical </w:t>
      </w:r>
      <w:r w:rsidR="00FE2DF4">
        <w:t>as</w:t>
      </w:r>
      <w:r>
        <w:t xml:space="preserve"> </w:t>
      </w:r>
      <w:r w:rsidR="00F5422D">
        <w:t>it</w:t>
      </w:r>
      <w:r>
        <w:t xml:space="preserve"> align</w:t>
      </w:r>
      <w:r w:rsidR="00F5422D">
        <w:t>s</w:t>
      </w:r>
      <w:r>
        <w:t xml:space="preserve"> with passports and citizenship certificates by providing </w:t>
      </w:r>
      <w:r w:rsidR="00952460">
        <w:t>recognised</w:t>
      </w:r>
      <w:r>
        <w:t xml:space="preserve"> umbrella term</w:t>
      </w:r>
      <w:r w:rsidR="00952460">
        <w:t>s</w:t>
      </w:r>
      <w:r>
        <w:t xml:space="preserve">. </w:t>
      </w:r>
      <w:r w:rsidR="00D22B25">
        <w:t xml:space="preserve">This </w:t>
      </w:r>
      <w:r w:rsidR="002F13F7">
        <w:t>alignment would be</w:t>
      </w:r>
      <w:r w:rsidR="00D22B25">
        <w:t xml:space="preserve"> </w:t>
      </w:r>
      <w:r w:rsidR="002F13F7">
        <w:t>further strengthened if</w:t>
      </w:r>
      <w:r w:rsidR="00D22B25">
        <w:t xml:space="preserve"> only </w:t>
      </w:r>
      <w:r w:rsidR="009722FA">
        <w:t>‘gender diverse’ and ‘non-binary’</w:t>
      </w:r>
      <w:r w:rsidR="007E4A01">
        <w:t xml:space="preserve"> were used</w:t>
      </w:r>
      <w:r w:rsidR="009722FA">
        <w:t xml:space="preserve">, which would match the terms </w:t>
      </w:r>
      <w:r w:rsidR="003F0AA3">
        <w:t>used</w:t>
      </w:r>
      <w:r w:rsidR="009722FA">
        <w:t xml:space="preserve"> in those documents</w:t>
      </w:r>
      <w:r w:rsidR="002F13F7">
        <w:t>.</w:t>
      </w:r>
      <w:r>
        <w:t xml:space="preserve"> There would likely be broad recognition of umbrella term</w:t>
      </w:r>
      <w:r w:rsidR="00952460">
        <w:t>s</w:t>
      </w:r>
      <w:r>
        <w:t xml:space="preserve"> </w:t>
      </w:r>
      <w:r w:rsidR="00736876">
        <w:t xml:space="preserve">by </w:t>
      </w:r>
      <w:r w:rsidR="00952460">
        <w:t>service provide</w:t>
      </w:r>
      <w:r>
        <w:t>r</w:t>
      </w:r>
      <w:r w:rsidR="00952460">
        <w:t>s</w:t>
      </w:r>
      <w:r>
        <w:t xml:space="preserve"> – </w:t>
      </w:r>
      <w:r w:rsidR="00736876">
        <w:t xml:space="preserve">which </w:t>
      </w:r>
      <w:r>
        <w:t xml:space="preserve">would grow over time as service providers </w:t>
      </w:r>
      <w:r w:rsidR="00736876">
        <w:t>would more regularly</w:t>
      </w:r>
      <w:r>
        <w:t xml:space="preserve"> encounter bir</w:t>
      </w:r>
      <w:r w:rsidR="00736876">
        <w:t>th certificates that include the</w:t>
      </w:r>
      <w:r>
        <w:t>s</w:t>
      </w:r>
      <w:r w:rsidR="00736876">
        <w:t>e</w:t>
      </w:r>
      <w:r>
        <w:t xml:space="preserve"> umbrella term</w:t>
      </w:r>
      <w:r w:rsidR="00736876">
        <w:t>s</w:t>
      </w:r>
      <w:r>
        <w:t>.</w:t>
      </w:r>
    </w:p>
    <w:p w14:paraId="36A14BAE" w14:textId="27F6509A" w:rsidR="00BC702B" w:rsidRDefault="00BC702B" w:rsidP="00684A1D">
      <w:pPr>
        <w:pStyle w:val="BodyText-Numbered"/>
        <w:keepNext w:val="0"/>
        <w:keepLines/>
      </w:pPr>
      <w:r>
        <w:t xml:space="preserve">Some public submissions on the self-identification provisions </w:t>
      </w:r>
      <w:r w:rsidR="004E285E">
        <w:t xml:space="preserve">suggested </w:t>
      </w:r>
      <w:r>
        <w:t xml:space="preserve">additional sex and gender terms that could be included. Umbrella terms were the most commonly raised, </w:t>
      </w:r>
      <w:proofErr w:type="gramStart"/>
      <w:r>
        <w:t>e.g.</w:t>
      </w:r>
      <w:proofErr w:type="gramEnd"/>
      <w:r>
        <w:t xml:space="preserve"> ‘non-binary’, ‘gender diverse’ and ‘</w:t>
      </w:r>
      <w:proofErr w:type="spellStart"/>
      <w:r>
        <w:t>takatāpui</w:t>
      </w:r>
      <w:proofErr w:type="spellEnd"/>
      <w:r>
        <w:t>’. However, some people also advocated for including other culturally specific terms which would not be covered by this option.</w:t>
      </w:r>
    </w:p>
    <w:p w14:paraId="3F7AA2C2" w14:textId="6597DFF0" w:rsidR="007D78A1" w:rsidRDefault="007D78A1" w:rsidP="00684A1D">
      <w:pPr>
        <w:pStyle w:val="Heading4"/>
        <w:keepLines/>
        <w:rPr>
          <w:lang w:val="en-NZ"/>
        </w:rPr>
      </w:pPr>
      <w:r w:rsidRPr="00A864A5">
        <w:rPr>
          <w:lang w:val="en-NZ"/>
        </w:rPr>
        <w:t>Opt</w:t>
      </w:r>
      <w:r w:rsidR="008A28DE">
        <w:rPr>
          <w:lang w:val="en-NZ"/>
        </w:rPr>
        <w:t xml:space="preserve">ion </w:t>
      </w:r>
      <w:r w:rsidR="00FE2DF4">
        <w:rPr>
          <w:lang w:val="en-NZ"/>
        </w:rPr>
        <w:t>Three</w:t>
      </w:r>
      <w:r w:rsidRPr="00A864A5">
        <w:rPr>
          <w:lang w:val="en-NZ"/>
        </w:rPr>
        <w:t xml:space="preserve"> - </w:t>
      </w:r>
      <w:r w:rsidR="00087C6F" w:rsidRPr="00087C6F">
        <w:rPr>
          <w:lang w:val="en-NZ"/>
        </w:rPr>
        <w:t xml:space="preserve">Include a short list of </w:t>
      </w:r>
      <w:r w:rsidR="00133A81">
        <w:rPr>
          <w:lang w:val="en-NZ"/>
        </w:rPr>
        <w:t>non-binary</w:t>
      </w:r>
      <w:r w:rsidR="00087C6F" w:rsidRPr="00087C6F">
        <w:rPr>
          <w:lang w:val="en-NZ"/>
        </w:rPr>
        <w:t xml:space="preserve"> terms along with </w:t>
      </w:r>
      <w:proofErr w:type="spellStart"/>
      <w:r w:rsidR="00087C6F" w:rsidRPr="00087C6F">
        <w:rPr>
          <w:lang w:val="en-NZ"/>
        </w:rPr>
        <w:t>te</w:t>
      </w:r>
      <w:proofErr w:type="spellEnd"/>
      <w:r w:rsidR="00087C6F" w:rsidRPr="00087C6F">
        <w:rPr>
          <w:lang w:val="en-NZ"/>
        </w:rPr>
        <w:t xml:space="preserve"> </w:t>
      </w:r>
      <w:proofErr w:type="spellStart"/>
      <w:r w:rsidR="00087C6F" w:rsidRPr="00087C6F">
        <w:rPr>
          <w:lang w:val="en-NZ"/>
        </w:rPr>
        <w:t>reo</w:t>
      </w:r>
      <w:proofErr w:type="spellEnd"/>
      <w:r w:rsidR="00087C6F" w:rsidRPr="00087C6F">
        <w:rPr>
          <w:lang w:val="en-NZ"/>
        </w:rPr>
        <w:t xml:space="preserve"> Māori </w:t>
      </w:r>
      <w:r w:rsidR="00133A81">
        <w:rPr>
          <w:lang w:val="en-NZ"/>
        </w:rPr>
        <w:t xml:space="preserve">and other </w:t>
      </w:r>
      <w:r w:rsidR="00D36A22">
        <w:rPr>
          <w:lang w:val="en-NZ"/>
        </w:rPr>
        <w:t>culturally specific</w:t>
      </w:r>
      <w:r w:rsidR="00133A81">
        <w:rPr>
          <w:lang w:val="en-NZ"/>
        </w:rPr>
        <w:t xml:space="preserve"> </w:t>
      </w:r>
      <w:r w:rsidR="00087C6F" w:rsidRPr="00087C6F">
        <w:rPr>
          <w:lang w:val="en-NZ"/>
        </w:rPr>
        <w:t>terms arising from consultation</w:t>
      </w:r>
    </w:p>
    <w:p w14:paraId="20AEC118" w14:textId="77777777" w:rsidR="008A28DE" w:rsidRDefault="008A28DE" w:rsidP="00684A1D">
      <w:pPr>
        <w:keepLines/>
        <w:rPr>
          <w:i/>
        </w:rPr>
      </w:pPr>
      <w:bookmarkStart w:id="19" w:name="_Hlk98280537"/>
      <w:r>
        <w:rPr>
          <w:i/>
        </w:rPr>
        <w:t>Key features</w:t>
      </w:r>
    </w:p>
    <w:p w14:paraId="6B32739B" w14:textId="101933E0" w:rsidR="008A28DE" w:rsidRDefault="008A28DE">
      <w:pPr>
        <w:pStyle w:val="BodyText-Numbered"/>
        <w:keepNext w:val="0"/>
        <w:keepLines/>
      </w:pPr>
      <w:r w:rsidRPr="008A28DE">
        <w:t>Under this option there would be</w:t>
      </w:r>
      <w:r w:rsidR="008B785E">
        <w:t xml:space="preserve"> umbrella terms, as in option </w:t>
      </w:r>
      <w:r w:rsidR="00FE2DF4">
        <w:t>two</w:t>
      </w:r>
      <w:r w:rsidR="008B785E">
        <w:t xml:space="preserve">, </w:t>
      </w:r>
      <w:r w:rsidR="00F5422D">
        <w:t>and</w:t>
      </w:r>
      <w:r w:rsidR="008B785E">
        <w:t xml:space="preserve"> further </w:t>
      </w:r>
      <w:r w:rsidR="00AE7AC0">
        <w:t xml:space="preserve">western and </w:t>
      </w:r>
      <w:proofErr w:type="spellStart"/>
      <w:r w:rsidR="00AE7AC0">
        <w:t>t</w:t>
      </w:r>
      <w:r w:rsidR="008B785E">
        <w:t>e</w:t>
      </w:r>
      <w:proofErr w:type="spellEnd"/>
      <w:r w:rsidR="008B785E">
        <w:t xml:space="preserve"> </w:t>
      </w:r>
      <w:proofErr w:type="spellStart"/>
      <w:r w:rsidR="00AE7AC0">
        <w:t>r</w:t>
      </w:r>
      <w:r w:rsidR="008B785E">
        <w:t>eo</w:t>
      </w:r>
      <w:proofErr w:type="spellEnd"/>
      <w:r w:rsidR="008B785E">
        <w:t xml:space="preserve"> Māori terms. This could include, but </w:t>
      </w:r>
      <w:r w:rsidR="00F5422D">
        <w:t xml:space="preserve">is </w:t>
      </w:r>
      <w:r w:rsidR="008B785E">
        <w:t>not limited to: ‘genderqueer’, gender fluid’, ‘</w:t>
      </w:r>
      <w:r w:rsidR="00BC702B">
        <w:t>a</w:t>
      </w:r>
      <w:r w:rsidR="008B785E">
        <w:t xml:space="preserve">gender’, ‘transsexual’, ‘bigender’, ‘demiboy/girl’, </w:t>
      </w:r>
      <w:r w:rsidR="00D2107A">
        <w:t>‘</w:t>
      </w:r>
      <w:proofErr w:type="spellStart"/>
      <w:r w:rsidR="00D2107A">
        <w:t>Tangata</w:t>
      </w:r>
      <w:proofErr w:type="spellEnd"/>
      <w:r w:rsidR="00D2107A">
        <w:t xml:space="preserve"> </w:t>
      </w:r>
      <w:proofErr w:type="spellStart"/>
      <w:r w:rsidR="00D2107A">
        <w:t>ira</w:t>
      </w:r>
      <w:proofErr w:type="spellEnd"/>
      <w:r w:rsidR="00D2107A">
        <w:t xml:space="preserve"> </w:t>
      </w:r>
      <w:proofErr w:type="spellStart"/>
      <w:r w:rsidR="00D2107A">
        <w:t>tāne</w:t>
      </w:r>
      <w:proofErr w:type="spellEnd"/>
      <w:r w:rsidR="00D2107A">
        <w:t>’, and ‘</w:t>
      </w:r>
      <w:proofErr w:type="spellStart"/>
      <w:r w:rsidR="00D2107A">
        <w:t>whakawahine</w:t>
      </w:r>
      <w:proofErr w:type="spellEnd"/>
      <w:r w:rsidR="008B785E">
        <w:t>’.</w:t>
      </w:r>
      <w:r w:rsidR="00021BEB">
        <w:rPr>
          <w:rStyle w:val="FootnoteReference"/>
        </w:rPr>
        <w:footnoteReference w:id="22"/>
      </w:r>
      <w:r w:rsidR="00F5422D">
        <w:t xml:space="preserve"> This option would also include </w:t>
      </w:r>
      <w:r w:rsidR="00AE7AC0">
        <w:t>other</w:t>
      </w:r>
      <w:r w:rsidR="008B785E">
        <w:t xml:space="preserve"> </w:t>
      </w:r>
      <w:r w:rsidR="00D36A22">
        <w:t>culturally specific</w:t>
      </w:r>
      <w:r w:rsidRPr="008A28DE">
        <w:t xml:space="preserve"> terms arising from consultation</w:t>
      </w:r>
      <w:r w:rsidR="008B785E">
        <w:t xml:space="preserve"> (</w:t>
      </w:r>
      <w:proofErr w:type="gramStart"/>
      <w:r w:rsidR="008B785E">
        <w:t>e.g.</w:t>
      </w:r>
      <w:proofErr w:type="gramEnd"/>
      <w:r w:rsidR="008B785E">
        <w:t xml:space="preserve"> fa’afafine)</w:t>
      </w:r>
      <w:r w:rsidRPr="008A28DE">
        <w:t>.</w:t>
      </w:r>
    </w:p>
    <w:p w14:paraId="1E480EB8" w14:textId="75D1CDAE" w:rsidR="00F5422D" w:rsidRDefault="00F5422D" w:rsidP="00684A1D">
      <w:pPr>
        <w:pStyle w:val="BodyText-Numbered"/>
        <w:keepNext w:val="0"/>
        <w:keepLines/>
      </w:pPr>
      <w:r>
        <w:t xml:space="preserve">We consider there could be </w:t>
      </w:r>
      <w:r w:rsidR="003F59DE">
        <w:t xml:space="preserve">six </w:t>
      </w:r>
      <w:r>
        <w:t xml:space="preserve">-12 western, </w:t>
      </w:r>
      <w:proofErr w:type="spellStart"/>
      <w:r>
        <w:t>te</w:t>
      </w:r>
      <w:proofErr w:type="spellEnd"/>
      <w:r>
        <w:t xml:space="preserve"> </w:t>
      </w:r>
      <w:proofErr w:type="spellStart"/>
      <w:r>
        <w:t>reo</w:t>
      </w:r>
      <w:proofErr w:type="spellEnd"/>
      <w:r>
        <w:t xml:space="preserve"> Māori and other </w:t>
      </w:r>
      <w:r w:rsidR="00D36A22">
        <w:t>culturally specific</w:t>
      </w:r>
      <w:r>
        <w:t xml:space="preserve"> gender terms under this option.</w:t>
      </w:r>
    </w:p>
    <w:p w14:paraId="18711759" w14:textId="09775712" w:rsidR="008C2F14" w:rsidRDefault="008B785E" w:rsidP="00684A1D">
      <w:pPr>
        <w:pStyle w:val="BodyText-Numbered"/>
        <w:keepNext w:val="0"/>
        <w:keepLines/>
      </w:pPr>
      <w:r>
        <w:t>Determining a</w:t>
      </w:r>
      <w:r w:rsidR="008C2F14">
        <w:t xml:space="preserve"> short list of </w:t>
      </w:r>
      <w:r w:rsidR="001C5AAC">
        <w:t>non-binary terms</w:t>
      </w:r>
      <w:r w:rsidR="008C2F14">
        <w:t xml:space="preserve"> </w:t>
      </w:r>
      <w:r w:rsidR="00F5422D">
        <w:t xml:space="preserve">may </w:t>
      </w:r>
      <w:r>
        <w:t>be difficult</w:t>
      </w:r>
      <w:r w:rsidR="001C5AAC">
        <w:t xml:space="preserve"> as there might not be agreement on which </w:t>
      </w:r>
      <w:r w:rsidR="00F5422D">
        <w:t xml:space="preserve">terms </w:t>
      </w:r>
      <w:r w:rsidR="001C5AAC">
        <w:t>should be prioritised</w:t>
      </w:r>
      <w:r>
        <w:t>.</w:t>
      </w:r>
      <w:r w:rsidR="001C5AAC">
        <w:t xml:space="preserve"> Options for prioritising gender terms could be based on available data on </w:t>
      </w:r>
      <w:r w:rsidR="00F5422D">
        <w:t xml:space="preserve">their </w:t>
      </w:r>
      <w:r w:rsidR="001C5AAC">
        <w:t xml:space="preserve">use, </w:t>
      </w:r>
      <w:r w:rsidR="000F00FB">
        <w:t xml:space="preserve">references in </w:t>
      </w:r>
      <w:r w:rsidR="001C5AAC">
        <w:t>academic literature, or reference to experts such as transgender support organisations. The dis</w:t>
      </w:r>
      <w:r w:rsidR="001E44D2">
        <w:t>cussion document would seek views on how a short list option could be implemented.</w:t>
      </w:r>
    </w:p>
    <w:p w14:paraId="098A02DD" w14:textId="77777777" w:rsidR="008A28DE" w:rsidRDefault="008A28DE" w:rsidP="00684A1D">
      <w:pPr>
        <w:keepLines/>
        <w:rPr>
          <w:i/>
        </w:rPr>
      </w:pPr>
      <w:r>
        <w:rPr>
          <w:i/>
        </w:rPr>
        <w:t>Analysis</w:t>
      </w:r>
    </w:p>
    <w:p w14:paraId="3441FA61" w14:textId="6B080468" w:rsidR="008A28DE" w:rsidRDefault="008A28DE" w:rsidP="00684A1D">
      <w:pPr>
        <w:pStyle w:val="BodyText-Numbered"/>
        <w:keepNext w:val="0"/>
        <w:keepLines/>
      </w:pPr>
      <w:r>
        <w:t xml:space="preserve">This option would be more inclusive of </w:t>
      </w:r>
      <w:r w:rsidR="005B065F">
        <w:t>non-binary</w:t>
      </w:r>
      <w:r>
        <w:t xml:space="preserve"> people than </w:t>
      </w:r>
      <w:r w:rsidR="00F473B7">
        <w:t xml:space="preserve">option </w:t>
      </w:r>
      <w:r w:rsidR="00FE2DF4">
        <w:t>two</w:t>
      </w:r>
      <w:r>
        <w:t xml:space="preserve"> as it would include the most common non-binary gender terms</w:t>
      </w:r>
      <w:r w:rsidR="00FC3275">
        <w:t xml:space="preserve"> and other </w:t>
      </w:r>
      <w:r w:rsidR="003F59DE">
        <w:t>culturally inclusive</w:t>
      </w:r>
      <w:r w:rsidR="00FC3275">
        <w:t xml:space="preserve"> terms</w:t>
      </w:r>
      <w:r>
        <w:t xml:space="preserve">. It </w:t>
      </w:r>
      <w:r w:rsidR="00F473B7">
        <w:t>could</w:t>
      </w:r>
      <w:r>
        <w:t xml:space="preserve"> also support our obligations under Te </w:t>
      </w:r>
      <w:proofErr w:type="spellStart"/>
      <w:r>
        <w:t>Tiriti</w:t>
      </w:r>
      <w:proofErr w:type="spellEnd"/>
      <w:r>
        <w:t xml:space="preserve"> o Waitangi by recognising gender terms that are distinct to </w:t>
      </w:r>
      <w:proofErr w:type="spellStart"/>
      <w:r w:rsidR="00F762EF">
        <w:t>t</w:t>
      </w:r>
      <w:r>
        <w:t>e</w:t>
      </w:r>
      <w:proofErr w:type="spellEnd"/>
      <w:r>
        <w:t xml:space="preserve"> </w:t>
      </w:r>
      <w:proofErr w:type="spellStart"/>
      <w:r w:rsidR="00F762EF">
        <w:t>a</w:t>
      </w:r>
      <w:r>
        <w:t>o</w:t>
      </w:r>
      <w:proofErr w:type="spellEnd"/>
      <w:r>
        <w:t xml:space="preserve"> Māori.</w:t>
      </w:r>
    </w:p>
    <w:p w14:paraId="4E38B3BE" w14:textId="71AF7B15" w:rsidR="00FC3275" w:rsidRPr="002C7E48" w:rsidRDefault="006E6003" w:rsidP="00684A1D">
      <w:pPr>
        <w:pStyle w:val="BodyText-Numbered"/>
        <w:keepNext w:val="0"/>
        <w:keepLines/>
        <w:rPr>
          <w:lang w:val="en-NZ"/>
        </w:rPr>
      </w:pPr>
      <w:r>
        <w:rPr>
          <w:lang w:val="en-NZ"/>
        </w:rPr>
        <w:t>Although, i</w:t>
      </w:r>
      <w:r w:rsidR="00FC3275" w:rsidRPr="002C7E48">
        <w:rPr>
          <w:lang w:val="en-NZ"/>
        </w:rPr>
        <w:t xml:space="preserve">t is likely that some </w:t>
      </w:r>
      <w:r w:rsidR="00D36A22">
        <w:rPr>
          <w:lang w:val="en-NZ"/>
        </w:rPr>
        <w:t>culturally specific</w:t>
      </w:r>
      <w:r w:rsidR="00FC3275" w:rsidRPr="002C7E48">
        <w:rPr>
          <w:lang w:val="en-NZ"/>
        </w:rPr>
        <w:t xml:space="preserve"> gender terms used in New Zealand would not be identified and included in the list of sex markers. This presents a risk of privileging some ethnic groups over others.</w:t>
      </w:r>
      <w:r w:rsidR="00F5422D">
        <w:rPr>
          <w:lang w:val="en-NZ"/>
        </w:rPr>
        <w:t xml:space="preserve"> T</w:t>
      </w:r>
      <w:r w:rsidR="00FC3275" w:rsidRPr="002C7E48">
        <w:rPr>
          <w:lang w:val="en-NZ"/>
        </w:rPr>
        <w:t xml:space="preserve">he inclusion of the term ‘another gender’ and the ability to add new terms over time through regulations </w:t>
      </w:r>
      <w:r w:rsidR="00F473B7">
        <w:rPr>
          <w:lang w:val="en-NZ"/>
        </w:rPr>
        <w:t>might</w:t>
      </w:r>
      <w:r w:rsidR="00FC3275" w:rsidRPr="002C7E48">
        <w:rPr>
          <w:lang w:val="en-NZ"/>
        </w:rPr>
        <w:t xml:space="preserve"> mitigate this </w:t>
      </w:r>
      <w:r w:rsidR="006C66CB">
        <w:rPr>
          <w:lang w:val="en-NZ"/>
        </w:rPr>
        <w:t>problem</w:t>
      </w:r>
      <w:r w:rsidR="00FC3275" w:rsidRPr="002C7E48">
        <w:rPr>
          <w:lang w:val="en-NZ"/>
        </w:rPr>
        <w:t>.</w:t>
      </w:r>
    </w:p>
    <w:p w14:paraId="48255129" w14:textId="22ACDD66" w:rsidR="008A28DE" w:rsidRDefault="00AE7AC0" w:rsidP="00684A1D">
      <w:pPr>
        <w:pStyle w:val="BodyText-Numbered"/>
        <w:keepNext w:val="0"/>
        <w:keepLines/>
      </w:pPr>
      <w:r>
        <w:lastRenderedPageBreak/>
        <w:t>This option would be</w:t>
      </w:r>
      <w:r w:rsidR="0007168F">
        <w:t xml:space="preserve"> reasonably</w:t>
      </w:r>
      <w:r>
        <w:t xml:space="preserve"> </w:t>
      </w:r>
      <w:r w:rsidR="003F59DE">
        <w:t>future proof</w:t>
      </w:r>
      <w:r w:rsidR="0007168F">
        <w:t xml:space="preserve">. The terms included would likely be well established and recognised within the </w:t>
      </w:r>
      <w:proofErr w:type="spellStart"/>
      <w:r w:rsidR="0007168F">
        <w:t>takatāpui</w:t>
      </w:r>
      <w:proofErr w:type="spellEnd"/>
      <w:r w:rsidR="0007168F">
        <w:t xml:space="preserve"> and transgender community so will likely have longevity.</w:t>
      </w:r>
    </w:p>
    <w:p w14:paraId="2C7A7625" w14:textId="024A4D0A" w:rsidR="000B0D4D" w:rsidRDefault="008A28DE" w:rsidP="00684A1D">
      <w:pPr>
        <w:pStyle w:val="BodyText-Numbered"/>
        <w:keepNext w:val="0"/>
        <w:keepLines/>
      </w:pPr>
      <w:r>
        <w:t xml:space="preserve">This option would be reasonably practical. Some of the gender or sex terms </w:t>
      </w:r>
      <w:r w:rsidR="00661D28">
        <w:t xml:space="preserve">may not be </w:t>
      </w:r>
      <w:r>
        <w:t>broadly recognised by service providers and their data systems at least initially, as they are not included as options in other government documentation.</w:t>
      </w:r>
      <w:bookmarkEnd w:id="19"/>
      <w:r w:rsidR="002F13F7">
        <w:t xml:space="preserve"> This option would not necessarily align with the approach to passports and citizenship certificates, which only include umbrella terms.</w:t>
      </w:r>
    </w:p>
    <w:p w14:paraId="777A26A3" w14:textId="758A1323" w:rsidR="00BC702B" w:rsidRPr="00E92DC8" w:rsidRDefault="00BC702B" w:rsidP="00684A1D">
      <w:pPr>
        <w:pStyle w:val="BodyText-Numbered"/>
        <w:keepNext w:val="0"/>
        <w:keepLines/>
      </w:pPr>
      <w:r>
        <w:t xml:space="preserve">Some public submissions </w:t>
      </w:r>
      <w:r w:rsidR="00566C6D">
        <w:t xml:space="preserve">on the self-identification provisions </w:t>
      </w:r>
      <w:r>
        <w:t xml:space="preserve">suggested including culturally specific terms, which would </w:t>
      </w:r>
      <w:r w:rsidR="00E90113">
        <w:t>be included in</w:t>
      </w:r>
      <w:r>
        <w:t xml:space="preserve"> this option. It was not clear </w:t>
      </w:r>
      <w:r w:rsidR="00E90113">
        <w:t xml:space="preserve">from submissions </w:t>
      </w:r>
      <w:r>
        <w:t xml:space="preserve">whether people would support including </w:t>
      </w:r>
      <w:r w:rsidR="00E90113">
        <w:t>other specific gender terms, such as ‘agender’.</w:t>
      </w:r>
    </w:p>
    <w:p w14:paraId="0F8966DC" w14:textId="72936B58" w:rsidR="00744D50" w:rsidRDefault="00021AC0" w:rsidP="00487C79">
      <w:pPr>
        <w:pStyle w:val="Heading4"/>
        <w:keepLines/>
        <w:spacing w:before="240"/>
        <w:rPr>
          <w:lang w:val="en-NZ"/>
        </w:rPr>
      </w:pPr>
      <w:r>
        <w:rPr>
          <w:lang w:val="en-NZ"/>
        </w:rPr>
        <w:t xml:space="preserve">Option </w:t>
      </w:r>
      <w:r w:rsidR="00FE2DF4">
        <w:rPr>
          <w:lang w:val="en-NZ"/>
        </w:rPr>
        <w:t>Four</w:t>
      </w:r>
      <w:r w:rsidR="002C7E48">
        <w:rPr>
          <w:lang w:val="en-NZ"/>
        </w:rPr>
        <w:t xml:space="preserve"> – Include a more</w:t>
      </w:r>
      <w:r w:rsidR="002C7E48" w:rsidRPr="002C7E48">
        <w:rPr>
          <w:lang w:val="en-NZ"/>
        </w:rPr>
        <w:t xml:space="preserve"> extensive list of western</w:t>
      </w:r>
      <w:r w:rsidR="002C7E48">
        <w:rPr>
          <w:lang w:val="en-NZ"/>
        </w:rPr>
        <w:t xml:space="preserve"> gender terms along with</w:t>
      </w:r>
      <w:r w:rsidR="002C7E48" w:rsidRPr="002C7E48">
        <w:rPr>
          <w:lang w:val="en-NZ"/>
        </w:rPr>
        <w:t xml:space="preserve"> </w:t>
      </w:r>
      <w:proofErr w:type="spellStart"/>
      <w:r w:rsidR="002C7E48" w:rsidRPr="002C7E48">
        <w:rPr>
          <w:lang w:val="en-NZ"/>
        </w:rPr>
        <w:t>te</w:t>
      </w:r>
      <w:proofErr w:type="spellEnd"/>
      <w:r w:rsidR="002C7E48" w:rsidRPr="002C7E48">
        <w:rPr>
          <w:lang w:val="en-NZ"/>
        </w:rPr>
        <w:t xml:space="preserve"> </w:t>
      </w:r>
      <w:proofErr w:type="spellStart"/>
      <w:r w:rsidR="002C7E48" w:rsidRPr="002C7E48">
        <w:rPr>
          <w:lang w:val="en-NZ"/>
        </w:rPr>
        <w:t>reo</w:t>
      </w:r>
      <w:proofErr w:type="spellEnd"/>
      <w:r w:rsidR="002C7E48" w:rsidRPr="002C7E48">
        <w:rPr>
          <w:lang w:val="en-NZ"/>
        </w:rPr>
        <w:t xml:space="preserve"> Māori and other </w:t>
      </w:r>
      <w:r w:rsidR="00D36A22">
        <w:rPr>
          <w:lang w:val="en-NZ"/>
        </w:rPr>
        <w:t>culturally specific</w:t>
      </w:r>
      <w:r w:rsidR="002C7E48" w:rsidRPr="002C7E48">
        <w:rPr>
          <w:lang w:val="en-NZ"/>
        </w:rPr>
        <w:t xml:space="preserve"> terms</w:t>
      </w:r>
    </w:p>
    <w:p w14:paraId="05DB9791" w14:textId="69BEDCE5" w:rsidR="002C7E48" w:rsidRPr="00A55678" w:rsidRDefault="002C7E48" w:rsidP="00684A1D">
      <w:pPr>
        <w:pStyle w:val="BodyText-Numbered"/>
        <w:keepNext w:val="0"/>
        <w:keepLines/>
        <w:numPr>
          <w:ilvl w:val="0"/>
          <w:numId w:val="0"/>
        </w:numPr>
        <w:ind w:left="567" w:hanging="567"/>
        <w:rPr>
          <w:i/>
          <w:lang w:val="en-NZ"/>
        </w:rPr>
      </w:pPr>
      <w:r w:rsidRPr="00A55678">
        <w:rPr>
          <w:i/>
          <w:lang w:val="en-NZ"/>
        </w:rPr>
        <w:t>Key features</w:t>
      </w:r>
    </w:p>
    <w:p w14:paraId="4AA7B716" w14:textId="1356376F" w:rsidR="002C7E48" w:rsidRPr="00E92DC8" w:rsidRDefault="002C7E48" w:rsidP="00684A1D">
      <w:pPr>
        <w:pStyle w:val="BodyText-Numbered"/>
        <w:keepNext w:val="0"/>
        <w:keepLines/>
        <w:rPr>
          <w:lang w:val="en-NZ"/>
        </w:rPr>
      </w:pPr>
      <w:r w:rsidRPr="00A55678">
        <w:rPr>
          <w:color w:val="000000"/>
          <w:lang w:eastAsia="en-NZ"/>
        </w:rPr>
        <w:t>Under this option there would be a longer list</w:t>
      </w:r>
      <w:r w:rsidR="00661D28">
        <w:rPr>
          <w:color w:val="000000"/>
          <w:lang w:eastAsia="en-NZ"/>
        </w:rPr>
        <w:t xml:space="preserve"> (</w:t>
      </w:r>
      <w:r w:rsidR="00BC5055">
        <w:rPr>
          <w:color w:val="000000"/>
          <w:lang w:eastAsia="en-NZ"/>
        </w:rPr>
        <w:t>more than 12</w:t>
      </w:r>
      <w:r w:rsidR="00661D28">
        <w:rPr>
          <w:color w:val="000000"/>
          <w:lang w:eastAsia="en-NZ"/>
        </w:rPr>
        <w:t xml:space="preserve"> terms</w:t>
      </w:r>
      <w:r w:rsidR="00D75982">
        <w:rPr>
          <w:color w:val="000000"/>
          <w:lang w:eastAsia="en-NZ"/>
        </w:rPr>
        <w:t xml:space="preserve"> with no definitive maximum limit</w:t>
      </w:r>
      <w:r w:rsidR="00661D28">
        <w:rPr>
          <w:color w:val="000000"/>
          <w:lang w:eastAsia="en-NZ"/>
        </w:rPr>
        <w:t>)</w:t>
      </w:r>
      <w:r w:rsidRPr="00A55678">
        <w:rPr>
          <w:color w:val="000000"/>
          <w:lang w:eastAsia="en-NZ"/>
        </w:rPr>
        <w:t xml:space="preserve"> </w:t>
      </w:r>
      <w:r w:rsidR="001E44D2">
        <w:rPr>
          <w:color w:val="000000"/>
          <w:lang w:eastAsia="en-NZ"/>
        </w:rPr>
        <w:t xml:space="preserve">of </w:t>
      </w:r>
      <w:r w:rsidR="00AE7AC0">
        <w:rPr>
          <w:color w:val="000000"/>
          <w:lang w:eastAsia="en-NZ"/>
        </w:rPr>
        <w:t xml:space="preserve">western and </w:t>
      </w:r>
      <w:proofErr w:type="spellStart"/>
      <w:r w:rsidR="00AE7AC0">
        <w:rPr>
          <w:color w:val="000000"/>
          <w:lang w:eastAsia="en-NZ"/>
        </w:rPr>
        <w:t>t</w:t>
      </w:r>
      <w:r w:rsidR="001E44D2">
        <w:rPr>
          <w:color w:val="000000"/>
          <w:lang w:eastAsia="en-NZ"/>
        </w:rPr>
        <w:t>e</w:t>
      </w:r>
      <w:proofErr w:type="spellEnd"/>
      <w:r w:rsidR="001E44D2">
        <w:rPr>
          <w:color w:val="000000"/>
          <w:lang w:eastAsia="en-NZ"/>
        </w:rPr>
        <w:t xml:space="preserve"> </w:t>
      </w:r>
      <w:proofErr w:type="spellStart"/>
      <w:r w:rsidR="00AE7AC0">
        <w:rPr>
          <w:color w:val="000000"/>
          <w:lang w:eastAsia="en-NZ"/>
        </w:rPr>
        <w:t>r</w:t>
      </w:r>
      <w:r w:rsidR="001E44D2">
        <w:rPr>
          <w:color w:val="000000"/>
          <w:lang w:eastAsia="en-NZ"/>
        </w:rPr>
        <w:t>eo</w:t>
      </w:r>
      <w:proofErr w:type="spellEnd"/>
      <w:r w:rsidR="001E44D2">
        <w:rPr>
          <w:color w:val="000000"/>
          <w:lang w:eastAsia="en-NZ"/>
        </w:rPr>
        <w:t xml:space="preserve"> Māori terms</w:t>
      </w:r>
      <w:r w:rsidR="00661D28">
        <w:rPr>
          <w:color w:val="000000"/>
          <w:lang w:eastAsia="en-NZ"/>
        </w:rPr>
        <w:t>,</w:t>
      </w:r>
      <w:r w:rsidR="001E44D2">
        <w:rPr>
          <w:color w:val="000000"/>
          <w:lang w:eastAsia="en-NZ"/>
        </w:rPr>
        <w:t xml:space="preserve"> as well as other </w:t>
      </w:r>
      <w:r w:rsidR="00D75982">
        <w:rPr>
          <w:color w:val="000000"/>
          <w:lang w:eastAsia="en-NZ"/>
        </w:rPr>
        <w:t>culturally specific</w:t>
      </w:r>
      <w:r w:rsidR="001E44D2">
        <w:rPr>
          <w:color w:val="000000"/>
          <w:lang w:eastAsia="en-NZ"/>
        </w:rPr>
        <w:t xml:space="preserve"> terms arising from consultation.</w:t>
      </w:r>
    </w:p>
    <w:p w14:paraId="3C8D7939" w14:textId="20B3BB7D" w:rsidR="00E92DC8" w:rsidRPr="00A97DC4" w:rsidRDefault="00E92DC8" w:rsidP="00684A1D">
      <w:pPr>
        <w:pStyle w:val="BodyText-Numbered"/>
        <w:keepNext w:val="0"/>
        <w:keepLines/>
        <w:rPr>
          <w:lang w:val="en-NZ"/>
        </w:rPr>
      </w:pPr>
      <w:r>
        <w:rPr>
          <w:color w:val="000000"/>
          <w:lang w:eastAsia="en-NZ"/>
        </w:rPr>
        <w:t xml:space="preserve">Under this approach, </w:t>
      </w:r>
      <w:r w:rsidR="00F67EF2">
        <w:rPr>
          <w:color w:val="000000"/>
          <w:lang w:eastAsia="en-NZ"/>
        </w:rPr>
        <w:t>there would be a lower threshold for terms to meet criteria for inclusion in the regulations</w:t>
      </w:r>
      <w:r w:rsidR="00D73DF8">
        <w:rPr>
          <w:color w:val="000000"/>
          <w:lang w:eastAsia="en-NZ"/>
        </w:rPr>
        <w:t>.</w:t>
      </w:r>
      <w:r>
        <w:rPr>
          <w:color w:val="000000"/>
          <w:lang w:eastAsia="en-NZ"/>
        </w:rPr>
        <w:t xml:space="preserve"> </w:t>
      </w:r>
      <w:r w:rsidR="001E44D2">
        <w:rPr>
          <w:color w:val="000000"/>
          <w:lang w:eastAsia="en-NZ"/>
        </w:rPr>
        <w:t>Assessments o</w:t>
      </w:r>
      <w:r w:rsidR="00A26A94">
        <w:rPr>
          <w:color w:val="000000"/>
          <w:lang w:eastAsia="en-NZ"/>
        </w:rPr>
        <w:t>f</w:t>
      </w:r>
      <w:r w:rsidR="001E44D2">
        <w:rPr>
          <w:color w:val="000000"/>
          <w:lang w:eastAsia="en-NZ"/>
        </w:rPr>
        <w:t xml:space="preserve"> new terms w</w:t>
      </w:r>
      <w:r w:rsidR="00A42E62">
        <w:rPr>
          <w:color w:val="000000"/>
          <w:lang w:eastAsia="en-NZ"/>
        </w:rPr>
        <w:t xml:space="preserve">ould likely rely more heavily on </w:t>
      </w:r>
      <w:r w:rsidR="00D73DF8">
        <w:rPr>
          <w:color w:val="000000"/>
          <w:lang w:eastAsia="en-NZ"/>
        </w:rPr>
        <w:t>a mixture of anecdotal evidence and the views of experts and key organisations</w:t>
      </w:r>
      <w:r w:rsidR="00A26A94">
        <w:rPr>
          <w:color w:val="000000"/>
          <w:lang w:eastAsia="en-NZ"/>
        </w:rPr>
        <w:t>.</w:t>
      </w:r>
      <w:r w:rsidR="00D73DF8">
        <w:rPr>
          <w:color w:val="000000"/>
          <w:lang w:eastAsia="en-NZ"/>
        </w:rPr>
        <w:t xml:space="preserve"> </w:t>
      </w:r>
      <w:r w:rsidR="00A26A94">
        <w:rPr>
          <w:color w:val="000000"/>
          <w:lang w:eastAsia="en-NZ"/>
        </w:rPr>
        <w:t>L</w:t>
      </w:r>
      <w:r w:rsidR="006C66CB">
        <w:rPr>
          <w:color w:val="000000"/>
          <w:lang w:eastAsia="en-NZ"/>
        </w:rPr>
        <w:t xml:space="preserve">ong term, quantitative data on the use of </w:t>
      </w:r>
      <w:r w:rsidR="00B30CD5">
        <w:rPr>
          <w:color w:val="000000"/>
          <w:lang w:eastAsia="en-NZ"/>
        </w:rPr>
        <w:t>less common</w:t>
      </w:r>
      <w:r w:rsidR="000F00FB">
        <w:rPr>
          <w:color w:val="000000"/>
          <w:lang w:eastAsia="en-NZ"/>
        </w:rPr>
        <w:t>ly used</w:t>
      </w:r>
      <w:r w:rsidR="00B30CD5">
        <w:rPr>
          <w:color w:val="000000"/>
          <w:lang w:eastAsia="en-NZ"/>
        </w:rPr>
        <w:t xml:space="preserve"> </w:t>
      </w:r>
      <w:r w:rsidR="000F00FB">
        <w:rPr>
          <w:color w:val="000000"/>
          <w:lang w:eastAsia="en-NZ"/>
        </w:rPr>
        <w:t>or</w:t>
      </w:r>
      <w:r w:rsidR="00B30CD5">
        <w:rPr>
          <w:color w:val="000000"/>
          <w:lang w:eastAsia="en-NZ"/>
        </w:rPr>
        <w:t xml:space="preserve"> established </w:t>
      </w:r>
      <w:r w:rsidR="006C66CB">
        <w:rPr>
          <w:color w:val="000000"/>
          <w:lang w:eastAsia="en-NZ"/>
        </w:rPr>
        <w:t>gender terms</w:t>
      </w:r>
      <w:r w:rsidR="00D73DF8">
        <w:rPr>
          <w:color w:val="000000"/>
          <w:lang w:eastAsia="en-NZ"/>
        </w:rPr>
        <w:t xml:space="preserve"> may not be so readily available.</w:t>
      </w:r>
      <w:r w:rsidR="001E44D2">
        <w:rPr>
          <w:color w:val="000000"/>
          <w:lang w:eastAsia="en-NZ"/>
        </w:rPr>
        <w:t xml:space="preserve"> The discussion document will seek views on how a longer list option could be implemented.</w:t>
      </w:r>
    </w:p>
    <w:p w14:paraId="11A3C433" w14:textId="6B57C73D" w:rsidR="002C7E48" w:rsidRPr="00A55678" w:rsidRDefault="002C7E48" w:rsidP="00684A1D">
      <w:pPr>
        <w:pStyle w:val="BodyText-Numbered"/>
        <w:keepNext w:val="0"/>
        <w:keepLines/>
        <w:numPr>
          <w:ilvl w:val="0"/>
          <w:numId w:val="0"/>
        </w:numPr>
        <w:rPr>
          <w:i/>
          <w:lang w:val="en-NZ"/>
        </w:rPr>
      </w:pPr>
      <w:r w:rsidRPr="00A55678">
        <w:rPr>
          <w:i/>
          <w:lang w:val="en-NZ"/>
        </w:rPr>
        <w:t>Analysis</w:t>
      </w:r>
    </w:p>
    <w:p w14:paraId="4B0749A3" w14:textId="73F66B49" w:rsidR="008B5CAA" w:rsidRDefault="002C7E48" w:rsidP="00684A1D">
      <w:pPr>
        <w:pStyle w:val="BodyText-Numbered"/>
        <w:keepNext w:val="0"/>
        <w:keepLines/>
        <w:rPr>
          <w:lang w:eastAsia="en-NZ"/>
        </w:rPr>
      </w:pPr>
      <w:r w:rsidRPr="00A55678">
        <w:rPr>
          <w:lang w:eastAsia="en-NZ"/>
        </w:rPr>
        <w:t xml:space="preserve">This option is </w:t>
      </w:r>
      <w:r w:rsidR="008B5CAA">
        <w:rPr>
          <w:lang w:eastAsia="en-NZ"/>
        </w:rPr>
        <w:t xml:space="preserve">likely </w:t>
      </w:r>
      <w:r w:rsidRPr="00A55678">
        <w:rPr>
          <w:lang w:eastAsia="en-NZ"/>
        </w:rPr>
        <w:t>highly inclusive with a minimal number of people who would not have</w:t>
      </w:r>
      <w:r w:rsidR="00A26A94">
        <w:rPr>
          <w:lang w:eastAsia="en-NZ"/>
        </w:rPr>
        <w:t xml:space="preserve"> an appropriate option</w:t>
      </w:r>
      <w:r w:rsidRPr="00A55678">
        <w:rPr>
          <w:lang w:eastAsia="en-NZ"/>
        </w:rPr>
        <w:t>. At this stage, the increase in coverage</w:t>
      </w:r>
      <w:r w:rsidR="00A97DC4">
        <w:rPr>
          <w:lang w:eastAsia="en-NZ"/>
        </w:rPr>
        <w:t xml:space="preserve"> compared with option </w:t>
      </w:r>
      <w:r w:rsidR="00FE2DF4">
        <w:rPr>
          <w:lang w:eastAsia="en-NZ"/>
        </w:rPr>
        <w:t>three</w:t>
      </w:r>
      <w:r w:rsidRPr="00A55678">
        <w:rPr>
          <w:lang w:eastAsia="en-NZ"/>
        </w:rPr>
        <w:t xml:space="preserve"> is unclear, as a shorter list may already provide suitable options for </w:t>
      </w:r>
      <w:r w:rsidR="00CD0E07" w:rsidRPr="00A55678">
        <w:rPr>
          <w:lang w:eastAsia="en-NZ"/>
        </w:rPr>
        <w:t>most</w:t>
      </w:r>
      <w:r w:rsidR="002B2AEE">
        <w:rPr>
          <w:lang w:eastAsia="en-NZ"/>
        </w:rPr>
        <w:t xml:space="preserve"> people. This option c</w:t>
      </w:r>
      <w:r w:rsidRPr="00A55678">
        <w:rPr>
          <w:lang w:eastAsia="en-NZ"/>
        </w:rPr>
        <w:t xml:space="preserve">ould also support our obligations under </w:t>
      </w:r>
      <w:r w:rsidR="00FE2DF4">
        <w:rPr>
          <w:lang w:eastAsia="en-NZ"/>
        </w:rPr>
        <w:t>T</w:t>
      </w:r>
      <w:r w:rsidRPr="00A55678">
        <w:rPr>
          <w:lang w:eastAsia="en-NZ"/>
        </w:rPr>
        <w:t xml:space="preserve">e </w:t>
      </w:r>
      <w:proofErr w:type="spellStart"/>
      <w:r w:rsidRPr="00A55678">
        <w:rPr>
          <w:lang w:eastAsia="en-NZ"/>
        </w:rPr>
        <w:t>Tiriti</w:t>
      </w:r>
      <w:proofErr w:type="spellEnd"/>
      <w:r w:rsidRPr="00A55678">
        <w:rPr>
          <w:lang w:eastAsia="en-NZ"/>
        </w:rPr>
        <w:t xml:space="preserve"> by providing </w:t>
      </w:r>
      <w:proofErr w:type="spellStart"/>
      <w:r w:rsidRPr="00A55678">
        <w:rPr>
          <w:lang w:eastAsia="en-NZ"/>
        </w:rPr>
        <w:t>te</w:t>
      </w:r>
      <w:proofErr w:type="spellEnd"/>
      <w:r w:rsidRPr="00A55678">
        <w:rPr>
          <w:lang w:eastAsia="en-NZ"/>
        </w:rPr>
        <w:t xml:space="preserve"> </w:t>
      </w:r>
      <w:proofErr w:type="spellStart"/>
      <w:r w:rsidRPr="00A55678">
        <w:rPr>
          <w:lang w:eastAsia="en-NZ"/>
        </w:rPr>
        <w:t>reo</w:t>
      </w:r>
      <w:proofErr w:type="spellEnd"/>
      <w:r w:rsidRPr="00A55678">
        <w:rPr>
          <w:lang w:eastAsia="en-NZ"/>
        </w:rPr>
        <w:t xml:space="preserve"> Māori </w:t>
      </w:r>
      <w:r w:rsidR="00661D28">
        <w:rPr>
          <w:lang w:eastAsia="en-NZ"/>
        </w:rPr>
        <w:t>terms</w:t>
      </w:r>
      <w:r w:rsidRPr="00A55678">
        <w:rPr>
          <w:lang w:eastAsia="en-NZ"/>
        </w:rPr>
        <w:t>.</w:t>
      </w:r>
    </w:p>
    <w:p w14:paraId="4AE5302E" w14:textId="7B577D48" w:rsidR="002C7E48" w:rsidRPr="00A55678" w:rsidRDefault="002C7E48" w:rsidP="00DF5D7C">
      <w:pPr>
        <w:pStyle w:val="BodyText-Numbered"/>
        <w:keepNext w:val="0"/>
        <w:keepLines/>
        <w:rPr>
          <w:lang w:eastAsia="en-NZ"/>
        </w:rPr>
      </w:pPr>
      <w:r w:rsidRPr="00A55678">
        <w:rPr>
          <w:lang w:eastAsia="en-NZ"/>
        </w:rPr>
        <w:t>This option</w:t>
      </w:r>
      <w:r w:rsidR="002B2AEE">
        <w:rPr>
          <w:lang w:eastAsia="en-NZ"/>
        </w:rPr>
        <w:t xml:space="preserve"> </w:t>
      </w:r>
      <w:r w:rsidR="005C63EC">
        <w:rPr>
          <w:lang w:eastAsia="en-NZ"/>
        </w:rPr>
        <w:t>may</w:t>
      </w:r>
      <w:r w:rsidRPr="00A55678">
        <w:rPr>
          <w:lang w:eastAsia="en-NZ"/>
        </w:rPr>
        <w:t xml:space="preserve"> </w:t>
      </w:r>
      <w:r w:rsidR="006728DB">
        <w:rPr>
          <w:lang w:eastAsia="en-NZ"/>
        </w:rPr>
        <w:t xml:space="preserve">not be very </w:t>
      </w:r>
      <w:r w:rsidR="005C63EC">
        <w:rPr>
          <w:lang w:eastAsia="en-NZ"/>
        </w:rPr>
        <w:t>future proof</w:t>
      </w:r>
      <w:r w:rsidR="006728DB">
        <w:rPr>
          <w:lang w:eastAsia="en-NZ"/>
        </w:rPr>
        <w:t>. Some terms that would be eligible to be included in this option would likely have less longevity, as they would be less commonly used or established.</w:t>
      </w:r>
      <w:r w:rsidR="00DF5D7C">
        <w:rPr>
          <w:lang w:eastAsia="en-NZ"/>
        </w:rPr>
        <w:t xml:space="preserve"> On the other hand, </w:t>
      </w:r>
      <w:r w:rsidR="00DF5D7C" w:rsidRPr="00DF5D7C">
        <w:rPr>
          <w:color w:val="000000"/>
          <w:lang w:eastAsia="en-NZ"/>
        </w:rPr>
        <w:t>the list of sex markers could change more frequently as emerging terms could be added more readily than options with a shorter list of terms</w:t>
      </w:r>
      <w:r w:rsidR="005C63EC">
        <w:rPr>
          <w:color w:val="000000"/>
          <w:lang w:eastAsia="en-NZ"/>
        </w:rPr>
        <w:t>.</w:t>
      </w:r>
    </w:p>
    <w:p w14:paraId="2612E882" w14:textId="05049F3E" w:rsidR="002C7E48" w:rsidRDefault="002C7E48" w:rsidP="00684A1D">
      <w:pPr>
        <w:pStyle w:val="BodyText-Numbered"/>
        <w:keepNext w:val="0"/>
        <w:keepLines/>
        <w:rPr>
          <w:lang w:eastAsia="en-NZ"/>
        </w:rPr>
      </w:pPr>
      <w:r w:rsidRPr="00A55678">
        <w:rPr>
          <w:lang w:eastAsia="en-NZ"/>
        </w:rPr>
        <w:t xml:space="preserve">This option could be less practical than the other options, as the less common sex markers </w:t>
      </w:r>
      <w:r w:rsidR="00A97DC4">
        <w:rPr>
          <w:lang w:eastAsia="en-NZ"/>
        </w:rPr>
        <w:t>might not</w:t>
      </w:r>
      <w:r w:rsidRPr="00A55678">
        <w:rPr>
          <w:lang w:eastAsia="en-NZ"/>
        </w:rPr>
        <w:t xml:space="preserve"> be recognised by service providers and data systems.</w:t>
      </w:r>
      <w:r w:rsidR="00EE0102">
        <w:rPr>
          <w:lang w:eastAsia="en-NZ"/>
        </w:rPr>
        <w:t xml:space="preserve"> </w:t>
      </w:r>
      <w:r w:rsidR="008B5CAA">
        <w:rPr>
          <w:lang w:eastAsia="en-NZ"/>
        </w:rPr>
        <w:t>This effect would be ongoing as terms would be added more often over time.</w:t>
      </w:r>
      <w:r w:rsidR="00A97DC4">
        <w:rPr>
          <w:lang w:eastAsia="en-NZ"/>
        </w:rPr>
        <w:t xml:space="preserve"> </w:t>
      </w:r>
      <w:r w:rsidR="00A97DC4" w:rsidRPr="00A97DC4">
        <w:rPr>
          <w:lang w:eastAsia="en-NZ"/>
        </w:rPr>
        <w:t>Th</w:t>
      </w:r>
      <w:r w:rsidR="00A97DC4">
        <w:rPr>
          <w:lang w:eastAsia="en-NZ"/>
        </w:rPr>
        <w:t>is approach would rely on individuals</w:t>
      </w:r>
      <w:r w:rsidR="00A97DC4" w:rsidRPr="00A97DC4">
        <w:rPr>
          <w:lang w:eastAsia="en-NZ"/>
        </w:rPr>
        <w:t xml:space="preserve"> </w:t>
      </w:r>
      <w:r w:rsidR="00CD0E07">
        <w:rPr>
          <w:lang w:eastAsia="en-NZ"/>
        </w:rPr>
        <w:t>making</w:t>
      </w:r>
      <w:r w:rsidR="00A97DC4" w:rsidRPr="00A97DC4">
        <w:rPr>
          <w:lang w:eastAsia="en-NZ"/>
        </w:rPr>
        <w:t xml:space="preserve"> decision </w:t>
      </w:r>
      <w:r w:rsidR="00CD0E07">
        <w:rPr>
          <w:lang w:eastAsia="en-NZ"/>
        </w:rPr>
        <w:t>about</w:t>
      </w:r>
      <w:r w:rsidR="00A97DC4" w:rsidRPr="00A97DC4">
        <w:rPr>
          <w:lang w:eastAsia="en-NZ"/>
        </w:rPr>
        <w:t xml:space="preserve"> whether they want to use a relatively </w:t>
      </w:r>
      <w:r w:rsidR="005C63EC">
        <w:rPr>
          <w:lang w:eastAsia="en-NZ"/>
        </w:rPr>
        <w:t>specific</w:t>
      </w:r>
      <w:r w:rsidR="00A97DC4" w:rsidRPr="00A97DC4">
        <w:rPr>
          <w:lang w:eastAsia="en-NZ"/>
        </w:rPr>
        <w:t xml:space="preserve"> term that accurately describes their gender, or an umbrella term that is more broadly recognised.</w:t>
      </w:r>
    </w:p>
    <w:p w14:paraId="621A5F62" w14:textId="586B7863" w:rsidR="00EE0102" w:rsidRDefault="00EE0102" w:rsidP="00684A1D">
      <w:pPr>
        <w:pStyle w:val="BodyText-Numbered"/>
        <w:keepNext w:val="0"/>
        <w:keepLines/>
        <w:rPr>
          <w:lang w:eastAsia="en-NZ"/>
        </w:rPr>
      </w:pPr>
      <w:r>
        <w:rPr>
          <w:lang w:eastAsia="en-NZ"/>
        </w:rPr>
        <w:t xml:space="preserve">We note that practicality should be less of an issue with public sector agencies who must comply with the </w:t>
      </w:r>
      <w:proofErr w:type="spellStart"/>
      <w:r>
        <w:rPr>
          <w:lang w:eastAsia="en-NZ"/>
        </w:rPr>
        <w:t>StatsNZ</w:t>
      </w:r>
      <w:proofErr w:type="spellEnd"/>
      <w:r>
        <w:rPr>
          <w:lang w:eastAsia="en-NZ"/>
        </w:rPr>
        <w:t xml:space="preserve"> data standard on gender, sex, and variations of sex characteristics.</w:t>
      </w:r>
      <w:r w:rsidR="0036225A">
        <w:rPr>
          <w:lang w:eastAsia="en-NZ"/>
        </w:rPr>
        <w:t xml:space="preserve"> All terms besides male and female could be collected and shared as ‘Another gender / He </w:t>
      </w:r>
      <w:proofErr w:type="spellStart"/>
      <w:r w:rsidR="0036225A">
        <w:rPr>
          <w:lang w:eastAsia="en-NZ"/>
        </w:rPr>
        <w:t>ira</w:t>
      </w:r>
      <w:proofErr w:type="spellEnd"/>
      <w:r w:rsidR="0036225A">
        <w:rPr>
          <w:lang w:eastAsia="en-NZ"/>
        </w:rPr>
        <w:t xml:space="preserve"> </w:t>
      </w:r>
      <w:proofErr w:type="spellStart"/>
      <w:r w:rsidR="0036225A">
        <w:rPr>
          <w:lang w:eastAsia="en-NZ"/>
        </w:rPr>
        <w:t>kē</w:t>
      </w:r>
      <w:proofErr w:type="spellEnd"/>
      <w:r w:rsidR="0036225A">
        <w:rPr>
          <w:lang w:eastAsia="en-NZ"/>
        </w:rPr>
        <w:t xml:space="preserve"> </w:t>
      </w:r>
      <w:proofErr w:type="spellStart"/>
      <w:r w:rsidR="0036225A">
        <w:rPr>
          <w:lang w:eastAsia="en-NZ"/>
        </w:rPr>
        <w:t>anō</w:t>
      </w:r>
      <w:proofErr w:type="spellEnd"/>
      <w:r w:rsidR="0036225A">
        <w:rPr>
          <w:lang w:eastAsia="en-NZ"/>
        </w:rPr>
        <w:t>’.</w:t>
      </w:r>
    </w:p>
    <w:p w14:paraId="2DF64662" w14:textId="19B497CD" w:rsidR="00E90113" w:rsidRPr="00A55678" w:rsidRDefault="00E90113" w:rsidP="00684A1D">
      <w:pPr>
        <w:pStyle w:val="BodyText-Numbered"/>
        <w:keepNext w:val="0"/>
        <w:keepLines/>
        <w:rPr>
          <w:lang w:eastAsia="en-NZ"/>
        </w:rPr>
      </w:pPr>
      <w:r>
        <w:t>Some public submissions</w:t>
      </w:r>
      <w:r w:rsidR="00566C6D">
        <w:t xml:space="preserve"> on the self-identification provisions</w:t>
      </w:r>
      <w:r>
        <w:t xml:space="preserve"> suggested including culturally specific terms, which would be included in this option. It was not clear from submissions whether people would support including </w:t>
      </w:r>
      <w:r w:rsidR="00F17B27">
        <w:t xml:space="preserve">a wide range of </w:t>
      </w:r>
      <w:r>
        <w:t>specific gender terms.</w:t>
      </w:r>
    </w:p>
    <w:p w14:paraId="01CFC9DC" w14:textId="77777777" w:rsidR="006448CF" w:rsidRDefault="006448CF" w:rsidP="006448CF">
      <w:pPr>
        <w:rPr>
          <w:lang w:val="en-NZ"/>
        </w:rPr>
      </w:pPr>
    </w:p>
    <w:p w14:paraId="5B5885BE" w14:textId="7610E937" w:rsidR="00E07BBB" w:rsidRPr="006448CF" w:rsidRDefault="00E07BBB" w:rsidP="006448CF">
      <w:pPr>
        <w:rPr>
          <w:lang w:val="en-NZ"/>
        </w:rPr>
        <w:sectPr w:rsidR="00E07BBB" w:rsidRPr="006448CF" w:rsidSect="00150D58">
          <w:headerReference w:type="even" r:id="rId17"/>
          <w:headerReference w:type="default" r:id="rId18"/>
          <w:footerReference w:type="even" r:id="rId19"/>
          <w:footerReference w:type="default" r:id="rId20"/>
          <w:pgSz w:w="11906" w:h="16838" w:code="9"/>
          <w:pgMar w:top="1134" w:right="1418" w:bottom="992" w:left="1418" w:header="454" w:footer="454" w:gutter="0"/>
          <w:cols w:space="708"/>
          <w:docGrid w:linePitch="360"/>
        </w:sectPr>
      </w:pPr>
    </w:p>
    <w:p w14:paraId="4EC02C43" w14:textId="161D52EE" w:rsidR="00D71CE0" w:rsidRPr="00A864A5" w:rsidRDefault="00DB51CD" w:rsidP="00802AB2">
      <w:pPr>
        <w:pStyle w:val="Heading3"/>
        <w:rPr>
          <w:lang w:val="en-NZ"/>
        </w:rPr>
      </w:pPr>
      <w:r>
        <w:rPr>
          <w:lang w:val="en-NZ"/>
        </w:rPr>
        <w:lastRenderedPageBreak/>
        <w:t>How do the options compare to the status quo/counterfactual?</w:t>
      </w:r>
    </w:p>
    <w:tbl>
      <w:tblPr>
        <w:tblW w:w="21578"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2229"/>
        <w:gridCol w:w="4866"/>
        <w:gridCol w:w="4847"/>
        <w:gridCol w:w="4818"/>
        <w:gridCol w:w="4818"/>
      </w:tblGrid>
      <w:tr w:rsidR="00557B86" w:rsidRPr="00A864A5" w14:paraId="64606FB2" w14:textId="3E3B9033" w:rsidTr="001E1444">
        <w:trPr>
          <w:trHeight w:val="321"/>
        </w:trPr>
        <w:tc>
          <w:tcPr>
            <w:tcW w:w="2229" w:type="dxa"/>
            <w:shd w:val="clear" w:color="auto" w:fill="99CDDD"/>
            <w:vAlign w:val="center"/>
          </w:tcPr>
          <w:p w14:paraId="3D6EF1B6" w14:textId="72EE34FD" w:rsidR="00557B86" w:rsidRPr="00DB51CD" w:rsidRDefault="00557B86" w:rsidP="00E35684">
            <w:pPr>
              <w:spacing w:before="60" w:after="60" w:line="276" w:lineRule="auto"/>
              <w:jc w:val="center"/>
              <w:rPr>
                <w:rFonts w:cs="Arial"/>
                <w:bCs/>
                <w:i/>
                <w:iCs/>
                <w:color w:val="FFFFFF"/>
                <w:sz w:val="20"/>
                <w:szCs w:val="24"/>
                <w:lang w:val="en-NZ"/>
              </w:rPr>
            </w:pPr>
          </w:p>
        </w:tc>
        <w:tc>
          <w:tcPr>
            <w:tcW w:w="4866" w:type="dxa"/>
            <w:shd w:val="clear" w:color="auto" w:fill="99CDDD"/>
          </w:tcPr>
          <w:p w14:paraId="643BB81E" w14:textId="366A57BD" w:rsidR="00557B86" w:rsidRPr="00A864A5" w:rsidRDefault="00557B86" w:rsidP="00E35684">
            <w:pPr>
              <w:spacing w:before="60" w:after="60" w:line="240" w:lineRule="auto"/>
              <w:jc w:val="center"/>
              <w:rPr>
                <w:rFonts w:cs="Arial"/>
                <w:b/>
                <w:color w:val="000000"/>
                <w:szCs w:val="22"/>
                <w:lang w:val="en-NZ"/>
              </w:rPr>
            </w:pPr>
            <w:r>
              <w:rPr>
                <w:b/>
              </w:rPr>
              <w:t xml:space="preserve">Option </w:t>
            </w:r>
            <w:r w:rsidR="00FE2DF4">
              <w:rPr>
                <w:b/>
              </w:rPr>
              <w:t>One</w:t>
            </w:r>
            <w:r w:rsidRPr="00E35684">
              <w:rPr>
                <w:b/>
              </w:rPr>
              <w:t xml:space="preserve"> – Counterfactual: do not establish any additional sex markers in regulations</w:t>
            </w:r>
          </w:p>
        </w:tc>
        <w:tc>
          <w:tcPr>
            <w:tcW w:w="4847" w:type="dxa"/>
            <w:shd w:val="clear" w:color="auto" w:fill="99CDDD"/>
          </w:tcPr>
          <w:p w14:paraId="62135168" w14:textId="7A3B74D6" w:rsidR="00557B86" w:rsidRPr="00A864A5" w:rsidRDefault="00557B86" w:rsidP="00E35684">
            <w:pPr>
              <w:spacing w:before="60" w:after="60" w:line="276" w:lineRule="auto"/>
              <w:jc w:val="center"/>
              <w:rPr>
                <w:rFonts w:cs="Arial"/>
                <w:b/>
                <w:color w:val="000000"/>
                <w:szCs w:val="22"/>
                <w:lang w:val="en-NZ"/>
              </w:rPr>
            </w:pPr>
            <w:r>
              <w:rPr>
                <w:b/>
              </w:rPr>
              <w:t xml:space="preserve">Option </w:t>
            </w:r>
            <w:r w:rsidR="00FE2DF4">
              <w:rPr>
                <w:b/>
              </w:rPr>
              <w:t>Two</w:t>
            </w:r>
            <w:r w:rsidRPr="00E35684">
              <w:rPr>
                <w:b/>
              </w:rPr>
              <w:t xml:space="preserve"> – </w:t>
            </w:r>
            <w:r w:rsidR="0052132B">
              <w:rPr>
                <w:b/>
              </w:rPr>
              <w:t>umbrella</w:t>
            </w:r>
            <w:r w:rsidRPr="00E35684">
              <w:rPr>
                <w:b/>
              </w:rPr>
              <w:t xml:space="preserve"> sex marker </w:t>
            </w:r>
            <w:r w:rsidR="0052132B">
              <w:rPr>
                <w:b/>
              </w:rPr>
              <w:t>terms (</w:t>
            </w:r>
            <w:r w:rsidR="00C8523E">
              <w:rPr>
                <w:b/>
              </w:rPr>
              <w:t>1</w:t>
            </w:r>
            <w:r w:rsidR="0052132B">
              <w:rPr>
                <w:b/>
              </w:rPr>
              <w:t>-</w:t>
            </w:r>
            <w:r w:rsidR="00B74E80">
              <w:rPr>
                <w:b/>
              </w:rPr>
              <w:t>5</w:t>
            </w:r>
            <w:r w:rsidR="0052132B">
              <w:rPr>
                <w:b/>
              </w:rPr>
              <w:t xml:space="preserve"> terms)</w:t>
            </w:r>
          </w:p>
        </w:tc>
        <w:tc>
          <w:tcPr>
            <w:tcW w:w="4818" w:type="dxa"/>
            <w:shd w:val="clear" w:color="auto" w:fill="99CDDD"/>
          </w:tcPr>
          <w:p w14:paraId="3D535557" w14:textId="37BB692D" w:rsidR="00557B86" w:rsidRPr="00A864A5" w:rsidRDefault="00557B86" w:rsidP="00E35684">
            <w:pPr>
              <w:spacing w:before="60" w:after="60" w:line="276" w:lineRule="auto"/>
              <w:jc w:val="center"/>
              <w:rPr>
                <w:rFonts w:cs="Arial"/>
                <w:b/>
                <w:color w:val="000000"/>
                <w:szCs w:val="22"/>
                <w:lang w:val="en-NZ"/>
              </w:rPr>
            </w:pPr>
            <w:r>
              <w:rPr>
                <w:b/>
              </w:rPr>
              <w:t xml:space="preserve">Option </w:t>
            </w:r>
            <w:r w:rsidR="00FE2DF4">
              <w:rPr>
                <w:b/>
              </w:rPr>
              <w:t>Three</w:t>
            </w:r>
            <w:r w:rsidRPr="00E35684">
              <w:rPr>
                <w:b/>
              </w:rPr>
              <w:t xml:space="preserve"> – </w:t>
            </w:r>
            <w:r w:rsidR="00804567" w:rsidRPr="00E515FC">
              <w:rPr>
                <w:b/>
                <w:lang w:val="en-NZ"/>
              </w:rPr>
              <w:t>Include umbrella non-binary sex markers along with some other non-binary sex markers</w:t>
            </w:r>
            <w:r w:rsidR="00E515FC">
              <w:rPr>
                <w:b/>
                <w:lang w:val="en-NZ"/>
              </w:rPr>
              <w:t xml:space="preserve"> (6-12 terms)</w:t>
            </w:r>
            <w:r w:rsidR="00804567" w:rsidRPr="00E515FC">
              <w:rPr>
                <w:b/>
                <w:lang w:val="en-NZ"/>
              </w:rPr>
              <w:t xml:space="preserve"> </w:t>
            </w:r>
            <w:r w:rsidR="00E515FC">
              <w:rPr>
                <w:b/>
                <w:lang w:val="en-NZ"/>
              </w:rPr>
              <w:t>along with</w:t>
            </w:r>
            <w:r w:rsidR="00804567" w:rsidRPr="00E515FC">
              <w:rPr>
                <w:b/>
                <w:lang w:val="en-NZ"/>
              </w:rPr>
              <w:t xml:space="preserve"> culturally specific options arising out of consultation</w:t>
            </w:r>
          </w:p>
        </w:tc>
        <w:tc>
          <w:tcPr>
            <w:tcW w:w="4818" w:type="dxa"/>
            <w:shd w:val="clear" w:color="auto" w:fill="99CDDD"/>
          </w:tcPr>
          <w:p w14:paraId="0E17D138" w14:textId="4EE8720F" w:rsidR="00557B86" w:rsidRPr="00A864A5" w:rsidRDefault="00557B86" w:rsidP="00E35684">
            <w:pPr>
              <w:spacing w:before="60" w:after="60" w:line="276" w:lineRule="auto"/>
              <w:jc w:val="center"/>
              <w:rPr>
                <w:rFonts w:cs="Arial"/>
                <w:b/>
                <w:color w:val="000000"/>
                <w:szCs w:val="22"/>
                <w:lang w:val="en-NZ"/>
              </w:rPr>
            </w:pPr>
            <w:r w:rsidRPr="00E35684">
              <w:rPr>
                <w:b/>
              </w:rPr>
              <w:t>Op</w:t>
            </w:r>
            <w:r>
              <w:rPr>
                <w:b/>
              </w:rPr>
              <w:t xml:space="preserve">tion </w:t>
            </w:r>
            <w:r w:rsidR="00FE2DF4">
              <w:rPr>
                <w:b/>
              </w:rPr>
              <w:t>Four</w:t>
            </w:r>
            <w:r w:rsidRPr="00E35684">
              <w:rPr>
                <w:b/>
              </w:rPr>
              <w:t xml:space="preserve"> – </w:t>
            </w:r>
            <w:r w:rsidR="00E515FC" w:rsidRPr="00E515FC">
              <w:rPr>
                <w:b/>
                <w:lang w:val="en-NZ"/>
              </w:rPr>
              <w:t>Include a more extensive list of non-binary sex markers</w:t>
            </w:r>
            <w:r w:rsidR="00E515FC">
              <w:rPr>
                <w:b/>
                <w:lang w:val="en-NZ"/>
              </w:rPr>
              <w:t xml:space="preserve"> (13+ terms)</w:t>
            </w:r>
            <w:r w:rsidR="00E515FC" w:rsidRPr="00E515FC">
              <w:rPr>
                <w:b/>
                <w:lang w:val="en-NZ"/>
              </w:rPr>
              <w:t xml:space="preserve"> along with </w:t>
            </w:r>
            <w:r w:rsidR="00D36A22">
              <w:rPr>
                <w:b/>
                <w:lang w:val="en-NZ"/>
              </w:rPr>
              <w:t>culturally specific</w:t>
            </w:r>
            <w:r w:rsidR="00E515FC" w:rsidRPr="00E515FC">
              <w:rPr>
                <w:b/>
                <w:lang w:val="en-NZ"/>
              </w:rPr>
              <w:t xml:space="preserve"> terms arising out of consultation</w:t>
            </w:r>
          </w:p>
        </w:tc>
      </w:tr>
      <w:tr w:rsidR="00557B86" w:rsidRPr="00A864A5" w14:paraId="43A4983D" w14:textId="32AB9B24" w:rsidTr="001E1444">
        <w:trPr>
          <w:trHeight w:val="501"/>
        </w:trPr>
        <w:tc>
          <w:tcPr>
            <w:tcW w:w="2229" w:type="dxa"/>
            <w:shd w:val="clear" w:color="auto" w:fill="99CDDD"/>
            <w:vAlign w:val="center"/>
          </w:tcPr>
          <w:p w14:paraId="23CC4425" w14:textId="77777777" w:rsidR="003D3FC0" w:rsidRDefault="00557B86" w:rsidP="002B1B9D">
            <w:pPr>
              <w:spacing w:before="60" w:after="60" w:line="240" w:lineRule="auto"/>
              <w:jc w:val="center"/>
              <w:rPr>
                <w:sz w:val="26"/>
                <w:szCs w:val="26"/>
                <w:lang w:eastAsia="en-NZ"/>
              </w:rPr>
            </w:pPr>
            <w:r w:rsidRPr="00197772">
              <w:rPr>
                <w:b/>
                <w:szCs w:val="22"/>
                <w:lang w:eastAsia="en-NZ"/>
              </w:rPr>
              <w:t>Inclusivity</w:t>
            </w:r>
            <w:r w:rsidRPr="00197772">
              <w:rPr>
                <w:sz w:val="26"/>
                <w:szCs w:val="26"/>
                <w:lang w:eastAsia="en-NZ"/>
              </w:rPr>
              <w:t xml:space="preserve"> </w:t>
            </w:r>
          </w:p>
          <w:p w14:paraId="62A9F0E1" w14:textId="31E7C70E" w:rsidR="00557B86" w:rsidRPr="00A864A5" w:rsidRDefault="00557B86" w:rsidP="002B1B9D">
            <w:pPr>
              <w:spacing w:before="60" w:after="60" w:line="240" w:lineRule="auto"/>
              <w:jc w:val="center"/>
              <w:rPr>
                <w:rFonts w:cs="Arial"/>
                <w:b/>
                <w:color w:val="000000"/>
                <w:szCs w:val="22"/>
                <w:lang w:val="en-NZ"/>
              </w:rPr>
            </w:pPr>
            <w:r w:rsidRPr="00197772">
              <w:rPr>
                <w:i/>
                <w:sz w:val="16"/>
                <w:szCs w:val="16"/>
                <w:lang w:eastAsia="en-NZ"/>
              </w:rPr>
              <w:t>People have access to birth certificates that represent their gender or sex</w:t>
            </w:r>
          </w:p>
        </w:tc>
        <w:tc>
          <w:tcPr>
            <w:tcW w:w="4866" w:type="dxa"/>
            <w:shd w:val="clear" w:color="auto" w:fill="auto"/>
          </w:tcPr>
          <w:p w14:paraId="7F84167D" w14:textId="77777777" w:rsidR="00557B86" w:rsidRDefault="00557B86" w:rsidP="002B1B9D">
            <w:pPr>
              <w:jc w:val="center"/>
              <w:rPr>
                <w:lang w:eastAsia="en-NZ"/>
              </w:rPr>
            </w:pPr>
            <w:r>
              <w:rPr>
                <w:lang w:eastAsia="en-NZ"/>
              </w:rPr>
              <w:t>0</w:t>
            </w:r>
          </w:p>
          <w:p w14:paraId="0797315F" w14:textId="1C521477" w:rsidR="00557B86" w:rsidRPr="00B740F5" w:rsidRDefault="00557B86" w:rsidP="00684A1D">
            <w:pPr>
              <w:keepLines/>
              <w:spacing w:before="56" w:after="32" w:line="240" w:lineRule="auto"/>
              <w:rPr>
                <w:bCs/>
                <w:lang w:val="en-NZ"/>
              </w:rPr>
            </w:pPr>
            <w:r w:rsidRPr="00684A1D">
              <w:rPr>
                <w:sz w:val="18"/>
                <w:szCs w:val="18"/>
                <w:lang w:eastAsia="en-NZ"/>
              </w:rPr>
              <w:t xml:space="preserve">Self-identification process will be inclusive of transgender men or women who do not wish to </w:t>
            </w:r>
            <w:r w:rsidR="00265977">
              <w:rPr>
                <w:sz w:val="18"/>
                <w:szCs w:val="18"/>
                <w:lang w:eastAsia="en-NZ"/>
              </w:rPr>
              <w:t xml:space="preserve">or cannot </w:t>
            </w:r>
            <w:r w:rsidRPr="00684A1D">
              <w:rPr>
                <w:sz w:val="18"/>
                <w:szCs w:val="18"/>
                <w:lang w:eastAsia="en-NZ"/>
              </w:rPr>
              <w:t>undertake medical treatment, but not of non-binary people.</w:t>
            </w:r>
          </w:p>
          <w:p w14:paraId="2C8AD330" w14:textId="466C8097" w:rsidR="00557B86" w:rsidRPr="00B740F5" w:rsidRDefault="00647305" w:rsidP="00684A1D">
            <w:pPr>
              <w:keepLines/>
              <w:spacing w:before="56" w:after="32" w:line="240" w:lineRule="auto"/>
              <w:rPr>
                <w:bCs/>
                <w:lang w:val="en-NZ"/>
              </w:rPr>
            </w:pPr>
            <w:r>
              <w:rPr>
                <w:sz w:val="18"/>
                <w:szCs w:val="18"/>
                <w:lang w:eastAsia="en-NZ"/>
              </w:rPr>
              <w:t>This option w</w:t>
            </w:r>
            <w:r w:rsidR="00557B86" w:rsidRPr="00684A1D">
              <w:rPr>
                <w:sz w:val="18"/>
                <w:szCs w:val="18"/>
                <w:lang w:eastAsia="en-NZ"/>
              </w:rPr>
              <w:t xml:space="preserve">ould not support Tino Rangatiratanga for </w:t>
            </w:r>
            <w:proofErr w:type="spellStart"/>
            <w:r w:rsidR="00557B86" w:rsidRPr="00684A1D">
              <w:rPr>
                <w:sz w:val="18"/>
                <w:szCs w:val="18"/>
                <w:lang w:eastAsia="en-NZ"/>
              </w:rPr>
              <w:t>takatāpui</w:t>
            </w:r>
            <w:proofErr w:type="spellEnd"/>
            <w:r w:rsidR="00557B86" w:rsidRPr="00684A1D">
              <w:rPr>
                <w:sz w:val="18"/>
                <w:szCs w:val="18"/>
                <w:lang w:eastAsia="en-NZ"/>
              </w:rPr>
              <w:t xml:space="preserve"> and would not be inclusive of people who identify with other </w:t>
            </w:r>
            <w:r w:rsidR="00D36A22">
              <w:rPr>
                <w:sz w:val="18"/>
                <w:szCs w:val="18"/>
                <w:lang w:eastAsia="en-NZ"/>
              </w:rPr>
              <w:t>culturally specific</w:t>
            </w:r>
            <w:r w:rsidR="00557B86" w:rsidRPr="00684A1D">
              <w:rPr>
                <w:sz w:val="18"/>
                <w:szCs w:val="18"/>
                <w:lang w:eastAsia="en-NZ"/>
              </w:rPr>
              <w:t xml:space="preserve"> genders.</w:t>
            </w:r>
          </w:p>
        </w:tc>
        <w:tc>
          <w:tcPr>
            <w:tcW w:w="4847" w:type="dxa"/>
            <w:shd w:val="clear" w:color="auto" w:fill="auto"/>
          </w:tcPr>
          <w:p w14:paraId="7CDA4B90" w14:textId="0F3F74AE" w:rsidR="00557B86" w:rsidRPr="00083463" w:rsidRDefault="002C65AB" w:rsidP="002B1B9D">
            <w:pPr>
              <w:jc w:val="center"/>
              <w:rPr>
                <w:szCs w:val="22"/>
                <w:lang w:eastAsia="en-NZ"/>
              </w:rPr>
            </w:pPr>
            <w:r>
              <w:rPr>
                <w:rFonts w:cs="Arial"/>
                <w:b/>
                <w:color w:val="00B050"/>
                <w:sz w:val="20"/>
              </w:rPr>
              <w:t>+</w:t>
            </w:r>
          </w:p>
          <w:p w14:paraId="5D91D5B0" w14:textId="238D54B2" w:rsidR="00557B86" w:rsidRPr="00684A1D" w:rsidRDefault="00011CFE" w:rsidP="00684A1D">
            <w:pPr>
              <w:keepLines/>
              <w:spacing w:before="56" w:after="32" w:line="240" w:lineRule="auto"/>
              <w:rPr>
                <w:rFonts w:cstheme="minorBidi"/>
                <w:sz w:val="18"/>
                <w:szCs w:val="18"/>
                <w:lang w:eastAsia="en-NZ"/>
              </w:rPr>
            </w:pPr>
            <w:r>
              <w:rPr>
                <w:sz w:val="18"/>
                <w:szCs w:val="18"/>
                <w:lang w:eastAsia="en-NZ"/>
              </w:rPr>
              <w:t>U</w:t>
            </w:r>
            <w:r w:rsidR="00557B86" w:rsidRPr="00684A1D">
              <w:rPr>
                <w:sz w:val="18"/>
                <w:szCs w:val="18"/>
                <w:lang w:eastAsia="en-NZ"/>
              </w:rPr>
              <w:t>mbrella gender term</w:t>
            </w:r>
            <w:r w:rsidR="00DC3FD0">
              <w:rPr>
                <w:sz w:val="18"/>
                <w:szCs w:val="18"/>
                <w:lang w:eastAsia="en-NZ"/>
              </w:rPr>
              <w:t>s</w:t>
            </w:r>
            <w:r w:rsidR="00557B86" w:rsidRPr="00684A1D">
              <w:rPr>
                <w:sz w:val="18"/>
                <w:szCs w:val="18"/>
                <w:lang w:eastAsia="en-NZ"/>
              </w:rPr>
              <w:t xml:space="preserve"> would provide some recognition of genders outside of the binary.</w:t>
            </w:r>
          </w:p>
          <w:p w14:paraId="75A1D2E9" w14:textId="0D48715E" w:rsidR="00557B86" w:rsidRPr="00B740F5" w:rsidRDefault="00011CFE" w:rsidP="00684A1D">
            <w:pPr>
              <w:keepLines/>
              <w:spacing w:before="56" w:after="32" w:line="240" w:lineRule="auto"/>
              <w:rPr>
                <w:i/>
                <w:iCs/>
                <w:lang w:val="en-NZ"/>
              </w:rPr>
            </w:pPr>
            <w:r>
              <w:rPr>
                <w:sz w:val="18"/>
                <w:szCs w:val="18"/>
                <w:lang w:eastAsia="en-NZ"/>
              </w:rPr>
              <w:t>This option c</w:t>
            </w:r>
            <w:r w:rsidR="00557B86" w:rsidRPr="00684A1D">
              <w:rPr>
                <w:sz w:val="18"/>
                <w:szCs w:val="18"/>
                <w:lang w:eastAsia="en-NZ"/>
              </w:rPr>
              <w:t xml:space="preserve">ould support Tino Rangatiratanga for </w:t>
            </w:r>
            <w:proofErr w:type="spellStart"/>
            <w:r w:rsidR="00557B86" w:rsidRPr="00684A1D">
              <w:rPr>
                <w:sz w:val="18"/>
                <w:szCs w:val="18"/>
                <w:lang w:eastAsia="en-NZ"/>
              </w:rPr>
              <w:t>takatāpui</w:t>
            </w:r>
            <w:proofErr w:type="spellEnd"/>
            <w:r w:rsidR="00647305">
              <w:rPr>
                <w:sz w:val="18"/>
                <w:szCs w:val="18"/>
                <w:lang w:eastAsia="en-NZ"/>
              </w:rPr>
              <w:t xml:space="preserve"> and be somewhat culturally inclusive if </w:t>
            </w:r>
            <w:r w:rsidR="00647305" w:rsidRPr="00684A1D">
              <w:rPr>
                <w:sz w:val="18"/>
                <w:szCs w:val="18"/>
              </w:rPr>
              <w:t>MVPFAFF+ is considered an appropriate umbrella term for Pacific genders. Although this</w:t>
            </w:r>
            <w:r>
              <w:rPr>
                <w:sz w:val="18"/>
                <w:szCs w:val="18"/>
              </w:rPr>
              <w:t xml:space="preserve"> option</w:t>
            </w:r>
            <w:r w:rsidR="00647305" w:rsidRPr="00684A1D">
              <w:rPr>
                <w:sz w:val="18"/>
                <w:szCs w:val="18"/>
              </w:rPr>
              <w:t xml:space="preserve"> would still exclude</w:t>
            </w:r>
            <w:r>
              <w:rPr>
                <w:sz w:val="18"/>
                <w:szCs w:val="18"/>
              </w:rPr>
              <w:t xml:space="preserve"> people who identify with</w:t>
            </w:r>
            <w:r w:rsidR="00647305" w:rsidRPr="00684A1D">
              <w:rPr>
                <w:sz w:val="18"/>
                <w:szCs w:val="18"/>
              </w:rPr>
              <w:t xml:space="preserve"> other culturally specific genders.</w:t>
            </w:r>
          </w:p>
          <w:p w14:paraId="64D49E0B" w14:textId="2F31EDB4" w:rsidR="00557B86" w:rsidRPr="00B740F5" w:rsidRDefault="00557B86" w:rsidP="00684A1D">
            <w:pPr>
              <w:keepLines/>
              <w:spacing w:before="56" w:after="32" w:line="240" w:lineRule="auto"/>
              <w:rPr>
                <w:i/>
                <w:iCs/>
                <w:lang w:val="en-NZ"/>
              </w:rPr>
            </w:pPr>
          </w:p>
        </w:tc>
        <w:tc>
          <w:tcPr>
            <w:tcW w:w="4818" w:type="dxa"/>
          </w:tcPr>
          <w:p w14:paraId="6DF2F101" w14:textId="550FB3B8" w:rsidR="00557B86" w:rsidRDefault="00557B86" w:rsidP="002B1B9D">
            <w:pPr>
              <w:jc w:val="center"/>
              <w:rPr>
                <w:lang w:eastAsia="en-NZ"/>
              </w:rPr>
            </w:pPr>
            <w:r w:rsidRPr="00A864A5">
              <w:rPr>
                <w:rFonts w:cs="Arial"/>
                <w:b/>
                <w:color w:val="00B050"/>
                <w:sz w:val="20"/>
              </w:rPr>
              <w:t>++</w:t>
            </w:r>
          </w:p>
          <w:p w14:paraId="1C14AAE0" w14:textId="43E5A650" w:rsidR="00557B86" w:rsidRPr="00684A1D" w:rsidRDefault="00011CFE" w:rsidP="00684A1D">
            <w:pPr>
              <w:keepLines/>
              <w:spacing w:before="56" w:after="32" w:line="240" w:lineRule="auto"/>
              <w:rPr>
                <w:sz w:val="18"/>
                <w:szCs w:val="18"/>
                <w:lang w:eastAsia="en-NZ"/>
              </w:rPr>
            </w:pPr>
            <w:r>
              <w:rPr>
                <w:sz w:val="18"/>
                <w:szCs w:val="18"/>
                <w:lang w:eastAsia="en-NZ"/>
              </w:rPr>
              <w:t xml:space="preserve">This could provide more coverage </w:t>
            </w:r>
            <w:r w:rsidR="00557B86" w:rsidRPr="00684A1D">
              <w:rPr>
                <w:sz w:val="18"/>
                <w:szCs w:val="18"/>
                <w:lang w:eastAsia="en-NZ"/>
              </w:rPr>
              <w:t xml:space="preserve">compared to only having </w:t>
            </w:r>
            <w:r>
              <w:rPr>
                <w:sz w:val="18"/>
                <w:szCs w:val="18"/>
                <w:lang w:eastAsia="en-NZ"/>
              </w:rPr>
              <w:t>umbrella terms</w:t>
            </w:r>
            <w:r w:rsidR="00557B86" w:rsidRPr="00684A1D">
              <w:rPr>
                <w:sz w:val="18"/>
                <w:szCs w:val="18"/>
                <w:lang w:eastAsia="en-NZ"/>
              </w:rPr>
              <w:t xml:space="preserve">. </w:t>
            </w:r>
          </w:p>
          <w:p w14:paraId="416CEB94" w14:textId="4B8E0436" w:rsidR="00557B86" w:rsidRPr="00B740F5" w:rsidRDefault="00011CFE" w:rsidP="00684A1D">
            <w:pPr>
              <w:keepLines/>
              <w:spacing w:before="56" w:after="32" w:line="240" w:lineRule="auto"/>
              <w:rPr>
                <w:lang w:val="en-NZ"/>
              </w:rPr>
            </w:pPr>
            <w:r>
              <w:rPr>
                <w:sz w:val="18"/>
                <w:szCs w:val="18"/>
                <w:lang w:eastAsia="en-NZ"/>
              </w:rPr>
              <w:t>This option c</w:t>
            </w:r>
            <w:r w:rsidR="00557B86" w:rsidRPr="00684A1D">
              <w:rPr>
                <w:sz w:val="18"/>
                <w:szCs w:val="18"/>
                <w:lang w:eastAsia="en-NZ"/>
              </w:rPr>
              <w:t xml:space="preserve">ould support Tino Rangatiratanga for </w:t>
            </w:r>
            <w:proofErr w:type="spellStart"/>
            <w:r w:rsidR="00557B86" w:rsidRPr="00684A1D">
              <w:rPr>
                <w:sz w:val="18"/>
                <w:szCs w:val="18"/>
                <w:lang w:eastAsia="en-NZ"/>
              </w:rPr>
              <w:t>takatāpui</w:t>
            </w:r>
            <w:proofErr w:type="spellEnd"/>
            <w:r w:rsidR="00557B86" w:rsidRPr="00684A1D">
              <w:rPr>
                <w:sz w:val="18"/>
                <w:szCs w:val="18"/>
                <w:lang w:eastAsia="en-NZ"/>
              </w:rPr>
              <w:t>.</w:t>
            </w:r>
            <w:r>
              <w:rPr>
                <w:sz w:val="18"/>
                <w:szCs w:val="18"/>
                <w:lang w:eastAsia="en-NZ"/>
              </w:rPr>
              <w:t xml:space="preserve"> This c</w:t>
            </w:r>
            <w:r w:rsidR="00557B86" w:rsidRPr="00684A1D">
              <w:rPr>
                <w:sz w:val="18"/>
                <w:szCs w:val="18"/>
                <w:lang w:eastAsia="en-NZ"/>
              </w:rPr>
              <w:t xml:space="preserve">ould be inclusive of people who identify with other </w:t>
            </w:r>
            <w:r w:rsidR="00D36A22">
              <w:rPr>
                <w:sz w:val="18"/>
                <w:szCs w:val="18"/>
                <w:lang w:eastAsia="en-NZ"/>
              </w:rPr>
              <w:t>culturally specific</w:t>
            </w:r>
            <w:r w:rsidR="00557B86" w:rsidRPr="00684A1D">
              <w:rPr>
                <w:sz w:val="18"/>
                <w:szCs w:val="18"/>
                <w:lang w:eastAsia="en-NZ"/>
              </w:rPr>
              <w:t xml:space="preserve"> genders.</w:t>
            </w:r>
          </w:p>
        </w:tc>
        <w:tc>
          <w:tcPr>
            <w:tcW w:w="4818" w:type="dxa"/>
          </w:tcPr>
          <w:p w14:paraId="4B1317CD" w14:textId="70516EC1" w:rsidR="00557B86" w:rsidRDefault="002C65AB" w:rsidP="002B1B9D">
            <w:pPr>
              <w:jc w:val="center"/>
              <w:rPr>
                <w:lang w:eastAsia="en-NZ"/>
              </w:rPr>
            </w:pPr>
            <w:r>
              <w:rPr>
                <w:rFonts w:cs="Arial"/>
                <w:b/>
                <w:color w:val="00B050"/>
                <w:sz w:val="20"/>
              </w:rPr>
              <w:t>++</w:t>
            </w:r>
          </w:p>
          <w:p w14:paraId="3684F87A" w14:textId="6968648A" w:rsidR="00557B86" w:rsidRPr="00684A1D" w:rsidRDefault="00F75BEA" w:rsidP="00684A1D">
            <w:pPr>
              <w:keepLines/>
              <w:spacing w:before="56" w:after="32" w:line="240" w:lineRule="auto"/>
              <w:rPr>
                <w:sz w:val="18"/>
                <w:szCs w:val="18"/>
                <w:lang w:eastAsia="en-NZ"/>
              </w:rPr>
            </w:pPr>
            <w:r>
              <w:rPr>
                <w:sz w:val="18"/>
                <w:szCs w:val="18"/>
                <w:lang w:eastAsia="en-NZ"/>
              </w:rPr>
              <w:t>This w</w:t>
            </w:r>
            <w:r w:rsidR="00557B86" w:rsidRPr="00684A1D">
              <w:rPr>
                <w:sz w:val="18"/>
                <w:szCs w:val="18"/>
                <w:lang w:eastAsia="en-NZ"/>
              </w:rPr>
              <w:t>ould provide comprehensive coverage of western gender terms, likely ensuring almost all people who identify with a western gender term would be included in the self-identification process.</w:t>
            </w:r>
            <w:r>
              <w:rPr>
                <w:sz w:val="18"/>
                <w:szCs w:val="18"/>
                <w:lang w:eastAsia="en-NZ"/>
              </w:rPr>
              <w:t xml:space="preserve"> </w:t>
            </w:r>
          </w:p>
          <w:p w14:paraId="7C6B9375" w14:textId="5FD5A24C" w:rsidR="00557B86" w:rsidRPr="00B740F5" w:rsidRDefault="00F75BEA" w:rsidP="00684A1D">
            <w:pPr>
              <w:keepLines/>
              <w:spacing w:before="56" w:after="32" w:line="240" w:lineRule="auto"/>
              <w:rPr>
                <w:lang w:val="en-NZ"/>
              </w:rPr>
            </w:pPr>
            <w:r>
              <w:rPr>
                <w:sz w:val="18"/>
                <w:szCs w:val="18"/>
                <w:lang w:eastAsia="en-NZ"/>
              </w:rPr>
              <w:t>This option c</w:t>
            </w:r>
            <w:r w:rsidR="00557B86" w:rsidRPr="00684A1D">
              <w:rPr>
                <w:sz w:val="18"/>
                <w:szCs w:val="18"/>
                <w:lang w:eastAsia="en-NZ"/>
              </w:rPr>
              <w:t xml:space="preserve">ould support Tino Rangatiratanga for </w:t>
            </w:r>
            <w:proofErr w:type="spellStart"/>
            <w:r w:rsidR="00557B86" w:rsidRPr="00684A1D">
              <w:rPr>
                <w:sz w:val="18"/>
                <w:szCs w:val="18"/>
                <w:lang w:eastAsia="en-NZ"/>
              </w:rPr>
              <w:t>takatāpui</w:t>
            </w:r>
            <w:proofErr w:type="spellEnd"/>
            <w:r w:rsidR="00557B86" w:rsidRPr="00684A1D">
              <w:rPr>
                <w:sz w:val="18"/>
                <w:szCs w:val="18"/>
                <w:lang w:eastAsia="en-NZ"/>
              </w:rPr>
              <w:t xml:space="preserve"> and other </w:t>
            </w:r>
            <w:r w:rsidR="005B065F" w:rsidRPr="00684A1D">
              <w:rPr>
                <w:sz w:val="18"/>
                <w:szCs w:val="18"/>
                <w:lang w:eastAsia="en-NZ"/>
              </w:rPr>
              <w:t>non-binary</w:t>
            </w:r>
            <w:r w:rsidR="00557B86" w:rsidRPr="00684A1D">
              <w:rPr>
                <w:sz w:val="18"/>
                <w:szCs w:val="18"/>
                <w:lang w:eastAsia="en-NZ"/>
              </w:rPr>
              <w:t xml:space="preserve"> Māori.</w:t>
            </w:r>
            <w:r>
              <w:rPr>
                <w:sz w:val="18"/>
                <w:szCs w:val="18"/>
                <w:lang w:eastAsia="en-NZ"/>
              </w:rPr>
              <w:t xml:space="preserve"> </w:t>
            </w:r>
            <w:r w:rsidR="00DA2CF0">
              <w:rPr>
                <w:sz w:val="18"/>
                <w:szCs w:val="18"/>
                <w:lang w:eastAsia="en-NZ"/>
              </w:rPr>
              <w:t xml:space="preserve">This </w:t>
            </w:r>
            <w:r w:rsidR="008218A9">
              <w:rPr>
                <w:sz w:val="18"/>
                <w:szCs w:val="18"/>
                <w:lang w:eastAsia="en-NZ"/>
              </w:rPr>
              <w:t xml:space="preserve">option </w:t>
            </w:r>
            <w:r w:rsidR="00DA2CF0">
              <w:rPr>
                <w:sz w:val="18"/>
                <w:szCs w:val="18"/>
                <w:lang w:eastAsia="en-NZ"/>
              </w:rPr>
              <w:t>c</w:t>
            </w:r>
            <w:r w:rsidR="00557B86" w:rsidRPr="00684A1D">
              <w:rPr>
                <w:sz w:val="18"/>
                <w:szCs w:val="18"/>
                <w:lang w:eastAsia="en-NZ"/>
              </w:rPr>
              <w:t>ould</w:t>
            </w:r>
            <w:r w:rsidR="008218A9">
              <w:rPr>
                <w:sz w:val="18"/>
                <w:szCs w:val="18"/>
                <w:lang w:eastAsia="en-NZ"/>
              </w:rPr>
              <w:t xml:space="preserve"> also</w:t>
            </w:r>
            <w:r w:rsidR="00557B86" w:rsidRPr="00684A1D">
              <w:rPr>
                <w:sz w:val="18"/>
                <w:szCs w:val="18"/>
                <w:lang w:eastAsia="en-NZ"/>
              </w:rPr>
              <w:t xml:space="preserve"> be more inclusive of people who identify with other </w:t>
            </w:r>
            <w:r w:rsidR="00D36A22">
              <w:rPr>
                <w:sz w:val="18"/>
                <w:szCs w:val="18"/>
                <w:lang w:eastAsia="en-NZ"/>
              </w:rPr>
              <w:t>culturally specific</w:t>
            </w:r>
            <w:r w:rsidR="00557B86" w:rsidRPr="00684A1D">
              <w:rPr>
                <w:sz w:val="18"/>
                <w:szCs w:val="18"/>
                <w:lang w:eastAsia="en-NZ"/>
              </w:rPr>
              <w:t xml:space="preserve"> genders.</w:t>
            </w:r>
          </w:p>
        </w:tc>
      </w:tr>
      <w:tr w:rsidR="00557B86" w:rsidRPr="00A864A5" w14:paraId="0F4EE0FC" w14:textId="3BE6C832" w:rsidTr="001E1444">
        <w:trPr>
          <w:trHeight w:val="308"/>
        </w:trPr>
        <w:tc>
          <w:tcPr>
            <w:tcW w:w="2229" w:type="dxa"/>
            <w:shd w:val="clear" w:color="auto" w:fill="99CDDD"/>
            <w:vAlign w:val="center"/>
          </w:tcPr>
          <w:p w14:paraId="1C714609" w14:textId="14577945" w:rsidR="00557B86" w:rsidRPr="00A864A5" w:rsidRDefault="006728DB" w:rsidP="002B1B9D">
            <w:pPr>
              <w:spacing w:before="60" w:after="60" w:line="240" w:lineRule="auto"/>
              <w:jc w:val="center"/>
              <w:rPr>
                <w:rFonts w:cs="Arial"/>
                <w:b/>
                <w:color w:val="000000"/>
                <w:szCs w:val="22"/>
                <w:lang w:val="en-NZ"/>
              </w:rPr>
            </w:pPr>
            <w:r>
              <w:rPr>
                <w:b/>
                <w:szCs w:val="22"/>
                <w:lang w:eastAsia="en-NZ"/>
              </w:rPr>
              <w:t>Future-proof</w:t>
            </w:r>
            <w:r w:rsidR="00557B86">
              <w:rPr>
                <w:b/>
                <w:lang w:eastAsia="en-NZ"/>
              </w:rPr>
              <w:br/>
            </w:r>
            <w:r w:rsidR="00557B86">
              <w:rPr>
                <w:i/>
                <w:sz w:val="16"/>
                <w:szCs w:val="16"/>
                <w:lang w:eastAsia="en-NZ"/>
              </w:rPr>
              <w:t>Can adjust with New Zealanders evolving views on gender</w:t>
            </w:r>
          </w:p>
        </w:tc>
        <w:tc>
          <w:tcPr>
            <w:tcW w:w="4866" w:type="dxa"/>
            <w:shd w:val="clear" w:color="auto" w:fill="auto"/>
          </w:tcPr>
          <w:p w14:paraId="448E8604" w14:textId="77777777" w:rsidR="00557B86" w:rsidRDefault="00557B86" w:rsidP="002B1B9D">
            <w:pPr>
              <w:jc w:val="center"/>
              <w:rPr>
                <w:lang w:eastAsia="en-NZ"/>
              </w:rPr>
            </w:pPr>
            <w:r>
              <w:rPr>
                <w:lang w:eastAsia="en-NZ"/>
              </w:rPr>
              <w:t>0</w:t>
            </w:r>
          </w:p>
          <w:p w14:paraId="409893FF" w14:textId="342054BF" w:rsidR="00557B86" w:rsidRPr="00A864A5" w:rsidRDefault="00F75BEA" w:rsidP="00684A1D">
            <w:pPr>
              <w:pStyle w:val="ListParagraph"/>
              <w:keepLines/>
              <w:spacing w:before="56" w:after="32" w:line="240" w:lineRule="auto"/>
              <w:ind w:left="0"/>
              <w:contextualSpacing w:val="0"/>
              <w:rPr>
                <w:bCs/>
                <w:lang w:val="en-NZ"/>
              </w:rPr>
            </w:pPr>
            <w:r>
              <w:rPr>
                <w:sz w:val="18"/>
                <w:szCs w:val="18"/>
                <w:lang w:eastAsia="en-NZ"/>
              </w:rPr>
              <w:t>This option w</w:t>
            </w:r>
            <w:r w:rsidR="00557B86">
              <w:rPr>
                <w:sz w:val="18"/>
                <w:szCs w:val="18"/>
                <w:lang w:eastAsia="en-NZ"/>
              </w:rPr>
              <w:t xml:space="preserve">ould provide no </w:t>
            </w:r>
            <w:r>
              <w:rPr>
                <w:sz w:val="18"/>
                <w:szCs w:val="18"/>
                <w:lang w:eastAsia="en-NZ"/>
              </w:rPr>
              <w:t>suitable terms for</w:t>
            </w:r>
            <w:r w:rsidR="00557B86">
              <w:rPr>
                <w:sz w:val="18"/>
                <w:szCs w:val="18"/>
                <w:lang w:eastAsia="en-NZ"/>
              </w:rPr>
              <w:t xml:space="preserve"> non-binary people</w:t>
            </w:r>
            <w:r>
              <w:rPr>
                <w:sz w:val="18"/>
                <w:szCs w:val="18"/>
                <w:lang w:eastAsia="en-NZ"/>
              </w:rPr>
              <w:t xml:space="preserve"> even</w:t>
            </w:r>
            <w:r w:rsidR="00557B86">
              <w:rPr>
                <w:sz w:val="18"/>
                <w:szCs w:val="18"/>
                <w:lang w:eastAsia="en-NZ"/>
              </w:rPr>
              <w:t xml:space="preserve"> if there was increasing demand for non-binary or </w:t>
            </w:r>
            <w:r w:rsidR="00D36A22">
              <w:rPr>
                <w:sz w:val="18"/>
                <w:szCs w:val="18"/>
                <w:lang w:eastAsia="en-NZ"/>
              </w:rPr>
              <w:t>culturally specific</w:t>
            </w:r>
            <w:r w:rsidR="00557B86">
              <w:rPr>
                <w:sz w:val="18"/>
                <w:szCs w:val="18"/>
                <w:lang w:eastAsia="en-NZ"/>
              </w:rPr>
              <w:t xml:space="preserve"> options.</w:t>
            </w:r>
          </w:p>
        </w:tc>
        <w:tc>
          <w:tcPr>
            <w:tcW w:w="4847" w:type="dxa"/>
            <w:shd w:val="clear" w:color="auto" w:fill="auto"/>
          </w:tcPr>
          <w:p w14:paraId="7DE03C08" w14:textId="2B55ED70" w:rsidR="00557B86" w:rsidRDefault="002C65AB" w:rsidP="002B1B9D">
            <w:pPr>
              <w:jc w:val="center"/>
              <w:rPr>
                <w:lang w:eastAsia="en-NZ"/>
              </w:rPr>
            </w:pPr>
            <w:r>
              <w:rPr>
                <w:rFonts w:cs="Arial"/>
                <w:b/>
                <w:color w:val="00B050"/>
                <w:sz w:val="20"/>
              </w:rPr>
              <w:t>+</w:t>
            </w:r>
            <w:r w:rsidR="006728DB">
              <w:rPr>
                <w:rFonts w:cs="Arial"/>
                <w:b/>
                <w:color w:val="00B050"/>
                <w:sz w:val="20"/>
              </w:rPr>
              <w:t>+</w:t>
            </w:r>
          </w:p>
          <w:p w14:paraId="3872777A" w14:textId="3D3BEFE1" w:rsidR="00557B86" w:rsidRPr="00A864A5" w:rsidRDefault="00270594" w:rsidP="00684A1D">
            <w:pPr>
              <w:pStyle w:val="ListParagraph"/>
              <w:keepLines/>
              <w:spacing w:before="56" w:after="32" w:line="240" w:lineRule="auto"/>
              <w:ind w:left="0"/>
              <w:contextualSpacing w:val="0"/>
              <w:rPr>
                <w:lang w:val="en-NZ"/>
              </w:rPr>
            </w:pPr>
            <w:r>
              <w:rPr>
                <w:sz w:val="18"/>
                <w:szCs w:val="18"/>
                <w:lang w:eastAsia="en-NZ"/>
              </w:rPr>
              <w:t xml:space="preserve">Umbrella terms </w:t>
            </w:r>
            <w:r w:rsidR="00646D3D">
              <w:rPr>
                <w:sz w:val="18"/>
                <w:szCs w:val="18"/>
                <w:lang w:eastAsia="en-NZ"/>
              </w:rPr>
              <w:t>are well</w:t>
            </w:r>
            <w:r>
              <w:rPr>
                <w:sz w:val="18"/>
                <w:szCs w:val="18"/>
                <w:lang w:eastAsia="en-NZ"/>
              </w:rPr>
              <w:t xml:space="preserve"> established and commonly </w:t>
            </w:r>
            <w:r w:rsidR="00646D3D">
              <w:rPr>
                <w:sz w:val="18"/>
                <w:szCs w:val="18"/>
                <w:lang w:eastAsia="en-NZ"/>
              </w:rPr>
              <w:t>used so will likely have longevity</w:t>
            </w:r>
            <w:r w:rsidR="00557B86">
              <w:rPr>
                <w:sz w:val="18"/>
                <w:szCs w:val="18"/>
                <w:lang w:eastAsia="en-NZ"/>
              </w:rPr>
              <w:t>.</w:t>
            </w:r>
            <w:r w:rsidR="008F714C">
              <w:rPr>
                <w:sz w:val="18"/>
                <w:szCs w:val="18"/>
                <w:lang w:eastAsia="en-NZ"/>
              </w:rPr>
              <w:t xml:space="preserve"> It is assumed that</w:t>
            </w:r>
            <w:r w:rsidR="00F75BEA">
              <w:rPr>
                <w:sz w:val="18"/>
                <w:szCs w:val="18"/>
                <w:lang w:eastAsia="en-NZ"/>
              </w:rPr>
              <w:t xml:space="preserve"> ‘</w:t>
            </w:r>
            <w:r w:rsidR="008F714C">
              <w:rPr>
                <w:sz w:val="18"/>
                <w:szCs w:val="18"/>
                <w:lang w:eastAsia="en-NZ"/>
              </w:rPr>
              <w:t>a</w:t>
            </w:r>
            <w:r w:rsidR="00F75BEA">
              <w:rPr>
                <w:sz w:val="18"/>
                <w:szCs w:val="18"/>
                <w:lang w:eastAsia="en-NZ"/>
              </w:rPr>
              <w:t xml:space="preserve">nother gender’ </w:t>
            </w:r>
            <w:r w:rsidR="008F714C">
              <w:rPr>
                <w:sz w:val="18"/>
                <w:szCs w:val="18"/>
                <w:lang w:eastAsia="en-NZ"/>
              </w:rPr>
              <w:t>c</w:t>
            </w:r>
            <w:r w:rsidR="00F75BEA">
              <w:rPr>
                <w:sz w:val="18"/>
                <w:szCs w:val="18"/>
                <w:lang w:eastAsia="en-NZ"/>
              </w:rPr>
              <w:t xml:space="preserve">ould be available as a backstop </w:t>
            </w:r>
            <w:r w:rsidR="00FC09EE">
              <w:rPr>
                <w:sz w:val="18"/>
                <w:szCs w:val="18"/>
                <w:lang w:eastAsia="en-NZ"/>
              </w:rPr>
              <w:t xml:space="preserve">option </w:t>
            </w:r>
            <w:r w:rsidR="00F75BEA">
              <w:rPr>
                <w:sz w:val="18"/>
                <w:szCs w:val="18"/>
                <w:lang w:eastAsia="en-NZ"/>
              </w:rPr>
              <w:t>if the other umbrella terms become outdated.</w:t>
            </w:r>
          </w:p>
        </w:tc>
        <w:tc>
          <w:tcPr>
            <w:tcW w:w="4818" w:type="dxa"/>
          </w:tcPr>
          <w:p w14:paraId="7E7CAF9E" w14:textId="0976F217" w:rsidR="00557B86" w:rsidRDefault="002C65AB" w:rsidP="002B1B9D">
            <w:pPr>
              <w:jc w:val="center"/>
              <w:rPr>
                <w:lang w:eastAsia="en-NZ"/>
              </w:rPr>
            </w:pPr>
            <w:r>
              <w:rPr>
                <w:rFonts w:cs="Arial"/>
                <w:b/>
                <w:color w:val="00B050"/>
                <w:sz w:val="20"/>
              </w:rPr>
              <w:t>+</w:t>
            </w:r>
          </w:p>
          <w:p w14:paraId="362741FE" w14:textId="6CA20E5F" w:rsidR="00557B86" w:rsidRPr="00B740F5" w:rsidRDefault="00646D3D" w:rsidP="00684A1D">
            <w:pPr>
              <w:keepLines/>
              <w:spacing w:before="56" w:after="32" w:line="240" w:lineRule="auto"/>
              <w:rPr>
                <w:lang w:val="en-NZ"/>
              </w:rPr>
            </w:pPr>
            <w:r w:rsidRPr="00684A1D">
              <w:rPr>
                <w:sz w:val="18"/>
                <w:szCs w:val="18"/>
                <w:lang w:eastAsia="en-NZ"/>
              </w:rPr>
              <w:t xml:space="preserve">More commonly used or </w:t>
            </w:r>
            <w:r w:rsidR="00D2107A" w:rsidRPr="00684A1D">
              <w:rPr>
                <w:sz w:val="18"/>
                <w:szCs w:val="18"/>
                <w:lang w:eastAsia="en-NZ"/>
              </w:rPr>
              <w:t>well-established</w:t>
            </w:r>
            <w:r w:rsidRPr="00684A1D">
              <w:rPr>
                <w:sz w:val="18"/>
                <w:szCs w:val="18"/>
                <w:lang w:eastAsia="en-NZ"/>
              </w:rPr>
              <w:t xml:space="preserve"> gender terms will likely have longevity.</w:t>
            </w:r>
            <w:r w:rsidR="008F714C">
              <w:rPr>
                <w:sz w:val="18"/>
                <w:szCs w:val="18"/>
                <w:lang w:eastAsia="en-NZ"/>
              </w:rPr>
              <w:t xml:space="preserve"> It is assumed that</w:t>
            </w:r>
            <w:r w:rsidR="00FC09EE">
              <w:rPr>
                <w:sz w:val="18"/>
                <w:szCs w:val="18"/>
                <w:lang w:eastAsia="en-NZ"/>
              </w:rPr>
              <w:t xml:space="preserve"> ‘</w:t>
            </w:r>
            <w:r w:rsidR="008F714C">
              <w:rPr>
                <w:sz w:val="18"/>
                <w:szCs w:val="18"/>
                <w:lang w:eastAsia="en-NZ"/>
              </w:rPr>
              <w:t>a</w:t>
            </w:r>
            <w:r w:rsidR="00FC09EE">
              <w:rPr>
                <w:sz w:val="18"/>
                <w:szCs w:val="18"/>
                <w:lang w:eastAsia="en-NZ"/>
              </w:rPr>
              <w:t xml:space="preserve">nother gender’ </w:t>
            </w:r>
            <w:r w:rsidR="008F714C">
              <w:rPr>
                <w:sz w:val="18"/>
                <w:szCs w:val="18"/>
                <w:lang w:eastAsia="en-NZ"/>
              </w:rPr>
              <w:t>c</w:t>
            </w:r>
            <w:r w:rsidR="00FC09EE">
              <w:rPr>
                <w:sz w:val="18"/>
                <w:szCs w:val="18"/>
                <w:lang w:eastAsia="en-NZ"/>
              </w:rPr>
              <w:t>ould be available as a backstop option if terms become outdated.</w:t>
            </w:r>
          </w:p>
        </w:tc>
        <w:tc>
          <w:tcPr>
            <w:tcW w:w="4818" w:type="dxa"/>
          </w:tcPr>
          <w:p w14:paraId="3E8DC9B8" w14:textId="50BAB46E" w:rsidR="00557B86" w:rsidRDefault="00EB06A9" w:rsidP="002B1B9D">
            <w:pPr>
              <w:jc w:val="center"/>
              <w:rPr>
                <w:lang w:eastAsia="en-NZ"/>
              </w:rPr>
            </w:pPr>
            <w:r w:rsidRPr="00AD37EE">
              <w:rPr>
                <w:rFonts w:cs="Arial"/>
                <w:bCs/>
                <w:sz w:val="20"/>
              </w:rPr>
              <w:t>0</w:t>
            </w:r>
          </w:p>
          <w:p w14:paraId="1F9AF9DC" w14:textId="1D564130" w:rsidR="00557B86" w:rsidRPr="00B740F5" w:rsidRDefault="00BE0605" w:rsidP="00684A1D">
            <w:pPr>
              <w:keepLines/>
              <w:spacing w:before="56" w:after="32" w:line="240" w:lineRule="auto"/>
              <w:rPr>
                <w:lang w:val="en-NZ"/>
              </w:rPr>
            </w:pPr>
            <w:r>
              <w:rPr>
                <w:sz w:val="18"/>
                <w:szCs w:val="18"/>
                <w:lang w:eastAsia="en-NZ"/>
              </w:rPr>
              <w:t>This option would be inclusive of a range of gender terms. However, l</w:t>
            </w:r>
            <w:r w:rsidR="00646D3D" w:rsidRPr="00684A1D">
              <w:rPr>
                <w:sz w:val="18"/>
                <w:szCs w:val="18"/>
                <w:lang w:eastAsia="en-NZ"/>
              </w:rPr>
              <w:t>ess commonly used</w:t>
            </w:r>
            <w:r w:rsidR="00CB517C">
              <w:rPr>
                <w:sz w:val="18"/>
                <w:szCs w:val="18"/>
                <w:lang w:eastAsia="en-NZ"/>
              </w:rPr>
              <w:t>,</w:t>
            </w:r>
            <w:r w:rsidR="00646D3D" w:rsidRPr="00684A1D">
              <w:rPr>
                <w:sz w:val="18"/>
                <w:szCs w:val="18"/>
                <w:lang w:eastAsia="en-NZ"/>
              </w:rPr>
              <w:t xml:space="preserve"> or well</w:t>
            </w:r>
            <w:r w:rsidR="00FC09EE">
              <w:rPr>
                <w:sz w:val="18"/>
                <w:szCs w:val="18"/>
                <w:lang w:eastAsia="en-NZ"/>
              </w:rPr>
              <w:t>-</w:t>
            </w:r>
            <w:r w:rsidR="00646D3D" w:rsidRPr="00684A1D">
              <w:rPr>
                <w:sz w:val="18"/>
                <w:szCs w:val="18"/>
                <w:lang w:eastAsia="en-NZ"/>
              </w:rPr>
              <w:t xml:space="preserve">established gender terms </w:t>
            </w:r>
            <w:r w:rsidR="008E24CD">
              <w:rPr>
                <w:sz w:val="18"/>
                <w:szCs w:val="18"/>
                <w:lang w:eastAsia="en-NZ"/>
              </w:rPr>
              <w:t>may</w:t>
            </w:r>
            <w:r w:rsidR="00646D3D" w:rsidRPr="00684A1D">
              <w:rPr>
                <w:sz w:val="18"/>
                <w:szCs w:val="18"/>
                <w:lang w:eastAsia="en-NZ"/>
              </w:rPr>
              <w:t xml:space="preserve"> </w:t>
            </w:r>
            <w:r w:rsidR="008E24CD">
              <w:rPr>
                <w:sz w:val="18"/>
                <w:szCs w:val="18"/>
                <w:lang w:eastAsia="en-NZ"/>
              </w:rPr>
              <w:t xml:space="preserve">not </w:t>
            </w:r>
            <w:r w:rsidR="00646D3D" w:rsidRPr="00684A1D">
              <w:rPr>
                <w:sz w:val="18"/>
                <w:szCs w:val="18"/>
                <w:lang w:eastAsia="en-NZ"/>
              </w:rPr>
              <w:t>have longevity</w:t>
            </w:r>
            <w:r w:rsidR="00CB517C">
              <w:rPr>
                <w:sz w:val="18"/>
                <w:szCs w:val="18"/>
                <w:lang w:eastAsia="en-NZ"/>
              </w:rPr>
              <w:t>, and the communit</w:t>
            </w:r>
            <w:r w:rsidR="00D26178">
              <w:rPr>
                <w:sz w:val="18"/>
                <w:szCs w:val="18"/>
                <w:lang w:eastAsia="en-NZ"/>
              </w:rPr>
              <w:t>y may expect new terms to be updated</w:t>
            </w:r>
            <w:r w:rsidR="00CB517C">
              <w:rPr>
                <w:sz w:val="18"/>
                <w:szCs w:val="18"/>
                <w:lang w:eastAsia="en-NZ"/>
              </w:rPr>
              <w:t xml:space="preserve"> frequently</w:t>
            </w:r>
            <w:r w:rsidR="00557B86" w:rsidRPr="00684A1D">
              <w:rPr>
                <w:sz w:val="18"/>
                <w:szCs w:val="18"/>
                <w:lang w:eastAsia="en-NZ"/>
              </w:rPr>
              <w:t>.</w:t>
            </w:r>
            <w:r w:rsidR="00CB517C">
              <w:rPr>
                <w:sz w:val="18"/>
                <w:szCs w:val="18"/>
                <w:lang w:eastAsia="en-NZ"/>
              </w:rPr>
              <w:t xml:space="preserve"> Meeting community expectations </w:t>
            </w:r>
            <w:r w:rsidR="00D26178">
              <w:rPr>
                <w:sz w:val="18"/>
                <w:szCs w:val="18"/>
                <w:lang w:eastAsia="en-NZ"/>
              </w:rPr>
              <w:t xml:space="preserve">by </w:t>
            </w:r>
            <w:r w:rsidR="00CB517C">
              <w:rPr>
                <w:sz w:val="18"/>
                <w:szCs w:val="18"/>
                <w:lang w:eastAsia="en-NZ"/>
              </w:rPr>
              <w:t xml:space="preserve">assessing a larger range of terms, more often, </w:t>
            </w:r>
            <w:r w:rsidR="00D26178">
              <w:rPr>
                <w:sz w:val="18"/>
                <w:szCs w:val="18"/>
                <w:lang w:eastAsia="en-NZ"/>
              </w:rPr>
              <w:t>and creating new regulations</w:t>
            </w:r>
            <w:r w:rsidR="00A853DC">
              <w:rPr>
                <w:sz w:val="18"/>
                <w:szCs w:val="18"/>
                <w:lang w:eastAsia="en-NZ"/>
              </w:rPr>
              <w:t xml:space="preserve"> to make those updates</w:t>
            </w:r>
            <w:r w:rsidR="00D26178">
              <w:rPr>
                <w:sz w:val="18"/>
                <w:szCs w:val="18"/>
                <w:lang w:eastAsia="en-NZ"/>
              </w:rPr>
              <w:t xml:space="preserve"> </w:t>
            </w:r>
            <w:r w:rsidR="00CB517C">
              <w:rPr>
                <w:sz w:val="18"/>
                <w:szCs w:val="18"/>
                <w:lang w:eastAsia="en-NZ"/>
              </w:rPr>
              <w:t xml:space="preserve">may </w:t>
            </w:r>
            <w:r w:rsidR="00D26178">
              <w:rPr>
                <w:sz w:val="18"/>
                <w:szCs w:val="18"/>
                <w:lang w:eastAsia="en-NZ"/>
              </w:rPr>
              <w:t>not be</w:t>
            </w:r>
            <w:r w:rsidR="00CB517C">
              <w:rPr>
                <w:sz w:val="18"/>
                <w:szCs w:val="18"/>
                <w:lang w:eastAsia="en-NZ"/>
              </w:rPr>
              <w:t xml:space="preserve"> sustainable in the long term.</w:t>
            </w:r>
          </w:p>
        </w:tc>
      </w:tr>
      <w:tr w:rsidR="00557B86" w:rsidRPr="00A864A5" w14:paraId="1F59A3C2" w14:textId="652218CB" w:rsidTr="001E1444">
        <w:trPr>
          <w:trHeight w:val="308"/>
        </w:trPr>
        <w:tc>
          <w:tcPr>
            <w:tcW w:w="2229" w:type="dxa"/>
            <w:shd w:val="clear" w:color="auto" w:fill="99CDDD"/>
            <w:vAlign w:val="center"/>
          </w:tcPr>
          <w:p w14:paraId="263EC3F7" w14:textId="77777777" w:rsidR="00557B86" w:rsidRDefault="00557B86" w:rsidP="003D3FC0">
            <w:pPr>
              <w:spacing w:before="60" w:after="60" w:line="240" w:lineRule="auto"/>
              <w:jc w:val="center"/>
              <w:rPr>
                <w:b/>
                <w:szCs w:val="22"/>
                <w:lang w:eastAsia="en-NZ"/>
              </w:rPr>
            </w:pPr>
            <w:r w:rsidRPr="00197772">
              <w:rPr>
                <w:b/>
                <w:szCs w:val="22"/>
                <w:lang w:eastAsia="en-NZ"/>
              </w:rPr>
              <w:t>Practicality</w:t>
            </w:r>
          </w:p>
          <w:p w14:paraId="516F19E0" w14:textId="50F0983F" w:rsidR="00557B86" w:rsidRPr="00A864A5" w:rsidRDefault="00557B86" w:rsidP="002B1B9D">
            <w:pPr>
              <w:spacing w:before="60" w:after="60" w:line="240" w:lineRule="auto"/>
              <w:jc w:val="center"/>
              <w:rPr>
                <w:rFonts w:cs="Arial"/>
                <w:b/>
                <w:color w:val="000000"/>
                <w:szCs w:val="22"/>
                <w:lang w:val="en-NZ"/>
              </w:rPr>
            </w:pPr>
            <w:r>
              <w:rPr>
                <w:i/>
                <w:sz w:val="16"/>
                <w:szCs w:val="16"/>
                <w:lang w:eastAsia="en-NZ"/>
              </w:rPr>
              <w:t>Birth certificates can be effectively used to assert gender with service providers and across data systems</w:t>
            </w:r>
          </w:p>
        </w:tc>
        <w:tc>
          <w:tcPr>
            <w:tcW w:w="4866" w:type="dxa"/>
            <w:shd w:val="clear" w:color="auto" w:fill="auto"/>
          </w:tcPr>
          <w:p w14:paraId="6CF9DFDE" w14:textId="77777777" w:rsidR="00557B86" w:rsidRDefault="00557B86" w:rsidP="002B1B9D">
            <w:pPr>
              <w:jc w:val="center"/>
              <w:rPr>
                <w:lang w:eastAsia="en-NZ"/>
              </w:rPr>
            </w:pPr>
            <w:r>
              <w:rPr>
                <w:lang w:eastAsia="en-NZ"/>
              </w:rPr>
              <w:t>0</w:t>
            </w:r>
          </w:p>
          <w:p w14:paraId="30AFAF57" w14:textId="435B8E50" w:rsidR="00557B86" w:rsidRPr="00B740F5" w:rsidRDefault="00557B86" w:rsidP="00684A1D">
            <w:pPr>
              <w:keepLines/>
              <w:spacing w:before="56" w:after="32" w:line="240" w:lineRule="auto"/>
              <w:rPr>
                <w:bCs/>
                <w:lang w:val="en-NZ"/>
              </w:rPr>
            </w:pPr>
            <w:r w:rsidRPr="00684A1D">
              <w:rPr>
                <w:sz w:val="18"/>
                <w:szCs w:val="18"/>
                <w:lang w:eastAsia="en-NZ"/>
              </w:rPr>
              <w:t>Current data systems would not be affected, and information could be shared across systems easily.</w:t>
            </w:r>
            <w:r w:rsidR="00FC09EE">
              <w:rPr>
                <w:sz w:val="18"/>
                <w:szCs w:val="18"/>
                <w:lang w:eastAsia="en-NZ"/>
              </w:rPr>
              <w:t xml:space="preserve"> </w:t>
            </w:r>
          </w:p>
          <w:p w14:paraId="2E4085FC" w14:textId="0B5881A9" w:rsidR="00557B86" w:rsidRPr="00B740F5" w:rsidRDefault="00557B86" w:rsidP="00684A1D">
            <w:pPr>
              <w:keepLines/>
              <w:spacing w:before="56" w:after="32" w:line="240" w:lineRule="auto"/>
              <w:rPr>
                <w:bCs/>
                <w:lang w:val="en-NZ"/>
              </w:rPr>
            </w:pPr>
            <w:r w:rsidRPr="00684A1D">
              <w:rPr>
                <w:sz w:val="18"/>
                <w:szCs w:val="18"/>
                <w:lang w:eastAsia="en-NZ"/>
              </w:rPr>
              <w:t xml:space="preserve">People would not be supported to assert their gender with service providers and would </w:t>
            </w:r>
            <w:r w:rsidR="00FC09EE">
              <w:rPr>
                <w:sz w:val="18"/>
                <w:szCs w:val="18"/>
                <w:lang w:eastAsia="en-NZ"/>
              </w:rPr>
              <w:t>likely be misgendered in those data</w:t>
            </w:r>
            <w:r w:rsidRPr="00684A1D">
              <w:rPr>
                <w:sz w:val="18"/>
                <w:szCs w:val="18"/>
                <w:lang w:eastAsia="en-NZ"/>
              </w:rPr>
              <w:t>.</w:t>
            </w:r>
          </w:p>
        </w:tc>
        <w:tc>
          <w:tcPr>
            <w:tcW w:w="4847" w:type="dxa"/>
            <w:shd w:val="clear" w:color="auto" w:fill="auto"/>
          </w:tcPr>
          <w:p w14:paraId="5A0A9117" w14:textId="5B589F6F" w:rsidR="00557B86" w:rsidRPr="00E163B6" w:rsidRDefault="002C65AB" w:rsidP="002B1B9D">
            <w:pPr>
              <w:jc w:val="center"/>
              <w:rPr>
                <w:szCs w:val="22"/>
                <w:lang w:eastAsia="en-NZ"/>
              </w:rPr>
            </w:pPr>
            <w:r>
              <w:rPr>
                <w:rFonts w:cs="Arial"/>
                <w:b/>
                <w:color w:val="00B050"/>
                <w:sz w:val="20"/>
              </w:rPr>
              <w:t>++</w:t>
            </w:r>
          </w:p>
          <w:p w14:paraId="040DB8FD" w14:textId="148B28CF" w:rsidR="00557B86" w:rsidRPr="00B740F5" w:rsidRDefault="00FC09EE" w:rsidP="00684A1D">
            <w:pPr>
              <w:keepLines/>
              <w:spacing w:before="56" w:after="32" w:line="240" w:lineRule="auto"/>
              <w:rPr>
                <w:lang w:val="en-NZ"/>
              </w:rPr>
            </w:pPr>
            <w:r>
              <w:rPr>
                <w:sz w:val="18"/>
                <w:szCs w:val="18"/>
                <w:lang w:eastAsia="en-NZ"/>
              </w:rPr>
              <w:t>Using</w:t>
            </w:r>
            <w:r w:rsidR="00557B86" w:rsidRPr="00684A1D">
              <w:rPr>
                <w:sz w:val="18"/>
                <w:szCs w:val="18"/>
                <w:lang w:eastAsia="en-NZ"/>
              </w:rPr>
              <w:t xml:space="preserve"> umbrella term would align with the approach to sex/gender markers on passports and citizenship certificates</w:t>
            </w:r>
            <w:r w:rsidR="008218A9">
              <w:rPr>
                <w:sz w:val="18"/>
                <w:szCs w:val="18"/>
                <w:lang w:eastAsia="en-NZ"/>
              </w:rPr>
              <w:t>.</w:t>
            </w:r>
            <w:r>
              <w:rPr>
                <w:sz w:val="18"/>
                <w:szCs w:val="18"/>
                <w:lang w:eastAsia="en-NZ"/>
              </w:rPr>
              <w:t xml:space="preserve"> </w:t>
            </w:r>
            <w:r w:rsidR="008218A9">
              <w:rPr>
                <w:sz w:val="18"/>
                <w:szCs w:val="18"/>
                <w:lang w:eastAsia="en-NZ"/>
              </w:rPr>
              <w:t>It also</w:t>
            </w:r>
            <w:r>
              <w:rPr>
                <w:sz w:val="18"/>
                <w:szCs w:val="18"/>
                <w:lang w:eastAsia="en-NZ"/>
              </w:rPr>
              <w:t xml:space="preserve"> would align with the most common approach overseas,</w:t>
            </w:r>
            <w:r w:rsidR="00557B86" w:rsidRPr="00684A1D">
              <w:rPr>
                <w:sz w:val="18"/>
                <w:szCs w:val="18"/>
                <w:lang w:eastAsia="en-NZ"/>
              </w:rPr>
              <w:t xml:space="preserve"> so should be familiar to service providers and be able to be used in and across data systems.</w:t>
            </w:r>
            <w:r w:rsidR="00FF75D1">
              <w:rPr>
                <w:sz w:val="18"/>
                <w:szCs w:val="18"/>
                <w:lang w:eastAsia="en-NZ"/>
              </w:rPr>
              <w:t xml:space="preserve"> Alignment with passports and citizenship certificates would be </w:t>
            </w:r>
            <w:r w:rsidR="00BA62DD">
              <w:rPr>
                <w:sz w:val="18"/>
                <w:szCs w:val="18"/>
                <w:lang w:eastAsia="en-NZ"/>
              </w:rPr>
              <w:t xml:space="preserve">further </w:t>
            </w:r>
            <w:r w:rsidR="00FF75D1">
              <w:rPr>
                <w:sz w:val="18"/>
                <w:szCs w:val="18"/>
                <w:lang w:eastAsia="en-NZ"/>
              </w:rPr>
              <w:t>strengthened if the terms ‘gender diverse’ and/or ‘non-binary’ were the only terms included.</w:t>
            </w:r>
          </w:p>
          <w:p w14:paraId="7C60E5B1" w14:textId="0E95BFE4" w:rsidR="00557B86" w:rsidRPr="00B740F5" w:rsidRDefault="005A0840" w:rsidP="00684A1D">
            <w:pPr>
              <w:keepLines/>
              <w:spacing w:before="56" w:after="32" w:line="240" w:lineRule="auto"/>
              <w:rPr>
                <w:lang w:val="en-NZ"/>
              </w:rPr>
            </w:pPr>
            <w:proofErr w:type="spellStart"/>
            <w:r>
              <w:rPr>
                <w:sz w:val="18"/>
                <w:szCs w:val="18"/>
                <w:lang w:eastAsia="en-NZ"/>
              </w:rPr>
              <w:t>Takatāpui</w:t>
            </w:r>
            <w:proofErr w:type="spellEnd"/>
            <w:r>
              <w:rPr>
                <w:sz w:val="18"/>
                <w:szCs w:val="18"/>
                <w:lang w:eastAsia="en-NZ"/>
              </w:rPr>
              <w:t xml:space="preserve"> and MVPFAFF+</w:t>
            </w:r>
            <w:r w:rsidR="00557B86" w:rsidRPr="00684A1D">
              <w:rPr>
                <w:sz w:val="18"/>
                <w:szCs w:val="18"/>
                <w:lang w:eastAsia="en-NZ"/>
              </w:rPr>
              <w:t xml:space="preserve"> might not yet be recognised by service providers and across data systems, potentially making some birth certificates more difficult to use in the short-to-medium term.</w:t>
            </w:r>
          </w:p>
        </w:tc>
        <w:tc>
          <w:tcPr>
            <w:tcW w:w="4818" w:type="dxa"/>
          </w:tcPr>
          <w:p w14:paraId="2D4D1FD3" w14:textId="2CE298E2" w:rsidR="00557B86" w:rsidRDefault="002C65AB" w:rsidP="002B1B9D">
            <w:pPr>
              <w:jc w:val="center"/>
              <w:rPr>
                <w:lang w:eastAsia="en-NZ"/>
              </w:rPr>
            </w:pPr>
            <w:r>
              <w:rPr>
                <w:rFonts w:cs="Arial"/>
                <w:b/>
                <w:color w:val="00B050"/>
                <w:sz w:val="20"/>
              </w:rPr>
              <w:t>+</w:t>
            </w:r>
          </w:p>
          <w:p w14:paraId="1E83D1B9" w14:textId="02CAB760" w:rsidR="00557B86" w:rsidRPr="00A864A5" w:rsidRDefault="00557B86" w:rsidP="00B53952">
            <w:pPr>
              <w:keepLines/>
              <w:spacing w:before="56" w:after="32" w:line="240" w:lineRule="auto"/>
              <w:rPr>
                <w:lang w:val="en-NZ"/>
              </w:rPr>
            </w:pPr>
            <w:r w:rsidRPr="000A74AB">
              <w:rPr>
                <w:sz w:val="18"/>
                <w:szCs w:val="18"/>
                <w:lang w:eastAsia="en-NZ"/>
              </w:rPr>
              <w:t>Some terms would not be familiar to service providers or data systems. This may make some birth certificates more difficult to use in the short-to-medium term.</w:t>
            </w:r>
          </w:p>
        </w:tc>
        <w:tc>
          <w:tcPr>
            <w:tcW w:w="4818" w:type="dxa"/>
          </w:tcPr>
          <w:p w14:paraId="35E9898F" w14:textId="77777777" w:rsidR="00557B86" w:rsidRPr="00AB0265" w:rsidRDefault="00557B86" w:rsidP="002B1B9D">
            <w:pPr>
              <w:spacing w:before="56" w:after="32"/>
              <w:jc w:val="center"/>
              <w:rPr>
                <w:rFonts w:cstheme="minorBidi"/>
                <w:sz w:val="18"/>
                <w:szCs w:val="18"/>
                <w:lang w:eastAsia="en-NZ"/>
              </w:rPr>
            </w:pPr>
            <w:r>
              <w:rPr>
                <w:sz w:val="18"/>
                <w:szCs w:val="18"/>
                <w:lang w:eastAsia="en-NZ"/>
              </w:rPr>
              <w:t>0</w:t>
            </w:r>
          </w:p>
          <w:p w14:paraId="5DA27B52" w14:textId="6AAFA4E8" w:rsidR="00A853DC" w:rsidRPr="00BE0605" w:rsidRDefault="00557B86" w:rsidP="00BE0605">
            <w:pPr>
              <w:pStyle w:val="CommentText"/>
              <w:spacing w:line="240" w:lineRule="auto"/>
              <w:rPr>
                <w:rFonts w:cs="Arial"/>
                <w:sz w:val="18"/>
                <w:szCs w:val="18"/>
              </w:rPr>
            </w:pPr>
            <w:r w:rsidRPr="00BE0605">
              <w:rPr>
                <w:rFonts w:cs="Arial"/>
                <w:sz w:val="18"/>
                <w:szCs w:val="18"/>
                <w:lang w:eastAsia="en-NZ"/>
              </w:rPr>
              <w:t>Some sex markers may not be recognised by service providers or data systems, which might make birth certificates more difficult to use.</w:t>
            </w:r>
            <w:r w:rsidR="002D2F88" w:rsidRPr="00BE0605">
              <w:rPr>
                <w:rFonts w:cs="Arial"/>
                <w:sz w:val="18"/>
                <w:szCs w:val="18"/>
                <w:lang w:eastAsia="en-NZ"/>
              </w:rPr>
              <w:t xml:space="preserve"> </w:t>
            </w:r>
            <w:r w:rsidR="00A853DC" w:rsidRPr="00BE0605">
              <w:rPr>
                <w:rFonts w:cs="Arial"/>
                <w:sz w:val="18"/>
                <w:szCs w:val="18"/>
                <w:lang w:eastAsia="en-NZ"/>
              </w:rPr>
              <w:t xml:space="preserve">This could be exacerbated </w:t>
            </w:r>
            <w:r w:rsidR="00A90B18" w:rsidRPr="00BE0605">
              <w:rPr>
                <w:rFonts w:cs="Arial"/>
                <w:sz w:val="18"/>
                <w:szCs w:val="18"/>
                <w:lang w:eastAsia="en-NZ"/>
              </w:rPr>
              <w:t xml:space="preserve">by more extensive updates to the list of terms </w:t>
            </w:r>
            <w:r w:rsidR="00A853DC" w:rsidRPr="00BE0605">
              <w:rPr>
                <w:rFonts w:cs="Arial"/>
                <w:sz w:val="18"/>
                <w:szCs w:val="18"/>
                <w:lang w:eastAsia="en-NZ"/>
              </w:rPr>
              <w:t>over time.</w:t>
            </w:r>
            <w:r w:rsidR="00BE0605" w:rsidRPr="00BE0605">
              <w:rPr>
                <w:rFonts w:cs="Arial"/>
                <w:sz w:val="18"/>
                <w:szCs w:val="18"/>
                <w:lang w:eastAsia="en-NZ"/>
              </w:rPr>
              <w:t xml:space="preserve"> </w:t>
            </w:r>
            <w:proofErr w:type="spellStart"/>
            <w:r w:rsidR="00BE0605" w:rsidRPr="00BE0605">
              <w:rPr>
                <w:rFonts w:cs="Arial"/>
                <w:sz w:val="18"/>
                <w:szCs w:val="18"/>
                <w:lang w:eastAsia="en-NZ"/>
              </w:rPr>
              <w:t>StatsNZ’s</w:t>
            </w:r>
            <w:proofErr w:type="spellEnd"/>
            <w:r w:rsidR="00BE0605" w:rsidRPr="00BE0605">
              <w:rPr>
                <w:rFonts w:cs="Arial"/>
                <w:sz w:val="18"/>
                <w:szCs w:val="18"/>
                <w:lang w:eastAsia="en-NZ"/>
              </w:rPr>
              <w:t xml:space="preserve"> </w:t>
            </w:r>
            <w:r w:rsidR="00BE0605" w:rsidRPr="00BE0605">
              <w:rPr>
                <w:rFonts w:cs="Arial"/>
                <w:sz w:val="18"/>
                <w:szCs w:val="18"/>
              </w:rPr>
              <w:t xml:space="preserve">data standard </w:t>
            </w:r>
            <w:r w:rsidR="00BE0605">
              <w:rPr>
                <w:rFonts w:cs="Arial"/>
                <w:sz w:val="18"/>
                <w:szCs w:val="18"/>
              </w:rPr>
              <w:t>c</w:t>
            </w:r>
            <w:r w:rsidR="00BE0605" w:rsidRPr="00BE0605">
              <w:rPr>
                <w:rFonts w:cs="Arial"/>
                <w:sz w:val="18"/>
                <w:szCs w:val="18"/>
              </w:rPr>
              <w:t xml:space="preserve">ould mitigate this – </w:t>
            </w:r>
            <w:proofErr w:type="gramStart"/>
            <w:r w:rsidR="00BE0605" w:rsidRPr="00BE0605">
              <w:rPr>
                <w:rFonts w:cs="Arial"/>
                <w:sz w:val="18"/>
                <w:szCs w:val="18"/>
              </w:rPr>
              <w:t>i.e.</w:t>
            </w:r>
            <w:proofErr w:type="gramEnd"/>
            <w:r w:rsidR="00BE0605" w:rsidRPr="00BE0605">
              <w:rPr>
                <w:rFonts w:cs="Arial"/>
                <w:sz w:val="18"/>
                <w:szCs w:val="18"/>
              </w:rPr>
              <w:t xml:space="preserve"> if people put anything other than male or female it can be categorised as another gender. But th</w:t>
            </w:r>
            <w:r w:rsidR="00BE0605">
              <w:rPr>
                <w:rFonts w:cs="Arial"/>
                <w:sz w:val="18"/>
                <w:szCs w:val="18"/>
              </w:rPr>
              <w:t>i</w:t>
            </w:r>
            <w:r w:rsidR="00BE0605" w:rsidRPr="00BE0605">
              <w:rPr>
                <w:rFonts w:cs="Arial"/>
                <w:sz w:val="18"/>
                <w:szCs w:val="18"/>
              </w:rPr>
              <w:t>s</w:t>
            </w:r>
            <w:r w:rsidR="00BE0605">
              <w:rPr>
                <w:rFonts w:cs="Arial"/>
                <w:sz w:val="18"/>
                <w:szCs w:val="18"/>
              </w:rPr>
              <w:t xml:space="preserve"> would be</w:t>
            </w:r>
            <w:r w:rsidR="00BE0605" w:rsidRPr="00BE0605">
              <w:rPr>
                <w:rFonts w:cs="Arial"/>
                <w:sz w:val="18"/>
                <w:szCs w:val="18"/>
              </w:rPr>
              <w:t xml:space="preserve"> limited to public sector agencies.</w:t>
            </w:r>
          </w:p>
          <w:p w14:paraId="681E01A1" w14:textId="31E2FBFF" w:rsidR="002D2F88" w:rsidRPr="00B740F5" w:rsidRDefault="002D2F88" w:rsidP="00684A1D">
            <w:pPr>
              <w:keepLines/>
              <w:spacing w:before="56" w:after="32" w:line="240" w:lineRule="auto"/>
              <w:rPr>
                <w:lang w:val="en-NZ"/>
              </w:rPr>
            </w:pPr>
          </w:p>
        </w:tc>
      </w:tr>
      <w:tr w:rsidR="00557B86" w:rsidRPr="00A864A5" w14:paraId="610535B6" w14:textId="099B4A7C" w:rsidTr="001E1444">
        <w:trPr>
          <w:trHeight w:val="475"/>
        </w:trPr>
        <w:tc>
          <w:tcPr>
            <w:tcW w:w="2229" w:type="dxa"/>
            <w:shd w:val="clear" w:color="auto" w:fill="99CDDD"/>
            <w:vAlign w:val="center"/>
          </w:tcPr>
          <w:p w14:paraId="4CEBFF80" w14:textId="77777777" w:rsidR="00557B86" w:rsidRPr="00A864A5" w:rsidRDefault="00557B86" w:rsidP="004C056B">
            <w:pPr>
              <w:spacing w:before="60" w:after="60" w:line="240" w:lineRule="auto"/>
              <w:jc w:val="center"/>
              <w:rPr>
                <w:rFonts w:cs="Arial"/>
                <w:b/>
                <w:color w:val="000000"/>
                <w:szCs w:val="22"/>
                <w:lang w:val="en-NZ"/>
              </w:rPr>
            </w:pPr>
            <w:r w:rsidRPr="00A864A5">
              <w:rPr>
                <w:rFonts w:cs="Arial"/>
                <w:b/>
                <w:color w:val="000000"/>
                <w:szCs w:val="22"/>
                <w:lang w:val="en-NZ"/>
              </w:rPr>
              <w:t>Overall assessment</w:t>
            </w:r>
          </w:p>
        </w:tc>
        <w:tc>
          <w:tcPr>
            <w:tcW w:w="4866" w:type="dxa"/>
            <w:shd w:val="clear" w:color="auto" w:fill="auto"/>
            <w:vAlign w:val="center"/>
          </w:tcPr>
          <w:p w14:paraId="14B5A9EB" w14:textId="6B4DDA97" w:rsidR="00557B86" w:rsidRPr="00A864A5" w:rsidRDefault="00557B86" w:rsidP="004C056B">
            <w:pPr>
              <w:pStyle w:val="TableText"/>
              <w:spacing w:line="276" w:lineRule="auto"/>
              <w:jc w:val="center"/>
              <w:rPr>
                <w:lang w:val="en-NZ"/>
              </w:rPr>
            </w:pPr>
            <w:r w:rsidRPr="00A864A5">
              <w:rPr>
                <w:lang w:val="en-NZ"/>
              </w:rPr>
              <w:t>0</w:t>
            </w:r>
          </w:p>
        </w:tc>
        <w:tc>
          <w:tcPr>
            <w:tcW w:w="4847" w:type="dxa"/>
            <w:shd w:val="clear" w:color="auto" w:fill="auto"/>
            <w:vAlign w:val="center"/>
          </w:tcPr>
          <w:p w14:paraId="18445CBD" w14:textId="659CC2E2" w:rsidR="00557B86" w:rsidRPr="00A864A5" w:rsidRDefault="00332128" w:rsidP="004C056B">
            <w:pPr>
              <w:pStyle w:val="TableText"/>
              <w:spacing w:line="276" w:lineRule="auto"/>
              <w:jc w:val="center"/>
              <w:rPr>
                <w:lang w:val="en-NZ"/>
              </w:rPr>
            </w:pPr>
            <w:r w:rsidRPr="00A864A5">
              <w:rPr>
                <w:rFonts w:cs="Arial"/>
                <w:b/>
                <w:color w:val="00B050"/>
              </w:rPr>
              <w:t>+</w:t>
            </w:r>
            <w:r w:rsidR="008A6261">
              <w:rPr>
                <w:rFonts w:cs="Arial"/>
                <w:b/>
                <w:color w:val="00B050"/>
              </w:rPr>
              <w:t>+</w:t>
            </w:r>
          </w:p>
        </w:tc>
        <w:tc>
          <w:tcPr>
            <w:tcW w:w="4818" w:type="dxa"/>
            <w:vAlign w:val="center"/>
          </w:tcPr>
          <w:p w14:paraId="3A519962" w14:textId="5C6894AE" w:rsidR="00557B86" w:rsidRPr="00A864A5" w:rsidRDefault="00332128" w:rsidP="00684A1D">
            <w:pPr>
              <w:pStyle w:val="TableText"/>
              <w:spacing w:after="0" w:line="276" w:lineRule="auto"/>
              <w:jc w:val="center"/>
              <w:rPr>
                <w:lang w:val="en-NZ"/>
              </w:rPr>
            </w:pPr>
            <w:r w:rsidRPr="00A864A5">
              <w:rPr>
                <w:rFonts w:cs="Arial"/>
                <w:b/>
                <w:color w:val="00B050"/>
              </w:rPr>
              <w:t>+</w:t>
            </w:r>
          </w:p>
        </w:tc>
        <w:tc>
          <w:tcPr>
            <w:tcW w:w="4818" w:type="dxa"/>
            <w:vAlign w:val="center"/>
          </w:tcPr>
          <w:p w14:paraId="25851E16" w14:textId="77B06B96" w:rsidR="00557B86" w:rsidRPr="00A864A5" w:rsidRDefault="00332128" w:rsidP="004C056B">
            <w:pPr>
              <w:pStyle w:val="TableText"/>
              <w:spacing w:line="276" w:lineRule="auto"/>
              <w:jc w:val="center"/>
              <w:rPr>
                <w:lang w:val="en-NZ"/>
              </w:rPr>
            </w:pPr>
            <w:r w:rsidRPr="00A864A5">
              <w:rPr>
                <w:rFonts w:cs="Arial"/>
                <w:b/>
                <w:color w:val="00B050"/>
              </w:rPr>
              <w:t>+</w:t>
            </w:r>
            <w:r>
              <w:rPr>
                <w:rFonts w:cs="Arial"/>
                <w:b/>
                <w:color w:val="00B050"/>
              </w:rPr>
              <w:t xml:space="preserve"> </w:t>
            </w:r>
          </w:p>
        </w:tc>
      </w:tr>
    </w:tbl>
    <w:p w14:paraId="538A9499" w14:textId="35391CC0" w:rsidR="007B2088" w:rsidRDefault="00547891" w:rsidP="00802AB2">
      <w:pPr>
        <w:pStyle w:val="Heading3"/>
        <w:rPr>
          <w:noProof/>
          <w:lang w:val="en-NZ" w:eastAsia="en-NZ"/>
        </w:rPr>
      </w:pPr>
      <w:r w:rsidRPr="00A864A5">
        <w:rPr>
          <w:noProof/>
          <w:lang w:val="en-NZ" w:eastAsia="en-NZ"/>
        </w:rPr>
        <mc:AlternateContent>
          <mc:Choice Requires="wps">
            <w:drawing>
              <wp:anchor distT="45720" distB="45720" distL="114300" distR="114300" simplePos="0" relativeHeight="251658242" behindDoc="0" locked="0" layoutInCell="1" allowOverlap="1" wp14:anchorId="5EA697CB" wp14:editId="340F30FB">
                <wp:simplePos x="0" y="0"/>
                <wp:positionH relativeFrom="column">
                  <wp:posOffset>9302137</wp:posOffset>
                </wp:positionH>
                <wp:positionV relativeFrom="paragraph">
                  <wp:posOffset>338345</wp:posOffset>
                </wp:positionV>
                <wp:extent cx="4461510" cy="1450340"/>
                <wp:effectExtent l="0" t="0" r="1524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450340"/>
                        </a:xfrm>
                        <a:prstGeom prst="rect">
                          <a:avLst/>
                        </a:prstGeom>
                        <a:noFill/>
                        <a:ln w="9525">
                          <a:solidFill>
                            <a:srgbClr val="000000"/>
                          </a:solidFill>
                          <a:miter lim="800000"/>
                          <a:headEnd/>
                          <a:tailEnd/>
                        </a:ln>
                        <a:effectLst/>
                      </wps:spPr>
                      <wps:txbx>
                        <w:txbxContent>
                          <w:p w14:paraId="3418A816" w14:textId="77777777" w:rsidR="006E007C" w:rsidRPr="00A864A5" w:rsidRDefault="006E007C" w:rsidP="007B2088">
                            <w:pPr>
                              <w:spacing w:after="120" w:line="276" w:lineRule="auto"/>
                              <w:rPr>
                                <w:rFonts w:cs="Arial"/>
                                <w:b/>
                                <w:sz w:val="20"/>
                              </w:rPr>
                            </w:pPr>
                            <w:r w:rsidRPr="00A864A5">
                              <w:rPr>
                                <w:rFonts w:cs="Arial"/>
                                <w:b/>
                                <w:sz w:val="20"/>
                              </w:rPr>
                              <w:t>Example key for qualitative judgements:</w:t>
                            </w:r>
                          </w:p>
                          <w:p w14:paraId="30F51688" w14:textId="77777777" w:rsidR="006E007C" w:rsidRPr="00A864A5" w:rsidRDefault="006E007C" w:rsidP="007B2088">
                            <w:pPr>
                              <w:spacing w:after="120" w:line="276" w:lineRule="auto"/>
                              <w:ind w:left="709" w:hanging="709"/>
                              <w:rPr>
                                <w:rFonts w:cs="Arial"/>
                                <w:sz w:val="20"/>
                              </w:rPr>
                            </w:pPr>
                            <w:r w:rsidRPr="00A864A5">
                              <w:rPr>
                                <w:rFonts w:cs="Arial"/>
                                <w:b/>
                                <w:color w:val="00B050"/>
                                <w:sz w:val="20"/>
                              </w:rPr>
                              <w:t>++</w:t>
                            </w:r>
                            <w:r w:rsidRPr="00A864A5">
                              <w:rPr>
                                <w:rFonts w:cs="Arial"/>
                                <w:sz w:val="20"/>
                              </w:rPr>
                              <w:tab/>
                              <w:t>much better than doing nothing/the status quo/counterfactual</w:t>
                            </w:r>
                          </w:p>
                          <w:p w14:paraId="456E1E45" w14:textId="77777777" w:rsidR="006E007C" w:rsidRPr="00A864A5" w:rsidRDefault="006E007C" w:rsidP="007B2088">
                            <w:pPr>
                              <w:spacing w:after="120" w:line="276" w:lineRule="auto"/>
                              <w:ind w:left="709" w:hanging="709"/>
                              <w:rPr>
                                <w:rFonts w:cs="Arial"/>
                                <w:sz w:val="20"/>
                              </w:rPr>
                            </w:pPr>
                            <w:r w:rsidRPr="00A864A5">
                              <w:rPr>
                                <w:rFonts w:cs="Arial"/>
                                <w:b/>
                                <w:color w:val="00B050"/>
                                <w:sz w:val="20"/>
                              </w:rPr>
                              <w:t>+</w:t>
                            </w:r>
                            <w:r w:rsidRPr="00A864A5">
                              <w:rPr>
                                <w:rFonts w:cs="Arial"/>
                                <w:color w:val="00B050"/>
                                <w:sz w:val="20"/>
                              </w:rPr>
                              <w:tab/>
                            </w:r>
                            <w:r w:rsidRPr="00A864A5">
                              <w:rPr>
                                <w:rFonts w:cs="Arial"/>
                                <w:sz w:val="20"/>
                              </w:rPr>
                              <w:t>better than doing nothing/the status quo/counterfactual</w:t>
                            </w:r>
                          </w:p>
                          <w:p w14:paraId="2C8C261E" w14:textId="77777777" w:rsidR="006E007C" w:rsidRPr="00A864A5" w:rsidRDefault="006E007C" w:rsidP="007B2088">
                            <w:pPr>
                              <w:spacing w:after="120" w:line="276" w:lineRule="auto"/>
                              <w:ind w:left="709" w:hanging="709"/>
                              <w:rPr>
                                <w:rFonts w:cs="Arial"/>
                                <w:sz w:val="20"/>
                              </w:rPr>
                            </w:pPr>
                            <w:r w:rsidRPr="00A864A5">
                              <w:rPr>
                                <w:rFonts w:cs="Arial"/>
                                <w:bCs/>
                                <w:sz w:val="20"/>
                              </w:rPr>
                              <w:t>0</w:t>
                            </w:r>
                            <w:r w:rsidRPr="00A864A5">
                              <w:rPr>
                                <w:rFonts w:cs="Arial"/>
                                <w:sz w:val="20"/>
                              </w:rPr>
                              <w:tab/>
                              <w:t>about the same as doing nothing/the status quo/counterfactual</w:t>
                            </w:r>
                          </w:p>
                          <w:p w14:paraId="179F19B4" w14:textId="77777777" w:rsidR="006E007C" w:rsidRPr="00A864A5" w:rsidRDefault="006E007C" w:rsidP="007B2088">
                            <w:pPr>
                              <w:spacing w:after="120" w:line="276" w:lineRule="auto"/>
                              <w:ind w:left="709" w:hanging="709"/>
                              <w:rPr>
                                <w:rFonts w:cs="Arial"/>
                                <w:sz w:val="20"/>
                              </w:rPr>
                            </w:pPr>
                            <w:r w:rsidRPr="00A864A5">
                              <w:rPr>
                                <w:rFonts w:cs="Arial"/>
                                <w:b/>
                                <w:color w:val="FF0000"/>
                                <w:sz w:val="20"/>
                              </w:rPr>
                              <w:t>-</w:t>
                            </w:r>
                            <w:r w:rsidRPr="00A864A5">
                              <w:rPr>
                                <w:rFonts w:cs="Arial"/>
                                <w:sz w:val="20"/>
                              </w:rPr>
                              <w:tab/>
                              <w:t>worse than doing nothing/the status quo/counterfactual</w:t>
                            </w:r>
                          </w:p>
                          <w:p w14:paraId="058A874C" w14:textId="33470A78" w:rsidR="006E007C" w:rsidRPr="007B2088" w:rsidRDefault="006E007C" w:rsidP="007B2088">
                            <w:pPr>
                              <w:spacing w:after="120" w:line="276" w:lineRule="auto"/>
                              <w:ind w:left="709" w:hanging="709"/>
                              <w:rPr>
                                <w:rFonts w:cs="Arial"/>
                                <w:sz w:val="20"/>
                              </w:rPr>
                            </w:pPr>
                            <w:r w:rsidRPr="00A864A5">
                              <w:rPr>
                                <w:rFonts w:cs="Arial"/>
                                <w:b/>
                                <w:color w:val="FF0000"/>
                                <w:sz w:val="20"/>
                              </w:rPr>
                              <w:t>- -</w:t>
                            </w:r>
                            <w:r w:rsidRPr="00A864A5">
                              <w:rPr>
                                <w:rFonts w:cs="Arial"/>
                                <w:sz w:val="20"/>
                              </w:rPr>
                              <w:tab/>
                              <w:t>much worse than doing nothing/the status quo/counterfactual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697CB" id="_x0000_t202" coordsize="21600,21600" o:spt="202" path="m,l,21600r21600,l21600,xe">
                <v:stroke joinstyle="miter"/>
                <v:path gradientshapeok="t" o:connecttype="rect"/>
              </v:shapetype>
              <v:shape id="Text Box 2" o:spid="_x0000_s1026" type="#_x0000_t202" style="position:absolute;margin-left:732.45pt;margin-top:26.65pt;width:351.3pt;height:114.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" filled="f">
                <v:textbox>
                  <w:txbxContent>
                    <w:p w14:paraId="3418A816" w14:textId="77777777" w:rsidR="006E007C" w:rsidRPr="00A864A5" w:rsidRDefault="006E007C" w:rsidP="007B2088">
                      <w:pPr>
                        <w:spacing w:after="120" w:line="276" w:lineRule="auto"/>
                        <w:rPr>
                          <w:rFonts w:cs="Arial"/>
                          <w:b/>
                          <w:sz w:val="20"/>
                        </w:rPr>
                      </w:pPr>
                      <w:r w:rsidRPr="00A864A5">
                        <w:rPr>
                          <w:rFonts w:cs="Arial"/>
                          <w:b/>
                          <w:sz w:val="20"/>
                        </w:rPr>
                        <w:t>Example key for qualitative judgements:</w:t>
                      </w:r>
                    </w:p>
                    <w:p w14:paraId="30F51688" w14:textId="77777777" w:rsidR="006E007C" w:rsidRPr="00A864A5" w:rsidRDefault="006E007C" w:rsidP="007B2088">
                      <w:pPr>
                        <w:spacing w:after="120" w:line="276" w:lineRule="auto"/>
                        <w:ind w:left="709" w:hanging="709"/>
                        <w:rPr>
                          <w:rFonts w:cs="Arial"/>
                          <w:sz w:val="20"/>
                        </w:rPr>
                      </w:pPr>
                      <w:r w:rsidRPr="00A864A5">
                        <w:rPr>
                          <w:rFonts w:cs="Arial"/>
                          <w:b/>
                          <w:color w:val="00B050"/>
                          <w:sz w:val="20"/>
                        </w:rPr>
                        <w:t>++</w:t>
                      </w:r>
                      <w:r w:rsidRPr="00A864A5">
                        <w:rPr>
                          <w:rFonts w:cs="Arial"/>
                          <w:sz w:val="20"/>
                        </w:rPr>
                        <w:tab/>
                        <w:t>much better than doing nothing/the status quo/counterfactual</w:t>
                      </w:r>
                    </w:p>
                    <w:p w14:paraId="456E1E45" w14:textId="77777777" w:rsidR="006E007C" w:rsidRPr="00A864A5" w:rsidRDefault="006E007C" w:rsidP="007B2088">
                      <w:pPr>
                        <w:spacing w:after="120" w:line="276" w:lineRule="auto"/>
                        <w:ind w:left="709" w:hanging="709"/>
                        <w:rPr>
                          <w:rFonts w:cs="Arial"/>
                          <w:sz w:val="20"/>
                        </w:rPr>
                      </w:pPr>
                      <w:r w:rsidRPr="00A864A5">
                        <w:rPr>
                          <w:rFonts w:cs="Arial"/>
                          <w:b/>
                          <w:color w:val="00B050"/>
                          <w:sz w:val="20"/>
                        </w:rPr>
                        <w:t>+</w:t>
                      </w:r>
                      <w:r w:rsidRPr="00A864A5">
                        <w:rPr>
                          <w:rFonts w:cs="Arial"/>
                          <w:color w:val="00B050"/>
                          <w:sz w:val="20"/>
                        </w:rPr>
                        <w:tab/>
                      </w:r>
                      <w:r w:rsidRPr="00A864A5">
                        <w:rPr>
                          <w:rFonts w:cs="Arial"/>
                          <w:sz w:val="20"/>
                        </w:rPr>
                        <w:t>better than doing nothing/the status quo/counterfactual</w:t>
                      </w:r>
                    </w:p>
                    <w:p w14:paraId="2C8C261E" w14:textId="77777777" w:rsidR="006E007C" w:rsidRPr="00A864A5" w:rsidRDefault="006E007C" w:rsidP="007B2088">
                      <w:pPr>
                        <w:spacing w:after="120" w:line="276" w:lineRule="auto"/>
                        <w:ind w:left="709" w:hanging="709"/>
                        <w:rPr>
                          <w:rFonts w:cs="Arial"/>
                          <w:sz w:val="20"/>
                        </w:rPr>
                      </w:pPr>
                      <w:r w:rsidRPr="00A864A5">
                        <w:rPr>
                          <w:rFonts w:cs="Arial"/>
                          <w:bCs/>
                          <w:sz w:val="20"/>
                        </w:rPr>
                        <w:t>0</w:t>
                      </w:r>
                      <w:r w:rsidRPr="00A864A5">
                        <w:rPr>
                          <w:rFonts w:cs="Arial"/>
                          <w:sz w:val="20"/>
                        </w:rPr>
                        <w:tab/>
                        <w:t>about the same as doing nothing/the status quo/counterfactual</w:t>
                      </w:r>
                    </w:p>
                    <w:p w14:paraId="179F19B4" w14:textId="77777777" w:rsidR="006E007C" w:rsidRPr="00A864A5" w:rsidRDefault="006E007C" w:rsidP="007B2088">
                      <w:pPr>
                        <w:spacing w:after="120" w:line="276" w:lineRule="auto"/>
                        <w:ind w:left="709" w:hanging="709"/>
                        <w:rPr>
                          <w:rFonts w:cs="Arial"/>
                          <w:sz w:val="20"/>
                        </w:rPr>
                      </w:pPr>
                      <w:r w:rsidRPr="00A864A5">
                        <w:rPr>
                          <w:rFonts w:cs="Arial"/>
                          <w:b/>
                          <w:color w:val="FF0000"/>
                          <w:sz w:val="20"/>
                        </w:rPr>
                        <w:t>-</w:t>
                      </w:r>
                      <w:r w:rsidRPr="00A864A5">
                        <w:rPr>
                          <w:rFonts w:cs="Arial"/>
                          <w:sz w:val="20"/>
                        </w:rPr>
                        <w:tab/>
                        <w:t>worse than doing nothing/the status quo/counterfactual</w:t>
                      </w:r>
                    </w:p>
                    <w:p w14:paraId="058A874C" w14:textId="33470A78" w:rsidR="006E007C" w:rsidRPr="007B2088" w:rsidRDefault="006E007C" w:rsidP="007B2088">
                      <w:pPr>
                        <w:spacing w:after="120" w:line="276" w:lineRule="auto"/>
                        <w:ind w:left="709" w:hanging="709"/>
                        <w:rPr>
                          <w:rFonts w:cs="Arial"/>
                          <w:sz w:val="20"/>
                        </w:rPr>
                      </w:pPr>
                      <w:r w:rsidRPr="00A864A5">
                        <w:rPr>
                          <w:rFonts w:cs="Arial"/>
                          <w:b/>
                          <w:color w:val="FF0000"/>
                          <w:sz w:val="20"/>
                        </w:rPr>
                        <w:t>- -</w:t>
                      </w:r>
                      <w:r w:rsidRPr="00A864A5">
                        <w:rPr>
                          <w:rFonts w:cs="Arial"/>
                          <w:sz w:val="20"/>
                        </w:rPr>
                        <w:tab/>
                        <w:t>much worse than doing nothing/the status quo/counterfactual</w:t>
                      </w:r>
                    </w:p>
                  </w:txbxContent>
                </v:textbox>
                <w10:wrap type="square"/>
              </v:shape>
            </w:pict>
          </mc:Fallback>
        </mc:AlternateContent>
      </w:r>
    </w:p>
    <w:p w14:paraId="60ED916C" w14:textId="77777777" w:rsidR="00547891" w:rsidRDefault="00547891" w:rsidP="00802AB2">
      <w:pPr>
        <w:pStyle w:val="Heading3"/>
        <w:rPr>
          <w:noProof/>
          <w:lang w:val="en-NZ" w:eastAsia="en-NZ"/>
        </w:rPr>
        <w:sectPr w:rsidR="00547891" w:rsidSect="007B2088">
          <w:footerReference w:type="default" r:id="rId21"/>
          <w:pgSz w:w="23811" w:h="16838" w:orient="landscape" w:code="8"/>
          <w:pgMar w:top="1418" w:right="1134" w:bottom="1418" w:left="992" w:header="454" w:footer="454" w:gutter="0"/>
          <w:cols w:space="708"/>
          <w:docGrid w:linePitch="360"/>
        </w:sectPr>
      </w:pPr>
    </w:p>
    <w:p w14:paraId="156E57E7" w14:textId="57355CE2" w:rsidR="00D71CE0" w:rsidRPr="00A864A5" w:rsidRDefault="00DB51CD" w:rsidP="00802AB2">
      <w:pPr>
        <w:pStyle w:val="Heading3"/>
        <w:rPr>
          <w:noProof/>
          <w:lang w:val="en-NZ" w:eastAsia="en-NZ"/>
        </w:rPr>
      </w:pPr>
      <w:r>
        <w:rPr>
          <w:noProof/>
          <w:lang w:val="en-NZ" w:eastAsia="en-NZ"/>
        </w:rPr>
        <w:lastRenderedPageBreak/>
        <w:t xml:space="preserve">What </w:t>
      </w:r>
      <w:r w:rsidR="007336C9">
        <w:rPr>
          <w:noProof/>
          <w:lang w:val="en-NZ" w:eastAsia="en-NZ"/>
        </w:rPr>
        <w:t>optio</w:t>
      </w:r>
      <w:r w:rsidR="005F41A2">
        <w:rPr>
          <w:noProof/>
          <w:lang w:val="en-NZ" w:eastAsia="en-NZ"/>
        </w:rPr>
        <w:t>n is likely to best address the problem, meet the policy objectives, and deliver the highest net benefits</w:t>
      </w:r>
      <w:r>
        <w:rPr>
          <w:noProof/>
          <w:lang w:val="en-NZ" w:eastAsia="en-NZ"/>
        </w:rPr>
        <w:t>?</w:t>
      </w:r>
    </w:p>
    <w:p w14:paraId="11FF4208" w14:textId="43A77E37" w:rsidR="00175B52" w:rsidRDefault="00661D28" w:rsidP="00D64BAF">
      <w:pPr>
        <w:pStyle w:val="BodyText-Numbered"/>
        <w:rPr>
          <w:lang w:val="en-NZ" w:eastAsia="en-NZ"/>
        </w:rPr>
      </w:pPr>
      <w:r>
        <w:rPr>
          <w:lang w:val="en-NZ" w:eastAsia="en-NZ"/>
        </w:rPr>
        <w:t>At this stage we do not have a preferred option.</w:t>
      </w:r>
      <w:r w:rsidR="008A6261">
        <w:rPr>
          <w:lang w:val="en-NZ" w:eastAsia="en-NZ"/>
        </w:rPr>
        <w:t xml:space="preserve"> The ratings are only an indication from our initial assessment of the options.</w:t>
      </w:r>
      <w:r w:rsidR="00DC3FD0">
        <w:rPr>
          <w:lang w:val="en-NZ" w:eastAsia="en-NZ"/>
        </w:rPr>
        <w:t xml:space="preserve"> We seek to further inform this analysis through consultation.</w:t>
      </w:r>
    </w:p>
    <w:p w14:paraId="79DA18FD" w14:textId="2B08F72D" w:rsidR="007B2088" w:rsidRPr="00B84E15" w:rsidRDefault="007B2088" w:rsidP="007B2088">
      <w:pPr>
        <w:pStyle w:val="BodyText-Numbered"/>
        <w:numPr>
          <w:ilvl w:val="0"/>
          <w:numId w:val="0"/>
        </w:numPr>
        <w:ind w:left="567" w:hanging="567"/>
        <w:rPr>
          <w:lang w:val="en-NZ" w:eastAsia="en-NZ"/>
        </w:rPr>
        <w:sectPr w:rsidR="007B2088" w:rsidRPr="00B84E15" w:rsidSect="00ED05E2">
          <w:pgSz w:w="11906" w:h="16838" w:code="9"/>
          <w:pgMar w:top="1134" w:right="1418" w:bottom="992" w:left="1418" w:header="454" w:footer="454" w:gutter="0"/>
          <w:cols w:space="708"/>
          <w:docGrid w:linePitch="360"/>
        </w:sectPr>
      </w:pPr>
    </w:p>
    <w:p w14:paraId="66F15F95" w14:textId="54CD4783" w:rsidR="004B29B1" w:rsidRPr="00072EA7" w:rsidRDefault="004B29B1" w:rsidP="004B29B1">
      <w:pPr>
        <w:pStyle w:val="Heading1"/>
        <w:rPr>
          <w:color w:val="0082AB"/>
          <w:lang w:val="en-NZ"/>
        </w:rPr>
      </w:pPr>
      <w:r>
        <w:rPr>
          <w:color w:val="0082AB"/>
          <w:lang w:val="en-NZ"/>
        </w:rPr>
        <w:lastRenderedPageBreak/>
        <w:t>Issue 2</w:t>
      </w:r>
      <w:r w:rsidRPr="00072EA7">
        <w:rPr>
          <w:color w:val="0082AB"/>
          <w:lang w:val="en-NZ"/>
        </w:rPr>
        <w:t>:</w:t>
      </w:r>
      <w:r>
        <w:rPr>
          <w:color w:val="0082AB"/>
          <w:lang w:val="en-NZ"/>
        </w:rPr>
        <w:t xml:space="preserve"> </w:t>
      </w:r>
      <w:r w:rsidR="00DF406C">
        <w:rPr>
          <w:color w:val="0082AB"/>
          <w:lang w:val="en-NZ"/>
        </w:rPr>
        <w:t>Prescribing suitably qualified t</w:t>
      </w:r>
      <w:r>
        <w:rPr>
          <w:color w:val="0082AB"/>
          <w:lang w:val="en-NZ"/>
        </w:rPr>
        <w:t>hird parties</w:t>
      </w:r>
    </w:p>
    <w:p w14:paraId="54ECCB31" w14:textId="77777777" w:rsidR="004B29B1" w:rsidRDefault="004B29B1" w:rsidP="00802AB2">
      <w:pPr>
        <w:pStyle w:val="Heading2"/>
        <w:rPr>
          <w:lang w:val="en-NZ"/>
        </w:rPr>
      </w:pPr>
      <w:r w:rsidRPr="00A864A5">
        <w:rPr>
          <w:lang w:val="en-NZ"/>
        </w:rPr>
        <w:t xml:space="preserve">Section 1: </w:t>
      </w:r>
      <w:r>
        <w:rPr>
          <w:lang w:val="en-NZ"/>
        </w:rPr>
        <w:t>Diagnosing the policy problem</w:t>
      </w:r>
    </w:p>
    <w:p w14:paraId="1B3BFE81" w14:textId="77777777" w:rsidR="004B29B1" w:rsidRPr="00A864A5" w:rsidRDefault="004B29B1" w:rsidP="00802AB2">
      <w:pPr>
        <w:pStyle w:val="Heading3"/>
        <w:rPr>
          <w:lang w:val="en-NZ"/>
        </w:rPr>
      </w:pPr>
      <w:r>
        <w:rPr>
          <w:lang w:val="en-NZ"/>
        </w:rPr>
        <w:t>What is the context behind the policy problem and how is the status quo expected to develop?</w:t>
      </w:r>
    </w:p>
    <w:p w14:paraId="5F6D79E8" w14:textId="3044D816" w:rsidR="00D64BAF" w:rsidRDefault="00D64BAF" w:rsidP="00C11E9A">
      <w:pPr>
        <w:pStyle w:val="BodyText-Numbered"/>
        <w:keepNext w:val="0"/>
        <w:keepLines/>
        <w:rPr>
          <w:lang w:eastAsia="en-NZ"/>
        </w:rPr>
      </w:pPr>
      <w:r w:rsidRPr="00056B6A">
        <w:t xml:space="preserve">The self-identification process is available to children, as gender </w:t>
      </w:r>
      <w:r w:rsidRPr="00056B6A">
        <w:rPr>
          <w:lang w:eastAsia="en-NZ"/>
        </w:rPr>
        <w:t>is not age</w:t>
      </w:r>
      <w:r w:rsidR="00A26095">
        <w:rPr>
          <w:lang w:eastAsia="en-NZ"/>
        </w:rPr>
        <w:t>-</w:t>
      </w:r>
      <w:r w:rsidR="00CD0E07" w:rsidRPr="00056B6A">
        <w:rPr>
          <w:lang w:eastAsia="en-NZ"/>
        </w:rPr>
        <w:t>restrict</w:t>
      </w:r>
      <w:r w:rsidR="00CD0E07">
        <w:rPr>
          <w:lang w:eastAsia="en-NZ"/>
        </w:rPr>
        <w:t>ed,</w:t>
      </w:r>
      <w:r w:rsidRPr="00056B6A">
        <w:rPr>
          <w:lang w:eastAsia="en-NZ"/>
        </w:rPr>
        <w:t xml:space="preserve"> and children can, and do, have a strong sense of their gender.</w:t>
      </w:r>
      <w:r w:rsidR="00DD1A7F">
        <w:rPr>
          <w:rStyle w:val="FootnoteReference"/>
          <w:lang w:eastAsia="en-NZ"/>
        </w:rPr>
        <w:footnoteReference w:id="23"/>
      </w:r>
    </w:p>
    <w:p w14:paraId="71839A98" w14:textId="2BC9B103" w:rsidR="00D64BAF" w:rsidRPr="00483C15" w:rsidRDefault="00D64BAF" w:rsidP="00C11E9A">
      <w:pPr>
        <w:pStyle w:val="BodyText-Numbered"/>
        <w:keepNext w:val="0"/>
        <w:keepLines/>
        <w:rPr>
          <w:rFonts w:asciiTheme="minorHAnsi" w:hAnsiTheme="minorHAnsi" w:cstheme="minorHAnsi"/>
          <w:color w:val="000000"/>
          <w:szCs w:val="22"/>
          <w:lang w:eastAsia="en-NZ"/>
        </w:rPr>
      </w:pPr>
      <w:r>
        <w:t>Applications for children and young people aged 15 years and younger must be made on their behalf by their guardian</w:t>
      </w:r>
      <w:r w:rsidR="00CE31D3">
        <w:rPr>
          <w:rStyle w:val="FootnoteReference"/>
          <w:rFonts w:cstheme="minorHAnsi"/>
          <w:szCs w:val="22"/>
          <w:lang w:eastAsia="en-NZ"/>
        </w:rPr>
        <w:footnoteReference w:id="24"/>
      </w:r>
      <w:r>
        <w:t xml:space="preserve"> and must be accompanied by a letter of support from a suitably qualified third party</w:t>
      </w:r>
      <w:r w:rsidRPr="00864A61">
        <w:rPr>
          <w:szCs w:val="22"/>
        </w:rPr>
        <w:t xml:space="preserve"> that confirms </w:t>
      </w:r>
      <w:r>
        <w:rPr>
          <w:szCs w:val="22"/>
        </w:rPr>
        <w:t>that they believe</w:t>
      </w:r>
      <w:r w:rsidRPr="00864A61">
        <w:rPr>
          <w:szCs w:val="22"/>
        </w:rPr>
        <w:t xml:space="preserve"> – </w:t>
      </w:r>
    </w:p>
    <w:p w14:paraId="60CEA3B1" w14:textId="77777777" w:rsidR="00D64BAF" w:rsidRPr="00483C15" w:rsidRDefault="00D64BAF" w:rsidP="00C11E9A">
      <w:pPr>
        <w:pStyle w:val="BodyText-Numbered"/>
        <w:keepNext w:val="0"/>
        <w:keepLines/>
        <w:numPr>
          <w:ilvl w:val="1"/>
          <w:numId w:val="1"/>
        </w:numPr>
        <w:rPr>
          <w:rFonts w:asciiTheme="minorHAnsi" w:hAnsiTheme="minorHAnsi" w:cstheme="minorHAnsi"/>
          <w:color w:val="000000"/>
          <w:szCs w:val="22"/>
          <w:lang w:eastAsia="en-NZ"/>
        </w:rPr>
      </w:pPr>
      <w:r w:rsidRPr="00483C15">
        <w:rPr>
          <w:szCs w:val="22"/>
        </w:rPr>
        <w:t>the child understands the consequences of the proposed registration of the nominated sex; and</w:t>
      </w:r>
    </w:p>
    <w:p w14:paraId="726A9B7C" w14:textId="6985608F" w:rsidR="00D64BAF" w:rsidRPr="00483C15" w:rsidRDefault="00D64BAF" w:rsidP="00C11E9A">
      <w:pPr>
        <w:pStyle w:val="BodyText-Numbered"/>
        <w:keepNext w:val="0"/>
        <w:keepLines/>
        <w:numPr>
          <w:ilvl w:val="1"/>
          <w:numId w:val="1"/>
        </w:numPr>
        <w:rPr>
          <w:rFonts w:asciiTheme="minorHAnsi" w:hAnsiTheme="minorHAnsi" w:cstheme="minorHAnsi"/>
          <w:color w:val="000000"/>
          <w:szCs w:val="22"/>
          <w:lang w:eastAsia="en-NZ"/>
        </w:rPr>
      </w:pPr>
      <w:r w:rsidRPr="00483C15">
        <w:rPr>
          <w:szCs w:val="22"/>
        </w:rPr>
        <w:t>the child’s preference is for the nominated sex to appear as their registered sex on their birth certificate.</w:t>
      </w:r>
    </w:p>
    <w:p w14:paraId="7EDBCA3F" w14:textId="200D2F0C" w:rsidR="00D64BAF" w:rsidRPr="00C22C22" w:rsidRDefault="00D64BAF" w:rsidP="00C11E9A">
      <w:pPr>
        <w:pStyle w:val="BodyText-Numbered"/>
        <w:keepNext w:val="0"/>
        <w:keepLines/>
      </w:pPr>
      <w:r w:rsidRPr="00646B95">
        <w:t>A separate and less stringent process for older adolescents</w:t>
      </w:r>
      <w:r>
        <w:t xml:space="preserve"> (aged 16 – 17 years old) exists where an application can either be accompanied by consent from a guardian, or with a letter of support from a suitably qualified third party. This approach</w:t>
      </w:r>
      <w:r w:rsidRPr="00646B95">
        <w:t xml:space="preserve"> reflects society’s views that 16</w:t>
      </w:r>
      <w:r>
        <w:t>-</w:t>
      </w:r>
      <w:r w:rsidRPr="00646B95">
        <w:t xml:space="preserve"> and </w:t>
      </w:r>
      <w:proofErr w:type="gramStart"/>
      <w:r w:rsidRPr="00646B95">
        <w:t>17-year olds</w:t>
      </w:r>
      <w:proofErr w:type="gramEnd"/>
      <w:r w:rsidRPr="00646B95">
        <w:t xml:space="preserve"> are more able to make decisions on their own. </w:t>
      </w:r>
      <w:r w:rsidRPr="00B97988">
        <w:rPr>
          <w:szCs w:val="22"/>
          <w:lang w:eastAsia="en-NZ"/>
        </w:rPr>
        <w:t xml:space="preserve"> </w:t>
      </w:r>
    </w:p>
    <w:p w14:paraId="5A4C7B23" w14:textId="77777777" w:rsidR="00D64BAF" w:rsidRDefault="00D64BAF" w:rsidP="00C11E9A">
      <w:pPr>
        <w:pStyle w:val="Heading4"/>
        <w:keepLines/>
      </w:pPr>
      <w:r>
        <w:t>The role of a suitably qualified third party</w:t>
      </w:r>
    </w:p>
    <w:p w14:paraId="6E288C8B" w14:textId="30E89F63" w:rsidR="00D64BAF" w:rsidRDefault="00D64BAF" w:rsidP="00C11E9A">
      <w:pPr>
        <w:pStyle w:val="BodyText-Numbered"/>
        <w:keepNext w:val="0"/>
        <w:keepLines/>
      </w:pPr>
      <w:r>
        <w:t>T</w:t>
      </w:r>
      <w:r w:rsidRPr="00483C15">
        <w:t>he</w:t>
      </w:r>
      <w:r>
        <w:t xml:space="preserve"> role of the suitably qualified </w:t>
      </w:r>
      <w:r w:rsidRPr="00483C15">
        <w:t>third party</w:t>
      </w:r>
      <w:r>
        <w:t xml:space="preserve"> is</w:t>
      </w:r>
      <w:r w:rsidRPr="00483C15">
        <w:t xml:space="preserve"> to </w:t>
      </w:r>
      <w:r w:rsidRPr="00483C15">
        <w:rPr>
          <w:lang w:eastAsia="en-NZ"/>
        </w:rPr>
        <w:t xml:space="preserve">provide independent assurance that the child or young person understands the change being made and the decision is based on their own perceptions of their gender. In part, </w:t>
      </w:r>
      <w:r>
        <w:rPr>
          <w:lang w:eastAsia="en-NZ"/>
        </w:rPr>
        <w:t>t</w:t>
      </w:r>
      <w:r>
        <w:t>he process for children and young people upholds the integrity of birth register information</w:t>
      </w:r>
      <w:r w:rsidR="00A17365">
        <w:t>,</w:t>
      </w:r>
      <w:r>
        <w:t xml:space="preserve"> as the letter of support mitigates the risk of guardians improperly influencing their child to amend their registered sex.</w:t>
      </w:r>
    </w:p>
    <w:p w14:paraId="0EBCE3ED" w14:textId="70F7D162" w:rsidR="00D64BAF" w:rsidRDefault="00D64BAF" w:rsidP="00C11E9A">
      <w:pPr>
        <w:pStyle w:val="BodyText-Numbered"/>
        <w:keepNext w:val="0"/>
        <w:keepLines/>
      </w:pPr>
      <w:r w:rsidRPr="00483C15">
        <w:t xml:space="preserve">The third party is not assessing what is in the child’s best interests or any other factors, such as the child or young person’s gender or that the child or young person physically conforms to their gender. </w:t>
      </w:r>
      <w:r>
        <w:rPr>
          <w:lang w:eastAsia="en-NZ"/>
        </w:rPr>
        <w:t xml:space="preserve">A person that is eligible to act as a suitably qualified third party </w:t>
      </w:r>
      <w:r w:rsidRPr="00DE2B92">
        <w:rPr>
          <w:szCs w:val="22"/>
        </w:rPr>
        <w:t xml:space="preserve">is not obliged to provide a </w:t>
      </w:r>
      <w:r>
        <w:rPr>
          <w:szCs w:val="22"/>
        </w:rPr>
        <w:t>letter of support</w:t>
      </w:r>
      <w:r w:rsidRPr="00DE2B92">
        <w:rPr>
          <w:szCs w:val="22"/>
        </w:rPr>
        <w:t xml:space="preserve"> if requested and can refuse.</w:t>
      </w:r>
    </w:p>
    <w:p w14:paraId="7F80B444" w14:textId="6E223BDB" w:rsidR="00D64BAF" w:rsidRPr="00AE6CD8" w:rsidRDefault="00D64BAF" w:rsidP="00C11E9A">
      <w:pPr>
        <w:pStyle w:val="Heading4"/>
        <w:keepLines/>
        <w:rPr>
          <w:lang w:eastAsia="en-NZ"/>
        </w:rPr>
      </w:pPr>
      <w:r>
        <w:t>Suitably qualified third parties are to be prescribed in regulations</w:t>
      </w:r>
    </w:p>
    <w:p w14:paraId="07908540" w14:textId="0E26773F" w:rsidR="00D64BAF" w:rsidRDefault="00D64BAF" w:rsidP="00C11E9A">
      <w:pPr>
        <w:pStyle w:val="BodyText-Numbered"/>
        <w:keepNext w:val="0"/>
        <w:keepLines/>
      </w:pPr>
      <w:r>
        <w:t xml:space="preserve">A suitably qualified third party is defined in the </w:t>
      </w:r>
      <w:r w:rsidR="00087EE3">
        <w:t>BDMRR Act</w:t>
      </w:r>
      <w:r>
        <w:t xml:space="preserve"> as a person who is 18 years old or older, and of a type specified in regulations. Because the </w:t>
      </w:r>
      <w:r w:rsidR="004002A6">
        <w:t xml:space="preserve">BDMRR </w:t>
      </w:r>
      <w:r>
        <w:t xml:space="preserve">Act states that suitably qualified third parties are to be specified in regulations, regulations are needed to ensure the </w:t>
      </w:r>
      <w:r w:rsidR="00BF4DA8">
        <w:t xml:space="preserve">self-identification </w:t>
      </w:r>
      <w:r>
        <w:t xml:space="preserve">process for children and young people can be operationalised. </w:t>
      </w:r>
    </w:p>
    <w:p w14:paraId="7583E2BA" w14:textId="0E010154" w:rsidR="00BF4DA8" w:rsidRDefault="00D64BAF" w:rsidP="00C11E9A">
      <w:pPr>
        <w:pStyle w:val="BodyText-Numbered"/>
        <w:keepNext w:val="0"/>
        <w:keepLines/>
      </w:pPr>
      <w:r>
        <w:t xml:space="preserve">The </w:t>
      </w:r>
      <w:r w:rsidR="004002A6">
        <w:t xml:space="preserve">BDMRR </w:t>
      </w:r>
      <w:r>
        <w:t xml:space="preserve">Act </w:t>
      </w:r>
      <w:r w:rsidR="009A3E7A">
        <w:t>states</w:t>
      </w:r>
      <w:r>
        <w:t xml:space="preserve"> that regulations that specify suitably qualified third parties must be made before the commencement of the self-identification provisions in the primary legislation, which is by June 2023.</w:t>
      </w:r>
      <w:r w:rsidR="00B740F5">
        <w:t xml:space="preserve"> </w:t>
      </w:r>
      <w:r w:rsidR="004002A6">
        <w:rPr>
          <w:lang w:eastAsia="en-NZ"/>
        </w:rPr>
        <w:t>R</w:t>
      </w:r>
      <w:r w:rsidR="00BF4DA8">
        <w:rPr>
          <w:lang w:eastAsia="en-NZ"/>
        </w:rPr>
        <w:t xml:space="preserve">egulations </w:t>
      </w:r>
      <w:r w:rsidR="004002A6">
        <w:rPr>
          <w:lang w:eastAsia="en-NZ"/>
        </w:rPr>
        <w:t>must be</w:t>
      </w:r>
      <w:r w:rsidR="00BF4DA8">
        <w:rPr>
          <w:lang w:eastAsia="en-NZ"/>
        </w:rPr>
        <w:t xml:space="preserve"> in place by </w:t>
      </w:r>
      <w:r w:rsidR="009A3E7A">
        <w:rPr>
          <w:lang w:eastAsia="en-NZ"/>
        </w:rPr>
        <w:t>this date</w:t>
      </w:r>
      <w:r w:rsidR="004002A6">
        <w:rPr>
          <w:lang w:eastAsia="en-NZ"/>
        </w:rPr>
        <w:t xml:space="preserve"> for </w:t>
      </w:r>
      <w:r w:rsidR="00B740F5">
        <w:rPr>
          <w:lang w:eastAsia="en-NZ"/>
        </w:rPr>
        <w:t xml:space="preserve">children </w:t>
      </w:r>
      <w:r w:rsidR="004002A6">
        <w:rPr>
          <w:lang w:eastAsia="en-NZ"/>
        </w:rPr>
        <w:t>to</w:t>
      </w:r>
      <w:r w:rsidR="00B740F5">
        <w:rPr>
          <w:lang w:eastAsia="en-NZ"/>
        </w:rPr>
        <w:t xml:space="preserve"> have access to the self-identification process</w:t>
      </w:r>
      <w:r w:rsidR="004002A6">
        <w:rPr>
          <w:lang w:eastAsia="en-NZ"/>
        </w:rPr>
        <w:t>.</w:t>
      </w:r>
      <w:r w:rsidR="00BF4DA8">
        <w:rPr>
          <w:lang w:eastAsia="en-NZ"/>
        </w:rPr>
        <w:t xml:space="preserve"> </w:t>
      </w:r>
    </w:p>
    <w:p w14:paraId="67CC1769" w14:textId="092957F6" w:rsidR="004B29B1" w:rsidRPr="00D64BAF" w:rsidRDefault="00EE4666" w:rsidP="00C11E9A">
      <w:pPr>
        <w:pStyle w:val="BodyText-Numbered"/>
        <w:keepNext w:val="0"/>
        <w:keepLines/>
      </w:pPr>
      <w:r>
        <w:lastRenderedPageBreak/>
        <w:t>T</w:t>
      </w:r>
      <w:r w:rsidR="00D64BAF">
        <w:t xml:space="preserve">he types of persons who could fulfil the role as third party </w:t>
      </w:r>
      <w:r w:rsidR="004002A6">
        <w:t>are in r</w:t>
      </w:r>
      <w:r w:rsidR="00D64BAF">
        <w:t xml:space="preserve">egulations </w:t>
      </w:r>
      <w:r w:rsidR="004002A6">
        <w:t>to</w:t>
      </w:r>
      <w:r w:rsidR="00D64BAF">
        <w:t xml:space="preserve"> allow</w:t>
      </w:r>
      <w:r w:rsidR="00D64BAF" w:rsidRPr="000E6E45">
        <w:rPr>
          <w:sz w:val="20"/>
        </w:rPr>
        <w:t xml:space="preserve"> </w:t>
      </w:r>
      <w:r w:rsidR="00D64BAF" w:rsidRPr="0026746E">
        <w:t xml:space="preserve">flexibility to achieve the right balance between prescribing third parties that can ensure a child and young person understands the decision and ensuring these third parties are accessible. Achieving this balance is essential to meeting the objectives of realising an accessible self-identification model. </w:t>
      </w:r>
    </w:p>
    <w:p w14:paraId="0AD163DB" w14:textId="77777777" w:rsidR="004B29B1" w:rsidRPr="00E901E5" w:rsidRDefault="004B29B1" w:rsidP="00802AB2">
      <w:pPr>
        <w:pStyle w:val="Heading3"/>
        <w:rPr>
          <w:lang w:val="en-NZ"/>
        </w:rPr>
      </w:pPr>
      <w:r w:rsidRPr="00A864A5">
        <w:rPr>
          <w:lang w:val="en-NZ"/>
        </w:rPr>
        <w:t>What is the policy problem</w:t>
      </w:r>
      <w:r>
        <w:rPr>
          <w:lang w:val="en-NZ"/>
        </w:rPr>
        <w:t xml:space="preserve"> or opportunity</w:t>
      </w:r>
      <w:r w:rsidRPr="00A864A5">
        <w:rPr>
          <w:lang w:val="en-NZ"/>
        </w:rPr>
        <w:t>?</w:t>
      </w:r>
    </w:p>
    <w:p w14:paraId="058AADB3" w14:textId="77777777" w:rsidR="00DD1A7F" w:rsidRPr="00F27761" w:rsidRDefault="00DD1A7F" w:rsidP="00DD1A7F">
      <w:pPr>
        <w:pStyle w:val="BodyText-Numbered"/>
        <w:keepNext w:val="0"/>
        <w:keepLines/>
        <w:rPr>
          <w:color w:val="000000"/>
        </w:rPr>
      </w:pPr>
      <w:r>
        <w:rPr>
          <w:lang w:eastAsia="en-NZ"/>
        </w:rPr>
        <w:t>While self-identification is available to c</w:t>
      </w:r>
      <w:r w:rsidRPr="00735765">
        <w:rPr>
          <w:lang w:eastAsia="en-NZ"/>
        </w:rPr>
        <w:t>hildren and young people</w:t>
      </w:r>
      <w:r>
        <w:rPr>
          <w:lang w:eastAsia="en-NZ"/>
        </w:rPr>
        <w:t xml:space="preserve">, they may </w:t>
      </w:r>
      <w:r w:rsidRPr="00735765">
        <w:rPr>
          <w:lang w:eastAsia="en-NZ"/>
        </w:rPr>
        <w:t xml:space="preserve">need support to make the </w:t>
      </w:r>
      <w:r>
        <w:rPr>
          <w:lang w:eastAsia="en-NZ"/>
        </w:rPr>
        <w:t>decision due to their level of competency, and</w:t>
      </w:r>
      <w:r w:rsidRPr="00735765">
        <w:rPr>
          <w:lang w:eastAsia="en-NZ"/>
        </w:rPr>
        <w:t xml:space="preserve"> to </w:t>
      </w:r>
      <w:r w:rsidRPr="00735765">
        <w:rPr>
          <w:color w:val="000000"/>
          <w:lang w:eastAsia="en-NZ"/>
        </w:rPr>
        <w:t>manage the risk of them being pressured by others</w:t>
      </w:r>
      <w:r>
        <w:rPr>
          <w:color w:val="000000"/>
          <w:lang w:eastAsia="en-NZ"/>
        </w:rPr>
        <w:t xml:space="preserve">. </w:t>
      </w:r>
    </w:p>
    <w:p w14:paraId="649364B0" w14:textId="51A57313" w:rsidR="00DD1A7F" w:rsidRPr="00DD1A7F" w:rsidRDefault="00DD1A7F" w:rsidP="00DD1A7F">
      <w:pPr>
        <w:pStyle w:val="BodyText-Numbered"/>
        <w:keepNext w:val="0"/>
        <w:keepLines/>
        <w:rPr>
          <w:color w:val="000000"/>
        </w:rPr>
      </w:pPr>
      <w:r>
        <w:rPr>
          <w:lang w:eastAsia="en-NZ"/>
        </w:rPr>
        <w:t>Children</w:t>
      </w:r>
      <w:r w:rsidRPr="00FE049B">
        <w:rPr>
          <w:lang w:eastAsia="en-NZ"/>
        </w:rPr>
        <w:t xml:space="preserve"> </w:t>
      </w:r>
      <w:r>
        <w:rPr>
          <w:color w:val="000000"/>
          <w:shd w:val="clear" w:color="auto" w:fill="FFFFFF"/>
        </w:rPr>
        <w:t xml:space="preserve">mature gradually, so their competence to consent </w:t>
      </w:r>
      <w:r w:rsidRPr="00FE049B">
        <w:rPr>
          <w:color w:val="000000"/>
          <w:shd w:val="clear" w:color="auto" w:fill="FFFFFF"/>
        </w:rPr>
        <w:t>come</w:t>
      </w:r>
      <w:r>
        <w:rPr>
          <w:color w:val="000000"/>
          <w:shd w:val="clear" w:color="auto" w:fill="FFFFFF"/>
        </w:rPr>
        <w:t>s</w:t>
      </w:r>
      <w:r w:rsidRPr="00FE049B">
        <w:rPr>
          <w:color w:val="000000"/>
          <w:shd w:val="clear" w:color="auto" w:fill="FFFFFF"/>
        </w:rPr>
        <w:t xml:space="preserve"> incrementally with growing maturity and experience. A child may be competent to make autonomous decisions in some areas but not others</w:t>
      </w:r>
      <w:r>
        <w:rPr>
          <w:color w:val="000000"/>
          <w:shd w:val="clear" w:color="auto" w:fill="FFFFFF"/>
        </w:rPr>
        <w:t xml:space="preserve">. </w:t>
      </w:r>
    </w:p>
    <w:p w14:paraId="08BCE6DA" w14:textId="022930DA" w:rsidR="00B820C7" w:rsidRDefault="00B820C7" w:rsidP="00C11E9A">
      <w:pPr>
        <w:pStyle w:val="BodyText-Numbered"/>
        <w:keepNext w:val="0"/>
        <w:keepLines/>
        <w:rPr>
          <w:lang w:eastAsia="en-NZ"/>
        </w:rPr>
      </w:pPr>
      <w:r>
        <w:rPr>
          <w:lang w:eastAsia="en-NZ"/>
        </w:rPr>
        <w:t>The</w:t>
      </w:r>
      <w:r w:rsidR="00045881">
        <w:rPr>
          <w:lang w:eastAsia="en-NZ"/>
        </w:rPr>
        <w:t xml:space="preserve"> </w:t>
      </w:r>
      <w:r w:rsidR="00DC75E7">
        <w:rPr>
          <w:lang w:eastAsia="en-NZ"/>
        </w:rPr>
        <w:t>BDMRR Act</w:t>
      </w:r>
      <w:r w:rsidR="00045881">
        <w:rPr>
          <w:lang w:eastAsia="en-NZ"/>
        </w:rPr>
        <w:t xml:space="preserve"> sets some criteria for</w:t>
      </w:r>
      <w:r w:rsidR="00C22C22">
        <w:rPr>
          <w:lang w:eastAsia="en-NZ"/>
        </w:rPr>
        <w:t xml:space="preserve"> the</w:t>
      </w:r>
      <w:r>
        <w:rPr>
          <w:lang w:eastAsia="en-NZ"/>
        </w:rPr>
        <w:t xml:space="preserve"> types of persons that can be specified in regulations. Specified persons will need to have an ability to assess the competency of a child or young person to make sure the application is what the child or young person wants</w:t>
      </w:r>
      <w:r w:rsidR="00943329">
        <w:rPr>
          <w:lang w:eastAsia="en-NZ"/>
        </w:rPr>
        <w:t>,</w:t>
      </w:r>
      <w:r>
        <w:rPr>
          <w:lang w:eastAsia="en-NZ"/>
        </w:rPr>
        <w:t xml:space="preserve"> and that they are not subject to undue influence or pressure by another person. </w:t>
      </w:r>
    </w:p>
    <w:p w14:paraId="4F0099C0" w14:textId="157FF197" w:rsidR="00B820C7" w:rsidRPr="005140CE" w:rsidRDefault="004002A6" w:rsidP="00C11E9A">
      <w:pPr>
        <w:pStyle w:val="BodyText-Numbered"/>
        <w:keepNext w:val="0"/>
        <w:keepLines/>
        <w:rPr>
          <w:lang w:val="en-NZ" w:eastAsia="en-NZ"/>
        </w:rPr>
      </w:pPr>
      <w:r>
        <w:rPr>
          <w:lang w:eastAsia="en-NZ"/>
        </w:rPr>
        <w:t>W</w:t>
      </w:r>
      <w:r w:rsidR="00FF2F5E">
        <w:rPr>
          <w:lang w:eastAsia="en-NZ"/>
        </w:rPr>
        <w:t>ithout a</w:t>
      </w:r>
      <w:r w:rsidR="00B820C7">
        <w:rPr>
          <w:lang w:eastAsia="en-NZ"/>
        </w:rPr>
        <w:t xml:space="preserve"> range of suitably qualified third</w:t>
      </w:r>
      <w:r w:rsidR="00FF2F5E" w:rsidRPr="004410A2">
        <w:rPr>
          <w:lang w:eastAsia="en-NZ"/>
        </w:rPr>
        <w:t xml:space="preserve"> </w:t>
      </w:r>
      <w:r w:rsidR="00B820C7">
        <w:rPr>
          <w:lang w:eastAsia="en-NZ"/>
        </w:rPr>
        <w:t xml:space="preserve">parties specified in regulations </w:t>
      </w:r>
      <w:r w:rsidR="00FF2F5E">
        <w:rPr>
          <w:lang w:eastAsia="en-NZ"/>
        </w:rPr>
        <w:t xml:space="preserve">that can </w:t>
      </w:r>
      <w:r w:rsidR="00FF2F5E" w:rsidRPr="004410A2">
        <w:rPr>
          <w:lang w:eastAsia="en-NZ"/>
        </w:rPr>
        <w:t>provide a letter of support</w:t>
      </w:r>
      <w:r w:rsidR="00FF2F5E">
        <w:rPr>
          <w:lang w:eastAsia="en-NZ"/>
        </w:rPr>
        <w:t>,</w:t>
      </w:r>
      <w:r w:rsidR="00FF2F5E" w:rsidRPr="004410A2">
        <w:rPr>
          <w:lang w:eastAsia="en-NZ"/>
        </w:rPr>
        <w:t xml:space="preserve"> </w:t>
      </w:r>
      <w:r>
        <w:rPr>
          <w:lang w:eastAsia="en-NZ"/>
        </w:rPr>
        <w:t>access</w:t>
      </w:r>
      <w:r w:rsidRPr="00056B6A">
        <w:rPr>
          <w:lang w:eastAsia="en-NZ"/>
        </w:rPr>
        <w:t xml:space="preserve"> </w:t>
      </w:r>
      <w:r>
        <w:rPr>
          <w:lang w:eastAsia="en-NZ"/>
        </w:rPr>
        <w:t xml:space="preserve">to </w:t>
      </w:r>
      <w:r w:rsidRPr="00056B6A">
        <w:rPr>
          <w:lang w:eastAsia="en-NZ"/>
        </w:rPr>
        <w:t>self-identification</w:t>
      </w:r>
      <w:r w:rsidR="00FF2F5E" w:rsidRPr="004410A2">
        <w:rPr>
          <w:lang w:eastAsia="en-NZ"/>
        </w:rPr>
        <w:t xml:space="preserve"> may </w:t>
      </w:r>
      <w:r>
        <w:rPr>
          <w:lang w:eastAsia="en-NZ"/>
        </w:rPr>
        <w:t xml:space="preserve">be </w:t>
      </w:r>
      <w:r w:rsidR="00FF2F5E" w:rsidRPr="004410A2">
        <w:rPr>
          <w:lang w:eastAsia="en-NZ"/>
        </w:rPr>
        <w:t>limit</w:t>
      </w:r>
      <w:r>
        <w:rPr>
          <w:lang w:eastAsia="en-NZ"/>
        </w:rPr>
        <w:t>ed for</w:t>
      </w:r>
      <w:r w:rsidR="00FF2F5E">
        <w:rPr>
          <w:lang w:eastAsia="en-NZ"/>
        </w:rPr>
        <w:t xml:space="preserve"> children and young people</w:t>
      </w:r>
      <w:r>
        <w:rPr>
          <w:lang w:eastAsia="en-NZ"/>
        </w:rPr>
        <w:t>.</w:t>
      </w:r>
      <w:r w:rsidR="00FF2F5E">
        <w:rPr>
          <w:lang w:eastAsia="en-NZ"/>
        </w:rPr>
        <w:t xml:space="preserve"> </w:t>
      </w:r>
      <w:r w:rsidR="00B820C7">
        <w:rPr>
          <w:lang w:eastAsia="en-NZ"/>
        </w:rPr>
        <w:t>There is an opportunity to prescribe a broad range of persons that could act as a suitably qualified third party to make the self-identification</w:t>
      </w:r>
      <w:r w:rsidR="00045881">
        <w:rPr>
          <w:lang w:eastAsia="en-NZ"/>
        </w:rPr>
        <w:t xml:space="preserve"> process</w:t>
      </w:r>
      <w:r w:rsidR="00B820C7">
        <w:rPr>
          <w:lang w:eastAsia="en-NZ"/>
        </w:rPr>
        <w:t xml:space="preserve"> accessible </w:t>
      </w:r>
      <w:r w:rsidR="009B68C2">
        <w:rPr>
          <w:lang w:eastAsia="en-NZ"/>
        </w:rPr>
        <w:t xml:space="preserve">as possible </w:t>
      </w:r>
      <w:r w:rsidR="00B820C7">
        <w:rPr>
          <w:lang w:eastAsia="en-NZ"/>
        </w:rPr>
        <w:t>to children and young people.</w:t>
      </w:r>
    </w:p>
    <w:p w14:paraId="5EAADECD" w14:textId="77777777" w:rsidR="005140CE" w:rsidRDefault="005140CE" w:rsidP="005140CE">
      <w:pPr>
        <w:pStyle w:val="Heading4"/>
        <w:keepLines/>
        <w:rPr>
          <w:lang w:val="en-NZ"/>
        </w:rPr>
      </w:pPr>
      <w:r>
        <w:rPr>
          <w:lang w:val="en-NZ"/>
        </w:rPr>
        <w:t xml:space="preserve">Te </w:t>
      </w:r>
      <w:proofErr w:type="spellStart"/>
      <w:r>
        <w:rPr>
          <w:lang w:val="en-NZ"/>
        </w:rPr>
        <w:t>Tiriti</w:t>
      </w:r>
      <w:proofErr w:type="spellEnd"/>
      <w:r>
        <w:rPr>
          <w:lang w:val="en-NZ"/>
        </w:rPr>
        <w:t xml:space="preserve"> o Waitangi considerations</w:t>
      </w:r>
    </w:p>
    <w:p w14:paraId="081FE275" w14:textId="3C2906A6" w:rsidR="00871483" w:rsidRDefault="00EB7185" w:rsidP="00871483">
      <w:pPr>
        <w:pStyle w:val="BodyText-Numbered"/>
        <w:keepNext w:val="0"/>
        <w:keepLines/>
      </w:pPr>
      <w:r>
        <w:t>A</w:t>
      </w:r>
      <w:r w:rsidR="00871483">
        <w:t>s Treaty partners</w:t>
      </w:r>
      <w:r>
        <w:t xml:space="preserve">, </w:t>
      </w:r>
      <w:r w:rsidR="00871483">
        <w:t>we need to consider how our proposals impact Māori and wherever possible, seek outcomes that</w:t>
      </w:r>
      <w:r w:rsidR="003559A6">
        <w:t xml:space="preserve"> improve outcomes for </w:t>
      </w:r>
      <w:r w:rsidR="00871483">
        <w:t xml:space="preserve">Māori. The Department has a core responsibility to provide services for all New Zealanders. To effectively deliver services to Māori, we need to understand the needs and expectations of Māori in relation to the services, in this case providing for suitably qualified third parties in regulations that Māori </w:t>
      </w:r>
      <w:r w:rsidR="000A0200">
        <w:t xml:space="preserve">consider </w:t>
      </w:r>
      <w:r w:rsidR="00871483">
        <w:t>appropriate and can comfortably access</w:t>
      </w:r>
      <w:r w:rsidR="0073327D">
        <w:t>.</w:t>
      </w:r>
    </w:p>
    <w:p w14:paraId="5E28C409" w14:textId="15437869" w:rsidR="00EB2C66" w:rsidRDefault="003559A6" w:rsidP="00A66A27">
      <w:pPr>
        <w:pStyle w:val="BodyText-Numbered"/>
        <w:keepNext w:val="0"/>
        <w:keepLines/>
      </w:pPr>
      <w:r>
        <w:rPr>
          <w:szCs w:val="22"/>
        </w:rPr>
        <w:t>Through agency consultation we have learned that s</w:t>
      </w:r>
      <w:r w:rsidR="00EB2C66" w:rsidRPr="00904610">
        <w:rPr>
          <w:szCs w:val="22"/>
        </w:rPr>
        <w:t xml:space="preserve">ome </w:t>
      </w:r>
      <w:proofErr w:type="spellStart"/>
      <w:r w:rsidR="00EB2C66" w:rsidRPr="00A30C3C">
        <w:rPr>
          <w:szCs w:val="22"/>
        </w:rPr>
        <w:t>whānau</w:t>
      </w:r>
      <w:proofErr w:type="spellEnd"/>
      <w:r w:rsidR="00EB2C66" w:rsidRPr="00A30C3C">
        <w:rPr>
          <w:szCs w:val="22"/>
        </w:rPr>
        <w:t xml:space="preserve"> and/or communities </w:t>
      </w:r>
      <w:r>
        <w:rPr>
          <w:szCs w:val="22"/>
        </w:rPr>
        <w:t xml:space="preserve">may </w:t>
      </w:r>
      <w:r w:rsidR="00EB2C66" w:rsidRPr="00A30C3C">
        <w:rPr>
          <w:szCs w:val="22"/>
        </w:rPr>
        <w:t>have a lack of trust towards mainstream</w:t>
      </w:r>
      <w:r>
        <w:rPr>
          <w:szCs w:val="22"/>
        </w:rPr>
        <w:t xml:space="preserve"> social service</w:t>
      </w:r>
      <w:r w:rsidR="00EB2C66" w:rsidRPr="00A30C3C">
        <w:rPr>
          <w:szCs w:val="22"/>
        </w:rPr>
        <w:t xml:space="preserve"> practitioners.</w:t>
      </w:r>
      <w:r w:rsidR="00EB2C66">
        <w:rPr>
          <w:szCs w:val="22"/>
        </w:rPr>
        <w:t xml:space="preserve"> We have heard that i</w:t>
      </w:r>
      <w:r w:rsidR="00EB2C66" w:rsidRPr="00A30C3C">
        <w:rPr>
          <w:szCs w:val="22"/>
        </w:rPr>
        <w:t>t is more common for Māori to rely on people who are within their own circles</w:t>
      </w:r>
      <w:r>
        <w:rPr>
          <w:szCs w:val="22"/>
        </w:rPr>
        <w:t>, for example,</w:t>
      </w:r>
      <w:r w:rsidR="00EB2C66" w:rsidRPr="00A30C3C">
        <w:rPr>
          <w:szCs w:val="22"/>
        </w:rPr>
        <w:t xml:space="preserve"> their </w:t>
      </w:r>
      <w:proofErr w:type="spellStart"/>
      <w:r w:rsidR="00EB2C66" w:rsidRPr="00A30C3C">
        <w:rPr>
          <w:szCs w:val="22"/>
        </w:rPr>
        <w:t>whānau</w:t>
      </w:r>
      <w:proofErr w:type="spellEnd"/>
      <w:r w:rsidR="00EB2C66" w:rsidRPr="00A30C3C">
        <w:rPr>
          <w:szCs w:val="22"/>
        </w:rPr>
        <w:t xml:space="preserve">, </w:t>
      </w:r>
      <w:proofErr w:type="spellStart"/>
      <w:r w:rsidR="00EB2C66" w:rsidRPr="00A30C3C">
        <w:rPr>
          <w:szCs w:val="22"/>
        </w:rPr>
        <w:t>hapū</w:t>
      </w:r>
      <w:proofErr w:type="spellEnd"/>
      <w:r w:rsidR="00EB2C66" w:rsidRPr="00A30C3C">
        <w:rPr>
          <w:szCs w:val="22"/>
        </w:rPr>
        <w:t xml:space="preserve">, iwi or friends. Each </w:t>
      </w:r>
      <w:proofErr w:type="spellStart"/>
      <w:r w:rsidR="00EB2C66" w:rsidRPr="00A30C3C">
        <w:rPr>
          <w:szCs w:val="22"/>
        </w:rPr>
        <w:t>whānau</w:t>
      </w:r>
      <w:proofErr w:type="spellEnd"/>
      <w:r w:rsidR="00EB2C66" w:rsidRPr="00A30C3C">
        <w:rPr>
          <w:szCs w:val="22"/>
        </w:rPr>
        <w:t xml:space="preserve"> determines their own support system and it will differ between </w:t>
      </w:r>
      <w:proofErr w:type="spellStart"/>
      <w:r w:rsidR="00EB2C66" w:rsidRPr="00A30C3C">
        <w:rPr>
          <w:szCs w:val="22"/>
        </w:rPr>
        <w:t>whānau</w:t>
      </w:r>
      <w:proofErr w:type="spellEnd"/>
      <w:r w:rsidR="00EB2C66" w:rsidRPr="00A30C3C">
        <w:rPr>
          <w:szCs w:val="22"/>
        </w:rPr>
        <w:t>.</w:t>
      </w:r>
    </w:p>
    <w:p w14:paraId="4CF0E106" w14:textId="47D02A8A" w:rsidR="00CD0E07" w:rsidRPr="00971AFE" w:rsidRDefault="00EB2C66" w:rsidP="00CD0E07">
      <w:pPr>
        <w:pStyle w:val="BodyText-Numbered"/>
        <w:keepNext w:val="0"/>
        <w:keepLines/>
        <w:rPr>
          <w:shd w:val="clear" w:color="auto" w:fill="FFFFFF"/>
        </w:rPr>
      </w:pPr>
      <w:r w:rsidRPr="00CD0E07">
        <w:t xml:space="preserve">Given some </w:t>
      </w:r>
      <w:r w:rsidRPr="00CD0E07">
        <w:rPr>
          <w:szCs w:val="22"/>
        </w:rPr>
        <w:t>Māori</w:t>
      </w:r>
      <w:r w:rsidRPr="00CD0E07">
        <w:t xml:space="preserve"> are more likely to rely on their own circle of support, </w:t>
      </w:r>
      <w:r w:rsidR="003559A6" w:rsidRPr="00CD0E07">
        <w:t>we should be mindful of ensuring that</w:t>
      </w:r>
      <w:r w:rsidRPr="00CD0E07">
        <w:t xml:space="preserve"> </w:t>
      </w:r>
      <w:r w:rsidRPr="00CD0E07">
        <w:rPr>
          <w:szCs w:val="22"/>
        </w:rPr>
        <w:t>suitably</w:t>
      </w:r>
      <w:r w:rsidRPr="00CD0E07">
        <w:t xml:space="preserve"> qualified third parties prescribe</w:t>
      </w:r>
      <w:r w:rsidR="003559A6" w:rsidRPr="00CD0E07">
        <w:t>d</w:t>
      </w:r>
      <w:r w:rsidRPr="00CD0E07">
        <w:t xml:space="preserve"> in regulations meet </w:t>
      </w:r>
      <w:r w:rsidRPr="00CD0E07">
        <w:rPr>
          <w:szCs w:val="22"/>
        </w:rPr>
        <w:t>Māori</w:t>
      </w:r>
      <w:r w:rsidRPr="00CD0E07">
        <w:t xml:space="preserve"> needs and expectations around who should provide a letter of support for </w:t>
      </w:r>
      <w:r w:rsidR="003559A6" w:rsidRPr="00CD0E07">
        <w:t xml:space="preserve">their </w:t>
      </w:r>
      <w:proofErr w:type="spellStart"/>
      <w:r w:rsidRPr="00CD0E07">
        <w:t>tamariki</w:t>
      </w:r>
      <w:proofErr w:type="spellEnd"/>
      <w:r w:rsidRPr="00CD0E07">
        <w:t xml:space="preserve"> and </w:t>
      </w:r>
      <w:proofErr w:type="spellStart"/>
      <w:r w:rsidRPr="00CD0E07">
        <w:t>rangatahi</w:t>
      </w:r>
      <w:proofErr w:type="spellEnd"/>
      <w:r w:rsidRPr="00CD0E07">
        <w:t xml:space="preserve">. </w:t>
      </w:r>
      <w:r w:rsidR="000A0200" w:rsidRPr="00CD0E07">
        <w:t xml:space="preserve">Engagement will help us to understand the views of </w:t>
      </w:r>
      <w:proofErr w:type="spellStart"/>
      <w:r w:rsidR="000A0200" w:rsidRPr="00CD0E07">
        <w:t>tamariki</w:t>
      </w:r>
      <w:proofErr w:type="spellEnd"/>
      <w:r w:rsidR="000A0200" w:rsidRPr="00CD0E07">
        <w:t xml:space="preserve">, </w:t>
      </w:r>
      <w:proofErr w:type="spellStart"/>
      <w:r w:rsidR="000A0200" w:rsidRPr="00CD0E07">
        <w:t>rangatahi</w:t>
      </w:r>
      <w:proofErr w:type="spellEnd"/>
      <w:r w:rsidR="003559A6" w:rsidRPr="00CD0E07">
        <w:t xml:space="preserve"> and enable us to ensure this is reflected in our options and analysis.</w:t>
      </w:r>
      <w:r w:rsidR="005E65B3" w:rsidRPr="00CD0E07">
        <w:rPr>
          <w:szCs w:val="22"/>
          <w:shd w:val="clear" w:color="auto" w:fill="FFFFFF"/>
        </w:rPr>
        <w:t xml:space="preserve"> </w:t>
      </w:r>
    </w:p>
    <w:p w14:paraId="17FCCCD2" w14:textId="66412FB1" w:rsidR="00971AFE" w:rsidRDefault="00971AFE" w:rsidP="003D3FC0">
      <w:pPr>
        <w:pStyle w:val="Heading4"/>
        <w:rPr>
          <w:shd w:val="clear" w:color="auto" w:fill="FFFFFF"/>
        </w:rPr>
      </w:pPr>
      <w:r>
        <w:rPr>
          <w:shd w:val="clear" w:color="auto" w:fill="FFFFFF"/>
        </w:rPr>
        <w:t xml:space="preserve">Supporting Pacific and </w:t>
      </w:r>
      <w:r w:rsidR="003D3FC0">
        <w:rPr>
          <w:shd w:val="clear" w:color="auto" w:fill="FFFFFF"/>
        </w:rPr>
        <w:t>e</w:t>
      </w:r>
      <w:r>
        <w:rPr>
          <w:shd w:val="clear" w:color="auto" w:fill="FFFFFF"/>
        </w:rPr>
        <w:t>thnic communities to access third parties</w:t>
      </w:r>
    </w:p>
    <w:p w14:paraId="3C5BE482" w14:textId="2959AAF1" w:rsidR="00971AFE" w:rsidRPr="003D3FC0" w:rsidRDefault="0073327D" w:rsidP="009E15DE">
      <w:pPr>
        <w:pStyle w:val="BodyText-Numbered"/>
        <w:keepNext w:val="0"/>
      </w:pPr>
      <w:r>
        <w:t xml:space="preserve">It will also be important to understand the needs and expectations of Pacific and </w:t>
      </w:r>
      <w:r w:rsidR="003D3FC0">
        <w:t>e</w:t>
      </w:r>
      <w:r>
        <w:t>thnic communities in relation to accessing third parties.</w:t>
      </w:r>
      <w:r w:rsidR="00DB34DC">
        <w:t xml:space="preserve"> For instance, there may be greater reliance on people within their own cultural communities to support important decisions for a child or young person.</w:t>
      </w:r>
      <w:r>
        <w:t xml:space="preserve"> </w:t>
      </w:r>
      <w:r w:rsidR="00DB34DC" w:rsidRPr="00CD0E07">
        <w:t xml:space="preserve">Engagement will help us to understand the views of </w:t>
      </w:r>
      <w:r w:rsidR="00DB34DC">
        <w:t>these communities</w:t>
      </w:r>
      <w:r w:rsidR="00DB34DC" w:rsidRPr="00CD0E07">
        <w:t xml:space="preserve"> and enable us to ensure this is reflected in our options and analysis.</w:t>
      </w:r>
    </w:p>
    <w:p w14:paraId="69717DA2" w14:textId="0FDDD995" w:rsidR="004B29B1" w:rsidRPr="00847E6E" w:rsidRDefault="004B29B1" w:rsidP="009E15DE">
      <w:pPr>
        <w:pStyle w:val="Heading3"/>
        <w:rPr>
          <w:lang w:val="en-NZ"/>
        </w:rPr>
      </w:pPr>
      <w:r w:rsidRPr="00A864A5">
        <w:rPr>
          <w:lang w:val="en-NZ"/>
        </w:rPr>
        <w:lastRenderedPageBreak/>
        <w:t xml:space="preserve">What objectives </w:t>
      </w:r>
      <w:r>
        <w:rPr>
          <w:lang w:val="en-NZ"/>
        </w:rPr>
        <w:t>are sought</w:t>
      </w:r>
      <w:r w:rsidRPr="00A864A5">
        <w:rPr>
          <w:lang w:val="en-NZ"/>
        </w:rPr>
        <w:t xml:space="preserve"> in relation to th</w:t>
      </w:r>
      <w:r>
        <w:rPr>
          <w:lang w:val="en-NZ"/>
        </w:rPr>
        <w:t>e</w:t>
      </w:r>
      <w:r w:rsidRPr="00A864A5">
        <w:rPr>
          <w:lang w:val="en-NZ"/>
        </w:rPr>
        <w:t xml:space="preserve"> policy problem?</w:t>
      </w:r>
    </w:p>
    <w:p w14:paraId="3C49DCF8" w14:textId="5051DB3A" w:rsidR="00D64BAF" w:rsidRPr="008246EE" w:rsidRDefault="00D64BAF" w:rsidP="009E15DE">
      <w:pPr>
        <w:pStyle w:val="BodyText-Numbered"/>
        <w:keepLines/>
      </w:pPr>
      <w:r w:rsidRPr="00CC2EF0">
        <w:t>The objectives</w:t>
      </w:r>
      <w:r w:rsidRPr="00056B6A">
        <w:t xml:space="preserve"> </w:t>
      </w:r>
      <w:r w:rsidRPr="008246EE">
        <w:t xml:space="preserve">of </w:t>
      </w:r>
      <w:r>
        <w:t>specifying suitably qualified third parties in regulations are to</w:t>
      </w:r>
      <w:r w:rsidRPr="008246EE">
        <w:t xml:space="preserve">: </w:t>
      </w:r>
    </w:p>
    <w:p w14:paraId="6301D12C" w14:textId="77777777" w:rsidR="00D64BAF" w:rsidRPr="008A1BC1" w:rsidRDefault="00D64BAF" w:rsidP="009E15DE">
      <w:pPr>
        <w:pStyle w:val="BodyText-Numbered"/>
        <w:keepLines/>
        <w:numPr>
          <w:ilvl w:val="1"/>
          <w:numId w:val="1"/>
        </w:numPr>
        <w:rPr>
          <w:szCs w:val="22"/>
        </w:rPr>
      </w:pPr>
      <w:r>
        <w:rPr>
          <w:szCs w:val="22"/>
        </w:rPr>
        <w:t>ensure children and young people can access the self-identification process; and</w:t>
      </w:r>
    </w:p>
    <w:p w14:paraId="41ED8C2A" w14:textId="0931994F" w:rsidR="004B29B1" w:rsidRPr="000055F8" w:rsidRDefault="00D64BAF" w:rsidP="00C45950">
      <w:pPr>
        <w:pStyle w:val="BodyText-Numbered"/>
        <w:keepNext w:val="0"/>
        <w:keepLines/>
        <w:numPr>
          <w:ilvl w:val="1"/>
          <w:numId w:val="1"/>
        </w:numPr>
        <w:rPr>
          <w:lang w:val="en-NZ"/>
        </w:rPr>
      </w:pPr>
      <w:r w:rsidRPr="000055F8">
        <w:rPr>
          <w:szCs w:val="22"/>
        </w:rPr>
        <w:t>have confidence that children and young people’s applications are genuinely ba</w:t>
      </w:r>
      <w:r w:rsidRPr="00DB34DC">
        <w:rPr>
          <w:szCs w:val="22"/>
        </w:rPr>
        <w:t>sed on their own decision</w:t>
      </w:r>
      <w:r w:rsidR="0003090D" w:rsidRPr="00DB34DC">
        <w:rPr>
          <w:szCs w:val="22"/>
        </w:rPr>
        <w:t xml:space="preserve"> and that they understand the consequences. </w:t>
      </w:r>
      <w:r w:rsidR="004B29B1" w:rsidRPr="000055F8">
        <w:rPr>
          <w:lang w:val="en-NZ"/>
        </w:rPr>
        <w:br w:type="page"/>
      </w:r>
    </w:p>
    <w:p w14:paraId="5126F8B4" w14:textId="77777777" w:rsidR="004B29B1" w:rsidRDefault="004B29B1" w:rsidP="00802AB2">
      <w:pPr>
        <w:pStyle w:val="Heading2"/>
        <w:rPr>
          <w:lang w:val="en-NZ"/>
        </w:rPr>
      </w:pPr>
      <w:r w:rsidRPr="00A864A5">
        <w:rPr>
          <w:lang w:val="en-NZ"/>
        </w:rPr>
        <w:lastRenderedPageBreak/>
        <w:t xml:space="preserve">Section 2: </w:t>
      </w:r>
      <w:r>
        <w:rPr>
          <w:lang w:val="en-NZ"/>
        </w:rPr>
        <w:t>Deciding upon an option to address the policy problem</w:t>
      </w:r>
    </w:p>
    <w:p w14:paraId="5F1FFC3D" w14:textId="77777777" w:rsidR="004B29B1" w:rsidRPr="00A864A5" w:rsidRDefault="004B29B1" w:rsidP="00802AB2">
      <w:pPr>
        <w:pStyle w:val="Heading3"/>
        <w:rPr>
          <w:lang w:val="en-NZ"/>
        </w:rPr>
      </w:pPr>
      <w:r w:rsidRPr="00A864A5">
        <w:rPr>
          <w:lang w:val="en-NZ"/>
        </w:rPr>
        <w:t xml:space="preserve">What criteria will </w:t>
      </w:r>
      <w:r>
        <w:rPr>
          <w:lang w:val="en-NZ"/>
        </w:rPr>
        <w:t>be used to</w:t>
      </w:r>
      <w:r w:rsidRPr="00A864A5">
        <w:rPr>
          <w:lang w:val="en-NZ"/>
        </w:rPr>
        <w:t xml:space="preserve"> </w:t>
      </w:r>
      <w:r>
        <w:rPr>
          <w:lang w:val="en-NZ"/>
        </w:rPr>
        <w:t>compare</w:t>
      </w:r>
      <w:r w:rsidRPr="00A864A5">
        <w:rPr>
          <w:lang w:val="en-NZ"/>
        </w:rPr>
        <w:t xml:space="preserve"> options </w:t>
      </w:r>
      <w:r>
        <w:rPr>
          <w:lang w:val="en-NZ"/>
        </w:rPr>
        <w:t>to</w:t>
      </w:r>
      <w:r w:rsidRPr="00A864A5">
        <w:rPr>
          <w:lang w:val="en-NZ"/>
        </w:rPr>
        <w:t xml:space="preserve"> the status quo?</w:t>
      </w:r>
    </w:p>
    <w:p w14:paraId="1F2606FC" w14:textId="77777777" w:rsidR="00D64BAF" w:rsidRDefault="00D64BAF" w:rsidP="00C11E9A">
      <w:pPr>
        <w:pStyle w:val="BodyText-Numbered"/>
        <w:keepNext w:val="0"/>
        <w:keepLines/>
        <w:rPr>
          <w:lang w:eastAsia="en-NZ"/>
        </w:rPr>
      </w:pPr>
      <w:r w:rsidRPr="00044745">
        <w:rPr>
          <w:lang w:eastAsia="en-NZ"/>
        </w:rPr>
        <w:t xml:space="preserve">The criteria used to assess the options for </w:t>
      </w:r>
      <w:r>
        <w:rPr>
          <w:lang w:eastAsia="en-NZ"/>
        </w:rPr>
        <w:t>prescribing who can act as a suitably qualified third party to provide a letter of support are:</w:t>
      </w:r>
    </w:p>
    <w:p w14:paraId="10E6C372" w14:textId="666D1556" w:rsidR="00D64BAF" w:rsidRPr="00116418" w:rsidRDefault="00D64BAF" w:rsidP="00B53952">
      <w:pPr>
        <w:pStyle w:val="BodyText-Numbered"/>
        <w:keepNext w:val="0"/>
        <w:keepLines/>
        <w:numPr>
          <w:ilvl w:val="1"/>
          <w:numId w:val="1"/>
        </w:numPr>
        <w:rPr>
          <w:lang w:eastAsia="en-NZ"/>
        </w:rPr>
      </w:pPr>
      <w:bookmarkStart w:id="20" w:name="_Hlk99404499"/>
      <w:r>
        <w:rPr>
          <w:b/>
        </w:rPr>
        <w:t>Inclusivity</w:t>
      </w:r>
      <w:r w:rsidRPr="001831BD">
        <w:rPr>
          <w:b/>
        </w:rPr>
        <w:t>:</w:t>
      </w:r>
      <w:r w:rsidRPr="001831BD">
        <w:t xml:space="preserve"> children</w:t>
      </w:r>
      <w:r>
        <w:t xml:space="preserve"> </w:t>
      </w:r>
      <w:r w:rsidRPr="00271DB5">
        <w:rPr>
          <w:szCs w:val="22"/>
        </w:rPr>
        <w:t>and</w:t>
      </w:r>
      <w:r>
        <w:t xml:space="preserve"> young people can access a </w:t>
      </w:r>
      <w:r w:rsidR="00E87FE0">
        <w:t>suitably qualified</w:t>
      </w:r>
      <w:r>
        <w:t xml:space="preserve"> third party they trust and feel comfortable with. </w:t>
      </w:r>
    </w:p>
    <w:p w14:paraId="03E77C33" w14:textId="77777777" w:rsidR="00D64BAF" w:rsidRPr="00056B6A" w:rsidRDefault="00D64BAF" w:rsidP="00B53952">
      <w:pPr>
        <w:pStyle w:val="BodyText-Numbered"/>
        <w:keepNext w:val="0"/>
        <w:keepLines/>
        <w:numPr>
          <w:ilvl w:val="1"/>
          <w:numId w:val="1"/>
        </w:numPr>
      </w:pPr>
      <w:r w:rsidRPr="00116418">
        <w:rPr>
          <w:b/>
        </w:rPr>
        <w:t>Accessibility:</w:t>
      </w:r>
      <w:r w:rsidRPr="00056B6A">
        <w:t xml:space="preserve"> </w:t>
      </w:r>
      <w:r w:rsidRPr="00271DB5">
        <w:rPr>
          <w:szCs w:val="22"/>
        </w:rPr>
        <w:t>children</w:t>
      </w:r>
      <w:r w:rsidRPr="00056B6A">
        <w:t xml:space="preserve"> can easily access a third party without any unn</w:t>
      </w:r>
      <w:r>
        <w:t>ecessary barriers or complexity.</w:t>
      </w:r>
    </w:p>
    <w:p w14:paraId="6294571D" w14:textId="04A3DCE4" w:rsidR="00D64BAF" w:rsidRDefault="005102A6" w:rsidP="00B53952">
      <w:pPr>
        <w:pStyle w:val="BodyText-Numbered"/>
        <w:keepNext w:val="0"/>
        <w:keepLines/>
        <w:numPr>
          <w:ilvl w:val="1"/>
          <w:numId w:val="1"/>
        </w:numPr>
      </w:pPr>
      <w:r>
        <w:rPr>
          <w:b/>
        </w:rPr>
        <w:t>A</w:t>
      </w:r>
      <w:r w:rsidR="00D64BAF">
        <w:rPr>
          <w:b/>
        </w:rPr>
        <w:t>ssurance</w:t>
      </w:r>
      <w:r w:rsidR="00D64BAF" w:rsidRPr="001831BD">
        <w:rPr>
          <w:b/>
        </w:rPr>
        <w:t>:</w:t>
      </w:r>
      <w:r w:rsidR="00D64BAF" w:rsidRPr="00056B6A">
        <w:t xml:space="preserve"> </w:t>
      </w:r>
      <w:r w:rsidR="00D64BAF">
        <w:t>the</w:t>
      </w:r>
      <w:r w:rsidR="00D64BAF" w:rsidRPr="00056B6A">
        <w:t xml:space="preserve"> </w:t>
      </w:r>
      <w:r w:rsidR="00D64BAF" w:rsidRPr="00271DB5">
        <w:rPr>
          <w:szCs w:val="22"/>
        </w:rPr>
        <w:t>potential</w:t>
      </w:r>
      <w:r w:rsidR="00D64BAF" w:rsidRPr="00056B6A">
        <w:t xml:space="preserve"> for undue influence</w:t>
      </w:r>
      <w:r w:rsidR="00D64BAF">
        <w:t xml:space="preserve"> over a child or young person’s decision making is limited.</w:t>
      </w:r>
    </w:p>
    <w:bookmarkEnd w:id="20"/>
    <w:p w14:paraId="6FDEE247" w14:textId="77777777" w:rsidR="00D64BAF" w:rsidRDefault="00D64BAF" w:rsidP="00C11E9A">
      <w:pPr>
        <w:pStyle w:val="BodyText-Numbered"/>
        <w:keepNext w:val="0"/>
        <w:keepLines/>
      </w:pPr>
      <w:r>
        <w:t xml:space="preserve">The criteria have been loosely developed off the original criteria used to assess options for improving the process to amend sex on birth certificates because it is important that the regulatory options are consistent with the original policy intent of self-identification. </w:t>
      </w:r>
    </w:p>
    <w:p w14:paraId="549BA977" w14:textId="3C446D36" w:rsidR="00D64BAF" w:rsidRDefault="00D64BAF" w:rsidP="00C11E9A">
      <w:pPr>
        <w:pStyle w:val="BodyText-Numbered"/>
        <w:keepNext w:val="0"/>
        <w:keepLines/>
      </w:pPr>
      <w:bookmarkStart w:id="21" w:name="_Hlk99431473"/>
      <w:r>
        <w:t>The inclusivity</w:t>
      </w:r>
      <w:r w:rsidR="005A6658">
        <w:t xml:space="preserve"> </w:t>
      </w:r>
      <w:r>
        <w:t xml:space="preserve">and accessibility criteria are different. </w:t>
      </w:r>
    </w:p>
    <w:p w14:paraId="72C114D1" w14:textId="4C57E53C" w:rsidR="00D64BAF" w:rsidRPr="00E31CF2" w:rsidRDefault="00D64BAF" w:rsidP="00C11E9A">
      <w:pPr>
        <w:pStyle w:val="BodyText-Numbered"/>
        <w:keepNext w:val="0"/>
        <w:keepLines/>
        <w:numPr>
          <w:ilvl w:val="1"/>
          <w:numId w:val="1"/>
        </w:numPr>
        <w:rPr>
          <w:szCs w:val="22"/>
        </w:rPr>
      </w:pPr>
      <w:r w:rsidRPr="00D3610F">
        <w:rPr>
          <w:szCs w:val="22"/>
        </w:rPr>
        <w:t>Inclusivity is about ensuring children and young people from all socio-economic and</w:t>
      </w:r>
      <w:r w:rsidR="005F2AFE" w:rsidRPr="00D3610F">
        <w:rPr>
          <w:szCs w:val="22"/>
        </w:rPr>
        <w:t xml:space="preserve"> </w:t>
      </w:r>
      <w:r w:rsidRPr="00D3610F">
        <w:rPr>
          <w:szCs w:val="22"/>
        </w:rPr>
        <w:t xml:space="preserve">cultural backgrounds can access a suitably qualified third party that they trust and feel comfortable approaching. The inclusivity criterion also aims to honour </w:t>
      </w:r>
      <w:proofErr w:type="spellStart"/>
      <w:r w:rsidRPr="00D3610F">
        <w:rPr>
          <w:szCs w:val="22"/>
        </w:rPr>
        <w:t>te</w:t>
      </w:r>
      <w:proofErr w:type="spellEnd"/>
      <w:r w:rsidRPr="00D3610F">
        <w:rPr>
          <w:szCs w:val="22"/>
        </w:rPr>
        <w:t xml:space="preserve"> </w:t>
      </w:r>
      <w:proofErr w:type="spellStart"/>
      <w:r w:rsidRPr="00D3610F">
        <w:rPr>
          <w:szCs w:val="22"/>
        </w:rPr>
        <w:t>Tiriti</w:t>
      </w:r>
      <w:proofErr w:type="spellEnd"/>
      <w:r w:rsidRPr="00D3610F">
        <w:rPr>
          <w:szCs w:val="22"/>
        </w:rPr>
        <w:t xml:space="preserve"> o Waitangi obligations and</w:t>
      </w:r>
      <w:r>
        <w:rPr>
          <w:szCs w:val="22"/>
        </w:rPr>
        <w:t xml:space="preserve"> contribute to better</w:t>
      </w:r>
      <w:r w:rsidRPr="00D3610F">
        <w:rPr>
          <w:szCs w:val="22"/>
        </w:rPr>
        <w:t xml:space="preserve"> outcomes for Māori by </w:t>
      </w:r>
      <w:r w:rsidR="00D3610F" w:rsidRPr="00D3610F">
        <w:rPr>
          <w:szCs w:val="22"/>
        </w:rPr>
        <w:t>recognising</w:t>
      </w:r>
      <w:r w:rsidR="00B861A0" w:rsidRPr="00D3610F">
        <w:rPr>
          <w:szCs w:val="22"/>
        </w:rPr>
        <w:t xml:space="preserve"> their needs and expectations</w:t>
      </w:r>
      <w:r w:rsidR="00404B63" w:rsidRPr="00D3610F">
        <w:rPr>
          <w:szCs w:val="22"/>
        </w:rPr>
        <w:t xml:space="preserve"> around </w:t>
      </w:r>
      <w:r w:rsidR="00D3610F" w:rsidRPr="00D3610F">
        <w:rPr>
          <w:szCs w:val="22"/>
        </w:rPr>
        <w:t>ensuring</w:t>
      </w:r>
      <w:r w:rsidRPr="00D3610F">
        <w:rPr>
          <w:szCs w:val="22"/>
        </w:rPr>
        <w:t xml:space="preserve"> </w:t>
      </w:r>
      <w:proofErr w:type="spellStart"/>
      <w:r>
        <w:rPr>
          <w:szCs w:val="22"/>
        </w:rPr>
        <w:t>tamariki</w:t>
      </w:r>
      <w:proofErr w:type="spellEnd"/>
      <w:r w:rsidR="00D3610F">
        <w:rPr>
          <w:szCs w:val="22"/>
        </w:rPr>
        <w:t xml:space="preserve"> and</w:t>
      </w:r>
      <w:r>
        <w:rPr>
          <w:szCs w:val="22"/>
        </w:rPr>
        <w:t xml:space="preserve"> </w:t>
      </w:r>
      <w:proofErr w:type="spellStart"/>
      <w:r>
        <w:rPr>
          <w:szCs w:val="22"/>
        </w:rPr>
        <w:t>rangatahi</w:t>
      </w:r>
      <w:proofErr w:type="spellEnd"/>
      <w:r>
        <w:rPr>
          <w:szCs w:val="22"/>
        </w:rPr>
        <w:t xml:space="preserve"> </w:t>
      </w:r>
      <w:r w:rsidR="00D3610F">
        <w:rPr>
          <w:szCs w:val="22"/>
        </w:rPr>
        <w:t>can</w:t>
      </w:r>
      <w:r>
        <w:rPr>
          <w:szCs w:val="22"/>
        </w:rPr>
        <w:t xml:space="preserve"> </w:t>
      </w:r>
      <w:r w:rsidR="005E65B3">
        <w:rPr>
          <w:szCs w:val="22"/>
        </w:rPr>
        <w:t xml:space="preserve">access a suitably qualified third </w:t>
      </w:r>
      <w:proofErr w:type="gramStart"/>
      <w:r w:rsidR="005E65B3">
        <w:rPr>
          <w:szCs w:val="22"/>
        </w:rPr>
        <w:t>party</w:t>
      </w:r>
      <w:r w:rsidR="00877A82">
        <w:rPr>
          <w:szCs w:val="22"/>
        </w:rPr>
        <w:t>;</w:t>
      </w:r>
      <w:proofErr w:type="gramEnd"/>
      <w:r>
        <w:rPr>
          <w:szCs w:val="22"/>
        </w:rPr>
        <w:t xml:space="preserve"> </w:t>
      </w:r>
    </w:p>
    <w:p w14:paraId="1D6CBBEA" w14:textId="3C7F912A" w:rsidR="00D64BAF" w:rsidRDefault="00D64BAF" w:rsidP="00C11E9A">
      <w:pPr>
        <w:pStyle w:val="BodyText-Numbered"/>
        <w:keepNext w:val="0"/>
        <w:keepLines/>
        <w:numPr>
          <w:ilvl w:val="1"/>
          <w:numId w:val="1"/>
        </w:numPr>
        <w:rPr>
          <w:szCs w:val="22"/>
        </w:rPr>
      </w:pPr>
      <w:r w:rsidRPr="00D3610F">
        <w:rPr>
          <w:szCs w:val="22"/>
        </w:rPr>
        <w:t>Accessibility is about reducing barriers to access a suitably qualified third party (</w:t>
      </w:r>
      <w:proofErr w:type="gramStart"/>
      <w:r w:rsidRPr="00D3610F">
        <w:rPr>
          <w:szCs w:val="22"/>
        </w:rPr>
        <w:t>e.g.</w:t>
      </w:r>
      <w:proofErr w:type="gramEnd"/>
      <w:r w:rsidRPr="00D3610F">
        <w:rPr>
          <w:szCs w:val="22"/>
        </w:rPr>
        <w:t xml:space="preserve"> cos</w:t>
      </w:r>
      <w:r>
        <w:rPr>
          <w:szCs w:val="22"/>
        </w:rPr>
        <w:t xml:space="preserve">t, time and physical location), and that </w:t>
      </w:r>
      <w:r w:rsidR="00993B41">
        <w:rPr>
          <w:szCs w:val="22"/>
        </w:rPr>
        <w:t xml:space="preserve">our Māori, Pacific, and ethnic communities </w:t>
      </w:r>
      <w:r w:rsidRPr="00205227">
        <w:rPr>
          <w:szCs w:val="22"/>
        </w:rPr>
        <w:t>are not disadvantaged.</w:t>
      </w:r>
    </w:p>
    <w:p w14:paraId="691C8ABF" w14:textId="0E91E550" w:rsidR="004B29B1" w:rsidRPr="00D64BAF" w:rsidRDefault="00DD1DF3" w:rsidP="00DD1DF3">
      <w:pPr>
        <w:pStyle w:val="BodyText-Numbered"/>
      </w:pPr>
      <w:r>
        <w:t xml:space="preserve">Assurance is about ensuring children and young people are not subject to pressure by others, and that the application is something they understand, and want to do. </w:t>
      </w:r>
      <w:r w:rsidR="00D64BAF">
        <w:t xml:space="preserve">To some extent the </w:t>
      </w:r>
      <w:r w:rsidR="00AE7E27">
        <w:t>assurance</w:t>
      </w:r>
      <w:r w:rsidR="00D64BAF">
        <w:t xml:space="preserve"> criterion competes with the other criteria. This is because limiting the types of persons who can be specified as a suitably qualified third party could negatively impact its inclusivity and accessibility. In assessing the options against the criteria, the </w:t>
      </w:r>
      <w:r w:rsidR="00F66CF8">
        <w:t>assurance</w:t>
      </w:r>
      <w:r w:rsidR="00D64BAF">
        <w:t xml:space="preserve"> criterion has been considered on balance. This is in recognition that limitations on the types of persons specified are needed to </w:t>
      </w:r>
      <w:bookmarkEnd w:id="21"/>
      <w:r w:rsidR="00D64BAF">
        <w:t xml:space="preserve">have confidence that children are not subject to undue influence, and </w:t>
      </w:r>
      <w:r w:rsidR="00421B70">
        <w:t xml:space="preserve">that </w:t>
      </w:r>
      <w:r w:rsidR="00D64BAF">
        <w:t>they are</w:t>
      </w:r>
      <w:r w:rsidR="00D64BAF" w:rsidRPr="00056B6A">
        <w:t xml:space="preserve"> making their o</w:t>
      </w:r>
      <w:r w:rsidR="00D64BAF">
        <w:t xml:space="preserve">wn decisions about their gender. </w:t>
      </w:r>
    </w:p>
    <w:p w14:paraId="0703B262" w14:textId="77777777" w:rsidR="004B29B1" w:rsidRPr="00CD4B62" w:rsidRDefault="004B29B1" w:rsidP="00802AB2">
      <w:pPr>
        <w:pStyle w:val="Heading3"/>
        <w:rPr>
          <w:lang w:val="en-NZ"/>
        </w:rPr>
      </w:pPr>
      <w:r w:rsidRPr="00A864A5">
        <w:rPr>
          <w:lang w:val="en-NZ"/>
        </w:rPr>
        <w:t xml:space="preserve">What scope </w:t>
      </w:r>
      <w:r>
        <w:rPr>
          <w:lang w:val="en-NZ"/>
        </w:rPr>
        <w:t>will</w:t>
      </w:r>
      <w:r w:rsidRPr="00A864A5">
        <w:rPr>
          <w:lang w:val="en-NZ"/>
        </w:rPr>
        <w:t xml:space="preserve"> </w:t>
      </w:r>
      <w:r>
        <w:rPr>
          <w:lang w:val="en-NZ"/>
        </w:rPr>
        <w:t>options be considered</w:t>
      </w:r>
      <w:r w:rsidRPr="00A864A5">
        <w:rPr>
          <w:lang w:val="en-NZ"/>
        </w:rPr>
        <w:t xml:space="preserve"> within?</w:t>
      </w:r>
    </w:p>
    <w:p w14:paraId="0711DB8C" w14:textId="167BDE1F" w:rsidR="00D64BAF" w:rsidRDefault="00D64BAF" w:rsidP="00C11E9A">
      <w:pPr>
        <w:pStyle w:val="BodyText-Numbered"/>
        <w:keepNext w:val="0"/>
        <w:keepLines/>
      </w:pPr>
      <w:r>
        <w:t xml:space="preserve">The </w:t>
      </w:r>
      <w:r w:rsidR="00087EE3">
        <w:t>BDMRR Act</w:t>
      </w:r>
      <w:r w:rsidR="000D6868">
        <w:t xml:space="preserve"> sets</w:t>
      </w:r>
      <w:r w:rsidR="00FB1398">
        <w:t xml:space="preserve"> some limits for the </w:t>
      </w:r>
      <w:r>
        <w:t xml:space="preserve">scope of feasible options. Under section 144(4) the Minister must be satisfied that each type of </w:t>
      </w:r>
      <w:r w:rsidR="00252EB0">
        <w:t xml:space="preserve">suitably qualified third party </w:t>
      </w:r>
      <w:r>
        <w:t xml:space="preserve">specified in regulations – </w:t>
      </w:r>
    </w:p>
    <w:p w14:paraId="532042F4" w14:textId="77777777" w:rsidR="00D64BAF" w:rsidRDefault="00D64BAF" w:rsidP="00C11E9A">
      <w:pPr>
        <w:pStyle w:val="BodyText-Numbered"/>
        <w:keepNext w:val="0"/>
        <w:keepLines/>
        <w:numPr>
          <w:ilvl w:val="1"/>
          <w:numId w:val="1"/>
        </w:numPr>
      </w:pPr>
      <w:r>
        <w:t>has sufficient professional or community standing to provide letters of support generally; or</w:t>
      </w:r>
    </w:p>
    <w:p w14:paraId="17B57438" w14:textId="75B7F2C6" w:rsidR="00D64BAF" w:rsidRDefault="00D64BAF" w:rsidP="00C11E9A">
      <w:pPr>
        <w:pStyle w:val="BodyText-Numbered"/>
        <w:keepNext w:val="0"/>
        <w:keepLines/>
        <w:numPr>
          <w:ilvl w:val="1"/>
          <w:numId w:val="1"/>
        </w:numPr>
      </w:pPr>
      <w:r>
        <w:t xml:space="preserve">is required to have known an eligible child or 16- or 17- year-old for </w:t>
      </w:r>
      <w:r w:rsidR="00F107AA">
        <w:t>a period</w:t>
      </w:r>
      <w:r>
        <w:t xml:space="preserve"> that indicates they have a sufficiently enduring relationship </w:t>
      </w:r>
      <w:r w:rsidR="00705BB2">
        <w:t xml:space="preserve">with them </w:t>
      </w:r>
      <w:r>
        <w:t>to provide a letter of support; and</w:t>
      </w:r>
    </w:p>
    <w:p w14:paraId="27383933" w14:textId="2CE991A3" w:rsidR="00D64BAF" w:rsidRDefault="00D64BAF" w:rsidP="00C11E9A">
      <w:pPr>
        <w:pStyle w:val="BodyText-Numbered"/>
        <w:keepNext w:val="0"/>
        <w:keepLines/>
        <w:numPr>
          <w:ilvl w:val="1"/>
          <w:numId w:val="1"/>
        </w:numPr>
      </w:pPr>
      <w:r>
        <w:t>the regulations provide applicants with a reasonable level of choice regarding the type of person who may provide a letter of support; and</w:t>
      </w:r>
    </w:p>
    <w:p w14:paraId="32F71D7D" w14:textId="1784EFDC" w:rsidR="00D64BAF" w:rsidRDefault="00D64BAF" w:rsidP="00C11E9A">
      <w:pPr>
        <w:pStyle w:val="BodyText-Numbered"/>
        <w:keepNext w:val="0"/>
        <w:keepLines/>
        <w:numPr>
          <w:ilvl w:val="1"/>
          <w:numId w:val="1"/>
        </w:numPr>
      </w:pPr>
      <w:r>
        <w:t>the regulations include persons other than medical practitioners.</w:t>
      </w:r>
    </w:p>
    <w:p w14:paraId="335C1BD9" w14:textId="5A4E23C9" w:rsidR="009D3307" w:rsidRDefault="009D3307" w:rsidP="00C11E9A">
      <w:pPr>
        <w:pStyle w:val="BodyText-Numbered"/>
        <w:keepNext w:val="0"/>
        <w:keepLines/>
      </w:pPr>
      <w:r w:rsidRPr="009D3307">
        <w:lastRenderedPageBreak/>
        <w:t>Under sub-section 144(1)(e) of the BDMRR Act, the regulation-making power stipulates that the types of persons who can act as a suitably qualified third party can be specified by reference to the person’s profession or qualifications.</w:t>
      </w:r>
    </w:p>
    <w:p w14:paraId="45912926" w14:textId="348F1498" w:rsidR="00E0653B" w:rsidRDefault="00BB03D7" w:rsidP="008272E9">
      <w:pPr>
        <w:pStyle w:val="BodyText-Numbered"/>
        <w:keepNext w:val="0"/>
        <w:keepLines/>
      </w:pPr>
      <w:r>
        <w:t>The options are not mutually exclusive. The options have been designed to provide general categories of types of persons that could act as</w:t>
      </w:r>
      <w:r w:rsidR="001D1B56">
        <w:t xml:space="preserve"> a suitably qualified third party</w:t>
      </w:r>
      <w:r w:rsidR="00877A82">
        <w:t>.</w:t>
      </w:r>
      <w:r>
        <w:t xml:space="preserve"> </w:t>
      </w:r>
      <w:r w:rsidR="00877A82">
        <w:t>A</w:t>
      </w:r>
      <w:r w:rsidR="00D64BAF">
        <w:t xml:space="preserve">s part of consultation on </w:t>
      </w:r>
      <w:r>
        <w:t>these</w:t>
      </w:r>
      <w:r w:rsidR="00D64BAF">
        <w:t xml:space="preserve"> options it is </w:t>
      </w:r>
      <w:r w:rsidR="00252EB0">
        <w:t>possible</w:t>
      </w:r>
      <w:r w:rsidR="00D64BAF">
        <w:t xml:space="preserve"> that additional options </w:t>
      </w:r>
      <w:r>
        <w:t>or a different categorisation of persons</w:t>
      </w:r>
      <w:r w:rsidR="00D64BAF">
        <w:t xml:space="preserve"> will be suggested.</w:t>
      </w:r>
      <w:r w:rsidR="00981E9D">
        <w:t xml:space="preserve"> </w:t>
      </w:r>
      <w:r w:rsidR="00D64BAF">
        <w:t>Feedback we receive from consultation will be considered and may input into our second round of policy development on the self-identification regulations.</w:t>
      </w:r>
    </w:p>
    <w:p w14:paraId="4D331495" w14:textId="29EA7994" w:rsidR="00D64BAF" w:rsidRPr="002F5FB6" w:rsidRDefault="00E0653B" w:rsidP="008272E9">
      <w:pPr>
        <w:pStyle w:val="BodyText-Numbered"/>
        <w:keepNext w:val="0"/>
        <w:keepLines/>
      </w:pPr>
      <w:r w:rsidRPr="002F5FB6">
        <w:t xml:space="preserve">The legislation provides that the third party could be a person of community standing. </w:t>
      </w:r>
      <w:r w:rsidR="00E7638D" w:rsidRPr="002F5FB6">
        <w:t>W</w:t>
      </w:r>
      <w:r w:rsidRPr="002F5FB6">
        <w:t xml:space="preserve">e consider people of community standing would </w:t>
      </w:r>
      <w:r w:rsidR="007357A0" w:rsidRPr="002F5FB6">
        <w:t xml:space="preserve">fit within options </w:t>
      </w:r>
      <w:r w:rsidR="0071644A" w:rsidRPr="002F5FB6">
        <w:t xml:space="preserve">that include </w:t>
      </w:r>
      <w:r w:rsidR="007357A0" w:rsidRPr="002F5FB6">
        <w:t xml:space="preserve">people who have known the child for a long period. </w:t>
      </w:r>
      <w:r w:rsidR="00E7638D" w:rsidRPr="002F5FB6">
        <w:t xml:space="preserve">We seek to understand the extent to which this option would be valued by those accessing the self-identification provisions. </w:t>
      </w:r>
      <w:r w:rsidR="0071644A" w:rsidRPr="002F5FB6">
        <w:t>The o</w:t>
      </w:r>
      <w:r w:rsidR="007357A0" w:rsidRPr="002F5FB6">
        <w:t xml:space="preserve">ptions could change </w:t>
      </w:r>
      <w:r w:rsidR="00E7638D" w:rsidRPr="002F5FB6">
        <w:t xml:space="preserve">in response to this feedback. </w:t>
      </w:r>
      <w:r w:rsidR="007357A0" w:rsidRPr="002F5FB6">
        <w:t xml:space="preserve"> </w:t>
      </w:r>
    </w:p>
    <w:p w14:paraId="48AB6723" w14:textId="072B466E" w:rsidR="00BE184B" w:rsidRPr="00DB344C" w:rsidRDefault="00D64BAF" w:rsidP="00C11E9A">
      <w:pPr>
        <w:pStyle w:val="BodyText-Numbered"/>
        <w:keepNext w:val="0"/>
        <w:keepLines/>
        <w:rPr>
          <w:sz w:val="18"/>
        </w:rPr>
      </w:pPr>
      <w:r>
        <w:t xml:space="preserve">Other countries’ models for third parties have informed our analysis. </w:t>
      </w:r>
      <w:r w:rsidR="00421B70">
        <w:t>Several</w:t>
      </w:r>
      <w:r>
        <w:t xml:space="preserve"> other countries require a third party to support a child or young person’s application, </w:t>
      </w:r>
      <w:r w:rsidR="00E05214">
        <w:t>including Australia (Victoria</w:t>
      </w:r>
      <w:r>
        <w:t>), Canada (Quebec, Alberta),</w:t>
      </w:r>
      <w:r w:rsidR="00252EB0">
        <w:t xml:space="preserve"> and</w:t>
      </w:r>
      <w:r>
        <w:t xml:space="preserve"> Ireland. </w:t>
      </w:r>
      <w:r w:rsidR="00BE184B">
        <w:t xml:space="preserve">In </w:t>
      </w:r>
      <w:r w:rsidR="00252EB0">
        <w:t xml:space="preserve">these jurisdictions </w:t>
      </w:r>
      <w:r w:rsidR="00BE184B">
        <w:t xml:space="preserve">medical practitioners or psychologists/psychiatrists are included as third parties. </w:t>
      </w:r>
      <w:r w:rsidR="00AE7E27">
        <w:t>Some also allow</w:t>
      </w:r>
      <w:r w:rsidR="00BE184B">
        <w:t xml:space="preserve"> </w:t>
      </w:r>
      <w:r w:rsidR="00BE184B">
        <w:rPr>
          <w:color w:val="000000"/>
          <w:szCs w:val="27"/>
        </w:rPr>
        <w:t xml:space="preserve">a </w:t>
      </w:r>
      <w:r w:rsidR="004C5FAC">
        <w:rPr>
          <w:color w:val="000000"/>
          <w:szCs w:val="27"/>
        </w:rPr>
        <w:t xml:space="preserve">registered social worker or </w:t>
      </w:r>
      <w:r w:rsidR="00AE7E27">
        <w:rPr>
          <w:color w:val="000000"/>
          <w:szCs w:val="27"/>
        </w:rPr>
        <w:t xml:space="preserve">a </w:t>
      </w:r>
      <w:r w:rsidR="00BE184B">
        <w:rPr>
          <w:color w:val="000000"/>
          <w:szCs w:val="27"/>
        </w:rPr>
        <w:t xml:space="preserve">person that has known </w:t>
      </w:r>
      <w:r w:rsidR="00AE7E27">
        <w:rPr>
          <w:color w:val="000000"/>
          <w:szCs w:val="27"/>
        </w:rPr>
        <w:t>a</w:t>
      </w:r>
      <w:r w:rsidR="00BE184B">
        <w:rPr>
          <w:color w:val="000000"/>
          <w:szCs w:val="27"/>
        </w:rPr>
        <w:t xml:space="preserve"> child or young person for more than a year who is not their parent or guardian </w:t>
      </w:r>
      <w:r w:rsidR="00AE7E27">
        <w:rPr>
          <w:color w:val="000000"/>
          <w:szCs w:val="27"/>
        </w:rPr>
        <w:t>to</w:t>
      </w:r>
      <w:r w:rsidR="00BE184B">
        <w:rPr>
          <w:color w:val="000000"/>
          <w:szCs w:val="27"/>
        </w:rPr>
        <w:t xml:space="preserve"> act as a third party. </w:t>
      </w:r>
    </w:p>
    <w:p w14:paraId="22399C8A" w14:textId="6CDC8A34" w:rsidR="00DB344C" w:rsidRPr="00DB344C" w:rsidRDefault="00DB344C" w:rsidP="00C11E9A">
      <w:pPr>
        <w:pStyle w:val="BodyText-Numbered"/>
        <w:keepNext w:val="0"/>
        <w:keepLines/>
        <w:rPr>
          <w:szCs w:val="22"/>
        </w:rPr>
      </w:pPr>
      <w:r w:rsidRPr="00DB344C">
        <w:rPr>
          <w:color w:val="000000"/>
          <w:szCs w:val="22"/>
        </w:rPr>
        <w:t>Most submissions to the select committee considering the self-identification provisions in the BDMRR Act that supported the introduction of a suitably qualified third party were supportive of the concept but requested that consultation be undertaken with community groups to ensure that those who can act as a third party are accessible.</w:t>
      </w:r>
    </w:p>
    <w:p w14:paraId="0E870FA2" w14:textId="53B99AC4" w:rsidR="004B29B1" w:rsidRPr="00A864A5" w:rsidRDefault="004B29B1" w:rsidP="00802AB2">
      <w:pPr>
        <w:pStyle w:val="Heading3"/>
        <w:rPr>
          <w:lang w:val="en-NZ"/>
        </w:rPr>
      </w:pPr>
      <w:r>
        <w:rPr>
          <w:lang w:val="en-NZ"/>
        </w:rPr>
        <w:t>What options are being considered?</w:t>
      </w:r>
    </w:p>
    <w:p w14:paraId="46B10FA8" w14:textId="77777777" w:rsidR="00D64BAF" w:rsidRDefault="00D64BAF" w:rsidP="00C11E9A">
      <w:pPr>
        <w:pStyle w:val="BodyText-Numbered"/>
        <w:keepNext w:val="0"/>
        <w:keepLines/>
        <w:rPr>
          <w:lang w:val="en-NZ"/>
        </w:rPr>
      </w:pPr>
      <w:r>
        <w:rPr>
          <w:lang w:val="en-NZ"/>
        </w:rPr>
        <w:t xml:space="preserve">The options considered include: </w:t>
      </w:r>
    </w:p>
    <w:p w14:paraId="11B28483" w14:textId="77777777" w:rsidR="00D64BAF" w:rsidRDefault="00D64BAF" w:rsidP="00C11E9A">
      <w:pPr>
        <w:pStyle w:val="BodyText-Numbered"/>
        <w:keepNext w:val="0"/>
        <w:keepLines/>
        <w:numPr>
          <w:ilvl w:val="1"/>
          <w:numId w:val="1"/>
        </w:numPr>
        <w:rPr>
          <w:lang w:val="en-NZ"/>
        </w:rPr>
      </w:pPr>
      <w:r w:rsidRPr="000543B4">
        <w:rPr>
          <w:b/>
          <w:lang w:val="en-NZ"/>
        </w:rPr>
        <w:t xml:space="preserve">Option One </w:t>
      </w:r>
      <w:r>
        <w:rPr>
          <w:lang w:val="en-NZ"/>
        </w:rPr>
        <w:t xml:space="preserve">– counterfactual: do not </w:t>
      </w:r>
      <w:r w:rsidRPr="00B53952">
        <w:t>specify</w:t>
      </w:r>
      <w:r>
        <w:rPr>
          <w:lang w:val="en-NZ"/>
        </w:rPr>
        <w:t xml:space="preserve"> suitably qualified third parties in regulations</w:t>
      </w:r>
    </w:p>
    <w:p w14:paraId="08925F53" w14:textId="77777777" w:rsidR="00D64BAF" w:rsidRDefault="00D64BAF" w:rsidP="00C11E9A">
      <w:pPr>
        <w:pStyle w:val="BodyText-Numbered"/>
        <w:keepNext w:val="0"/>
        <w:keepLines/>
        <w:numPr>
          <w:ilvl w:val="1"/>
          <w:numId w:val="1"/>
        </w:numPr>
        <w:rPr>
          <w:lang w:val="en-NZ"/>
        </w:rPr>
      </w:pPr>
      <w:r w:rsidRPr="000543B4">
        <w:rPr>
          <w:b/>
          <w:lang w:val="en-NZ"/>
        </w:rPr>
        <w:t>Option Two</w:t>
      </w:r>
      <w:r>
        <w:rPr>
          <w:lang w:val="en-NZ"/>
        </w:rPr>
        <w:t xml:space="preserve"> – a range of registered professionals that are specified in regulations</w:t>
      </w:r>
    </w:p>
    <w:p w14:paraId="725F9C6F" w14:textId="77777777" w:rsidR="00D64BAF" w:rsidRDefault="00D64BAF" w:rsidP="00C11E9A">
      <w:pPr>
        <w:pStyle w:val="BodyText-Numbered"/>
        <w:keepNext w:val="0"/>
        <w:keepLines/>
        <w:numPr>
          <w:ilvl w:val="1"/>
          <w:numId w:val="1"/>
        </w:numPr>
        <w:rPr>
          <w:lang w:val="en-NZ"/>
        </w:rPr>
      </w:pPr>
      <w:r w:rsidRPr="000543B4">
        <w:rPr>
          <w:b/>
          <w:lang w:val="en-NZ"/>
        </w:rPr>
        <w:t xml:space="preserve">Option Three </w:t>
      </w:r>
      <w:r>
        <w:rPr>
          <w:lang w:val="en-NZ"/>
        </w:rPr>
        <w:t>– a person that has known the child or young person for more than 12 months</w:t>
      </w:r>
    </w:p>
    <w:p w14:paraId="590151BF" w14:textId="4BDC16C8" w:rsidR="00D64BAF" w:rsidRPr="00236241" w:rsidRDefault="00D64BAF" w:rsidP="00C11E9A">
      <w:pPr>
        <w:pStyle w:val="BodyText-Numbered"/>
        <w:keepNext w:val="0"/>
        <w:keepLines/>
        <w:numPr>
          <w:ilvl w:val="1"/>
          <w:numId w:val="1"/>
        </w:numPr>
        <w:rPr>
          <w:lang w:val="en-NZ"/>
        </w:rPr>
      </w:pPr>
      <w:r w:rsidRPr="000543B4">
        <w:rPr>
          <w:b/>
          <w:lang w:val="en-NZ"/>
        </w:rPr>
        <w:t>Option Four</w:t>
      </w:r>
      <w:r>
        <w:rPr>
          <w:lang w:val="en-NZ"/>
        </w:rPr>
        <w:t xml:space="preserve"> – a combination of option </w:t>
      </w:r>
      <w:r w:rsidR="0072101C">
        <w:rPr>
          <w:lang w:val="en-NZ"/>
        </w:rPr>
        <w:t>two</w:t>
      </w:r>
      <w:r>
        <w:rPr>
          <w:lang w:val="en-NZ"/>
        </w:rPr>
        <w:t xml:space="preserve"> and t</w:t>
      </w:r>
      <w:r w:rsidR="0072101C">
        <w:rPr>
          <w:lang w:val="en-NZ"/>
        </w:rPr>
        <w:t>hree</w:t>
      </w:r>
      <w:r>
        <w:rPr>
          <w:lang w:val="en-NZ"/>
        </w:rPr>
        <w:t xml:space="preserve">: a range of registered professionals specified in regulations OR a person that has known the child or young person for more than 12 months. </w:t>
      </w:r>
    </w:p>
    <w:p w14:paraId="65A4FA3A" w14:textId="28005798" w:rsidR="00F85995" w:rsidRDefault="00F85995" w:rsidP="00B53952">
      <w:pPr>
        <w:pStyle w:val="BodyText-Numbered"/>
        <w:keepNext w:val="0"/>
        <w:keepLines/>
        <w:rPr>
          <w:lang w:val="en-NZ"/>
        </w:rPr>
      </w:pPr>
      <w:r>
        <w:rPr>
          <w:lang w:val="en-NZ"/>
        </w:rPr>
        <w:t>There are potential overlaps in these options. P</w:t>
      </w:r>
      <w:r w:rsidRPr="00B53952">
        <w:rPr>
          <w:lang w:val="en-NZ"/>
        </w:rPr>
        <w:t>ersons who have known a child for more than 12 months</w:t>
      </w:r>
      <w:r w:rsidR="00680721">
        <w:rPr>
          <w:lang w:val="en-NZ"/>
        </w:rPr>
        <w:t xml:space="preserve"> in option three</w:t>
      </w:r>
      <w:r>
        <w:rPr>
          <w:lang w:val="en-NZ"/>
        </w:rPr>
        <w:t>, for example,</w:t>
      </w:r>
      <w:r w:rsidRPr="00B53952">
        <w:rPr>
          <w:lang w:val="en-NZ"/>
        </w:rPr>
        <w:t xml:space="preserve"> may also include the types of registered professionals described in option two</w:t>
      </w:r>
      <w:r w:rsidR="00680721">
        <w:rPr>
          <w:lang w:val="en-NZ"/>
        </w:rPr>
        <w:t xml:space="preserve"> (</w:t>
      </w:r>
      <w:r w:rsidRPr="00B53952">
        <w:rPr>
          <w:lang w:val="en-NZ"/>
        </w:rPr>
        <w:t>a teacher or a family doctor</w:t>
      </w:r>
      <w:r w:rsidR="00680721">
        <w:rPr>
          <w:lang w:val="en-NZ"/>
        </w:rPr>
        <w:t>)</w:t>
      </w:r>
      <w:r w:rsidRPr="00B53952">
        <w:rPr>
          <w:lang w:val="en-NZ"/>
        </w:rPr>
        <w:t>.</w:t>
      </w:r>
    </w:p>
    <w:p w14:paraId="22A9FD4E" w14:textId="1492FA9C" w:rsidR="00D64BAF" w:rsidRDefault="00D64BAF" w:rsidP="003F7A06">
      <w:pPr>
        <w:pStyle w:val="Heading4"/>
        <w:keepNext/>
        <w:keepLines/>
        <w:rPr>
          <w:lang w:val="en-NZ"/>
        </w:rPr>
      </w:pPr>
      <w:r>
        <w:rPr>
          <w:lang w:val="en-NZ"/>
        </w:rPr>
        <w:lastRenderedPageBreak/>
        <w:t>Option One – counterfactual: do not specify suitably qualified third parties</w:t>
      </w:r>
    </w:p>
    <w:p w14:paraId="74E613A4" w14:textId="14173DC4" w:rsidR="00D625CE" w:rsidRDefault="00D625CE" w:rsidP="003F7A06">
      <w:pPr>
        <w:pStyle w:val="BodyText-Numbered"/>
        <w:keepLines/>
        <w:numPr>
          <w:ilvl w:val="0"/>
          <w:numId w:val="0"/>
        </w:numPr>
        <w:ind w:left="567" w:hanging="567"/>
        <w:rPr>
          <w:i/>
          <w:iCs/>
          <w:u w:val="single"/>
          <w:lang w:val="en-NZ"/>
        </w:rPr>
      </w:pPr>
      <w:r w:rsidRPr="00D625CE">
        <w:rPr>
          <w:i/>
          <w:iCs/>
          <w:u w:val="single"/>
          <w:lang w:val="en-NZ"/>
        </w:rPr>
        <w:t>Key features</w:t>
      </w:r>
    </w:p>
    <w:p w14:paraId="5AA95108" w14:textId="272E10B0" w:rsidR="00D625CE" w:rsidRPr="00D625CE" w:rsidRDefault="00D625CE" w:rsidP="00D625CE">
      <w:pPr>
        <w:pStyle w:val="BodyText-Numbered"/>
        <w:rPr>
          <w:lang w:val="en-NZ"/>
        </w:rPr>
      </w:pPr>
      <w:r>
        <w:rPr>
          <w:lang w:val="en-NZ"/>
        </w:rPr>
        <w:t>Under this option, suitably qualified third parties would</w:t>
      </w:r>
      <w:r w:rsidR="00671993">
        <w:rPr>
          <w:lang w:val="en-NZ"/>
        </w:rPr>
        <w:t xml:space="preserve"> not</w:t>
      </w:r>
      <w:r>
        <w:rPr>
          <w:lang w:val="en-NZ"/>
        </w:rPr>
        <w:t xml:space="preserve"> be specified in regulations. </w:t>
      </w:r>
    </w:p>
    <w:p w14:paraId="1EB6AC5D" w14:textId="442D2CAA" w:rsidR="00D625CE" w:rsidRPr="00D625CE" w:rsidRDefault="00D625CE" w:rsidP="003F7A06">
      <w:pPr>
        <w:pStyle w:val="BodyText-Numbered"/>
        <w:keepLines/>
        <w:numPr>
          <w:ilvl w:val="0"/>
          <w:numId w:val="0"/>
        </w:numPr>
        <w:ind w:left="567" w:hanging="567"/>
        <w:rPr>
          <w:i/>
          <w:iCs/>
          <w:u w:val="single"/>
          <w:lang w:val="en-NZ"/>
        </w:rPr>
      </w:pPr>
      <w:r w:rsidRPr="00D625CE">
        <w:rPr>
          <w:i/>
          <w:iCs/>
          <w:u w:val="single"/>
          <w:lang w:val="en-NZ"/>
        </w:rPr>
        <w:t>Analysis</w:t>
      </w:r>
    </w:p>
    <w:p w14:paraId="037B5084" w14:textId="7C095677" w:rsidR="004B725A" w:rsidRDefault="00D64BAF" w:rsidP="00C11E9A">
      <w:pPr>
        <w:pStyle w:val="BodyText-Numbered"/>
        <w:keepNext w:val="0"/>
        <w:keepLines/>
        <w:rPr>
          <w:lang w:val="en-NZ"/>
        </w:rPr>
      </w:pPr>
      <w:r>
        <w:rPr>
          <w:lang w:val="en-NZ"/>
        </w:rPr>
        <w:t xml:space="preserve">This option is unfeasible as it is stipulated in the </w:t>
      </w:r>
      <w:r w:rsidR="00087EE3">
        <w:rPr>
          <w:lang w:val="en-NZ"/>
        </w:rPr>
        <w:t>BDMRR Act</w:t>
      </w:r>
      <w:r>
        <w:rPr>
          <w:lang w:val="en-NZ"/>
        </w:rPr>
        <w:t xml:space="preserve"> that suitably qualified third parties be specified in regulations</w:t>
      </w:r>
      <w:r w:rsidR="004625F9">
        <w:rPr>
          <w:lang w:val="en-NZ"/>
        </w:rPr>
        <w:t xml:space="preserve">. </w:t>
      </w:r>
      <w:r w:rsidR="00E05214">
        <w:rPr>
          <w:lang w:val="en-NZ"/>
        </w:rPr>
        <w:t>Without a third party prescribed in regulations, the self-identification process would be inac</w:t>
      </w:r>
      <w:r w:rsidR="009926F5">
        <w:rPr>
          <w:lang w:val="en-NZ"/>
        </w:rPr>
        <w:t xml:space="preserve">cessible </w:t>
      </w:r>
      <w:r w:rsidR="004B725A">
        <w:rPr>
          <w:lang w:val="en-NZ"/>
        </w:rPr>
        <w:t>and not inclusive</w:t>
      </w:r>
      <w:r w:rsidR="00E05214">
        <w:rPr>
          <w:lang w:val="en-NZ"/>
        </w:rPr>
        <w:t xml:space="preserve"> for children and young people </w:t>
      </w:r>
      <w:r w:rsidR="00252EB0">
        <w:rPr>
          <w:lang w:val="en-NZ"/>
        </w:rPr>
        <w:t>aged</w:t>
      </w:r>
      <w:r w:rsidR="00E05214">
        <w:rPr>
          <w:lang w:val="en-NZ"/>
        </w:rPr>
        <w:t xml:space="preserve"> </w:t>
      </w:r>
      <w:r w:rsidR="004B725A">
        <w:rPr>
          <w:lang w:val="en-NZ"/>
        </w:rPr>
        <w:t>15</w:t>
      </w:r>
      <w:r w:rsidR="00252EB0">
        <w:rPr>
          <w:lang w:val="en-NZ"/>
        </w:rPr>
        <w:t xml:space="preserve"> and under</w:t>
      </w:r>
      <w:r w:rsidR="004B725A">
        <w:rPr>
          <w:lang w:val="en-NZ"/>
        </w:rPr>
        <w:t>.</w:t>
      </w:r>
      <w:r w:rsidR="00045881">
        <w:rPr>
          <w:lang w:val="en-NZ"/>
        </w:rPr>
        <w:t xml:space="preserve"> Children and young people in this age group would have no way to register a nominated sex, as the Family Court process would no longer be available.</w:t>
      </w:r>
      <w:r w:rsidR="004B725A">
        <w:rPr>
          <w:lang w:val="en-NZ"/>
        </w:rPr>
        <w:t xml:space="preserve"> F</w:t>
      </w:r>
      <w:r w:rsidR="00E05214">
        <w:rPr>
          <w:lang w:val="en-NZ"/>
        </w:rPr>
        <w:t>or</w:t>
      </w:r>
      <w:r w:rsidR="004B725A" w:rsidDel="00351E76">
        <w:rPr>
          <w:lang w:val="en-NZ"/>
        </w:rPr>
        <w:t xml:space="preserve"> </w:t>
      </w:r>
      <w:r w:rsidR="00B129E3">
        <w:rPr>
          <w:lang w:val="en-NZ"/>
        </w:rPr>
        <w:t>16- and 17-year-olds</w:t>
      </w:r>
      <w:r w:rsidR="004B725A">
        <w:rPr>
          <w:lang w:val="en-NZ"/>
        </w:rPr>
        <w:t>, accessing the self-identification process would be</w:t>
      </w:r>
      <w:r w:rsidR="00351E76">
        <w:rPr>
          <w:lang w:val="en-NZ"/>
        </w:rPr>
        <w:t>come more</w:t>
      </w:r>
      <w:r w:rsidR="004B725A">
        <w:rPr>
          <w:lang w:val="en-NZ"/>
        </w:rPr>
        <w:t xml:space="preserve"> restrict</w:t>
      </w:r>
      <w:r w:rsidR="00351E76">
        <w:rPr>
          <w:lang w:val="en-NZ"/>
        </w:rPr>
        <w:t>iv</w:t>
      </w:r>
      <w:r w:rsidR="004B725A">
        <w:rPr>
          <w:lang w:val="en-NZ"/>
        </w:rPr>
        <w:t>e as they would need guardian consent</w:t>
      </w:r>
      <w:r w:rsidR="00B62B80">
        <w:rPr>
          <w:lang w:val="en-NZ"/>
        </w:rPr>
        <w:t>.</w:t>
      </w:r>
      <w:r w:rsidR="004B725A" w:rsidDel="00351E76">
        <w:rPr>
          <w:lang w:val="en-NZ"/>
        </w:rPr>
        <w:t xml:space="preserve"> </w:t>
      </w:r>
      <w:r w:rsidR="00B62B80">
        <w:rPr>
          <w:lang w:val="en-NZ"/>
        </w:rPr>
        <w:t>I</w:t>
      </w:r>
      <w:r w:rsidR="004B725A">
        <w:rPr>
          <w:lang w:val="en-NZ"/>
        </w:rPr>
        <w:t>f they did not have supportive guardians</w:t>
      </w:r>
      <w:r w:rsidR="00B62B80">
        <w:rPr>
          <w:lang w:val="en-NZ"/>
        </w:rPr>
        <w:t>,</w:t>
      </w:r>
      <w:r w:rsidR="004B725A">
        <w:rPr>
          <w:lang w:val="en-NZ"/>
        </w:rPr>
        <w:t xml:space="preserve"> the self-identification would become inaccessible. </w:t>
      </w:r>
    </w:p>
    <w:p w14:paraId="6E6768E8" w14:textId="7339DF7B" w:rsidR="00D64BAF" w:rsidRPr="00BB6D46" w:rsidRDefault="004B725A" w:rsidP="00C11E9A">
      <w:pPr>
        <w:pStyle w:val="BodyText-Numbered"/>
        <w:keepNext w:val="0"/>
        <w:keepLines/>
        <w:rPr>
          <w:lang w:val="en-NZ"/>
        </w:rPr>
      </w:pPr>
      <w:r w:rsidRPr="004B725A">
        <w:rPr>
          <w:lang w:val="en-NZ"/>
        </w:rPr>
        <w:t>Not prescribing</w:t>
      </w:r>
      <w:r w:rsidR="00351E76">
        <w:rPr>
          <w:lang w:val="en-NZ"/>
        </w:rPr>
        <w:t xml:space="preserve"> suitably qualified</w:t>
      </w:r>
      <w:r w:rsidRPr="004B725A">
        <w:rPr>
          <w:lang w:val="en-NZ"/>
        </w:rPr>
        <w:t xml:space="preserve"> third parties in regulations would provide no assurance that </w:t>
      </w:r>
      <w:r w:rsidRPr="004410A2">
        <w:rPr>
          <w:lang w:eastAsia="en-NZ"/>
        </w:rPr>
        <w:t>children understand</w:t>
      </w:r>
      <w:r w:rsidR="001C7925">
        <w:rPr>
          <w:lang w:eastAsia="en-NZ"/>
        </w:rPr>
        <w:t>,</w:t>
      </w:r>
      <w:r w:rsidRPr="004410A2">
        <w:rPr>
          <w:lang w:eastAsia="en-NZ"/>
        </w:rPr>
        <w:t xml:space="preserve"> or wa</w:t>
      </w:r>
      <w:r>
        <w:rPr>
          <w:lang w:eastAsia="en-NZ"/>
        </w:rPr>
        <w:t>nt to amend</w:t>
      </w:r>
      <w:r w:rsidR="001C7925">
        <w:rPr>
          <w:lang w:eastAsia="en-NZ"/>
        </w:rPr>
        <w:t>,</w:t>
      </w:r>
      <w:r>
        <w:rPr>
          <w:lang w:eastAsia="en-NZ"/>
        </w:rPr>
        <w:t xml:space="preserve"> their nominated sex. A suitably qualified third party is needed to provide confidence that the child or young person is making their own decision and is not </w:t>
      </w:r>
      <w:r w:rsidRPr="00A25628">
        <w:rPr>
          <w:lang w:eastAsia="en-NZ"/>
        </w:rPr>
        <w:t>subject to undue in</w:t>
      </w:r>
      <w:r>
        <w:rPr>
          <w:lang w:eastAsia="en-NZ"/>
        </w:rPr>
        <w:t xml:space="preserve">fluence or pressure by another person. </w:t>
      </w:r>
    </w:p>
    <w:p w14:paraId="5245E7F6" w14:textId="0D46FC5C" w:rsidR="00BB6D46" w:rsidRPr="00FA4FED" w:rsidRDefault="00BB6D46" w:rsidP="00FA4FED">
      <w:pPr>
        <w:pStyle w:val="BodyText-Numbered"/>
        <w:keepNext w:val="0"/>
        <w:keepLines/>
        <w:rPr>
          <w:lang w:val="en-NZ"/>
        </w:rPr>
      </w:pPr>
      <w:r>
        <w:rPr>
          <w:lang w:val="en-NZ"/>
        </w:rPr>
        <w:t xml:space="preserve">Some of the feedback select committee received during their consultation on the self-identification provisions in 2021 was to </w:t>
      </w:r>
      <w:r w:rsidR="00FA4FED" w:rsidRPr="00BB6D46">
        <w:rPr>
          <w:color w:val="000000"/>
          <w:szCs w:val="22"/>
        </w:rPr>
        <w:t>remove</w:t>
      </w:r>
      <w:r w:rsidRPr="00BB6D46">
        <w:rPr>
          <w:color w:val="000000"/>
          <w:szCs w:val="22"/>
        </w:rPr>
        <w:t xml:space="preserve"> the requirement for a letter of support from a third party altogether and require only </w:t>
      </w:r>
      <w:r w:rsidR="003559A6">
        <w:rPr>
          <w:color w:val="000000"/>
          <w:szCs w:val="22"/>
        </w:rPr>
        <w:t xml:space="preserve">that </w:t>
      </w:r>
      <w:r w:rsidRPr="00BB6D46">
        <w:rPr>
          <w:color w:val="000000"/>
          <w:szCs w:val="22"/>
        </w:rPr>
        <w:t>the child or young person identifies as their nominated sex.</w:t>
      </w:r>
      <w:r>
        <w:rPr>
          <w:color w:val="000000"/>
          <w:szCs w:val="22"/>
        </w:rPr>
        <w:t xml:space="preserve"> </w:t>
      </w:r>
    </w:p>
    <w:p w14:paraId="103088BE" w14:textId="77777777" w:rsidR="00D64BAF" w:rsidRPr="00A864A5" w:rsidRDefault="00D64BAF" w:rsidP="00C11E9A">
      <w:pPr>
        <w:pStyle w:val="Heading4"/>
        <w:keepLines/>
        <w:rPr>
          <w:lang w:val="en-NZ"/>
        </w:rPr>
      </w:pPr>
      <w:r>
        <w:rPr>
          <w:lang w:val="en-NZ"/>
        </w:rPr>
        <w:t xml:space="preserve">Option Two – </w:t>
      </w:r>
      <w:r>
        <w:rPr>
          <w:szCs w:val="22"/>
        </w:rPr>
        <w:t>a range of registered professionals that are specified in regulations</w:t>
      </w:r>
    </w:p>
    <w:p w14:paraId="30FA8943" w14:textId="77777777" w:rsidR="00D64BAF" w:rsidRPr="004579E9" w:rsidRDefault="00D64BAF" w:rsidP="00C11E9A">
      <w:pPr>
        <w:keepLines/>
        <w:rPr>
          <w:i/>
          <w:szCs w:val="22"/>
          <w:u w:val="single"/>
        </w:rPr>
      </w:pPr>
      <w:r w:rsidRPr="004579E9">
        <w:rPr>
          <w:i/>
          <w:szCs w:val="22"/>
          <w:u w:val="single"/>
        </w:rPr>
        <w:t>Key features</w:t>
      </w:r>
    </w:p>
    <w:p w14:paraId="103BADBF" w14:textId="00BA8F39" w:rsidR="00EA787C" w:rsidRDefault="00D64BAF" w:rsidP="00EA787C">
      <w:pPr>
        <w:pStyle w:val="BodyText-Numbered"/>
        <w:keepNext w:val="0"/>
        <w:keepLines/>
      </w:pPr>
      <w:r>
        <w:t>Under option two, a selected range of registered professionals are specified as suitably qualified third parties</w:t>
      </w:r>
      <w:r w:rsidRPr="00DE2B92">
        <w:t xml:space="preserve">. </w:t>
      </w:r>
      <w:r>
        <w:t xml:space="preserve">A registered professional is a person who is, or deemed to be, registered with an authority as a practitioner of a certain profession. </w:t>
      </w:r>
    </w:p>
    <w:p w14:paraId="34101A8B" w14:textId="299B1026" w:rsidR="00EA1269" w:rsidRPr="00EA1269" w:rsidRDefault="00D64BAF" w:rsidP="00EA1269">
      <w:pPr>
        <w:pStyle w:val="BodyText-Numbered"/>
        <w:keepNext w:val="0"/>
        <w:keepLines/>
        <w:rPr>
          <w:szCs w:val="22"/>
        </w:rPr>
      </w:pPr>
      <w:r>
        <w:t xml:space="preserve">The selected range of registered professionals </w:t>
      </w:r>
      <w:r w:rsidR="00EA787C">
        <w:t xml:space="preserve">could </w:t>
      </w:r>
      <w:r>
        <w:t>include doctors, nurses, psychologists, teachers, social workers</w:t>
      </w:r>
      <w:r w:rsidR="00EA787C">
        <w:t>,</w:t>
      </w:r>
      <w:r>
        <w:t xml:space="preserve"> </w:t>
      </w:r>
      <w:r w:rsidR="007F20C2">
        <w:t>counsellors,</w:t>
      </w:r>
      <w:r w:rsidR="00EA787C">
        <w:t xml:space="preserve"> or other professions arising from consultation</w:t>
      </w:r>
      <w:r>
        <w:t xml:space="preserve">. The types of professions are included </w:t>
      </w:r>
      <w:r w:rsidRPr="008203ED">
        <w:t xml:space="preserve">because of the nature of </w:t>
      </w:r>
      <w:r>
        <w:t>their duties where they</w:t>
      </w:r>
      <w:r w:rsidRPr="008203ED">
        <w:t xml:space="preserve"> are </w:t>
      </w:r>
      <w:r>
        <w:t xml:space="preserve">often </w:t>
      </w:r>
      <w:r w:rsidRPr="008203ED">
        <w:t>involved or in contact with children and young people regularly</w:t>
      </w:r>
      <w:r w:rsidR="00EA1269">
        <w:t>. These people are also</w:t>
      </w:r>
      <w:r>
        <w:rPr>
          <w:rFonts w:cs="Calibri"/>
          <w:szCs w:val="22"/>
          <w:lang w:eastAsia="en-NZ"/>
        </w:rPr>
        <w:t xml:space="preserve"> </w:t>
      </w:r>
      <w:r w:rsidRPr="008203ED">
        <w:rPr>
          <w:rFonts w:cs="Calibri"/>
          <w:szCs w:val="22"/>
          <w:lang w:eastAsia="en-NZ"/>
        </w:rPr>
        <w:t xml:space="preserve">likely to </w:t>
      </w:r>
      <w:r w:rsidR="00EA1269" w:rsidRPr="00EA1269">
        <w:rPr>
          <w:szCs w:val="22"/>
        </w:rPr>
        <w:t xml:space="preserve">have the qualifications or experience </w:t>
      </w:r>
      <w:r w:rsidR="00EA1269" w:rsidRPr="00EA1269">
        <w:rPr>
          <w:color w:val="000000" w:themeColor="text1"/>
          <w:szCs w:val="22"/>
          <w:lang w:val="en-NZ"/>
        </w:rPr>
        <w:t xml:space="preserve">to take account of children and young people’s developmental level and interpret if a child understands and wants the decision they are making. </w:t>
      </w:r>
      <w:r w:rsidR="00EA1269" w:rsidRPr="00EA1269">
        <w:rPr>
          <w:szCs w:val="22"/>
        </w:rPr>
        <w:t>These types of persons are normally regarded as those with a reputation or character to uphold as they are officially recognised for their competence</w:t>
      </w:r>
      <w:r w:rsidR="00C240E8">
        <w:rPr>
          <w:szCs w:val="22"/>
        </w:rPr>
        <w:t xml:space="preserve"> </w:t>
      </w:r>
      <w:r w:rsidR="00EA1269" w:rsidRPr="00EA1269">
        <w:rPr>
          <w:szCs w:val="22"/>
        </w:rPr>
        <w:t xml:space="preserve">and integrity. Some </w:t>
      </w:r>
      <w:r w:rsidR="00EA1269" w:rsidRPr="00EA1269">
        <w:rPr>
          <w:color w:val="000000" w:themeColor="text1"/>
          <w:szCs w:val="22"/>
          <w:lang w:val="en-NZ"/>
        </w:rPr>
        <w:t xml:space="preserve">are also subject to ethical obligations to recognise that the interests of children and young people are paramount and to not exploit them in any way. </w:t>
      </w:r>
    </w:p>
    <w:p w14:paraId="05DF23B0" w14:textId="77777777" w:rsidR="00D64BAF" w:rsidRDefault="00D64BAF" w:rsidP="008B6085">
      <w:pPr>
        <w:keepLines/>
        <w:rPr>
          <w:i/>
          <w:szCs w:val="22"/>
          <w:u w:val="single"/>
        </w:rPr>
      </w:pPr>
      <w:r w:rsidRPr="00236241">
        <w:rPr>
          <w:i/>
          <w:szCs w:val="22"/>
          <w:u w:val="single"/>
        </w:rPr>
        <w:t>Analysis</w:t>
      </w:r>
    </w:p>
    <w:p w14:paraId="5C68D9FF" w14:textId="774C02E6" w:rsidR="00D64BAF" w:rsidRDefault="00D64BAF" w:rsidP="008B6085">
      <w:pPr>
        <w:pStyle w:val="BodyText-Numbered"/>
        <w:keepNext w:val="0"/>
        <w:keepLines/>
      </w:pPr>
      <w:r>
        <w:t xml:space="preserve">Providing for a range of registered professionals that can act as a suitably qualified third party will offer children and young people with </w:t>
      </w:r>
      <w:r w:rsidR="00421B70">
        <w:t>a</w:t>
      </w:r>
      <w:r>
        <w:t xml:space="preserve"> reasonable choice of different types of </w:t>
      </w:r>
      <w:proofErr w:type="gramStart"/>
      <w:r>
        <w:t>persons</w:t>
      </w:r>
      <w:proofErr w:type="gramEnd"/>
      <w:r>
        <w:t xml:space="preserve"> they feel comfortable to approach for a letter of support. Extending the selection of registered professionals to occupations that are not exclusively health practitioners reinforces the policy intent of self-identification</w:t>
      </w:r>
      <w:r w:rsidR="00AC52DB">
        <w:t xml:space="preserve"> - </w:t>
      </w:r>
      <w:r>
        <w:t xml:space="preserve">that it is an administrative process and one not based on medical evidence. </w:t>
      </w:r>
    </w:p>
    <w:p w14:paraId="3D7FFB48" w14:textId="3A183B93" w:rsidR="00D64BAF" w:rsidRPr="00904610" w:rsidRDefault="00271DB5" w:rsidP="008B6085">
      <w:pPr>
        <w:pStyle w:val="BodyText-Numbered"/>
        <w:keepNext w:val="0"/>
        <w:keepLines/>
        <w:rPr>
          <w:szCs w:val="22"/>
        </w:rPr>
      </w:pPr>
      <w:r>
        <w:rPr>
          <w:szCs w:val="22"/>
        </w:rPr>
        <w:lastRenderedPageBreak/>
        <w:t>S</w:t>
      </w:r>
      <w:r w:rsidR="00D64BAF" w:rsidRPr="00904610">
        <w:rPr>
          <w:szCs w:val="22"/>
        </w:rPr>
        <w:t>pecifying</w:t>
      </w:r>
      <w:r>
        <w:rPr>
          <w:szCs w:val="22"/>
        </w:rPr>
        <w:t xml:space="preserve"> o</w:t>
      </w:r>
      <w:r w:rsidRPr="00904610">
        <w:rPr>
          <w:szCs w:val="22"/>
        </w:rPr>
        <w:t>nly</w:t>
      </w:r>
      <w:r w:rsidR="00D64BAF" w:rsidRPr="00904610">
        <w:rPr>
          <w:szCs w:val="22"/>
        </w:rPr>
        <w:t xml:space="preserve"> registered professionals as a suitably qualified third party is likely to benefit those who feel comfortable </w:t>
      </w:r>
      <w:r>
        <w:rPr>
          <w:szCs w:val="22"/>
        </w:rPr>
        <w:t xml:space="preserve">with them </w:t>
      </w:r>
      <w:r w:rsidR="00D64BAF" w:rsidRPr="00904610">
        <w:rPr>
          <w:szCs w:val="22"/>
        </w:rPr>
        <w:t xml:space="preserve">and trust them. </w:t>
      </w:r>
      <w:r>
        <w:rPr>
          <w:szCs w:val="22"/>
        </w:rPr>
        <w:t>Some a</w:t>
      </w:r>
      <w:r w:rsidR="00D64BAF" w:rsidRPr="00904610">
        <w:rPr>
          <w:szCs w:val="22"/>
        </w:rPr>
        <w:t>pplicants may not feel safe or comfortable approach</w:t>
      </w:r>
      <w:r>
        <w:rPr>
          <w:szCs w:val="22"/>
        </w:rPr>
        <w:t>ing</w:t>
      </w:r>
      <w:r w:rsidR="00D64BAF" w:rsidRPr="00904610">
        <w:rPr>
          <w:szCs w:val="22"/>
        </w:rPr>
        <w:t xml:space="preserve"> </w:t>
      </w:r>
      <w:r w:rsidR="00005F9B">
        <w:rPr>
          <w:szCs w:val="22"/>
        </w:rPr>
        <w:t>some registered professionals</w:t>
      </w:r>
      <w:r w:rsidR="00D64BAF" w:rsidRPr="00904610">
        <w:rPr>
          <w:szCs w:val="22"/>
        </w:rPr>
        <w:t xml:space="preserve"> for a letter of support due to fear of being discriminated </w:t>
      </w:r>
      <w:r>
        <w:rPr>
          <w:szCs w:val="22"/>
        </w:rPr>
        <w:t xml:space="preserve">against </w:t>
      </w:r>
      <w:r w:rsidR="00D64BAF" w:rsidRPr="00904610">
        <w:rPr>
          <w:szCs w:val="22"/>
        </w:rPr>
        <w:t>or ‘outed’.</w:t>
      </w:r>
      <w:r w:rsidR="00D64BAF" w:rsidRPr="00A30C3C">
        <w:rPr>
          <w:szCs w:val="22"/>
        </w:rPr>
        <w:t xml:space="preserve"> In Australia, a survey found that young people identified doctors, </w:t>
      </w:r>
      <w:proofErr w:type="gramStart"/>
      <w:r w:rsidR="00D64BAF" w:rsidRPr="00A30C3C">
        <w:rPr>
          <w:szCs w:val="22"/>
        </w:rPr>
        <w:t>psychologists</w:t>
      </w:r>
      <w:proofErr w:type="gramEnd"/>
      <w:r w:rsidR="00D64BAF" w:rsidRPr="00A30C3C">
        <w:rPr>
          <w:szCs w:val="22"/>
        </w:rPr>
        <w:t xml:space="preserve"> and psychiatrists as people they would feel least comfortable asking for a letter of support from.</w:t>
      </w:r>
      <w:r w:rsidR="00D64BAF" w:rsidRPr="00DE564B">
        <w:rPr>
          <w:rStyle w:val="FootnoteReference"/>
          <w:sz w:val="18"/>
          <w:szCs w:val="22"/>
        </w:rPr>
        <w:footnoteReference w:id="25"/>
      </w:r>
      <w:r w:rsidR="00D64BAF" w:rsidRPr="00A30C3C">
        <w:rPr>
          <w:szCs w:val="22"/>
        </w:rPr>
        <w:t xml:space="preserve"> </w:t>
      </w:r>
      <w:r w:rsidR="006658AC">
        <w:rPr>
          <w:szCs w:val="22"/>
        </w:rPr>
        <w:t>We are seeking to understand children and young people’s views on this through consultation.</w:t>
      </w:r>
    </w:p>
    <w:p w14:paraId="71D7C55B" w14:textId="6486C57C" w:rsidR="00D64BAF" w:rsidRPr="00904610" w:rsidRDefault="00D13491" w:rsidP="008B6085">
      <w:pPr>
        <w:pStyle w:val="BodyText-Numbered"/>
        <w:keepNext w:val="0"/>
        <w:keepLines/>
        <w:rPr>
          <w:szCs w:val="22"/>
        </w:rPr>
      </w:pPr>
      <w:r>
        <w:rPr>
          <w:szCs w:val="22"/>
        </w:rPr>
        <w:t>A</w:t>
      </w:r>
      <w:r w:rsidR="00D64BAF">
        <w:rPr>
          <w:szCs w:val="22"/>
        </w:rPr>
        <w:t xml:space="preserve"> restricted list of registered professionals may impact the ability for </w:t>
      </w:r>
      <w:proofErr w:type="spellStart"/>
      <w:r w:rsidR="00D64BAF" w:rsidRPr="00A44A59">
        <w:rPr>
          <w:szCs w:val="22"/>
        </w:rPr>
        <w:t>tamariki</w:t>
      </w:r>
      <w:proofErr w:type="spellEnd"/>
      <w:r w:rsidR="00D64BAF" w:rsidRPr="00A44A59">
        <w:rPr>
          <w:szCs w:val="22"/>
        </w:rPr>
        <w:t xml:space="preserve">, </w:t>
      </w:r>
      <w:proofErr w:type="spellStart"/>
      <w:r w:rsidR="00D64BAF" w:rsidRPr="00A44A59">
        <w:rPr>
          <w:szCs w:val="22"/>
        </w:rPr>
        <w:t>rangatahi</w:t>
      </w:r>
      <w:proofErr w:type="spellEnd"/>
      <w:r w:rsidR="00D64BAF" w:rsidRPr="00A44A59">
        <w:rPr>
          <w:szCs w:val="22"/>
        </w:rPr>
        <w:t xml:space="preserve"> and their support network</w:t>
      </w:r>
      <w:r w:rsidR="00271DB5">
        <w:rPr>
          <w:szCs w:val="22"/>
        </w:rPr>
        <w:t>,</w:t>
      </w:r>
      <w:r w:rsidR="00D64BAF" w:rsidRPr="00A44A59">
        <w:rPr>
          <w:szCs w:val="22"/>
        </w:rPr>
        <w:t xml:space="preserve"> through their </w:t>
      </w:r>
      <w:proofErr w:type="spellStart"/>
      <w:r w:rsidR="00D64BAF" w:rsidRPr="00A44A59">
        <w:rPr>
          <w:szCs w:val="22"/>
        </w:rPr>
        <w:t>whānau</w:t>
      </w:r>
      <w:proofErr w:type="spellEnd"/>
      <w:r w:rsidR="00D64BAF" w:rsidRPr="00A44A59">
        <w:rPr>
          <w:szCs w:val="22"/>
        </w:rPr>
        <w:t xml:space="preserve">, </w:t>
      </w:r>
      <w:proofErr w:type="spellStart"/>
      <w:r w:rsidR="00D64BAF" w:rsidRPr="00D13491">
        <w:rPr>
          <w:szCs w:val="22"/>
          <w:shd w:val="clear" w:color="auto" w:fill="FFFFFF"/>
        </w:rPr>
        <w:t>hapū</w:t>
      </w:r>
      <w:proofErr w:type="spellEnd"/>
      <w:r w:rsidR="00D64BAF" w:rsidRPr="00D13491">
        <w:rPr>
          <w:szCs w:val="22"/>
          <w:shd w:val="clear" w:color="auto" w:fill="FFFFFF"/>
        </w:rPr>
        <w:t>, and iwi</w:t>
      </w:r>
      <w:r w:rsidR="00271DB5">
        <w:rPr>
          <w:szCs w:val="22"/>
          <w:shd w:val="clear" w:color="auto" w:fill="FFFFFF"/>
        </w:rPr>
        <w:t>,</w:t>
      </w:r>
      <w:r w:rsidR="00D64BAF" w:rsidRPr="00A44A59">
        <w:rPr>
          <w:szCs w:val="22"/>
        </w:rPr>
        <w:t xml:space="preserve"> to </w:t>
      </w:r>
      <w:r w:rsidR="005E65B3">
        <w:rPr>
          <w:szCs w:val="22"/>
        </w:rPr>
        <w:t>comfortably access a suitably qualified third party they feel appropriate</w:t>
      </w:r>
      <w:r w:rsidR="00D64BAF">
        <w:rPr>
          <w:szCs w:val="22"/>
        </w:rPr>
        <w:t xml:space="preserve">. </w:t>
      </w:r>
      <w:r>
        <w:rPr>
          <w:szCs w:val="22"/>
        </w:rPr>
        <w:t>This</w:t>
      </w:r>
      <w:r w:rsidR="00D64BAF" w:rsidRPr="00D13491">
        <w:rPr>
          <w:szCs w:val="22"/>
        </w:rPr>
        <w:t xml:space="preserve"> </w:t>
      </w:r>
      <w:r>
        <w:rPr>
          <w:szCs w:val="22"/>
        </w:rPr>
        <w:t xml:space="preserve">is something we seek to understand more from consultation. </w:t>
      </w:r>
    </w:p>
    <w:p w14:paraId="3679C597" w14:textId="70811E8D" w:rsidR="007702B8" w:rsidRPr="00A946A5" w:rsidRDefault="00A946A5" w:rsidP="00A946A5">
      <w:pPr>
        <w:pStyle w:val="BodyText-Numbered"/>
        <w:keepNext w:val="0"/>
        <w:keepLines/>
        <w:rPr>
          <w:szCs w:val="22"/>
        </w:rPr>
      </w:pPr>
      <w:r>
        <w:rPr>
          <w:szCs w:val="22"/>
        </w:rPr>
        <w:t>S</w:t>
      </w:r>
      <w:r w:rsidRPr="00904610">
        <w:rPr>
          <w:szCs w:val="22"/>
        </w:rPr>
        <w:t>ome children</w:t>
      </w:r>
      <w:r>
        <w:rPr>
          <w:szCs w:val="22"/>
        </w:rPr>
        <w:t>,</w:t>
      </w:r>
      <w:r w:rsidRPr="00904610">
        <w:rPr>
          <w:szCs w:val="22"/>
        </w:rPr>
        <w:t xml:space="preserve"> young people and their </w:t>
      </w:r>
      <w:proofErr w:type="spellStart"/>
      <w:r w:rsidRPr="00904610">
        <w:rPr>
          <w:szCs w:val="22"/>
        </w:rPr>
        <w:t>wh</w:t>
      </w:r>
      <w:r>
        <w:rPr>
          <w:szCs w:val="22"/>
        </w:rPr>
        <w:t>ā</w:t>
      </w:r>
      <w:r w:rsidRPr="00904610">
        <w:rPr>
          <w:szCs w:val="22"/>
        </w:rPr>
        <w:t>nau</w:t>
      </w:r>
      <w:proofErr w:type="spellEnd"/>
      <w:r w:rsidRPr="00904610">
        <w:rPr>
          <w:szCs w:val="22"/>
        </w:rPr>
        <w:t xml:space="preserve"> may find it difficult to access a majority of the </w:t>
      </w:r>
      <w:r>
        <w:rPr>
          <w:szCs w:val="22"/>
        </w:rPr>
        <w:t xml:space="preserve">potential </w:t>
      </w:r>
      <w:r w:rsidRPr="00904610">
        <w:rPr>
          <w:szCs w:val="22"/>
        </w:rPr>
        <w:t>specified</w:t>
      </w:r>
      <w:r>
        <w:t xml:space="preserve"> </w:t>
      </w:r>
      <w:r w:rsidRPr="00904610">
        <w:rPr>
          <w:szCs w:val="22"/>
        </w:rPr>
        <w:t>registered professionals as most require a cost to access or may not be available in rural or isolated areas.</w:t>
      </w:r>
      <w:r w:rsidR="00D84ED7">
        <w:rPr>
          <w:szCs w:val="22"/>
        </w:rPr>
        <w:t xml:space="preserve"> Guardians of children under the age of 15, and young people aged 16- and 17-years old who seek a letter of support from a health practitioner could be required to pay for the consultation session and letter itself. Some practitioners may provide this service at no cost but for others who do not, the cost may make these persons inaccessible.</w:t>
      </w:r>
      <w:r>
        <w:rPr>
          <w:szCs w:val="22"/>
        </w:rPr>
        <w:t xml:space="preserve"> However, t</w:t>
      </w:r>
      <w:r w:rsidR="00D64BAF" w:rsidRPr="00A946A5">
        <w:rPr>
          <w:szCs w:val="22"/>
        </w:rPr>
        <w:t>his option provides for a reasonable level of accessibility, as there are broad range of registered professionals that can act as a suitably qualified third party, including some that do not require a service fee (</w:t>
      </w:r>
      <w:proofErr w:type="gramStart"/>
      <w:r w:rsidR="00D64BAF" w:rsidRPr="00A946A5">
        <w:rPr>
          <w:szCs w:val="22"/>
        </w:rPr>
        <w:t>e.g.</w:t>
      </w:r>
      <w:proofErr w:type="gramEnd"/>
      <w:r w:rsidR="00D64BAF" w:rsidRPr="00A946A5">
        <w:rPr>
          <w:szCs w:val="22"/>
        </w:rPr>
        <w:t xml:space="preserve"> teachers).</w:t>
      </w:r>
      <w:r w:rsidR="00D076C2" w:rsidRPr="00A946A5">
        <w:rPr>
          <w:szCs w:val="22"/>
        </w:rPr>
        <w:t xml:space="preserve"> </w:t>
      </w:r>
    </w:p>
    <w:p w14:paraId="4E06CC61" w14:textId="01D8734A" w:rsidR="008F2987" w:rsidRDefault="007702B8" w:rsidP="00D21193">
      <w:pPr>
        <w:pStyle w:val="BodyText-Numbered"/>
        <w:keepNext w:val="0"/>
        <w:keepLines/>
        <w:rPr>
          <w:szCs w:val="22"/>
        </w:rPr>
      </w:pPr>
      <w:r w:rsidRPr="00904610">
        <w:rPr>
          <w:color w:val="000000" w:themeColor="text1"/>
          <w:szCs w:val="22"/>
          <w:lang w:val="en-NZ"/>
        </w:rPr>
        <w:t xml:space="preserve">It is assumed that </w:t>
      </w:r>
      <w:r w:rsidR="008F2987" w:rsidRPr="00904610">
        <w:rPr>
          <w:color w:val="000000" w:themeColor="text1"/>
          <w:szCs w:val="22"/>
          <w:lang w:val="en-NZ"/>
        </w:rPr>
        <w:t>due</w:t>
      </w:r>
      <w:r w:rsidR="00D076C2">
        <w:rPr>
          <w:color w:val="000000" w:themeColor="text1"/>
          <w:szCs w:val="22"/>
          <w:lang w:val="en-NZ"/>
        </w:rPr>
        <w:t xml:space="preserve"> to</w:t>
      </w:r>
      <w:r w:rsidR="008F2987" w:rsidRPr="00904610">
        <w:rPr>
          <w:color w:val="000000" w:themeColor="text1"/>
          <w:szCs w:val="22"/>
          <w:lang w:val="en-NZ"/>
        </w:rPr>
        <w:t xml:space="preserve"> </w:t>
      </w:r>
      <w:r w:rsidRPr="00904610">
        <w:rPr>
          <w:color w:val="000000" w:themeColor="text1"/>
          <w:szCs w:val="22"/>
          <w:lang w:val="en-NZ"/>
        </w:rPr>
        <w:t xml:space="preserve">the qualifications and experience of registered professionals, there will be a higher level of assurance that </w:t>
      </w:r>
      <w:r w:rsidRPr="00904610">
        <w:rPr>
          <w:szCs w:val="22"/>
        </w:rPr>
        <w:t>the potential for undue influence over a child or young person’s decision making is limited.</w:t>
      </w:r>
      <w:r w:rsidR="00D21193">
        <w:rPr>
          <w:szCs w:val="22"/>
        </w:rPr>
        <w:t xml:space="preserve"> </w:t>
      </w:r>
    </w:p>
    <w:p w14:paraId="132AC191" w14:textId="310AFDD6" w:rsidR="00FA4FED" w:rsidRDefault="00FA4FED" w:rsidP="00FA4FED">
      <w:pPr>
        <w:pStyle w:val="BodyText-Numbered"/>
      </w:pPr>
      <w:r>
        <w:t xml:space="preserve">Some submissions to the select committee requested that suitably qualified third parties be only medical professionals. </w:t>
      </w:r>
      <w:r w:rsidRPr="00FA4FED">
        <w:rPr>
          <w:color w:val="000000"/>
          <w:szCs w:val="22"/>
        </w:rPr>
        <w:t>Because of the non-medicalised nature of the third party’s assessment,</w:t>
      </w:r>
      <w:r w:rsidR="000408E1">
        <w:rPr>
          <w:color w:val="000000"/>
          <w:szCs w:val="22"/>
        </w:rPr>
        <w:t xml:space="preserve"> </w:t>
      </w:r>
      <w:r w:rsidR="009205B8">
        <w:rPr>
          <w:color w:val="000000"/>
          <w:szCs w:val="22"/>
        </w:rPr>
        <w:t xml:space="preserve">the </w:t>
      </w:r>
      <w:r w:rsidR="000408E1">
        <w:rPr>
          <w:color w:val="000000"/>
          <w:szCs w:val="22"/>
        </w:rPr>
        <w:t>Government agreed</w:t>
      </w:r>
      <w:r w:rsidRPr="00FA4FED">
        <w:rPr>
          <w:color w:val="000000"/>
          <w:szCs w:val="22"/>
        </w:rPr>
        <w:t xml:space="preserve"> that suitably qualified third parties should not be limited to medical professionals. By broadening the pool of suitable people to a wider range of registered professionals, it ensures the process is accessible.</w:t>
      </w:r>
      <w:r>
        <w:rPr>
          <w:color w:val="000000"/>
          <w:sz w:val="27"/>
          <w:szCs w:val="27"/>
        </w:rPr>
        <w:t xml:space="preserve"> </w:t>
      </w:r>
    </w:p>
    <w:p w14:paraId="1F978735" w14:textId="77777777" w:rsidR="00FA4FED" w:rsidRPr="00D21193" w:rsidRDefault="00FA4FED" w:rsidP="00FA4FED">
      <w:pPr>
        <w:pStyle w:val="BodyText-Numbered"/>
        <w:keepNext w:val="0"/>
        <w:keepLines/>
        <w:numPr>
          <w:ilvl w:val="0"/>
          <w:numId w:val="0"/>
        </w:numPr>
        <w:ind w:left="567"/>
        <w:rPr>
          <w:szCs w:val="22"/>
        </w:rPr>
      </w:pPr>
    </w:p>
    <w:p w14:paraId="7875EC97" w14:textId="77777777" w:rsidR="00D64BAF" w:rsidRPr="009C30FD" w:rsidRDefault="00D64BAF" w:rsidP="008B6085">
      <w:pPr>
        <w:pStyle w:val="Heading4"/>
        <w:keepLines/>
      </w:pPr>
      <w:r w:rsidRPr="009C30FD">
        <w:rPr>
          <w:lang w:val="en-NZ"/>
        </w:rPr>
        <w:t xml:space="preserve">Option Three – </w:t>
      </w:r>
      <w:r w:rsidRPr="009C30FD">
        <w:t>a person that has known the child or young person for more than 12 months</w:t>
      </w:r>
    </w:p>
    <w:p w14:paraId="5F0267FF" w14:textId="77777777" w:rsidR="00D64BAF" w:rsidRPr="004579E9" w:rsidRDefault="00D64BAF" w:rsidP="008B6085">
      <w:pPr>
        <w:keepLines/>
        <w:rPr>
          <w:i/>
          <w:szCs w:val="22"/>
          <w:u w:val="single"/>
        </w:rPr>
      </w:pPr>
      <w:r w:rsidRPr="004579E9">
        <w:rPr>
          <w:i/>
          <w:szCs w:val="22"/>
          <w:u w:val="single"/>
        </w:rPr>
        <w:t>Key features</w:t>
      </w:r>
    </w:p>
    <w:p w14:paraId="7A5C8750" w14:textId="489C5A13" w:rsidR="00D64BAF" w:rsidRDefault="00D64BAF" w:rsidP="008B6085">
      <w:pPr>
        <w:pStyle w:val="BodyText-Numbered"/>
        <w:keepNext w:val="0"/>
        <w:keepLines/>
      </w:pPr>
      <w:r>
        <w:t xml:space="preserve">Under option three, </w:t>
      </w:r>
      <w:r w:rsidRPr="00DE2B92">
        <w:t xml:space="preserve">a person who has known a child for 12 months or more </w:t>
      </w:r>
      <w:r w:rsidR="00816A4C">
        <w:t xml:space="preserve">who is not a parent or guardian </w:t>
      </w:r>
      <w:r>
        <w:t>is specified in regulations as a</w:t>
      </w:r>
      <w:r w:rsidRPr="00DE2B92">
        <w:t xml:space="preserve"> suitably qualified third party</w:t>
      </w:r>
      <w:r>
        <w:t xml:space="preserve">. </w:t>
      </w:r>
    </w:p>
    <w:p w14:paraId="4ABFF48F" w14:textId="72AD1BFF" w:rsidR="00D64BAF" w:rsidRPr="00E7638D" w:rsidRDefault="00D64BAF" w:rsidP="008B6085">
      <w:pPr>
        <w:pStyle w:val="BodyText-Numbered"/>
        <w:keepNext w:val="0"/>
        <w:keepLines/>
        <w:rPr>
          <w:b/>
        </w:rPr>
      </w:pPr>
      <w:r w:rsidRPr="00DE2B92">
        <w:t>The period of 12 months or more is consistent with the length of time requirement for an identity referee to support a child’s application for a passport.</w:t>
      </w:r>
      <w:r w:rsidR="00A946A5">
        <w:t xml:space="preserve"> The referee does not need to have a </w:t>
      </w:r>
      <w:r w:rsidR="00265977">
        <w:t xml:space="preserve">direct </w:t>
      </w:r>
      <w:r w:rsidR="00A946A5">
        <w:t>relationship with the child; however, a</w:t>
      </w:r>
      <w:r w:rsidRPr="00DE2B92">
        <w:t xml:space="preserve"> similar time requirement to prove a relationship with a child is also seen in the Care of Children Act</w:t>
      </w:r>
      <w:r w:rsidR="00E4568C">
        <w:t xml:space="preserve"> 2004</w:t>
      </w:r>
      <w:r w:rsidRPr="00DE2B92">
        <w:t xml:space="preserve"> where a </w:t>
      </w:r>
      <w:r w:rsidR="00E4568C">
        <w:t>spouse or partner of a guardian of a child</w:t>
      </w:r>
      <w:r w:rsidR="00E4568C" w:rsidRPr="00DE2B92">
        <w:t xml:space="preserve"> </w:t>
      </w:r>
      <w:r w:rsidRPr="00DE2B92">
        <w:t>must ha</w:t>
      </w:r>
      <w:r w:rsidR="0069739E">
        <w:t>ve</w:t>
      </w:r>
      <w:r w:rsidRPr="00DE2B92">
        <w:t xml:space="preserve"> shared responsibility for </w:t>
      </w:r>
      <w:r w:rsidR="00E4568C">
        <w:t>the</w:t>
      </w:r>
      <w:r w:rsidRPr="00DE2B92">
        <w:t xml:space="preserve"> child’s day-to-day care for not less than 1 year</w:t>
      </w:r>
      <w:r w:rsidR="00E4568C">
        <w:t xml:space="preserve"> before they can be appointed as an additional guardian</w:t>
      </w:r>
      <w:r w:rsidRPr="00DE2B92">
        <w:t>.</w:t>
      </w:r>
    </w:p>
    <w:p w14:paraId="76180BAE" w14:textId="0DB8B69D" w:rsidR="00586CA5" w:rsidRPr="007668B4" w:rsidRDefault="00586CA5" w:rsidP="008B6085">
      <w:pPr>
        <w:pStyle w:val="BodyText-Numbered"/>
        <w:keepNext w:val="0"/>
        <w:keepLines/>
        <w:rPr>
          <w:b/>
        </w:rPr>
      </w:pPr>
      <w:r>
        <w:t>This option would enab</w:t>
      </w:r>
      <w:r w:rsidR="008272E9">
        <w:t xml:space="preserve">le </w:t>
      </w:r>
      <w:r w:rsidR="001B260A">
        <w:t xml:space="preserve">a </w:t>
      </w:r>
      <w:r w:rsidR="008272E9">
        <w:t>person</w:t>
      </w:r>
      <w:r>
        <w:t xml:space="preserve"> of com</w:t>
      </w:r>
      <w:r w:rsidR="008272E9">
        <w:t>munity standing, who knows the child,</w:t>
      </w:r>
      <w:r>
        <w:t xml:space="preserve"> to </w:t>
      </w:r>
      <w:r w:rsidR="008272E9">
        <w:t>be a suitably qualified third party.</w:t>
      </w:r>
    </w:p>
    <w:p w14:paraId="4115EC63" w14:textId="77777777" w:rsidR="00D64BAF" w:rsidRDefault="00D64BAF" w:rsidP="003F7A06">
      <w:pPr>
        <w:keepNext/>
        <w:keepLines/>
        <w:rPr>
          <w:i/>
          <w:szCs w:val="22"/>
          <w:u w:val="single"/>
        </w:rPr>
      </w:pPr>
      <w:r w:rsidRPr="00236241">
        <w:rPr>
          <w:i/>
          <w:szCs w:val="22"/>
          <w:u w:val="single"/>
        </w:rPr>
        <w:lastRenderedPageBreak/>
        <w:t>Analysis</w:t>
      </w:r>
    </w:p>
    <w:p w14:paraId="011A7506" w14:textId="2697B714" w:rsidR="00D64BAF" w:rsidRPr="00490403" w:rsidRDefault="00D64BAF" w:rsidP="008B6085">
      <w:pPr>
        <w:pStyle w:val="BodyText-Numbered"/>
        <w:keepNext w:val="0"/>
        <w:keepLines/>
        <w:rPr>
          <w:b/>
          <w:szCs w:val="22"/>
        </w:rPr>
      </w:pPr>
      <w:r>
        <w:t xml:space="preserve">Allowing a person who has known a child or young person to act as their suitably qualified third party </w:t>
      </w:r>
      <w:r w:rsidR="00F85995">
        <w:t xml:space="preserve">enables </w:t>
      </w:r>
      <w:r>
        <w:t xml:space="preserve">children, young people and their </w:t>
      </w:r>
      <w:proofErr w:type="spellStart"/>
      <w:r>
        <w:t>wh</w:t>
      </w:r>
      <w:r w:rsidR="009A5A80">
        <w:t>ā</w:t>
      </w:r>
      <w:r>
        <w:t>nau</w:t>
      </w:r>
      <w:proofErr w:type="spellEnd"/>
      <w:r>
        <w:t xml:space="preserve"> to seek a letter of support from someone they personally trust and feel confident approaching. </w:t>
      </w:r>
      <w:r w:rsidRPr="00DE2B92">
        <w:rPr>
          <w:szCs w:val="22"/>
        </w:rPr>
        <w:t xml:space="preserve">Children </w:t>
      </w:r>
      <w:r w:rsidR="00E4568C">
        <w:rPr>
          <w:szCs w:val="22"/>
        </w:rPr>
        <w:t xml:space="preserve">generally </w:t>
      </w:r>
      <w:r w:rsidRPr="00DE2B92">
        <w:rPr>
          <w:szCs w:val="22"/>
        </w:rPr>
        <w:t xml:space="preserve">have a limited social circle of trusted adults, and for 16- or </w:t>
      </w:r>
      <w:r w:rsidR="008409E0" w:rsidRPr="00DE2B92">
        <w:rPr>
          <w:szCs w:val="22"/>
        </w:rPr>
        <w:t>17-year-olds</w:t>
      </w:r>
      <w:r w:rsidRPr="00DE2B92">
        <w:rPr>
          <w:szCs w:val="22"/>
        </w:rPr>
        <w:t xml:space="preserve"> with a guardian not willing to support their application, it is likely they would seek the support of someone they know or have an enduring relationship with. </w:t>
      </w:r>
    </w:p>
    <w:p w14:paraId="6F081F99" w14:textId="470B0299" w:rsidR="00D64BAF" w:rsidRPr="00A44A59" w:rsidRDefault="00B505C3" w:rsidP="008B6085">
      <w:pPr>
        <w:pStyle w:val="BodyText-Numbered"/>
        <w:keepNext w:val="0"/>
        <w:keepLines/>
      </w:pPr>
      <w:r>
        <w:t>T</w:t>
      </w:r>
      <w:r w:rsidR="00D64BAF">
        <w:t xml:space="preserve">his option does not restrict the ability for </w:t>
      </w:r>
      <w:proofErr w:type="spellStart"/>
      <w:r w:rsidR="00D64BAF" w:rsidRPr="00A44A59">
        <w:rPr>
          <w:szCs w:val="22"/>
        </w:rPr>
        <w:t>tamariki</w:t>
      </w:r>
      <w:proofErr w:type="spellEnd"/>
      <w:r w:rsidR="00D64BAF" w:rsidRPr="00A44A59">
        <w:rPr>
          <w:szCs w:val="22"/>
        </w:rPr>
        <w:t xml:space="preserve">, </w:t>
      </w:r>
      <w:proofErr w:type="spellStart"/>
      <w:r w:rsidR="00D64BAF" w:rsidRPr="00A44A59">
        <w:rPr>
          <w:szCs w:val="22"/>
        </w:rPr>
        <w:t>rangatahi</w:t>
      </w:r>
      <w:proofErr w:type="spellEnd"/>
      <w:r w:rsidR="00D64BAF" w:rsidRPr="00A44A59">
        <w:rPr>
          <w:szCs w:val="22"/>
        </w:rPr>
        <w:t xml:space="preserve"> and their support network through their </w:t>
      </w:r>
      <w:proofErr w:type="spellStart"/>
      <w:r w:rsidR="00D64BAF" w:rsidRPr="00A44A59">
        <w:rPr>
          <w:szCs w:val="22"/>
        </w:rPr>
        <w:t>whānau</w:t>
      </w:r>
      <w:proofErr w:type="spellEnd"/>
      <w:r w:rsidR="00D64BAF" w:rsidRPr="00A44A59">
        <w:rPr>
          <w:szCs w:val="22"/>
        </w:rPr>
        <w:t xml:space="preserve">, </w:t>
      </w:r>
      <w:proofErr w:type="spellStart"/>
      <w:r w:rsidR="00D64BAF" w:rsidRPr="00A44A59">
        <w:rPr>
          <w:color w:val="232323"/>
          <w:szCs w:val="22"/>
          <w:shd w:val="clear" w:color="auto" w:fill="FFFFFF"/>
        </w:rPr>
        <w:t>hapū</w:t>
      </w:r>
      <w:proofErr w:type="spellEnd"/>
      <w:r w:rsidR="00D64BAF" w:rsidRPr="00A44A59">
        <w:rPr>
          <w:color w:val="232323"/>
          <w:szCs w:val="22"/>
          <w:shd w:val="clear" w:color="auto" w:fill="FFFFFF"/>
        </w:rPr>
        <w:t>, and iwi</w:t>
      </w:r>
      <w:r w:rsidR="00D64BAF" w:rsidRPr="00A44A59">
        <w:rPr>
          <w:szCs w:val="22"/>
        </w:rPr>
        <w:t xml:space="preserve"> to </w:t>
      </w:r>
      <w:r w:rsidR="00DE7FB3">
        <w:rPr>
          <w:szCs w:val="22"/>
        </w:rPr>
        <w:t>be able</w:t>
      </w:r>
      <w:r w:rsidR="00D64BAF" w:rsidRPr="00A44A59">
        <w:rPr>
          <w:szCs w:val="22"/>
        </w:rPr>
        <w:t xml:space="preserve"> to seek support from a person that they feel is most</w:t>
      </w:r>
      <w:r w:rsidR="00D64BAF">
        <w:rPr>
          <w:szCs w:val="22"/>
        </w:rPr>
        <w:t xml:space="preserve"> appropriate (</w:t>
      </w:r>
      <w:proofErr w:type="gramStart"/>
      <w:r w:rsidR="00D64BAF">
        <w:rPr>
          <w:szCs w:val="22"/>
        </w:rPr>
        <w:t>e.g.</w:t>
      </w:r>
      <w:proofErr w:type="gramEnd"/>
      <w:r w:rsidR="00D64BAF">
        <w:rPr>
          <w:szCs w:val="22"/>
        </w:rPr>
        <w:t xml:space="preserve"> a </w:t>
      </w:r>
      <w:proofErr w:type="spellStart"/>
      <w:r w:rsidR="00CE07C7">
        <w:rPr>
          <w:rStyle w:val="Strong"/>
          <w:b w:val="0"/>
          <w:bCs w:val="0"/>
          <w:szCs w:val="22"/>
          <w:shd w:val="clear" w:color="auto" w:fill="FFFFFF"/>
        </w:rPr>
        <w:t>k</w:t>
      </w:r>
      <w:r w:rsidR="00CE07C7" w:rsidRPr="00CE07C7">
        <w:rPr>
          <w:rStyle w:val="Strong"/>
          <w:b w:val="0"/>
          <w:bCs w:val="0"/>
          <w:szCs w:val="22"/>
          <w:shd w:val="clear" w:color="auto" w:fill="FFFFFF"/>
        </w:rPr>
        <w:t>aumātua</w:t>
      </w:r>
      <w:proofErr w:type="spellEnd"/>
      <w:r w:rsidR="00D64BAF">
        <w:rPr>
          <w:szCs w:val="22"/>
        </w:rPr>
        <w:t>).</w:t>
      </w:r>
      <w:r w:rsidRPr="00B505C3">
        <w:rPr>
          <w:szCs w:val="22"/>
        </w:rPr>
        <w:t xml:space="preserve"> </w:t>
      </w:r>
      <w:r>
        <w:rPr>
          <w:szCs w:val="22"/>
        </w:rPr>
        <w:t>Children and their families</w:t>
      </w:r>
      <w:r w:rsidR="0033590C">
        <w:rPr>
          <w:szCs w:val="22"/>
        </w:rPr>
        <w:t xml:space="preserve"> </w:t>
      </w:r>
      <w:r>
        <w:rPr>
          <w:szCs w:val="22"/>
        </w:rPr>
        <w:t>from other communities</w:t>
      </w:r>
      <w:r w:rsidR="00A64D1B">
        <w:rPr>
          <w:szCs w:val="22"/>
        </w:rPr>
        <w:t xml:space="preserve"> may</w:t>
      </w:r>
      <w:r>
        <w:rPr>
          <w:szCs w:val="22"/>
        </w:rPr>
        <w:t xml:space="preserve"> also</w:t>
      </w:r>
      <w:r w:rsidR="00A64D1B">
        <w:rPr>
          <w:szCs w:val="22"/>
        </w:rPr>
        <w:t xml:space="preserve"> </w:t>
      </w:r>
      <w:r>
        <w:rPr>
          <w:szCs w:val="22"/>
        </w:rPr>
        <w:t>be</w:t>
      </w:r>
      <w:r w:rsidR="00045B2A">
        <w:rPr>
          <w:szCs w:val="22"/>
        </w:rPr>
        <w:t xml:space="preserve"> more comfortable seeking support from people who have authority within their own community</w:t>
      </w:r>
      <w:r w:rsidR="001B260A">
        <w:rPr>
          <w:szCs w:val="22"/>
        </w:rPr>
        <w:t>,</w:t>
      </w:r>
      <w:r w:rsidR="00045B2A">
        <w:rPr>
          <w:szCs w:val="22"/>
        </w:rPr>
        <w:t xml:space="preserve"> </w:t>
      </w:r>
      <w:r w:rsidR="00FB36E3">
        <w:rPr>
          <w:szCs w:val="22"/>
        </w:rPr>
        <w:t xml:space="preserve">rather </w:t>
      </w:r>
      <w:r w:rsidR="00045B2A">
        <w:rPr>
          <w:szCs w:val="22"/>
        </w:rPr>
        <w:t xml:space="preserve">than </w:t>
      </w:r>
      <w:r w:rsidR="00FB36E3">
        <w:rPr>
          <w:szCs w:val="22"/>
        </w:rPr>
        <w:t>registered professionals</w:t>
      </w:r>
      <w:r w:rsidR="00045B2A">
        <w:rPr>
          <w:szCs w:val="22"/>
        </w:rPr>
        <w:t xml:space="preserve">. </w:t>
      </w:r>
      <w:r>
        <w:rPr>
          <w:szCs w:val="22"/>
        </w:rPr>
        <w:t xml:space="preserve">One reason could be that a person from their community would </w:t>
      </w:r>
      <w:r w:rsidR="00FB36E3">
        <w:rPr>
          <w:szCs w:val="22"/>
        </w:rPr>
        <w:t>have a greater understanding of gender diversity within their cultural context</w:t>
      </w:r>
      <w:r>
        <w:rPr>
          <w:szCs w:val="22"/>
        </w:rPr>
        <w:t xml:space="preserve"> than a registered professional</w:t>
      </w:r>
      <w:r w:rsidR="00FB36E3">
        <w:rPr>
          <w:szCs w:val="22"/>
        </w:rPr>
        <w:t>.</w:t>
      </w:r>
    </w:p>
    <w:p w14:paraId="185EDB1B" w14:textId="7F1D898B" w:rsidR="00D64BAF" w:rsidRDefault="00D64BAF" w:rsidP="008B6085">
      <w:pPr>
        <w:pStyle w:val="BodyText-Numbered"/>
        <w:keepNext w:val="0"/>
        <w:keepLines/>
      </w:pPr>
      <w:r>
        <w:t>This option</w:t>
      </w:r>
      <w:r w:rsidRPr="00DE2B92">
        <w:t xml:space="preserve"> provides applicants with a wide range of choice</w:t>
      </w:r>
      <w:r>
        <w:t xml:space="preserve">, making the process to </w:t>
      </w:r>
      <w:r w:rsidR="00E84A28">
        <w:t>find</w:t>
      </w:r>
      <w:r>
        <w:t xml:space="preserve"> a suitably qualified third party accessible. Compared to option two</w:t>
      </w:r>
      <w:r w:rsidR="001B260A">
        <w:t>,</w:t>
      </w:r>
      <w:r w:rsidRPr="00DE2B92">
        <w:t xml:space="preserve"> it </w:t>
      </w:r>
      <w:r>
        <w:t>does not necessarily present</w:t>
      </w:r>
      <w:r w:rsidRPr="00DE2B92">
        <w:t xml:space="preserve"> </w:t>
      </w:r>
      <w:r>
        <w:t xml:space="preserve">physical or cost barriers </w:t>
      </w:r>
      <w:r w:rsidR="00F85995">
        <w:t xml:space="preserve">to </w:t>
      </w:r>
      <w:r w:rsidR="00843796">
        <w:t>access</w:t>
      </w:r>
      <w:r w:rsidR="00F85995">
        <w:t>. It also</w:t>
      </w:r>
      <w:r w:rsidR="00843796">
        <w:t xml:space="preserve"> </w:t>
      </w:r>
      <w:r w:rsidR="00680721">
        <w:t xml:space="preserve">provides some </w:t>
      </w:r>
      <w:r w:rsidR="00843796">
        <w:t>mitigat</w:t>
      </w:r>
      <w:r w:rsidR="00680721">
        <w:t>ion</w:t>
      </w:r>
      <w:r w:rsidR="00843796">
        <w:t xml:space="preserve"> against</w:t>
      </w:r>
      <w:r w:rsidR="00843796" w:rsidRPr="00357B3E">
        <w:rPr>
          <w:color w:val="000000"/>
          <w:lang w:eastAsia="en-NZ"/>
        </w:rPr>
        <w:t xml:space="preserve"> people encountering registered professionals </w:t>
      </w:r>
      <w:r w:rsidR="00BE4646">
        <w:rPr>
          <w:color w:val="000000"/>
          <w:lang w:eastAsia="en-NZ"/>
        </w:rPr>
        <w:t xml:space="preserve">who may be </w:t>
      </w:r>
      <w:r w:rsidR="00843796" w:rsidRPr="00531137">
        <w:rPr>
          <w:color w:val="000000"/>
          <w:lang w:eastAsia="en-NZ"/>
        </w:rPr>
        <w:t>unwilling to support their decision for reasons unrelated to their cognitive ability</w:t>
      </w:r>
      <w:r w:rsidR="00843796" w:rsidRPr="00357B3E">
        <w:rPr>
          <w:color w:val="000000"/>
          <w:lang w:eastAsia="en-NZ"/>
        </w:rPr>
        <w:t>.</w:t>
      </w:r>
      <w:r w:rsidR="00843796">
        <w:t xml:space="preserve"> </w:t>
      </w:r>
      <w:r w:rsidR="00CA29FA">
        <w:t>However, this assumes that children and young people know someone that would be willing to support their application.</w:t>
      </w:r>
    </w:p>
    <w:p w14:paraId="4CFE142D" w14:textId="4DC98A96" w:rsidR="007704CF" w:rsidRDefault="007702B8" w:rsidP="008B6085">
      <w:pPr>
        <w:pStyle w:val="BodyText-Numbered"/>
        <w:keepNext w:val="0"/>
        <w:keepLines/>
        <w:rPr>
          <w:szCs w:val="22"/>
        </w:rPr>
      </w:pPr>
      <w:r>
        <w:t xml:space="preserve">Persons who have known a child or young person for more than 12 months are likely to have a sufficiently enduring relationship with them and have an ability to </w:t>
      </w:r>
      <w:r w:rsidRPr="003144BD">
        <w:rPr>
          <w:szCs w:val="22"/>
        </w:rPr>
        <w:t xml:space="preserve">understand their past </w:t>
      </w:r>
      <w:r w:rsidRPr="00B17AC6">
        <w:rPr>
          <w:szCs w:val="22"/>
        </w:rPr>
        <w:t xml:space="preserve">and present wishes and feelings, and any beliefs and values likely to have a bearing on their decision. </w:t>
      </w:r>
      <w:r w:rsidR="00E84A28">
        <w:rPr>
          <w:szCs w:val="22"/>
        </w:rPr>
        <w:t xml:space="preserve">However, </w:t>
      </w:r>
      <w:r w:rsidR="00E84A28" w:rsidRPr="00E84A28">
        <w:rPr>
          <w:color w:val="000000"/>
          <w:szCs w:val="22"/>
        </w:rPr>
        <w:t>it may not guarantee the same level of assurance as option two as they may not have the same levels of professional experience working with children to consider the child’s interests as paramount.</w:t>
      </w:r>
    </w:p>
    <w:p w14:paraId="7D7EE35E" w14:textId="77777777" w:rsidR="00D64BAF" w:rsidRPr="00ED682A" w:rsidRDefault="00D64BAF" w:rsidP="008B6085">
      <w:pPr>
        <w:pStyle w:val="Heading4"/>
        <w:keepLines/>
        <w:rPr>
          <w:szCs w:val="22"/>
        </w:rPr>
      </w:pPr>
      <w:r>
        <w:rPr>
          <w:lang w:val="en-NZ"/>
        </w:rPr>
        <w:t>Option Four – (</w:t>
      </w:r>
      <w:r>
        <w:rPr>
          <w:szCs w:val="22"/>
        </w:rPr>
        <w:t>a c</w:t>
      </w:r>
      <w:r w:rsidRPr="004F1BD6">
        <w:rPr>
          <w:szCs w:val="22"/>
        </w:rPr>
        <w:t xml:space="preserve">ombination of option </w:t>
      </w:r>
      <w:r>
        <w:rPr>
          <w:szCs w:val="22"/>
        </w:rPr>
        <w:t>one and two)</w:t>
      </w:r>
      <w:r w:rsidRPr="004F1BD6">
        <w:rPr>
          <w:szCs w:val="22"/>
        </w:rPr>
        <w:t xml:space="preserve"> </w:t>
      </w:r>
      <w:r>
        <w:rPr>
          <w:szCs w:val="22"/>
        </w:rPr>
        <w:t xml:space="preserve">a range of </w:t>
      </w:r>
      <w:r w:rsidRPr="004F1BD6">
        <w:rPr>
          <w:szCs w:val="22"/>
        </w:rPr>
        <w:t>registered professional</w:t>
      </w:r>
      <w:r>
        <w:rPr>
          <w:szCs w:val="22"/>
        </w:rPr>
        <w:t>s</w:t>
      </w:r>
      <w:r w:rsidRPr="004F1BD6">
        <w:rPr>
          <w:szCs w:val="22"/>
        </w:rPr>
        <w:t xml:space="preserve"> or someone who has known the </w:t>
      </w:r>
      <w:r>
        <w:rPr>
          <w:szCs w:val="22"/>
        </w:rPr>
        <w:t>child for more than 12 months</w:t>
      </w:r>
    </w:p>
    <w:p w14:paraId="07E58197" w14:textId="77777777" w:rsidR="00D64BAF" w:rsidRDefault="00D64BAF" w:rsidP="008B6085">
      <w:pPr>
        <w:keepLines/>
        <w:rPr>
          <w:i/>
          <w:u w:val="single"/>
        </w:rPr>
      </w:pPr>
      <w:r>
        <w:rPr>
          <w:i/>
          <w:u w:val="single"/>
        </w:rPr>
        <w:t>Key features</w:t>
      </w:r>
    </w:p>
    <w:p w14:paraId="0AA93BD3" w14:textId="47D67B80" w:rsidR="00D64BAF" w:rsidRDefault="00D64BAF" w:rsidP="008B6085">
      <w:pPr>
        <w:pStyle w:val="BodyText-Numbered"/>
        <w:keepNext w:val="0"/>
        <w:keepLines/>
      </w:pPr>
      <w:r>
        <w:t>This option is a combination of options two and three</w:t>
      </w:r>
      <w:r w:rsidR="001B260A">
        <w:t>,</w:t>
      </w:r>
      <w:r>
        <w:t xml:space="preserve"> where a range of registered professionals and a person who has known the child for 12 months or more are specified as suitably qualified third part</w:t>
      </w:r>
      <w:r w:rsidR="00680721">
        <w:t>ies</w:t>
      </w:r>
      <w:r>
        <w:t xml:space="preserve"> in regulations.</w:t>
      </w:r>
    </w:p>
    <w:p w14:paraId="1968C973" w14:textId="0C6F7969" w:rsidR="00D64BAF" w:rsidRDefault="00D64BAF" w:rsidP="008B6085">
      <w:pPr>
        <w:pStyle w:val="BodyText-Numbered"/>
        <w:keepNext w:val="0"/>
        <w:keepLines/>
      </w:pPr>
      <w:r>
        <w:t xml:space="preserve">Under this option, children, young people and their </w:t>
      </w:r>
      <w:proofErr w:type="spellStart"/>
      <w:r w:rsidR="00D57E7C">
        <w:t>whānau</w:t>
      </w:r>
      <w:proofErr w:type="spellEnd"/>
      <w:r>
        <w:t xml:space="preserve"> would have the choice to seek a letter of support from either a registered professional or someone that has known the child or young person for 12 months or more. </w:t>
      </w:r>
    </w:p>
    <w:p w14:paraId="1A2282C0" w14:textId="49A78594" w:rsidR="003759E1" w:rsidRPr="003759E1" w:rsidRDefault="00D64BAF" w:rsidP="008B6085">
      <w:pPr>
        <w:keepLines/>
        <w:rPr>
          <w:i/>
          <w:szCs w:val="22"/>
          <w:u w:val="single"/>
        </w:rPr>
      </w:pPr>
      <w:r w:rsidRPr="00236241">
        <w:rPr>
          <w:i/>
          <w:szCs w:val="22"/>
          <w:u w:val="single"/>
        </w:rPr>
        <w:t>Analysis</w:t>
      </w:r>
    </w:p>
    <w:p w14:paraId="6740CA7C" w14:textId="430E1F63" w:rsidR="00F97575" w:rsidRPr="00F97575" w:rsidRDefault="00F97575" w:rsidP="008B6085">
      <w:pPr>
        <w:pStyle w:val="BodyText-Numbered"/>
        <w:keepNext w:val="0"/>
        <w:keepLines/>
      </w:pPr>
      <w:r>
        <w:t>This option is</w:t>
      </w:r>
      <w:r w:rsidR="00E12264">
        <w:t xml:space="preserve"> </w:t>
      </w:r>
      <w:r>
        <w:t>inclusive because it provides for a</w:t>
      </w:r>
      <w:r w:rsidR="00680721">
        <w:t xml:space="preserve"> broad</w:t>
      </w:r>
      <w:r>
        <w:t xml:space="preserve"> range of persons that guardians, </w:t>
      </w:r>
      <w:proofErr w:type="gramStart"/>
      <w:r>
        <w:t>children</w:t>
      </w:r>
      <w:proofErr w:type="gramEnd"/>
      <w:r>
        <w:t xml:space="preserve"> and young people </w:t>
      </w:r>
      <w:r w:rsidRPr="00D4480B">
        <w:rPr>
          <w:szCs w:val="22"/>
        </w:rPr>
        <w:t>from all socio-economic and cultural backgrounds c</w:t>
      </w:r>
      <w:r>
        <w:rPr>
          <w:szCs w:val="22"/>
        </w:rPr>
        <w:t xml:space="preserve">ould </w:t>
      </w:r>
      <w:r w:rsidRPr="00D4480B">
        <w:rPr>
          <w:szCs w:val="22"/>
        </w:rPr>
        <w:t xml:space="preserve">access </w:t>
      </w:r>
      <w:r>
        <w:rPr>
          <w:szCs w:val="22"/>
        </w:rPr>
        <w:t>and feel comfortable approaching. Some applicants may seek support from a registered professional they trust, whereas others may feel more comfortable seeking a letter of support from someone known to them</w:t>
      </w:r>
      <w:r w:rsidR="001B260A">
        <w:rPr>
          <w:szCs w:val="22"/>
        </w:rPr>
        <w:t>,</w:t>
      </w:r>
      <w:r>
        <w:rPr>
          <w:szCs w:val="22"/>
        </w:rPr>
        <w:t xml:space="preserve"> </w:t>
      </w:r>
      <w:r w:rsidR="009F7015">
        <w:rPr>
          <w:szCs w:val="22"/>
        </w:rPr>
        <w:t xml:space="preserve">or a cultural leader </w:t>
      </w:r>
      <w:r>
        <w:rPr>
          <w:szCs w:val="22"/>
        </w:rPr>
        <w:t>due the access barriers associated with some registered professionals. Option four provides applicants the choice.</w:t>
      </w:r>
    </w:p>
    <w:p w14:paraId="53A39DA6" w14:textId="0FD6DF8D" w:rsidR="00DE0218" w:rsidRDefault="00472DD9" w:rsidP="00472DD9">
      <w:pPr>
        <w:pStyle w:val="BodyText-Numbered"/>
        <w:keepNext w:val="0"/>
        <w:keepLines/>
        <w:rPr>
          <w:szCs w:val="22"/>
        </w:rPr>
      </w:pPr>
      <w:r>
        <w:rPr>
          <w:szCs w:val="22"/>
        </w:rPr>
        <w:lastRenderedPageBreak/>
        <w:t>This option would also</w:t>
      </w:r>
      <w:r w:rsidR="00DE0218" w:rsidRPr="00D73D92">
        <w:rPr>
          <w:color w:val="000000"/>
          <w:szCs w:val="27"/>
        </w:rPr>
        <w:t xml:space="preserve"> provide applicants with a reasonable level of choice, and to ensure that the process is accessible.</w:t>
      </w:r>
      <w:r w:rsidR="00DE0218">
        <w:rPr>
          <w:color w:val="000000"/>
          <w:szCs w:val="27"/>
        </w:rPr>
        <w:t xml:space="preserve"> </w:t>
      </w:r>
      <w:r w:rsidR="00DE0218" w:rsidRPr="00357B3E">
        <w:rPr>
          <w:szCs w:val="22"/>
        </w:rPr>
        <w:t>If a child or young person did not have a person known</w:t>
      </w:r>
      <w:r w:rsidR="00DE0218">
        <w:rPr>
          <w:szCs w:val="22"/>
        </w:rPr>
        <w:t xml:space="preserve"> to them</w:t>
      </w:r>
      <w:r w:rsidR="00DE0218" w:rsidRPr="00357B3E">
        <w:rPr>
          <w:szCs w:val="22"/>
        </w:rPr>
        <w:t xml:space="preserve"> for 12 months or more that would support their application, they would be able to access</w:t>
      </w:r>
      <w:r w:rsidR="00DE0218">
        <w:rPr>
          <w:szCs w:val="22"/>
        </w:rPr>
        <w:t xml:space="preserve"> a</w:t>
      </w:r>
      <w:r w:rsidR="00DE0218" w:rsidRPr="00357B3E">
        <w:rPr>
          <w:szCs w:val="22"/>
        </w:rPr>
        <w:t xml:space="preserve"> registered professional</w:t>
      </w:r>
      <w:r w:rsidR="00DE0218">
        <w:rPr>
          <w:szCs w:val="22"/>
        </w:rPr>
        <w:t xml:space="preserve"> instead</w:t>
      </w:r>
      <w:r w:rsidR="00DE0218" w:rsidRPr="00357B3E">
        <w:rPr>
          <w:szCs w:val="22"/>
        </w:rPr>
        <w:t>.</w:t>
      </w:r>
      <w:r w:rsidR="00DE0218">
        <w:rPr>
          <w:szCs w:val="22"/>
        </w:rPr>
        <w:t xml:space="preserve"> This is because a registered professional does not need to know the child for 12 months or more due to their professional qualifications in being able to assess a child or young person’s wants and needs. This option provides a greater range of persons that could act as suitably qualified third party than options two and three. </w:t>
      </w:r>
    </w:p>
    <w:p w14:paraId="1AE07287" w14:textId="7E76D041" w:rsidR="004B29B1" w:rsidRPr="007862D3" w:rsidRDefault="006658AC" w:rsidP="008B6085">
      <w:pPr>
        <w:pStyle w:val="BodyText-Numbered"/>
        <w:keepNext w:val="0"/>
        <w:keepLines/>
        <w:rPr>
          <w:szCs w:val="22"/>
        </w:rPr>
        <w:sectPr w:rsidR="004B29B1" w:rsidRPr="007862D3" w:rsidSect="00150D58">
          <w:headerReference w:type="even" r:id="rId22"/>
          <w:headerReference w:type="default" r:id="rId23"/>
          <w:footerReference w:type="even" r:id="rId24"/>
          <w:footerReference w:type="default" r:id="rId25"/>
          <w:pgSz w:w="11906" w:h="16838" w:code="9"/>
          <w:pgMar w:top="1134" w:right="1418" w:bottom="992" w:left="1418" w:header="454" w:footer="454" w:gutter="0"/>
          <w:cols w:space="708"/>
          <w:docGrid w:linePitch="360"/>
        </w:sectPr>
      </w:pPr>
      <w:r>
        <w:rPr>
          <w:szCs w:val="22"/>
        </w:rPr>
        <w:t>B</w:t>
      </w:r>
      <w:r w:rsidR="00B17967">
        <w:rPr>
          <w:szCs w:val="22"/>
        </w:rPr>
        <w:t xml:space="preserve">oth registered professionals and persons known to the child </w:t>
      </w:r>
      <w:r w:rsidR="004974FE">
        <w:rPr>
          <w:szCs w:val="22"/>
        </w:rPr>
        <w:t>will have some</w:t>
      </w:r>
      <w:r w:rsidR="00B17967">
        <w:rPr>
          <w:szCs w:val="22"/>
        </w:rPr>
        <w:t xml:space="preserve"> level of separation from the guardian and the child or young person</w:t>
      </w:r>
      <w:r w:rsidR="004974FE">
        <w:rPr>
          <w:szCs w:val="22"/>
        </w:rPr>
        <w:t xml:space="preserve">. This will </w:t>
      </w:r>
      <w:r w:rsidR="00B17967">
        <w:rPr>
          <w:szCs w:val="22"/>
        </w:rPr>
        <w:t>mak</w:t>
      </w:r>
      <w:r w:rsidR="004974FE">
        <w:rPr>
          <w:szCs w:val="22"/>
        </w:rPr>
        <w:t>e</w:t>
      </w:r>
      <w:r>
        <w:rPr>
          <w:szCs w:val="22"/>
        </w:rPr>
        <w:t xml:space="preserve"> it more likely they can provide</w:t>
      </w:r>
      <w:r w:rsidR="00B17967">
        <w:rPr>
          <w:szCs w:val="22"/>
        </w:rPr>
        <w:t xml:space="preserve"> an independent assessment that the child or young person wants to amend their registered sex and understands what it means to do so.</w:t>
      </w:r>
      <w:r w:rsidR="004974FE">
        <w:rPr>
          <w:szCs w:val="22"/>
        </w:rPr>
        <w:t xml:space="preserve"> However, t</w:t>
      </w:r>
      <w:r w:rsidR="004974FE" w:rsidRPr="00B17967">
        <w:rPr>
          <w:szCs w:val="22"/>
        </w:rPr>
        <w:t xml:space="preserve">his option provides the same level of assurance </w:t>
      </w:r>
      <w:r w:rsidR="004974FE">
        <w:rPr>
          <w:szCs w:val="22"/>
        </w:rPr>
        <w:t xml:space="preserve">as option three because the level of assurance may not be as guaranteed with someone who has known a child for 12 months or more, compared to a registered professional. This is something we anticipate </w:t>
      </w:r>
      <w:r w:rsidR="000408E1">
        <w:rPr>
          <w:szCs w:val="22"/>
        </w:rPr>
        <w:t>testing</w:t>
      </w:r>
      <w:r w:rsidR="004974FE">
        <w:rPr>
          <w:szCs w:val="22"/>
        </w:rPr>
        <w:t xml:space="preserve"> through consultation. </w:t>
      </w:r>
    </w:p>
    <w:p w14:paraId="2F9657C5" w14:textId="1ACA1617" w:rsidR="004B29B1" w:rsidRPr="00A864A5" w:rsidRDefault="004B29B1" w:rsidP="00802AB2">
      <w:pPr>
        <w:pStyle w:val="Heading3"/>
        <w:rPr>
          <w:lang w:val="en-NZ"/>
        </w:rPr>
      </w:pPr>
      <w:r>
        <w:rPr>
          <w:lang w:val="en-NZ"/>
        </w:rPr>
        <w:lastRenderedPageBreak/>
        <w:t>How do the options compare to the status quo/counterfactual?</w:t>
      </w:r>
    </w:p>
    <w:tbl>
      <w:tblPr>
        <w:tblW w:w="21956"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262"/>
        <w:gridCol w:w="4403"/>
        <w:gridCol w:w="5387"/>
        <w:gridCol w:w="5220"/>
        <w:gridCol w:w="5684"/>
      </w:tblGrid>
      <w:tr w:rsidR="00D64BAF" w:rsidRPr="00F668CE" w14:paraId="12ACCA05" w14:textId="77777777" w:rsidTr="00ED05E2">
        <w:trPr>
          <w:trHeight w:val="634"/>
        </w:trPr>
        <w:tc>
          <w:tcPr>
            <w:tcW w:w="1262" w:type="dxa"/>
            <w:shd w:val="clear" w:color="auto" w:fill="99CDDD"/>
            <w:vAlign w:val="center"/>
          </w:tcPr>
          <w:p w14:paraId="2C9AB72D" w14:textId="77777777" w:rsidR="00D64BAF" w:rsidRPr="00F668CE" w:rsidRDefault="00D64BAF" w:rsidP="001F7857">
            <w:pPr>
              <w:spacing w:before="60" w:after="60" w:line="276" w:lineRule="auto"/>
              <w:jc w:val="center"/>
              <w:rPr>
                <w:rFonts w:cs="Arial"/>
                <w:bCs/>
                <w:i/>
                <w:iCs/>
                <w:color w:val="FFFFFF"/>
                <w:sz w:val="18"/>
                <w:szCs w:val="18"/>
                <w:lang w:val="en-NZ"/>
              </w:rPr>
            </w:pPr>
          </w:p>
        </w:tc>
        <w:tc>
          <w:tcPr>
            <w:tcW w:w="4403" w:type="dxa"/>
            <w:shd w:val="clear" w:color="auto" w:fill="99CDDD"/>
            <w:vAlign w:val="center"/>
          </w:tcPr>
          <w:p w14:paraId="467201F4" w14:textId="1A8588E5" w:rsidR="00D64BAF" w:rsidRPr="00F668CE" w:rsidRDefault="00D64BAF" w:rsidP="00F82EDF">
            <w:pPr>
              <w:spacing w:before="60" w:after="60" w:line="240" w:lineRule="auto"/>
              <w:jc w:val="center"/>
              <w:rPr>
                <w:rFonts w:cs="Arial"/>
                <w:b/>
                <w:color w:val="000000"/>
                <w:sz w:val="18"/>
                <w:szCs w:val="18"/>
                <w:lang w:val="en-NZ"/>
              </w:rPr>
            </w:pPr>
            <w:r>
              <w:rPr>
                <w:rFonts w:cs="Arial"/>
                <w:b/>
                <w:color w:val="000000"/>
                <w:sz w:val="18"/>
                <w:szCs w:val="18"/>
                <w:lang w:val="en-NZ"/>
              </w:rPr>
              <w:t xml:space="preserve">Option One – </w:t>
            </w:r>
            <w:r w:rsidR="00F82EDF">
              <w:rPr>
                <w:rFonts w:cs="Arial"/>
                <w:b/>
                <w:color w:val="000000"/>
                <w:sz w:val="18"/>
                <w:szCs w:val="18"/>
                <w:lang w:val="en-NZ"/>
              </w:rPr>
              <w:t>do not specify suitably qualified third parties</w:t>
            </w:r>
          </w:p>
        </w:tc>
        <w:tc>
          <w:tcPr>
            <w:tcW w:w="5387" w:type="dxa"/>
            <w:shd w:val="clear" w:color="auto" w:fill="99CDDD"/>
            <w:vAlign w:val="center"/>
          </w:tcPr>
          <w:p w14:paraId="1EC1C7DB" w14:textId="5E205A6F" w:rsidR="00D64BAF" w:rsidRPr="00F668CE" w:rsidRDefault="00D64BAF" w:rsidP="001F7857">
            <w:pPr>
              <w:spacing w:before="60" w:after="60" w:line="240" w:lineRule="auto"/>
              <w:jc w:val="center"/>
              <w:rPr>
                <w:rFonts w:cs="Arial"/>
                <w:b/>
                <w:color w:val="000000"/>
                <w:sz w:val="18"/>
                <w:szCs w:val="18"/>
                <w:lang w:val="en-NZ"/>
              </w:rPr>
            </w:pPr>
            <w:r>
              <w:rPr>
                <w:rFonts w:cs="Arial"/>
                <w:b/>
                <w:color w:val="000000"/>
                <w:sz w:val="18"/>
                <w:szCs w:val="18"/>
                <w:lang w:val="en-NZ"/>
              </w:rPr>
              <w:t>Option Two</w:t>
            </w:r>
            <w:r w:rsidRPr="00F668CE">
              <w:rPr>
                <w:rFonts w:cs="Arial"/>
                <w:b/>
                <w:color w:val="000000"/>
                <w:sz w:val="18"/>
                <w:szCs w:val="18"/>
                <w:lang w:val="en-NZ"/>
              </w:rPr>
              <w:t xml:space="preserve"> – </w:t>
            </w:r>
            <w:r w:rsidR="00F82EDF">
              <w:rPr>
                <w:rFonts w:cs="Arial"/>
                <w:b/>
                <w:color w:val="000000"/>
                <w:sz w:val="18"/>
                <w:szCs w:val="18"/>
                <w:lang w:val="en-NZ"/>
              </w:rPr>
              <w:t>registered professionals</w:t>
            </w:r>
          </w:p>
        </w:tc>
        <w:tc>
          <w:tcPr>
            <w:tcW w:w="5220" w:type="dxa"/>
            <w:shd w:val="clear" w:color="auto" w:fill="99CDDD"/>
            <w:vAlign w:val="center"/>
          </w:tcPr>
          <w:p w14:paraId="0B1CEAB6" w14:textId="5C41A9AC" w:rsidR="00D64BAF" w:rsidRPr="00F668CE" w:rsidRDefault="00D64BAF" w:rsidP="001F7857">
            <w:pPr>
              <w:spacing w:before="60" w:after="60" w:line="276" w:lineRule="auto"/>
              <w:jc w:val="center"/>
              <w:rPr>
                <w:rFonts w:cs="Arial"/>
                <w:b/>
                <w:color w:val="000000"/>
                <w:sz w:val="18"/>
                <w:szCs w:val="18"/>
                <w:lang w:val="en-NZ"/>
              </w:rPr>
            </w:pPr>
            <w:r w:rsidRPr="00F668CE">
              <w:rPr>
                <w:rFonts w:cs="Arial"/>
                <w:b/>
                <w:color w:val="000000"/>
                <w:sz w:val="18"/>
                <w:szCs w:val="18"/>
                <w:lang w:val="en-NZ"/>
              </w:rPr>
              <w:t xml:space="preserve">Option </w:t>
            </w:r>
            <w:r>
              <w:rPr>
                <w:rFonts w:cs="Arial"/>
                <w:b/>
                <w:color w:val="000000"/>
                <w:sz w:val="18"/>
                <w:szCs w:val="18"/>
                <w:lang w:val="en-NZ"/>
              </w:rPr>
              <w:t>Three</w:t>
            </w:r>
            <w:r w:rsidRPr="00F668CE">
              <w:rPr>
                <w:rFonts w:cs="Arial"/>
                <w:b/>
                <w:color w:val="000000"/>
                <w:sz w:val="18"/>
                <w:szCs w:val="18"/>
                <w:lang w:val="en-NZ"/>
              </w:rPr>
              <w:t xml:space="preserve"> – </w:t>
            </w:r>
            <w:r w:rsidR="00F82EDF">
              <w:rPr>
                <w:rFonts w:cs="Arial"/>
                <w:b/>
                <w:color w:val="000000"/>
                <w:sz w:val="18"/>
                <w:szCs w:val="18"/>
                <w:lang w:val="en-NZ"/>
              </w:rPr>
              <w:t>person known to the child or young person for 12 months or more</w:t>
            </w:r>
          </w:p>
        </w:tc>
        <w:tc>
          <w:tcPr>
            <w:tcW w:w="5684" w:type="dxa"/>
            <w:shd w:val="clear" w:color="auto" w:fill="99CDDD"/>
            <w:vAlign w:val="center"/>
          </w:tcPr>
          <w:p w14:paraId="6F650CE6" w14:textId="45A173A5" w:rsidR="00D64BAF" w:rsidRPr="00F668CE" w:rsidRDefault="00D64BAF" w:rsidP="001F7857">
            <w:pPr>
              <w:spacing w:before="60" w:after="60" w:line="276" w:lineRule="auto"/>
              <w:jc w:val="center"/>
              <w:rPr>
                <w:rFonts w:cs="Arial"/>
                <w:b/>
                <w:color w:val="000000"/>
                <w:sz w:val="18"/>
                <w:szCs w:val="18"/>
                <w:lang w:val="en-NZ"/>
              </w:rPr>
            </w:pPr>
            <w:r w:rsidRPr="00F668CE">
              <w:rPr>
                <w:rFonts w:cs="Arial"/>
                <w:b/>
                <w:color w:val="000000"/>
                <w:sz w:val="18"/>
                <w:szCs w:val="18"/>
                <w:lang w:val="en-NZ"/>
              </w:rPr>
              <w:t xml:space="preserve">Option </w:t>
            </w:r>
            <w:r>
              <w:rPr>
                <w:rFonts w:cs="Arial"/>
                <w:b/>
                <w:color w:val="000000"/>
                <w:sz w:val="18"/>
                <w:szCs w:val="18"/>
                <w:lang w:val="en-NZ"/>
              </w:rPr>
              <w:t>Four</w:t>
            </w:r>
            <w:r w:rsidRPr="00F668CE">
              <w:rPr>
                <w:rFonts w:cs="Arial"/>
                <w:b/>
                <w:color w:val="000000"/>
                <w:sz w:val="18"/>
                <w:szCs w:val="18"/>
                <w:lang w:val="en-NZ"/>
              </w:rPr>
              <w:t xml:space="preserve"> </w:t>
            </w:r>
            <w:r>
              <w:rPr>
                <w:rFonts w:cs="Arial"/>
                <w:b/>
                <w:color w:val="000000"/>
                <w:sz w:val="18"/>
                <w:szCs w:val="18"/>
                <w:lang w:val="en-NZ"/>
              </w:rPr>
              <w:t xml:space="preserve">– </w:t>
            </w:r>
            <w:r w:rsidR="006C3283">
              <w:rPr>
                <w:rFonts w:cs="Arial"/>
                <w:b/>
                <w:color w:val="000000"/>
                <w:sz w:val="18"/>
                <w:szCs w:val="18"/>
                <w:lang w:val="en-NZ"/>
              </w:rPr>
              <w:t>choice between registered professional or a person known to the child or young person for 12 months or more</w:t>
            </w:r>
          </w:p>
        </w:tc>
      </w:tr>
      <w:tr w:rsidR="00D64BAF" w:rsidRPr="00F668CE" w14:paraId="2CEA9EBF" w14:textId="77777777" w:rsidTr="00ED05E2">
        <w:trPr>
          <w:trHeight w:val="2141"/>
        </w:trPr>
        <w:tc>
          <w:tcPr>
            <w:tcW w:w="1262" w:type="dxa"/>
            <w:shd w:val="clear" w:color="auto" w:fill="99CDDD"/>
            <w:vAlign w:val="center"/>
          </w:tcPr>
          <w:p w14:paraId="09CEDC0A" w14:textId="77777777" w:rsidR="00D64BAF" w:rsidRPr="00F668CE" w:rsidRDefault="00D64BAF" w:rsidP="001F7857">
            <w:pPr>
              <w:spacing w:before="60" w:after="60" w:line="240" w:lineRule="auto"/>
              <w:jc w:val="center"/>
              <w:rPr>
                <w:rFonts w:cs="Arial"/>
                <w:b/>
                <w:color w:val="000000"/>
                <w:sz w:val="18"/>
                <w:szCs w:val="18"/>
                <w:lang w:val="en-NZ"/>
              </w:rPr>
            </w:pPr>
            <w:r w:rsidRPr="00F668CE">
              <w:rPr>
                <w:rFonts w:cs="Arial"/>
                <w:b/>
                <w:color w:val="000000"/>
                <w:sz w:val="18"/>
                <w:szCs w:val="18"/>
              </w:rPr>
              <w:t xml:space="preserve">Inclusive </w:t>
            </w:r>
          </w:p>
        </w:tc>
        <w:tc>
          <w:tcPr>
            <w:tcW w:w="4403" w:type="dxa"/>
          </w:tcPr>
          <w:p w14:paraId="5FDC2447" w14:textId="0639070B" w:rsidR="00D64BAF" w:rsidRDefault="00D64BAF" w:rsidP="001F7857">
            <w:pPr>
              <w:pStyle w:val="TableText"/>
              <w:spacing w:line="240" w:lineRule="auto"/>
              <w:jc w:val="center"/>
              <w:rPr>
                <w:rFonts w:cs="Arial"/>
                <w:b/>
                <w:iCs/>
                <w:sz w:val="18"/>
                <w:szCs w:val="18"/>
                <w:lang w:val="en-NZ"/>
              </w:rPr>
            </w:pPr>
            <w:r>
              <w:rPr>
                <w:rFonts w:cs="Arial"/>
                <w:b/>
                <w:iCs/>
                <w:sz w:val="18"/>
                <w:szCs w:val="18"/>
                <w:lang w:val="en-NZ"/>
              </w:rPr>
              <w:t>0</w:t>
            </w:r>
          </w:p>
          <w:p w14:paraId="177F3051" w14:textId="33B4005F" w:rsidR="00D64BAF" w:rsidRPr="00913951" w:rsidRDefault="00D64BAF" w:rsidP="001F7857">
            <w:pPr>
              <w:pStyle w:val="TableText"/>
              <w:spacing w:line="240" w:lineRule="auto"/>
              <w:rPr>
                <w:rFonts w:cs="Arial"/>
                <w:iCs/>
                <w:sz w:val="18"/>
                <w:szCs w:val="18"/>
                <w:lang w:val="en-NZ"/>
              </w:rPr>
            </w:pPr>
            <w:r>
              <w:rPr>
                <w:rFonts w:cs="Arial"/>
                <w:iCs/>
                <w:sz w:val="18"/>
                <w:szCs w:val="18"/>
                <w:lang w:val="en-NZ"/>
              </w:rPr>
              <w:t>Without a range of suitably qualified third parties specified in regulations, the self-identification process</w:t>
            </w:r>
            <w:r w:rsidR="00A342A6">
              <w:rPr>
                <w:rFonts w:cs="Arial"/>
                <w:iCs/>
                <w:sz w:val="18"/>
                <w:szCs w:val="18"/>
                <w:lang w:val="en-NZ"/>
              </w:rPr>
              <w:t xml:space="preserve"> would not be inclusive, and less inclusive </w:t>
            </w:r>
            <w:r w:rsidR="00087EE3">
              <w:rPr>
                <w:rFonts w:cs="Arial"/>
                <w:iCs/>
                <w:sz w:val="18"/>
                <w:szCs w:val="18"/>
                <w:lang w:val="en-NZ"/>
              </w:rPr>
              <w:t>to</w:t>
            </w:r>
            <w:r>
              <w:rPr>
                <w:rFonts w:cs="Arial"/>
                <w:iCs/>
                <w:sz w:val="18"/>
                <w:szCs w:val="18"/>
                <w:lang w:val="en-NZ"/>
              </w:rPr>
              <w:t xml:space="preserve"> 16- and </w:t>
            </w:r>
            <w:proofErr w:type="gramStart"/>
            <w:r>
              <w:rPr>
                <w:rFonts w:cs="Arial"/>
                <w:iCs/>
                <w:sz w:val="18"/>
                <w:szCs w:val="18"/>
                <w:lang w:val="en-NZ"/>
              </w:rPr>
              <w:t>17- year olds</w:t>
            </w:r>
            <w:proofErr w:type="gramEnd"/>
            <w:r w:rsidR="00A342A6">
              <w:rPr>
                <w:rFonts w:cs="Arial"/>
                <w:iCs/>
                <w:sz w:val="18"/>
                <w:szCs w:val="18"/>
                <w:lang w:val="en-NZ"/>
              </w:rPr>
              <w:t xml:space="preserve"> without supportive guardians</w:t>
            </w:r>
            <w:r>
              <w:rPr>
                <w:rFonts w:cs="Arial"/>
                <w:iCs/>
                <w:sz w:val="18"/>
                <w:szCs w:val="18"/>
                <w:lang w:val="en-NZ"/>
              </w:rPr>
              <w:t xml:space="preserve">.  </w:t>
            </w:r>
          </w:p>
        </w:tc>
        <w:tc>
          <w:tcPr>
            <w:tcW w:w="5387" w:type="dxa"/>
            <w:shd w:val="clear" w:color="auto" w:fill="auto"/>
          </w:tcPr>
          <w:p w14:paraId="056D5524" w14:textId="77777777" w:rsidR="00D64BAF" w:rsidRPr="00F668CE" w:rsidRDefault="00D64BAF" w:rsidP="001F7857">
            <w:pPr>
              <w:pStyle w:val="TableText"/>
              <w:spacing w:line="240" w:lineRule="auto"/>
              <w:jc w:val="center"/>
              <w:rPr>
                <w:rFonts w:cs="Arial"/>
                <w:b/>
                <w:iCs/>
                <w:color w:val="00B050"/>
                <w:sz w:val="18"/>
                <w:szCs w:val="18"/>
                <w:lang w:val="en-NZ"/>
              </w:rPr>
            </w:pPr>
            <w:r w:rsidRPr="00F668CE">
              <w:rPr>
                <w:rFonts w:cs="Arial"/>
                <w:b/>
                <w:iCs/>
                <w:color w:val="00B050"/>
                <w:sz w:val="18"/>
                <w:szCs w:val="18"/>
                <w:lang w:val="en-NZ"/>
              </w:rPr>
              <w:t>+</w:t>
            </w:r>
          </w:p>
          <w:p w14:paraId="4E680504" w14:textId="77777777" w:rsidR="00D64BAF" w:rsidRPr="00F668CE" w:rsidRDefault="00D64BAF" w:rsidP="001F7857">
            <w:pPr>
              <w:pStyle w:val="TableText"/>
              <w:spacing w:line="240" w:lineRule="auto"/>
              <w:rPr>
                <w:rFonts w:cs="Arial"/>
                <w:iCs/>
                <w:sz w:val="18"/>
                <w:szCs w:val="18"/>
                <w:lang w:val="en-NZ"/>
              </w:rPr>
            </w:pPr>
            <w:r w:rsidRPr="00F668CE">
              <w:rPr>
                <w:rFonts w:cs="Arial"/>
                <w:iCs/>
                <w:sz w:val="18"/>
                <w:szCs w:val="18"/>
                <w:lang w:val="en-NZ"/>
              </w:rPr>
              <w:t xml:space="preserve">This option is likely to benefit only those who trust and feel comfortable with mainstream registered professionals. From a cultural perspective, this option may also not be appropriate or could potentially limit the types of persons that children and young people could access. </w:t>
            </w:r>
          </w:p>
          <w:p w14:paraId="07955A7A" w14:textId="77777777" w:rsidR="00D64BAF" w:rsidRPr="00F668CE" w:rsidRDefault="00D64BAF" w:rsidP="001F7857">
            <w:pPr>
              <w:pStyle w:val="TableText"/>
              <w:spacing w:line="240" w:lineRule="auto"/>
              <w:jc w:val="center"/>
              <w:rPr>
                <w:rFonts w:cs="Arial"/>
                <w:bCs/>
                <w:sz w:val="18"/>
                <w:szCs w:val="18"/>
                <w:lang w:val="en-NZ"/>
              </w:rPr>
            </w:pPr>
            <w:r w:rsidRPr="00F668CE">
              <w:rPr>
                <w:rFonts w:cs="Arial"/>
                <w:iCs/>
                <w:sz w:val="18"/>
                <w:szCs w:val="18"/>
                <w:lang w:val="en-NZ"/>
              </w:rPr>
              <w:t xml:space="preserve">  </w:t>
            </w:r>
          </w:p>
        </w:tc>
        <w:tc>
          <w:tcPr>
            <w:tcW w:w="5220" w:type="dxa"/>
            <w:shd w:val="clear" w:color="auto" w:fill="auto"/>
          </w:tcPr>
          <w:p w14:paraId="07BC9CA4" w14:textId="5B83FA76" w:rsidR="00D64BAF" w:rsidRPr="00F668CE" w:rsidRDefault="00D64BAF" w:rsidP="001F7857">
            <w:pPr>
              <w:pStyle w:val="TableText"/>
              <w:spacing w:line="240" w:lineRule="auto"/>
              <w:jc w:val="center"/>
              <w:rPr>
                <w:rFonts w:cs="Arial"/>
                <w:b/>
                <w:iCs/>
                <w:color w:val="00B050"/>
                <w:sz w:val="18"/>
                <w:szCs w:val="18"/>
                <w:lang w:val="en-NZ"/>
              </w:rPr>
            </w:pPr>
            <w:r w:rsidRPr="00F668CE">
              <w:rPr>
                <w:rFonts w:cs="Arial"/>
                <w:b/>
                <w:iCs/>
                <w:color w:val="00B050"/>
                <w:sz w:val="18"/>
                <w:szCs w:val="18"/>
                <w:lang w:val="en-NZ"/>
              </w:rPr>
              <w:t>+</w:t>
            </w:r>
          </w:p>
          <w:p w14:paraId="38E831FD" w14:textId="5E408072" w:rsidR="006658AC" w:rsidRDefault="00D64BAF" w:rsidP="001F7857">
            <w:pPr>
              <w:pStyle w:val="TableText"/>
              <w:spacing w:line="240" w:lineRule="auto"/>
              <w:rPr>
                <w:rFonts w:cs="Arial"/>
                <w:sz w:val="18"/>
                <w:szCs w:val="18"/>
                <w:lang w:val="en-NZ"/>
              </w:rPr>
            </w:pPr>
            <w:r w:rsidRPr="00F668CE">
              <w:rPr>
                <w:rFonts w:cs="Arial"/>
                <w:sz w:val="18"/>
                <w:szCs w:val="18"/>
                <w:lang w:val="en-NZ"/>
              </w:rPr>
              <w:t>This option would allow children and young people to seek the support from someone they are familiar and more comfortable with.</w:t>
            </w:r>
            <w:r w:rsidR="006658AC">
              <w:rPr>
                <w:rFonts w:cs="Arial"/>
                <w:sz w:val="18"/>
                <w:szCs w:val="18"/>
                <w:lang w:val="en-NZ"/>
              </w:rPr>
              <w:t xml:space="preserve"> </w:t>
            </w:r>
          </w:p>
          <w:p w14:paraId="69D1FA65" w14:textId="1B0D6846" w:rsidR="00D64BAF" w:rsidRPr="00F668CE" w:rsidRDefault="006658AC" w:rsidP="001F7857">
            <w:pPr>
              <w:pStyle w:val="TableText"/>
              <w:spacing w:line="240" w:lineRule="auto"/>
              <w:rPr>
                <w:rFonts w:cs="Arial"/>
                <w:i/>
                <w:iCs/>
                <w:sz w:val="18"/>
                <w:szCs w:val="18"/>
                <w:lang w:val="en-NZ"/>
              </w:rPr>
            </w:pPr>
            <w:r>
              <w:rPr>
                <w:rFonts w:cs="Arial"/>
                <w:sz w:val="18"/>
                <w:szCs w:val="18"/>
                <w:lang w:val="en-NZ"/>
              </w:rPr>
              <w:t>T</w:t>
            </w:r>
            <w:r w:rsidR="00D64BAF" w:rsidRPr="00F668CE">
              <w:rPr>
                <w:rFonts w:cs="Arial"/>
                <w:sz w:val="18"/>
                <w:szCs w:val="18"/>
                <w:lang w:val="en-NZ"/>
              </w:rPr>
              <w:t xml:space="preserve">his option is more culturally inclusive as it allows children, young people and their </w:t>
            </w:r>
            <w:proofErr w:type="spellStart"/>
            <w:r w:rsidR="00D57E7C">
              <w:rPr>
                <w:rFonts w:cs="Arial"/>
                <w:sz w:val="18"/>
                <w:szCs w:val="18"/>
                <w:lang w:val="en-NZ"/>
              </w:rPr>
              <w:t>whānau</w:t>
            </w:r>
            <w:proofErr w:type="spellEnd"/>
            <w:r w:rsidR="00D64BAF" w:rsidRPr="00F668CE">
              <w:rPr>
                <w:rFonts w:cs="Arial"/>
                <w:sz w:val="18"/>
                <w:szCs w:val="18"/>
                <w:lang w:val="en-NZ"/>
              </w:rPr>
              <w:t xml:space="preserve"> to seek support of trusted persons in their community (</w:t>
            </w:r>
            <w:proofErr w:type="gramStart"/>
            <w:r w:rsidR="00D64BAF" w:rsidRPr="00F668CE">
              <w:rPr>
                <w:rFonts w:cs="Arial"/>
                <w:sz w:val="18"/>
                <w:szCs w:val="18"/>
                <w:lang w:val="en-NZ"/>
              </w:rPr>
              <w:t>e.g.</w:t>
            </w:r>
            <w:proofErr w:type="gramEnd"/>
            <w:r w:rsidR="00D64BAF" w:rsidRPr="00F668CE">
              <w:rPr>
                <w:rFonts w:cs="Arial"/>
                <w:sz w:val="18"/>
                <w:szCs w:val="18"/>
                <w:lang w:val="en-NZ"/>
              </w:rPr>
              <w:t xml:space="preserve"> </w:t>
            </w:r>
            <w:proofErr w:type="spellStart"/>
            <w:r w:rsidR="00D64BAF" w:rsidRPr="00F668CE">
              <w:rPr>
                <w:rFonts w:cs="Arial"/>
                <w:sz w:val="18"/>
                <w:szCs w:val="18"/>
                <w:lang w:val="en-NZ"/>
              </w:rPr>
              <w:t>kaum</w:t>
            </w:r>
            <w:r w:rsidR="008272E9">
              <w:rPr>
                <w:rFonts w:cs="Arial"/>
                <w:sz w:val="18"/>
                <w:szCs w:val="18"/>
                <w:lang w:val="en-NZ"/>
              </w:rPr>
              <w:t>ā</w:t>
            </w:r>
            <w:r w:rsidR="00D64BAF" w:rsidRPr="00F668CE">
              <w:rPr>
                <w:rFonts w:cs="Arial"/>
                <w:sz w:val="18"/>
                <w:szCs w:val="18"/>
                <w:lang w:val="en-NZ"/>
              </w:rPr>
              <w:t>tua</w:t>
            </w:r>
            <w:proofErr w:type="spellEnd"/>
            <w:r w:rsidR="00D64BAF" w:rsidRPr="00F668CE">
              <w:rPr>
                <w:rFonts w:cs="Arial"/>
                <w:sz w:val="18"/>
                <w:szCs w:val="18"/>
                <w:lang w:val="en-NZ"/>
              </w:rPr>
              <w:t xml:space="preserve">). </w:t>
            </w:r>
          </w:p>
        </w:tc>
        <w:tc>
          <w:tcPr>
            <w:tcW w:w="5684" w:type="dxa"/>
            <w:shd w:val="clear" w:color="auto" w:fill="auto"/>
          </w:tcPr>
          <w:p w14:paraId="377FE516" w14:textId="77777777" w:rsidR="00D64BAF" w:rsidRPr="00F668CE" w:rsidRDefault="00D64BAF" w:rsidP="001F7857">
            <w:pPr>
              <w:pStyle w:val="TableText"/>
              <w:spacing w:line="240" w:lineRule="auto"/>
              <w:jc w:val="center"/>
              <w:rPr>
                <w:rFonts w:cs="Arial"/>
                <w:b/>
                <w:iCs/>
                <w:color w:val="00B050"/>
                <w:sz w:val="18"/>
                <w:szCs w:val="18"/>
                <w:lang w:val="en-NZ"/>
              </w:rPr>
            </w:pPr>
            <w:r w:rsidRPr="00F668CE">
              <w:rPr>
                <w:rFonts w:cs="Arial"/>
                <w:b/>
                <w:iCs/>
                <w:color w:val="00B050"/>
                <w:sz w:val="18"/>
                <w:szCs w:val="18"/>
                <w:lang w:val="en-NZ"/>
              </w:rPr>
              <w:t>++</w:t>
            </w:r>
          </w:p>
          <w:p w14:paraId="40844227" w14:textId="7BA78617" w:rsidR="00D64BAF" w:rsidRPr="00357B3E" w:rsidRDefault="00D64BAF" w:rsidP="001F7857">
            <w:pPr>
              <w:pStyle w:val="TableText"/>
              <w:spacing w:line="240" w:lineRule="auto"/>
              <w:rPr>
                <w:rFonts w:cs="Arial"/>
                <w:iCs/>
                <w:sz w:val="18"/>
                <w:szCs w:val="18"/>
                <w:lang w:val="en-NZ"/>
              </w:rPr>
            </w:pPr>
            <w:r w:rsidRPr="00F668CE">
              <w:rPr>
                <w:rFonts w:cs="Arial"/>
                <w:iCs/>
                <w:sz w:val="18"/>
                <w:szCs w:val="18"/>
                <w:lang w:val="en-NZ"/>
              </w:rPr>
              <w:t xml:space="preserve">This option presents a choice for children and their </w:t>
            </w:r>
            <w:proofErr w:type="spellStart"/>
            <w:r w:rsidR="00D57E7C">
              <w:rPr>
                <w:rFonts w:cs="Arial"/>
                <w:iCs/>
                <w:sz w:val="18"/>
                <w:szCs w:val="18"/>
                <w:lang w:val="en-NZ"/>
              </w:rPr>
              <w:t>whānau</w:t>
            </w:r>
            <w:proofErr w:type="spellEnd"/>
            <w:r w:rsidRPr="00F668CE">
              <w:rPr>
                <w:rFonts w:cs="Arial"/>
                <w:iCs/>
                <w:sz w:val="18"/>
                <w:szCs w:val="18"/>
                <w:lang w:val="en-NZ"/>
              </w:rPr>
              <w:t xml:space="preserve"> to access a range of persons who they trust a</w:t>
            </w:r>
            <w:r>
              <w:rPr>
                <w:rFonts w:cs="Arial"/>
                <w:iCs/>
                <w:sz w:val="18"/>
                <w:szCs w:val="18"/>
                <w:lang w:val="en-NZ"/>
              </w:rPr>
              <w:t xml:space="preserve">nd feel most comfortable with. </w:t>
            </w:r>
            <w:r w:rsidRPr="00F668CE">
              <w:rPr>
                <w:rFonts w:cs="Arial"/>
                <w:iCs/>
                <w:sz w:val="18"/>
                <w:szCs w:val="18"/>
                <w:lang w:val="en-NZ"/>
              </w:rPr>
              <w:t xml:space="preserve">This option also </w:t>
            </w:r>
            <w:r>
              <w:rPr>
                <w:rFonts w:cs="Arial"/>
                <w:iCs/>
                <w:sz w:val="18"/>
                <w:szCs w:val="18"/>
                <w:lang w:val="en-NZ"/>
              </w:rPr>
              <w:t xml:space="preserve">mitigates the risk that children and young people </w:t>
            </w:r>
            <w:r w:rsidRPr="00F668CE">
              <w:rPr>
                <w:rFonts w:cs="Arial"/>
                <w:iCs/>
                <w:sz w:val="18"/>
                <w:szCs w:val="18"/>
                <w:lang w:val="en-NZ"/>
              </w:rPr>
              <w:t xml:space="preserve">do not know someone who would be able or willing </w:t>
            </w:r>
            <w:r>
              <w:rPr>
                <w:rFonts w:cs="Arial"/>
                <w:iCs/>
                <w:sz w:val="18"/>
                <w:szCs w:val="18"/>
                <w:lang w:val="en-NZ"/>
              </w:rPr>
              <w:t xml:space="preserve">to provide a letter of support, or vice versa did not feel comfortable accessing a registered professional. </w:t>
            </w:r>
          </w:p>
        </w:tc>
      </w:tr>
      <w:tr w:rsidR="00D64BAF" w:rsidRPr="00F668CE" w14:paraId="256C242D" w14:textId="77777777" w:rsidTr="00ED05E2">
        <w:trPr>
          <w:trHeight w:val="2108"/>
        </w:trPr>
        <w:tc>
          <w:tcPr>
            <w:tcW w:w="1262" w:type="dxa"/>
            <w:shd w:val="clear" w:color="auto" w:fill="99CDDD"/>
            <w:vAlign w:val="center"/>
          </w:tcPr>
          <w:p w14:paraId="38ABE968" w14:textId="77777777" w:rsidR="00D64BAF" w:rsidRPr="00F668CE" w:rsidRDefault="00D64BAF" w:rsidP="001F7857">
            <w:pPr>
              <w:spacing w:before="60" w:after="60" w:line="240" w:lineRule="auto"/>
              <w:jc w:val="center"/>
              <w:rPr>
                <w:rFonts w:cs="Arial"/>
                <w:b/>
                <w:color w:val="000000"/>
                <w:sz w:val="18"/>
                <w:szCs w:val="18"/>
                <w:lang w:val="en-NZ"/>
              </w:rPr>
            </w:pPr>
            <w:r w:rsidRPr="00F668CE">
              <w:rPr>
                <w:rFonts w:cs="Arial"/>
                <w:b/>
                <w:color w:val="000000"/>
                <w:sz w:val="18"/>
                <w:szCs w:val="18"/>
              </w:rPr>
              <w:t>Accessible</w:t>
            </w:r>
          </w:p>
        </w:tc>
        <w:tc>
          <w:tcPr>
            <w:tcW w:w="4403" w:type="dxa"/>
          </w:tcPr>
          <w:p w14:paraId="36261585" w14:textId="77777777" w:rsidR="00D64BAF" w:rsidRDefault="00D64BAF" w:rsidP="001F7857">
            <w:pPr>
              <w:pStyle w:val="TableText"/>
              <w:spacing w:line="240" w:lineRule="auto"/>
              <w:jc w:val="center"/>
              <w:rPr>
                <w:rFonts w:cs="Arial"/>
                <w:b/>
                <w:iCs/>
                <w:sz w:val="18"/>
                <w:szCs w:val="18"/>
                <w:lang w:val="en-NZ"/>
              </w:rPr>
            </w:pPr>
            <w:r>
              <w:rPr>
                <w:rFonts w:cs="Arial"/>
                <w:b/>
                <w:iCs/>
                <w:sz w:val="18"/>
                <w:szCs w:val="18"/>
                <w:lang w:val="en-NZ"/>
              </w:rPr>
              <w:t>0</w:t>
            </w:r>
          </w:p>
          <w:p w14:paraId="1FE21767" w14:textId="2A41BBE2" w:rsidR="00D64BAF" w:rsidRPr="00A01648" w:rsidRDefault="00D64BAF" w:rsidP="001F7857">
            <w:pPr>
              <w:pStyle w:val="TableText"/>
              <w:spacing w:line="240" w:lineRule="auto"/>
              <w:rPr>
                <w:rFonts w:cs="Arial"/>
                <w:sz w:val="18"/>
                <w:szCs w:val="18"/>
                <w:lang w:val="en-NZ"/>
              </w:rPr>
            </w:pPr>
            <w:r>
              <w:rPr>
                <w:rFonts w:cs="Arial"/>
                <w:iCs/>
                <w:sz w:val="18"/>
                <w:szCs w:val="18"/>
                <w:lang w:val="en-NZ"/>
              </w:rPr>
              <w:t xml:space="preserve">Without a range of suitably qualified third parties specified in regulations, children aged 15 and under will not be able to access the self-identification process. For those aged 16- and </w:t>
            </w:r>
            <w:r w:rsidR="004F2516">
              <w:rPr>
                <w:rFonts w:cs="Arial"/>
                <w:iCs/>
                <w:sz w:val="18"/>
                <w:szCs w:val="18"/>
                <w:lang w:val="en-NZ"/>
              </w:rPr>
              <w:t>17-year-olds</w:t>
            </w:r>
            <w:r>
              <w:rPr>
                <w:rFonts w:cs="Arial"/>
                <w:iCs/>
                <w:sz w:val="18"/>
                <w:szCs w:val="18"/>
                <w:lang w:val="en-NZ"/>
              </w:rPr>
              <w:t xml:space="preserve">, they will only be able to access the self-identification process with guardian consent.  </w:t>
            </w:r>
          </w:p>
        </w:tc>
        <w:tc>
          <w:tcPr>
            <w:tcW w:w="5387" w:type="dxa"/>
            <w:shd w:val="clear" w:color="auto" w:fill="auto"/>
          </w:tcPr>
          <w:p w14:paraId="3FA89D37" w14:textId="77777777" w:rsidR="00D64BAF" w:rsidRPr="00F668CE" w:rsidRDefault="00D64BAF" w:rsidP="001F7857">
            <w:pPr>
              <w:pStyle w:val="TableText"/>
              <w:spacing w:line="240" w:lineRule="auto"/>
              <w:jc w:val="center"/>
              <w:rPr>
                <w:rFonts w:cs="Arial"/>
                <w:b/>
                <w:iCs/>
                <w:color w:val="00B050"/>
                <w:sz w:val="18"/>
                <w:szCs w:val="18"/>
                <w:lang w:val="en-NZ"/>
              </w:rPr>
            </w:pPr>
            <w:r w:rsidRPr="00F668CE">
              <w:rPr>
                <w:rFonts w:cs="Arial"/>
                <w:b/>
                <w:iCs/>
                <w:color w:val="00B050"/>
                <w:sz w:val="18"/>
                <w:szCs w:val="18"/>
                <w:lang w:val="en-NZ"/>
              </w:rPr>
              <w:t>+</w:t>
            </w:r>
          </w:p>
          <w:p w14:paraId="42A415CE" w14:textId="7576CD32" w:rsidR="00D64BAF" w:rsidRPr="00F668CE" w:rsidRDefault="00D64BAF" w:rsidP="001F7857">
            <w:pPr>
              <w:pStyle w:val="TableText"/>
              <w:spacing w:line="240" w:lineRule="auto"/>
              <w:rPr>
                <w:rFonts w:cs="Arial"/>
                <w:bCs/>
                <w:sz w:val="18"/>
                <w:szCs w:val="18"/>
                <w:lang w:val="en-NZ"/>
              </w:rPr>
            </w:pPr>
            <w:r w:rsidRPr="00F668CE">
              <w:rPr>
                <w:rFonts w:cs="Arial"/>
                <w:iCs/>
                <w:sz w:val="18"/>
                <w:szCs w:val="18"/>
                <w:lang w:val="en-NZ"/>
              </w:rPr>
              <w:t>This option allows for children to seek third-party assurance from a range of registered professionals</w:t>
            </w:r>
            <w:r w:rsidR="006658AC">
              <w:rPr>
                <w:rFonts w:cs="Arial"/>
                <w:iCs/>
                <w:sz w:val="18"/>
                <w:szCs w:val="18"/>
                <w:lang w:val="en-NZ"/>
              </w:rPr>
              <w:t>. N</w:t>
            </w:r>
            <w:r w:rsidRPr="00F668CE">
              <w:rPr>
                <w:rFonts w:cs="Arial"/>
                <w:iCs/>
                <w:sz w:val="18"/>
                <w:szCs w:val="18"/>
                <w:lang w:val="en-NZ"/>
              </w:rPr>
              <w:t>arrowing third parties to certain professions</w:t>
            </w:r>
            <w:r w:rsidR="006658AC">
              <w:rPr>
                <w:rFonts w:cs="Arial"/>
                <w:iCs/>
                <w:sz w:val="18"/>
                <w:szCs w:val="18"/>
                <w:lang w:val="en-NZ"/>
              </w:rPr>
              <w:t xml:space="preserve"> that have regular contact with children </w:t>
            </w:r>
            <w:r w:rsidR="000C1203">
              <w:rPr>
                <w:rFonts w:cs="Arial"/>
                <w:iCs/>
                <w:sz w:val="18"/>
                <w:szCs w:val="18"/>
                <w:lang w:val="en-NZ"/>
              </w:rPr>
              <w:t>e.g.,</w:t>
            </w:r>
            <w:r w:rsidR="006658AC">
              <w:rPr>
                <w:rFonts w:cs="Arial"/>
                <w:iCs/>
                <w:sz w:val="18"/>
                <w:szCs w:val="18"/>
                <w:lang w:val="en-NZ"/>
              </w:rPr>
              <w:t xml:space="preserve"> doctors, teachers etc,</w:t>
            </w:r>
            <w:r w:rsidRPr="00F668CE">
              <w:rPr>
                <w:rFonts w:cs="Arial"/>
                <w:iCs/>
                <w:sz w:val="18"/>
                <w:szCs w:val="18"/>
                <w:lang w:val="en-NZ"/>
              </w:rPr>
              <w:t xml:space="preserve"> may exclude some</w:t>
            </w:r>
            <w:r w:rsidRPr="00F668CE">
              <w:rPr>
                <w:rFonts w:cs="Arial"/>
                <w:sz w:val="18"/>
                <w:szCs w:val="18"/>
                <w:lang w:val="en-NZ"/>
              </w:rPr>
              <w:t xml:space="preserve"> children and young people due to access barriers (cost, location).</w:t>
            </w:r>
          </w:p>
        </w:tc>
        <w:tc>
          <w:tcPr>
            <w:tcW w:w="5220" w:type="dxa"/>
            <w:shd w:val="clear" w:color="auto" w:fill="auto"/>
          </w:tcPr>
          <w:p w14:paraId="2BE55CF9" w14:textId="56F5DE8A" w:rsidR="00D64BAF" w:rsidRPr="00F668CE" w:rsidRDefault="00A01648" w:rsidP="001F7857">
            <w:pPr>
              <w:pStyle w:val="TableText"/>
              <w:spacing w:line="240" w:lineRule="auto"/>
              <w:jc w:val="center"/>
              <w:rPr>
                <w:rFonts w:cs="Arial"/>
                <w:b/>
                <w:iCs/>
                <w:color w:val="00B050"/>
                <w:sz w:val="18"/>
                <w:szCs w:val="18"/>
                <w:lang w:val="en-NZ"/>
              </w:rPr>
            </w:pPr>
            <w:r>
              <w:rPr>
                <w:rFonts w:cs="Arial"/>
                <w:b/>
                <w:iCs/>
                <w:color w:val="00B050"/>
                <w:sz w:val="18"/>
                <w:szCs w:val="18"/>
                <w:lang w:val="en-NZ"/>
              </w:rPr>
              <w:t>+</w:t>
            </w:r>
          </w:p>
          <w:p w14:paraId="20FD6E26" w14:textId="4929B360" w:rsidR="00626592" w:rsidRDefault="00626592" w:rsidP="001F7857">
            <w:pPr>
              <w:pStyle w:val="TableText"/>
              <w:spacing w:line="240" w:lineRule="auto"/>
              <w:rPr>
                <w:rFonts w:cs="Arial"/>
                <w:iCs/>
                <w:sz w:val="18"/>
                <w:szCs w:val="18"/>
                <w:lang w:val="en-NZ"/>
              </w:rPr>
            </w:pPr>
            <w:r>
              <w:rPr>
                <w:rFonts w:cs="Arial"/>
                <w:iCs/>
                <w:sz w:val="18"/>
                <w:szCs w:val="18"/>
                <w:lang w:val="en-NZ"/>
              </w:rPr>
              <w:t xml:space="preserve">A person known to a child or young person would not necessarily have access </w:t>
            </w:r>
            <w:r w:rsidRPr="00F668CE">
              <w:rPr>
                <w:rFonts w:cs="Arial"/>
                <w:iCs/>
                <w:sz w:val="18"/>
                <w:szCs w:val="18"/>
                <w:lang w:val="en-NZ"/>
              </w:rPr>
              <w:t xml:space="preserve">barriers </w:t>
            </w:r>
            <w:r>
              <w:rPr>
                <w:rFonts w:cs="Arial"/>
                <w:iCs/>
                <w:sz w:val="18"/>
                <w:szCs w:val="18"/>
                <w:lang w:val="en-NZ"/>
              </w:rPr>
              <w:t xml:space="preserve">(cost, location). </w:t>
            </w:r>
          </w:p>
          <w:p w14:paraId="192C8DD5" w14:textId="073F4317" w:rsidR="00D64BAF" w:rsidRPr="00F668CE" w:rsidRDefault="00D64BAF" w:rsidP="001F7857">
            <w:pPr>
              <w:pStyle w:val="TableText"/>
              <w:spacing w:line="240" w:lineRule="auto"/>
              <w:rPr>
                <w:rFonts w:cs="Arial"/>
                <w:sz w:val="18"/>
                <w:szCs w:val="18"/>
                <w:lang w:val="en-NZ"/>
              </w:rPr>
            </w:pPr>
            <w:r w:rsidRPr="00F668CE">
              <w:rPr>
                <w:rFonts w:cs="Arial"/>
                <w:iCs/>
                <w:sz w:val="18"/>
                <w:szCs w:val="18"/>
                <w:lang w:val="en-NZ"/>
              </w:rPr>
              <w:t xml:space="preserve">This option </w:t>
            </w:r>
            <w:r w:rsidR="00626592">
              <w:rPr>
                <w:rFonts w:cs="Arial"/>
                <w:iCs/>
                <w:sz w:val="18"/>
                <w:szCs w:val="18"/>
                <w:lang w:val="en-NZ"/>
              </w:rPr>
              <w:t xml:space="preserve">assumes </w:t>
            </w:r>
            <w:r w:rsidRPr="00F668CE">
              <w:rPr>
                <w:rFonts w:cs="Arial"/>
                <w:iCs/>
                <w:sz w:val="18"/>
                <w:szCs w:val="18"/>
                <w:lang w:val="en-NZ"/>
              </w:rPr>
              <w:t xml:space="preserve">a child or young person </w:t>
            </w:r>
            <w:r w:rsidR="00626592">
              <w:rPr>
                <w:rFonts w:cs="Arial"/>
                <w:iCs/>
                <w:sz w:val="18"/>
                <w:szCs w:val="18"/>
                <w:lang w:val="en-NZ"/>
              </w:rPr>
              <w:t xml:space="preserve">has known a person </w:t>
            </w:r>
            <w:r w:rsidRPr="00F668CE">
              <w:rPr>
                <w:rFonts w:cs="Arial"/>
                <w:iCs/>
                <w:sz w:val="18"/>
                <w:szCs w:val="18"/>
                <w:lang w:val="en-NZ"/>
              </w:rPr>
              <w:t>for more than 12 months</w:t>
            </w:r>
            <w:r w:rsidR="00626592">
              <w:rPr>
                <w:rFonts w:cs="Arial"/>
                <w:iCs/>
                <w:sz w:val="18"/>
                <w:szCs w:val="18"/>
                <w:lang w:val="en-NZ"/>
              </w:rPr>
              <w:t xml:space="preserve">, so for children or young people who do not have this kind of relationship with someone that would be willing to support them the process would be inaccessible.   </w:t>
            </w:r>
            <w:r w:rsidRPr="00F668CE">
              <w:rPr>
                <w:rFonts w:cs="Arial"/>
                <w:iCs/>
                <w:sz w:val="18"/>
                <w:szCs w:val="18"/>
                <w:lang w:val="en-NZ"/>
              </w:rPr>
              <w:t xml:space="preserve">   </w:t>
            </w:r>
          </w:p>
        </w:tc>
        <w:tc>
          <w:tcPr>
            <w:tcW w:w="5684" w:type="dxa"/>
            <w:shd w:val="clear" w:color="auto" w:fill="auto"/>
          </w:tcPr>
          <w:p w14:paraId="5D49E1E5" w14:textId="77777777" w:rsidR="00D64BAF" w:rsidRPr="00F668CE" w:rsidRDefault="00D64BAF" w:rsidP="001F7857">
            <w:pPr>
              <w:pStyle w:val="TableText"/>
              <w:spacing w:line="240" w:lineRule="auto"/>
              <w:jc w:val="center"/>
              <w:rPr>
                <w:rFonts w:cs="Arial"/>
                <w:b/>
                <w:color w:val="00B050"/>
                <w:sz w:val="18"/>
                <w:szCs w:val="18"/>
                <w:lang w:val="en-NZ"/>
              </w:rPr>
            </w:pPr>
            <w:r w:rsidRPr="00F668CE">
              <w:rPr>
                <w:rFonts w:cs="Arial"/>
                <w:b/>
                <w:color w:val="00B050"/>
                <w:sz w:val="18"/>
                <w:szCs w:val="18"/>
                <w:lang w:val="en-NZ"/>
              </w:rPr>
              <w:t>++</w:t>
            </w:r>
          </w:p>
          <w:p w14:paraId="766BECE6" w14:textId="64D00A9A" w:rsidR="00D64BAF" w:rsidRPr="00F668CE" w:rsidRDefault="00D64BAF" w:rsidP="001F7857">
            <w:pPr>
              <w:pStyle w:val="TableText"/>
              <w:spacing w:line="240" w:lineRule="auto"/>
              <w:rPr>
                <w:rFonts w:cs="Arial"/>
                <w:sz w:val="18"/>
                <w:szCs w:val="18"/>
                <w:lang w:val="en-NZ"/>
              </w:rPr>
            </w:pPr>
            <w:r w:rsidRPr="00F668CE">
              <w:rPr>
                <w:rFonts w:cs="Arial"/>
                <w:sz w:val="18"/>
                <w:szCs w:val="18"/>
                <w:lang w:val="en-NZ"/>
              </w:rPr>
              <w:t xml:space="preserve">Under this option, there are low access barriers. It allows children, young people and their </w:t>
            </w:r>
            <w:proofErr w:type="spellStart"/>
            <w:r w:rsidR="00D57E7C">
              <w:rPr>
                <w:rFonts w:cs="Arial"/>
                <w:sz w:val="18"/>
                <w:szCs w:val="18"/>
                <w:lang w:val="en-NZ"/>
              </w:rPr>
              <w:t>whānau</w:t>
            </w:r>
            <w:proofErr w:type="spellEnd"/>
            <w:r w:rsidRPr="00F668CE">
              <w:rPr>
                <w:rFonts w:cs="Arial"/>
                <w:sz w:val="18"/>
                <w:szCs w:val="18"/>
                <w:lang w:val="en-NZ"/>
              </w:rPr>
              <w:t xml:space="preserve"> to choose a third party they are most able to access.  </w:t>
            </w:r>
          </w:p>
        </w:tc>
      </w:tr>
      <w:tr w:rsidR="00D64BAF" w:rsidRPr="00F668CE" w14:paraId="4FCFA801" w14:textId="77777777" w:rsidTr="00ED05E2">
        <w:trPr>
          <w:trHeight w:val="2391"/>
        </w:trPr>
        <w:tc>
          <w:tcPr>
            <w:tcW w:w="1262" w:type="dxa"/>
            <w:shd w:val="clear" w:color="auto" w:fill="99CDDD"/>
            <w:vAlign w:val="center"/>
          </w:tcPr>
          <w:p w14:paraId="40B48620" w14:textId="1C33A5AA" w:rsidR="00D64BAF" w:rsidRPr="00F668CE" w:rsidRDefault="00DF3EDA" w:rsidP="001F7857">
            <w:pPr>
              <w:spacing w:before="60" w:after="60" w:line="240" w:lineRule="auto"/>
              <w:jc w:val="center"/>
              <w:rPr>
                <w:rFonts w:cs="Arial"/>
                <w:b/>
                <w:color w:val="000000"/>
                <w:sz w:val="18"/>
                <w:szCs w:val="18"/>
                <w:lang w:val="en-NZ"/>
              </w:rPr>
            </w:pPr>
            <w:r>
              <w:rPr>
                <w:rFonts w:cs="Arial"/>
                <w:b/>
                <w:color w:val="000000"/>
                <w:sz w:val="18"/>
                <w:szCs w:val="18"/>
              </w:rPr>
              <w:t>Assurance</w:t>
            </w:r>
          </w:p>
        </w:tc>
        <w:tc>
          <w:tcPr>
            <w:tcW w:w="4403" w:type="dxa"/>
          </w:tcPr>
          <w:p w14:paraId="688A40CE" w14:textId="1791C5FB" w:rsidR="00D64BAF" w:rsidRDefault="00D64BAF" w:rsidP="001F7857">
            <w:pPr>
              <w:pStyle w:val="TableText"/>
              <w:spacing w:line="240" w:lineRule="auto"/>
              <w:jc w:val="center"/>
              <w:rPr>
                <w:rFonts w:cs="Arial"/>
                <w:b/>
                <w:sz w:val="18"/>
                <w:szCs w:val="18"/>
                <w:lang w:val="en-NZ"/>
              </w:rPr>
            </w:pPr>
            <w:r>
              <w:rPr>
                <w:rFonts w:cs="Arial"/>
                <w:b/>
                <w:sz w:val="18"/>
                <w:szCs w:val="18"/>
                <w:lang w:val="en-NZ"/>
              </w:rPr>
              <w:t>0</w:t>
            </w:r>
          </w:p>
          <w:p w14:paraId="1AE50E1B" w14:textId="1444F44D" w:rsidR="00D64BAF" w:rsidRDefault="00D64BAF" w:rsidP="001F7857">
            <w:pPr>
              <w:pStyle w:val="TableText"/>
              <w:spacing w:line="240" w:lineRule="auto"/>
              <w:rPr>
                <w:rFonts w:cs="Arial"/>
                <w:iCs/>
                <w:sz w:val="18"/>
                <w:szCs w:val="18"/>
                <w:lang w:val="en-NZ"/>
              </w:rPr>
            </w:pPr>
            <w:r>
              <w:rPr>
                <w:rFonts w:cs="Arial"/>
                <w:iCs/>
                <w:sz w:val="18"/>
                <w:szCs w:val="18"/>
                <w:lang w:val="en-NZ"/>
              </w:rPr>
              <w:t xml:space="preserve">Without a range of suitably qualified third parties specified in regulations, it would not be possible to have confidence that children and young people understand and want to amend their registered sex. This is mostly relevant to children aged 15- and under.  </w:t>
            </w:r>
          </w:p>
          <w:p w14:paraId="605AF188" w14:textId="77777777" w:rsidR="00D64BAF" w:rsidRPr="0004474B" w:rsidRDefault="00D64BAF" w:rsidP="001F7857">
            <w:pPr>
              <w:pStyle w:val="TableText"/>
              <w:spacing w:line="240" w:lineRule="auto"/>
              <w:rPr>
                <w:rFonts w:cs="Arial"/>
                <w:sz w:val="18"/>
                <w:szCs w:val="18"/>
                <w:lang w:val="en-NZ"/>
              </w:rPr>
            </w:pPr>
          </w:p>
        </w:tc>
        <w:tc>
          <w:tcPr>
            <w:tcW w:w="5387" w:type="dxa"/>
            <w:shd w:val="clear" w:color="auto" w:fill="auto"/>
          </w:tcPr>
          <w:p w14:paraId="1BF0D270" w14:textId="18A3C46B" w:rsidR="00D64BAF" w:rsidRPr="00F668CE" w:rsidRDefault="00D64BAF" w:rsidP="001F7857">
            <w:pPr>
              <w:pStyle w:val="TableText"/>
              <w:spacing w:line="240" w:lineRule="auto"/>
              <w:jc w:val="center"/>
              <w:rPr>
                <w:rFonts w:cs="Arial"/>
                <w:b/>
                <w:color w:val="00B050"/>
                <w:sz w:val="18"/>
                <w:szCs w:val="18"/>
                <w:lang w:val="en-NZ"/>
              </w:rPr>
            </w:pPr>
            <w:r w:rsidRPr="00F668CE">
              <w:rPr>
                <w:rFonts w:cs="Arial"/>
                <w:b/>
                <w:color w:val="00B050"/>
                <w:sz w:val="18"/>
                <w:szCs w:val="18"/>
                <w:lang w:val="en-NZ"/>
              </w:rPr>
              <w:t>+</w:t>
            </w:r>
            <w:r w:rsidR="0052565F">
              <w:rPr>
                <w:rFonts w:cs="Arial"/>
                <w:b/>
                <w:color w:val="00B050"/>
                <w:sz w:val="18"/>
                <w:szCs w:val="18"/>
                <w:lang w:val="en-NZ"/>
              </w:rPr>
              <w:t>+</w:t>
            </w:r>
          </w:p>
          <w:p w14:paraId="149FEE35" w14:textId="77777777" w:rsidR="006658AC" w:rsidRDefault="00D64BAF" w:rsidP="001F7857">
            <w:pPr>
              <w:pStyle w:val="TableText"/>
              <w:spacing w:line="240" w:lineRule="auto"/>
              <w:rPr>
                <w:rFonts w:cs="Arial"/>
                <w:color w:val="000000" w:themeColor="text1"/>
                <w:sz w:val="18"/>
                <w:szCs w:val="18"/>
                <w:lang w:val="en-NZ"/>
              </w:rPr>
            </w:pPr>
            <w:r w:rsidRPr="00F668CE">
              <w:rPr>
                <w:rFonts w:cs="Arial"/>
                <w:color w:val="000000" w:themeColor="text1"/>
                <w:sz w:val="18"/>
                <w:szCs w:val="18"/>
                <w:lang w:val="en-NZ"/>
              </w:rPr>
              <w:t>Registered professionals are those with a professional standing, and in some cases are persons subject to ethical obligations to recognise that the interests of children and young people are paramount. The qualifications of the registered professionals mean they are likely to take account of children and young people’s developmental level and not exploit them in any way</w:t>
            </w:r>
            <w:r w:rsidR="006658AC">
              <w:rPr>
                <w:rFonts w:cs="Arial"/>
                <w:color w:val="000000" w:themeColor="text1"/>
                <w:sz w:val="18"/>
                <w:szCs w:val="18"/>
                <w:lang w:val="en-NZ"/>
              </w:rPr>
              <w:t xml:space="preserve">. </w:t>
            </w:r>
          </w:p>
          <w:p w14:paraId="00C5D8F9" w14:textId="3C161BB9" w:rsidR="00D64BAF" w:rsidRPr="00F668CE" w:rsidRDefault="006658AC" w:rsidP="001F7857">
            <w:pPr>
              <w:pStyle w:val="TableText"/>
              <w:spacing w:line="240" w:lineRule="auto"/>
              <w:rPr>
                <w:rFonts w:cs="Arial"/>
                <w:bCs/>
                <w:sz w:val="18"/>
                <w:szCs w:val="18"/>
                <w:lang w:val="en-NZ"/>
              </w:rPr>
            </w:pPr>
            <w:r>
              <w:rPr>
                <w:rFonts w:cs="Arial"/>
                <w:color w:val="000000" w:themeColor="text1"/>
                <w:sz w:val="18"/>
                <w:szCs w:val="18"/>
                <w:lang w:val="en-NZ"/>
              </w:rPr>
              <w:t>T</w:t>
            </w:r>
            <w:r w:rsidR="00D64BAF" w:rsidRPr="00F668CE">
              <w:rPr>
                <w:rFonts w:cs="Arial"/>
                <w:color w:val="000000" w:themeColor="text1"/>
                <w:sz w:val="18"/>
                <w:szCs w:val="18"/>
                <w:lang w:val="en-NZ"/>
              </w:rPr>
              <w:t>here still may</w:t>
            </w:r>
            <w:r w:rsidR="00E15A15">
              <w:rPr>
                <w:rFonts w:cs="Arial"/>
                <w:color w:val="000000" w:themeColor="text1"/>
                <w:sz w:val="18"/>
                <w:szCs w:val="18"/>
                <w:lang w:val="en-NZ"/>
              </w:rPr>
              <w:t>be</w:t>
            </w:r>
            <w:r w:rsidR="00D64BAF" w:rsidRPr="00F668CE">
              <w:rPr>
                <w:rFonts w:cs="Arial"/>
                <w:color w:val="000000" w:themeColor="text1"/>
                <w:sz w:val="18"/>
                <w:szCs w:val="18"/>
                <w:lang w:val="en-NZ"/>
              </w:rPr>
              <w:t xml:space="preserve"> a low possibility for a registered professional to exercise undue influence on their decision-making. </w:t>
            </w:r>
          </w:p>
        </w:tc>
        <w:tc>
          <w:tcPr>
            <w:tcW w:w="5220" w:type="dxa"/>
            <w:shd w:val="clear" w:color="auto" w:fill="auto"/>
          </w:tcPr>
          <w:p w14:paraId="41218A78" w14:textId="77777777" w:rsidR="00D64BAF" w:rsidRPr="00F668CE" w:rsidRDefault="00D64BAF" w:rsidP="001F7857">
            <w:pPr>
              <w:pStyle w:val="TableText"/>
              <w:spacing w:line="240" w:lineRule="auto"/>
              <w:jc w:val="center"/>
              <w:rPr>
                <w:rFonts w:cs="Arial"/>
                <w:b/>
                <w:color w:val="00B050"/>
                <w:sz w:val="18"/>
                <w:szCs w:val="18"/>
                <w:lang w:val="en-NZ"/>
              </w:rPr>
            </w:pPr>
            <w:r w:rsidRPr="00F668CE">
              <w:rPr>
                <w:rFonts w:cs="Arial"/>
                <w:b/>
                <w:color w:val="00B050"/>
                <w:sz w:val="18"/>
                <w:szCs w:val="18"/>
                <w:lang w:val="en-NZ"/>
              </w:rPr>
              <w:t>+</w:t>
            </w:r>
          </w:p>
          <w:p w14:paraId="3EC9F869" w14:textId="265BCC6D" w:rsidR="00D64BAF" w:rsidRPr="00F668CE" w:rsidRDefault="00D43D26" w:rsidP="001F7857">
            <w:pPr>
              <w:pStyle w:val="TableText"/>
              <w:spacing w:line="240" w:lineRule="auto"/>
              <w:rPr>
                <w:rFonts w:cs="Arial"/>
                <w:sz w:val="18"/>
                <w:szCs w:val="18"/>
                <w:lang w:val="en-NZ"/>
              </w:rPr>
            </w:pPr>
            <w:r>
              <w:rPr>
                <w:rFonts w:cs="Arial"/>
                <w:sz w:val="18"/>
                <w:szCs w:val="18"/>
                <w:lang w:val="en-NZ"/>
              </w:rPr>
              <w:t>Assumes a</w:t>
            </w:r>
            <w:r w:rsidR="008342AD">
              <w:rPr>
                <w:rFonts w:cs="Arial"/>
                <w:sz w:val="18"/>
                <w:szCs w:val="18"/>
                <w:lang w:val="en-NZ"/>
              </w:rPr>
              <w:t xml:space="preserve"> certain level of confidence that a person </w:t>
            </w:r>
            <w:r w:rsidR="00D64BAF" w:rsidRPr="00F668CE">
              <w:rPr>
                <w:rFonts w:cs="Arial"/>
                <w:sz w:val="18"/>
                <w:szCs w:val="18"/>
                <w:lang w:val="en-NZ"/>
              </w:rPr>
              <w:t>known to a child for more than 12 months</w:t>
            </w:r>
            <w:r w:rsidR="008342AD">
              <w:rPr>
                <w:rFonts w:cs="Arial"/>
                <w:sz w:val="18"/>
                <w:szCs w:val="18"/>
                <w:lang w:val="en-NZ"/>
              </w:rPr>
              <w:t xml:space="preserve"> </w:t>
            </w:r>
            <w:r w:rsidR="00D64BAF" w:rsidRPr="00F668CE">
              <w:rPr>
                <w:rFonts w:cs="Arial"/>
                <w:sz w:val="18"/>
                <w:szCs w:val="18"/>
                <w:lang w:val="en-NZ"/>
              </w:rPr>
              <w:t>can assess that a child or young person understands and wants to amend their registered sex as they likely know the child or young person well</w:t>
            </w:r>
            <w:r>
              <w:rPr>
                <w:rFonts w:cs="Arial"/>
                <w:sz w:val="18"/>
                <w:szCs w:val="18"/>
                <w:lang w:val="en-NZ"/>
              </w:rPr>
              <w:t>.</w:t>
            </w:r>
            <w:r w:rsidR="00D64BAF" w:rsidRPr="00F668CE">
              <w:rPr>
                <w:rFonts w:cs="Arial"/>
                <w:sz w:val="18"/>
                <w:szCs w:val="18"/>
                <w:lang w:val="en-NZ"/>
              </w:rPr>
              <w:t xml:space="preserve"> </w:t>
            </w:r>
            <w:r w:rsidR="00A52BAD">
              <w:rPr>
                <w:rFonts w:cs="Arial"/>
                <w:sz w:val="18"/>
                <w:szCs w:val="18"/>
                <w:lang w:val="en-NZ"/>
              </w:rPr>
              <w:t xml:space="preserve">However, </w:t>
            </w:r>
            <w:r w:rsidR="009A7EBC">
              <w:rPr>
                <w:rFonts w:cs="Arial"/>
                <w:sz w:val="18"/>
                <w:szCs w:val="18"/>
                <w:lang w:val="en-NZ"/>
              </w:rPr>
              <w:t xml:space="preserve">this does not guarantee the quality of assurance as </w:t>
            </w:r>
            <w:r w:rsidR="00A52BAD">
              <w:rPr>
                <w:rFonts w:cs="Arial"/>
                <w:sz w:val="18"/>
                <w:szCs w:val="18"/>
                <w:lang w:val="en-NZ"/>
              </w:rPr>
              <w:t xml:space="preserve">unlike registered professionals they are not </w:t>
            </w:r>
            <w:r>
              <w:rPr>
                <w:rFonts w:cs="Arial"/>
                <w:sz w:val="18"/>
                <w:szCs w:val="18"/>
                <w:lang w:val="en-NZ"/>
              </w:rPr>
              <w:t xml:space="preserve">required </w:t>
            </w:r>
            <w:r w:rsidR="00A52BAD">
              <w:rPr>
                <w:rFonts w:cs="Arial"/>
                <w:sz w:val="18"/>
                <w:szCs w:val="18"/>
                <w:lang w:val="en-NZ"/>
              </w:rPr>
              <w:t>to necessarily follow ethical obligations and</w:t>
            </w:r>
            <w:r w:rsidR="0052565F">
              <w:rPr>
                <w:rFonts w:cs="Arial"/>
                <w:sz w:val="18"/>
                <w:szCs w:val="18"/>
                <w:lang w:val="en-NZ"/>
              </w:rPr>
              <w:t xml:space="preserve"> do not have the same consequences (</w:t>
            </w:r>
            <w:proofErr w:type="gramStart"/>
            <w:r w:rsidR="0052565F">
              <w:rPr>
                <w:rFonts w:cs="Arial"/>
                <w:sz w:val="18"/>
                <w:szCs w:val="18"/>
                <w:lang w:val="en-NZ"/>
              </w:rPr>
              <w:t>e.g.</w:t>
            </w:r>
            <w:proofErr w:type="gramEnd"/>
            <w:r w:rsidR="0052565F">
              <w:rPr>
                <w:rFonts w:cs="Arial"/>
                <w:sz w:val="18"/>
                <w:szCs w:val="18"/>
                <w:lang w:val="en-NZ"/>
              </w:rPr>
              <w:t xml:space="preserve"> professional reputation). </w:t>
            </w:r>
          </w:p>
          <w:p w14:paraId="654B98C7" w14:textId="77777777" w:rsidR="00D64BAF" w:rsidRPr="00F668CE" w:rsidRDefault="00D64BAF" w:rsidP="001F7857">
            <w:pPr>
              <w:pStyle w:val="TableText"/>
              <w:spacing w:line="240" w:lineRule="auto"/>
              <w:jc w:val="center"/>
              <w:rPr>
                <w:rFonts w:cs="Arial"/>
                <w:sz w:val="18"/>
                <w:szCs w:val="18"/>
                <w:lang w:val="en-NZ"/>
              </w:rPr>
            </w:pPr>
          </w:p>
        </w:tc>
        <w:tc>
          <w:tcPr>
            <w:tcW w:w="5684" w:type="dxa"/>
            <w:shd w:val="clear" w:color="auto" w:fill="auto"/>
          </w:tcPr>
          <w:p w14:paraId="2030F2D2" w14:textId="77777777" w:rsidR="00D64BAF" w:rsidRPr="00F668CE" w:rsidRDefault="00D64BAF" w:rsidP="001F7857">
            <w:pPr>
              <w:pStyle w:val="TableText"/>
              <w:spacing w:line="240" w:lineRule="auto"/>
              <w:jc w:val="center"/>
              <w:rPr>
                <w:rFonts w:cs="Arial"/>
                <w:b/>
                <w:color w:val="00B050"/>
                <w:sz w:val="18"/>
                <w:szCs w:val="18"/>
                <w:lang w:val="en-NZ"/>
              </w:rPr>
            </w:pPr>
            <w:r w:rsidRPr="00F668CE">
              <w:rPr>
                <w:rFonts w:cs="Arial"/>
                <w:b/>
                <w:color w:val="00B050"/>
                <w:sz w:val="18"/>
                <w:szCs w:val="18"/>
                <w:lang w:val="en-NZ"/>
              </w:rPr>
              <w:t>+</w:t>
            </w:r>
          </w:p>
          <w:p w14:paraId="10E024AE" w14:textId="6A1D3CD5" w:rsidR="00D64BAF" w:rsidRPr="00F668CE" w:rsidRDefault="00D64BAF" w:rsidP="001F7857">
            <w:pPr>
              <w:pStyle w:val="TableText"/>
              <w:spacing w:line="240" w:lineRule="auto"/>
              <w:rPr>
                <w:rFonts w:cs="Arial"/>
                <w:sz w:val="18"/>
                <w:szCs w:val="18"/>
                <w:lang w:val="en-NZ"/>
              </w:rPr>
            </w:pPr>
            <w:r w:rsidRPr="00F668CE">
              <w:rPr>
                <w:rFonts w:cs="Arial"/>
                <w:sz w:val="18"/>
                <w:szCs w:val="18"/>
                <w:lang w:val="en-NZ"/>
              </w:rPr>
              <w:t xml:space="preserve">This option includes persons that have the professional or personal skillset to assess a child’s decision-making; however, </w:t>
            </w:r>
            <w:r w:rsidR="00754C97">
              <w:rPr>
                <w:rFonts w:cs="Arial"/>
                <w:sz w:val="18"/>
                <w:szCs w:val="18"/>
                <w:lang w:val="en-NZ"/>
              </w:rPr>
              <w:t>as it includes persons that have known a child for 12 months or more it does not necessarily guarantee the</w:t>
            </w:r>
            <w:r w:rsidR="00E67EE0">
              <w:rPr>
                <w:rFonts w:cs="Arial"/>
                <w:sz w:val="18"/>
                <w:szCs w:val="18"/>
                <w:lang w:val="en-NZ"/>
              </w:rPr>
              <w:t xml:space="preserve"> same level of</w:t>
            </w:r>
            <w:r w:rsidR="00754C97">
              <w:rPr>
                <w:rFonts w:cs="Arial"/>
                <w:sz w:val="18"/>
                <w:szCs w:val="18"/>
                <w:lang w:val="en-NZ"/>
              </w:rPr>
              <w:t xml:space="preserve"> quality assurance registered professionals would provide. </w:t>
            </w:r>
          </w:p>
          <w:p w14:paraId="01EBD825" w14:textId="77777777" w:rsidR="00D64BAF" w:rsidRPr="00F668CE" w:rsidRDefault="00D64BAF" w:rsidP="001F7857">
            <w:pPr>
              <w:pStyle w:val="TableText"/>
              <w:spacing w:line="240" w:lineRule="auto"/>
              <w:jc w:val="center"/>
              <w:rPr>
                <w:rFonts w:cs="Arial"/>
                <w:sz w:val="18"/>
                <w:szCs w:val="18"/>
                <w:lang w:val="en-NZ"/>
              </w:rPr>
            </w:pPr>
          </w:p>
        </w:tc>
      </w:tr>
      <w:tr w:rsidR="00D64BAF" w:rsidRPr="00F668CE" w14:paraId="50DF0CF1" w14:textId="77777777" w:rsidTr="00ED05E2">
        <w:trPr>
          <w:trHeight w:val="938"/>
        </w:trPr>
        <w:tc>
          <w:tcPr>
            <w:tcW w:w="1262" w:type="dxa"/>
            <w:shd w:val="clear" w:color="auto" w:fill="99CDDD"/>
            <w:vAlign w:val="center"/>
          </w:tcPr>
          <w:p w14:paraId="6C6D20C7" w14:textId="77777777" w:rsidR="00D64BAF" w:rsidRPr="00F668CE" w:rsidRDefault="00D64BAF" w:rsidP="001F7857">
            <w:pPr>
              <w:spacing w:before="60" w:after="60" w:line="240" w:lineRule="auto"/>
              <w:jc w:val="center"/>
              <w:rPr>
                <w:rFonts w:cs="Arial"/>
                <w:b/>
                <w:color w:val="000000"/>
                <w:sz w:val="18"/>
                <w:szCs w:val="18"/>
                <w:lang w:val="en-NZ"/>
              </w:rPr>
            </w:pPr>
            <w:r w:rsidRPr="00F668CE">
              <w:rPr>
                <w:rFonts w:cs="Arial"/>
                <w:b/>
                <w:color w:val="000000"/>
                <w:sz w:val="18"/>
                <w:szCs w:val="18"/>
                <w:lang w:val="en-NZ"/>
              </w:rPr>
              <w:t>Overall assessment</w:t>
            </w:r>
          </w:p>
        </w:tc>
        <w:tc>
          <w:tcPr>
            <w:tcW w:w="4403" w:type="dxa"/>
          </w:tcPr>
          <w:p w14:paraId="318F7126" w14:textId="56B9C253" w:rsidR="00D64BAF" w:rsidRPr="0065573E" w:rsidRDefault="00D64BAF" w:rsidP="001F7857">
            <w:pPr>
              <w:pStyle w:val="TableText"/>
              <w:spacing w:line="276" w:lineRule="auto"/>
              <w:jc w:val="center"/>
              <w:rPr>
                <w:rFonts w:cs="Arial"/>
                <w:b/>
                <w:sz w:val="18"/>
                <w:szCs w:val="18"/>
                <w:lang w:val="en-NZ"/>
              </w:rPr>
            </w:pPr>
            <w:r>
              <w:rPr>
                <w:rFonts w:cs="Arial"/>
                <w:b/>
                <w:sz w:val="18"/>
                <w:szCs w:val="18"/>
                <w:lang w:val="en-NZ"/>
              </w:rPr>
              <w:t>0</w:t>
            </w:r>
          </w:p>
        </w:tc>
        <w:tc>
          <w:tcPr>
            <w:tcW w:w="5387" w:type="dxa"/>
            <w:shd w:val="clear" w:color="auto" w:fill="auto"/>
            <w:vAlign w:val="center"/>
          </w:tcPr>
          <w:p w14:paraId="66F48636" w14:textId="77777777" w:rsidR="00D64BAF" w:rsidRPr="00F668CE" w:rsidRDefault="00D64BAF" w:rsidP="001F7857">
            <w:pPr>
              <w:pStyle w:val="TableText"/>
              <w:spacing w:line="276" w:lineRule="auto"/>
              <w:jc w:val="center"/>
              <w:rPr>
                <w:rFonts w:cs="Arial"/>
                <w:sz w:val="18"/>
                <w:szCs w:val="18"/>
                <w:lang w:val="en-NZ"/>
              </w:rPr>
            </w:pPr>
            <w:r w:rsidRPr="00F668CE">
              <w:rPr>
                <w:rFonts w:cs="Arial"/>
                <w:b/>
                <w:color w:val="00B050"/>
                <w:sz w:val="18"/>
                <w:szCs w:val="18"/>
                <w:lang w:val="en-NZ"/>
              </w:rPr>
              <w:t>+</w:t>
            </w:r>
          </w:p>
        </w:tc>
        <w:tc>
          <w:tcPr>
            <w:tcW w:w="5220" w:type="dxa"/>
            <w:shd w:val="clear" w:color="auto" w:fill="auto"/>
            <w:vAlign w:val="center"/>
          </w:tcPr>
          <w:p w14:paraId="4DCDA36D" w14:textId="77777777" w:rsidR="00D64BAF" w:rsidRPr="00F668CE" w:rsidRDefault="00D64BAF" w:rsidP="001F7857">
            <w:pPr>
              <w:pStyle w:val="TableText"/>
              <w:spacing w:line="276" w:lineRule="auto"/>
              <w:jc w:val="center"/>
              <w:rPr>
                <w:rFonts w:cs="Arial"/>
                <w:sz w:val="18"/>
                <w:szCs w:val="18"/>
                <w:lang w:val="en-NZ"/>
              </w:rPr>
            </w:pPr>
            <w:r w:rsidRPr="00F668CE">
              <w:rPr>
                <w:rFonts w:cs="Arial"/>
                <w:b/>
                <w:color w:val="00B050"/>
                <w:sz w:val="18"/>
                <w:szCs w:val="18"/>
                <w:lang w:val="en-NZ"/>
              </w:rPr>
              <w:t>+</w:t>
            </w:r>
          </w:p>
        </w:tc>
        <w:tc>
          <w:tcPr>
            <w:tcW w:w="5684" w:type="dxa"/>
            <w:shd w:val="clear" w:color="auto" w:fill="auto"/>
            <w:vAlign w:val="center"/>
          </w:tcPr>
          <w:p w14:paraId="65037652" w14:textId="77777777" w:rsidR="00D64BAF" w:rsidRPr="00F668CE" w:rsidRDefault="00D64BAF" w:rsidP="001F7857">
            <w:pPr>
              <w:pStyle w:val="TableText"/>
              <w:spacing w:line="276" w:lineRule="auto"/>
              <w:jc w:val="center"/>
              <w:rPr>
                <w:rFonts w:cs="Arial"/>
                <w:sz w:val="18"/>
                <w:szCs w:val="18"/>
                <w:lang w:val="en-NZ"/>
              </w:rPr>
            </w:pPr>
            <w:r w:rsidRPr="00F668CE">
              <w:rPr>
                <w:rFonts w:cs="Arial"/>
                <w:b/>
                <w:color w:val="00B050"/>
                <w:sz w:val="18"/>
                <w:szCs w:val="18"/>
                <w:lang w:val="en-NZ"/>
              </w:rPr>
              <w:t>++</w:t>
            </w:r>
          </w:p>
        </w:tc>
      </w:tr>
    </w:tbl>
    <w:p w14:paraId="109B305A" w14:textId="126DB258" w:rsidR="00D64BAF" w:rsidRDefault="00D64BAF" w:rsidP="00D64BAF">
      <w:pPr>
        <w:jc w:val="right"/>
        <w:rPr>
          <w:lang w:val="en-NZ" w:eastAsia="en-NZ"/>
        </w:rPr>
      </w:pPr>
    </w:p>
    <w:p w14:paraId="7E2D7712" w14:textId="155FA4C0" w:rsidR="00D64BAF" w:rsidRDefault="0087479E" w:rsidP="00D64BAF">
      <w:pPr>
        <w:rPr>
          <w:lang w:val="en-NZ" w:eastAsia="en-NZ"/>
        </w:rPr>
      </w:pPr>
      <w:r w:rsidRPr="00A864A5">
        <w:rPr>
          <w:noProof/>
          <w:lang w:val="en-NZ" w:eastAsia="en-NZ"/>
        </w:rPr>
        <mc:AlternateContent>
          <mc:Choice Requires="wps">
            <w:drawing>
              <wp:anchor distT="45720" distB="45720" distL="114300" distR="114300" simplePos="0" relativeHeight="251658241" behindDoc="0" locked="0" layoutInCell="1" allowOverlap="1" wp14:anchorId="31BA9569" wp14:editId="51658CBB">
                <wp:simplePos x="0" y="0"/>
                <wp:positionH relativeFrom="column">
                  <wp:posOffset>10714535</wp:posOffset>
                </wp:positionH>
                <wp:positionV relativeFrom="paragraph">
                  <wp:posOffset>29186</wp:posOffset>
                </wp:positionV>
                <wp:extent cx="3219450" cy="16287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28775"/>
                        </a:xfrm>
                        <a:prstGeom prst="rect">
                          <a:avLst/>
                        </a:prstGeom>
                        <a:noFill/>
                        <a:ln w="9525">
                          <a:solidFill>
                            <a:srgbClr val="000000"/>
                          </a:solidFill>
                          <a:miter lim="800000"/>
                          <a:headEnd/>
                          <a:tailEnd/>
                        </a:ln>
                        <a:effectLst/>
                      </wps:spPr>
                      <wps:txbx>
                        <w:txbxContent>
                          <w:p w14:paraId="6D476B06" w14:textId="77777777" w:rsidR="006E007C" w:rsidRPr="00A864A5" w:rsidRDefault="006E007C" w:rsidP="0087479E">
                            <w:pPr>
                              <w:spacing w:after="120" w:line="276" w:lineRule="auto"/>
                              <w:rPr>
                                <w:rFonts w:cs="Arial"/>
                                <w:b/>
                                <w:sz w:val="20"/>
                              </w:rPr>
                            </w:pPr>
                            <w:r>
                              <w:rPr>
                                <w:rFonts w:cs="Arial"/>
                                <w:b/>
                                <w:sz w:val="20"/>
                              </w:rPr>
                              <w:t>Key for judgements</w:t>
                            </w:r>
                            <w:r w:rsidRPr="00A864A5">
                              <w:rPr>
                                <w:rFonts w:cs="Arial"/>
                                <w:b/>
                                <w:sz w:val="20"/>
                              </w:rPr>
                              <w:t>:</w:t>
                            </w:r>
                          </w:p>
                          <w:p w14:paraId="67E1A636" w14:textId="1CB06DDC" w:rsidR="006E007C" w:rsidRPr="00A864A5" w:rsidRDefault="006E007C" w:rsidP="0087479E">
                            <w:pPr>
                              <w:spacing w:after="120" w:line="276" w:lineRule="auto"/>
                              <w:ind w:left="709" w:hanging="709"/>
                              <w:rPr>
                                <w:rFonts w:cs="Arial"/>
                                <w:sz w:val="20"/>
                              </w:rPr>
                            </w:pPr>
                            <w:r w:rsidRPr="00A864A5">
                              <w:rPr>
                                <w:rFonts w:cs="Arial"/>
                                <w:b/>
                                <w:color w:val="00B050"/>
                                <w:sz w:val="20"/>
                              </w:rPr>
                              <w:t>++</w:t>
                            </w:r>
                            <w:r w:rsidRPr="00A864A5">
                              <w:rPr>
                                <w:rFonts w:cs="Arial"/>
                                <w:sz w:val="20"/>
                              </w:rPr>
                              <w:tab/>
                              <w:t xml:space="preserve">much better than </w:t>
                            </w:r>
                            <w:r>
                              <w:rPr>
                                <w:rFonts w:cs="Arial"/>
                                <w:sz w:val="20"/>
                              </w:rPr>
                              <w:t xml:space="preserve">the </w:t>
                            </w:r>
                            <w:r w:rsidRPr="00A864A5">
                              <w:rPr>
                                <w:rFonts w:cs="Arial"/>
                                <w:sz w:val="20"/>
                              </w:rPr>
                              <w:t>counterfactual</w:t>
                            </w:r>
                            <w:r>
                              <w:rPr>
                                <w:rFonts w:cs="Arial"/>
                                <w:sz w:val="20"/>
                              </w:rPr>
                              <w:t xml:space="preserve"> </w:t>
                            </w:r>
                          </w:p>
                          <w:p w14:paraId="56B24826" w14:textId="77777777" w:rsidR="006E007C" w:rsidRDefault="006E007C" w:rsidP="0087479E">
                            <w:pPr>
                              <w:spacing w:after="120" w:line="276" w:lineRule="auto"/>
                              <w:ind w:left="709" w:hanging="709"/>
                              <w:rPr>
                                <w:rFonts w:cs="Arial"/>
                                <w:sz w:val="20"/>
                              </w:rPr>
                            </w:pPr>
                            <w:r w:rsidRPr="00A864A5">
                              <w:rPr>
                                <w:rFonts w:cs="Arial"/>
                                <w:b/>
                                <w:color w:val="00B050"/>
                                <w:sz w:val="20"/>
                              </w:rPr>
                              <w:t>+</w:t>
                            </w:r>
                            <w:r w:rsidRPr="00A864A5">
                              <w:rPr>
                                <w:rFonts w:cs="Arial"/>
                                <w:color w:val="00B050"/>
                                <w:sz w:val="20"/>
                              </w:rPr>
                              <w:tab/>
                            </w:r>
                            <w:r w:rsidRPr="00A864A5">
                              <w:rPr>
                                <w:rFonts w:cs="Arial"/>
                                <w:sz w:val="20"/>
                              </w:rPr>
                              <w:t xml:space="preserve">better than </w:t>
                            </w:r>
                            <w:r>
                              <w:rPr>
                                <w:rFonts w:cs="Arial"/>
                                <w:sz w:val="20"/>
                              </w:rPr>
                              <w:t xml:space="preserve">the </w:t>
                            </w:r>
                            <w:r w:rsidRPr="00A864A5">
                              <w:rPr>
                                <w:rFonts w:cs="Arial"/>
                                <w:sz w:val="20"/>
                              </w:rPr>
                              <w:t>counterfactual</w:t>
                            </w:r>
                          </w:p>
                          <w:p w14:paraId="19D4BC0F" w14:textId="77777777" w:rsidR="006E007C" w:rsidRDefault="006E007C" w:rsidP="0087479E">
                            <w:pPr>
                              <w:spacing w:after="120" w:line="276" w:lineRule="auto"/>
                              <w:ind w:left="709" w:hanging="709"/>
                              <w:rPr>
                                <w:rFonts w:cs="Arial"/>
                                <w:sz w:val="20"/>
                              </w:rPr>
                            </w:pPr>
                            <w:r w:rsidRPr="00A864A5">
                              <w:rPr>
                                <w:rFonts w:cs="Arial"/>
                                <w:bCs/>
                                <w:sz w:val="20"/>
                              </w:rPr>
                              <w:t>0</w:t>
                            </w:r>
                            <w:r w:rsidRPr="00A864A5">
                              <w:rPr>
                                <w:rFonts w:cs="Arial"/>
                                <w:sz w:val="20"/>
                              </w:rPr>
                              <w:tab/>
                              <w:t xml:space="preserve">about the same as </w:t>
                            </w:r>
                            <w:r>
                              <w:rPr>
                                <w:rFonts w:cs="Arial"/>
                                <w:sz w:val="20"/>
                              </w:rPr>
                              <w:t xml:space="preserve">the </w:t>
                            </w:r>
                            <w:r w:rsidRPr="00A864A5">
                              <w:rPr>
                                <w:rFonts w:cs="Arial"/>
                                <w:sz w:val="20"/>
                              </w:rPr>
                              <w:t>counterfactual</w:t>
                            </w:r>
                          </w:p>
                          <w:p w14:paraId="4163C705" w14:textId="69023628" w:rsidR="006E007C" w:rsidRPr="00A864A5" w:rsidRDefault="006E007C" w:rsidP="0087479E">
                            <w:pPr>
                              <w:spacing w:after="120" w:line="276" w:lineRule="auto"/>
                              <w:ind w:left="709" w:hanging="709"/>
                              <w:rPr>
                                <w:rFonts w:cs="Arial"/>
                                <w:sz w:val="20"/>
                              </w:rPr>
                            </w:pPr>
                            <w:r w:rsidRPr="00A864A5">
                              <w:rPr>
                                <w:rFonts w:cs="Arial"/>
                                <w:b/>
                                <w:color w:val="FF0000"/>
                                <w:sz w:val="20"/>
                              </w:rPr>
                              <w:t>-</w:t>
                            </w:r>
                            <w:r w:rsidRPr="00A864A5">
                              <w:rPr>
                                <w:rFonts w:cs="Arial"/>
                                <w:sz w:val="20"/>
                              </w:rPr>
                              <w:tab/>
                              <w:t xml:space="preserve">worse than </w:t>
                            </w:r>
                            <w:r>
                              <w:rPr>
                                <w:rFonts w:cs="Arial"/>
                                <w:sz w:val="20"/>
                              </w:rPr>
                              <w:t xml:space="preserve">the </w:t>
                            </w:r>
                            <w:r w:rsidRPr="00A864A5">
                              <w:rPr>
                                <w:rFonts w:cs="Arial"/>
                                <w:sz w:val="20"/>
                              </w:rPr>
                              <w:t>counterfactual</w:t>
                            </w:r>
                          </w:p>
                          <w:p w14:paraId="2BD6F178" w14:textId="77777777" w:rsidR="006E007C" w:rsidRPr="0049467D" w:rsidRDefault="006E007C" w:rsidP="0087479E">
                            <w:pPr>
                              <w:spacing w:after="120" w:line="276" w:lineRule="auto"/>
                              <w:ind w:left="709" w:hanging="709"/>
                              <w:rPr>
                                <w:rFonts w:cs="Arial"/>
                                <w:sz w:val="20"/>
                              </w:rPr>
                            </w:pPr>
                            <w:r w:rsidRPr="00A864A5">
                              <w:rPr>
                                <w:rFonts w:cs="Arial"/>
                                <w:b/>
                                <w:color w:val="FF0000"/>
                                <w:sz w:val="20"/>
                              </w:rPr>
                              <w:t>- -</w:t>
                            </w:r>
                            <w:r w:rsidRPr="00A864A5">
                              <w:rPr>
                                <w:rFonts w:cs="Arial"/>
                                <w:sz w:val="20"/>
                              </w:rPr>
                              <w:tab/>
                              <w:t xml:space="preserve">much worse than </w:t>
                            </w:r>
                            <w:r>
                              <w:rPr>
                                <w:rFonts w:cs="Arial"/>
                                <w:sz w:val="20"/>
                              </w:rPr>
                              <w:t xml:space="preserve">the </w:t>
                            </w:r>
                            <w:r w:rsidRPr="00A864A5">
                              <w:rPr>
                                <w:rFonts w:cs="Arial"/>
                                <w:sz w:val="20"/>
                              </w:rPr>
                              <w:t>counterfactual</w:t>
                            </w:r>
                          </w:p>
                          <w:p w14:paraId="4C9216D4" w14:textId="77777777" w:rsidR="006E007C" w:rsidRDefault="006E007C" w:rsidP="00874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A9569" id="_x0000_s1027" type="#_x0000_t202" style="position:absolute;margin-left:843.65pt;margin-top:2.3pt;width:253.5pt;height:128.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" filled="f">
                <v:textbox>
                  <w:txbxContent>
                    <w:p w14:paraId="6D476B06" w14:textId="77777777" w:rsidR="006E007C" w:rsidRPr="00A864A5" w:rsidRDefault="006E007C" w:rsidP="0087479E">
                      <w:pPr>
                        <w:spacing w:after="120" w:line="276" w:lineRule="auto"/>
                        <w:rPr>
                          <w:rFonts w:cs="Arial"/>
                          <w:b/>
                          <w:sz w:val="20"/>
                        </w:rPr>
                      </w:pPr>
                      <w:r>
                        <w:rPr>
                          <w:rFonts w:cs="Arial"/>
                          <w:b/>
                          <w:sz w:val="20"/>
                        </w:rPr>
                        <w:t>Key for judgements</w:t>
                      </w:r>
                      <w:r w:rsidRPr="00A864A5">
                        <w:rPr>
                          <w:rFonts w:cs="Arial"/>
                          <w:b/>
                          <w:sz w:val="20"/>
                        </w:rPr>
                        <w:t>:</w:t>
                      </w:r>
                    </w:p>
                    <w:p w14:paraId="67E1A636" w14:textId="1CB06DDC" w:rsidR="006E007C" w:rsidRPr="00A864A5" w:rsidRDefault="006E007C" w:rsidP="0087479E">
                      <w:pPr>
                        <w:spacing w:after="120" w:line="276" w:lineRule="auto"/>
                        <w:ind w:left="709" w:hanging="709"/>
                        <w:rPr>
                          <w:rFonts w:cs="Arial"/>
                          <w:sz w:val="20"/>
                        </w:rPr>
                      </w:pPr>
                      <w:r w:rsidRPr="00A864A5">
                        <w:rPr>
                          <w:rFonts w:cs="Arial"/>
                          <w:b/>
                          <w:color w:val="00B050"/>
                          <w:sz w:val="20"/>
                        </w:rPr>
                        <w:t>++</w:t>
                      </w:r>
                      <w:r w:rsidRPr="00A864A5">
                        <w:rPr>
                          <w:rFonts w:cs="Arial"/>
                          <w:sz w:val="20"/>
                        </w:rPr>
                        <w:tab/>
                        <w:t xml:space="preserve">much better than </w:t>
                      </w:r>
                      <w:r>
                        <w:rPr>
                          <w:rFonts w:cs="Arial"/>
                          <w:sz w:val="20"/>
                        </w:rPr>
                        <w:t xml:space="preserve">the </w:t>
                      </w:r>
                      <w:r w:rsidRPr="00A864A5">
                        <w:rPr>
                          <w:rFonts w:cs="Arial"/>
                          <w:sz w:val="20"/>
                        </w:rPr>
                        <w:t>counterfactual</w:t>
                      </w:r>
                      <w:r>
                        <w:rPr>
                          <w:rFonts w:cs="Arial"/>
                          <w:sz w:val="20"/>
                        </w:rPr>
                        <w:t xml:space="preserve"> </w:t>
                      </w:r>
                    </w:p>
                    <w:p w14:paraId="56B24826" w14:textId="77777777" w:rsidR="006E007C" w:rsidRDefault="006E007C" w:rsidP="0087479E">
                      <w:pPr>
                        <w:spacing w:after="120" w:line="276" w:lineRule="auto"/>
                        <w:ind w:left="709" w:hanging="709"/>
                        <w:rPr>
                          <w:rFonts w:cs="Arial"/>
                          <w:sz w:val="20"/>
                        </w:rPr>
                      </w:pPr>
                      <w:r w:rsidRPr="00A864A5">
                        <w:rPr>
                          <w:rFonts w:cs="Arial"/>
                          <w:b/>
                          <w:color w:val="00B050"/>
                          <w:sz w:val="20"/>
                        </w:rPr>
                        <w:t>+</w:t>
                      </w:r>
                      <w:r w:rsidRPr="00A864A5">
                        <w:rPr>
                          <w:rFonts w:cs="Arial"/>
                          <w:color w:val="00B050"/>
                          <w:sz w:val="20"/>
                        </w:rPr>
                        <w:tab/>
                      </w:r>
                      <w:r w:rsidRPr="00A864A5">
                        <w:rPr>
                          <w:rFonts w:cs="Arial"/>
                          <w:sz w:val="20"/>
                        </w:rPr>
                        <w:t xml:space="preserve">better than </w:t>
                      </w:r>
                      <w:r>
                        <w:rPr>
                          <w:rFonts w:cs="Arial"/>
                          <w:sz w:val="20"/>
                        </w:rPr>
                        <w:t xml:space="preserve">the </w:t>
                      </w:r>
                      <w:r w:rsidRPr="00A864A5">
                        <w:rPr>
                          <w:rFonts w:cs="Arial"/>
                          <w:sz w:val="20"/>
                        </w:rPr>
                        <w:t>counterfactual</w:t>
                      </w:r>
                    </w:p>
                    <w:p w14:paraId="19D4BC0F" w14:textId="77777777" w:rsidR="006E007C" w:rsidRDefault="006E007C" w:rsidP="0087479E">
                      <w:pPr>
                        <w:spacing w:after="120" w:line="276" w:lineRule="auto"/>
                        <w:ind w:left="709" w:hanging="709"/>
                        <w:rPr>
                          <w:rFonts w:cs="Arial"/>
                          <w:sz w:val="20"/>
                        </w:rPr>
                      </w:pPr>
                      <w:r w:rsidRPr="00A864A5">
                        <w:rPr>
                          <w:rFonts w:cs="Arial"/>
                          <w:bCs/>
                          <w:sz w:val="20"/>
                        </w:rPr>
                        <w:t>0</w:t>
                      </w:r>
                      <w:r w:rsidRPr="00A864A5">
                        <w:rPr>
                          <w:rFonts w:cs="Arial"/>
                          <w:sz w:val="20"/>
                        </w:rPr>
                        <w:tab/>
                        <w:t xml:space="preserve">about the same as </w:t>
                      </w:r>
                      <w:r>
                        <w:rPr>
                          <w:rFonts w:cs="Arial"/>
                          <w:sz w:val="20"/>
                        </w:rPr>
                        <w:t xml:space="preserve">the </w:t>
                      </w:r>
                      <w:r w:rsidRPr="00A864A5">
                        <w:rPr>
                          <w:rFonts w:cs="Arial"/>
                          <w:sz w:val="20"/>
                        </w:rPr>
                        <w:t>counterfactual</w:t>
                      </w:r>
                    </w:p>
                    <w:p w14:paraId="4163C705" w14:textId="69023628" w:rsidR="006E007C" w:rsidRPr="00A864A5" w:rsidRDefault="006E007C" w:rsidP="0087479E">
                      <w:pPr>
                        <w:spacing w:after="120" w:line="276" w:lineRule="auto"/>
                        <w:ind w:left="709" w:hanging="709"/>
                        <w:rPr>
                          <w:rFonts w:cs="Arial"/>
                          <w:sz w:val="20"/>
                        </w:rPr>
                      </w:pPr>
                      <w:r w:rsidRPr="00A864A5">
                        <w:rPr>
                          <w:rFonts w:cs="Arial"/>
                          <w:b/>
                          <w:color w:val="FF0000"/>
                          <w:sz w:val="20"/>
                        </w:rPr>
                        <w:t>-</w:t>
                      </w:r>
                      <w:r w:rsidRPr="00A864A5">
                        <w:rPr>
                          <w:rFonts w:cs="Arial"/>
                          <w:sz w:val="20"/>
                        </w:rPr>
                        <w:tab/>
                        <w:t xml:space="preserve">worse than </w:t>
                      </w:r>
                      <w:r>
                        <w:rPr>
                          <w:rFonts w:cs="Arial"/>
                          <w:sz w:val="20"/>
                        </w:rPr>
                        <w:t xml:space="preserve">the </w:t>
                      </w:r>
                      <w:r w:rsidRPr="00A864A5">
                        <w:rPr>
                          <w:rFonts w:cs="Arial"/>
                          <w:sz w:val="20"/>
                        </w:rPr>
                        <w:t>counterfactual</w:t>
                      </w:r>
                    </w:p>
                    <w:p w14:paraId="2BD6F178" w14:textId="77777777" w:rsidR="006E007C" w:rsidRPr="0049467D" w:rsidRDefault="006E007C" w:rsidP="0087479E">
                      <w:pPr>
                        <w:spacing w:after="120" w:line="276" w:lineRule="auto"/>
                        <w:ind w:left="709" w:hanging="709"/>
                        <w:rPr>
                          <w:rFonts w:cs="Arial"/>
                          <w:sz w:val="20"/>
                        </w:rPr>
                      </w:pPr>
                      <w:r w:rsidRPr="00A864A5">
                        <w:rPr>
                          <w:rFonts w:cs="Arial"/>
                          <w:b/>
                          <w:color w:val="FF0000"/>
                          <w:sz w:val="20"/>
                        </w:rPr>
                        <w:t>- -</w:t>
                      </w:r>
                      <w:r w:rsidRPr="00A864A5">
                        <w:rPr>
                          <w:rFonts w:cs="Arial"/>
                          <w:sz w:val="20"/>
                        </w:rPr>
                        <w:tab/>
                        <w:t xml:space="preserve">much worse than </w:t>
                      </w:r>
                      <w:r>
                        <w:rPr>
                          <w:rFonts w:cs="Arial"/>
                          <w:sz w:val="20"/>
                        </w:rPr>
                        <w:t xml:space="preserve">the </w:t>
                      </w:r>
                      <w:r w:rsidRPr="00A864A5">
                        <w:rPr>
                          <w:rFonts w:cs="Arial"/>
                          <w:sz w:val="20"/>
                        </w:rPr>
                        <w:t>counterfactual</w:t>
                      </w:r>
                    </w:p>
                    <w:p w14:paraId="4C9216D4" w14:textId="77777777" w:rsidR="006E007C" w:rsidRDefault="006E007C" w:rsidP="0087479E"/>
                  </w:txbxContent>
                </v:textbox>
                <w10:wrap type="square"/>
              </v:shape>
            </w:pict>
          </mc:Fallback>
        </mc:AlternateContent>
      </w:r>
    </w:p>
    <w:p w14:paraId="0656A20E" w14:textId="77777777" w:rsidR="00D021DB" w:rsidRDefault="00D021DB" w:rsidP="00802AB2">
      <w:pPr>
        <w:pStyle w:val="Heading3"/>
        <w:rPr>
          <w:noProof/>
          <w:lang w:val="en-NZ" w:eastAsia="en-NZ"/>
        </w:rPr>
        <w:sectPr w:rsidR="00D021DB" w:rsidSect="00D64BAF">
          <w:footerReference w:type="default" r:id="rId26"/>
          <w:pgSz w:w="23808" w:h="16840" w:orient="landscape" w:code="8"/>
          <w:pgMar w:top="1418" w:right="1134" w:bottom="1418" w:left="992" w:header="454" w:footer="454" w:gutter="0"/>
          <w:cols w:space="708"/>
          <w:docGrid w:linePitch="360"/>
        </w:sectPr>
      </w:pPr>
    </w:p>
    <w:p w14:paraId="1E74858F" w14:textId="7EF7DFEE" w:rsidR="008A6261" w:rsidRPr="00A864A5" w:rsidRDefault="008A6261" w:rsidP="00802AB2">
      <w:pPr>
        <w:pStyle w:val="Heading3"/>
        <w:rPr>
          <w:noProof/>
          <w:lang w:val="en-NZ" w:eastAsia="en-NZ"/>
        </w:rPr>
      </w:pPr>
      <w:r>
        <w:rPr>
          <w:noProof/>
          <w:lang w:val="en-NZ" w:eastAsia="en-NZ"/>
        </w:rPr>
        <w:lastRenderedPageBreak/>
        <w:t>What option is likely to best address the problem, meet the policy objectives, and deliver the highest net benefits?</w:t>
      </w:r>
    </w:p>
    <w:p w14:paraId="50000384" w14:textId="6FA3668A" w:rsidR="004B29B1" w:rsidRPr="00D64BAF" w:rsidRDefault="008A6261" w:rsidP="008A6261">
      <w:pPr>
        <w:rPr>
          <w:lang w:val="en-NZ" w:eastAsia="en-NZ"/>
        </w:rPr>
        <w:sectPr w:rsidR="004B29B1" w:rsidRPr="00D64BAF" w:rsidSect="00B13EB3">
          <w:pgSz w:w="11906" w:h="16838" w:code="9"/>
          <w:pgMar w:top="1134" w:right="1418" w:bottom="992" w:left="1418" w:header="454" w:footer="454" w:gutter="0"/>
          <w:cols w:space="708"/>
          <w:docGrid w:linePitch="360"/>
        </w:sectPr>
      </w:pPr>
      <w:r>
        <w:rPr>
          <w:lang w:val="en-NZ" w:eastAsia="en-NZ"/>
        </w:rPr>
        <w:t>At this stage we do not have a preferred option. The ratings are only an indication from our initial assessment of the options.</w:t>
      </w:r>
      <w:r w:rsidR="00D43D26">
        <w:rPr>
          <w:lang w:val="en-NZ" w:eastAsia="en-NZ"/>
        </w:rPr>
        <w:t xml:space="preserve"> We seek to further inform this analysis through consultation.</w:t>
      </w:r>
    </w:p>
    <w:p w14:paraId="4D0C4FD8" w14:textId="361A995C" w:rsidR="004B29B1" w:rsidRPr="00072EA7" w:rsidRDefault="004B29B1" w:rsidP="004B29B1">
      <w:pPr>
        <w:pStyle w:val="Heading1"/>
        <w:rPr>
          <w:color w:val="0082AB"/>
          <w:lang w:val="en-NZ"/>
        </w:rPr>
      </w:pPr>
      <w:r w:rsidRPr="00072EA7">
        <w:rPr>
          <w:color w:val="0082AB"/>
          <w:lang w:val="en-NZ"/>
        </w:rPr>
        <w:lastRenderedPageBreak/>
        <w:t xml:space="preserve">Issue </w:t>
      </w:r>
      <w:r>
        <w:rPr>
          <w:color w:val="0082AB"/>
          <w:lang w:val="en-NZ"/>
        </w:rPr>
        <w:t>3</w:t>
      </w:r>
      <w:r w:rsidRPr="00072EA7">
        <w:rPr>
          <w:color w:val="0082AB"/>
          <w:lang w:val="en-NZ"/>
        </w:rPr>
        <w:t>:</w:t>
      </w:r>
      <w:r>
        <w:rPr>
          <w:color w:val="0082AB"/>
          <w:lang w:val="en-NZ"/>
        </w:rPr>
        <w:t xml:space="preserve"> Additional </w:t>
      </w:r>
      <w:r w:rsidR="00802AB2">
        <w:rPr>
          <w:color w:val="0082AB"/>
          <w:lang w:val="en-NZ"/>
        </w:rPr>
        <w:t>requirements</w:t>
      </w:r>
      <w:r>
        <w:rPr>
          <w:color w:val="0082AB"/>
          <w:lang w:val="en-NZ"/>
        </w:rPr>
        <w:t xml:space="preserve"> for multiple applications</w:t>
      </w:r>
    </w:p>
    <w:p w14:paraId="6C5FE78F" w14:textId="77777777" w:rsidR="004B29B1" w:rsidRDefault="004B29B1" w:rsidP="00802AB2">
      <w:pPr>
        <w:pStyle w:val="Heading2"/>
        <w:rPr>
          <w:lang w:val="en-NZ"/>
        </w:rPr>
      </w:pPr>
      <w:r w:rsidRPr="00A864A5">
        <w:rPr>
          <w:lang w:val="en-NZ"/>
        </w:rPr>
        <w:t xml:space="preserve">Section 1: </w:t>
      </w:r>
      <w:r>
        <w:rPr>
          <w:lang w:val="en-NZ"/>
        </w:rPr>
        <w:t>Diagnosing the policy problem</w:t>
      </w:r>
    </w:p>
    <w:p w14:paraId="36434DD7" w14:textId="77777777" w:rsidR="004B29B1" w:rsidRPr="00A864A5" w:rsidRDefault="004B29B1" w:rsidP="00802AB2">
      <w:pPr>
        <w:pStyle w:val="Heading3"/>
        <w:rPr>
          <w:lang w:val="en-NZ"/>
        </w:rPr>
      </w:pPr>
      <w:r>
        <w:rPr>
          <w:lang w:val="en-NZ"/>
        </w:rPr>
        <w:t>What is the context behind the policy problem and how is the status quo expected to develop?</w:t>
      </w:r>
    </w:p>
    <w:p w14:paraId="1157D5F7" w14:textId="77777777" w:rsidR="006D602F" w:rsidRPr="002C12FA" w:rsidRDefault="006D602F" w:rsidP="008B6085">
      <w:pPr>
        <w:pStyle w:val="Heading4"/>
        <w:keepLines/>
      </w:pPr>
      <w:r w:rsidRPr="002C12FA">
        <w:t xml:space="preserve">Applicants can apply multiple times to change their registered sex </w:t>
      </w:r>
    </w:p>
    <w:p w14:paraId="71B80E9D" w14:textId="3448365E" w:rsidR="006D602F" w:rsidRPr="00316BF5" w:rsidRDefault="006D602F" w:rsidP="008B6085">
      <w:pPr>
        <w:pStyle w:val="BodyText-Numbered"/>
        <w:keepNext w:val="0"/>
        <w:keepLines/>
        <w:rPr>
          <w:szCs w:val="22"/>
        </w:rPr>
      </w:pPr>
      <w:bookmarkStart w:id="22" w:name="_Hlk99353645"/>
      <w:r w:rsidRPr="002C12FA">
        <w:rPr>
          <w:color w:val="000000"/>
          <w:szCs w:val="22"/>
        </w:rPr>
        <w:t xml:space="preserve">Under the self-identification process, a person can amend their registered sex more than once. This </w:t>
      </w:r>
      <w:r w:rsidRPr="00316BF5">
        <w:rPr>
          <w:color w:val="000000"/>
          <w:szCs w:val="22"/>
        </w:rPr>
        <w:t>approach recognises that gender can be fluid and how a person identifies</w:t>
      </w:r>
      <w:r w:rsidR="00ED67B8">
        <w:rPr>
          <w:color w:val="000000"/>
          <w:szCs w:val="22"/>
        </w:rPr>
        <w:t>, or the term they use to reflect their gender</w:t>
      </w:r>
      <w:r w:rsidR="002F25CE">
        <w:rPr>
          <w:color w:val="000000"/>
          <w:szCs w:val="22"/>
        </w:rPr>
        <w:t>,</w:t>
      </w:r>
      <w:r w:rsidRPr="00316BF5">
        <w:rPr>
          <w:color w:val="000000"/>
          <w:szCs w:val="22"/>
        </w:rPr>
        <w:t xml:space="preserve"> may change over time. </w:t>
      </w:r>
    </w:p>
    <w:p w14:paraId="3D158B7B" w14:textId="77777777" w:rsidR="006D602F" w:rsidRPr="00316BF5" w:rsidRDefault="006D602F" w:rsidP="008B6085">
      <w:pPr>
        <w:pStyle w:val="BodyText-Numbered"/>
        <w:keepNext w:val="0"/>
        <w:keepLines/>
        <w:rPr>
          <w:szCs w:val="22"/>
        </w:rPr>
      </w:pPr>
      <w:r w:rsidRPr="00316BF5">
        <w:rPr>
          <w:color w:val="000000"/>
          <w:szCs w:val="22"/>
        </w:rPr>
        <w:t>The ability to make multiple applications ensures the legislation embraces people of all genders at any stage of their lives. Limiting the number of applications for registered sex</w:t>
      </w:r>
      <w:r>
        <w:rPr>
          <w:color w:val="000000"/>
          <w:szCs w:val="22"/>
        </w:rPr>
        <w:t xml:space="preserve"> would also</w:t>
      </w:r>
      <w:r w:rsidRPr="00316BF5">
        <w:rPr>
          <w:color w:val="000000"/>
          <w:szCs w:val="22"/>
        </w:rPr>
        <w:t xml:space="preserve"> </w:t>
      </w:r>
      <w:r>
        <w:rPr>
          <w:color w:val="000000"/>
          <w:szCs w:val="22"/>
        </w:rPr>
        <w:t>undermine</w:t>
      </w:r>
      <w:r w:rsidRPr="00316BF5">
        <w:rPr>
          <w:color w:val="000000"/>
          <w:szCs w:val="22"/>
        </w:rPr>
        <w:t xml:space="preserve"> the intent of self-identification.</w:t>
      </w:r>
    </w:p>
    <w:bookmarkEnd w:id="22"/>
    <w:p w14:paraId="7E94BDA1" w14:textId="2108A864" w:rsidR="006D602F" w:rsidRDefault="006D602F" w:rsidP="008B6085">
      <w:pPr>
        <w:pStyle w:val="Heading4"/>
        <w:keepLines/>
        <w:rPr>
          <w:lang w:val="en-NZ" w:eastAsia="en-NZ"/>
        </w:rPr>
      </w:pPr>
      <w:r>
        <w:rPr>
          <w:lang w:val="en-NZ" w:eastAsia="en-NZ"/>
        </w:rPr>
        <w:t xml:space="preserve">The self-identification process could be </w:t>
      </w:r>
      <w:r w:rsidR="00F5580B">
        <w:rPr>
          <w:lang w:val="en-NZ" w:eastAsia="en-NZ"/>
        </w:rPr>
        <w:t>used</w:t>
      </w:r>
      <w:r w:rsidR="00BE520F">
        <w:rPr>
          <w:lang w:val="en-NZ" w:eastAsia="en-NZ"/>
        </w:rPr>
        <w:t xml:space="preserve"> to obtain multiple identities</w:t>
      </w:r>
    </w:p>
    <w:p w14:paraId="4AF12667" w14:textId="77777777" w:rsidR="009F547B" w:rsidRDefault="006D602F" w:rsidP="009F547B">
      <w:pPr>
        <w:pStyle w:val="BodyText-Numbered"/>
        <w:keepNext w:val="0"/>
        <w:keepLines/>
        <w:rPr>
          <w:sz w:val="18"/>
          <w:lang w:val="en-NZ" w:eastAsia="en-NZ"/>
        </w:rPr>
      </w:pPr>
      <w:r w:rsidRPr="00D746CA">
        <w:rPr>
          <w:color w:val="000000"/>
          <w:szCs w:val="27"/>
        </w:rPr>
        <w:t>Changing informa</w:t>
      </w:r>
      <w:r>
        <w:rPr>
          <w:color w:val="000000"/>
          <w:szCs w:val="27"/>
        </w:rPr>
        <w:t xml:space="preserve">tion </w:t>
      </w:r>
      <w:r w:rsidR="00DA464F">
        <w:rPr>
          <w:color w:val="000000"/>
          <w:szCs w:val="27"/>
        </w:rPr>
        <w:t>o</w:t>
      </w:r>
      <w:r>
        <w:rPr>
          <w:color w:val="000000"/>
          <w:szCs w:val="27"/>
        </w:rPr>
        <w:t>n a birth certificate</w:t>
      </w:r>
      <w:r w:rsidRPr="00D746CA">
        <w:rPr>
          <w:color w:val="000000"/>
          <w:szCs w:val="27"/>
        </w:rPr>
        <w:t xml:space="preserve"> results in a person holding multiple </w:t>
      </w:r>
      <w:r w:rsidR="00F915A5">
        <w:rPr>
          <w:color w:val="000000"/>
          <w:szCs w:val="27"/>
        </w:rPr>
        <w:t xml:space="preserve">different </w:t>
      </w:r>
      <w:r w:rsidRPr="00D746CA">
        <w:rPr>
          <w:color w:val="000000"/>
          <w:szCs w:val="27"/>
        </w:rPr>
        <w:t>birth certificates</w:t>
      </w:r>
      <w:r w:rsidR="00F82780">
        <w:rPr>
          <w:color w:val="000000"/>
          <w:szCs w:val="27"/>
        </w:rPr>
        <w:t xml:space="preserve"> that relate to themselves</w:t>
      </w:r>
      <w:r w:rsidRPr="00D746CA">
        <w:rPr>
          <w:color w:val="000000"/>
          <w:szCs w:val="27"/>
        </w:rPr>
        <w:t xml:space="preserve">. Birth certificates </w:t>
      </w:r>
      <w:r w:rsidR="001D6A1B">
        <w:rPr>
          <w:color w:val="000000"/>
          <w:szCs w:val="27"/>
        </w:rPr>
        <w:t>differ</w:t>
      </w:r>
      <w:r w:rsidRPr="00D746CA">
        <w:rPr>
          <w:color w:val="000000"/>
          <w:szCs w:val="27"/>
        </w:rPr>
        <w:t xml:space="preserve"> to “transactional” documents, such as a passport or driver licences, which can be revoked</w:t>
      </w:r>
      <w:r w:rsidR="00D57E7C">
        <w:rPr>
          <w:color w:val="000000"/>
          <w:szCs w:val="27"/>
        </w:rPr>
        <w:t>,</w:t>
      </w:r>
      <w:r w:rsidRPr="00D746CA">
        <w:rPr>
          <w:color w:val="000000"/>
          <w:szCs w:val="27"/>
        </w:rPr>
        <w:t xml:space="preserve"> and must be renewed periodically. </w:t>
      </w:r>
      <w:r>
        <w:rPr>
          <w:color w:val="000000"/>
          <w:szCs w:val="27"/>
        </w:rPr>
        <w:t>Unlike passports and driver licences</w:t>
      </w:r>
      <w:r w:rsidR="00F915A5">
        <w:rPr>
          <w:color w:val="000000"/>
          <w:szCs w:val="27"/>
        </w:rPr>
        <w:t>,</w:t>
      </w:r>
      <w:r>
        <w:rPr>
          <w:color w:val="000000"/>
          <w:szCs w:val="27"/>
        </w:rPr>
        <w:t xml:space="preserve"> t</w:t>
      </w:r>
      <w:r w:rsidRPr="00D746CA">
        <w:rPr>
          <w:color w:val="000000"/>
          <w:szCs w:val="27"/>
        </w:rPr>
        <w:t>here is no legislation to compel the return of a birth certificate when a new one is issued.</w:t>
      </w:r>
      <w:r>
        <w:rPr>
          <w:color w:val="000000"/>
          <w:szCs w:val="27"/>
        </w:rPr>
        <w:t xml:space="preserve"> </w:t>
      </w:r>
    </w:p>
    <w:p w14:paraId="4EBD6F2D" w14:textId="77777777" w:rsidR="000408E1" w:rsidRDefault="006D602F" w:rsidP="008B6085">
      <w:pPr>
        <w:pStyle w:val="BodyText-Numbered"/>
        <w:keepNext w:val="0"/>
        <w:keepLines/>
        <w:rPr>
          <w:lang w:val="en-NZ" w:eastAsia="en-NZ"/>
        </w:rPr>
      </w:pPr>
      <w:r w:rsidRPr="009F547B">
        <w:rPr>
          <w:lang w:val="en-NZ" w:eastAsia="en-NZ"/>
        </w:rPr>
        <w:t xml:space="preserve">Under the self-identification process, a person who amends their registered </w:t>
      </w:r>
      <w:r w:rsidRPr="009F547B" w:rsidDel="002E7AB6">
        <w:rPr>
          <w:lang w:val="en-NZ" w:eastAsia="en-NZ"/>
        </w:rPr>
        <w:t xml:space="preserve">sex </w:t>
      </w:r>
      <w:r w:rsidRPr="009F547B">
        <w:rPr>
          <w:lang w:val="en-NZ" w:eastAsia="en-NZ"/>
        </w:rPr>
        <w:t>will not have their previous name and sex displayed on their birth certificate.</w:t>
      </w:r>
      <w:r w:rsidR="00F37C6E">
        <w:rPr>
          <w:rStyle w:val="FootnoteReference"/>
          <w:lang w:val="en-NZ" w:eastAsia="en-NZ"/>
        </w:rPr>
        <w:footnoteReference w:id="26"/>
      </w:r>
      <w:r w:rsidRPr="009F547B">
        <w:rPr>
          <w:lang w:val="en-NZ" w:eastAsia="en-NZ"/>
        </w:rPr>
        <w:t xml:space="preserve"> This is to accurately reflect their identity, and to stop a person being ‘outed’ as transgender.</w:t>
      </w:r>
      <w:r w:rsidR="00D57E7C" w:rsidRPr="009F547B">
        <w:rPr>
          <w:lang w:val="en-NZ" w:eastAsia="en-NZ"/>
        </w:rPr>
        <w:t xml:space="preserve"> </w:t>
      </w:r>
    </w:p>
    <w:p w14:paraId="13143632" w14:textId="1DD9FCA1" w:rsidR="006D602F" w:rsidRPr="00CC4995" w:rsidRDefault="006D602F" w:rsidP="008B6085">
      <w:pPr>
        <w:pStyle w:val="BodyText-Numbered"/>
        <w:keepNext w:val="0"/>
        <w:keepLines/>
        <w:rPr>
          <w:lang w:val="en-NZ" w:eastAsia="en-NZ"/>
        </w:rPr>
      </w:pPr>
      <w:r>
        <w:rPr>
          <w:color w:val="000000"/>
          <w:szCs w:val="27"/>
        </w:rPr>
        <w:t>Multiple</w:t>
      </w:r>
      <w:r w:rsidDel="00653CA8">
        <w:rPr>
          <w:color w:val="000000"/>
          <w:szCs w:val="27"/>
        </w:rPr>
        <w:t xml:space="preserve"> </w:t>
      </w:r>
      <w:r w:rsidR="00653CA8">
        <w:rPr>
          <w:color w:val="000000"/>
          <w:szCs w:val="27"/>
        </w:rPr>
        <w:t xml:space="preserve">amendments </w:t>
      </w:r>
      <w:r>
        <w:rPr>
          <w:color w:val="000000"/>
          <w:szCs w:val="27"/>
        </w:rPr>
        <w:t xml:space="preserve">to someone’s registered sex on their own do not pose a significant risk of </w:t>
      </w:r>
      <w:r w:rsidR="00653CA8">
        <w:rPr>
          <w:color w:val="000000"/>
          <w:szCs w:val="27"/>
        </w:rPr>
        <w:t xml:space="preserve">identity </w:t>
      </w:r>
      <w:r>
        <w:rPr>
          <w:color w:val="000000"/>
          <w:szCs w:val="27"/>
        </w:rPr>
        <w:t xml:space="preserve">fraud because </w:t>
      </w:r>
      <w:r w:rsidR="00653CA8">
        <w:rPr>
          <w:color w:val="000000"/>
          <w:szCs w:val="27"/>
        </w:rPr>
        <w:t>the</w:t>
      </w:r>
      <w:r>
        <w:rPr>
          <w:color w:val="000000"/>
          <w:szCs w:val="27"/>
        </w:rPr>
        <w:t xml:space="preserve"> person can be linked</w:t>
      </w:r>
      <w:r w:rsidR="00D57E7C">
        <w:rPr>
          <w:color w:val="000000"/>
          <w:szCs w:val="27"/>
        </w:rPr>
        <w:t xml:space="preserve"> to their previou</w:t>
      </w:r>
      <w:r w:rsidR="00653CA8">
        <w:rPr>
          <w:color w:val="000000"/>
          <w:szCs w:val="27"/>
        </w:rPr>
        <w:t>sly issued birth certificates</w:t>
      </w:r>
      <w:r>
        <w:rPr>
          <w:color w:val="000000"/>
          <w:szCs w:val="27"/>
        </w:rPr>
        <w:t xml:space="preserve"> by their name.</w:t>
      </w:r>
      <w:r w:rsidR="00DA1117">
        <w:rPr>
          <w:color w:val="000000"/>
          <w:szCs w:val="27"/>
        </w:rPr>
        <w:t xml:space="preserve"> </w:t>
      </w:r>
      <w:r w:rsidR="001E3430">
        <w:rPr>
          <w:color w:val="000000"/>
          <w:szCs w:val="27"/>
        </w:rPr>
        <w:t>It is only m</w:t>
      </w:r>
      <w:r w:rsidR="00653CA8">
        <w:rPr>
          <w:color w:val="000000"/>
          <w:szCs w:val="27"/>
        </w:rPr>
        <w:t>ultiple</w:t>
      </w:r>
      <w:r w:rsidRPr="00CC4995">
        <w:rPr>
          <w:color w:val="000000"/>
          <w:szCs w:val="27"/>
        </w:rPr>
        <w:t xml:space="preserve"> </w:t>
      </w:r>
      <w:r w:rsidR="00D57E7C">
        <w:rPr>
          <w:color w:val="000000"/>
          <w:szCs w:val="27"/>
        </w:rPr>
        <w:t>amendments to</w:t>
      </w:r>
      <w:r w:rsidRPr="00CC4995">
        <w:rPr>
          <w:color w:val="000000"/>
          <w:szCs w:val="27"/>
        </w:rPr>
        <w:t xml:space="preserve"> </w:t>
      </w:r>
      <w:r w:rsidR="001E3430">
        <w:rPr>
          <w:color w:val="000000"/>
          <w:szCs w:val="27"/>
        </w:rPr>
        <w:t xml:space="preserve">both their </w:t>
      </w:r>
      <w:r w:rsidRPr="00CC4995">
        <w:rPr>
          <w:color w:val="000000"/>
          <w:szCs w:val="27"/>
        </w:rPr>
        <w:t>registered sex</w:t>
      </w:r>
      <w:r w:rsidRPr="00CC4995">
        <w:rPr>
          <w:lang w:val="en-NZ" w:eastAsia="en-NZ"/>
        </w:rPr>
        <w:t xml:space="preserve"> </w:t>
      </w:r>
      <w:r w:rsidR="001E3430">
        <w:rPr>
          <w:lang w:val="en-NZ" w:eastAsia="en-NZ"/>
        </w:rPr>
        <w:t xml:space="preserve">and </w:t>
      </w:r>
      <w:r w:rsidR="00D57E7C">
        <w:rPr>
          <w:lang w:val="en-NZ" w:eastAsia="en-NZ"/>
        </w:rPr>
        <w:t>name</w:t>
      </w:r>
      <w:r w:rsidR="001E3430">
        <w:rPr>
          <w:lang w:val="en-NZ" w:eastAsia="en-NZ"/>
        </w:rPr>
        <w:t xml:space="preserve"> that could</w:t>
      </w:r>
      <w:r w:rsidR="00D57E7C">
        <w:rPr>
          <w:lang w:val="en-NZ" w:eastAsia="en-NZ"/>
        </w:rPr>
        <w:t xml:space="preserve"> </w:t>
      </w:r>
      <w:r w:rsidRPr="00CC4995">
        <w:rPr>
          <w:lang w:val="en-NZ" w:eastAsia="en-NZ"/>
        </w:rPr>
        <w:t>increase the potential risk of identity fraud</w:t>
      </w:r>
      <w:r w:rsidR="0037460F">
        <w:rPr>
          <w:lang w:val="en-NZ" w:eastAsia="en-NZ"/>
        </w:rPr>
        <w:t>.</w:t>
      </w:r>
      <w:r w:rsidRPr="00CC4995">
        <w:rPr>
          <w:lang w:val="en-NZ" w:eastAsia="en-NZ"/>
        </w:rPr>
        <w:t xml:space="preserve"> </w:t>
      </w:r>
      <w:r w:rsidR="0037460F">
        <w:rPr>
          <w:lang w:val="en-NZ" w:eastAsia="en-NZ"/>
        </w:rPr>
        <w:t>T</w:t>
      </w:r>
      <w:r w:rsidR="00653CA8">
        <w:rPr>
          <w:lang w:val="en-NZ" w:eastAsia="en-NZ"/>
        </w:rPr>
        <w:t>he removal of previous names and previously registered sex</w:t>
      </w:r>
      <w:r w:rsidRPr="00CC4995">
        <w:rPr>
          <w:lang w:val="en-NZ" w:eastAsia="en-NZ"/>
        </w:rPr>
        <w:t xml:space="preserve"> </w:t>
      </w:r>
      <w:r w:rsidR="00653CA8">
        <w:rPr>
          <w:lang w:val="en-NZ" w:eastAsia="en-NZ"/>
        </w:rPr>
        <w:t xml:space="preserve">means that service providers would be less able to link different birth certificates to the same </w:t>
      </w:r>
      <w:r w:rsidRPr="00CC4995">
        <w:rPr>
          <w:lang w:val="en-NZ" w:eastAsia="en-NZ"/>
        </w:rPr>
        <w:t>person</w:t>
      </w:r>
      <w:r w:rsidRPr="00CC4995" w:rsidDel="00653CA8">
        <w:rPr>
          <w:lang w:val="en-NZ" w:eastAsia="en-NZ"/>
        </w:rPr>
        <w:t>.</w:t>
      </w:r>
    </w:p>
    <w:p w14:paraId="096FE42C" w14:textId="2A674B69" w:rsidR="006D602F" w:rsidRDefault="006D602F" w:rsidP="008B6085">
      <w:pPr>
        <w:pStyle w:val="BodyText-Numbered"/>
        <w:keepNext w:val="0"/>
        <w:keepLines/>
        <w:rPr>
          <w:lang w:val="en-NZ" w:eastAsia="en-NZ"/>
        </w:rPr>
      </w:pPr>
      <w:r>
        <w:t xml:space="preserve">People could use the process to obtain multiple </w:t>
      </w:r>
      <w:r w:rsidR="0037460F">
        <w:t xml:space="preserve">different </w:t>
      </w:r>
      <w:r>
        <w:t>birth certificates to create new identities to avoid detection or access services they are not entitled to. While most services require photo-identification for identity verification there are</w:t>
      </w:r>
      <w:r w:rsidR="0037460F">
        <w:t xml:space="preserve"> a</w:t>
      </w:r>
      <w:r>
        <w:t xml:space="preserve"> few</w:t>
      </w:r>
      <w:r w:rsidR="001E3430">
        <w:t xml:space="preserve"> known</w:t>
      </w:r>
      <w:r>
        <w:t xml:space="preserve"> instances where </w:t>
      </w:r>
      <w:r w:rsidRPr="00D746CA">
        <w:rPr>
          <w:lang w:val="en-NZ" w:eastAsia="en-NZ"/>
        </w:rPr>
        <w:t>a birth certifi</w:t>
      </w:r>
      <w:r>
        <w:rPr>
          <w:lang w:val="en-NZ" w:eastAsia="en-NZ"/>
        </w:rPr>
        <w:t>cate</w:t>
      </w:r>
      <w:r w:rsidRPr="00D746CA">
        <w:rPr>
          <w:lang w:val="en-NZ" w:eastAsia="en-NZ"/>
        </w:rPr>
        <w:t xml:space="preserve"> is deemed to be</w:t>
      </w:r>
      <w:r w:rsidR="0037460F">
        <w:rPr>
          <w:lang w:val="en-NZ" w:eastAsia="en-NZ"/>
        </w:rPr>
        <w:t xml:space="preserve"> an</w:t>
      </w:r>
      <w:r w:rsidRPr="00D746CA">
        <w:rPr>
          <w:lang w:val="en-NZ" w:eastAsia="en-NZ"/>
        </w:rPr>
        <w:t xml:space="preserve"> acceptable</w:t>
      </w:r>
      <w:r>
        <w:rPr>
          <w:lang w:val="en-NZ" w:eastAsia="en-NZ"/>
        </w:rPr>
        <w:t xml:space="preserve"> form</w:t>
      </w:r>
      <w:r w:rsidRPr="00D746CA">
        <w:rPr>
          <w:lang w:val="en-NZ" w:eastAsia="en-NZ"/>
        </w:rPr>
        <w:t xml:space="preserve"> </w:t>
      </w:r>
      <w:r w:rsidR="0037460F">
        <w:rPr>
          <w:lang w:val="en-NZ" w:eastAsia="en-NZ"/>
        </w:rPr>
        <w:t xml:space="preserve">of </w:t>
      </w:r>
      <w:r w:rsidRPr="00D746CA">
        <w:rPr>
          <w:lang w:val="en-NZ" w:eastAsia="en-NZ"/>
        </w:rPr>
        <w:t xml:space="preserve">documentation. These </w:t>
      </w:r>
      <w:r w:rsidR="0037460F">
        <w:rPr>
          <w:lang w:val="en-NZ" w:eastAsia="en-NZ"/>
        </w:rPr>
        <w:t>include:</w:t>
      </w:r>
    </w:p>
    <w:p w14:paraId="249134D1" w14:textId="057A2780" w:rsidR="006D602F" w:rsidRDefault="006E61A8" w:rsidP="008B6085">
      <w:pPr>
        <w:pStyle w:val="BodyText-Numbered"/>
        <w:keepNext w:val="0"/>
        <w:keepLines/>
        <w:numPr>
          <w:ilvl w:val="1"/>
          <w:numId w:val="1"/>
        </w:numPr>
        <w:rPr>
          <w:lang w:val="en-NZ" w:eastAsia="en-NZ"/>
        </w:rPr>
      </w:pPr>
      <w:r w:rsidRPr="00B53952">
        <w:rPr>
          <w:i/>
          <w:lang w:val="en-NZ" w:eastAsia="en-NZ"/>
        </w:rPr>
        <w:t xml:space="preserve">Receiving income support </w:t>
      </w:r>
      <w:r w:rsidR="006D602F" w:rsidRPr="00B53952">
        <w:rPr>
          <w:i/>
          <w:lang w:val="en-NZ" w:eastAsia="en-NZ"/>
        </w:rPr>
        <w:t>from</w:t>
      </w:r>
      <w:r w:rsidR="0037460F">
        <w:rPr>
          <w:i/>
          <w:lang w:val="en-NZ" w:eastAsia="en-NZ"/>
        </w:rPr>
        <w:t xml:space="preserve"> the</w:t>
      </w:r>
      <w:r w:rsidR="006D602F" w:rsidRPr="00B53952">
        <w:rPr>
          <w:i/>
          <w:lang w:val="en-NZ" w:eastAsia="en-NZ"/>
        </w:rPr>
        <w:t xml:space="preserve"> </w:t>
      </w:r>
      <w:r w:rsidRPr="00B53952">
        <w:rPr>
          <w:i/>
          <w:lang w:val="en-NZ" w:eastAsia="en-NZ"/>
        </w:rPr>
        <w:t>Ministry of Social Development</w:t>
      </w:r>
      <w:r w:rsidR="006D602F" w:rsidRPr="00B53952">
        <w:rPr>
          <w:i/>
          <w:lang w:val="en-NZ" w:eastAsia="en-NZ"/>
        </w:rPr>
        <w:t>:</w:t>
      </w:r>
      <w:r w:rsidR="006D602F">
        <w:rPr>
          <w:lang w:val="en-NZ" w:eastAsia="en-NZ"/>
        </w:rPr>
        <w:t xml:space="preserve"> </w:t>
      </w:r>
      <w:r w:rsidR="006D602F" w:rsidRPr="002059B3">
        <w:rPr>
          <w:lang w:val="en-NZ" w:eastAsia="en-NZ"/>
        </w:rPr>
        <w:t xml:space="preserve">A birth certificate can be </w:t>
      </w:r>
      <w:r w:rsidR="0037460F">
        <w:rPr>
          <w:lang w:val="en-NZ" w:eastAsia="en-NZ"/>
        </w:rPr>
        <w:t>used with</w:t>
      </w:r>
      <w:r w:rsidR="006D602F" w:rsidRPr="002059B3">
        <w:rPr>
          <w:lang w:val="en-NZ" w:eastAsia="en-NZ"/>
        </w:rPr>
        <w:t xml:space="preserve"> a utility account letter with the applicant’s address. There</w:t>
      </w:r>
      <w:r w:rsidR="006D602F">
        <w:rPr>
          <w:lang w:val="en-NZ" w:eastAsia="en-NZ"/>
        </w:rPr>
        <w:t xml:space="preserve"> is no requirement to provide </w:t>
      </w:r>
      <w:r w:rsidR="006D602F" w:rsidRPr="002059B3">
        <w:rPr>
          <w:lang w:val="en-NZ" w:eastAsia="en-NZ"/>
        </w:rPr>
        <w:t xml:space="preserve">photo </w:t>
      </w:r>
      <w:r w:rsidR="006D602F">
        <w:rPr>
          <w:lang w:val="en-NZ" w:eastAsia="en-NZ"/>
        </w:rPr>
        <w:t>identification</w:t>
      </w:r>
      <w:r w:rsidR="006D602F" w:rsidRPr="002059B3">
        <w:rPr>
          <w:lang w:val="en-NZ" w:eastAsia="en-NZ"/>
        </w:rPr>
        <w:t xml:space="preserve">. </w:t>
      </w:r>
    </w:p>
    <w:p w14:paraId="71A3FEAE" w14:textId="42C6FA90" w:rsidR="006D602F" w:rsidRDefault="006D602F" w:rsidP="008B6085">
      <w:pPr>
        <w:pStyle w:val="BodyText-Numbered"/>
        <w:keepNext w:val="0"/>
        <w:keepLines/>
        <w:numPr>
          <w:ilvl w:val="1"/>
          <w:numId w:val="1"/>
        </w:numPr>
        <w:rPr>
          <w:lang w:val="en-NZ" w:eastAsia="en-NZ"/>
        </w:rPr>
      </w:pPr>
      <w:r w:rsidRPr="00B53952">
        <w:rPr>
          <w:i/>
          <w:lang w:val="en-NZ" w:eastAsia="en-NZ"/>
        </w:rPr>
        <w:t>Obtaining an 18+ card (Kiwi Access Card):</w:t>
      </w:r>
      <w:r>
        <w:rPr>
          <w:lang w:val="en-NZ" w:eastAsia="en-NZ"/>
        </w:rPr>
        <w:t xml:space="preserve"> </w:t>
      </w:r>
      <w:r w:rsidRPr="002059B3">
        <w:rPr>
          <w:lang w:val="en-NZ" w:eastAsia="en-NZ"/>
        </w:rPr>
        <w:t>A birth certificate can be used with an identity referee to verify</w:t>
      </w:r>
      <w:r w:rsidR="001E3430">
        <w:rPr>
          <w:lang w:val="en-NZ" w:eastAsia="en-NZ"/>
        </w:rPr>
        <w:t xml:space="preserve"> their</w:t>
      </w:r>
      <w:r w:rsidRPr="002059B3">
        <w:rPr>
          <w:lang w:val="en-NZ" w:eastAsia="en-NZ"/>
        </w:rPr>
        <w:t xml:space="preserve"> identity if an applicant does not have any photo </w:t>
      </w:r>
      <w:r w:rsidR="0037460F">
        <w:rPr>
          <w:lang w:val="en-NZ" w:eastAsia="en-NZ"/>
        </w:rPr>
        <w:t>identification.</w:t>
      </w:r>
      <w:r w:rsidR="0037460F" w:rsidRPr="002059B3">
        <w:rPr>
          <w:lang w:val="en-NZ" w:eastAsia="en-NZ"/>
        </w:rPr>
        <w:t xml:space="preserve"> </w:t>
      </w:r>
    </w:p>
    <w:p w14:paraId="3B6E415D" w14:textId="19C5676D" w:rsidR="006D602F" w:rsidRPr="002059B3" w:rsidRDefault="006D602F" w:rsidP="008B6085">
      <w:pPr>
        <w:pStyle w:val="BodyText-Numbered"/>
        <w:keepNext w:val="0"/>
        <w:keepLines/>
        <w:numPr>
          <w:ilvl w:val="1"/>
          <w:numId w:val="1"/>
        </w:numPr>
        <w:rPr>
          <w:lang w:val="en-NZ" w:eastAsia="en-NZ"/>
        </w:rPr>
      </w:pPr>
      <w:r w:rsidRPr="00B53952">
        <w:rPr>
          <w:i/>
          <w:lang w:val="en-NZ" w:eastAsia="en-NZ"/>
        </w:rPr>
        <w:t>Obtaining a firearms licence:</w:t>
      </w:r>
      <w:r>
        <w:rPr>
          <w:lang w:val="en-NZ" w:eastAsia="en-NZ"/>
        </w:rPr>
        <w:t xml:space="preserve"> </w:t>
      </w:r>
      <w:r w:rsidRPr="002059B3">
        <w:rPr>
          <w:lang w:val="en-NZ" w:eastAsia="en-NZ"/>
        </w:rPr>
        <w:t>A firearms licence can be obtained using a birth certificate and an 18+ card</w:t>
      </w:r>
      <w:r w:rsidR="001E3430">
        <w:rPr>
          <w:lang w:val="en-NZ" w:eastAsia="en-NZ"/>
        </w:rPr>
        <w:t xml:space="preserve">. </w:t>
      </w:r>
      <w:r w:rsidR="00453323">
        <w:rPr>
          <w:lang w:val="en-NZ" w:eastAsia="en-NZ"/>
        </w:rPr>
        <w:t xml:space="preserve"> </w:t>
      </w:r>
    </w:p>
    <w:p w14:paraId="17F28986" w14:textId="23B9F513" w:rsidR="00885AB1" w:rsidRDefault="001E3430" w:rsidP="008B6085">
      <w:pPr>
        <w:pStyle w:val="BodyText-Numbered"/>
        <w:keepNext w:val="0"/>
        <w:keepLines/>
        <w:rPr>
          <w:lang w:val="en-NZ" w:eastAsia="en-NZ"/>
        </w:rPr>
      </w:pPr>
      <w:r>
        <w:rPr>
          <w:lang w:val="en-NZ" w:eastAsia="en-NZ"/>
        </w:rPr>
        <w:lastRenderedPageBreak/>
        <w:t xml:space="preserve">While a person could use a birth certificate with a false name and registered sex to access these services, </w:t>
      </w:r>
      <w:r w:rsidR="000055F8">
        <w:rPr>
          <w:lang w:val="en-NZ" w:eastAsia="en-NZ"/>
        </w:rPr>
        <w:t xml:space="preserve">we understand that </w:t>
      </w:r>
      <w:r w:rsidR="00CF7D3E">
        <w:rPr>
          <w:lang w:val="en-NZ" w:eastAsia="en-NZ"/>
        </w:rPr>
        <w:t>the</w:t>
      </w:r>
      <w:r>
        <w:rPr>
          <w:lang w:val="en-NZ" w:eastAsia="en-NZ"/>
        </w:rPr>
        <w:t xml:space="preserve"> agencies responsible for these services</w:t>
      </w:r>
      <w:r w:rsidR="00CF7D3E">
        <w:rPr>
          <w:lang w:val="en-NZ" w:eastAsia="en-NZ"/>
        </w:rPr>
        <w:t xml:space="preserve"> </w:t>
      </w:r>
      <w:r w:rsidR="00CA5DF5">
        <w:rPr>
          <w:lang w:val="en-NZ" w:eastAsia="en-NZ"/>
        </w:rPr>
        <w:t>have existing</w:t>
      </w:r>
      <w:r>
        <w:rPr>
          <w:lang w:val="en-NZ" w:eastAsia="en-NZ"/>
        </w:rPr>
        <w:t xml:space="preserve"> additional checks in place. </w:t>
      </w:r>
      <w:r w:rsidR="00C45950">
        <w:rPr>
          <w:lang w:val="en-NZ" w:eastAsia="en-NZ"/>
        </w:rPr>
        <w:t xml:space="preserve">We are working with agencies to understand more about </w:t>
      </w:r>
      <w:r w:rsidR="000055F8">
        <w:t xml:space="preserve">what </w:t>
      </w:r>
      <w:r w:rsidR="00E7638D">
        <w:t>these additional checks</w:t>
      </w:r>
      <w:r w:rsidR="000055F8">
        <w:t xml:space="preserve"> are </w:t>
      </w:r>
      <w:r w:rsidR="00E7638D">
        <w:t>and</w:t>
      </w:r>
      <w:r w:rsidR="000055F8">
        <w:t xml:space="preserve"> how effective they are. We intend to discuss this further during </w:t>
      </w:r>
      <w:r w:rsidR="00C45950">
        <w:t>engagement and will factor this into our further analysis of the options</w:t>
      </w:r>
      <w:r w:rsidR="000055F8">
        <w:t>.</w:t>
      </w:r>
    </w:p>
    <w:p w14:paraId="18B26F48" w14:textId="19AE91A6" w:rsidR="001E3430" w:rsidRDefault="001E3430" w:rsidP="008B6085">
      <w:pPr>
        <w:pStyle w:val="BodyText-Numbered"/>
        <w:keepNext w:val="0"/>
        <w:keepLines/>
        <w:rPr>
          <w:lang w:val="en-NZ" w:eastAsia="en-NZ"/>
        </w:rPr>
      </w:pPr>
      <w:r>
        <w:rPr>
          <w:lang w:val="en-NZ" w:eastAsia="en-NZ"/>
        </w:rPr>
        <w:t>Persons can also already attempt to commit fraud under these services with another person’s birth certificate as the birth register is an open-access register where anyone can request a birth certificate of another person and use their details.</w:t>
      </w:r>
      <w:r w:rsidR="00885AB1">
        <w:rPr>
          <w:lang w:val="en-NZ" w:eastAsia="en-NZ"/>
        </w:rPr>
        <w:t xml:space="preserve"> To do this, a person must know some information about another person to request their birth certificate.</w:t>
      </w:r>
      <w:r w:rsidR="00885AB1">
        <w:rPr>
          <w:rStyle w:val="FootnoteReference"/>
          <w:lang w:val="en-NZ" w:eastAsia="en-NZ"/>
        </w:rPr>
        <w:footnoteReference w:id="27"/>
      </w:r>
      <w:r w:rsidR="004A5BEE">
        <w:rPr>
          <w:lang w:val="en-NZ" w:eastAsia="en-NZ"/>
        </w:rPr>
        <w:t xml:space="preserve"> T</w:t>
      </w:r>
      <w:r>
        <w:rPr>
          <w:lang w:val="en-NZ" w:eastAsia="en-NZ"/>
        </w:rPr>
        <w:t xml:space="preserve">he self-identification process creates another avenue to obtain multiple birth </w:t>
      </w:r>
      <w:r w:rsidR="002E6BD1">
        <w:rPr>
          <w:lang w:val="en-NZ" w:eastAsia="en-NZ"/>
        </w:rPr>
        <w:t>identities</w:t>
      </w:r>
      <w:r w:rsidR="00885AB1">
        <w:rPr>
          <w:lang w:val="en-NZ" w:eastAsia="en-NZ"/>
        </w:rPr>
        <w:t xml:space="preserve"> where they could change their own details instead of using someone else’s</w:t>
      </w:r>
      <w:r>
        <w:rPr>
          <w:lang w:val="en-NZ" w:eastAsia="en-NZ"/>
        </w:rPr>
        <w:t xml:space="preserve">. </w:t>
      </w:r>
    </w:p>
    <w:p w14:paraId="0FCE52D9" w14:textId="7F1FBB86" w:rsidR="006D602F" w:rsidRDefault="002E325C" w:rsidP="008B6085">
      <w:pPr>
        <w:pStyle w:val="BodyText-Numbered"/>
        <w:keepNext w:val="0"/>
        <w:keepLines/>
        <w:rPr>
          <w:lang w:val="en-NZ" w:eastAsia="en-NZ"/>
        </w:rPr>
      </w:pPr>
      <w:r>
        <w:rPr>
          <w:lang w:val="en-NZ" w:eastAsia="en-NZ"/>
        </w:rPr>
        <w:t>F</w:t>
      </w:r>
      <w:r w:rsidR="006D602F" w:rsidRPr="00D746CA">
        <w:rPr>
          <w:lang w:val="en-NZ" w:eastAsia="en-NZ"/>
        </w:rPr>
        <w:t xml:space="preserve">raudulent use of multiple birth certificates </w:t>
      </w:r>
      <w:r w:rsidR="00CF7D3E">
        <w:rPr>
          <w:lang w:val="en-NZ" w:eastAsia="en-NZ"/>
        </w:rPr>
        <w:t>to receive income support</w:t>
      </w:r>
      <w:r w:rsidR="00B87EF1">
        <w:rPr>
          <w:lang w:val="en-NZ" w:eastAsia="en-NZ"/>
        </w:rPr>
        <w:t>,</w:t>
      </w:r>
      <w:r>
        <w:rPr>
          <w:lang w:val="en-NZ" w:eastAsia="en-NZ"/>
        </w:rPr>
        <w:t xml:space="preserve"> or to obtain an 18+ card as photo-identification to use for other services</w:t>
      </w:r>
      <w:r w:rsidR="00D57A10">
        <w:rPr>
          <w:lang w:val="en-NZ" w:eastAsia="en-NZ"/>
        </w:rPr>
        <w:t>,</w:t>
      </w:r>
      <w:r w:rsidR="001C6997">
        <w:rPr>
          <w:lang w:val="en-NZ" w:eastAsia="en-NZ"/>
        </w:rPr>
        <w:t xml:space="preserve"> </w:t>
      </w:r>
      <w:r w:rsidR="006D602F" w:rsidRPr="00D746CA">
        <w:rPr>
          <w:lang w:val="en-NZ" w:eastAsia="en-NZ"/>
        </w:rPr>
        <w:t>has the potential to cause reputational</w:t>
      </w:r>
      <w:r w:rsidR="006D602F">
        <w:rPr>
          <w:lang w:val="en-NZ" w:eastAsia="en-NZ"/>
        </w:rPr>
        <w:t xml:space="preserve"> </w:t>
      </w:r>
      <w:r w:rsidR="006D602F" w:rsidRPr="00D746CA">
        <w:rPr>
          <w:lang w:val="en-NZ" w:eastAsia="en-NZ"/>
        </w:rPr>
        <w:t>and fiscal damage</w:t>
      </w:r>
      <w:r w:rsidR="009F452A">
        <w:rPr>
          <w:lang w:val="en-NZ" w:eastAsia="en-NZ"/>
        </w:rPr>
        <w:t>.</w:t>
      </w:r>
      <w:r>
        <w:rPr>
          <w:lang w:val="en-NZ" w:eastAsia="en-NZ"/>
        </w:rPr>
        <w:t xml:space="preserve"> </w:t>
      </w:r>
      <w:r w:rsidR="006D602F" w:rsidRPr="00D746CA">
        <w:rPr>
          <w:lang w:val="en-NZ" w:eastAsia="en-NZ"/>
        </w:rPr>
        <w:t>Discovery of fraud could undermine the integrity and legitimacy of the self-identification process</w:t>
      </w:r>
      <w:r w:rsidR="009B2531">
        <w:rPr>
          <w:lang w:val="en-NZ" w:eastAsia="en-NZ"/>
        </w:rPr>
        <w:t>, and it</w:t>
      </w:r>
      <w:r w:rsidR="006D602F" w:rsidRPr="00D746CA">
        <w:rPr>
          <w:lang w:val="en-NZ" w:eastAsia="en-NZ"/>
        </w:rPr>
        <w:t xml:space="preserve"> could potentially unfairly reflect on the transgender community.</w:t>
      </w:r>
    </w:p>
    <w:p w14:paraId="794CFBF0" w14:textId="498949CA" w:rsidR="006D602F" w:rsidRDefault="006D602F" w:rsidP="008B6085">
      <w:pPr>
        <w:pStyle w:val="Heading4"/>
        <w:keepLines/>
        <w:rPr>
          <w:lang w:val="en-NZ" w:eastAsia="en-NZ"/>
        </w:rPr>
      </w:pPr>
      <w:r>
        <w:rPr>
          <w:lang w:val="en-NZ" w:eastAsia="en-NZ"/>
        </w:rPr>
        <w:t>Despite the potential for identity fraud, the probability of it occurring</w:t>
      </w:r>
      <w:r w:rsidR="002020D6">
        <w:rPr>
          <w:lang w:val="en-NZ" w:eastAsia="en-NZ"/>
        </w:rPr>
        <w:t xml:space="preserve"> with birth certificates</w:t>
      </w:r>
      <w:r>
        <w:rPr>
          <w:lang w:val="en-NZ" w:eastAsia="en-NZ"/>
        </w:rPr>
        <w:t xml:space="preserve"> is low </w:t>
      </w:r>
    </w:p>
    <w:p w14:paraId="0B438B4F" w14:textId="4A3BC2AA" w:rsidR="006D602F" w:rsidRPr="00A15C95" w:rsidRDefault="006D602F" w:rsidP="008B6085">
      <w:pPr>
        <w:pStyle w:val="BodyText-Numbered"/>
        <w:keepNext w:val="0"/>
        <w:keepLines/>
        <w:rPr>
          <w:lang w:val="en-NZ" w:eastAsia="en-NZ"/>
        </w:rPr>
      </w:pPr>
      <w:r>
        <w:rPr>
          <w:lang w:val="en-NZ" w:eastAsia="en-NZ"/>
        </w:rPr>
        <w:t>It is not common for fraud to occur with birth certificates. Of the total applications for Births, Deaths,</w:t>
      </w:r>
      <w:r w:rsidR="00653CA8">
        <w:rPr>
          <w:lang w:val="en-NZ" w:eastAsia="en-NZ"/>
        </w:rPr>
        <w:t xml:space="preserve"> and</w:t>
      </w:r>
      <w:r>
        <w:rPr>
          <w:lang w:val="en-NZ" w:eastAsia="en-NZ"/>
        </w:rPr>
        <w:t xml:space="preserve"> </w:t>
      </w:r>
      <w:proofErr w:type="gramStart"/>
      <w:r>
        <w:rPr>
          <w:lang w:val="en-NZ" w:eastAsia="en-NZ"/>
        </w:rPr>
        <w:t>Marriages</w:t>
      </w:r>
      <w:proofErr w:type="gramEnd"/>
      <w:r>
        <w:rPr>
          <w:lang w:val="en-NZ" w:eastAsia="en-NZ"/>
        </w:rPr>
        <w:t xml:space="preserve"> products since July 2021, 0.04 per cent</w:t>
      </w:r>
      <w:r w:rsidR="0037460F">
        <w:rPr>
          <w:lang w:val="en-NZ" w:eastAsia="en-NZ"/>
        </w:rPr>
        <w:t xml:space="preserve"> (or 37 applications)</w:t>
      </w:r>
      <w:r>
        <w:rPr>
          <w:lang w:val="en-NZ" w:eastAsia="en-NZ"/>
        </w:rPr>
        <w:t xml:space="preserve"> were investigated for reasons of potential wrong-doing (</w:t>
      </w:r>
      <w:r w:rsidR="00FD1A43">
        <w:rPr>
          <w:lang w:val="en-NZ" w:eastAsia="en-NZ"/>
        </w:rPr>
        <w:t>including</w:t>
      </w:r>
      <w:r>
        <w:rPr>
          <w:lang w:val="en-NZ" w:eastAsia="en-NZ"/>
        </w:rPr>
        <w:t xml:space="preserve"> reasons </w:t>
      </w:r>
      <w:r w:rsidR="00FD1A43">
        <w:rPr>
          <w:lang w:val="en-NZ" w:eastAsia="en-NZ"/>
        </w:rPr>
        <w:t>not</w:t>
      </w:r>
      <w:r>
        <w:rPr>
          <w:lang w:val="en-NZ" w:eastAsia="en-NZ"/>
        </w:rPr>
        <w:t xml:space="preserve"> exc</w:t>
      </w:r>
      <w:r w:rsidR="00FD1A43">
        <w:rPr>
          <w:lang w:val="en-NZ" w:eastAsia="en-NZ"/>
        </w:rPr>
        <w:t>lusive</w:t>
      </w:r>
      <w:r>
        <w:rPr>
          <w:lang w:val="en-NZ" w:eastAsia="en-NZ"/>
        </w:rPr>
        <w:t xml:space="preserve"> </w:t>
      </w:r>
      <w:r w:rsidR="00FD1A43">
        <w:rPr>
          <w:lang w:val="en-NZ" w:eastAsia="en-NZ"/>
        </w:rPr>
        <w:t xml:space="preserve">to </w:t>
      </w:r>
      <w:r w:rsidRPr="00A15C95">
        <w:rPr>
          <w:lang w:val="en-NZ" w:eastAsia="en-NZ"/>
        </w:rPr>
        <w:t xml:space="preserve">identity fraud). </w:t>
      </w:r>
      <w:r w:rsidR="00FD1A43">
        <w:rPr>
          <w:lang w:val="en-NZ" w:eastAsia="en-NZ"/>
        </w:rPr>
        <w:t>Of these, 35 were related to birth records and 27 of those involved a certificate containing or potentially containing fraudulent information.</w:t>
      </w:r>
      <w:r w:rsidR="002020D6">
        <w:rPr>
          <w:lang w:val="en-NZ" w:eastAsia="en-NZ"/>
        </w:rPr>
        <w:t xml:space="preserve"> Due to the low risk of birth certificates being used for the purposes of identity fraud, we assume the introduction of the self-identification process will not significantly increase this risk. </w:t>
      </w:r>
    </w:p>
    <w:p w14:paraId="385FE1B9" w14:textId="759ABCD6" w:rsidR="006D602F" w:rsidRDefault="006D602F" w:rsidP="008B6085">
      <w:pPr>
        <w:pStyle w:val="Heading4"/>
        <w:keepLines/>
        <w:rPr>
          <w:lang w:val="en-NZ" w:eastAsia="en-NZ"/>
        </w:rPr>
      </w:pPr>
      <w:r>
        <w:rPr>
          <w:lang w:val="en-NZ" w:eastAsia="en-NZ"/>
        </w:rPr>
        <w:t xml:space="preserve">There are some mitigations </w:t>
      </w:r>
      <w:r w:rsidR="00FA0178">
        <w:rPr>
          <w:lang w:val="en-NZ" w:eastAsia="en-NZ"/>
        </w:rPr>
        <w:t xml:space="preserve">already </w:t>
      </w:r>
      <w:r>
        <w:rPr>
          <w:lang w:val="en-NZ" w:eastAsia="en-NZ"/>
        </w:rPr>
        <w:t xml:space="preserve">in place to manage the risk of identity fraud </w:t>
      </w:r>
    </w:p>
    <w:p w14:paraId="401B4971" w14:textId="77777777" w:rsidR="006E4597" w:rsidRPr="00D746CA" w:rsidRDefault="006E4597" w:rsidP="008B6085">
      <w:pPr>
        <w:pStyle w:val="BodyText-Numbered"/>
        <w:keepNext w:val="0"/>
        <w:keepLines/>
        <w:rPr>
          <w:color w:val="000000"/>
          <w:szCs w:val="22"/>
          <w:lang w:val="en-NZ" w:eastAsia="en-NZ"/>
        </w:rPr>
      </w:pPr>
      <w:r w:rsidRPr="00D746CA">
        <w:rPr>
          <w:szCs w:val="22"/>
          <w:lang w:val="en-NZ" w:eastAsia="en-NZ"/>
        </w:rPr>
        <w:t>The self-iden</w:t>
      </w:r>
      <w:r>
        <w:rPr>
          <w:szCs w:val="22"/>
          <w:lang w:val="en-NZ" w:eastAsia="en-NZ"/>
        </w:rPr>
        <w:t xml:space="preserve">tification process requires </w:t>
      </w:r>
      <w:r w:rsidRPr="00D746CA">
        <w:rPr>
          <w:szCs w:val="22"/>
          <w:lang w:val="en-NZ" w:eastAsia="en-NZ"/>
        </w:rPr>
        <w:t>applicants</w:t>
      </w:r>
      <w:r>
        <w:rPr>
          <w:szCs w:val="22"/>
          <w:lang w:val="en-NZ" w:eastAsia="en-NZ"/>
        </w:rPr>
        <w:t xml:space="preserve"> (for both first-time and multiple applications) who wish to amend their registered sex</w:t>
      </w:r>
      <w:r w:rsidRPr="00D746CA">
        <w:rPr>
          <w:szCs w:val="22"/>
          <w:lang w:val="en-NZ" w:eastAsia="en-NZ"/>
        </w:rPr>
        <w:t xml:space="preserve"> to </w:t>
      </w:r>
      <w:r>
        <w:rPr>
          <w:color w:val="000000"/>
          <w:szCs w:val="22"/>
          <w:lang w:val="en-NZ" w:eastAsia="en-NZ"/>
        </w:rPr>
        <w:t>fill</w:t>
      </w:r>
      <w:r w:rsidRPr="00D746CA">
        <w:rPr>
          <w:color w:val="000000"/>
          <w:szCs w:val="22"/>
          <w:lang w:val="en-NZ" w:eastAsia="en-NZ"/>
        </w:rPr>
        <w:t xml:space="preserve"> out a statutory declaration to indicate that they:</w:t>
      </w:r>
    </w:p>
    <w:p w14:paraId="71DD4738" w14:textId="409ED940" w:rsidR="006D602F" w:rsidRPr="00D746CA" w:rsidRDefault="006D602F" w:rsidP="008B6085">
      <w:pPr>
        <w:pStyle w:val="BodyText-Numbered"/>
        <w:keepNext w:val="0"/>
        <w:keepLines/>
        <w:numPr>
          <w:ilvl w:val="1"/>
          <w:numId w:val="1"/>
        </w:numPr>
        <w:rPr>
          <w:color w:val="000000"/>
          <w:szCs w:val="22"/>
          <w:lang w:val="en-NZ" w:eastAsia="en-NZ"/>
        </w:rPr>
      </w:pPr>
      <w:r w:rsidRPr="00D746CA">
        <w:rPr>
          <w:color w:val="000000"/>
          <w:szCs w:val="22"/>
          <w:lang w:val="en-NZ" w:eastAsia="en-NZ"/>
        </w:rPr>
        <w:t>want the sex marker on their birth certificate to match their gender;</w:t>
      </w:r>
      <w:r w:rsidR="00212CF9">
        <w:rPr>
          <w:color w:val="000000"/>
          <w:szCs w:val="22"/>
          <w:lang w:val="en-NZ" w:eastAsia="en-NZ"/>
        </w:rPr>
        <w:t xml:space="preserve"> and</w:t>
      </w:r>
    </w:p>
    <w:p w14:paraId="59B938B2" w14:textId="77777777" w:rsidR="006D602F" w:rsidRPr="008A5E6E" w:rsidRDefault="006D602F" w:rsidP="008B6085">
      <w:pPr>
        <w:pStyle w:val="BodyText-Numbered"/>
        <w:keepNext w:val="0"/>
        <w:keepLines/>
        <w:numPr>
          <w:ilvl w:val="1"/>
          <w:numId w:val="1"/>
        </w:numPr>
        <w:rPr>
          <w:color w:val="000000"/>
          <w:szCs w:val="22"/>
          <w:lang w:val="en-NZ" w:eastAsia="en-NZ"/>
        </w:rPr>
      </w:pPr>
      <w:r w:rsidRPr="00D746CA">
        <w:rPr>
          <w:color w:val="000000"/>
          <w:szCs w:val="22"/>
          <w:lang w:val="en-NZ" w:eastAsia="en-NZ"/>
        </w:rPr>
        <w:t>understand the consequences of the application.</w:t>
      </w:r>
    </w:p>
    <w:p w14:paraId="31C0DEE1" w14:textId="03833684" w:rsidR="006E4597" w:rsidRPr="00AA29E2" w:rsidRDefault="006E4597" w:rsidP="008B6085">
      <w:pPr>
        <w:pStyle w:val="BodyText-Numbered"/>
        <w:keepNext w:val="0"/>
        <w:keepLines/>
        <w:rPr>
          <w:lang w:val="en-NZ" w:eastAsia="en-NZ"/>
        </w:rPr>
      </w:pPr>
      <w:r w:rsidRPr="00C551A4">
        <w:rPr>
          <w:lang w:val="en-NZ" w:eastAsia="en-NZ"/>
        </w:rPr>
        <w:t xml:space="preserve">For a person </w:t>
      </w:r>
      <w:r>
        <w:rPr>
          <w:lang w:val="en-NZ" w:eastAsia="en-NZ"/>
        </w:rPr>
        <w:t xml:space="preserve">who </w:t>
      </w:r>
      <w:r w:rsidRPr="00C551A4">
        <w:rPr>
          <w:lang w:val="en-NZ" w:eastAsia="en-NZ"/>
        </w:rPr>
        <w:t xml:space="preserve">wishes to </w:t>
      </w:r>
      <w:r>
        <w:rPr>
          <w:lang w:val="en-NZ" w:eastAsia="en-NZ"/>
        </w:rPr>
        <w:t xml:space="preserve">also </w:t>
      </w:r>
      <w:r w:rsidRPr="00C551A4">
        <w:rPr>
          <w:lang w:val="en-NZ" w:eastAsia="en-NZ"/>
        </w:rPr>
        <w:t>cha</w:t>
      </w:r>
      <w:r>
        <w:rPr>
          <w:lang w:val="en-NZ" w:eastAsia="en-NZ"/>
        </w:rPr>
        <w:t>nge their name, applicants must</w:t>
      </w:r>
      <w:r>
        <w:t xml:space="preserve"> declare in a statement that, if the application is approved, they intend to adopt the proposed name and to abandon </w:t>
      </w:r>
      <w:r w:rsidR="00C25ACE">
        <w:t>their currently</w:t>
      </w:r>
      <w:r>
        <w:t xml:space="preserve"> registered name</w:t>
      </w:r>
      <w:r w:rsidR="00CA6A9B">
        <w:t>.</w:t>
      </w:r>
    </w:p>
    <w:p w14:paraId="4F332BE3" w14:textId="456AA7A0" w:rsidR="006E4597" w:rsidRDefault="006E4597" w:rsidP="008B6085">
      <w:pPr>
        <w:pStyle w:val="BodyText-Numbered"/>
        <w:keepNext w:val="0"/>
        <w:keepLines/>
        <w:rPr>
          <w:lang w:val="en-NZ" w:eastAsia="en-NZ"/>
        </w:rPr>
      </w:pPr>
      <w:r>
        <w:t xml:space="preserve">Under the BDMRR Act, the Registrar-General </w:t>
      </w:r>
      <w:r w:rsidR="0037460F">
        <w:t>can</w:t>
      </w:r>
      <w:r>
        <w:t xml:space="preserve"> require a person before whom a statutory declaration is made to verify the identity of the eligible person, and to state whether the person is satisfied of the identity of the eligible person. </w:t>
      </w:r>
      <w:r w:rsidRPr="00AA29E2">
        <w:rPr>
          <w:lang w:val="en-NZ" w:eastAsia="en-NZ"/>
        </w:rPr>
        <w:t xml:space="preserve">False declarations are </w:t>
      </w:r>
      <w:r>
        <w:rPr>
          <w:lang w:val="en-NZ" w:eastAsia="en-NZ"/>
        </w:rPr>
        <w:t xml:space="preserve">also </w:t>
      </w:r>
      <w:r w:rsidRPr="00AA29E2">
        <w:rPr>
          <w:lang w:val="en-NZ" w:eastAsia="en-NZ"/>
        </w:rPr>
        <w:t xml:space="preserve">an offence under both the Crimes Act 1961 and the BDMRR Act, </w:t>
      </w:r>
      <w:r w:rsidR="0037460F">
        <w:rPr>
          <w:lang w:val="en-NZ" w:eastAsia="en-NZ"/>
        </w:rPr>
        <w:t xml:space="preserve">and a person </w:t>
      </w:r>
      <w:r w:rsidRPr="00AA29E2">
        <w:rPr>
          <w:lang w:val="en-NZ" w:eastAsia="en-NZ"/>
        </w:rPr>
        <w:t>is liable on conviction to imprisonment.</w:t>
      </w:r>
      <w:r w:rsidR="0037460F">
        <w:rPr>
          <w:lang w:val="en-NZ" w:eastAsia="en-NZ"/>
        </w:rPr>
        <w:t xml:space="preserve"> T</w:t>
      </w:r>
      <w:r w:rsidRPr="00AA29E2">
        <w:rPr>
          <w:lang w:val="en-NZ" w:eastAsia="en-NZ"/>
        </w:rPr>
        <w:t>he repercussions for</w:t>
      </w:r>
      <w:r>
        <w:rPr>
          <w:lang w:val="en-NZ" w:eastAsia="en-NZ"/>
        </w:rPr>
        <w:t xml:space="preserve"> falsifying a statutory declaration</w:t>
      </w:r>
      <w:r w:rsidRPr="00AA29E2">
        <w:rPr>
          <w:lang w:val="en-NZ" w:eastAsia="en-NZ"/>
        </w:rPr>
        <w:t xml:space="preserve"> act as a deterrent to those wishing to use the process for unlawful reasons.</w:t>
      </w:r>
    </w:p>
    <w:p w14:paraId="79278E9C" w14:textId="4426B6A6" w:rsidR="006D602F" w:rsidRPr="004C379C" w:rsidRDefault="006D602F" w:rsidP="008B6085">
      <w:pPr>
        <w:pStyle w:val="BodyText-Numbered"/>
        <w:keepNext w:val="0"/>
        <w:keepLines/>
        <w:rPr>
          <w:lang w:val="en-NZ" w:eastAsia="en-NZ"/>
        </w:rPr>
      </w:pPr>
      <w:r>
        <w:rPr>
          <w:lang w:val="en-NZ" w:eastAsia="en-NZ"/>
        </w:rPr>
        <w:lastRenderedPageBreak/>
        <w:t>The Department</w:t>
      </w:r>
      <w:r w:rsidR="00570978">
        <w:rPr>
          <w:lang w:val="en-NZ" w:eastAsia="en-NZ"/>
        </w:rPr>
        <w:t xml:space="preserve"> of Internal Affairs</w:t>
      </w:r>
      <w:r>
        <w:rPr>
          <w:lang w:val="en-NZ" w:eastAsia="en-NZ"/>
        </w:rPr>
        <w:t xml:space="preserve"> </w:t>
      </w:r>
      <w:r w:rsidR="00570978">
        <w:rPr>
          <w:lang w:val="en-NZ" w:eastAsia="en-NZ"/>
        </w:rPr>
        <w:t>(the Department)</w:t>
      </w:r>
      <w:r>
        <w:rPr>
          <w:lang w:val="en-NZ" w:eastAsia="en-NZ"/>
        </w:rPr>
        <w:t xml:space="preserve"> also has its own </w:t>
      </w:r>
      <w:r w:rsidR="006E4597">
        <w:rPr>
          <w:lang w:val="en-NZ" w:eastAsia="en-NZ"/>
        </w:rPr>
        <w:t xml:space="preserve">mechanisms </w:t>
      </w:r>
      <w:r>
        <w:rPr>
          <w:lang w:val="en-NZ" w:eastAsia="en-NZ"/>
        </w:rPr>
        <w:t>to manage the risk of identity fraud for Births, Deaths and Marriages products</w:t>
      </w:r>
      <w:r w:rsidR="006E4597">
        <w:rPr>
          <w:lang w:val="en-NZ" w:eastAsia="en-NZ"/>
        </w:rPr>
        <w:t xml:space="preserve">. For name changes, the Registrar-General has the ability under the BDMRR Act to require the eligible person to provide any means of identification </w:t>
      </w:r>
      <w:r w:rsidR="00DD1E4C">
        <w:rPr>
          <w:lang w:val="en-NZ" w:eastAsia="en-NZ"/>
        </w:rPr>
        <w:t xml:space="preserve">to </w:t>
      </w:r>
      <w:r w:rsidR="006E4597">
        <w:rPr>
          <w:lang w:val="en-NZ" w:eastAsia="en-NZ"/>
        </w:rPr>
        <w:t>confirm</w:t>
      </w:r>
      <w:r w:rsidR="00DD1E4C">
        <w:rPr>
          <w:lang w:val="en-NZ" w:eastAsia="en-NZ"/>
        </w:rPr>
        <w:t xml:space="preserve"> </w:t>
      </w:r>
      <w:r w:rsidR="006E4597">
        <w:rPr>
          <w:lang w:val="en-NZ" w:eastAsia="en-NZ"/>
        </w:rPr>
        <w:t xml:space="preserve">the identity of the eligible person. </w:t>
      </w:r>
      <w:r w:rsidR="006E4597" w:rsidRPr="00684A1D">
        <w:rPr>
          <w:lang w:val="en-NZ" w:eastAsia="en-NZ"/>
        </w:rPr>
        <w:t>Internal policies are also in place to identify potential situations of identity fraud</w:t>
      </w:r>
      <w:r w:rsidR="00DD1E4C">
        <w:rPr>
          <w:lang w:val="en-NZ" w:eastAsia="en-NZ"/>
        </w:rPr>
        <w:t xml:space="preserve">. </w:t>
      </w:r>
      <w:r>
        <w:rPr>
          <w:lang w:val="en-NZ" w:eastAsia="en-NZ"/>
        </w:rPr>
        <w:t xml:space="preserve">These processes are undertaken to </w:t>
      </w:r>
      <w:r w:rsidRPr="004C379C">
        <w:rPr>
          <w:color w:val="000000"/>
          <w:szCs w:val="27"/>
        </w:rPr>
        <w:t xml:space="preserve">confirm the validity of information supplied in </w:t>
      </w:r>
      <w:r w:rsidR="006E4597">
        <w:rPr>
          <w:color w:val="000000"/>
          <w:szCs w:val="27"/>
        </w:rPr>
        <w:t xml:space="preserve">an </w:t>
      </w:r>
      <w:r w:rsidRPr="004C379C">
        <w:rPr>
          <w:color w:val="000000"/>
          <w:szCs w:val="27"/>
        </w:rPr>
        <w:t xml:space="preserve">application, ensure a person can only be issued with one verified identity, and keep core identity information in the verified identity accurate and </w:t>
      </w:r>
      <w:r w:rsidR="003653D9" w:rsidRPr="004C379C">
        <w:rPr>
          <w:color w:val="000000"/>
          <w:szCs w:val="27"/>
        </w:rPr>
        <w:t>up</w:t>
      </w:r>
      <w:r w:rsidR="003653D9">
        <w:rPr>
          <w:color w:val="000000"/>
          <w:szCs w:val="27"/>
        </w:rPr>
        <w:t xml:space="preserve"> to date</w:t>
      </w:r>
      <w:r w:rsidRPr="004C379C">
        <w:rPr>
          <w:color w:val="000000"/>
          <w:sz w:val="27"/>
          <w:szCs w:val="27"/>
        </w:rPr>
        <w:t>.</w:t>
      </w:r>
    </w:p>
    <w:p w14:paraId="221411F0" w14:textId="79F6A8D5" w:rsidR="006E4597" w:rsidRDefault="006D602F" w:rsidP="008B6085">
      <w:pPr>
        <w:pStyle w:val="BodyText-Numbered"/>
        <w:keepNext w:val="0"/>
        <w:keepLines/>
        <w:rPr>
          <w:lang w:val="en-NZ" w:eastAsia="en-NZ"/>
        </w:rPr>
      </w:pPr>
      <w:r w:rsidRPr="00D746CA">
        <w:rPr>
          <w:lang w:val="en-NZ" w:eastAsia="en-NZ"/>
        </w:rPr>
        <w:t xml:space="preserve">Changing registered sex multiple times relates to an existing issue with inaccuracy of information across justice sector agencies (such as the New Zealand Customs Service, New Zealand </w:t>
      </w:r>
      <w:proofErr w:type="gramStart"/>
      <w:r w:rsidRPr="00D746CA">
        <w:rPr>
          <w:lang w:val="en-NZ" w:eastAsia="en-NZ"/>
        </w:rPr>
        <w:t>Police</w:t>
      </w:r>
      <w:proofErr w:type="gramEnd"/>
      <w:r w:rsidRPr="00D746CA">
        <w:rPr>
          <w:lang w:val="en-NZ" w:eastAsia="en-NZ"/>
        </w:rPr>
        <w:t xml:space="preserve"> and </w:t>
      </w:r>
      <w:r w:rsidR="003D2E62">
        <w:rPr>
          <w:lang w:val="en-NZ" w:eastAsia="en-NZ"/>
        </w:rPr>
        <w:t xml:space="preserve">the </w:t>
      </w:r>
      <w:r w:rsidRPr="00D746CA">
        <w:rPr>
          <w:lang w:val="en-NZ" w:eastAsia="en-NZ"/>
        </w:rPr>
        <w:t xml:space="preserve">Department of Corrections). There is already a risk of inaccurate information across this sector when name change information is not shared. This could result in a person having multiple identities and their offences not being linked. </w:t>
      </w:r>
      <w:r w:rsidR="006E4597" w:rsidRPr="002C12FA">
        <w:rPr>
          <w:lang w:val="en-NZ" w:eastAsia="en-NZ"/>
        </w:rPr>
        <w:t xml:space="preserve">The </w:t>
      </w:r>
      <w:r w:rsidR="006E4597">
        <w:rPr>
          <w:lang w:val="en-NZ" w:eastAsia="en-NZ"/>
        </w:rPr>
        <w:t xml:space="preserve">BDMRR Act includes a </w:t>
      </w:r>
      <w:r w:rsidR="006E4597" w:rsidRPr="002C12FA">
        <w:rPr>
          <w:lang w:val="en-NZ" w:eastAsia="en-NZ"/>
        </w:rPr>
        <w:t>provision that enables previous registered sex and name change information to be provided to another agency where they have an interest in ensuring a person has one identity. This will enable some justice sector agencies to access a person’s previous name and sex where this is necessary.</w:t>
      </w:r>
    </w:p>
    <w:p w14:paraId="69CD0C29" w14:textId="6521189F" w:rsidR="0083300D" w:rsidRDefault="0083300D" w:rsidP="008B6085">
      <w:pPr>
        <w:pStyle w:val="Heading4"/>
        <w:keepLines/>
        <w:rPr>
          <w:lang w:val="en-NZ" w:eastAsia="en-NZ"/>
        </w:rPr>
      </w:pPr>
      <w:r>
        <w:rPr>
          <w:lang w:val="en-NZ" w:eastAsia="en-NZ"/>
        </w:rPr>
        <w:t>Additional requirements for multiple applicants can be prescribed in regulations</w:t>
      </w:r>
    </w:p>
    <w:p w14:paraId="41BA6992" w14:textId="414ADBBF" w:rsidR="0083300D" w:rsidRPr="0083300D" w:rsidRDefault="00070512" w:rsidP="008B6085">
      <w:pPr>
        <w:pStyle w:val="BodyText-Numbered"/>
        <w:keepNext w:val="0"/>
        <w:keepLines/>
      </w:pPr>
      <w:r>
        <w:t xml:space="preserve">The </w:t>
      </w:r>
      <w:r w:rsidR="00DC75E7">
        <w:t>BDMRR Act</w:t>
      </w:r>
      <w:r>
        <w:t xml:space="preserve"> prescribes one regulatory option for addressing the risk of identity fraud. </w:t>
      </w:r>
      <w:r w:rsidR="0083300D">
        <w:t xml:space="preserve">Section 144(d) of the </w:t>
      </w:r>
      <w:r w:rsidR="00DC75E7">
        <w:t>BDMRR Act</w:t>
      </w:r>
      <w:r w:rsidR="0083300D">
        <w:t xml:space="preserve"> enables regulation-making powers to prescribe any additional requirements that an application must meet if the applicant has previously amended their registered sex. </w:t>
      </w:r>
    </w:p>
    <w:p w14:paraId="7DAFBFD1" w14:textId="5C85A3F7" w:rsidR="004B29B1" w:rsidRPr="00E901E5" w:rsidRDefault="004B29B1" w:rsidP="00802AB2">
      <w:pPr>
        <w:pStyle w:val="Heading3"/>
        <w:rPr>
          <w:lang w:val="en-NZ"/>
        </w:rPr>
      </w:pPr>
      <w:r w:rsidRPr="00A864A5">
        <w:rPr>
          <w:lang w:val="en-NZ"/>
        </w:rPr>
        <w:t>What is the policy problem</w:t>
      </w:r>
      <w:r>
        <w:rPr>
          <w:lang w:val="en-NZ"/>
        </w:rPr>
        <w:t xml:space="preserve"> or opportunity</w:t>
      </w:r>
      <w:r w:rsidRPr="00A864A5">
        <w:rPr>
          <w:lang w:val="en-NZ"/>
        </w:rPr>
        <w:t>?</w:t>
      </w:r>
    </w:p>
    <w:p w14:paraId="4527F045" w14:textId="31BBDD20" w:rsidR="005B59A9" w:rsidRPr="005B59A9" w:rsidRDefault="005B59A9" w:rsidP="008B6085">
      <w:pPr>
        <w:pStyle w:val="BodyText-Numbered"/>
        <w:keepNext w:val="0"/>
        <w:keepLines/>
        <w:rPr>
          <w:lang w:val="en-NZ" w:eastAsia="en-NZ"/>
        </w:rPr>
      </w:pPr>
      <w:r>
        <w:rPr>
          <w:lang w:val="en-NZ" w:eastAsia="en-NZ"/>
        </w:rPr>
        <w:t xml:space="preserve">Despite the mitigations in place to manage the potential risk of identity fraud under the self-identification process, a low </w:t>
      </w:r>
      <w:r w:rsidRPr="00D746CA">
        <w:rPr>
          <w:lang w:val="en-NZ" w:eastAsia="en-NZ"/>
        </w:rPr>
        <w:t xml:space="preserve">risk remains </w:t>
      </w:r>
      <w:r>
        <w:rPr>
          <w:lang w:val="en-NZ" w:eastAsia="en-NZ"/>
        </w:rPr>
        <w:t xml:space="preserve">with people being </w:t>
      </w:r>
      <w:r w:rsidRPr="00D746CA">
        <w:rPr>
          <w:lang w:val="en-NZ" w:eastAsia="en-NZ"/>
        </w:rPr>
        <w:t>able to change their name at the same time as their registered sex</w:t>
      </w:r>
      <w:r>
        <w:rPr>
          <w:lang w:val="en-NZ" w:eastAsia="en-NZ"/>
        </w:rPr>
        <w:t>. This creates an opportunity for someone to obtain multiple identities that cannot be</w:t>
      </w:r>
      <w:r w:rsidRPr="00D746CA">
        <w:rPr>
          <w:lang w:val="en-NZ" w:eastAsia="en-NZ"/>
        </w:rPr>
        <w:t xml:space="preserve"> easily linked to their </w:t>
      </w:r>
      <w:r>
        <w:rPr>
          <w:lang w:val="en-NZ" w:eastAsia="en-NZ"/>
        </w:rPr>
        <w:t>original</w:t>
      </w:r>
      <w:r w:rsidRPr="00D746CA">
        <w:rPr>
          <w:lang w:val="en-NZ" w:eastAsia="en-NZ"/>
        </w:rPr>
        <w:t xml:space="preserve"> identity</w:t>
      </w:r>
      <w:r>
        <w:rPr>
          <w:lang w:val="en-NZ" w:eastAsia="en-NZ"/>
        </w:rPr>
        <w:t xml:space="preserve"> for the purposes </w:t>
      </w:r>
      <w:r w:rsidR="00DD1E4C">
        <w:rPr>
          <w:lang w:val="en-NZ" w:eastAsia="en-NZ"/>
        </w:rPr>
        <w:t xml:space="preserve">of </w:t>
      </w:r>
      <w:r>
        <w:rPr>
          <w:lang w:val="en-NZ" w:eastAsia="en-NZ"/>
        </w:rPr>
        <w:t>commit</w:t>
      </w:r>
      <w:r w:rsidR="00DD1E4C">
        <w:rPr>
          <w:lang w:val="en-NZ" w:eastAsia="en-NZ"/>
        </w:rPr>
        <w:t>ting</w:t>
      </w:r>
      <w:r>
        <w:rPr>
          <w:lang w:val="en-NZ" w:eastAsia="en-NZ"/>
        </w:rPr>
        <w:t xml:space="preserve"> identity fraud.</w:t>
      </w:r>
    </w:p>
    <w:p w14:paraId="223D6717" w14:textId="73E55EEE" w:rsidR="004B29B1" w:rsidRPr="00847E6E" w:rsidRDefault="004B29B1" w:rsidP="00802AB2">
      <w:pPr>
        <w:pStyle w:val="Heading3"/>
        <w:rPr>
          <w:lang w:val="en-NZ"/>
        </w:rPr>
      </w:pPr>
      <w:r w:rsidRPr="00A864A5">
        <w:rPr>
          <w:lang w:val="en-NZ"/>
        </w:rPr>
        <w:t xml:space="preserve">What objectives </w:t>
      </w:r>
      <w:r>
        <w:rPr>
          <w:lang w:val="en-NZ"/>
        </w:rPr>
        <w:t>are sought</w:t>
      </w:r>
      <w:r w:rsidRPr="00A864A5">
        <w:rPr>
          <w:lang w:val="en-NZ"/>
        </w:rPr>
        <w:t xml:space="preserve"> in relation to th</w:t>
      </w:r>
      <w:r>
        <w:rPr>
          <w:lang w:val="en-NZ"/>
        </w:rPr>
        <w:t>e</w:t>
      </w:r>
      <w:r w:rsidRPr="00A864A5">
        <w:rPr>
          <w:lang w:val="en-NZ"/>
        </w:rPr>
        <w:t xml:space="preserve"> policy problem?</w:t>
      </w:r>
    </w:p>
    <w:p w14:paraId="440BB84C" w14:textId="77777777" w:rsidR="005B59A9" w:rsidRPr="008246EE" w:rsidRDefault="005B59A9" w:rsidP="008B6085">
      <w:pPr>
        <w:pStyle w:val="BodyText-Numbered"/>
        <w:keepNext w:val="0"/>
        <w:keepLines/>
      </w:pPr>
      <w:r w:rsidRPr="00CC2EF0">
        <w:t>The objectives</w:t>
      </w:r>
      <w:r w:rsidRPr="00056B6A">
        <w:t xml:space="preserve"> </w:t>
      </w:r>
      <w:r w:rsidRPr="008246EE">
        <w:t xml:space="preserve">of </w:t>
      </w:r>
      <w:r>
        <w:t>finding a solution to mitigate against the low risk of identity fraud are to:</w:t>
      </w:r>
      <w:r w:rsidRPr="008246EE">
        <w:t xml:space="preserve"> </w:t>
      </w:r>
    </w:p>
    <w:p w14:paraId="05DC6C49" w14:textId="1FD8AA16" w:rsidR="0049402F" w:rsidRPr="00B53952" w:rsidRDefault="006E1E28" w:rsidP="00B53952">
      <w:pPr>
        <w:pStyle w:val="BodyText-Numbered"/>
        <w:keepNext w:val="0"/>
        <w:keepLines/>
        <w:numPr>
          <w:ilvl w:val="1"/>
          <w:numId w:val="1"/>
        </w:numPr>
        <w:rPr>
          <w:color w:val="000000"/>
          <w:szCs w:val="22"/>
          <w:lang w:val="en-NZ" w:eastAsia="en-NZ"/>
        </w:rPr>
      </w:pPr>
      <w:r w:rsidRPr="00B53952">
        <w:rPr>
          <w:color w:val="000000"/>
          <w:szCs w:val="22"/>
          <w:lang w:val="en-NZ" w:eastAsia="en-NZ"/>
        </w:rPr>
        <w:t>u</w:t>
      </w:r>
      <w:r w:rsidR="0049402F" w:rsidRPr="00B53952">
        <w:rPr>
          <w:color w:val="000000"/>
          <w:szCs w:val="22"/>
          <w:lang w:val="en-NZ" w:eastAsia="en-NZ"/>
        </w:rPr>
        <w:t xml:space="preserve">phold public trust and confidence in how birth register information is used and maintained; and </w:t>
      </w:r>
    </w:p>
    <w:p w14:paraId="10AA0BA3" w14:textId="6F38BEF1" w:rsidR="005B59A9" w:rsidRPr="00056ED8" w:rsidRDefault="0049402F" w:rsidP="00B53952">
      <w:pPr>
        <w:pStyle w:val="BodyText-Numbered"/>
        <w:keepNext w:val="0"/>
        <w:keepLines/>
        <w:numPr>
          <w:ilvl w:val="1"/>
          <w:numId w:val="1"/>
        </w:numPr>
        <w:rPr>
          <w:sz w:val="18"/>
          <w:szCs w:val="22"/>
        </w:rPr>
      </w:pPr>
      <w:r w:rsidRPr="00B53952">
        <w:rPr>
          <w:color w:val="000000"/>
          <w:szCs w:val="22"/>
          <w:lang w:val="en-NZ" w:eastAsia="en-NZ"/>
        </w:rPr>
        <w:t xml:space="preserve">continue to </w:t>
      </w:r>
      <w:r w:rsidR="005B59A9" w:rsidRPr="00B53952">
        <w:rPr>
          <w:color w:val="000000"/>
          <w:szCs w:val="22"/>
          <w:lang w:val="en-NZ" w:eastAsia="en-NZ"/>
        </w:rPr>
        <w:t>ensure</w:t>
      </w:r>
      <w:r w:rsidR="005B59A9">
        <w:rPr>
          <w:szCs w:val="22"/>
        </w:rPr>
        <w:t xml:space="preserve"> people can access the self-identification process</w:t>
      </w:r>
      <w:r>
        <w:rPr>
          <w:szCs w:val="22"/>
        </w:rPr>
        <w:t>.</w:t>
      </w:r>
    </w:p>
    <w:p w14:paraId="28A89C86" w14:textId="4EB43F00" w:rsidR="004B29B1" w:rsidRPr="005B59A9" w:rsidRDefault="004B29B1" w:rsidP="005B59A9">
      <w:pPr>
        <w:pStyle w:val="ListParagraph"/>
        <w:numPr>
          <w:ilvl w:val="0"/>
          <w:numId w:val="14"/>
        </w:numPr>
        <w:spacing w:before="80" w:after="80" w:line="240" w:lineRule="auto"/>
        <w:contextualSpacing w:val="0"/>
        <w:rPr>
          <w:sz w:val="18"/>
          <w:szCs w:val="22"/>
        </w:rPr>
      </w:pPr>
      <w:r w:rsidRPr="005B59A9">
        <w:rPr>
          <w:lang w:val="en-NZ"/>
        </w:rPr>
        <w:br w:type="page"/>
      </w:r>
    </w:p>
    <w:p w14:paraId="678978E0" w14:textId="77777777" w:rsidR="004B29B1" w:rsidRDefault="004B29B1" w:rsidP="00802AB2">
      <w:pPr>
        <w:pStyle w:val="Heading2"/>
        <w:rPr>
          <w:lang w:val="en-NZ"/>
        </w:rPr>
      </w:pPr>
      <w:r w:rsidRPr="00A864A5">
        <w:rPr>
          <w:lang w:val="en-NZ"/>
        </w:rPr>
        <w:lastRenderedPageBreak/>
        <w:t xml:space="preserve">Section 2: </w:t>
      </w:r>
      <w:r>
        <w:rPr>
          <w:lang w:val="en-NZ"/>
        </w:rPr>
        <w:t>Deciding upon an option to address the policy problem</w:t>
      </w:r>
    </w:p>
    <w:p w14:paraId="30AE5765" w14:textId="18DA980C" w:rsidR="004B29B1" w:rsidRPr="00B3077E" w:rsidRDefault="004B29B1" w:rsidP="00802AB2">
      <w:pPr>
        <w:pStyle w:val="Heading3"/>
        <w:rPr>
          <w:lang w:val="en-NZ"/>
        </w:rPr>
      </w:pPr>
      <w:r w:rsidRPr="00A864A5">
        <w:rPr>
          <w:lang w:val="en-NZ"/>
        </w:rPr>
        <w:t xml:space="preserve">What criteria will </w:t>
      </w:r>
      <w:r>
        <w:rPr>
          <w:lang w:val="en-NZ"/>
        </w:rPr>
        <w:t>be used to</w:t>
      </w:r>
      <w:r w:rsidRPr="00A864A5">
        <w:rPr>
          <w:lang w:val="en-NZ"/>
        </w:rPr>
        <w:t xml:space="preserve"> </w:t>
      </w:r>
      <w:r>
        <w:rPr>
          <w:lang w:val="en-NZ"/>
        </w:rPr>
        <w:t>compare</w:t>
      </w:r>
      <w:r w:rsidRPr="00A864A5">
        <w:rPr>
          <w:lang w:val="en-NZ"/>
        </w:rPr>
        <w:t xml:space="preserve"> options </w:t>
      </w:r>
      <w:r>
        <w:rPr>
          <w:lang w:val="en-NZ"/>
        </w:rPr>
        <w:t>to</w:t>
      </w:r>
      <w:r w:rsidRPr="00A864A5">
        <w:rPr>
          <w:lang w:val="en-NZ"/>
        </w:rPr>
        <w:t xml:space="preserve"> the status quo?</w:t>
      </w:r>
    </w:p>
    <w:p w14:paraId="7007F5A7" w14:textId="77777777" w:rsidR="002B79BA" w:rsidRDefault="002B79BA" w:rsidP="008B6085">
      <w:pPr>
        <w:pStyle w:val="BodyText-Numbered"/>
        <w:keepNext w:val="0"/>
        <w:keepLines/>
        <w:rPr>
          <w:lang w:eastAsia="en-NZ"/>
        </w:rPr>
      </w:pPr>
      <w:r w:rsidRPr="00044745">
        <w:rPr>
          <w:lang w:eastAsia="en-NZ"/>
        </w:rPr>
        <w:t xml:space="preserve">The criteria used to assess the options for </w:t>
      </w:r>
      <w:r>
        <w:rPr>
          <w:lang w:eastAsia="en-NZ"/>
        </w:rPr>
        <w:t>mitigating the risk of identity fraud are:</w:t>
      </w:r>
    </w:p>
    <w:p w14:paraId="7C67FDC0" w14:textId="77777777" w:rsidR="00D93A59" w:rsidRDefault="002B79BA" w:rsidP="00B53952">
      <w:pPr>
        <w:pStyle w:val="BodyText-Numbered"/>
        <w:keepNext w:val="0"/>
        <w:keepLines/>
        <w:numPr>
          <w:ilvl w:val="1"/>
          <w:numId w:val="1"/>
        </w:numPr>
      </w:pPr>
      <w:r w:rsidRPr="00116418">
        <w:rPr>
          <w:b/>
        </w:rPr>
        <w:t>Accessibility:</w:t>
      </w:r>
      <w:r>
        <w:t xml:space="preserve"> applicants</w:t>
      </w:r>
      <w:r w:rsidRPr="00056B6A">
        <w:t xml:space="preserve"> </w:t>
      </w:r>
      <w:r w:rsidRPr="00B53952">
        <w:rPr>
          <w:color w:val="000000"/>
          <w:szCs w:val="22"/>
          <w:lang w:val="en-NZ" w:eastAsia="en-NZ"/>
        </w:rPr>
        <w:t>can</w:t>
      </w:r>
      <w:r w:rsidRPr="00056B6A">
        <w:t xml:space="preserve"> easily </w:t>
      </w:r>
      <w:r>
        <w:t xml:space="preserve">apply to amend their registered sex </w:t>
      </w:r>
      <w:r w:rsidRPr="00056B6A">
        <w:t>without any unn</w:t>
      </w:r>
      <w:r>
        <w:t>ecessary barriers or complexity.</w:t>
      </w:r>
    </w:p>
    <w:p w14:paraId="3C7EB925" w14:textId="77777777" w:rsidR="00626178" w:rsidRPr="00997539" w:rsidRDefault="00626178" w:rsidP="00B53952">
      <w:pPr>
        <w:pStyle w:val="BodyText-Numbered"/>
        <w:keepNext w:val="0"/>
        <w:keepLines/>
        <w:numPr>
          <w:ilvl w:val="1"/>
          <w:numId w:val="1"/>
        </w:numPr>
      </w:pPr>
      <w:r w:rsidRPr="00CF7D9D">
        <w:rPr>
          <w:b/>
          <w:szCs w:val="22"/>
        </w:rPr>
        <w:t xml:space="preserve">Integrity: </w:t>
      </w:r>
      <w:r w:rsidRPr="00CF7D9D">
        <w:rPr>
          <w:szCs w:val="22"/>
        </w:rPr>
        <w:t xml:space="preserve">have </w:t>
      </w:r>
      <w:r w:rsidRPr="00B53952">
        <w:rPr>
          <w:color w:val="000000"/>
          <w:szCs w:val="22"/>
          <w:lang w:val="en-NZ" w:eastAsia="en-NZ"/>
        </w:rPr>
        <w:t>confidence</w:t>
      </w:r>
      <w:r w:rsidRPr="00CF7D9D">
        <w:rPr>
          <w:szCs w:val="22"/>
        </w:rPr>
        <w:t xml:space="preserve"> applications are genuine </w:t>
      </w:r>
      <w:r w:rsidRPr="00CF7D9D">
        <w:t xml:space="preserve">and </w:t>
      </w:r>
      <w:r w:rsidRPr="00CF7D9D">
        <w:rPr>
          <w:szCs w:val="22"/>
        </w:rPr>
        <w:t xml:space="preserve">the </w:t>
      </w:r>
      <w:r w:rsidRPr="00CF7D9D">
        <w:rPr>
          <w:color w:val="000000"/>
          <w:szCs w:val="22"/>
        </w:rPr>
        <w:t>opportunity to commit fraudulent or illegal intent under the self-identification process is limited.</w:t>
      </w:r>
    </w:p>
    <w:p w14:paraId="649186CC" w14:textId="0414A8A1" w:rsidR="00626178" w:rsidRPr="00997539" w:rsidRDefault="00511E97" w:rsidP="00B53952">
      <w:pPr>
        <w:pStyle w:val="BodyText-Numbered"/>
        <w:keepNext w:val="0"/>
        <w:keepLines/>
        <w:numPr>
          <w:ilvl w:val="1"/>
          <w:numId w:val="1"/>
        </w:numPr>
      </w:pPr>
      <w:r>
        <w:rPr>
          <w:b/>
          <w:color w:val="000000"/>
          <w:szCs w:val="27"/>
        </w:rPr>
        <w:t>Proportionality</w:t>
      </w:r>
      <w:r w:rsidR="00626178" w:rsidRPr="00997539">
        <w:rPr>
          <w:b/>
          <w:color w:val="000000"/>
          <w:szCs w:val="27"/>
        </w:rPr>
        <w:t xml:space="preserve">: </w:t>
      </w:r>
      <w:r w:rsidR="00F361BB" w:rsidRPr="00F361BB">
        <w:rPr>
          <w:color w:val="000000"/>
          <w:szCs w:val="27"/>
        </w:rPr>
        <w:t xml:space="preserve">any </w:t>
      </w:r>
      <w:r w:rsidR="00F361BB" w:rsidRPr="00B53952">
        <w:rPr>
          <w:color w:val="000000"/>
          <w:szCs w:val="22"/>
          <w:lang w:val="en-NZ" w:eastAsia="en-NZ"/>
        </w:rPr>
        <w:t>additional</w:t>
      </w:r>
      <w:r w:rsidR="00F361BB">
        <w:rPr>
          <w:szCs w:val="22"/>
        </w:rPr>
        <w:t xml:space="preserve"> requirements are balanced against</w:t>
      </w:r>
      <w:r w:rsidR="00F361BB" w:rsidRPr="00F361BB">
        <w:rPr>
          <w:szCs w:val="22"/>
        </w:rPr>
        <w:t xml:space="preserve"> </w:t>
      </w:r>
      <w:r w:rsidR="00626178" w:rsidRPr="00997539">
        <w:rPr>
          <w:szCs w:val="22"/>
        </w:rPr>
        <w:t xml:space="preserve">the </w:t>
      </w:r>
      <w:r w:rsidR="00F361BB">
        <w:rPr>
          <w:szCs w:val="22"/>
        </w:rPr>
        <w:t>likely</w:t>
      </w:r>
      <w:r w:rsidR="00626178" w:rsidRPr="00997539">
        <w:rPr>
          <w:szCs w:val="22"/>
        </w:rPr>
        <w:t xml:space="preserve"> probability of misuse of the self-identification process.</w:t>
      </w:r>
    </w:p>
    <w:p w14:paraId="28D7D6F9" w14:textId="1A3A19CA" w:rsidR="00DD1E4C" w:rsidRDefault="00626178" w:rsidP="00FC5A67">
      <w:pPr>
        <w:pStyle w:val="BodyText-Numbered"/>
        <w:keepNext w:val="0"/>
        <w:keepLines/>
      </w:pPr>
      <w:r>
        <w:t>The criteria have been loosely developed off the original criteria used to assess options for improving the process to amend sex on birth certificates because it is important that the regulatory options are consistent with the original policy intent of self-identification.</w:t>
      </w:r>
      <w:r w:rsidR="00FC5A67">
        <w:t xml:space="preserve"> The criteria are explain</w:t>
      </w:r>
      <w:r w:rsidR="00793B7D">
        <w:t>ed</w:t>
      </w:r>
      <w:r w:rsidR="00FC5A67">
        <w:t xml:space="preserve"> further below:</w:t>
      </w:r>
      <w:r w:rsidR="00DD1E4C">
        <w:t xml:space="preserve"> </w:t>
      </w:r>
    </w:p>
    <w:p w14:paraId="3D640A4A" w14:textId="558400A4" w:rsidR="00626178" w:rsidRPr="00A90B18" w:rsidRDefault="00626178" w:rsidP="00B53952">
      <w:pPr>
        <w:pStyle w:val="BodyText-Numbered"/>
        <w:keepNext w:val="0"/>
        <w:keepLines/>
        <w:numPr>
          <w:ilvl w:val="1"/>
          <w:numId w:val="1"/>
        </w:numPr>
        <w:rPr>
          <w:szCs w:val="22"/>
        </w:rPr>
      </w:pPr>
      <w:r w:rsidRPr="00BC5CF3">
        <w:rPr>
          <w:szCs w:val="22"/>
        </w:rPr>
        <w:t>Accessibility is about reducing barriers</w:t>
      </w:r>
      <w:r>
        <w:rPr>
          <w:szCs w:val="22"/>
        </w:rPr>
        <w:t xml:space="preserve"> </w:t>
      </w:r>
      <w:r w:rsidRPr="00BC5CF3">
        <w:rPr>
          <w:szCs w:val="22"/>
        </w:rPr>
        <w:t>(</w:t>
      </w:r>
      <w:proofErr w:type="gramStart"/>
      <w:r w:rsidRPr="00BC5CF3">
        <w:rPr>
          <w:szCs w:val="22"/>
        </w:rPr>
        <w:t>e.g.</w:t>
      </w:r>
      <w:proofErr w:type="gramEnd"/>
      <w:r w:rsidRPr="00BC5CF3">
        <w:rPr>
          <w:szCs w:val="22"/>
        </w:rPr>
        <w:t xml:space="preserve"> cost, time and potential administrative burdens</w:t>
      </w:r>
      <w:r>
        <w:rPr>
          <w:szCs w:val="22"/>
        </w:rPr>
        <w:t>)</w:t>
      </w:r>
      <w:r w:rsidRPr="00BC5CF3">
        <w:rPr>
          <w:szCs w:val="22"/>
        </w:rPr>
        <w:t xml:space="preserve"> to access the self-identification process for multiple applications</w:t>
      </w:r>
      <w:r>
        <w:rPr>
          <w:szCs w:val="22"/>
        </w:rPr>
        <w:t xml:space="preserve">; however, </w:t>
      </w:r>
      <w:r>
        <w:t>creating requirements to maintain the integrity of the birth register could negatively impact its accessibility, including potentially undermining the policy intent of self-identification which is improving a person’s control over how their gender is recognised.</w:t>
      </w:r>
    </w:p>
    <w:p w14:paraId="59FD472B" w14:textId="11278361" w:rsidR="00EE42EA" w:rsidRPr="00EE42EA" w:rsidRDefault="00DD1E4C" w:rsidP="00EE42EA">
      <w:pPr>
        <w:pStyle w:val="BodyText-Numbered"/>
        <w:keepNext w:val="0"/>
        <w:keepLines/>
        <w:numPr>
          <w:ilvl w:val="1"/>
          <w:numId w:val="1"/>
        </w:numPr>
        <w:rPr>
          <w:szCs w:val="22"/>
        </w:rPr>
      </w:pPr>
      <w:r>
        <w:t>Integrity is abou</w:t>
      </w:r>
      <w:r w:rsidR="00EE42EA">
        <w:t xml:space="preserve">t </w:t>
      </w:r>
      <w:r w:rsidR="00EE42EA" w:rsidRPr="00EE42EA">
        <w:rPr>
          <w:color w:val="000000"/>
          <w:szCs w:val="22"/>
        </w:rPr>
        <w:t>mitigating the risk of applications</w:t>
      </w:r>
      <w:r w:rsidR="00EE42EA">
        <w:rPr>
          <w:color w:val="000000"/>
          <w:szCs w:val="22"/>
        </w:rPr>
        <w:t xml:space="preserve"> being made</w:t>
      </w:r>
      <w:r w:rsidR="00EE42EA" w:rsidRPr="00EE42EA">
        <w:rPr>
          <w:color w:val="000000"/>
          <w:szCs w:val="22"/>
        </w:rPr>
        <w:t xml:space="preserve"> for fraudulent or illegal intent and that the information in the birth register is accurate.</w:t>
      </w:r>
      <w:r w:rsidR="00EE42EA">
        <w:rPr>
          <w:color w:val="000000"/>
          <w:sz w:val="27"/>
          <w:szCs w:val="27"/>
        </w:rPr>
        <w:t xml:space="preserve"> </w:t>
      </w:r>
    </w:p>
    <w:p w14:paraId="0727BB46" w14:textId="5A9C0528" w:rsidR="0042107B" w:rsidRPr="00626178" w:rsidRDefault="00DD1E4C" w:rsidP="00B53952">
      <w:pPr>
        <w:pStyle w:val="BodyText-Numbered"/>
        <w:keepNext w:val="0"/>
        <w:keepLines/>
        <w:numPr>
          <w:ilvl w:val="1"/>
          <w:numId w:val="1"/>
        </w:numPr>
        <w:rPr>
          <w:szCs w:val="22"/>
        </w:rPr>
      </w:pPr>
      <w:r>
        <w:t>P</w:t>
      </w:r>
      <w:r w:rsidR="00133CB1">
        <w:t>roportionality</w:t>
      </w:r>
      <w:r>
        <w:t xml:space="preserve"> </w:t>
      </w:r>
      <w:r w:rsidR="00626178">
        <w:t>is about considering the likelihood and consequences of identity fraud</w:t>
      </w:r>
      <w:r w:rsidR="00EC552A">
        <w:t xml:space="preserve"> against how </w:t>
      </w:r>
      <w:r w:rsidR="004B4B9F">
        <w:t xml:space="preserve">much </w:t>
      </w:r>
      <w:r w:rsidR="00630DF1">
        <w:t xml:space="preserve">of </w:t>
      </w:r>
      <w:r w:rsidR="004B4B9F">
        <w:t>a</w:t>
      </w:r>
      <w:r w:rsidR="00EC552A">
        <w:t xml:space="preserve"> </w:t>
      </w:r>
      <w:proofErr w:type="gramStart"/>
      <w:r w:rsidR="00EC552A">
        <w:t>barrier additional requirements</w:t>
      </w:r>
      <w:proofErr w:type="gramEnd"/>
      <w:r w:rsidR="00EC552A">
        <w:t xml:space="preserve"> could impose</w:t>
      </w:r>
      <w:r w:rsidR="00626178">
        <w:t>. As identified, there is a perceived low risk of the self-identification process being exploited</w:t>
      </w:r>
      <w:r>
        <w:t xml:space="preserve"> </w:t>
      </w:r>
      <w:r w:rsidR="00626178">
        <w:t xml:space="preserve">for fraudulent reasons. Any possible solution must be appropriately balanced with the level of risk to </w:t>
      </w:r>
      <w:r>
        <w:t xml:space="preserve">not </w:t>
      </w:r>
      <w:r w:rsidR="00626178">
        <w:t xml:space="preserve">undermine the accessibility or integrity criteria. </w:t>
      </w:r>
    </w:p>
    <w:p w14:paraId="2B5B7D28" w14:textId="77777777" w:rsidR="004B29B1" w:rsidRPr="00CD4B62" w:rsidRDefault="004B29B1" w:rsidP="00802AB2">
      <w:pPr>
        <w:pStyle w:val="Heading3"/>
        <w:rPr>
          <w:lang w:val="en-NZ"/>
        </w:rPr>
      </w:pPr>
      <w:r w:rsidRPr="00A864A5">
        <w:rPr>
          <w:lang w:val="en-NZ"/>
        </w:rPr>
        <w:t xml:space="preserve">What scope </w:t>
      </w:r>
      <w:r>
        <w:rPr>
          <w:lang w:val="en-NZ"/>
        </w:rPr>
        <w:t>will</w:t>
      </w:r>
      <w:r w:rsidRPr="00A864A5">
        <w:rPr>
          <w:lang w:val="en-NZ"/>
        </w:rPr>
        <w:t xml:space="preserve"> </w:t>
      </w:r>
      <w:r>
        <w:rPr>
          <w:lang w:val="en-NZ"/>
        </w:rPr>
        <w:t>options be considered</w:t>
      </w:r>
      <w:r w:rsidRPr="00A864A5">
        <w:rPr>
          <w:lang w:val="en-NZ"/>
        </w:rPr>
        <w:t xml:space="preserve"> within?</w:t>
      </w:r>
    </w:p>
    <w:p w14:paraId="218C24DC" w14:textId="45054295" w:rsidR="00626178" w:rsidRDefault="00626178" w:rsidP="008B6085">
      <w:pPr>
        <w:pStyle w:val="BodyText-Numbered"/>
        <w:keepNext w:val="0"/>
        <w:keepLines/>
      </w:pPr>
      <w:r>
        <w:t>Both regulatory and non-regulatory options have been considered as potential solutions for mitigating the potential risk of identity fraud.</w:t>
      </w:r>
      <w:r w:rsidR="00DD1E4C">
        <w:t xml:space="preserve"> T</w:t>
      </w:r>
      <w:r>
        <w:t>he scope of any regulatory option is limited by the direction of the</w:t>
      </w:r>
      <w:r w:rsidR="004E7130">
        <w:t xml:space="preserve"> BDMRR Act.</w:t>
      </w:r>
      <w:r>
        <w:t xml:space="preserve"> Under subsection 144(3)</w:t>
      </w:r>
      <w:r w:rsidRPr="0076780F">
        <w:rPr>
          <w:lang w:val="en-NZ"/>
        </w:rPr>
        <w:t xml:space="preserve"> of the</w:t>
      </w:r>
      <w:r>
        <w:t xml:space="preserve"> BDMRR Act, the Minister must be satisfied that the additional requirements</w:t>
      </w:r>
      <w:r w:rsidR="00002A71">
        <w:t xml:space="preserve"> for multiple applications</w:t>
      </w:r>
      <w:r>
        <w:t xml:space="preserve"> prescribed</w:t>
      </w:r>
      <w:r w:rsidDel="0099190A">
        <w:t xml:space="preserve"> </w:t>
      </w:r>
      <w:r w:rsidR="00002A71">
        <w:t>under sub</w:t>
      </w:r>
      <w:r w:rsidR="0099190A">
        <w:t>section 144(d)</w:t>
      </w:r>
      <w:r>
        <w:t xml:space="preserve"> – </w:t>
      </w:r>
    </w:p>
    <w:p w14:paraId="186ECFF6" w14:textId="1C13846A" w:rsidR="00626178" w:rsidRDefault="00626178" w:rsidP="00B53952">
      <w:pPr>
        <w:pStyle w:val="BodyText-Numbered"/>
        <w:keepNext w:val="0"/>
        <w:keepLines/>
        <w:numPr>
          <w:ilvl w:val="1"/>
          <w:numId w:val="1"/>
        </w:numPr>
      </w:pPr>
      <w:r>
        <w:t xml:space="preserve">do not require the provision of medical </w:t>
      </w:r>
      <w:proofErr w:type="gramStart"/>
      <w:r>
        <w:t>evidence;</w:t>
      </w:r>
      <w:proofErr w:type="gramEnd"/>
      <w:r>
        <w:t xml:space="preserve"> </w:t>
      </w:r>
    </w:p>
    <w:p w14:paraId="6E2CC125" w14:textId="77777777" w:rsidR="00626178" w:rsidRDefault="00626178" w:rsidP="00B53952">
      <w:pPr>
        <w:pStyle w:val="BodyText-Numbered"/>
        <w:keepNext w:val="0"/>
        <w:keepLines/>
        <w:numPr>
          <w:ilvl w:val="1"/>
          <w:numId w:val="1"/>
        </w:numPr>
      </w:pPr>
      <w:r>
        <w:t>are reasonably necessary to reduce the risk of fraudulent applications; and</w:t>
      </w:r>
    </w:p>
    <w:p w14:paraId="45FA8BCC" w14:textId="77777777" w:rsidR="00626178" w:rsidRDefault="00626178" w:rsidP="00B53952">
      <w:pPr>
        <w:pStyle w:val="BodyText-Numbered"/>
        <w:keepNext w:val="0"/>
        <w:keepLines/>
        <w:numPr>
          <w:ilvl w:val="1"/>
          <w:numId w:val="1"/>
        </w:numPr>
      </w:pPr>
      <w:r>
        <w:t>do not create an unreasonable obstacle to the completion of an application.</w:t>
      </w:r>
    </w:p>
    <w:p w14:paraId="37D1E58E" w14:textId="1F7C1E88" w:rsidR="00626178" w:rsidRDefault="00626178" w:rsidP="008B6085">
      <w:pPr>
        <w:pStyle w:val="BodyText-Numbered"/>
        <w:keepNext w:val="0"/>
        <w:keepLines/>
      </w:pPr>
      <w:r>
        <w:t>Considering the requirements imposed on regulatory options, we have ruled out any non-regulatory option that includes the provision of medical evidence</w:t>
      </w:r>
      <w:r w:rsidR="001F70E7">
        <w:t xml:space="preserve">, </w:t>
      </w:r>
      <w:r w:rsidR="001D6A1B">
        <w:t>and</w:t>
      </w:r>
      <w:r>
        <w:t xml:space="preserve"> </w:t>
      </w:r>
      <w:r w:rsidR="001F70E7">
        <w:t xml:space="preserve">it </w:t>
      </w:r>
      <w:r>
        <w:t xml:space="preserve">would </w:t>
      </w:r>
      <w:r w:rsidR="001F70E7">
        <w:t xml:space="preserve">also </w:t>
      </w:r>
      <w:r>
        <w:t xml:space="preserve">go against the policy intent of self-identification. We have also ruled out an option that prescribes in regulations an identity witness to confirm the identity of an applicant.  </w:t>
      </w:r>
      <w:r w:rsidRPr="00A54CB1">
        <w:t xml:space="preserve">While an identity </w:t>
      </w:r>
      <w:r w:rsidR="0050385F">
        <w:t>witness</w:t>
      </w:r>
      <w:r w:rsidRPr="00A54CB1">
        <w:t xml:space="preserve"> would be able to </w:t>
      </w:r>
      <w:r w:rsidR="004B4B9F">
        <w:t>help</w:t>
      </w:r>
      <w:r w:rsidRPr="00A54CB1">
        <w:t xml:space="preserve"> prove that an applicant is who they say they are, </w:t>
      </w:r>
      <w:r w:rsidR="004B4B9F">
        <w:t>it would not</w:t>
      </w:r>
      <w:r w:rsidRPr="00A54CB1">
        <w:t xml:space="preserve"> provide assurance that the applicant is making a genuine application to amend their registered sex and change their name. </w:t>
      </w:r>
    </w:p>
    <w:p w14:paraId="0A604744" w14:textId="3D43BAAC" w:rsidR="00626178" w:rsidRDefault="000743BE" w:rsidP="008B6085">
      <w:pPr>
        <w:pStyle w:val="BodyText-Numbered"/>
        <w:keepNext w:val="0"/>
        <w:keepLines/>
      </w:pPr>
      <w:r>
        <w:lastRenderedPageBreak/>
        <w:t>We seek to refine the f</w:t>
      </w:r>
      <w:r w:rsidR="00626178">
        <w:t xml:space="preserve">easible options </w:t>
      </w:r>
      <w:r>
        <w:t xml:space="preserve">through </w:t>
      </w:r>
      <w:r w:rsidR="00626178">
        <w:t xml:space="preserve">stakeholder engagement. </w:t>
      </w:r>
      <w:r>
        <w:t>S</w:t>
      </w:r>
      <w:r w:rsidR="00626178">
        <w:t xml:space="preserve">ome feedback </w:t>
      </w:r>
      <w:r>
        <w:t xml:space="preserve">received </w:t>
      </w:r>
      <w:r w:rsidR="00626178">
        <w:t xml:space="preserve">during </w:t>
      </w:r>
      <w:r w:rsidR="001F70E7">
        <w:t>s</w:t>
      </w:r>
      <w:r w:rsidR="00626178">
        <w:t xml:space="preserve">elect </w:t>
      </w:r>
      <w:r w:rsidR="001F70E7">
        <w:t>c</w:t>
      </w:r>
      <w:r w:rsidR="00626178">
        <w:t>ommittee consultation on the self-identification provisions</w:t>
      </w:r>
      <w:r>
        <w:t xml:space="preserve"> argued for </w:t>
      </w:r>
      <w:r w:rsidR="00626178">
        <w:rPr>
          <w:color w:val="000000"/>
          <w:szCs w:val="27"/>
        </w:rPr>
        <w:t>re</w:t>
      </w:r>
      <w:r w:rsidR="00626178" w:rsidRPr="00A70467">
        <w:rPr>
          <w:color w:val="000000"/>
          <w:szCs w:val="27"/>
        </w:rPr>
        <w:t>mov</w:t>
      </w:r>
      <w:r>
        <w:rPr>
          <w:color w:val="000000"/>
          <w:szCs w:val="27"/>
        </w:rPr>
        <w:t>ing</w:t>
      </w:r>
      <w:r w:rsidR="00626178" w:rsidRPr="00A70467">
        <w:rPr>
          <w:color w:val="000000"/>
          <w:szCs w:val="27"/>
        </w:rPr>
        <w:t xml:space="preserve"> the need for any additional requirements for second or subsequent changes to registered sex</w:t>
      </w:r>
      <w:r w:rsidR="00626178">
        <w:rPr>
          <w:color w:val="000000"/>
          <w:szCs w:val="27"/>
        </w:rPr>
        <w:t>. C</w:t>
      </w:r>
      <w:r w:rsidR="00626178">
        <w:t>onsultation on our draft policy options for the self-identification regulations will provide an opportunity for submitters to comment in more detail</w:t>
      </w:r>
      <w:r>
        <w:t>. A</w:t>
      </w:r>
      <w:r w:rsidR="00626178">
        <w:t>ny</w:t>
      </w:r>
      <w:r w:rsidR="00626178">
        <w:rPr>
          <w:color w:val="000000"/>
          <w:szCs w:val="27"/>
        </w:rPr>
        <w:t xml:space="preserve"> f</w:t>
      </w:r>
      <w:r w:rsidR="00626178">
        <w:t xml:space="preserve">eedback we receive will be considered in the second round of policy development on the self-identification regulations. </w:t>
      </w:r>
    </w:p>
    <w:p w14:paraId="6FDD3B99" w14:textId="50B62313" w:rsidR="004B29B1" w:rsidRPr="00626178" w:rsidRDefault="00626178" w:rsidP="008B6085">
      <w:pPr>
        <w:pStyle w:val="BodyText-Numbered"/>
        <w:keepNext w:val="0"/>
        <w:keepLines/>
        <w:rPr>
          <w:color w:val="000000"/>
          <w:szCs w:val="27"/>
        </w:rPr>
      </w:pPr>
      <w:r>
        <w:t xml:space="preserve">Other countries’ models for additional requirements have informed our analysis. </w:t>
      </w:r>
      <w:r w:rsidRPr="0063295F">
        <w:rPr>
          <w:color w:val="000000"/>
          <w:szCs w:val="27"/>
        </w:rPr>
        <w:t>Australia</w:t>
      </w:r>
      <w:r>
        <w:rPr>
          <w:color w:val="000000"/>
          <w:szCs w:val="27"/>
        </w:rPr>
        <w:t xml:space="preserve"> (Victoria)</w:t>
      </w:r>
      <w:r w:rsidRPr="0063295F">
        <w:rPr>
          <w:color w:val="000000"/>
          <w:szCs w:val="27"/>
        </w:rPr>
        <w:t xml:space="preserve"> has additional requirements for multiple applications to change registered sex </w:t>
      </w:r>
      <w:r w:rsidR="000743BE">
        <w:rPr>
          <w:color w:val="000000"/>
          <w:szCs w:val="27"/>
        </w:rPr>
        <w:t>o</w:t>
      </w:r>
      <w:r w:rsidRPr="0063295F">
        <w:rPr>
          <w:color w:val="000000"/>
          <w:szCs w:val="27"/>
        </w:rPr>
        <w:t>n a birth certificate</w:t>
      </w:r>
      <w:r w:rsidR="000743BE">
        <w:rPr>
          <w:color w:val="000000"/>
          <w:szCs w:val="27"/>
        </w:rPr>
        <w:t xml:space="preserve">. There, </w:t>
      </w:r>
      <w:r w:rsidRPr="0063295F">
        <w:rPr>
          <w:color w:val="000000"/>
          <w:szCs w:val="27"/>
        </w:rPr>
        <w:t>a person’s application must be accompanied by a supporting statement from another person affirming that the application is made in ‘good faith’ and that they support the application. The state’s Registrar has the power to require further information to establish that the alteration of the record is not being sought for a fraudulent or other improper purpose.</w:t>
      </w:r>
    </w:p>
    <w:p w14:paraId="15445525" w14:textId="2007EDA5" w:rsidR="004B29B1" w:rsidRPr="00A864A5" w:rsidRDefault="004B29B1" w:rsidP="00802AB2">
      <w:pPr>
        <w:pStyle w:val="Heading3"/>
        <w:rPr>
          <w:lang w:val="en-NZ"/>
        </w:rPr>
      </w:pPr>
      <w:r>
        <w:rPr>
          <w:lang w:val="en-NZ"/>
        </w:rPr>
        <w:t>What options are being considered?</w:t>
      </w:r>
    </w:p>
    <w:p w14:paraId="4CBBB3C0" w14:textId="77777777" w:rsidR="005E39A1" w:rsidRDefault="005E39A1" w:rsidP="008B6085">
      <w:pPr>
        <w:pStyle w:val="BodyText-Numbered"/>
        <w:keepNext w:val="0"/>
        <w:keepLines/>
        <w:rPr>
          <w:lang w:val="en-NZ"/>
        </w:rPr>
      </w:pPr>
      <w:r>
        <w:rPr>
          <w:lang w:val="en-NZ"/>
        </w:rPr>
        <w:t xml:space="preserve">The options considered include: </w:t>
      </w:r>
    </w:p>
    <w:p w14:paraId="57EBBAD2" w14:textId="14339310" w:rsidR="0072251D" w:rsidRDefault="0072251D" w:rsidP="008B6085">
      <w:pPr>
        <w:pStyle w:val="BodyText-Numbered"/>
        <w:keepNext w:val="0"/>
        <w:keepLines/>
        <w:numPr>
          <w:ilvl w:val="1"/>
          <w:numId w:val="1"/>
        </w:numPr>
        <w:rPr>
          <w:lang w:val="en-NZ"/>
        </w:rPr>
      </w:pPr>
      <w:r>
        <w:rPr>
          <w:lang w:val="en-NZ"/>
        </w:rPr>
        <w:t xml:space="preserve">Option One – </w:t>
      </w:r>
      <w:r w:rsidR="00A460A4">
        <w:rPr>
          <w:lang w:val="en-NZ"/>
        </w:rPr>
        <w:t>counterfactual</w:t>
      </w:r>
      <w:r>
        <w:rPr>
          <w:lang w:val="en-NZ"/>
        </w:rPr>
        <w:t xml:space="preserve">: no additional </w:t>
      </w:r>
      <w:proofErr w:type="gramStart"/>
      <w:r>
        <w:rPr>
          <w:lang w:val="en-NZ"/>
        </w:rPr>
        <w:t>requirements</w:t>
      </w:r>
      <w:r w:rsidR="003D2E62">
        <w:rPr>
          <w:lang w:val="en-NZ"/>
        </w:rPr>
        <w:t>;</w:t>
      </w:r>
      <w:proofErr w:type="gramEnd"/>
    </w:p>
    <w:p w14:paraId="096ADD9D" w14:textId="3FDF66F6" w:rsidR="0072251D" w:rsidRDefault="0072251D" w:rsidP="008B6085">
      <w:pPr>
        <w:pStyle w:val="BodyText-Numbered"/>
        <w:keepNext w:val="0"/>
        <w:keepLines/>
        <w:numPr>
          <w:ilvl w:val="1"/>
          <w:numId w:val="1"/>
        </w:numPr>
        <w:rPr>
          <w:lang w:val="en-NZ"/>
        </w:rPr>
      </w:pPr>
      <w:r>
        <w:rPr>
          <w:lang w:val="en-NZ"/>
        </w:rPr>
        <w:t>Option Two – prescribe in regulations the requirement of a referee to provide statutory declaration that application is being made in ‘good faith’ (regulatory option)</w:t>
      </w:r>
      <w:r w:rsidR="003D2E62">
        <w:rPr>
          <w:lang w:val="en-NZ"/>
        </w:rPr>
        <w:t>; and</w:t>
      </w:r>
    </w:p>
    <w:p w14:paraId="63C482E9" w14:textId="170A1BEA" w:rsidR="0072251D" w:rsidRDefault="0072251D" w:rsidP="008B6085">
      <w:pPr>
        <w:pStyle w:val="BodyText-Numbered"/>
        <w:keepNext w:val="0"/>
        <w:keepLines/>
        <w:numPr>
          <w:ilvl w:val="1"/>
          <w:numId w:val="1"/>
        </w:numPr>
        <w:rPr>
          <w:lang w:val="en-NZ"/>
        </w:rPr>
      </w:pPr>
      <w:r>
        <w:rPr>
          <w:lang w:val="en-NZ"/>
        </w:rPr>
        <w:t xml:space="preserve">Option Three – </w:t>
      </w:r>
      <w:r w:rsidR="00840CCC">
        <w:rPr>
          <w:lang w:val="en-NZ"/>
        </w:rPr>
        <w:t>additional checks</w:t>
      </w:r>
      <w:r>
        <w:rPr>
          <w:lang w:val="en-NZ"/>
        </w:rPr>
        <w:t xml:space="preserve"> by the Department </w:t>
      </w:r>
      <w:r w:rsidR="001E08EA">
        <w:rPr>
          <w:lang w:val="en-NZ"/>
        </w:rPr>
        <w:t>(non-regulatory solution)</w:t>
      </w:r>
      <w:r w:rsidR="003D2E62">
        <w:rPr>
          <w:lang w:val="en-NZ"/>
        </w:rPr>
        <w:t>.</w:t>
      </w:r>
    </w:p>
    <w:p w14:paraId="24874442" w14:textId="298513F6" w:rsidR="00662974" w:rsidRPr="00626178" w:rsidRDefault="00662974" w:rsidP="00662974">
      <w:pPr>
        <w:pStyle w:val="BodyText-Numbered"/>
        <w:keepNext w:val="0"/>
        <w:keepLines/>
        <w:rPr>
          <w:color w:val="000000"/>
          <w:szCs w:val="27"/>
        </w:rPr>
      </w:pPr>
      <w:r>
        <w:rPr>
          <w:color w:val="000000"/>
          <w:szCs w:val="27"/>
        </w:rPr>
        <w:t xml:space="preserve">Options two and three are not mutually exclusive. Depending on the level of perceived risk of identity fraud under the self-identification process, it may be </w:t>
      </w:r>
      <w:r w:rsidR="00513AA7">
        <w:rPr>
          <w:color w:val="000000"/>
          <w:szCs w:val="27"/>
        </w:rPr>
        <w:t xml:space="preserve">that both options are used together as a way of mitigating any potential misuse of the process. Feedback we receive from consultation will be considered and </w:t>
      </w:r>
      <w:r w:rsidR="00AD37EE">
        <w:rPr>
          <w:color w:val="000000"/>
          <w:szCs w:val="27"/>
        </w:rPr>
        <w:t>will</w:t>
      </w:r>
      <w:r w:rsidR="00513AA7">
        <w:rPr>
          <w:color w:val="000000"/>
          <w:szCs w:val="27"/>
        </w:rPr>
        <w:t xml:space="preserve"> input into our second round of policy development on the self-identification regulations.</w:t>
      </w:r>
    </w:p>
    <w:p w14:paraId="798329F4" w14:textId="0ADF8522" w:rsidR="004B29B1" w:rsidRPr="00A864A5" w:rsidRDefault="004B29B1" w:rsidP="008B6085">
      <w:pPr>
        <w:pStyle w:val="Heading4"/>
        <w:keepLines/>
        <w:rPr>
          <w:lang w:val="en-NZ"/>
        </w:rPr>
      </w:pPr>
      <w:r w:rsidRPr="00A864A5">
        <w:rPr>
          <w:lang w:val="en-NZ"/>
        </w:rPr>
        <w:t xml:space="preserve">Option One – </w:t>
      </w:r>
      <w:r w:rsidR="0072251D">
        <w:rPr>
          <w:lang w:val="en-NZ"/>
        </w:rPr>
        <w:t xml:space="preserve">no </w:t>
      </w:r>
      <w:r w:rsidR="006C34EE">
        <w:rPr>
          <w:lang w:val="en-NZ"/>
        </w:rPr>
        <w:t>additi</w:t>
      </w:r>
      <w:r w:rsidR="0072251D">
        <w:rPr>
          <w:lang w:val="en-NZ"/>
        </w:rPr>
        <w:t>onal requirements</w:t>
      </w:r>
      <w:r w:rsidR="006C34EE">
        <w:rPr>
          <w:lang w:val="en-NZ"/>
        </w:rPr>
        <w:t xml:space="preserve"> </w:t>
      </w:r>
    </w:p>
    <w:p w14:paraId="0C35EA84" w14:textId="77777777" w:rsidR="0072251D" w:rsidRPr="00D57C11" w:rsidRDefault="0072251D" w:rsidP="008B6085">
      <w:pPr>
        <w:pStyle w:val="BodyText-Numbered"/>
        <w:keepNext w:val="0"/>
        <w:keepLines/>
        <w:numPr>
          <w:ilvl w:val="0"/>
          <w:numId w:val="0"/>
        </w:numPr>
        <w:ind w:left="567" w:hanging="567"/>
        <w:rPr>
          <w:i/>
          <w:u w:val="single"/>
        </w:rPr>
      </w:pPr>
      <w:r w:rsidRPr="00D57C11">
        <w:rPr>
          <w:i/>
          <w:u w:val="single"/>
        </w:rPr>
        <w:t>Key features</w:t>
      </w:r>
    </w:p>
    <w:p w14:paraId="0B72806E" w14:textId="2E7EB177" w:rsidR="0072251D" w:rsidRDefault="0072251D" w:rsidP="008B6085">
      <w:pPr>
        <w:pStyle w:val="BodyText-Numbered"/>
        <w:keepNext w:val="0"/>
        <w:keepLines/>
      </w:pPr>
      <w:r>
        <w:t>Under option one (</w:t>
      </w:r>
      <w:r w:rsidR="00A460A4">
        <w:t>counterfactual</w:t>
      </w:r>
      <w:r>
        <w:t xml:space="preserve">), no additional requirements will be required for multiple applications under the self-identification process. </w:t>
      </w:r>
    </w:p>
    <w:p w14:paraId="42B5B176" w14:textId="77777777" w:rsidR="0072251D" w:rsidRPr="00D57C11" w:rsidRDefault="0072251D" w:rsidP="008B6085">
      <w:pPr>
        <w:pStyle w:val="BodyText-Numbered"/>
        <w:keepNext w:val="0"/>
        <w:keepLines/>
        <w:numPr>
          <w:ilvl w:val="0"/>
          <w:numId w:val="0"/>
        </w:numPr>
        <w:rPr>
          <w:i/>
          <w:u w:val="single"/>
        </w:rPr>
      </w:pPr>
      <w:r w:rsidRPr="00D57C11">
        <w:rPr>
          <w:i/>
          <w:u w:val="single"/>
        </w:rPr>
        <w:t>Analysis</w:t>
      </w:r>
    </w:p>
    <w:p w14:paraId="4F65C9DE" w14:textId="54743145" w:rsidR="0072251D" w:rsidRPr="00D57C11" w:rsidRDefault="0072251D" w:rsidP="008B6085">
      <w:pPr>
        <w:pStyle w:val="BodyText-Numbered"/>
        <w:keepNext w:val="0"/>
        <w:keepLines/>
      </w:pPr>
      <w:r>
        <w:t xml:space="preserve">This option ensures the self-identification </w:t>
      </w:r>
      <w:r w:rsidR="008D3C9F">
        <w:t>process</w:t>
      </w:r>
      <w:r>
        <w:t xml:space="preserve"> is accessible to applicants as it does not impose any additional requirements for subsequent applications</w:t>
      </w:r>
      <w:r w:rsidR="00C4046E">
        <w:t>,</w:t>
      </w:r>
      <w:r>
        <w:t xml:space="preserve"> creating </w:t>
      </w:r>
      <w:r w:rsidR="008D3C9F">
        <w:t>no</w:t>
      </w:r>
      <w:r>
        <w:t xml:space="preserve"> </w:t>
      </w:r>
      <w:r w:rsidR="00C6496D">
        <w:t xml:space="preserve">extra </w:t>
      </w:r>
      <w:r>
        <w:t>barriers to access. As with a first-time application to amend registered sex, an applicant</w:t>
      </w:r>
      <w:r>
        <w:rPr>
          <w:rStyle w:val="FootnoteReference"/>
        </w:rPr>
        <w:footnoteReference w:id="28"/>
      </w:r>
      <w:r>
        <w:t xml:space="preserve"> will only have to fill out a statutory declaration to accompany any additional applications</w:t>
      </w:r>
      <w:r w:rsidRPr="001806DE">
        <w:rPr>
          <w:color w:val="000000"/>
          <w:szCs w:val="22"/>
          <w:lang w:val="en-NZ" w:eastAsia="en-NZ"/>
        </w:rPr>
        <w:t>.</w:t>
      </w:r>
    </w:p>
    <w:p w14:paraId="0EFE26DD" w14:textId="28305B4B" w:rsidR="0072251D" w:rsidRDefault="0072251D" w:rsidP="008B6085">
      <w:pPr>
        <w:pStyle w:val="BodyText-Numbered"/>
        <w:keepNext w:val="0"/>
        <w:keepLines/>
      </w:pPr>
      <w:r>
        <w:t>The statutory declaration provides a level of integrity as applicant</w:t>
      </w:r>
      <w:r w:rsidR="003A7823">
        <w:t>s must state that they</w:t>
      </w:r>
      <w:r>
        <w:t xml:space="preserve"> understand the consequences of their decision. Criminal offences for false declarations can help to deter applications by people who are not genuine </w:t>
      </w:r>
      <w:r w:rsidR="008D3C9F">
        <w:t>in their application.</w:t>
      </w:r>
      <w:r>
        <w:t xml:space="preserve"> </w:t>
      </w:r>
      <w:r w:rsidR="008D3C9F">
        <w:t>Existing o</w:t>
      </w:r>
      <w:r>
        <w:t xml:space="preserve">perational policies administered by the Department in place for identifying fraudulent or forged applications for BDM products would also apply to both first-time and subsequent applications to amend registered sex. </w:t>
      </w:r>
    </w:p>
    <w:p w14:paraId="37ED7AB7" w14:textId="1B810AEA" w:rsidR="004B29B1" w:rsidRPr="0072251D" w:rsidRDefault="00CE7A7E" w:rsidP="00AF595C">
      <w:pPr>
        <w:pStyle w:val="BodyText-Numbered"/>
      </w:pPr>
      <w:r>
        <w:t xml:space="preserve">The risks of identity fraud are not fully known. We have heard from some agencies that there are additional checks in place to mitigate against the potential for identity fraud. </w:t>
      </w:r>
      <w:r w:rsidR="00E418E7">
        <w:t xml:space="preserve">If these checks are effective against mitigating the risks of identity fraud, then this option would likely be proportionate. </w:t>
      </w:r>
      <w:r w:rsidR="00C45950">
        <w:t xml:space="preserve">We continue to work with agencies to fully understand </w:t>
      </w:r>
      <w:r w:rsidR="00C45950">
        <w:lastRenderedPageBreak/>
        <w:t>the extent of these checks and</w:t>
      </w:r>
      <w:r>
        <w:t xml:space="preserve"> how effective they are. We intend to discuss this further during </w:t>
      </w:r>
      <w:r w:rsidR="00C45950">
        <w:t>engagement</w:t>
      </w:r>
      <w:r w:rsidR="00AD37EE" w:rsidDel="00CE7A7E">
        <w:t>.</w:t>
      </w:r>
      <w:r w:rsidR="002C5C61">
        <w:t xml:space="preserve"> </w:t>
      </w:r>
    </w:p>
    <w:p w14:paraId="2C8988BC" w14:textId="42B0C25D" w:rsidR="004B29B1" w:rsidRPr="00A864A5" w:rsidRDefault="006C34EE" w:rsidP="008B6085">
      <w:pPr>
        <w:pStyle w:val="Heading4"/>
        <w:keepLines/>
        <w:rPr>
          <w:lang w:val="en-NZ"/>
        </w:rPr>
      </w:pPr>
      <w:r>
        <w:rPr>
          <w:lang w:val="en-NZ"/>
        </w:rPr>
        <w:t>Option Two –</w:t>
      </w:r>
      <w:r w:rsidR="0072251D">
        <w:rPr>
          <w:lang w:val="en-NZ"/>
        </w:rPr>
        <w:t xml:space="preserve"> prescribe in regulations the requirement of a referee to provide a statutory declaration that an application is being made in ‘good faith’ (regulatory option)</w:t>
      </w:r>
      <w:r>
        <w:rPr>
          <w:lang w:val="en-NZ"/>
        </w:rPr>
        <w:t xml:space="preserve"> </w:t>
      </w:r>
    </w:p>
    <w:p w14:paraId="148F8691" w14:textId="77777777" w:rsidR="0072251D" w:rsidRPr="004579E9" w:rsidRDefault="0072251D" w:rsidP="008B6085">
      <w:pPr>
        <w:keepLines/>
        <w:rPr>
          <w:i/>
          <w:szCs w:val="22"/>
          <w:u w:val="single"/>
        </w:rPr>
      </w:pPr>
      <w:r w:rsidRPr="004579E9">
        <w:rPr>
          <w:i/>
          <w:szCs w:val="22"/>
          <w:u w:val="single"/>
        </w:rPr>
        <w:t>Key features</w:t>
      </w:r>
    </w:p>
    <w:p w14:paraId="612A3254" w14:textId="2A71B708" w:rsidR="0072251D" w:rsidRDefault="0072251D" w:rsidP="008B6085">
      <w:pPr>
        <w:pStyle w:val="BodyText-Numbered"/>
        <w:keepNext w:val="0"/>
        <w:keepLines/>
      </w:pPr>
      <w:r>
        <w:t>Under option two, an applicant would have to provide a statutory declaration made by a referee known to the applicant for one year or more</w:t>
      </w:r>
      <w:r w:rsidR="00A20D84">
        <w:t>.</w:t>
      </w:r>
      <w:r>
        <w:t xml:space="preserve"> </w:t>
      </w:r>
      <w:r w:rsidR="00A20D84">
        <w:t>The referee would</w:t>
      </w:r>
      <w:r>
        <w:t xml:space="preserve"> confirm </w:t>
      </w:r>
      <w:r w:rsidR="00A20D84">
        <w:t>the</w:t>
      </w:r>
      <w:r>
        <w:t xml:space="preserve"> applicant’s subsequent application is being made in ‘good faith’. This requirement would be prescribed in regulations. </w:t>
      </w:r>
      <w:r w:rsidR="00153521">
        <w:t>We are not aware of any other processes that require ‘good faith’ attestations</w:t>
      </w:r>
      <w:r w:rsidR="008634AC">
        <w:t xml:space="preserve"> in New Zealand</w:t>
      </w:r>
      <w:r w:rsidR="00153521">
        <w:t>.</w:t>
      </w:r>
      <w:r w:rsidR="008634AC">
        <w:t xml:space="preserve"> This option has been modelled </w:t>
      </w:r>
      <w:r w:rsidR="00AD37EE">
        <w:t>from</w:t>
      </w:r>
      <w:r w:rsidR="008634AC">
        <w:t xml:space="preserve"> Victoria’s (Australia) requirement for a supporting statement from an authorised person that the applicant’s amendment to their registered sex is being made in ‘good faith’. </w:t>
      </w:r>
      <w:r w:rsidR="00153521">
        <w:t xml:space="preserve"> </w:t>
      </w:r>
    </w:p>
    <w:p w14:paraId="2AD9AF90" w14:textId="74BF2B88" w:rsidR="0072251D" w:rsidRDefault="0072251D" w:rsidP="008B6085">
      <w:pPr>
        <w:pStyle w:val="BodyText-Numbered"/>
        <w:keepNext w:val="0"/>
        <w:keepLines/>
      </w:pPr>
      <w:r>
        <w:t xml:space="preserve">The referee is only confirming that the applicant’s application is being made in ‘good faith’ which means the applicant is acting in an honest and proper way, without hidden motives. The referee’s statement is not confirming if the applicant conforms to their gender. </w:t>
      </w:r>
    </w:p>
    <w:p w14:paraId="7C30E221" w14:textId="4BC698D3" w:rsidR="0072251D" w:rsidRDefault="0072251D" w:rsidP="008B6085">
      <w:pPr>
        <w:pStyle w:val="BodyText-Numbered"/>
        <w:keepNext w:val="0"/>
        <w:keepLines/>
      </w:pPr>
      <w:r>
        <w:t xml:space="preserve">The statutory declaration from a referee would be in addition to the applicant’s own statutory declaration confirming they </w:t>
      </w:r>
      <w:r w:rsidRPr="00463B89">
        <w:rPr>
          <w:color w:val="000000"/>
          <w:szCs w:val="22"/>
          <w:lang w:val="en-NZ" w:eastAsia="en-NZ"/>
        </w:rPr>
        <w:t>want the sex marker on their birth certificate to match their gender</w:t>
      </w:r>
      <w:r>
        <w:rPr>
          <w:color w:val="000000"/>
          <w:szCs w:val="22"/>
          <w:lang w:val="en-NZ" w:eastAsia="en-NZ"/>
        </w:rPr>
        <w:t xml:space="preserve">, and they </w:t>
      </w:r>
      <w:r w:rsidRPr="00463B89">
        <w:rPr>
          <w:color w:val="000000"/>
          <w:szCs w:val="22"/>
          <w:lang w:val="en-NZ" w:eastAsia="en-NZ"/>
        </w:rPr>
        <w:t>understand the consequences of the application.</w:t>
      </w:r>
    </w:p>
    <w:p w14:paraId="7A5FFC61" w14:textId="77777777" w:rsidR="0072251D" w:rsidRDefault="0072251D" w:rsidP="00725895">
      <w:pPr>
        <w:keepLines/>
        <w:rPr>
          <w:i/>
          <w:szCs w:val="22"/>
          <w:u w:val="single"/>
        </w:rPr>
      </w:pPr>
      <w:r w:rsidRPr="00236241">
        <w:rPr>
          <w:i/>
          <w:szCs w:val="22"/>
          <w:u w:val="single"/>
        </w:rPr>
        <w:t>Analysis</w:t>
      </w:r>
    </w:p>
    <w:p w14:paraId="4F6200C3" w14:textId="77777777" w:rsidR="0072251D" w:rsidRDefault="0072251D" w:rsidP="00725895">
      <w:pPr>
        <w:pStyle w:val="BodyText-Numbered"/>
        <w:keepNext w:val="0"/>
        <w:keepLines/>
      </w:pPr>
      <w:r>
        <w:t xml:space="preserve">This option may affect the accessibility of the self-identification process as it increases the administrative burden on applicants with the requirement of two statutory declarations, one from the applicant and one from a referee. There is a possibility that some applicants may not know someone who is willing to act as a referee, making the process inaccessible. </w:t>
      </w:r>
    </w:p>
    <w:p w14:paraId="7DC4057D" w14:textId="7E5787A2" w:rsidR="0072251D" w:rsidRPr="00B00F8E" w:rsidRDefault="0072251D" w:rsidP="00725895">
      <w:pPr>
        <w:pStyle w:val="BodyText-Numbered"/>
        <w:keepNext w:val="0"/>
        <w:keepLines/>
      </w:pPr>
      <w:r>
        <w:t xml:space="preserve">This option could be perceived as too prescriptive for children or young people applying for a subsequent amendment to registered sex. Guardians applying on behalf of their child </w:t>
      </w:r>
      <w:r w:rsidR="00252EB0">
        <w:t>aged</w:t>
      </w:r>
      <w:r>
        <w:t xml:space="preserve"> 15</w:t>
      </w:r>
      <w:r w:rsidR="00252EB0">
        <w:t xml:space="preserve"> and under</w:t>
      </w:r>
      <w:r>
        <w:t xml:space="preserve"> would have to include in their application a statutory declaration, a statutory declaration from a referee, and a letter of support from a suitably qualified third party. Young people aged 16- and 17- years old would have to include a statutory declaration, a statutory declaration from a referee and either written consent from their guardian or a letter of support from a third party. </w:t>
      </w:r>
      <w:r w:rsidRPr="00B00F8E">
        <w:t xml:space="preserve">However, a suitably qualified third party may be able to also provide the </w:t>
      </w:r>
      <w:r w:rsidR="008D3C9F">
        <w:t xml:space="preserve">referee </w:t>
      </w:r>
      <w:r w:rsidRPr="00B00F8E">
        <w:t>statutory declaration.</w:t>
      </w:r>
      <w:r w:rsidR="00EF0204">
        <w:t xml:space="preserve"> If applicants choose to ask a suitably qualified third party for a letter of support and the ‘good faith’ attestation, this </w:t>
      </w:r>
      <w:proofErr w:type="gramStart"/>
      <w:r w:rsidR="00EF0204">
        <w:t>would</w:t>
      </w:r>
      <w:proofErr w:type="gramEnd"/>
      <w:r w:rsidR="00EF0204">
        <w:t xml:space="preserve"> not necessarily impact the accessibility of the process as they would </w:t>
      </w:r>
      <w:r w:rsidR="006A299E">
        <w:t xml:space="preserve">be able to </w:t>
      </w:r>
      <w:r w:rsidR="00EF0204">
        <w:t xml:space="preserve">provide two of the three documents required for </w:t>
      </w:r>
      <w:r w:rsidR="006A299E">
        <w:t>their</w:t>
      </w:r>
      <w:r w:rsidR="00EF0204">
        <w:t xml:space="preserve"> application. </w:t>
      </w:r>
    </w:p>
    <w:p w14:paraId="641385A4" w14:textId="622B1958" w:rsidR="0072251D" w:rsidRPr="00B22638" w:rsidRDefault="00A532D8" w:rsidP="00725895">
      <w:pPr>
        <w:pStyle w:val="BodyText-Numbered"/>
        <w:keepNext w:val="0"/>
        <w:keepLines/>
      </w:pPr>
      <w:r>
        <w:rPr>
          <w:iCs/>
          <w:szCs w:val="22"/>
          <w:lang w:val="en-NZ"/>
        </w:rPr>
        <w:t>T</w:t>
      </w:r>
      <w:r w:rsidRPr="00B22638">
        <w:rPr>
          <w:iCs/>
          <w:szCs w:val="22"/>
          <w:lang w:val="en-NZ"/>
        </w:rPr>
        <w:t>his option provides more assurance that an application is genuine than the status quo</w:t>
      </w:r>
      <w:r>
        <w:rPr>
          <w:iCs/>
          <w:szCs w:val="22"/>
          <w:lang w:val="en-NZ"/>
        </w:rPr>
        <w:t xml:space="preserve"> option</w:t>
      </w:r>
      <w:r w:rsidRPr="00B22638">
        <w:rPr>
          <w:iCs/>
          <w:szCs w:val="22"/>
          <w:lang w:val="en-NZ"/>
        </w:rPr>
        <w:t xml:space="preserve"> and option three.</w:t>
      </w:r>
      <w:r>
        <w:rPr>
          <w:iCs/>
          <w:sz w:val="18"/>
          <w:szCs w:val="18"/>
          <w:lang w:val="en-NZ"/>
        </w:rPr>
        <w:t xml:space="preserve"> </w:t>
      </w:r>
      <w:r w:rsidR="0072251D" w:rsidRPr="00B22638">
        <w:t xml:space="preserve">As with the other options, existing operational policies administered by the Department for identifying fraudulent or forged applications for BDM products would </w:t>
      </w:r>
      <w:r w:rsidR="0072251D">
        <w:t>exist under this option</w:t>
      </w:r>
      <w:r w:rsidR="0072251D" w:rsidRPr="00B22638">
        <w:t>. The requirement of a referee</w:t>
      </w:r>
      <w:r w:rsidR="0072251D">
        <w:t xml:space="preserve"> known to</w:t>
      </w:r>
      <w:r w:rsidR="00B23557">
        <w:t xml:space="preserve"> the</w:t>
      </w:r>
      <w:r w:rsidR="0072251D">
        <w:t xml:space="preserve"> applicant</w:t>
      </w:r>
      <w:r w:rsidR="0072251D" w:rsidRPr="00B22638">
        <w:t xml:space="preserve"> to attest that </w:t>
      </w:r>
      <w:r w:rsidR="0072251D">
        <w:t>they are</w:t>
      </w:r>
      <w:r w:rsidR="0072251D" w:rsidRPr="00B22638">
        <w:t xml:space="preserve"> making a subsequent application in ‘good faith’ further reduces the potential risk of misuse of self-identification process</w:t>
      </w:r>
      <w:r w:rsidR="0072251D" w:rsidRPr="00B22638">
        <w:rPr>
          <w:szCs w:val="22"/>
        </w:rPr>
        <w:t xml:space="preserve">. The referee providing the statutory declaration would be subject to </w:t>
      </w:r>
      <w:r w:rsidR="0072251D" w:rsidRPr="00B22638">
        <w:rPr>
          <w:iCs/>
          <w:szCs w:val="22"/>
          <w:lang w:val="en-NZ"/>
        </w:rPr>
        <w:t>the consequences of falsified statements.</w:t>
      </w:r>
      <w:r w:rsidR="0072251D" w:rsidRPr="00B22638">
        <w:rPr>
          <w:iCs/>
          <w:sz w:val="18"/>
          <w:szCs w:val="18"/>
          <w:lang w:val="en-NZ"/>
        </w:rPr>
        <w:t xml:space="preserve"> </w:t>
      </w:r>
    </w:p>
    <w:p w14:paraId="334F6E5D" w14:textId="054934AD" w:rsidR="004B29B1" w:rsidRPr="001A4B31" w:rsidRDefault="0072251D" w:rsidP="00725895">
      <w:pPr>
        <w:pStyle w:val="BodyText-Numbered"/>
        <w:keepNext w:val="0"/>
        <w:keepLines/>
        <w:rPr>
          <w:lang w:val="en-NZ"/>
        </w:rPr>
      </w:pPr>
      <w:r>
        <w:rPr>
          <w:lang w:val="en-NZ"/>
        </w:rPr>
        <w:lastRenderedPageBreak/>
        <w:t xml:space="preserve">The likely probability of the self-identification process being </w:t>
      </w:r>
      <w:r w:rsidR="00B23557">
        <w:rPr>
          <w:lang w:val="en-NZ"/>
        </w:rPr>
        <w:t xml:space="preserve">used </w:t>
      </w:r>
      <w:r>
        <w:rPr>
          <w:lang w:val="en-NZ"/>
        </w:rPr>
        <w:t xml:space="preserve">for purposes of obtaining multiple identities is </w:t>
      </w:r>
      <w:r w:rsidR="000B53C2">
        <w:rPr>
          <w:lang w:val="en-NZ"/>
        </w:rPr>
        <w:t xml:space="preserve">assumed to be </w:t>
      </w:r>
      <w:r>
        <w:rPr>
          <w:lang w:val="en-NZ"/>
        </w:rPr>
        <w:t>low</w:t>
      </w:r>
      <w:r w:rsidR="000B53C2">
        <w:rPr>
          <w:lang w:val="en-NZ"/>
        </w:rPr>
        <w:t>, based on the current likelihood of birth certificates being used to perform identity fraud</w:t>
      </w:r>
      <w:r>
        <w:rPr>
          <w:lang w:val="en-NZ"/>
        </w:rPr>
        <w:t xml:space="preserve">. The requirement of a statutory declaration from a referee may be perceived as disproportionate to the level of perceived risk and could be considered as potentially unfair to those </w:t>
      </w:r>
      <w:r w:rsidR="00E427D3">
        <w:rPr>
          <w:lang w:val="en-NZ"/>
        </w:rPr>
        <w:t xml:space="preserve">(including children and young people) </w:t>
      </w:r>
      <w:r>
        <w:rPr>
          <w:lang w:val="en-NZ"/>
        </w:rPr>
        <w:t xml:space="preserve">who are genuinely accessing the process to reflect their gender. </w:t>
      </w:r>
      <w:r w:rsidR="002A346A">
        <w:rPr>
          <w:lang w:val="en-NZ"/>
        </w:rPr>
        <w:t xml:space="preserve">We are not aware of </w:t>
      </w:r>
      <w:r w:rsidR="00894266">
        <w:rPr>
          <w:lang w:val="en-NZ"/>
        </w:rPr>
        <w:t xml:space="preserve">many </w:t>
      </w:r>
      <w:r w:rsidR="002A346A">
        <w:rPr>
          <w:lang w:val="en-NZ"/>
        </w:rPr>
        <w:t xml:space="preserve">services that deem a birth certificate as acceptable form of </w:t>
      </w:r>
      <w:r w:rsidR="00894266">
        <w:rPr>
          <w:lang w:val="en-NZ"/>
        </w:rPr>
        <w:t>identification that apply to</w:t>
      </w:r>
      <w:r w:rsidR="002A346A">
        <w:rPr>
          <w:lang w:val="en-NZ"/>
        </w:rPr>
        <w:t xml:space="preserve"> children and young people</w:t>
      </w:r>
      <w:r w:rsidR="00894266">
        <w:rPr>
          <w:lang w:val="en-NZ"/>
        </w:rPr>
        <w:t xml:space="preserve"> as most require the applicant to be over the age of 18. However, young people aged 16 and over can apply for youth income support. The requirement of a statutory declaration for children under the age of 15 may be perceived as disproportionate to the level of perceived risk of person’s committing identity fraud with a child’s birth certificate. </w:t>
      </w:r>
    </w:p>
    <w:p w14:paraId="0949A601" w14:textId="28559227" w:rsidR="004B29B1" w:rsidRPr="00A864A5" w:rsidRDefault="004B29B1" w:rsidP="00725895">
      <w:pPr>
        <w:pStyle w:val="Heading4"/>
        <w:keepLines/>
        <w:rPr>
          <w:lang w:val="en-NZ"/>
        </w:rPr>
      </w:pPr>
      <w:r>
        <w:rPr>
          <w:lang w:val="en-NZ"/>
        </w:rPr>
        <w:br/>
      </w:r>
      <w:r w:rsidRPr="00A864A5">
        <w:rPr>
          <w:lang w:val="en-NZ"/>
        </w:rPr>
        <w:t xml:space="preserve">Option </w:t>
      </w:r>
      <w:r w:rsidR="006C34EE">
        <w:rPr>
          <w:lang w:val="en-NZ"/>
        </w:rPr>
        <w:t>Three</w:t>
      </w:r>
      <w:r w:rsidRPr="00A864A5">
        <w:rPr>
          <w:lang w:val="en-NZ"/>
        </w:rPr>
        <w:t xml:space="preserve"> </w:t>
      </w:r>
      <w:r w:rsidR="006C34EE">
        <w:rPr>
          <w:lang w:val="en-NZ"/>
        </w:rPr>
        <w:t>–</w:t>
      </w:r>
      <w:r w:rsidRPr="00A864A5">
        <w:rPr>
          <w:lang w:val="en-NZ"/>
        </w:rPr>
        <w:t xml:space="preserve"> </w:t>
      </w:r>
      <w:r w:rsidR="00023B2F">
        <w:rPr>
          <w:lang w:val="en-NZ"/>
        </w:rPr>
        <w:t>additional checks</w:t>
      </w:r>
      <w:r w:rsidR="0072251D">
        <w:rPr>
          <w:lang w:val="en-NZ"/>
        </w:rPr>
        <w:t xml:space="preserve"> by the Department </w:t>
      </w:r>
    </w:p>
    <w:p w14:paraId="7601A8E2" w14:textId="77777777" w:rsidR="0072251D" w:rsidRDefault="0072251D" w:rsidP="00725895">
      <w:pPr>
        <w:keepLines/>
        <w:rPr>
          <w:i/>
          <w:u w:val="single"/>
        </w:rPr>
      </w:pPr>
      <w:r>
        <w:rPr>
          <w:i/>
          <w:u w:val="single"/>
        </w:rPr>
        <w:t>Key features</w:t>
      </w:r>
    </w:p>
    <w:p w14:paraId="38B8CF14" w14:textId="078ED348" w:rsidR="0072251D" w:rsidRDefault="0072251D" w:rsidP="00725895">
      <w:pPr>
        <w:pStyle w:val="BodyText-Numbered"/>
        <w:keepNext w:val="0"/>
        <w:keepLines/>
      </w:pPr>
      <w:r>
        <w:t>Under option three, an operational process managed by the Department would be established to manage any potential risk of identity fraud. This process could include</w:t>
      </w:r>
      <w:r w:rsidR="00A532D8">
        <w:t>, for example,</w:t>
      </w:r>
      <w:r>
        <w:t xml:space="preserve"> </w:t>
      </w:r>
      <w:r w:rsidR="00023B2F">
        <w:t>conducting additional checks on</w:t>
      </w:r>
      <w:r>
        <w:t xml:space="preserve"> applicant that has applied to change their name and amend their registered sex </w:t>
      </w:r>
      <w:r w:rsidR="00B00F8E">
        <w:t>a set</w:t>
      </w:r>
      <w:r>
        <w:t xml:space="preserve"> </w:t>
      </w:r>
      <w:r w:rsidR="000A0468">
        <w:t>number</w:t>
      </w:r>
      <w:r>
        <w:t xml:space="preserve"> of times within a certain time that could be considered be suspicious. </w:t>
      </w:r>
    </w:p>
    <w:p w14:paraId="24ECF82D" w14:textId="77777777" w:rsidR="0072251D" w:rsidRDefault="0072251D" w:rsidP="00725895">
      <w:pPr>
        <w:keepLines/>
        <w:rPr>
          <w:i/>
          <w:szCs w:val="22"/>
          <w:u w:val="single"/>
        </w:rPr>
      </w:pPr>
      <w:r w:rsidRPr="00236241">
        <w:rPr>
          <w:i/>
          <w:szCs w:val="22"/>
          <w:u w:val="single"/>
        </w:rPr>
        <w:t>Analysis</w:t>
      </w:r>
    </w:p>
    <w:p w14:paraId="31F99BE2" w14:textId="172EEBE7" w:rsidR="0072251D" w:rsidRDefault="0072251D" w:rsidP="00725895">
      <w:pPr>
        <w:pStyle w:val="BodyText-Numbered"/>
        <w:keepNext w:val="0"/>
        <w:keepLines/>
        <w:rPr>
          <w:lang w:val="en-NZ"/>
        </w:rPr>
      </w:pPr>
      <w:r>
        <w:rPr>
          <w:lang w:val="en-NZ"/>
        </w:rPr>
        <w:t>Like option one, this option would not impose any additional requirements on applicants making a subsequent application to amend their registered sex, th</w:t>
      </w:r>
      <w:r w:rsidR="0095332B">
        <w:rPr>
          <w:lang w:val="en-NZ"/>
        </w:rPr>
        <w:t>erefore</w:t>
      </w:r>
      <w:r>
        <w:rPr>
          <w:lang w:val="en-NZ"/>
        </w:rPr>
        <w:t xml:space="preserve"> not creating any additional barriers to access the process. </w:t>
      </w:r>
    </w:p>
    <w:p w14:paraId="4FDDF628" w14:textId="757AC242" w:rsidR="0072251D" w:rsidRDefault="0072251D" w:rsidP="00725895">
      <w:pPr>
        <w:pStyle w:val="BodyText-Numbered"/>
        <w:keepNext w:val="0"/>
        <w:keepLines/>
        <w:rPr>
          <w:lang w:val="en-NZ"/>
        </w:rPr>
      </w:pPr>
      <w:r>
        <w:rPr>
          <w:lang w:val="en-NZ"/>
        </w:rPr>
        <w:t>An operational process managed by the Department could help identify potential situations of identity fraud. Under this option</w:t>
      </w:r>
      <w:r w:rsidR="00637633">
        <w:rPr>
          <w:lang w:val="en-NZ"/>
        </w:rPr>
        <w:t xml:space="preserve"> </w:t>
      </w:r>
      <w:r w:rsidR="00A532D8">
        <w:rPr>
          <w:lang w:val="en-NZ"/>
        </w:rPr>
        <w:t>operational policy</w:t>
      </w:r>
      <w:r w:rsidR="00637633">
        <w:rPr>
          <w:lang w:val="en-NZ"/>
        </w:rPr>
        <w:t xml:space="preserve"> would </w:t>
      </w:r>
      <w:r w:rsidR="00A532D8">
        <w:rPr>
          <w:lang w:val="en-NZ"/>
        </w:rPr>
        <w:t>determine</w:t>
      </w:r>
      <w:r>
        <w:rPr>
          <w:lang w:val="en-NZ"/>
        </w:rPr>
        <w:t xml:space="preserve"> </w:t>
      </w:r>
      <w:r w:rsidR="00637633">
        <w:rPr>
          <w:lang w:val="en-NZ"/>
        </w:rPr>
        <w:t>how many</w:t>
      </w:r>
      <w:r>
        <w:rPr>
          <w:lang w:val="en-NZ"/>
        </w:rPr>
        <w:t xml:space="preserve"> applications </w:t>
      </w:r>
      <w:r w:rsidR="00637633">
        <w:rPr>
          <w:lang w:val="en-NZ"/>
        </w:rPr>
        <w:t xml:space="preserve">within a </w:t>
      </w:r>
      <w:r w:rsidR="00793B7D">
        <w:rPr>
          <w:lang w:val="en-NZ"/>
        </w:rPr>
        <w:t>period</w:t>
      </w:r>
      <w:r w:rsidR="00637633">
        <w:rPr>
          <w:lang w:val="en-NZ"/>
        </w:rPr>
        <w:t xml:space="preserve"> would </w:t>
      </w:r>
      <w:r w:rsidR="00A532D8">
        <w:rPr>
          <w:lang w:val="en-NZ"/>
        </w:rPr>
        <w:t xml:space="preserve">initiate </w:t>
      </w:r>
      <w:r w:rsidR="009F547B">
        <w:rPr>
          <w:lang w:val="en-NZ"/>
        </w:rPr>
        <w:t>additional checks</w:t>
      </w:r>
      <w:r>
        <w:rPr>
          <w:lang w:val="en-NZ"/>
        </w:rPr>
        <w:t xml:space="preserve">. This would enable the Department to investigate </w:t>
      </w:r>
      <w:r w:rsidRPr="0080242B">
        <w:rPr>
          <w:lang w:val="en-NZ"/>
        </w:rPr>
        <w:t xml:space="preserve">applicants </w:t>
      </w:r>
      <w:r>
        <w:rPr>
          <w:lang w:val="en-NZ"/>
        </w:rPr>
        <w:t xml:space="preserve">they identify </w:t>
      </w:r>
      <w:r w:rsidRPr="0080242B">
        <w:rPr>
          <w:lang w:val="en-NZ"/>
        </w:rPr>
        <w:t>as potentially suspicious</w:t>
      </w:r>
      <w:r>
        <w:rPr>
          <w:lang w:val="en-NZ"/>
        </w:rPr>
        <w:t xml:space="preserve"> but uphold the concept of gender fluidity and exclude most of applications that are likely genuine. </w:t>
      </w:r>
    </w:p>
    <w:p w14:paraId="0DD72E1B" w14:textId="629EFBAB" w:rsidR="0072251D" w:rsidRDefault="0072251D" w:rsidP="00725895">
      <w:pPr>
        <w:pStyle w:val="BodyText-Numbered"/>
        <w:keepNext w:val="0"/>
        <w:keepLines/>
        <w:rPr>
          <w:iCs/>
          <w:szCs w:val="22"/>
          <w:lang w:val="en-NZ"/>
        </w:rPr>
      </w:pPr>
      <w:r w:rsidRPr="003B17FB">
        <w:rPr>
          <w:szCs w:val="22"/>
          <w:lang w:val="en-NZ"/>
        </w:rPr>
        <w:t>While this option could help identify possible misuse</w:t>
      </w:r>
      <w:r w:rsidRPr="003B17FB">
        <w:rPr>
          <w:iCs/>
          <w:szCs w:val="22"/>
          <w:lang w:val="en-NZ"/>
        </w:rPr>
        <w:t xml:space="preserve">, it does not provide confidence the applications are genuine and thereby uphold the integrity of the process. This is because it does not necessarily prevent identity fraud as it is likely </w:t>
      </w:r>
      <w:r w:rsidR="00840CCC">
        <w:rPr>
          <w:iCs/>
          <w:szCs w:val="22"/>
          <w:lang w:val="en-NZ"/>
        </w:rPr>
        <w:t xml:space="preserve">the Department would conduct additional checks on </w:t>
      </w:r>
      <w:r w:rsidRPr="003B17FB">
        <w:rPr>
          <w:iCs/>
          <w:szCs w:val="22"/>
          <w:lang w:val="en-NZ"/>
        </w:rPr>
        <w:t>an applicant after they had made the various applications (and obtained new birth certificates).  However, as with the other options, under this option a statutory declaration by an applicant may partly mitigate the potential for identity fraud due to the conseq</w:t>
      </w:r>
      <w:r>
        <w:rPr>
          <w:iCs/>
          <w:szCs w:val="22"/>
          <w:lang w:val="en-NZ"/>
        </w:rPr>
        <w:t>uences of falsified statements.</w:t>
      </w:r>
    </w:p>
    <w:p w14:paraId="2B3FD461" w14:textId="647690AF" w:rsidR="004B29B1" w:rsidRPr="0052371E" w:rsidRDefault="00023B2F" w:rsidP="004B29B1">
      <w:pPr>
        <w:pStyle w:val="BodyText-Numbered"/>
        <w:keepNext w:val="0"/>
        <w:keepLines/>
        <w:rPr>
          <w:szCs w:val="22"/>
          <w:lang w:val="en-NZ"/>
        </w:rPr>
        <w:sectPr w:rsidR="004B29B1" w:rsidRPr="0052371E" w:rsidSect="00150D58">
          <w:headerReference w:type="even" r:id="rId27"/>
          <w:headerReference w:type="default" r:id="rId28"/>
          <w:footerReference w:type="even" r:id="rId29"/>
          <w:footerReference w:type="default" r:id="rId30"/>
          <w:pgSz w:w="11906" w:h="16838" w:code="9"/>
          <w:pgMar w:top="1134" w:right="1418" w:bottom="992" w:left="1418" w:header="454" w:footer="454" w:gutter="0"/>
          <w:cols w:space="708"/>
          <w:docGrid w:linePitch="360"/>
        </w:sectPr>
      </w:pPr>
      <w:r>
        <w:rPr>
          <w:lang w:val="en-NZ"/>
        </w:rPr>
        <w:t>Additional checks conducted</w:t>
      </w:r>
      <w:r w:rsidR="0072251D" w:rsidRPr="0072251D">
        <w:rPr>
          <w:lang w:val="en-NZ"/>
        </w:rPr>
        <w:t xml:space="preserve"> by the Department of persons who may be exploiting the self-identification process to get multiple identities would be in line </w:t>
      </w:r>
      <w:r w:rsidR="0072251D" w:rsidRPr="0072251D">
        <w:rPr>
          <w:szCs w:val="22"/>
          <w:lang w:val="en-NZ"/>
        </w:rPr>
        <w:t>with other internal processes undertaken by the Department with similar risk profiles. Because the self-identification process creates a unique avenue for someone to obtain multiple identities, it is not guaranteed that existing policies could help detect identity fraud.</w:t>
      </w:r>
      <w:r>
        <w:rPr>
          <w:szCs w:val="22"/>
          <w:lang w:val="en-NZ"/>
        </w:rPr>
        <w:t xml:space="preserve"> This is because the Department only has policies for name changes and other</w:t>
      </w:r>
      <w:r w:rsidR="00E427D3">
        <w:rPr>
          <w:szCs w:val="22"/>
          <w:lang w:val="en-NZ"/>
        </w:rPr>
        <w:t xml:space="preserve"> internal</w:t>
      </w:r>
      <w:r>
        <w:rPr>
          <w:szCs w:val="22"/>
          <w:lang w:val="en-NZ"/>
        </w:rPr>
        <w:t xml:space="preserve"> processes that rely on the discretion of an officer processing an application. </w:t>
      </w:r>
      <w:r w:rsidR="0072251D" w:rsidRPr="0072251D">
        <w:rPr>
          <w:szCs w:val="22"/>
          <w:lang w:val="en-NZ"/>
        </w:rPr>
        <w:t xml:space="preserve"> </w:t>
      </w:r>
      <w:r>
        <w:rPr>
          <w:lang w:val="en-NZ"/>
        </w:rPr>
        <w:t>Additional checks</w:t>
      </w:r>
      <w:r w:rsidR="0072251D" w:rsidRPr="0072251D">
        <w:rPr>
          <w:szCs w:val="22"/>
          <w:lang w:val="en-NZ"/>
        </w:rPr>
        <w:t xml:space="preserve"> could be considered proportionate to the </w:t>
      </w:r>
      <w:r w:rsidR="0052371E">
        <w:rPr>
          <w:szCs w:val="22"/>
          <w:lang w:val="en-NZ"/>
        </w:rPr>
        <w:t>assumed</w:t>
      </w:r>
      <w:r w:rsidR="0052371E" w:rsidRPr="0072251D">
        <w:rPr>
          <w:szCs w:val="22"/>
          <w:lang w:val="en-NZ"/>
        </w:rPr>
        <w:t xml:space="preserve"> </w:t>
      </w:r>
      <w:r w:rsidR="0072251D" w:rsidRPr="0072251D">
        <w:rPr>
          <w:szCs w:val="22"/>
          <w:lang w:val="en-NZ"/>
        </w:rPr>
        <w:t xml:space="preserve">risk of identity fraud occurring as </w:t>
      </w:r>
      <w:r w:rsidR="00B82D27">
        <w:rPr>
          <w:szCs w:val="22"/>
          <w:lang w:val="en-NZ"/>
        </w:rPr>
        <w:t>the risk here</w:t>
      </w:r>
      <w:r w:rsidR="0072251D" w:rsidRPr="0072251D">
        <w:rPr>
          <w:szCs w:val="22"/>
          <w:lang w:val="en-NZ"/>
        </w:rPr>
        <w:t xml:space="preserve"> is greater than the risk of possible fraud with only a name change or only an amendment to registered sex. </w:t>
      </w:r>
      <w:r w:rsidR="00B82D27">
        <w:rPr>
          <w:szCs w:val="22"/>
          <w:lang w:val="en-NZ"/>
        </w:rPr>
        <w:t>S</w:t>
      </w:r>
      <w:r w:rsidR="0072251D" w:rsidRPr="0072251D">
        <w:rPr>
          <w:szCs w:val="22"/>
          <w:lang w:val="en-NZ"/>
        </w:rPr>
        <w:t xml:space="preserve">ome may perceive this process as unwarranted as there may </w:t>
      </w:r>
      <w:r w:rsidR="00C35D66">
        <w:rPr>
          <w:szCs w:val="22"/>
          <w:lang w:val="en-NZ"/>
        </w:rPr>
        <w:t xml:space="preserve">be </w:t>
      </w:r>
      <w:r w:rsidR="0072251D" w:rsidRPr="0072251D">
        <w:rPr>
          <w:szCs w:val="22"/>
          <w:lang w:val="en-NZ"/>
        </w:rPr>
        <w:t xml:space="preserve">concern that the Department’s power to </w:t>
      </w:r>
      <w:r w:rsidR="00840CCC">
        <w:rPr>
          <w:szCs w:val="22"/>
          <w:lang w:val="en-NZ"/>
        </w:rPr>
        <w:t>conduct additional checks</w:t>
      </w:r>
      <w:r w:rsidR="00840CCC" w:rsidRPr="0072251D">
        <w:rPr>
          <w:szCs w:val="22"/>
          <w:lang w:val="en-NZ"/>
        </w:rPr>
        <w:t xml:space="preserve"> </w:t>
      </w:r>
      <w:r w:rsidR="0072251D" w:rsidRPr="0072251D">
        <w:rPr>
          <w:szCs w:val="22"/>
          <w:lang w:val="en-NZ"/>
        </w:rPr>
        <w:t>does not align with the level of risk.</w:t>
      </w:r>
    </w:p>
    <w:p w14:paraId="4AC36820" w14:textId="77777777" w:rsidR="004B29B1" w:rsidRPr="00A864A5" w:rsidRDefault="004B29B1" w:rsidP="00802AB2">
      <w:pPr>
        <w:pStyle w:val="Heading3"/>
        <w:rPr>
          <w:lang w:val="en-NZ"/>
        </w:rPr>
      </w:pPr>
      <w:r>
        <w:rPr>
          <w:lang w:val="en-NZ"/>
        </w:rPr>
        <w:lastRenderedPageBreak/>
        <w:t>How do the options compare to the status quo/counterfactual?</w:t>
      </w:r>
    </w:p>
    <w:tbl>
      <w:tblPr>
        <w:tblW w:w="22016" w:type="dxa"/>
        <w:tblInd w:w="108"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2906"/>
        <w:gridCol w:w="6344"/>
        <w:gridCol w:w="6320"/>
        <w:gridCol w:w="6446"/>
      </w:tblGrid>
      <w:tr w:rsidR="00E35684" w:rsidRPr="00A864A5" w14:paraId="2D24BB36" w14:textId="0EE26AD5" w:rsidTr="006C784C">
        <w:trPr>
          <w:trHeight w:val="253"/>
        </w:trPr>
        <w:tc>
          <w:tcPr>
            <w:tcW w:w="2906" w:type="dxa"/>
            <w:shd w:val="clear" w:color="auto" w:fill="99CDDD"/>
            <w:vAlign w:val="center"/>
          </w:tcPr>
          <w:p w14:paraId="457E7A20" w14:textId="77777777" w:rsidR="00E35684" w:rsidRPr="00DB51CD" w:rsidRDefault="00E35684" w:rsidP="00E35684">
            <w:pPr>
              <w:spacing w:before="60" w:after="60" w:line="276" w:lineRule="auto"/>
              <w:jc w:val="center"/>
              <w:rPr>
                <w:rFonts w:cs="Arial"/>
                <w:bCs/>
                <w:i/>
                <w:iCs/>
                <w:color w:val="FFFFFF"/>
                <w:sz w:val="20"/>
                <w:szCs w:val="24"/>
                <w:lang w:val="en-NZ"/>
              </w:rPr>
            </w:pPr>
          </w:p>
        </w:tc>
        <w:tc>
          <w:tcPr>
            <w:tcW w:w="6344" w:type="dxa"/>
            <w:shd w:val="clear" w:color="auto" w:fill="99CDDD"/>
          </w:tcPr>
          <w:p w14:paraId="20200A0C" w14:textId="48E238EA" w:rsidR="00E35684" w:rsidRPr="00A655E0" w:rsidRDefault="00D174FC" w:rsidP="00E35684">
            <w:pPr>
              <w:spacing w:before="60" w:after="60" w:line="240" w:lineRule="auto"/>
              <w:jc w:val="center"/>
              <w:rPr>
                <w:rFonts w:cs="Arial"/>
                <w:b/>
                <w:color w:val="000000"/>
                <w:sz w:val="18"/>
                <w:szCs w:val="18"/>
                <w:lang w:val="en-NZ"/>
              </w:rPr>
            </w:pPr>
            <w:r w:rsidRPr="00A655E0">
              <w:rPr>
                <w:rFonts w:cs="Arial"/>
                <w:b/>
                <w:color w:val="000000"/>
                <w:sz w:val="18"/>
                <w:szCs w:val="18"/>
                <w:lang w:val="en-NZ"/>
              </w:rPr>
              <w:t>Option One – status quo: no additional requirements</w:t>
            </w:r>
          </w:p>
        </w:tc>
        <w:tc>
          <w:tcPr>
            <w:tcW w:w="6320" w:type="dxa"/>
            <w:shd w:val="clear" w:color="auto" w:fill="99CDDD"/>
          </w:tcPr>
          <w:p w14:paraId="082E41D5" w14:textId="7FF6F164" w:rsidR="00E35684" w:rsidRPr="00E35684" w:rsidRDefault="00D174FC" w:rsidP="00E35684">
            <w:pPr>
              <w:spacing w:before="60" w:after="60" w:line="276" w:lineRule="auto"/>
              <w:jc w:val="center"/>
              <w:rPr>
                <w:rFonts w:cs="Arial"/>
                <w:b/>
                <w:color w:val="000000"/>
                <w:szCs w:val="22"/>
                <w:lang w:val="en-NZ"/>
              </w:rPr>
            </w:pPr>
            <w:r>
              <w:rPr>
                <w:rFonts w:cs="Arial"/>
                <w:b/>
                <w:color w:val="000000"/>
                <w:sz w:val="18"/>
                <w:szCs w:val="18"/>
                <w:lang w:val="en-NZ"/>
              </w:rPr>
              <w:t>Option Two</w:t>
            </w:r>
            <w:r w:rsidRPr="00F668CE">
              <w:rPr>
                <w:rFonts w:cs="Arial"/>
                <w:b/>
                <w:color w:val="000000"/>
                <w:sz w:val="18"/>
                <w:szCs w:val="18"/>
                <w:lang w:val="en-NZ"/>
              </w:rPr>
              <w:t xml:space="preserve"> –</w:t>
            </w:r>
            <w:r>
              <w:rPr>
                <w:lang w:val="en-NZ"/>
              </w:rPr>
              <w:t xml:space="preserve"> </w:t>
            </w:r>
            <w:r w:rsidRPr="0092150D">
              <w:rPr>
                <w:b/>
                <w:sz w:val="18"/>
                <w:lang w:val="en-NZ"/>
              </w:rPr>
              <w:t xml:space="preserve">requirement of </w:t>
            </w:r>
            <w:r>
              <w:rPr>
                <w:b/>
                <w:sz w:val="18"/>
                <w:lang w:val="en-NZ"/>
              </w:rPr>
              <w:t xml:space="preserve">a </w:t>
            </w:r>
            <w:r w:rsidRPr="0092150D">
              <w:rPr>
                <w:b/>
                <w:sz w:val="18"/>
                <w:lang w:val="en-NZ"/>
              </w:rPr>
              <w:t>referee to provide statutory declaration that application is being made in ‘good faith’</w:t>
            </w:r>
          </w:p>
        </w:tc>
        <w:tc>
          <w:tcPr>
            <w:tcW w:w="6446" w:type="dxa"/>
            <w:shd w:val="clear" w:color="auto" w:fill="99CDDD"/>
          </w:tcPr>
          <w:p w14:paraId="71A04930" w14:textId="2722563C" w:rsidR="00E35684" w:rsidRPr="00E35684" w:rsidRDefault="00D174FC" w:rsidP="00E35684">
            <w:pPr>
              <w:spacing w:before="60" w:after="60" w:line="276" w:lineRule="auto"/>
              <w:jc w:val="center"/>
              <w:rPr>
                <w:rFonts w:cs="Arial"/>
                <w:b/>
                <w:color w:val="000000"/>
                <w:szCs w:val="22"/>
                <w:lang w:val="en-NZ"/>
              </w:rPr>
            </w:pPr>
            <w:r w:rsidRPr="00F668CE">
              <w:rPr>
                <w:rFonts w:cs="Arial"/>
                <w:b/>
                <w:color w:val="000000"/>
                <w:sz w:val="18"/>
                <w:szCs w:val="18"/>
                <w:lang w:val="en-NZ"/>
              </w:rPr>
              <w:t xml:space="preserve">Option </w:t>
            </w:r>
            <w:r>
              <w:rPr>
                <w:rFonts w:cs="Arial"/>
                <w:b/>
                <w:color w:val="000000"/>
                <w:sz w:val="18"/>
                <w:szCs w:val="18"/>
                <w:lang w:val="en-NZ"/>
              </w:rPr>
              <w:t>Three</w:t>
            </w:r>
            <w:r w:rsidRPr="00F668CE">
              <w:rPr>
                <w:rFonts w:cs="Arial"/>
                <w:b/>
                <w:color w:val="000000"/>
                <w:sz w:val="18"/>
                <w:szCs w:val="18"/>
                <w:lang w:val="en-NZ"/>
              </w:rPr>
              <w:t xml:space="preserve"> – </w:t>
            </w:r>
            <w:r>
              <w:rPr>
                <w:rFonts w:cs="Arial"/>
                <w:b/>
                <w:color w:val="000000"/>
                <w:sz w:val="18"/>
                <w:szCs w:val="18"/>
                <w:lang w:val="en-NZ"/>
              </w:rPr>
              <w:t>Department managed process</w:t>
            </w:r>
            <w:r w:rsidR="009F547B">
              <w:rPr>
                <w:rFonts w:cs="Arial"/>
                <w:b/>
                <w:color w:val="000000"/>
                <w:sz w:val="18"/>
                <w:szCs w:val="18"/>
                <w:lang w:val="en-NZ"/>
              </w:rPr>
              <w:t xml:space="preserve"> of additional checks</w:t>
            </w:r>
          </w:p>
        </w:tc>
      </w:tr>
      <w:tr w:rsidR="00E35684" w:rsidRPr="00A864A5" w14:paraId="133C6BC2" w14:textId="68264C94" w:rsidTr="006C784C">
        <w:trPr>
          <w:trHeight w:val="242"/>
        </w:trPr>
        <w:tc>
          <w:tcPr>
            <w:tcW w:w="2906" w:type="dxa"/>
            <w:shd w:val="clear" w:color="auto" w:fill="99CDDD"/>
            <w:vAlign w:val="center"/>
          </w:tcPr>
          <w:p w14:paraId="1D193E0D" w14:textId="77777777" w:rsidR="00D174FC" w:rsidRDefault="00D174FC" w:rsidP="00D174FC">
            <w:pPr>
              <w:spacing w:before="60" w:after="60" w:line="240" w:lineRule="auto"/>
              <w:jc w:val="center"/>
              <w:rPr>
                <w:rFonts w:cs="Arial"/>
                <w:b/>
                <w:color w:val="000000"/>
                <w:sz w:val="18"/>
                <w:szCs w:val="18"/>
              </w:rPr>
            </w:pPr>
            <w:r>
              <w:rPr>
                <w:rFonts w:cs="Arial"/>
                <w:b/>
                <w:color w:val="000000"/>
                <w:sz w:val="18"/>
                <w:szCs w:val="18"/>
              </w:rPr>
              <w:t>Accessible</w:t>
            </w:r>
          </w:p>
          <w:p w14:paraId="568C8816" w14:textId="6C6E4226" w:rsidR="00E35684" w:rsidRPr="00A864A5" w:rsidRDefault="00D174FC" w:rsidP="002B1B9D">
            <w:pPr>
              <w:spacing w:before="60" w:after="60" w:line="240" w:lineRule="auto"/>
              <w:jc w:val="center"/>
              <w:rPr>
                <w:rFonts w:cs="Arial"/>
                <w:b/>
                <w:color w:val="000000"/>
                <w:szCs w:val="22"/>
                <w:lang w:val="en-NZ"/>
              </w:rPr>
            </w:pPr>
            <w:r w:rsidRPr="00685B45">
              <w:rPr>
                <w:i/>
                <w:sz w:val="18"/>
              </w:rPr>
              <w:t>applicants can easily apply to amend their registered sex without any unnecessary barriers or complexity</w:t>
            </w:r>
          </w:p>
        </w:tc>
        <w:tc>
          <w:tcPr>
            <w:tcW w:w="6344" w:type="dxa"/>
            <w:shd w:val="clear" w:color="auto" w:fill="auto"/>
          </w:tcPr>
          <w:p w14:paraId="5CECAC4E" w14:textId="77777777" w:rsidR="00D174FC" w:rsidRDefault="00E35684" w:rsidP="00D174FC">
            <w:pPr>
              <w:pStyle w:val="TableText"/>
              <w:spacing w:line="240" w:lineRule="auto"/>
              <w:jc w:val="center"/>
              <w:rPr>
                <w:rFonts w:cs="Arial"/>
                <w:b/>
                <w:sz w:val="18"/>
                <w:szCs w:val="18"/>
                <w:lang w:val="en-NZ"/>
              </w:rPr>
            </w:pPr>
            <w:r>
              <w:rPr>
                <w:rFonts w:cs="Arial"/>
                <w:b/>
                <w:sz w:val="18"/>
                <w:szCs w:val="18"/>
                <w:lang w:val="en-NZ"/>
              </w:rPr>
              <w:t>0</w:t>
            </w:r>
          </w:p>
          <w:p w14:paraId="684DA7E8" w14:textId="275126E3" w:rsidR="00E35684" w:rsidRPr="00A864A5" w:rsidRDefault="00D174FC" w:rsidP="00B53952">
            <w:pPr>
              <w:pStyle w:val="TableText"/>
              <w:spacing w:line="240" w:lineRule="auto"/>
              <w:rPr>
                <w:bCs/>
                <w:lang w:val="en-NZ"/>
              </w:rPr>
            </w:pPr>
            <w:r w:rsidRPr="00F762EF">
              <w:rPr>
                <w:rFonts w:cs="Arial"/>
                <w:sz w:val="18"/>
                <w:szCs w:val="18"/>
                <w:lang w:val="en-NZ"/>
              </w:rPr>
              <w:t>Because there are no additional requirements</w:t>
            </w:r>
            <w:r w:rsidR="003D2E62">
              <w:rPr>
                <w:rFonts w:cs="Arial"/>
                <w:sz w:val="18"/>
                <w:szCs w:val="18"/>
                <w:lang w:val="en-NZ"/>
              </w:rPr>
              <w:t>,</w:t>
            </w:r>
            <w:r w:rsidRPr="00F762EF">
              <w:rPr>
                <w:rFonts w:cs="Arial"/>
                <w:sz w:val="18"/>
                <w:szCs w:val="18"/>
                <w:lang w:val="en-NZ"/>
              </w:rPr>
              <w:t xml:space="preserve"> there are no barriers created for applicants accessing the self-identification process </w:t>
            </w:r>
            <w:r w:rsidR="00B82D27" w:rsidRPr="00F762EF">
              <w:rPr>
                <w:rFonts w:cs="Arial"/>
                <w:iCs/>
                <w:sz w:val="18"/>
                <w:szCs w:val="18"/>
                <w:lang w:val="en-NZ"/>
              </w:rPr>
              <w:t>more than once</w:t>
            </w:r>
            <w:r w:rsidRPr="004F5664">
              <w:rPr>
                <w:rFonts w:cs="Arial"/>
                <w:sz w:val="18"/>
                <w:szCs w:val="18"/>
                <w:lang w:val="en-NZ"/>
              </w:rPr>
              <w:t>.</w:t>
            </w:r>
            <w:r>
              <w:rPr>
                <w:rFonts w:cs="Arial"/>
                <w:sz w:val="18"/>
                <w:szCs w:val="18"/>
                <w:lang w:val="en-NZ"/>
              </w:rPr>
              <w:t xml:space="preserve"> </w:t>
            </w:r>
          </w:p>
        </w:tc>
        <w:tc>
          <w:tcPr>
            <w:tcW w:w="6320" w:type="dxa"/>
            <w:shd w:val="clear" w:color="auto" w:fill="auto"/>
          </w:tcPr>
          <w:p w14:paraId="1F3F9BE1" w14:textId="77777777" w:rsidR="00D174FC" w:rsidRPr="00B54703" w:rsidRDefault="00D174FC" w:rsidP="00D174FC">
            <w:pPr>
              <w:pStyle w:val="TableText"/>
              <w:spacing w:line="240" w:lineRule="auto"/>
              <w:jc w:val="center"/>
              <w:rPr>
                <w:rFonts w:cs="Arial"/>
                <w:b/>
                <w:color w:val="FF0000"/>
                <w:sz w:val="18"/>
                <w:szCs w:val="18"/>
                <w:lang w:val="en-NZ"/>
              </w:rPr>
            </w:pPr>
            <w:r w:rsidRPr="00B54703">
              <w:rPr>
                <w:rFonts w:cs="Arial"/>
                <w:b/>
                <w:color w:val="FF0000"/>
                <w:sz w:val="18"/>
                <w:szCs w:val="18"/>
                <w:lang w:val="en-NZ"/>
              </w:rPr>
              <w:t>-</w:t>
            </w:r>
          </w:p>
          <w:p w14:paraId="664BD27D" w14:textId="77777777" w:rsidR="00D174FC" w:rsidRDefault="00D174FC" w:rsidP="00D174FC">
            <w:pPr>
              <w:pStyle w:val="TableText"/>
              <w:spacing w:line="240" w:lineRule="auto"/>
              <w:rPr>
                <w:rFonts w:cs="Arial"/>
                <w:bCs/>
                <w:sz w:val="18"/>
                <w:szCs w:val="18"/>
                <w:lang w:val="en-NZ"/>
              </w:rPr>
            </w:pPr>
            <w:r>
              <w:rPr>
                <w:rFonts w:cs="Arial"/>
                <w:bCs/>
                <w:sz w:val="18"/>
                <w:szCs w:val="18"/>
                <w:lang w:val="en-NZ"/>
              </w:rPr>
              <w:t xml:space="preserve">The requirement of a referee for any subsequent application may create a barrier or perceived barrier to access the self-identification process as some applicants may not know someone who is willing to act as referee. </w:t>
            </w:r>
          </w:p>
          <w:p w14:paraId="05D6F7C1" w14:textId="77777777" w:rsidR="00D174FC" w:rsidRDefault="00D174FC" w:rsidP="00D174FC">
            <w:pPr>
              <w:pStyle w:val="TableText"/>
              <w:spacing w:line="240" w:lineRule="auto"/>
              <w:rPr>
                <w:rFonts w:cs="Arial"/>
                <w:bCs/>
                <w:sz w:val="18"/>
                <w:szCs w:val="18"/>
                <w:lang w:val="en-NZ"/>
              </w:rPr>
            </w:pPr>
          </w:p>
          <w:p w14:paraId="062F600D" w14:textId="22EB61A2" w:rsidR="00E35684" w:rsidRPr="00A864A5" w:rsidRDefault="00D174FC" w:rsidP="00B53952">
            <w:pPr>
              <w:pStyle w:val="TableText"/>
              <w:spacing w:line="240" w:lineRule="auto"/>
              <w:rPr>
                <w:lang w:val="en-NZ"/>
              </w:rPr>
            </w:pPr>
            <w:r w:rsidRPr="00F762EF">
              <w:rPr>
                <w:rFonts w:cs="Arial"/>
                <w:sz w:val="18"/>
                <w:szCs w:val="18"/>
                <w:lang w:val="en-NZ"/>
              </w:rPr>
              <w:t>For adults, the requirement to submit two statutory declarations, and for children and young people to provide two statutory declarations and a letter of support from a suitably qualified third party could impose an unreasonable administrative burden.</w:t>
            </w:r>
            <w:r>
              <w:rPr>
                <w:rFonts w:cs="Arial"/>
                <w:bCs/>
                <w:sz w:val="18"/>
                <w:szCs w:val="18"/>
                <w:lang w:val="en-NZ"/>
              </w:rPr>
              <w:t xml:space="preserve"> </w:t>
            </w:r>
          </w:p>
        </w:tc>
        <w:tc>
          <w:tcPr>
            <w:tcW w:w="6446" w:type="dxa"/>
            <w:shd w:val="clear" w:color="auto" w:fill="auto"/>
          </w:tcPr>
          <w:p w14:paraId="3B0D585F" w14:textId="77777777" w:rsidR="00D174FC" w:rsidRPr="00B54703" w:rsidRDefault="00D174FC" w:rsidP="00D174FC">
            <w:pPr>
              <w:pStyle w:val="TableText"/>
              <w:spacing w:line="240" w:lineRule="auto"/>
              <w:jc w:val="center"/>
              <w:rPr>
                <w:rFonts w:cs="Arial"/>
                <w:b/>
                <w:iCs/>
                <w:sz w:val="18"/>
                <w:szCs w:val="18"/>
                <w:lang w:val="en-NZ"/>
              </w:rPr>
            </w:pPr>
            <w:r w:rsidRPr="00B54703">
              <w:rPr>
                <w:rFonts w:cs="Arial"/>
                <w:b/>
                <w:iCs/>
                <w:sz w:val="18"/>
                <w:szCs w:val="18"/>
                <w:lang w:val="en-NZ"/>
              </w:rPr>
              <w:t>0</w:t>
            </w:r>
          </w:p>
          <w:p w14:paraId="6284945C" w14:textId="0A040A29" w:rsidR="00E35684" w:rsidRPr="00A864A5" w:rsidRDefault="00D174FC" w:rsidP="00B53952">
            <w:pPr>
              <w:pStyle w:val="TableText"/>
              <w:spacing w:line="240" w:lineRule="auto"/>
              <w:rPr>
                <w:lang w:val="en-NZ"/>
              </w:rPr>
            </w:pPr>
            <w:r w:rsidRPr="00F762EF">
              <w:rPr>
                <w:rFonts w:cs="Arial"/>
                <w:sz w:val="18"/>
                <w:szCs w:val="18"/>
                <w:lang w:val="en-NZ"/>
              </w:rPr>
              <w:t>Because there are no additional requirements specifically on an applicant to adhere by, there are no barriers created for applicants accessing the self-identification process multiple times.</w:t>
            </w:r>
          </w:p>
        </w:tc>
      </w:tr>
      <w:tr w:rsidR="00E35684" w:rsidRPr="00A864A5" w14:paraId="329E707F" w14:textId="466E4D1D" w:rsidTr="006C784C">
        <w:trPr>
          <w:trHeight w:val="253"/>
        </w:trPr>
        <w:tc>
          <w:tcPr>
            <w:tcW w:w="2906" w:type="dxa"/>
            <w:shd w:val="clear" w:color="auto" w:fill="99CDDD"/>
            <w:vAlign w:val="center"/>
          </w:tcPr>
          <w:p w14:paraId="58066B9C" w14:textId="77777777" w:rsidR="00D174FC" w:rsidRDefault="00D174FC" w:rsidP="00D174FC">
            <w:pPr>
              <w:spacing w:before="60" w:after="60" w:line="240" w:lineRule="auto"/>
              <w:jc w:val="center"/>
              <w:rPr>
                <w:rFonts w:cs="Arial"/>
                <w:b/>
                <w:color w:val="000000"/>
                <w:sz w:val="18"/>
                <w:szCs w:val="18"/>
              </w:rPr>
            </w:pPr>
            <w:r>
              <w:rPr>
                <w:rFonts w:cs="Arial"/>
                <w:b/>
                <w:color w:val="000000"/>
                <w:sz w:val="18"/>
                <w:szCs w:val="18"/>
              </w:rPr>
              <w:t>Integrity</w:t>
            </w:r>
          </w:p>
          <w:p w14:paraId="0FFEBF41" w14:textId="095B19AA" w:rsidR="00E35684" w:rsidRPr="00A864A5" w:rsidRDefault="00D174FC" w:rsidP="00E35684">
            <w:pPr>
              <w:spacing w:before="60" w:after="60" w:line="240" w:lineRule="auto"/>
              <w:jc w:val="center"/>
              <w:rPr>
                <w:rFonts w:cs="Arial"/>
                <w:b/>
                <w:color w:val="000000"/>
                <w:szCs w:val="22"/>
                <w:lang w:val="en-NZ"/>
              </w:rPr>
            </w:pPr>
            <w:r w:rsidRPr="00685B45">
              <w:rPr>
                <w:i/>
                <w:sz w:val="18"/>
                <w:szCs w:val="22"/>
              </w:rPr>
              <w:t xml:space="preserve">have confidence applications are genuine </w:t>
            </w:r>
            <w:r w:rsidRPr="00685B45">
              <w:rPr>
                <w:i/>
                <w:sz w:val="18"/>
              </w:rPr>
              <w:t xml:space="preserve">and </w:t>
            </w:r>
            <w:r w:rsidRPr="00685B45">
              <w:rPr>
                <w:i/>
                <w:sz w:val="18"/>
                <w:szCs w:val="22"/>
              </w:rPr>
              <w:t xml:space="preserve">the </w:t>
            </w:r>
            <w:r w:rsidRPr="00685B45">
              <w:rPr>
                <w:i/>
                <w:color w:val="000000"/>
                <w:sz w:val="18"/>
                <w:szCs w:val="22"/>
              </w:rPr>
              <w:t>opportunity to commit fraudulent or illegal intent under the self-identification process is limited</w:t>
            </w:r>
          </w:p>
        </w:tc>
        <w:tc>
          <w:tcPr>
            <w:tcW w:w="6344" w:type="dxa"/>
            <w:shd w:val="clear" w:color="auto" w:fill="auto"/>
          </w:tcPr>
          <w:p w14:paraId="06F44802" w14:textId="77777777" w:rsidR="00D174FC" w:rsidRDefault="00E35684" w:rsidP="00D174FC">
            <w:pPr>
              <w:pStyle w:val="TableText"/>
              <w:spacing w:line="240" w:lineRule="auto"/>
              <w:jc w:val="center"/>
              <w:rPr>
                <w:rFonts w:cs="Arial"/>
                <w:b/>
                <w:iCs/>
                <w:sz w:val="18"/>
                <w:szCs w:val="18"/>
                <w:lang w:val="en-NZ"/>
              </w:rPr>
            </w:pPr>
            <w:r w:rsidRPr="00B54703">
              <w:rPr>
                <w:rFonts w:cs="Arial"/>
                <w:b/>
                <w:sz w:val="18"/>
                <w:szCs w:val="18"/>
                <w:lang w:val="en-NZ"/>
              </w:rPr>
              <w:t>0</w:t>
            </w:r>
          </w:p>
          <w:p w14:paraId="647B1F82" w14:textId="77777777" w:rsidR="00D174FC" w:rsidRDefault="00D174FC" w:rsidP="00D174FC">
            <w:pPr>
              <w:pStyle w:val="TableText"/>
              <w:spacing w:line="240" w:lineRule="auto"/>
              <w:rPr>
                <w:rFonts w:cs="Arial"/>
                <w:iCs/>
                <w:sz w:val="18"/>
                <w:szCs w:val="18"/>
                <w:lang w:val="en-NZ"/>
              </w:rPr>
            </w:pPr>
            <w:r>
              <w:rPr>
                <w:rFonts w:cs="Arial"/>
                <w:iCs/>
                <w:sz w:val="18"/>
                <w:szCs w:val="18"/>
                <w:lang w:val="en-NZ"/>
              </w:rPr>
              <w:t xml:space="preserve">Under the status quo, the statutory declaration by an applicant may partly mitigate the potential for identity fraud due to the consequences of falsified statements. </w:t>
            </w:r>
          </w:p>
          <w:p w14:paraId="6274B390" w14:textId="77777777" w:rsidR="00D174FC" w:rsidRDefault="00D174FC" w:rsidP="00D174FC">
            <w:pPr>
              <w:pStyle w:val="TableText"/>
              <w:spacing w:line="240" w:lineRule="auto"/>
              <w:rPr>
                <w:rFonts w:cs="Arial"/>
                <w:iCs/>
                <w:sz w:val="18"/>
                <w:szCs w:val="18"/>
                <w:lang w:val="en-NZ"/>
              </w:rPr>
            </w:pPr>
          </w:p>
          <w:p w14:paraId="3AFBE8EB" w14:textId="5A857792" w:rsidR="00E35684" w:rsidRPr="00A864A5" w:rsidRDefault="00D174FC" w:rsidP="00B53952">
            <w:pPr>
              <w:pStyle w:val="TableText"/>
              <w:spacing w:line="240" w:lineRule="auto"/>
              <w:rPr>
                <w:bCs/>
                <w:lang w:val="en-NZ"/>
              </w:rPr>
            </w:pPr>
            <w:r>
              <w:rPr>
                <w:rFonts w:cs="Arial"/>
                <w:iCs/>
                <w:sz w:val="18"/>
                <w:szCs w:val="18"/>
                <w:lang w:val="en-NZ"/>
              </w:rPr>
              <w:t>Existing operational policies for BDM products (</w:t>
            </w:r>
            <w:proofErr w:type="gramStart"/>
            <w:r>
              <w:rPr>
                <w:rFonts w:cs="Arial"/>
                <w:iCs/>
                <w:sz w:val="18"/>
                <w:szCs w:val="18"/>
                <w:lang w:val="en-NZ"/>
              </w:rPr>
              <w:t>e.g.</w:t>
            </w:r>
            <w:proofErr w:type="gramEnd"/>
            <w:r>
              <w:rPr>
                <w:rFonts w:cs="Arial"/>
                <w:iCs/>
                <w:sz w:val="18"/>
                <w:szCs w:val="18"/>
                <w:lang w:val="en-NZ"/>
              </w:rPr>
              <w:t xml:space="preserve"> name changes) would be relied upon as a mechanism to pick up any potential cases of fraud or forgery</w:t>
            </w:r>
            <w:r w:rsidR="00B82D27">
              <w:rPr>
                <w:rFonts w:cs="Arial"/>
                <w:iCs/>
                <w:sz w:val="18"/>
                <w:szCs w:val="18"/>
                <w:lang w:val="en-NZ"/>
              </w:rPr>
              <w:t>.</w:t>
            </w:r>
            <w:r>
              <w:rPr>
                <w:rFonts w:cs="Arial"/>
                <w:iCs/>
                <w:sz w:val="18"/>
                <w:szCs w:val="18"/>
                <w:lang w:val="en-NZ"/>
              </w:rPr>
              <w:t xml:space="preserve"> </w:t>
            </w:r>
            <w:r w:rsidR="00B82D27">
              <w:rPr>
                <w:rFonts w:cs="Arial"/>
                <w:iCs/>
                <w:sz w:val="18"/>
                <w:szCs w:val="18"/>
                <w:lang w:val="en-NZ"/>
              </w:rPr>
              <w:t>C</w:t>
            </w:r>
            <w:r>
              <w:rPr>
                <w:rFonts w:cs="Arial"/>
                <w:iCs/>
                <w:sz w:val="18"/>
                <w:szCs w:val="18"/>
                <w:lang w:val="en-NZ"/>
              </w:rPr>
              <w:t xml:space="preserve">urrent policy does not allow investigations into the </w:t>
            </w:r>
            <w:proofErr w:type="gramStart"/>
            <w:r>
              <w:rPr>
                <w:rFonts w:cs="Arial"/>
                <w:iCs/>
                <w:sz w:val="18"/>
                <w:szCs w:val="18"/>
                <w:lang w:val="en-NZ"/>
              </w:rPr>
              <w:t>amount</w:t>
            </w:r>
            <w:proofErr w:type="gramEnd"/>
            <w:r>
              <w:rPr>
                <w:rFonts w:cs="Arial"/>
                <w:iCs/>
                <w:sz w:val="18"/>
                <w:szCs w:val="18"/>
                <w:lang w:val="en-NZ"/>
              </w:rPr>
              <w:t xml:space="preserve"> of times someone has applied for a product, only about the perceived genuineness of the application itself. </w:t>
            </w:r>
          </w:p>
        </w:tc>
        <w:tc>
          <w:tcPr>
            <w:tcW w:w="6320" w:type="dxa"/>
            <w:shd w:val="clear" w:color="auto" w:fill="auto"/>
          </w:tcPr>
          <w:p w14:paraId="18454D19" w14:textId="0980ECC5" w:rsidR="00D174FC" w:rsidRPr="0092150D" w:rsidRDefault="00D174FC" w:rsidP="00D174FC">
            <w:pPr>
              <w:pStyle w:val="TableText"/>
              <w:spacing w:line="240" w:lineRule="auto"/>
              <w:jc w:val="center"/>
              <w:rPr>
                <w:rFonts w:cs="Arial"/>
                <w:b/>
                <w:iCs/>
                <w:color w:val="00B050"/>
                <w:sz w:val="18"/>
                <w:szCs w:val="18"/>
                <w:lang w:val="en-NZ"/>
              </w:rPr>
            </w:pPr>
            <w:r w:rsidRPr="0092150D">
              <w:rPr>
                <w:rFonts w:cs="Arial"/>
                <w:b/>
                <w:iCs/>
                <w:color w:val="00B050"/>
                <w:sz w:val="18"/>
                <w:szCs w:val="18"/>
                <w:lang w:val="en-NZ"/>
              </w:rPr>
              <w:t>+</w:t>
            </w:r>
          </w:p>
          <w:p w14:paraId="35AB7659" w14:textId="77777777" w:rsidR="00D174FC" w:rsidRPr="007E12B6" w:rsidRDefault="00D174FC" w:rsidP="00D174FC">
            <w:pPr>
              <w:pStyle w:val="TableText"/>
              <w:spacing w:line="240" w:lineRule="auto"/>
              <w:rPr>
                <w:rFonts w:cs="Arial"/>
                <w:iCs/>
                <w:sz w:val="18"/>
                <w:szCs w:val="18"/>
                <w:lang w:val="en-NZ"/>
              </w:rPr>
            </w:pPr>
            <w:r>
              <w:rPr>
                <w:sz w:val="18"/>
              </w:rPr>
              <w:t xml:space="preserve">A statutory declaration from a referee that confirms an applicant is making a subsequent application in ‘good faith’ </w:t>
            </w:r>
            <w:r>
              <w:rPr>
                <w:rFonts w:cs="Arial"/>
                <w:iCs/>
                <w:sz w:val="18"/>
                <w:szCs w:val="18"/>
                <w:lang w:val="en-NZ"/>
              </w:rPr>
              <w:t xml:space="preserve">may mitigate the potential for identity fraud due to the consequences of falsified statements. Combined with the statutory declaration from the applicant, this option provides more assurance that an application is genuine than the status quo and option three. </w:t>
            </w:r>
          </w:p>
          <w:p w14:paraId="6D236413" w14:textId="77777777" w:rsidR="00E35684" w:rsidRPr="00A864A5" w:rsidRDefault="00E35684" w:rsidP="002B1B9D">
            <w:pPr>
              <w:pStyle w:val="TableText"/>
              <w:spacing w:line="276" w:lineRule="auto"/>
              <w:jc w:val="center"/>
              <w:rPr>
                <w:lang w:val="en-NZ"/>
              </w:rPr>
            </w:pPr>
          </w:p>
        </w:tc>
        <w:tc>
          <w:tcPr>
            <w:tcW w:w="6446" w:type="dxa"/>
            <w:shd w:val="clear" w:color="auto" w:fill="auto"/>
          </w:tcPr>
          <w:p w14:paraId="0DE80C00" w14:textId="77777777" w:rsidR="00D174FC" w:rsidRPr="00F668CE" w:rsidRDefault="00D174FC" w:rsidP="00D174FC">
            <w:pPr>
              <w:pStyle w:val="TableText"/>
              <w:spacing w:line="240" w:lineRule="auto"/>
              <w:jc w:val="center"/>
              <w:rPr>
                <w:rFonts w:cs="Arial"/>
                <w:b/>
                <w:iCs/>
                <w:color w:val="00B050"/>
                <w:sz w:val="18"/>
                <w:szCs w:val="18"/>
                <w:lang w:val="en-NZ"/>
              </w:rPr>
            </w:pPr>
            <w:r>
              <w:rPr>
                <w:rFonts w:cs="Arial"/>
                <w:b/>
                <w:iCs/>
                <w:color w:val="00B050"/>
                <w:sz w:val="18"/>
                <w:szCs w:val="18"/>
                <w:lang w:val="en-NZ"/>
              </w:rPr>
              <w:t>+</w:t>
            </w:r>
          </w:p>
          <w:p w14:paraId="1A212369" w14:textId="03C2A244" w:rsidR="00D174FC" w:rsidRDefault="00D174FC" w:rsidP="00D174FC">
            <w:pPr>
              <w:pStyle w:val="TableText"/>
              <w:spacing w:line="240" w:lineRule="auto"/>
              <w:rPr>
                <w:rFonts w:cs="Arial"/>
                <w:iCs/>
                <w:sz w:val="18"/>
                <w:szCs w:val="18"/>
                <w:lang w:val="en-NZ"/>
              </w:rPr>
            </w:pPr>
            <w:r>
              <w:rPr>
                <w:rFonts w:cs="Arial"/>
                <w:iCs/>
                <w:sz w:val="18"/>
                <w:szCs w:val="18"/>
                <w:lang w:val="en-NZ"/>
              </w:rPr>
              <w:t>Under this option, a process managed by the Department that investigates an applicant who has</w:t>
            </w:r>
            <w:r w:rsidR="00B82D27">
              <w:rPr>
                <w:rFonts w:cs="Arial"/>
                <w:iCs/>
                <w:sz w:val="18"/>
                <w:szCs w:val="18"/>
                <w:lang w:val="en-NZ"/>
              </w:rPr>
              <w:t>, for example,</w:t>
            </w:r>
            <w:r>
              <w:rPr>
                <w:rFonts w:cs="Arial"/>
                <w:iCs/>
                <w:sz w:val="18"/>
                <w:szCs w:val="18"/>
                <w:lang w:val="en-NZ"/>
              </w:rPr>
              <w:t xml:space="preserve"> amended their registered sex and changed their name multiple times within a certain time could help to identify potential situations of identity fraud.</w:t>
            </w:r>
            <w:r w:rsidR="00B82D27">
              <w:rPr>
                <w:rFonts w:cs="Arial"/>
                <w:iCs/>
                <w:sz w:val="18"/>
                <w:szCs w:val="18"/>
                <w:lang w:val="en-NZ"/>
              </w:rPr>
              <w:t xml:space="preserve"> T</w:t>
            </w:r>
            <w:r>
              <w:rPr>
                <w:rFonts w:cs="Arial"/>
                <w:iCs/>
                <w:sz w:val="18"/>
                <w:szCs w:val="18"/>
                <w:lang w:val="en-NZ"/>
              </w:rPr>
              <w:t xml:space="preserve">his option would not necessarily prevent identity fraud as an applicant would only be investigated after they had made the various applications (and obtained new birth certificates). </w:t>
            </w:r>
          </w:p>
          <w:p w14:paraId="04582A98" w14:textId="77777777" w:rsidR="00D174FC" w:rsidRDefault="00D174FC" w:rsidP="00D174FC">
            <w:pPr>
              <w:pStyle w:val="TableText"/>
              <w:spacing w:line="240" w:lineRule="auto"/>
              <w:rPr>
                <w:rFonts w:cs="Arial"/>
                <w:iCs/>
                <w:sz w:val="18"/>
                <w:szCs w:val="18"/>
                <w:lang w:val="en-NZ"/>
              </w:rPr>
            </w:pPr>
          </w:p>
          <w:p w14:paraId="01C30B8A" w14:textId="7A0792A2" w:rsidR="00E35684" w:rsidRPr="00A864A5" w:rsidRDefault="00D174FC" w:rsidP="00A655E0">
            <w:pPr>
              <w:pStyle w:val="TableText"/>
              <w:spacing w:line="240" w:lineRule="auto"/>
              <w:rPr>
                <w:lang w:val="en-NZ"/>
              </w:rPr>
            </w:pPr>
            <w:r>
              <w:rPr>
                <w:rFonts w:cs="Arial"/>
                <w:iCs/>
                <w:sz w:val="18"/>
                <w:szCs w:val="18"/>
                <w:lang w:val="en-NZ"/>
              </w:rPr>
              <w:t xml:space="preserve">As with the other options, under this option a statutory declaration by an applicant may partly mitigate the potential for identity fraud due to the consequences of falsified statements. </w:t>
            </w:r>
          </w:p>
        </w:tc>
      </w:tr>
      <w:tr w:rsidR="00E35684" w:rsidRPr="00A864A5" w14:paraId="3B9C0424" w14:textId="53061479" w:rsidTr="006C784C">
        <w:trPr>
          <w:trHeight w:val="242"/>
        </w:trPr>
        <w:tc>
          <w:tcPr>
            <w:tcW w:w="2906" w:type="dxa"/>
            <w:shd w:val="clear" w:color="auto" w:fill="99CDDD"/>
            <w:vAlign w:val="center"/>
          </w:tcPr>
          <w:p w14:paraId="13C32EEC" w14:textId="0B9FAD0A" w:rsidR="00D174FC" w:rsidRDefault="001705FE" w:rsidP="00D174FC">
            <w:pPr>
              <w:spacing w:before="60" w:after="60" w:line="240" w:lineRule="auto"/>
              <w:jc w:val="center"/>
              <w:rPr>
                <w:rFonts w:cs="Arial"/>
                <w:b/>
                <w:color w:val="000000"/>
                <w:sz w:val="18"/>
                <w:szCs w:val="18"/>
              </w:rPr>
            </w:pPr>
            <w:r>
              <w:rPr>
                <w:rFonts w:cs="Arial"/>
                <w:b/>
                <w:color w:val="000000"/>
                <w:sz w:val="18"/>
                <w:szCs w:val="18"/>
              </w:rPr>
              <w:t>Proportionate</w:t>
            </w:r>
          </w:p>
          <w:p w14:paraId="034E76EF" w14:textId="41EBCF74" w:rsidR="00E35684" w:rsidRPr="00A864A5" w:rsidRDefault="00D174FC" w:rsidP="00E35684">
            <w:pPr>
              <w:spacing w:before="60" w:after="60" w:line="240" w:lineRule="auto"/>
              <w:jc w:val="center"/>
              <w:rPr>
                <w:rFonts w:cs="Arial"/>
                <w:b/>
                <w:color w:val="000000"/>
                <w:szCs w:val="22"/>
                <w:lang w:val="en-NZ"/>
              </w:rPr>
            </w:pPr>
            <w:r w:rsidRPr="00685B45">
              <w:rPr>
                <w:rFonts w:cs="Arial"/>
                <w:i/>
                <w:sz w:val="18"/>
                <w:szCs w:val="22"/>
              </w:rPr>
              <w:t>the probability of misuse of the self-identification process is proportionately balanced</w:t>
            </w:r>
          </w:p>
        </w:tc>
        <w:tc>
          <w:tcPr>
            <w:tcW w:w="6344" w:type="dxa"/>
            <w:shd w:val="clear" w:color="auto" w:fill="auto"/>
          </w:tcPr>
          <w:p w14:paraId="0E826611" w14:textId="77777777" w:rsidR="00D174FC" w:rsidRDefault="00E35684" w:rsidP="00D174FC">
            <w:pPr>
              <w:pStyle w:val="TableText"/>
              <w:spacing w:line="240" w:lineRule="auto"/>
              <w:jc w:val="center"/>
              <w:rPr>
                <w:rFonts w:cs="Arial"/>
                <w:b/>
                <w:sz w:val="18"/>
                <w:szCs w:val="18"/>
                <w:lang w:val="en-NZ"/>
              </w:rPr>
            </w:pPr>
            <w:r>
              <w:rPr>
                <w:rFonts w:cs="Arial"/>
                <w:b/>
                <w:sz w:val="18"/>
                <w:szCs w:val="18"/>
                <w:lang w:val="en-NZ"/>
              </w:rPr>
              <w:t>0</w:t>
            </w:r>
          </w:p>
          <w:p w14:paraId="3B92543F" w14:textId="0D874DA3" w:rsidR="00D174FC" w:rsidRPr="007E12B6" w:rsidRDefault="001C6468" w:rsidP="00D174FC">
            <w:pPr>
              <w:pStyle w:val="TableText"/>
              <w:spacing w:line="240" w:lineRule="auto"/>
              <w:rPr>
                <w:rFonts w:cs="Arial"/>
                <w:sz w:val="18"/>
                <w:szCs w:val="18"/>
                <w:lang w:val="en-NZ"/>
              </w:rPr>
            </w:pPr>
            <w:r>
              <w:rPr>
                <w:rFonts w:cs="Arial"/>
                <w:sz w:val="18"/>
                <w:szCs w:val="18"/>
                <w:lang w:val="en-NZ"/>
              </w:rPr>
              <w:t>Birth certificates are not commonly used for fraud. It is assumed that the</w:t>
            </w:r>
            <w:r w:rsidR="005A74CA">
              <w:rPr>
                <w:rFonts w:cs="Arial"/>
                <w:sz w:val="18"/>
                <w:szCs w:val="18"/>
                <w:lang w:val="en-NZ"/>
              </w:rPr>
              <w:t xml:space="preserve"> </w:t>
            </w:r>
            <w:r w:rsidR="00D174FC">
              <w:rPr>
                <w:rFonts w:cs="Arial"/>
                <w:sz w:val="18"/>
                <w:szCs w:val="18"/>
                <w:lang w:val="en-NZ"/>
              </w:rPr>
              <w:t>likel</w:t>
            </w:r>
            <w:r w:rsidR="005A74CA">
              <w:rPr>
                <w:rFonts w:cs="Arial"/>
                <w:sz w:val="18"/>
                <w:szCs w:val="18"/>
                <w:lang w:val="en-NZ"/>
              </w:rPr>
              <w:t>ihood of</w:t>
            </w:r>
            <w:r w:rsidR="00D174FC">
              <w:rPr>
                <w:rFonts w:cs="Arial"/>
                <w:sz w:val="18"/>
                <w:szCs w:val="18"/>
                <w:lang w:val="en-NZ"/>
              </w:rPr>
              <w:t xml:space="preserve"> the self-identification process being exploited for purposes of obtaining multiple identities to perform identity fraud</w:t>
            </w:r>
            <w:r>
              <w:rPr>
                <w:rFonts w:cs="Arial"/>
                <w:sz w:val="18"/>
                <w:szCs w:val="18"/>
                <w:lang w:val="en-NZ"/>
              </w:rPr>
              <w:t xml:space="preserve"> will also be low. Therefore</w:t>
            </w:r>
            <w:r w:rsidR="00AD37EE">
              <w:rPr>
                <w:rFonts w:cs="Arial"/>
                <w:sz w:val="18"/>
                <w:szCs w:val="18"/>
                <w:lang w:val="en-NZ"/>
              </w:rPr>
              <w:t>,</w:t>
            </w:r>
            <w:r w:rsidR="00D174FC">
              <w:rPr>
                <w:rFonts w:cs="Arial"/>
                <w:sz w:val="18"/>
                <w:szCs w:val="18"/>
                <w:lang w:val="en-NZ"/>
              </w:rPr>
              <w:t xml:space="preserve"> not prescribing additional requirements and relying on existing processes </w:t>
            </w:r>
            <w:r>
              <w:rPr>
                <w:rFonts w:cs="Arial"/>
                <w:sz w:val="18"/>
                <w:szCs w:val="18"/>
                <w:lang w:val="en-NZ"/>
              </w:rPr>
              <w:t xml:space="preserve">may be considered </w:t>
            </w:r>
            <w:r w:rsidR="00D174FC">
              <w:rPr>
                <w:rFonts w:cs="Arial"/>
                <w:sz w:val="18"/>
                <w:szCs w:val="18"/>
                <w:lang w:val="en-NZ"/>
              </w:rPr>
              <w:t>proportionate to the level of perceived risk.</w:t>
            </w:r>
            <w:r w:rsidR="003753EB">
              <w:rPr>
                <w:rFonts w:cs="Arial"/>
                <w:sz w:val="18"/>
                <w:szCs w:val="18"/>
                <w:lang w:val="en-NZ"/>
              </w:rPr>
              <w:t xml:space="preserve"> We will seek information from other agencies about the measures they already have in place to mitigate the risk of identity fraud.</w:t>
            </w:r>
            <w:r w:rsidR="003B1C49">
              <w:rPr>
                <w:rFonts w:cs="Arial"/>
                <w:sz w:val="18"/>
                <w:szCs w:val="18"/>
                <w:lang w:val="en-NZ"/>
              </w:rPr>
              <w:t xml:space="preserve"> If they do have effective measures</w:t>
            </w:r>
            <w:r w:rsidR="0053705A">
              <w:rPr>
                <w:rFonts w:cs="Arial"/>
                <w:sz w:val="18"/>
                <w:szCs w:val="18"/>
                <w:lang w:val="en-NZ"/>
              </w:rPr>
              <w:t>,</w:t>
            </w:r>
            <w:r w:rsidR="003B1C49">
              <w:rPr>
                <w:rFonts w:cs="Arial"/>
                <w:sz w:val="18"/>
                <w:szCs w:val="18"/>
                <w:lang w:val="en-NZ"/>
              </w:rPr>
              <w:t xml:space="preserve"> then this option would more likely be proportionate.</w:t>
            </w:r>
            <w:r w:rsidR="003753EB">
              <w:rPr>
                <w:rFonts w:cs="Arial"/>
                <w:sz w:val="18"/>
                <w:szCs w:val="18"/>
                <w:lang w:val="en-NZ"/>
              </w:rPr>
              <w:t xml:space="preserve"> </w:t>
            </w:r>
            <w:r w:rsidR="00D174FC">
              <w:rPr>
                <w:rFonts w:cs="Arial"/>
                <w:sz w:val="18"/>
                <w:szCs w:val="18"/>
                <w:lang w:val="en-NZ"/>
              </w:rPr>
              <w:t xml:space="preserve">  </w:t>
            </w:r>
          </w:p>
          <w:p w14:paraId="74355B2E" w14:textId="164EFBBC" w:rsidR="00E35684" w:rsidRPr="00A864A5" w:rsidRDefault="00E35684" w:rsidP="002B1B9D">
            <w:pPr>
              <w:pStyle w:val="TableText"/>
              <w:spacing w:line="276" w:lineRule="auto"/>
              <w:jc w:val="center"/>
              <w:rPr>
                <w:bCs/>
                <w:lang w:val="en-NZ"/>
              </w:rPr>
            </w:pPr>
          </w:p>
        </w:tc>
        <w:tc>
          <w:tcPr>
            <w:tcW w:w="6320" w:type="dxa"/>
            <w:shd w:val="clear" w:color="auto" w:fill="auto"/>
          </w:tcPr>
          <w:p w14:paraId="77B6C5F5" w14:textId="77777777" w:rsidR="00D174FC" w:rsidRPr="00B54703" w:rsidRDefault="00D174FC" w:rsidP="00D174FC">
            <w:pPr>
              <w:pStyle w:val="TableText"/>
              <w:spacing w:line="240" w:lineRule="auto"/>
              <w:jc w:val="center"/>
              <w:rPr>
                <w:rFonts w:cs="Arial"/>
                <w:b/>
                <w:color w:val="FF0000"/>
                <w:sz w:val="18"/>
                <w:szCs w:val="18"/>
                <w:lang w:val="en-NZ"/>
              </w:rPr>
            </w:pPr>
            <w:r w:rsidRPr="00B54703">
              <w:rPr>
                <w:rFonts w:cs="Arial"/>
                <w:b/>
                <w:color w:val="FF0000"/>
                <w:sz w:val="18"/>
                <w:szCs w:val="18"/>
                <w:lang w:val="en-NZ"/>
              </w:rPr>
              <w:t>-</w:t>
            </w:r>
          </w:p>
          <w:p w14:paraId="39D53660" w14:textId="48E0062C" w:rsidR="00D174FC" w:rsidRPr="007E12B6" w:rsidRDefault="00D174FC" w:rsidP="00D174FC">
            <w:pPr>
              <w:pStyle w:val="TableText"/>
              <w:spacing w:line="240" w:lineRule="auto"/>
              <w:rPr>
                <w:rFonts w:cs="Arial"/>
                <w:sz w:val="18"/>
                <w:szCs w:val="18"/>
                <w:lang w:val="en-NZ"/>
              </w:rPr>
            </w:pPr>
            <w:r>
              <w:rPr>
                <w:rFonts w:cs="Arial"/>
                <w:sz w:val="18"/>
                <w:szCs w:val="18"/>
                <w:lang w:val="en-NZ"/>
              </w:rPr>
              <w:t>Due to the</w:t>
            </w:r>
            <w:r w:rsidR="000A3506">
              <w:rPr>
                <w:rFonts w:cs="Arial"/>
                <w:sz w:val="18"/>
                <w:szCs w:val="18"/>
                <w:lang w:val="en-NZ"/>
              </w:rPr>
              <w:t xml:space="preserve"> assumed</w:t>
            </w:r>
            <w:r>
              <w:rPr>
                <w:rFonts w:cs="Arial"/>
                <w:sz w:val="18"/>
                <w:szCs w:val="18"/>
                <w:lang w:val="en-NZ"/>
              </w:rPr>
              <w:t xml:space="preserve"> </w:t>
            </w:r>
            <w:r w:rsidR="00AD37EE">
              <w:rPr>
                <w:rFonts w:cs="Arial"/>
                <w:sz w:val="18"/>
                <w:szCs w:val="18"/>
                <w:lang w:val="en-NZ"/>
              </w:rPr>
              <w:t xml:space="preserve">low </w:t>
            </w:r>
            <w:r>
              <w:rPr>
                <w:rFonts w:cs="Arial"/>
                <w:sz w:val="18"/>
                <w:szCs w:val="18"/>
                <w:lang w:val="en-NZ"/>
              </w:rPr>
              <w:t>likel</w:t>
            </w:r>
            <w:r w:rsidR="000A3506">
              <w:rPr>
                <w:rFonts w:cs="Arial"/>
                <w:sz w:val="18"/>
                <w:szCs w:val="18"/>
                <w:lang w:val="en-NZ"/>
              </w:rPr>
              <w:t>ihood</w:t>
            </w:r>
            <w:r w:rsidR="00B82D27">
              <w:rPr>
                <w:rFonts w:cs="Arial"/>
                <w:sz w:val="18"/>
                <w:szCs w:val="18"/>
                <w:lang w:val="en-NZ"/>
              </w:rPr>
              <w:t xml:space="preserve"> </w:t>
            </w:r>
            <w:r>
              <w:rPr>
                <w:rFonts w:cs="Arial"/>
                <w:sz w:val="18"/>
                <w:szCs w:val="18"/>
                <w:lang w:val="en-NZ"/>
              </w:rPr>
              <w:t xml:space="preserve">of the self-identification process being exploited for purposes of obtaining multiple identities to perform identity fraud, the requirement of a statutory declaration from a referee may be perceived as disproportionate to the level of perceived risk, and potentially unfair to those who are genuinely accessing the process to reflect their gender. </w:t>
            </w:r>
          </w:p>
          <w:p w14:paraId="3DF7E1EF" w14:textId="77777777" w:rsidR="00E35684" w:rsidRPr="00A864A5" w:rsidRDefault="00E35684" w:rsidP="002B1B9D">
            <w:pPr>
              <w:pStyle w:val="TableText"/>
              <w:spacing w:line="276" w:lineRule="auto"/>
              <w:jc w:val="center"/>
              <w:rPr>
                <w:lang w:val="en-NZ"/>
              </w:rPr>
            </w:pPr>
          </w:p>
        </w:tc>
        <w:tc>
          <w:tcPr>
            <w:tcW w:w="6446" w:type="dxa"/>
            <w:shd w:val="clear" w:color="auto" w:fill="auto"/>
          </w:tcPr>
          <w:p w14:paraId="4393C9C8" w14:textId="3B06F2D2" w:rsidR="00D174FC" w:rsidRPr="00A655E0" w:rsidRDefault="00A655E0" w:rsidP="00D174FC">
            <w:pPr>
              <w:pStyle w:val="TableText"/>
              <w:spacing w:line="240" w:lineRule="auto"/>
              <w:jc w:val="center"/>
              <w:rPr>
                <w:rFonts w:cs="Arial"/>
                <w:b/>
                <w:color w:val="00B050"/>
                <w:sz w:val="18"/>
                <w:szCs w:val="18"/>
                <w:lang w:val="en-NZ"/>
              </w:rPr>
            </w:pPr>
            <w:r w:rsidRPr="00A655E0">
              <w:rPr>
                <w:rFonts w:cs="Arial"/>
                <w:b/>
                <w:color w:val="00B050"/>
                <w:sz w:val="18"/>
                <w:szCs w:val="18"/>
                <w:lang w:val="en-NZ"/>
              </w:rPr>
              <w:t>+</w:t>
            </w:r>
          </w:p>
          <w:p w14:paraId="69A35FB8" w14:textId="6B0227C1" w:rsidR="00E35684" w:rsidRPr="00A864A5" w:rsidRDefault="00D174FC" w:rsidP="00B53952">
            <w:pPr>
              <w:pStyle w:val="TableText"/>
              <w:spacing w:line="240" w:lineRule="auto"/>
              <w:rPr>
                <w:lang w:val="en-NZ"/>
              </w:rPr>
            </w:pPr>
            <w:r>
              <w:rPr>
                <w:rFonts w:cs="Arial"/>
                <w:sz w:val="18"/>
                <w:szCs w:val="18"/>
                <w:lang w:val="en-NZ"/>
              </w:rPr>
              <w:t xml:space="preserve">Creating a unique operational process to account for the possibility of someone obtaining multiple identities under the self-identification process </w:t>
            </w:r>
            <w:r w:rsidR="001C6468">
              <w:rPr>
                <w:rFonts w:cs="Arial"/>
                <w:sz w:val="18"/>
                <w:szCs w:val="18"/>
                <w:lang w:val="en-NZ"/>
              </w:rPr>
              <w:t xml:space="preserve">could be considered </w:t>
            </w:r>
            <w:r>
              <w:rPr>
                <w:rFonts w:cs="Arial"/>
                <w:sz w:val="18"/>
                <w:szCs w:val="18"/>
                <w:lang w:val="en-NZ"/>
              </w:rPr>
              <w:t>proportionate with the</w:t>
            </w:r>
            <w:r w:rsidR="000A3506">
              <w:rPr>
                <w:rFonts w:cs="Arial"/>
                <w:sz w:val="18"/>
                <w:szCs w:val="18"/>
                <w:lang w:val="en-NZ"/>
              </w:rPr>
              <w:t xml:space="preserve"> assumed</w:t>
            </w:r>
            <w:r>
              <w:rPr>
                <w:rFonts w:cs="Arial"/>
                <w:sz w:val="18"/>
                <w:szCs w:val="18"/>
                <w:lang w:val="en-NZ"/>
              </w:rPr>
              <w:t xml:space="preserve"> level of risk of possible identity </w:t>
            </w:r>
            <w:r w:rsidR="006C784C">
              <w:rPr>
                <w:rFonts w:cs="Arial"/>
                <w:sz w:val="18"/>
                <w:szCs w:val="18"/>
                <w:lang w:val="en-NZ"/>
              </w:rPr>
              <w:t>fraud and</w:t>
            </w:r>
            <w:r>
              <w:rPr>
                <w:rFonts w:cs="Arial"/>
                <w:sz w:val="18"/>
                <w:szCs w:val="18"/>
                <w:lang w:val="en-NZ"/>
              </w:rPr>
              <w:t xml:space="preserve"> is in line with other investigative processes of Department administered products with similar risk profiles. </w:t>
            </w:r>
          </w:p>
        </w:tc>
      </w:tr>
      <w:tr w:rsidR="00E35684" w:rsidRPr="00A864A5" w14:paraId="7A498B41" w14:textId="123B5C49" w:rsidTr="006C784C">
        <w:trPr>
          <w:trHeight w:val="375"/>
        </w:trPr>
        <w:tc>
          <w:tcPr>
            <w:tcW w:w="2906" w:type="dxa"/>
            <w:shd w:val="clear" w:color="auto" w:fill="99CDDD"/>
            <w:vAlign w:val="center"/>
          </w:tcPr>
          <w:p w14:paraId="6B579AF0" w14:textId="74C3E644" w:rsidR="00E35684" w:rsidRPr="00A864A5" w:rsidRDefault="00E35684" w:rsidP="002B1B9D">
            <w:pPr>
              <w:spacing w:before="60" w:after="60" w:line="240" w:lineRule="auto"/>
              <w:jc w:val="center"/>
              <w:rPr>
                <w:rFonts w:cs="Arial"/>
                <w:b/>
                <w:color w:val="000000"/>
                <w:szCs w:val="22"/>
                <w:lang w:val="en-NZ"/>
              </w:rPr>
            </w:pPr>
            <w:r w:rsidRPr="00F668CE">
              <w:rPr>
                <w:rFonts w:cs="Arial"/>
                <w:b/>
                <w:color w:val="000000"/>
                <w:sz w:val="18"/>
                <w:szCs w:val="18"/>
                <w:lang w:val="en-NZ"/>
              </w:rPr>
              <w:t xml:space="preserve">Overall </w:t>
            </w:r>
            <w:r w:rsidR="00D174FC" w:rsidRPr="00F668CE">
              <w:rPr>
                <w:rFonts w:cs="Arial"/>
                <w:b/>
                <w:color w:val="000000"/>
                <w:sz w:val="18"/>
                <w:szCs w:val="18"/>
                <w:lang w:val="en-NZ"/>
              </w:rPr>
              <w:t>assessment</w:t>
            </w:r>
          </w:p>
        </w:tc>
        <w:tc>
          <w:tcPr>
            <w:tcW w:w="6344" w:type="dxa"/>
            <w:shd w:val="clear" w:color="auto" w:fill="auto"/>
            <w:vAlign w:val="center"/>
          </w:tcPr>
          <w:p w14:paraId="1ADFDC6E" w14:textId="1A65AB5A" w:rsidR="00E35684" w:rsidRPr="00A864A5" w:rsidRDefault="00E35684" w:rsidP="002B1B9D">
            <w:pPr>
              <w:pStyle w:val="TableText"/>
              <w:spacing w:line="276" w:lineRule="auto"/>
              <w:jc w:val="center"/>
              <w:rPr>
                <w:lang w:val="en-NZ"/>
              </w:rPr>
            </w:pPr>
            <w:r>
              <w:rPr>
                <w:rFonts w:cs="Arial"/>
                <w:b/>
                <w:sz w:val="18"/>
                <w:szCs w:val="18"/>
                <w:lang w:val="en-NZ"/>
              </w:rPr>
              <w:t>0</w:t>
            </w:r>
          </w:p>
        </w:tc>
        <w:tc>
          <w:tcPr>
            <w:tcW w:w="6320" w:type="dxa"/>
            <w:shd w:val="clear" w:color="auto" w:fill="auto"/>
            <w:vAlign w:val="center"/>
          </w:tcPr>
          <w:p w14:paraId="19182987" w14:textId="496B5DDB" w:rsidR="00E35684" w:rsidRPr="00A864A5" w:rsidRDefault="00D174FC" w:rsidP="002B1B9D">
            <w:pPr>
              <w:pStyle w:val="TableText"/>
              <w:spacing w:line="276" w:lineRule="auto"/>
              <w:jc w:val="center"/>
              <w:rPr>
                <w:lang w:val="en-NZ"/>
              </w:rPr>
            </w:pPr>
            <w:r w:rsidRPr="0092150D">
              <w:rPr>
                <w:rFonts w:cs="Arial"/>
                <w:b/>
                <w:sz w:val="18"/>
                <w:szCs w:val="18"/>
                <w:lang w:val="en-NZ"/>
              </w:rPr>
              <w:t>0</w:t>
            </w:r>
          </w:p>
        </w:tc>
        <w:tc>
          <w:tcPr>
            <w:tcW w:w="6446" w:type="dxa"/>
            <w:shd w:val="clear" w:color="auto" w:fill="auto"/>
            <w:vAlign w:val="center"/>
          </w:tcPr>
          <w:p w14:paraId="4EFDD10C" w14:textId="344E6788" w:rsidR="00E35684" w:rsidRPr="00A655E0" w:rsidRDefault="00A655E0" w:rsidP="002B1B9D">
            <w:pPr>
              <w:pStyle w:val="TableText"/>
              <w:spacing w:line="276" w:lineRule="auto"/>
              <w:jc w:val="center"/>
              <w:rPr>
                <w:b/>
                <w:bCs/>
                <w:lang w:val="en-NZ"/>
              </w:rPr>
            </w:pPr>
            <w:r w:rsidRPr="00A655E0">
              <w:rPr>
                <w:b/>
                <w:bCs/>
                <w:color w:val="00B050"/>
                <w:lang w:val="en-NZ"/>
              </w:rPr>
              <w:t>+</w:t>
            </w:r>
          </w:p>
        </w:tc>
      </w:tr>
    </w:tbl>
    <w:p w14:paraId="30D88BA9" w14:textId="77777777" w:rsidR="00D174FC" w:rsidRDefault="00D174FC">
      <w:pPr>
        <w:spacing w:after="0" w:line="240" w:lineRule="auto"/>
        <w:rPr>
          <w:rFonts w:ascii="Arial Bold" w:hAnsi="Arial Bold"/>
          <w:b/>
          <w:noProof/>
          <w:color w:val="0082AB"/>
          <w:spacing w:val="20"/>
          <w:w w:val="90"/>
          <w:sz w:val="24"/>
          <w:szCs w:val="22"/>
          <w:lang w:val="en-NZ" w:eastAsia="en-NZ"/>
        </w:rPr>
        <w:sectPr w:rsidR="00D174FC" w:rsidSect="00E35684">
          <w:footerReference w:type="default" r:id="rId31"/>
          <w:pgSz w:w="23811" w:h="16838" w:orient="landscape" w:code="8"/>
          <w:pgMar w:top="1418" w:right="1134" w:bottom="1418" w:left="992" w:header="454" w:footer="454" w:gutter="0"/>
          <w:cols w:space="708"/>
          <w:docGrid w:linePitch="360"/>
        </w:sectPr>
      </w:pPr>
      <w:r w:rsidRPr="00A864A5">
        <w:rPr>
          <w:noProof/>
          <w:lang w:val="en-NZ" w:eastAsia="en-NZ"/>
        </w:rPr>
        <mc:AlternateContent>
          <mc:Choice Requires="wps">
            <w:drawing>
              <wp:anchor distT="45720" distB="45720" distL="114300" distR="114300" simplePos="0" relativeHeight="251658240" behindDoc="0" locked="0" layoutInCell="1" allowOverlap="1" wp14:anchorId="35E582C4" wp14:editId="21B37B6D">
                <wp:simplePos x="0" y="0"/>
                <wp:positionH relativeFrom="column">
                  <wp:posOffset>10981306</wp:posOffset>
                </wp:positionH>
                <wp:positionV relativeFrom="paragraph">
                  <wp:posOffset>415817</wp:posOffset>
                </wp:positionV>
                <wp:extent cx="3056255" cy="2305050"/>
                <wp:effectExtent l="0" t="0" r="1079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305050"/>
                        </a:xfrm>
                        <a:prstGeom prst="rect">
                          <a:avLst/>
                        </a:prstGeom>
                        <a:noFill/>
                        <a:ln w="9525">
                          <a:solidFill>
                            <a:srgbClr val="000000"/>
                          </a:solidFill>
                          <a:miter lim="800000"/>
                          <a:headEnd/>
                          <a:tailEnd/>
                        </a:ln>
                        <a:effectLst/>
                      </wps:spPr>
                      <wps:txbx>
                        <w:txbxContent>
                          <w:p w14:paraId="33F1E7F4" w14:textId="77777777" w:rsidR="006E007C" w:rsidRPr="00A864A5" w:rsidRDefault="006E007C" w:rsidP="004B29B1">
                            <w:pPr>
                              <w:spacing w:after="120" w:line="276" w:lineRule="auto"/>
                              <w:rPr>
                                <w:rFonts w:cs="Arial"/>
                                <w:b/>
                                <w:sz w:val="20"/>
                              </w:rPr>
                            </w:pPr>
                            <w:r w:rsidRPr="00A864A5">
                              <w:rPr>
                                <w:rFonts w:cs="Arial"/>
                                <w:b/>
                                <w:sz w:val="20"/>
                              </w:rPr>
                              <w:t>Example key for qualitative judgements:</w:t>
                            </w:r>
                          </w:p>
                          <w:p w14:paraId="625C3B1A" w14:textId="77777777" w:rsidR="006E007C" w:rsidRPr="00A864A5" w:rsidRDefault="006E007C" w:rsidP="004B29B1">
                            <w:pPr>
                              <w:spacing w:after="120" w:line="276" w:lineRule="auto"/>
                              <w:ind w:left="709" w:hanging="709"/>
                              <w:rPr>
                                <w:rFonts w:cs="Arial"/>
                                <w:sz w:val="20"/>
                              </w:rPr>
                            </w:pPr>
                            <w:r w:rsidRPr="00A864A5">
                              <w:rPr>
                                <w:rFonts w:cs="Arial"/>
                                <w:b/>
                                <w:color w:val="00B050"/>
                                <w:sz w:val="20"/>
                              </w:rPr>
                              <w:t>++</w:t>
                            </w:r>
                            <w:r w:rsidRPr="00A864A5">
                              <w:rPr>
                                <w:rFonts w:cs="Arial"/>
                                <w:sz w:val="20"/>
                              </w:rPr>
                              <w:tab/>
                              <w:t>much better than doing nothing/the status quo/counterfactual</w:t>
                            </w:r>
                          </w:p>
                          <w:p w14:paraId="07544EE2" w14:textId="77777777" w:rsidR="006E007C" w:rsidRPr="00A864A5" w:rsidRDefault="006E007C" w:rsidP="004B29B1">
                            <w:pPr>
                              <w:spacing w:after="120" w:line="276" w:lineRule="auto"/>
                              <w:ind w:left="709" w:hanging="709"/>
                              <w:rPr>
                                <w:rFonts w:cs="Arial"/>
                                <w:sz w:val="20"/>
                              </w:rPr>
                            </w:pPr>
                            <w:r w:rsidRPr="00A864A5">
                              <w:rPr>
                                <w:rFonts w:cs="Arial"/>
                                <w:b/>
                                <w:color w:val="00B050"/>
                                <w:sz w:val="20"/>
                              </w:rPr>
                              <w:t>+</w:t>
                            </w:r>
                            <w:r w:rsidRPr="00A864A5">
                              <w:rPr>
                                <w:rFonts w:cs="Arial"/>
                                <w:color w:val="00B050"/>
                                <w:sz w:val="20"/>
                              </w:rPr>
                              <w:tab/>
                            </w:r>
                            <w:r w:rsidRPr="00A864A5">
                              <w:rPr>
                                <w:rFonts w:cs="Arial"/>
                                <w:sz w:val="20"/>
                              </w:rPr>
                              <w:t>better than doing nothing/the status quo/counterfactual</w:t>
                            </w:r>
                          </w:p>
                          <w:p w14:paraId="4862DFEF" w14:textId="77777777" w:rsidR="006E007C" w:rsidRPr="00A864A5" w:rsidRDefault="006E007C" w:rsidP="004B29B1">
                            <w:pPr>
                              <w:spacing w:after="120" w:line="276" w:lineRule="auto"/>
                              <w:ind w:left="709" w:hanging="709"/>
                              <w:rPr>
                                <w:rFonts w:cs="Arial"/>
                                <w:sz w:val="20"/>
                              </w:rPr>
                            </w:pPr>
                            <w:r w:rsidRPr="00A864A5">
                              <w:rPr>
                                <w:rFonts w:cs="Arial"/>
                                <w:bCs/>
                                <w:sz w:val="20"/>
                              </w:rPr>
                              <w:t>0</w:t>
                            </w:r>
                            <w:r w:rsidRPr="00A864A5">
                              <w:rPr>
                                <w:rFonts w:cs="Arial"/>
                                <w:sz w:val="20"/>
                              </w:rPr>
                              <w:tab/>
                              <w:t>about the same as doing nothing/the status quo/counterfactual</w:t>
                            </w:r>
                          </w:p>
                          <w:p w14:paraId="1435B7A2" w14:textId="77777777" w:rsidR="006E007C" w:rsidRPr="00A864A5" w:rsidRDefault="006E007C" w:rsidP="004B29B1">
                            <w:pPr>
                              <w:spacing w:after="120" w:line="276" w:lineRule="auto"/>
                              <w:ind w:left="709" w:hanging="709"/>
                              <w:rPr>
                                <w:rFonts w:cs="Arial"/>
                                <w:sz w:val="20"/>
                              </w:rPr>
                            </w:pPr>
                            <w:r w:rsidRPr="00A864A5">
                              <w:rPr>
                                <w:rFonts w:cs="Arial"/>
                                <w:b/>
                                <w:color w:val="FF0000"/>
                                <w:sz w:val="20"/>
                              </w:rPr>
                              <w:t>-</w:t>
                            </w:r>
                            <w:r w:rsidRPr="00A864A5">
                              <w:rPr>
                                <w:rFonts w:cs="Arial"/>
                                <w:sz w:val="20"/>
                              </w:rPr>
                              <w:tab/>
                              <w:t>worse than doing nothing/the status quo/counterfactual</w:t>
                            </w:r>
                          </w:p>
                          <w:p w14:paraId="6BD2733A" w14:textId="77777777" w:rsidR="006E007C" w:rsidRPr="0049467D" w:rsidRDefault="006E007C" w:rsidP="004B29B1">
                            <w:pPr>
                              <w:spacing w:after="120" w:line="276" w:lineRule="auto"/>
                              <w:ind w:left="709" w:hanging="709"/>
                              <w:rPr>
                                <w:rFonts w:cs="Arial"/>
                                <w:sz w:val="20"/>
                              </w:rPr>
                            </w:pPr>
                            <w:r w:rsidRPr="00A864A5">
                              <w:rPr>
                                <w:rFonts w:cs="Arial"/>
                                <w:b/>
                                <w:color w:val="FF0000"/>
                                <w:sz w:val="20"/>
                              </w:rPr>
                              <w:t>- -</w:t>
                            </w:r>
                            <w:r w:rsidRPr="00A864A5">
                              <w:rPr>
                                <w:rFonts w:cs="Arial"/>
                                <w:sz w:val="20"/>
                              </w:rPr>
                              <w:tab/>
                              <w:t>much worse than doing nothing/the status quo/counterfactual</w:t>
                            </w:r>
                          </w:p>
                          <w:p w14:paraId="039B6CD0" w14:textId="77777777" w:rsidR="006E007C" w:rsidRPr="00D90DE0" w:rsidRDefault="006E007C" w:rsidP="004B29B1">
                            <w:pPr>
                              <w:pStyle w:val="Bullet-list"/>
                              <w:numPr>
                                <w:ilvl w:val="0"/>
                                <w:numId w:val="0"/>
                              </w:numPr>
                              <w:spacing w:after="12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582C4" id="_x0000_s1028" type="#_x0000_t202" style="position:absolute;margin-left:864.65pt;margin-top:32.75pt;width:240.65pt;height:18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" filled="f">
                <v:textbox>
                  <w:txbxContent>
                    <w:p w14:paraId="33F1E7F4" w14:textId="77777777" w:rsidR="006E007C" w:rsidRPr="00A864A5" w:rsidRDefault="006E007C" w:rsidP="004B29B1">
                      <w:pPr>
                        <w:spacing w:after="120" w:line="276" w:lineRule="auto"/>
                        <w:rPr>
                          <w:rFonts w:cs="Arial"/>
                          <w:b/>
                          <w:sz w:val="20"/>
                        </w:rPr>
                      </w:pPr>
                      <w:r w:rsidRPr="00A864A5">
                        <w:rPr>
                          <w:rFonts w:cs="Arial"/>
                          <w:b/>
                          <w:sz w:val="20"/>
                        </w:rPr>
                        <w:t>Example key for qualitative judgements:</w:t>
                      </w:r>
                    </w:p>
                    <w:p w14:paraId="625C3B1A" w14:textId="77777777" w:rsidR="006E007C" w:rsidRPr="00A864A5" w:rsidRDefault="006E007C" w:rsidP="004B29B1">
                      <w:pPr>
                        <w:spacing w:after="120" w:line="276" w:lineRule="auto"/>
                        <w:ind w:left="709" w:hanging="709"/>
                        <w:rPr>
                          <w:rFonts w:cs="Arial"/>
                          <w:sz w:val="20"/>
                        </w:rPr>
                      </w:pPr>
                      <w:r w:rsidRPr="00A864A5">
                        <w:rPr>
                          <w:rFonts w:cs="Arial"/>
                          <w:b/>
                          <w:color w:val="00B050"/>
                          <w:sz w:val="20"/>
                        </w:rPr>
                        <w:t>++</w:t>
                      </w:r>
                      <w:r w:rsidRPr="00A864A5">
                        <w:rPr>
                          <w:rFonts w:cs="Arial"/>
                          <w:sz w:val="20"/>
                        </w:rPr>
                        <w:tab/>
                        <w:t>much better than doing nothing/the status quo/counterfactual</w:t>
                      </w:r>
                    </w:p>
                    <w:p w14:paraId="07544EE2" w14:textId="77777777" w:rsidR="006E007C" w:rsidRPr="00A864A5" w:rsidRDefault="006E007C" w:rsidP="004B29B1">
                      <w:pPr>
                        <w:spacing w:after="120" w:line="276" w:lineRule="auto"/>
                        <w:ind w:left="709" w:hanging="709"/>
                        <w:rPr>
                          <w:rFonts w:cs="Arial"/>
                          <w:sz w:val="20"/>
                        </w:rPr>
                      </w:pPr>
                      <w:r w:rsidRPr="00A864A5">
                        <w:rPr>
                          <w:rFonts w:cs="Arial"/>
                          <w:b/>
                          <w:color w:val="00B050"/>
                          <w:sz w:val="20"/>
                        </w:rPr>
                        <w:t>+</w:t>
                      </w:r>
                      <w:r w:rsidRPr="00A864A5">
                        <w:rPr>
                          <w:rFonts w:cs="Arial"/>
                          <w:color w:val="00B050"/>
                          <w:sz w:val="20"/>
                        </w:rPr>
                        <w:tab/>
                      </w:r>
                      <w:r w:rsidRPr="00A864A5">
                        <w:rPr>
                          <w:rFonts w:cs="Arial"/>
                          <w:sz w:val="20"/>
                        </w:rPr>
                        <w:t>better than doing nothing/the status quo/counterfactual</w:t>
                      </w:r>
                    </w:p>
                    <w:p w14:paraId="4862DFEF" w14:textId="77777777" w:rsidR="006E007C" w:rsidRPr="00A864A5" w:rsidRDefault="006E007C" w:rsidP="004B29B1">
                      <w:pPr>
                        <w:spacing w:after="120" w:line="276" w:lineRule="auto"/>
                        <w:ind w:left="709" w:hanging="709"/>
                        <w:rPr>
                          <w:rFonts w:cs="Arial"/>
                          <w:sz w:val="20"/>
                        </w:rPr>
                      </w:pPr>
                      <w:r w:rsidRPr="00A864A5">
                        <w:rPr>
                          <w:rFonts w:cs="Arial"/>
                          <w:bCs/>
                          <w:sz w:val="20"/>
                        </w:rPr>
                        <w:t>0</w:t>
                      </w:r>
                      <w:r w:rsidRPr="00A864A5">
                        <w:rPr>
                          <w:rFonts w:cs="Arial"/>
                          <w:sz w:val="20"/>
                        </w:rPr>
                        <w:tab/>
                        <w:t>about the same as doing nothing/the status quo/counterfactual</w:t>
                      </w:r>
                    </w:p>
                    <w:p w14:paraId="1435B7A2" w14:textId="77777777" w:rsidR="006E007C" w:rsidRPr="00A864A5" w:rsidRDefault="006E007C" w:rsidP="004B29B1">
                      <w:pPr>
                        <w:spacing w:after="120" w:line="276" w:lineRule="auto"/>
                        <w:ind w:left="709" w:hanging="709"/>
                        <w:rPr>
                          <w:rFonts w:cs="Arial"/>
                          <w:sz w:val="20"/>
                        </w:rPr>
                      </w:pPr>
                      <w:r w:rsidRPr="00A864A5">
                        <w:rPr>
                          <w:rFonts w:cs="Arial"/>
                          <w:b/>
                          <w:color w:val="FF0000"/>
                          <w:sz w:val="20"/>
                        </w:rPr>
                        <w:t>-</w:t>
                      </w:r>
                      <w:r w:rsidRPr="00A864A5">
                        <w:rPr>
                          <w:rFonts w:cs="Arial"/>
                          <w:sz w:val="20"/>
                        </w:rPr>
                        <w:tab/>
                        <w:t>worse than doing nothing/the status quo/counterfactual</w:t>
                      </w:r>
                    </w:p>
                    <w:p w14:paraId="6BD2733A" w14:textId="77777777" w:rsidR="006E007C" w:rsidRPr="0049467D" w:rsidRDefault="006E007C" w:rsidP="004B29B1">
                      <w:pPr>
                        <w:spacing w:after="120" w:line="276" w:lineRule="auto"/>
                        <w:ind w:left="709" w:hanging="709"/>
                        <w:rPr>
                          <w:rFonts w:cs="Arial"/>
                          <w:sz w:val="20"/>
                        </w:rPr>
                      </w:pPr>
                      <w:r w:rsidRPr="00A864A5">
                        <w:rPr>
                          <w:rFonts w:cs="Arial"/>
                          <w:b/>
                          <w:color w:val="FF0000"/>
                          <w:sz w:val="20"/>
                        </w:rPr>
                        <w:t>- -</w:t>
                      </w:r>
                      <w:r w:rsidRPr="00A864A5">
                        <w:rPr>
                          <w:rFonts w:cs="Arial"/>
                          <w:sz w:val="20"/>
                        </w:rPr>
                        <w:tab/>
                        <w:t>much worse than doing nothing/the status quo/counterfactual</w:t>
                      </w:r>
                    </w:p>
                    <w:p w14:paraId="039B6CD0" w14:textId="77777777" w:rsidR="006E007C" w:rsidRPr="00D90DE0" w:rsidRDefault="006E007C" w:rsidP="004B29B1">
                      <w:pPr>
                        <w:pStyle w:val="Bullet-list"/>
                        <w:numPr>
                          <w:ilvl w:val="0"/>
                          <w:numId w:val="0"/>
                        </w:numPr>
                        <w:spacing w:after="120"/>
                        <w:rPr>
                          <w:i/>
                          <w:iCs/>
                        </w:rPr>
                      </w:pPr>
                    </w:p>
                  </w:txbxContent>
                </v:textbox>
                <w10:wrap type="square"/>
              </v:shape>
            </w:pict>
          </mc:Fallback>
        </mc:AlternateContent>
      </w:r>
    </w:p>
    <w:p w14:paraId="6B72DFB1" w14:textId="77777777" w:rsidR="008A6261" w:rsidRPr="00A864A5" w:rsidRDefault="008A6261" w:rsidP="00802AB2">
      <w:pPr>
        <w:pStyle w:val="Heading3"/>
        <w:rPr>
          <w:noProof/>
          <w:lang w:val="en-NZ" w:eastAsia="en-NZ"/>
        </w:rPr>
      </w:pPr>
      <w:r>
        <w:rPr>
          <w:noProof/>
          <w:lang w:val="en-NZ" w:eastAsia="en-NZ"/>
        </w:rPr>
        <w:lastRenderedPageBreak/>
        <w:t>What option is likely to best address the problem, meet the policy objectives, and deliver the highest net benefits?</w:t>
      </w:r>
    </w:p>
    <w:p w14:paraId="6945D2BB" w14:textId="3BDB11BE" w:rsidR="00D356D2" w:rsidRDefault="008A6261" w:rsidP="00684A1D">
      <w:pPr>
        <w:pStyle w:val="BodyText-Numbered"/>
        <w:rPr>
          <w:lang w:val="en-NZ" w:eastAsia="en-NZ"/>
        </w:rPr>
        <w:sectPr w:rsidR="00D356D2" w:rsidSect="00B5612C">
          <w:pgSz w:w="11906" w:h="16838" w:code="9"/>
          <w:pgMar w:top="1134" w:right="1418" w:bottom="992" w:left="1418" w:header="454" w:footer="454" w:gutter="0"/>
          <w:cols w:space="708"/>
          <w:docGrid w:linePitch="360"/>
        </w:sectPr>
      </w:pPr>
      <w:r>
        <w:rPr>
          <w:lang w:val="en-NZ" w:eastAsia="en-NZ"/>
        </w:rPr>
        <w:t>At this stage we do not have a preferred option. The ratings are only an indication from our initial assessment of the options.</w:t>
      </w:r>
      <w:r w:rsidR="007361CF">
        <w:rPr>
          <w:lang w:val="en-NZ" w:eastAsia="en-NZ"/>
        </w:rPr>
        <w:t xml:space="preserve"> We seek to further inform this analysis through consultation.</w:t>
      </w:r>
    </w:p>
    <w:p w14:paraId="0E0CBE2E" w14:textId="1D32F321" w:rsidR="004B29B1" w:rsidRDefault="007B6DAA" w:rsidP="00802AB2">
      <w:pPr>
        <w:pStyle w:val="Heading2"/>
        <w:rPr>
          <w:lang w:val="en-NZ"/>
        </w:rPr>
      </w:pPr>
      <w:r>
        <w:rPr>
          <w:noProof/>
          <w:lang w:val="en-NZ" w:eastAsia="en-NZ"/>
        </w:rPr>
        <w:lastRenderedPageBreak/>
        <w:t xml:space="preserve">Section 3: </w:t>
      </w:r>
      <w:r w:rsidR="004B29B1">
        <w:rPr>
          <w:noProof/>
          <w:lang w:val="en-NZ" w:eastAsia="en-NZ"/>
        </w:rPr>
        <w:t>What are</w:t>
      </w:r>
      <w:r w:rsidR="004B29B1" w:rsidRPr="00A864A5">
        <w:rPr>
          <w:lang w:val="en-NZ"/>
        </w:rPr>
        <w:t xml:space="preserve"> the </w:t>
      </w:r>
      <w:r w:rsidR="004B29B1">
        <w:rPr>
          <w:lang w:val="en-NZ"/>
        </w:rPr>
        <w:t xml:space="preserve">marginal </w:t>
      </w:r>
      <w:r w:rsidR="004B29B1" w:rsidRPr="00A864A5">
        <w:rPr>
          <w:lang w:val="en-NZ"/>
        </w:rPr>
        <w:t>costs and benefits of</w:t>
      </w:r>
      <w:r w:rsidR="00960FD5">
        <w:rPr>
          <w:lang w:val="en-NZ"/>
        </w:rPr>
        <w:t xml:space="preserve"> the</w:t>
      </w:r>
      <w:r w:rsidR="004B29B1" w:rsidRPr="00A864A5">
        <w:rPr>
          <w:lang w:val="en-NZ"/>
        </w:rPr>
        <w:t xml:space="preserve"> </w:t>
      </w:r>
      <w:r w:rsidR="005E39A1">
        <w:rPr>
          <w:lang w:val="en-NZ"/>
        </w:rPr>
        <w:t>self-identification regulations</w:t>
      </w:r>
      <w:r w:rsidR="004B29B1">
        <w:rPr>
          <w:lang w:val="en-NZ"/>
        </w:rPr>
        <w:t>?</w:t>
      </w:r>
    </w:p>
    <w:p w14:paraId="73700B8E" w14:textId="3D2A191D" w:rsidR="008A6261" w:rsidRPr="00684A1D" w:rsidRDefault="008A6261" w:rsidP="00684A1D">
      <w:pPr>
        <w:pStyle w:val="BodyText-Numbered"/>
        <w:rPr>
          <w:lang w:val="en-NZ"/>
        </w:rPr>
      </w:pPr>
      <w:r>
        <w:rPr>
          <w:lang w:val="en-NZ"/>
        </w:rPr>
        <w:t>The tables below provide a preliminary indication of the types of costs and benefits of</w:t>
      </w:r>
      <w:r w:rsidR="00AE2FEE">
        <w:rPr>
          <w:lang w:val="en-NZ"/>
        </w:rPr>
        <w:t xml:space="preserve"> the options for each of the three issues.</w:t>
      </w:r>
    </w:p>
    <w:tbl>
      <w:tblPr>
        <w:tblpPr w:leftFromText="180" w:rightFromText="180" w:vertAnchor="text" w:horzAnchor="margin" w:tblpY="124"/>
        <w:tblOverlap w:val="never"/>
        <w:tblW w:w="9493"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2795"/>
        <w:gridCol w:w="2382"/>
        <w:gridCol w:w="2382"/>
        <w:gridCol w:w="1822"/>
        <w:gridCol w:w="112"/>
      </w:tblGrid>
      <w:tr w:rsidR="00AE2FEE" w:rsidRPr="00A864A5" w14:paraId="3F0A8740" w14:textId="77777777" w:rsidTr="0053423E">
        <w:trPr>
          <w:gridAfter w:val="1"/>
          <w:wAfter w:w="113" w:type="dxa"/>
          <w:trHeight w:val="762"/>
        </w:trPr>
        <w:tc>
          <w:tcPr>
            <w:tcW w:w="9493" w:type="dxa"/>
            <w:gridSpan w:val="4"/>
            <w:shd w:val="clear" w:color="auto" w:fill="000000" w:themeFill="text1"/>
          </w:tcPr>
          <w:p w14:paraId="1B5C4D34" w14:textId="66BEAAEF" w:rsidR="00AE2FEE" w:rsidRPr="00684A1D" w:rsidRDefault="00AE2FEE" w:rsidP="002B1B9D">
            <w:pPr>
              <w:pStyle w:val="TableText"/>
              <w:keepNext/>
              <w:rPr>
                <w:rFonts w:eastAsia="Calibri"/>
                <w:b/>
                <w:color w:val="FFFFFF" w:themeColor="background1"/>
                <w:sz w:val="22"/>
                <w:lang w:val="en-NZ"/>
              </w:rPr>
            </w:pPr>
            <w:r w:rsidRPr="00684A1D">
              <w:rPr>
                <w:rFonts w:eastAsia="Calibri"/>
                <w:b/>
                <w:color w:val="FFFFFF" w:themeColor="background1"/>
                <w:sz w:val="22"/>
                <w:lang w:val="en-NZ"/>
              </w:rPr>
              <w:t>Issue 1 – Recognising non-binary genders on birth certificates</w:t>
            </w:r>
          </w:p>
        </w:tc>
      </w:tr>
      <w:tr w:rsidR="004B29B1" w:rsidRPr="00A864A5" w14:paraId="762D7BD5" w14:textId="77777777" w:rsidTr="0053423E">
        <w:trPr>
          <w:gridAfter w:val="1"/>
          <w:wAfter w:w="113" w:type="dxa"/>
          <w:trHeight w:val="762"/>
        </w:trPr>
        <w:tc>
          <w:tcPr>
            <w:tcW w:w="2830" w:type="dxa"/>
            <w:shd w:val="clear" w:color="auto" w:fill="F2F2F2" w:themeFill="background1" w:themeFillShade="F2"/>
          </w:tcPr>
          <w:p w14:paraId="19E8B318" w14:textId="77777777" w:rsidR="004B29B1" w:rsidRPr="00A864A5" w:rsidRDefault="004B29B1" w:rsidP="002B1B9D">
            <w:pPr>
              <w:pStyle w:val="TableText"/>
              <w:keepNext/>
              <w:rPr>
                <w:rFonts w:eastAsia="Calibri"/>
                <w:color w:val="000000"/>
                <w:sz w:val="22"/>
                <w:lang w:val="en-NZ"/>
              </w:rPr>
            </w:pPr>
            <w:r w:rsidRPr="00A864A5">
              <w:rPr>
                <w:rFonts w:eastAsia="Calibri"/>
                <w:b/>
                <w:color w:val="000000"/>
                <w:sz w:val="22"/>
                <w:lang w:val="en-NZ"/>
              </w:rPr>
              <w:t>Affected groups</w:t>
            </w:r>
            <w:r>
              <w:rPr>
                <w:rFonts w:eastAsia="Calibri"/>
                <w:color w:val="000000"/>
                <w:sz w:val="22"/>
                <w:lang w:val="en-NZ"/>
              </w:rPr>
              <w:br/>
            </w:r>
            <w:r w:rsidRPr="00136700">
              <w:rPr>
                <w:rFonts w:eastAsia="Calibri"/>
                <w:i/>
                <w:color w:val="000000"/>
                <w:szCs w:val="20"/>
                <w:lang w:val="en-NZ"/>
              </w:rPr>
              <w:t>(identify)</w:t>
            </w:r>
          </w:p>
        </w:tc>
        <w:tc>
          <w:tcPr>
            <w:tcW w:w="2410" w:type="dxa"/>
            <w:shd w:val="clear" w:color="auto" w:fill="F2F2F2" w:themeFill="background1" w:themeFillShade="F2"/>
          </w:tcPr>
          <w:p w14:paraId="0F2B6508" w14:textId="77777777" w:rsidR="004B29B1" w:rsidRPr="00A864A5" w:rsidRDefault="004B29B1" w:rsidP="002B1B9D">
            <w:pPr>
              <w:pStyle w:val="TableText"/>
              <w:keepNext/>
              <w:rPr>
                <w:rFonts w:eastAsia="Calibri"/>
                <w:color w:val="000000"/>
                <w:sz w:val="22"/>
                <w:lang w:val="en-NZ"/>
              </w:rPr>
            </w:pPr>
            <w:r w:rsidRPr="00A864A5">
              <w:rPr>
                <w:rFonts w:eastAsia="Calibri"/>
                <w:b/>
                <w:color w:val="000000"/>
                <w:sz w:val="22"/>
                <w:lang w:val="en-NZ"/>
              </w:rPr>
              <w:t>Comment</w:t>
            </w:r>
            <w:r>
              <w:rPr>
                <w:rFonts w:eastAsia="Calibri"/>
                <w:color w:val="000000"/>
                <w:sz w:val="22"/>
                <w:lang w:val="en-NZ"/>
              </w:rPr>
              <w:br/>
            </w:r>
            <w:r w:rsidRPr="00136700">
              <w:rPr>
                <w:rFonts w:eastAsia="Calibri"/>
                <w:i/>
                <w:iCs/>
                <w:color w:val="000000"/>
                <w:szCs w:val="20"/>
                <w:lang w:val="en-NZ"/>
              </w:rPr>
              <w:t>nature of cost or benefit (</w:t>
            </w:r>
            <w:proofErr w:type="spellStart"/>
            <w:r>
              <w:rPr>
                <w:rFonts w:eastAsia="Calibri"/>
                <w:i/>
                <w:iCs/>
                <w:color w:val="000000"/>
                <w:szCs w:val="20"/>
                <w:lang w:val="en-NZ"/>
              </w:rPr>
              <w:t>eg</w:t>
            </w:r>
            <w:proofErr w:type="spellEnd"/>
            <w:r>
              <w:rPr>
                <w:rFonts w:eastAsia="Calibri"/>
                <w:i/>
                <w:iCs/>
                <w:color w:val="000000"/>
                <w:szCs w:val="20"/>
                <w:lang w:val="en-NZ"/>
              </w:rPr>
              <w:t>,</w:t>
            </w:r>
            <w:r w:rsidRPr="00136700">
              <w:rPr>
                <w:rFonts w:eastAsia="Calibri"/>
                <w:i/>
                <w:iCs/>
                <w:color w:val="000000"/>
                <w:szCs w:val="20"/>
                <w:lang w:val="en-NZ"/>
              </w:rPr>
              <w:t xml:space="preserve"> ongoing, one-off), evidence and assumption (</w:t>
            </w:r>
            <w:proofErr w:type="spellStart"/>
            <w:r>
              <w:rPr>
                <w:rFonts w:eastAsia="Calibri"/>
                <w:i/>
                <w:iCs/>
                <w:color w:val="000000"/>
                <w:szCs w:val="20"/>
                <w:lang w:val="en-NZ"/>
              </w:rPr>
              <w:t>eg</w:t>
            </w:r>
            <w:proofErr w:type="spellEnd"/>
            <w:r>
              <w:rPr>
                <w:rFonts w:eastAsia="Calibri"/>
                <w:i/>
                <w:iCs/>
                <w:color w:val="000000"/>
                <w:szCs w:val="20"/>
                <w:lang w:val="en-NZ"/>
              </w:rPr>
              <w:t>,</w:t>
            </w:r>
            <w:r w:rsidRPr="00136700">
              <w:rPr>
                <w:rFonts w:eastAsia="Calibri"/>
                <w:i/>
                <w:iCs/>
                <w:color w:val="000000"/>
                <w:szCs w:val="20"/>
                <w:lang w:val="en-NZ"/>
              </w:rPr>
              <w:t xml:space="preserve"> compliance rates), risks</w:t>
            </w:r>
            <w:r>
              <w:rPr>
                <w:rFonts w:eastAsia="Calibri"/>
                <w:i/>
                <w:iCs/>
                <w:color w:val="000000"/>
                <w:szCs w:val="20"/>
                <w:lang w:val="en-NZ"/>
              </w:rPr>
              <w:t>.</w:t>
            </w:r>
          </w:p>
        </w:tc>
        <w:tc>
          <w:tcPr>
            <w:tcW w:w="2410" w:type="dxa"/>
            <w:shd w:val="clear" w:color="auto" w:fill="F2F2F2" w:themeFill="background1" w:themeFillShade="F2"/>
          </w:tcPr>
          <w:p w14:paraId="0ECF980F" w14:textId="77777777" w:rsidR="004B29B1" w:rsidRPr="00136700" w:rsidRDefault="004B29B1" w:rsidP="002B1B9D">
            <w:pPr>
              <w:pStyle w:val="TableText"/>
              <w:keepNext/>
              <w:rPr>
                <w:rFonts w:eastAsia="Calibri"/>
                <w:b/>
                <w:color w:val="000000"/>
                <w:sz w:val="22"/>
                <w:lang w:val="en-NZ"/>
              </w:rPr>
            </w:pPr>
            <w:r w:rsidRPr="00A864A5">
              <w:rPr>
                <w:rFonts w:eastAsia="Calibri"/>
                <w:b/>
                <w:color w:val="000000"/>
                <w:sz w:val="22"/>
                <w:lang w:val="en-NZ"/>
              </w:rPr>
              <w:t>Impact</w:t>
            </w:r>
            <w:r>
              <w:rPr>
                <w:rFonts w:eastAsia="Calibri"/>
                <w:b/>
                <w:color w:val="000000"/>
                <w:sz w:val="22"/>
                <w:lang w:val="en-NZ"/>
              </w:rPr>
              <w:br/>
            </w:r>
            <w:r w:rsidRPr="00136700">
              <w:rPr>
                <w:rFonts w:eastAsia="Calibri"/>
                <w:i/>
                <w:color w:val="000000"/>
                <w:szCs w:val="20"/>
                <w:lang w:val="en-NZ"/>
              </w:rPr>
              <w:t xml:space="preserve">$m present value where appropriate, for monetised impacts; high, </w:t>
            </w:r>
            <w:proofErr w:type="gramStart"/>
            <w:r w:rsidRPr="00136700">
              <w:rPr>
                <w:rFonts w:eastAsia="Calibri"/>
                <w:i/>
                <w:color w:val="000000"/>
                <w:szCs w:val="20"/>
                <w:lang w:val="en-NZ"/>
              </w:rPr>
              <w:t>medium</w:t>
            </w:r>
            <w:proofErr w:type="gramEnd"/>
            <w:r w:rsidRPr="00136700">
              <w:rPr>
                <w:rFonts w:eastAsia="Calibri"/>
                <w:i/>
                <w:color w:val="000000"/>
                <w:szCs w:val="20"/>
                <w:lang w:val="en-NZ"/>
              </w:rPr>
              <w:t xml:space="preserve"> or low for non-monetised impacts</w:t>
            </w:r>
            <w:r>
              <w:rPr>
                <w:rFonts w:eastAsia="Calibri"/>
                <w:i/>
                <w:color w:val="000000"/>
                <w:szCs w:val="20"/>
                <w:lang w:val="en-NZ"/>
              </w:rPr>
              <w:t>.</w:t>
            </w:r>
          </w:p>
        </w:tc>
        <w:tc>
          <w:tcPr>
            <w:tcW w:w="1843" w:type="dxa"/>
            <w:shd w:val="clear" w:color="auto" w:fill="F2F2F2" w:themeFill="background1" w:themeFillShade="F2"/>
          </w:tcPr>
          <w:p w14:paraId="4D093B1C" w14:textId="77777777" w:rsidR="004B29B1" w:rsidRPr="00136700" w:rsidRDefault="004B29B1" w:rsidP="002B1B9D">
            <w:pPr>
              <w:pStyle w:val="TableText"/>
              <w:keepNext/>
              <w:rPr>
                <w:rFonts w:eastAsia="Calibri"/>
                <w:bCs/>
                <w:i/>
                <w:iCs/>
                <w:color w:val="000000"/>
                <w:szCs w:val="20"/>
                <w:lang w:val="en-NZ"/>
              </w:rPr>
            </w:pPr>
            <w:r>
              <w:rPr>
                <w:rFonts w:eastAsia="Calibri"/>
                <w:b/>
                <w:color w:val="000000"/>
                <w:sz w:val="22"/>
                <w:lang w:val="en-NZ"/>
              </w:rPr>
              <w:t>Evidence Certainty</w:t>
            </w:r>
            <w:r>
              <w:rPr>
                <w:rFonts w:eastAsia="Calibri"/>
                <w:b/>
                <w:color w:val="000000"/>
                <w:sz w:val="22"/>
                <w:lang w:val="en-NZ"/>
              </w:rPr>
              <w:br/>
            </w:r>
            <w:r>
              <w:rPr>
                <w:rFonts w:eastAsia="Calibri"/>
                <w:bCs/>
                <w:i/>
                <w:iCs/>
                <w:color w:val="000000"/>
                <w:szCs w:val="20"/>
                <w:lang w:val="en-NZ"/>
              </w:rPr>
              <w:t>High, medium, or low, and explain reasoning in comment column.</w:t>
            </w:r>
          </w:p>
        </w:tc>
      </w:tr>
      <w:tr w:rsidR="004B29B1" w:rsidRPr="00A864A5" w14:paraId="469EE61A" w14:textId="77777777" w:rsidTr="0053423E">
        <w:trPr>
          <w:gridAfter w:val="1"/>
          <w:wAfter w:w="113" w:type="dxa"/>
          <w:trHeight w:val="391"/>
        </w:trPr>
        <w:tc>
          <w:tcPr>
            <w:tcW w:w="9493" w:type="dxa"/>
            <w:gridSpan w:val="4"/>
            <w:shd w:val="clear" w:color="auto" w:fill="F2F2F2" w:themeFill="background1" w:themeFillShade="F2"/>
            <w:vAlign w:val="center"/>
          </w:tcPr>
          <w:p w14:paraId="49F49257" w14:textId="77777777" w:rsidR="004B29B1" w:rsidRDefault="004B29B1" w:rsidP="002B1B9D">
            <w:pPr>
              <w:keepNext/>
              <w:spacing w:before="40" w:after="20" w:line="240" w:lineRule="auto"/>
              <w:jc w:val="center"/>
              <w:rPr>
                <w:rFonts w:eastAsia="Calibri"/>
                <w:b/>
                <w:bCs/>
                <w:color w:val="000000"/>
                <w:szCs w:val="22"/>
                <w:lang w:val="en-NZ"/>
              </w:rPr>
            </w:pPr>
            <w:r>
              <w:rPr>
                <w:rFonts w:eastAsia="Calibri"/>
                <w:b/>
                <w:bCs/>
                <w:color w:val="000000"/>
                <w:szCs w:val="22"/>
                <w:lang w:val="en-NZ"/>
              </w:rPr>
              <w:t>Additional c</w:t>
            </w:r>
            <w:r w:rsidRPr="00A864A5">
              <w:rPr>
                <w:rFonts w:eastAsia="Calibri"/>
                <w:b/>
                <w:bCs/>
                <w:color w:val="000000"/>
                <w:szCs w:val="22"/>
                <w:lang w:val="en-NZ"/>
              </w:rPr>
              <w:t xml:space="preserve">osts of the preferred option compared to </w:t>
            </w:r>
            <w:r>
              <w:rPr>
                <w:rFonts w:eastAsia="Calibri"/>
                <w:b/>
                <w:bCs/>
                <w:color w:val="000000"/>
                <w:szCs w:val="22"/>
                <w:lang w:val="en-NZ"/>
              </w:rPr>
              <w:t>taking no action</w:t>
            </w:r>
          </w:p>
        </w:tc>
      </w:tr>
      <w:tr w:rsidR="004B29B1" w:rsidRPr="00A864A5" w14:paraId="1333E2B7" w14:textId="77777777" w:rsidTr="0053423E">
        <w:trPr>
          <w:gridAfter w:val="1"/>
          <w:wAfter w:w="113" w:type="dxa"/>
          <w:trHeight w:val="380"/>
        </w:trPr>
        <w:tc>
          <w:tcPr>
            <w:tcW w:w="2830" w:type="dxa"/>
            <w:shd w:val="clear" w:color="auto" w:fill="auto"/>
          </w:tcPr>
          <w:p w14:paraId="58EE4CC2" w14:textId="77777777" w:rsidR="004B29B1" w:rsidRPr="00A864A5" w:rsidRDefault="004B29B1" w:rsidP="002B1B9D">
            <w:pPr>
              <w:pStyle w:val="TableText"/>
              <w:keepNext/>
              <w:rPr>
                <w:rFonts w:eastAsia="Calibri"/>
                <w:sz w:val="22"/>
                <w:lang w:val="en-NZ"/>
              </w:rPr>
            </w:pPr>
            <w:r w:rsidRPr="00A864A5">
              <w:rPr>
                <w:rFonts w:eastAsia="Calibri"/>
                <w:sz w:val="22"/>
                <w:lang w:val="en-NZ"/>
              </w:rPr>
              <w:t>Regulated groups</w:t>
            </w:r>
          </w:p>
        </w:tc>
        <w:tc>
          <w:tcPr>
            <w:tcW w:w="2410" w:type="dxa"/>
            <w:shd w:val="clear" w:color="auto" w:fill="auto"/>
          </w:tcPr>
          <w:p w14:paraId="49039C19" w14:textId="029B196A" w:rsidR="004B29B1" w:rsidRPr="00A864A5" w:rsidRDefault="00AE2FEE" w:rsidP="002B1B9D">
            <w:pPr>
              <w:pStyle w:val="TableText"/>
              <w:keepNext/>
              <w:rPr>
                <w:rFonts w:eastAsia="Calibri"/>
                <w:sz w:val="22"/>
                <w:lang w:val="en-NZ"/>
              </w:rPr>
            </w:pPr>
            <w:r>
              <w:rPr>
                <w:rFonts w:eastAsia="Calibri"/>
                <w:sz w:val="22"/>
                <w:lang w:val="en-NZ"/>
              </w:rPr>
              <w:t xml:space="preserve">N/A </w:t>
            </w:r>
          </w:p>
        </w:tc>
        <w:tc>
          <w:tcPr>
            <w:tcW w:w="2410" w:type="dxa"/>
            <w:shd w:val="clear" w:color="auto" w:fill="auto"/>
          </w:tcPr>
          <w:p w14:paraId="2A883AF5" w14:textId="77777777" w:rsidR="004B29B1" w:rsidRPr="00A864A5" w:rsidRDefault="004B29B1" w:rsidP="002B1B9D">
            <w:pPr>
              <w:pStyle w:val="TableText"/>
              <w:keepNext/>
              <w:rPr>
                <w:rFonts w:eastAsia="Calibri"/>
                <w:sz w:val="22"/>
                <w:lang w:val="en-NZ"/>
              </w:rPr>
            </w:pPr>
          </w:p>
        </w:tc>
        <w:tc>
          <w:tcPr>
            <w:tcW w:w="1843" w:type="dxa"/>
          </w:tcPr>
          <w:p w14:paraId="474A949B" w14:textId="77777777" w:rsidR="004B29B1" w:rsidRPr="00A864A5" w:rsidRDefault="004B29B1" w:rsidP="002B1B9D">
            <w:pPr>
              <w:pStyle w:val="TableText"/>
              <w:keepNext/>
              <w:rPr>
                <w:rFonts w:eastAsia="Calibri"/>
                <w:sz w:val="22"/>
                <w:lang w:val="en-NZ"/>
              </w:rPr>
            </w:pPr>
          </w:p>
        </w:tc>
      </w:tr>
      <w:tr w:rsidR="004B29B1" w:rsidRPr="00A864A5" w14:paraId="2740B1F1" w14:textId="77777777" w:rsidTr="0053423E">
        <w:trPr>
          <w:gridAfter w:val="1"/>
          <w:wAfter w:w="113" w:type="dxa"/>
          <w:trHeight w:val="380"/>
        </w:trPr>
        <w:tc>
          <w:tcPr>
            <w:tcW w:w="2830" w:type="dxa"/>
            <w:shd w:val="clear" w:color="auto" w:fill="auto"/>
          </w:tcPr>
          <w:p w14:paraId="488D493E" w14:textId="2CBF8DDC" w:rsidR="004B29B1" w:rsidRPr="00A864A5" w:rsidRDefault="004B29B1" w:rsidP="002B1B9D">
            <w:pPr>
              <w:pStyle w:val="TableText"/>
              <w:keepNext/>
              <w:rPr>
                <w:rFonts w:eastAsia="Calibri"/>
                <w:sz w:val="22"/>
                <w:lang w:val="en-NZ"/>
              </w:rPr>
            </w:pPr>
            <w:r w:rsidRPr="00A864A5">
              <w:rPr>
                <w:rFonts w:eastAsia="Calibri"/>
                <w:sz w:val="22"/>
                <w:lang w:val="en-NZ"/>
              </w:rPr>
              <w:t>Regulators</w:t>
            </w:r>
            <w:r w:rsidR="00AE2FEE">
              <w:rPr>
                <w:rFonts w:eastAsia="Calibri"/>
                <w:sz w:val="22"/>
                <w:lang w:val="en-NZ"/>
              </w:rPr>
              <w:t xml:space="preserve"> (DIA)</w:t>
            </w:r>
          </w:p>
        </w:tc>
        <w:tc>
          <w:tcPr>
            <w:tcW w:w="2410" w:type="dxa"/>
            <w:shd w:val="clear" w:color="auto" w:fill="auto"/>
          </w:tcPr>
          <w:p w14:paraId="6F3FA34A" w14:textId="438CCD80" w:rsidR="004B29B1" w:rsidRPr="00A864A5" w:rsidRDefault="00AE2FEE" w:rsidP="002B1B9D">
            <w:pPr>
              <w:pStyle w:val="TableText"/>
              <w:keepNext/>
              <w:rPr>
                <w:rFonts w:eastAsia="Calibri"/>
                <w:sz w:val="22"/>
                <w:lang w:val="en-NZ"/>
              </w:rPr>
            </w:pPr>
            <w:r>
              <w:rPr>
                <w:rFonts w:eastAsia="Calibri"/>
                <w:sz w:val="22"/>
                <w:lang w:val="en-NZ"/>
              </w:rPr>
              <w:t>Implementation cost of adding sex marker options into data management systems and sharing data with other agencies</w:t>
            </w:r>
          </w:p>
        </w:tc>
        <w:tc>
          <w:tcPr>
            <w:tcW w:w="2410" w:type="dxa"/>
            <w:shd w:val="clear" w:color="auto" w:fill="auto"/>
          </w:tcPr>
          <w:p w14:paraId="776850EE" w14:textId="01A999D7" w:rsidR="004B29B1" w:rsidRPr="00A864A5" w:rsidRDefault="00AE2FEE" w:rsidP="002B1B9D">
            <w:pPr>
              <w:pStyle w:val="TableText"/>
              <w:keepNext/>
              <w:rPr>
                <w:rFonts w:eastAsia="Calibri"/>
                <w:sz w:val="22"/>
                <w:lang w:val="en-NZ"/>
              </w:rPr>
            </w:pPr>
            <w:r>
              <w:rPr>
                <w:rFonts w:eastAsia="Calibri"/>
                <w:sz w:val="22"/>
                <w:lang w:val="en-NZ"/>
              </w:rPr>
              <w:t>TBD</w:t>
            </w:r>
          </w:p>
        </w:tc>
        <w:tc>
          <w:tcPr>
            <w:tcW w:w="1843" w:type="dxa"/>
          </w:tcPr>
          <w:p w14:paraId="77F5AED2" w14:textId="241A0AFE" w:rsidR="004B29B1" w:rsidRPr="00A864A5" w:rsidRDefault="00960FD5" w:rsidP="002B1B9D">
            <w:pPr>
              <w:pStyle w:val="TableText"/>
              <w:keepNext/>
              <w:rPr>
                <w:rFonts w:eastAsia="Calibri"/>
                <w:sz w:val="22"/>
                <w:lang w:val="en-NZ"/>
              </w:rPr>
            </w:pPr>
            <w:r>
              <w:rPr>
                <w:rFonts w:eastAsia="Calibri"/>
                <w:sz w:val="22"/>
                <w:lang w:val="en-NZ"/>
              </w:rPr>
              <w:t>N/A</w:t>
            </w:r>
          </w:p>
        </w:tc>
      </w:tr>
      <w:tr w:rsidR="004B29B1" w:rsidRPr="00A864A5" w14:paraId="5506E4B8" w14:textId="77777777" w:rsidTr="0053423E">
        <w:trPr>
          <w:gridAfter w:val="1"/>
          <w:wAfter w:w="113" w:type="dxa"/>
          <w:trHeight w:val="263"/>
        </w:trPr>
        <w:tc>
          <w:tcPr>
            <w:tcW w:w="2830" w:type="dxa"/>
            <w:shd w:val="clear" w:color="auto" w:fill="auto"/>
          </w:tcPr>
          <w:p w14:paraId="77F72391" w14:textId="6796C1D2" w:rsidR="004B29B1" w:rsidRPr="00A864A5" w:rsidRDefault="00AE2FEE" w:rsidP="002B1B9D">
            <w:pPr>
              <w:pStyle w:val="TableText"/>
              <w:keepNext/>
              <w:rPr>
                <w:rFonts w:eastAsia="Calibri" w:cs="Arial"/>
                <w:color w:val="000000"/>
                <w:sz w:val="22"/>
                <w:lang w:val="en-NZ"/>
              </w:rPr>
            </w:pPr>
            <w:r>
              <w:rPr>
                <w:rFonts w:eastAsia="Calibri"/>
                <w:color w:val="000000"/>
                <w:sz w:val="22"/>
                <w:lang w:val="en-NZ"/>
              </w:rPr>
              <w:t>Wider Government</w:t>
            </w:r>
            <w:r w:rsidR="00684A1D">
              <w:rPr>
                <w:rFonts w:eastAsia="Calibri"/>
                <w:color w:val="000000"/>
                <w:sz w:val="22"/>
                <w:lang w:val="en-NZ"/>
              </w:rPr>
              <w:t xml:space="preserve"> and other service providers that record gender</w:t>
            </w:r>
          </w:p>
        </w:tc>
        <w:tc>
          <w:tcPr>
            <w:tcW w:w="2410" w:type="dxa"/>
            <w:shd w:val="clear" w:color="auto" w:fill="auto"/>
          </w:tcPr>
          <w:p w14:paraId="5F1C7AA5" w14:textId="56AE59E3" w:rsidR="004B29B1" w:rsidRPr="00A864A5" w:rsidRDefault="00AE2FEE" w:rsidP="002B1B9D">
            <w:pPr>
              <w:pStyle w:val="TableText"/>
              <w:keepNext/>
              <w:rPr>
                <w:rFonts w:eastAsia="Calibri"/>
                <w:sz w:val="22"/>
                <w:lang w:val="en-NZ"/>
              </w:rPr>
            </w:pPr>
            <w:r>
              <w:rPr>
                <w:rFonts w:eastAsia="Calibri"/>
                <w:sz w:val="22"/>
                <w:lang w:val="en-NZ"/>
              </w:rPr>
              <w:t>Implementation cost of adding gender terms into data management systems</w:t>
            </w:r>
          </w:p>
        </w:tc>
        <w:tc>
          <w:tcPr>
            <w:tcW w:w="2410" w:type="dxa"/>
            <w:shd w:val="clear" w:color="auto" w:fill="auto"/>
          </w:tcPr>
          <w:p w14:paraId="6299E747" w14:textId="071A37B5" w:rsidR="004B29B1" w:rsidRPr="00A864A5" w:rsidRDefault="00AE2FEE" w:rsidP="002B1B9D">
            <w:pPr>
              <w:pStyle w:val="TableText"/>
              <w:keepNext/>
              <w:rPr>
                <w:rFonts w:eastAsia="Calibri"/>
                <w:sz w:val="22"/>
                <w:lang w:val="en-NZ"/>
              </w:rPr>
            </w:pPr>
            <w:r>
              <w:rPr>
                <w:rFonts w:eastAsia="Calibri"/>
                <w:sz w:val="22"/>
                <w:lang w:val="en-NZ"/>
              </w:rPr>
              <w:t>TBD</w:t>
            </w:r>
          </w:p>
        </w:tc>
        <w:tc>
          <w:tcPr>
            <w:tcW w:w="1843" w:type="dxa"/>
          </w:tcPr>
          <w:p w14:paraId="454A78BE" w14:textId="1E7C07D6" w:rsidR="004B29B1" w:rsidRPr="00A864A5" w:rsidRDefault="00960FD5" w:rsidP="002B1B9D">
            <w:pPr>
              <w:pStyle w:val="TableText"/>
              <w:keepNext/>
              <w:rPr>
                <w:rFonts w:eastAsia="Calibri"/>
                <w:sz w:val="22"/>
                <w:lang w:val="en-NZ"/>
              </w:rPr>
            </w:pPr>
            <w:r>
              <w:rPr>
                <w:rFonts w:eastAsia="Calibri"/>
                <w:sz w:val="22"/>
                <w:lang w:val="en-NZ"/>
              </w:rPr>
              <w:t>N/A</w:t>
            </w:r>
          </w:p>
        </w:tc>
      </w:tr>
      <w:tr w:rsidR="00AE2FEE" w:rsidRPr="00A864A5" w14:paraId="47EC180C" w14:textId="77777777" w:rsidTr="0053423E">
        <w:trPr>
          <w:gridAfter w:val="1"/>
          <w:wAfter w:w="113" w:type="dxa"/>
          <w:trHeight w:val="263"/>
        </w:trPr>
        <w:tc>
          <w:tcPr>
            <w:tcW w:w="2830" w:type="dxa"/>
            <w:shd w:val="clear" w:color="auto" w:fill="auto"/>
          </w:tcPr>
          <w:p w14:paraId="15C6770E" w14:textId="67B7848A" w:rsidR="00AE2FEE" w:rsidRPr="00A864A5" w:rsidDel="00AE2FEE" w:rsidRDefault="00AE2FEE" w:rsidP="002B1B9D">
            <w:pPr>
              <w:pStyle w:val="TableText"/>
              <w:keepNext/>
              <w:rPr>
                <w:rFonts w:eastAsia="Calibri"/>
                <w:color w:val="000000"/>
                <w:sz w:val="22"/>
                <w:lang w:val="en-NZ"/>
              </w:rPr>
            </w:pPr>
            <w:r>
              <w:rPr>
                <w:rFonts w:eastAsia="Calibri"/>
                <w:color w:val="000000"/>
                <w:sz w:val="22"/>
                <w:lang w:val="en-NZ"/>
              </w:rPr>
              <w:t>People who are non-binary</w:t>
            </w:r>
          </w:p>
        </w:tc>
        <w:tc>
          <w:tcPr>
            <w:tcW w:w="2410" w:type="dxa"/>
            <w:shd w:val="clear" w:color="auto" w:fill="auto"/>
          </w:tcPr>
          <w:p w14:paraId="79D221B5" w14:textId="760A845A" w:rsidR="00AE2FEE" w:rsidRDefault="00AE2FEE" w:rsidP="002B1B9D">
            <w:pPr>
              <w:pStyle w:val="TableText"/>
              <w:keepNext/>
              <w:rPr>
                <w:rFonts w:eastAsia="Calibri"/>
                <w:sz w:val="22"/>
                <w:lang w:val="en-NZ"/>
              </w:rPr>
            </w:pPr>
            <w:r>
              <w:rPr>
                <w:rFonts w:eastAsia="Calibri"/>
                <w:sz w:val="22"/>
                <w:lang w:val="en-NZ"/>
              </w:rPr>
              <w:t>Cost of amending birth certificate</w:t>
            </w:r>
          </w:p>
        </w:tc>
        <w:tc>
          <w:tcPr>
            <w:tcW w:w="2410" w:type="dxa"/>
            <w:shd w:val="clear" w:color="auto" w:fill="auto"/>
          </w:tcPr>
          <w:p w14:paraId="0D6423DA" w14:textId="06542791" w:rsidR="00AE2FEE" w:rsidRDefault="00AE2FEE" w:rsidP="002B1B9D">
            <w:pPr>
              <w:pStyle w:val="TableText"/>
              <w:keepNext/>
              <w:rPr>
                <w:rFonts w:eastAsia="Calibri"/>
                <w:sz w:val="22"/>
                <w:lang w:val="en-NZ"/>
              </w:rPr>
            </w:pPr>
            <w:r>
              <w:rPr>
                <w:rFonts w:eastAsia="Calibri"/>
                <w:sz w:val="22"/>
                <w:lang w:val="en-NZ"/>
              </w:rPr>
              <w:t>TBD</w:t>
            </w:r>
          </w:p>
        </w:tc>
        <w:tc>
          <w:tcPr>
            <w:tcW w:w="1843" w:type="dxa"/>
          </w:tcPr>
          <w:p w14:paraId="55C028DA" w14:textId="76539002" w:rsidR="00AE2FEE" w:rsidRDefault="00960FD5" w:rsidP="002B1B9D">
            <w:pPr>
              <w:pStyle w:val="TableText"/>
              <w:keepNext/>
              <w:rPr>
                <w:rFonts w:eastAsia="Calibri"/>
                <w:sz w:val="22"/>
                <w:lang w:val="en-NZ"/>
              </w:rPr>
            </w:pPr>
            <w:r>
              <w:rPr>
                <w:rFonts w:eastAsia="Calibri"/>
                <w:sz w:val="22"/>
                <w:lang w:val="en-NZ"/>
              </w:rPr>
              <w:t>N/A</w:t>
            </w:r>
          </w:p>
        </w:tc>
      </w:tr>
      <w:tr w:rsidR="004B29B1" w:rsidRPr="00A864A5" w14:paraId="37B80104" w14:textId="77777777" w:rsidTr="0053423E">
        <w:trPr>
          <w:gridAfter w:val="1"/>
          <w:wAfter w:w="113" w:type="dxa"/>
          <w:trHeight w:val="263"/>
        </w:trPr>
        <w:tc>
          <w:tcPr>
            <w:tcW w:w="2830" w:type="dxa"/>
            <w:shd w:val="clear" w:color="auto" w:fill="auto"/>
          </w:tcPr>
          <w:p w14:paraId="04813C91" w14:textId="77777777" w:rsidR="004B29B1" w:rsidRPr="00A864A5" w:rsidRDefault="004B29B1" w:rsidP="002B1B9D">
            <w:pPr>
              <w:pStyle w:val="TableText"/>
              <w:keepNext/>
              <w:rPr>
                <w:rFonts w:eastAsia="Calibri"/>
                <w:b/>
                <w:sz w:val="22"/>
                <w:lang w:val="en-NZ"/>
              </w:rPr>
            </w:pPr>
            <w:r w:rsidRPr="00A864A5">
              <w:rPr>
                <w:rFonts w:eastAsia="Calibri"/>
                <w:b/>
                <w:sz w:val="22"/>
                <w:lang w:val="en-NZ"/>
              </w:rPr>
              <w:t>Total monetised costs</w:t>
            </w:r>
          </w:p>
        </w:tc>
        <w:tc>
          <w:tcPr>
            <w:tcW w:w="2410" w:type="dxa"/>
            <w:shd w:val="clear" w:color="auto" w:fill="auto"/>
          </w:tcPr>
          <w:p w14:paraId="6CFD325B" w14:textId="4AEBBBEF" w:rsidR="004B29B1" w:rsidRPr="00CC3920" w:rsidRDefault="00AE2FEE" w:rsidP="002B1B9D">
            <w:pPr>
              <w:pStyle w:val="TableText"/>
              <w:keepNext/>
              <w:rPr>
                <w:rFonts w:eastAsia="Calibri"/>
                <w:sz w:val="22"/>
                <w:lang w:val="en-NZ"/>
              </w:rPr>
            </w:pPr>
            <w:r w:rsidRPr="00CC3920">
              <w:rPr>
                <w:rFonts w:eastAsia="Calibri"/>
                <w:sz w:val="22"/>
                <w:lang w:val="en-NZ"/>
              </w:rPr>
              <w:t>N/A</w:t>
            </w:r>
          </w:p>
        </w:tc>
        <w:tc>
          <w:tcPr>
            <w:tcW w:w="2410" w:type="dxa"/>
            <w:shd w:val="clear" w:color="auto" w:fill="auto"/>
          </w:tcPr>
          <w:p w14:paraId="4881C94A" w14:textId="208127FE" w:rsidR="004B29B1" w:rsidRPr="00A864A5" w:rsidRDefault="00AE2FEE" w:rsidP="002B1B9D">
            <w:pPr>
              <w:pStyle w:val="TableText"/>
              <w:keepNext/>
              <w:rPr>
                <w:rFonts w:eastAsia="Calibri"/>
                <w:sz w:val="22"/>
                <w:lang w:val="en-NZ"/>
              </w:rPr>
            </w:pPr>
            <w:r>
              <w:rPr>
                <w:rFonts w:eastAsia="Calibri"/>
                <w:sz w:val="22"/>
                <w:lang w:val="en-NZ"/>
              </w:rPr>
              <w:t>Unknown</w:t>
            </w:r>
          </w:p>
        </w:tc>
        <w:tc>
          <w:tcPr>
            <w:tcW w:w="1843" w:type="dxa"/>
          </w:tcPr>
          <w:p w14:paraId="3613FC04" w14:textId="3D200DD0" w:rsidR="004B29B1" w:rsidRPr="00A864A5" w:rsidRDefault="00AE2FEE" w:rsidP="002B1B9D">
            <w:pPr>
              <w:pStyle w:val="TableText"/>
              <w:keepNext/>
              <w:rPr>
                <w:rFonts w:eastAsia="Calibri"/>
                <w:sz w:val="22"/>
                <w:lang w:val="en-NZ"/>
              </w:rPr>
            </w:pPr>
            <w:r>
              <w:rPr>
                <w:rFonts w:eastAsia="Calibri"/>
                <w:sz w:val="22"/>
                <w:lang w:val="en-NZ"/>
              </w:rPr>
              <w:t>N/A</w:t>
            </w:r>
          </w:p>
        </w:tc>
      </w:tr>
      <w:tr w:rsidR="004B29B1" w:rsidRPr="00A864A5" w14:paraId="2358644A" w14:textId="77777777" w:rsidTr="0053423E">
        <w:trPr>
          <w:gridAfter w:val="1"/>
          <w:wAfter w:w="113" w:type="dxa"/>
          <w:trHeight w:val="263"/>
        </w:trPr>
        <w:tc>
          <w:tcPr>
            <w:tcW w:w="2830" w:type="dxa"/>
            <w:shd w:val="clear" w:color="auto" w:fill="auto"/>
          </w:tcPr>
          <w:p w14:paraId="290BCEF2" w14:textId="77777777" w:rsidR="004B29B1" w:rsidRPr="00A864A5" w:rsidRDefault="004B29B1" w:rsidP="002B1B9D">
            <w:pPr>
              <w:pStyle w:val="TableText"/>
              <w:keepNext/>
              <w:rPr>
                <w:rFonts w:eastAsia="Calibri"/>
                <w:b/>
                <w:sz w:val="22"/>
                <w:lang w:val="en-NZ"/>
              </w:rPr>
            </w:pPr>
            <w:r w:rsidRPr="00A864A5">
              <w:rPr>
                <w:rFonts w:eastAsia="Calibri"/>
                <w:b/>
                <w:sz w:val="22"/>
                <w:lang w:val="en-NZ"/>
              </w:rPr>
              <w:t xml:space="preserve">Non-monetised costs </w:t>
            </w:r>
          </w:p>
        </w:tc>
        <w:tc>
          <w:tcPr>
            <w:tcW w:w="2410" w:type="dxa"/>
            <w:shd w:val="clear" w:color="auto" w:fill="auto"/>
          </w:tcPr>
          <w:p w14:paraId="450EE13F" w14:textId="77777777" w:rsidR="004B29B1" w:rsidRPr="00A864A5" w:rsidRDefault="004B29B1" w:rsidP="002B1B9D">
            <w:pPr>
              <w:pStyle w:val="TableText"/>
              <w:keepNext/>
              <w:rPr>
                <w:rFonts w:eastAsia="Calibri"/>
                <w:i/>
                <w:sz w:val="22"/>
                <w:lang w:val="en-NZ"/>
              </w:rPr>
            </w:pPr>
          </w:p>
        </w:tc>
        <w:tc>
          <w:tcPr>
            <w:tcW w:w="2410" w:type="dxa"/>
            <w:shd w:val="clear" w:color="auto" w:fill="auto"/>
          </w:tcPr>
          <w:p w14:paraId="66E404BA" w14:textId="7EC8A2EB" w:rsidR="004B29B1" w:rsidRPr="00A864A5" w:rsidRDefault="004B29B1" w:rsidP="002B1B9D">
            <w:pPr>
              <w:pStyle w:val="TableText"/>
              <w:keepNext/>
              <w:rPr>
                <w:rFonts w:eastAsia="Calibri"/>
                <w:i/>
                <w:sz w:val="22"/>
                <w:lang w:val="en-NZ"/>
              </w:rPr>
            </w:pPr>
          </w:p>
        </w:tc>
        <w:tc>
          <w:tcPr>
            <w:tcW w:w="1843" w:type="dxa"/>
          </w:tcPr>
          <w:p w14:paraId="5496416A" w14:textId="77777777" w:rsidR="004B29B1" w:rsidRPr="00A864A5" w:rsidRDefault="004B29B1" w:rsidP="002B1B9D">
            <w:pPr>
              <w:pStyle w:val="TableText"/>
              <w:keepNext/>
              <w:rPr>
                <w:rFonts w:eastAsia="Calibri"/>
                <w:i/>
                <w:sz w:val="22"/>
                <w:lang w:val="en-NZ"/>
              </w:rPr>
            </w:pPr>
          </w:p>
        </w:tc>
      </w:tr>
      <w:tr w:rsidR="004B29B1" w:rsidRPr="00A864A5" w14:paraId="1AB8CCCB" w14:textId="77777777" w:rsidTr="0053423E">
        <w:trPr>
          <w:gridAfter w:val="1"/>
          <w:wAfter w:w="113" w:type="dxa"/>
          <w:trHeight w:val="426"/>
        </w:trPr>
        <w:tc>
          <w:tcPr>
            <w:tcW w:w="9493" w:type="dxa"/>
            <w:gridSpan w:val="4"/>
            <w:shd w:val="clear" w:color="auto" w:fill="F2F2F2" w:themeFill="background1" w:themeFillShade="F2"/>
            <w:vAlign w:val="center"/>
          </w:tcPr>
          <w:p w14:paraId="110C2A20" w14:textId="77777777" w:rsidR="004B29B1" w:rsidRDefault="004B29B1" w:rsidP="002B1B9D">
            <w:pPr>
              <w:spacing w:before="40" w:after="20" w:line="240" w:lineRule="auto"/>
              <w:jc w:val="center"/>
              <w:rPr>
                <w:rFonts w:eastAsia="Calibri"/>
                <w:b/>
                <w:bCs/>
                <w:color w:val="000000"/>
                <w:szCs w:val="22"/>
                <w:lang w:val="en-NZ"/>
              </w:rPr>
            </w:pPr>
            <w:r>
              <w:rPr>
                <w:rFonts w:eastAsia="Calibri"/>
                <w:b/>
                <w:bCs/>
                <w:color w:val="000000"/>
                <w:szCs w:val="22"/>
                <w:lang w:val="en-NZ"/>
              </w:rPr>
              <w:t>Additional b</w:t>
            </w:r>
            <w:r w:rsidRPr="00A864A5">
              <w:rPr>
                <w:rFonts w:eastAsia="Calibri"/>
                <w:b/>
                <w:bCs/>
                <w:color w:val="000000"/>
                <w:szCs w:val="22"/>
                <w:lang w:val="en-NZ"/>
              </w:rPr>
              <w:t xml:space="preserve">enefits of the preferred option compared to </w:t>
            </w:r>
            <w:r>
              <w:rPr>
                <w:rFonts w:eastAsia="Calibri"/>
                <w:b/>
                <w:bCs/>
                <w:color w:val="000000"/>
                <w:szCs w:val="22"/>
                <w:lang w:val="en-NZ"/>
              </w:rPr>
              <w:t>taking no action</w:t>
            </w:r>
          </w:p>
        </w:tc>
      </w:tr>
      <w:tr w:rsidR="004B29B1" w:rsidRPr="00A864A5" w14:paraId="4032977B" w14:textId="77777777" w:rsidTr="0053423E">
        <w:trPr>
          <w:gridAfter w:val="1"/>
          <w:wAfter w:w="113" w:type="dxa"/>
          <w:trHeight w:val="381"/>
        </w:trPr>
        <w:tc>
          <w:tcPr>
            <w:tcW w:w="2830" w:type="dxa"/>
            <w:shd w:val="clear" w:color="auto" w:fill="auto"/>
          </w:tcPr>
          <w:p w14:paraId="3E953FF1" w14:textId="77777777" w:rsidR="004B29B1" w:rsidRPr="00A864A5" w:rsidRDefault="004B29B1" w:rsidP="002B1B9D">
            <w:pPr>
              <w:pStyle w:val="TableText"/>
              <w:rPr>
                <w:rFonts w:eastAsia="Calibri"/>
                <w:sz w:val="22"/>
                <w:lang w:val="en-NZ"/>
              </w:rPr>
            </w:pPr>
            <w:r w:rsidRPr="00A864A5">
              <w:rPr>
                <w:rFonts w:eastAsia="Calibri"/>
                <w:sz w:val="22"/>
                <w:lang w:val="en-NZ"/>
              </w:rPr>
              <w:t>Regulated groups</w:t>
            </w:r>
          </w:p>
        </w:tc>
        <w:tc>
          <w:tcPr>
            <w:tcW w:w="2410" w:type="dxa"/>
            <w:shd w:val="clear" w:color="auto" w:fill="auto"/>
          </w:tcPr>
          <w:p w14:paraId="7EC2E33A" w14:textId="204EB258" w:rsidR="004B29B1" w:rsidRPr="00A864A5" w:rsidRDefault="00AE2FEE" w:rsidP="002B1B9D">
            <w:pPr>
              <w:pStyle w:val="TableText"/>
              <w:rPr>
                <w:rFonts w:eastAsia="Calibri"/>
                <w:sz w:val="22"/>
                <w:lang w:val="en-NZ"/>
              </w:rPr>
            </w:pPr>
            <w:r>
              <w:rPr>
                <w:rFonts w:eastAsia="Calibri"/>
                <w:sz w:val="22"/>
                <w:lang w:val="en-NZ"/>
              </w:rPr>
              <w:t>N/A</w:t>
            </w:r>
          </w:p>
        </w:tc>
        <w:tc>
          <w:tcPr>
            <w:tcW w:w="2410" w:type="dxa"/>
            <w:shd w:val="clear" w:color="auto" w:fill="auto"/>
          </w:tcPr>
          <w:p w14:paraId="159430BE" w14:textId="77777777" w:rsidR="004B29B1" w:rsidRPr="00A864A5" w:rsidRDefault="004B29B1" w:rsidP="002B1B9D">
            <w:pPr>
              <w:pStyle w:val="TableText"/>
              <w:rPr>
                <w:rFonts w:eastAsia="Calibri"/>
                <w:sz w:val="22"/>
                <w:lang w:val="en-NZ"/>
              </w:rPr>
            </w:pPr>
          </w:p>
        </w:tc>
        <w:tc>
          <w:tcPr>
            <w:tcW w:w="1843" w:type="dxa"/>
          </w:tcPr>
          <w:p w14:paraId="711EA87C" w14:textId="77777777" w:rsidR="004B29B1" w:rsidRPr="00A864A5" w:rsidRDefault="004B29B1" w:rsidP="002B1B9D">
            <w:pPr>
              <w:pStyle w:val="TableText"/>
              <w:rPr>
                <w:rFonts w:eastAsia="Calibri"/>
                <w:sz w:val="22"/>
                <w:lang w:val="en-NZ"/>
              </w:rPr>
            </w:pPr>
          </w:p>
        </w:tc>
      </w:tr>
      <w:tr w:rsidR="004B29B1" w:rsidRPr="00A864A5" w14:paraId="3C3F02FB" w14:textId="77777777" w:rsidTr="0053423E">
        <w:trPr>
          <w:gridAfter w:val="1"/>
          <w:wAfter w:w="113" w:type="dxa"/>
          <w:trHeight w:val="381"/>
        </w:trPr>
        <w:tc>
          <w:tcPr>
            <w:tcW w:w="2830" w:type="dxa"/>
            <w:shd w:val="clear" w:color="auto" w:fill="auto"/>
          </w:tcPr>
          <w:p w14:paraId="6FEA1C07" w14:textId="77777777" w:rsidR="004B29B1" w:rsidRPr="00A864A5" w:rsidRDefault="004B29B1" w:rsidP="002B1B9D">
            <w:pPr>
              <w:pStyle w:val="TableText"/>
              <w:rPr>
                <w:rFonts w:eastAsia="Calibri"/>
                <w:sz w:val="22"/>
                <w:lang w:val="en-NZ"/>
              </w:rPr>
            </w:pPr>
            <w:r w:rsidRPr="00A864A5">
              <w:rPr>
                <w:rFonts w:eastAsia="Calibri"/>
                <w:sz w:val="22"/>
                <w:lang w:val="en-NZ"/>
              </w:rPr>
              <w:t>Regulators</w:t>
            </w:r>
          </w:p>
        </w:tc>
        <w:tc>
          <w:tcPr>
            <w:tcW w:w="2410" w:type="dxa"/>
            <w:shd w:val="clear" w:color="auto" w:fill="auto"/>
          </w:tcPr>
          <w:p w14:paraId="03422A4A" w14:textId="5D80CC02" w:rsidR="004B29B1" w:rsidRPr="00A864A5" w:rsidRDefault="00AE2FEE" w:rsidP="002B1B9D">
            <w:pPr>
              <w:pStyle w:val="TableText"/>
              <w:rPr>
                <w:rFonts w:eastAsia="Calibri"/>
                <w:sz w:val="22"/>
                <w:lang w:val="en-NZ"/>
              </w:rPr>
            </w:pPr>
            <w:r>
              <w:rPr>
                <w:rFonts w:eastAsia="Calibri"/>
                <w:sz w:val="22"/>
                <w:lang w:val="en-NZ"/>
              </w:rPr>
              <w:t>-</w:t>
            </w:r>
          </w:p>
        </w:tc>
        <w:tc>
          <w:tcPr>
            <w:tcW w:w="2410" w:type="dxa"/>
            <w:shd w:val="clear" w:color="auto" w:fill="auto"/>
          </w:tcPr>
          <w:p w14:paraId="1C5D022C" w14:textId="311F6077" w:rsidR="004B29B1" w:rsidRPr="00A864A5" w:rsidRDefault="00AE2FEE" w:rsidP="002B1B9D">
            <w:pPr>
              <w:pStyle w:val="TableText"/>
              <w:rPr>
                <w:rFonts w:eastAsia="Calibri"/>
                <w:sz w:val="22"/>
                <w:lang w:val="en-NZ"/>
              </w:rPr>
            </w:pPr>
            <w:r>
              <w:rPr>
                <w:rFonts w:eastAsia="Calibri"/>
                <w:sz w:val="22"/>
                <w:lang w:val="en-NZ"/>
              </w:rPr>
              <w:t>-</w:t>
            </w:r>
          </w:p>
        </w:tc>
        <w:tc>
          <w:tcPr>
            <w:tcW w:w="1843" w:type="dxa"/>
          </w:tcPr>
          <w:p w14:paraId="372908AF" w14:textId="1BC472C0" w:rsidR="004B29B1" w:rsidRPr="00A864A5" w:rsidRDefault="00AE2FEE" w:rsidP="002B1B9D">
            <w:pPr>
              <w:pStyle w:val="TableText"/>
              <w:rPr>
                <w:rFonts w:eastAsia="Calibri"/>
                <w:sz w:val="22"/>
                <w:lang w:val="en-NZ"/>
              </w:rPr>
            </w:pPr>
            <w:r>
              <w:rPr>
                <w:rFonts w:eastAsia="Calibri"/>
                <w:sz w:val="22"/>
                <w:lang w:val="en-NZ"/>
              </w:rPr>
              <w:t>-</w:t>
            </w:r>
          </w:p>
        </w:tc>
      </w:tr>
      <w:tr w:rsidR="004B29B1" w:rsidRPr="00A864A5" w14:paraId="40B0F3B0" w14:textId="77777777" w:rsidTr="0053423E">
        <w:trPr>
          <w:gridAfter w:val="1"/>
          <w:wAfter w:w="113" w:type="dxa"/>
          <w:trHeight w:val="263"/>
        </w:trPr>
        <w:tc>
          <w:tcPr>
            <w:tcW w:w="2830" w:type="dxa"/>
            <w:shd w:val="clear" w:color="auto" w:fill="auto"/>
          </w:tcPr>
          <w:p w14:paraId="5862361E" w14:textId="32722ECB" w:rsidR="004B29B1" w:rsidRPr="00A864A5" w:rsidRDefault="00AE2FEE" w:rsidP="002B1B9D">
            <w:pPr>
              <w:pStyle w:val="TableText"/>
              <w:rPr>
                <w:rFonts w:eastAsia="Calibri"/>
                <w:sz w:val="22"/>
                <w:lang w:val="en-NZ"/>
              </w:rPr>
            </w:pPr>
            <w:r>
              <w:rPr>
                <w:rFonts w:eastAsia="Calibri"/>
                <w:color w:val="000000"/>
                <w:sz w:val="22"/>
                <w:lang w:val="en-NZ"/>
              </w:rPr>
              <w:t>Wider Government</w:t>
            </w:r>
            <w:r w:rsidR="00684A1D">
              <w:rPr>
                <w:rFonts w:eastAsia="Calibri"/>
                <w:color w:val="000000"/>
                <w:sz w:val="22"/>
                <w:lang w:val="en-NZ"/>
              </w:rPr>
              <w:t xml:space="preserve"> and other service providers that record gender</w:t>
            </w:r>
          </w:p>
        </w:tc>
        <w:tc>
          <w:tcPr>
            <w:tcW w:w="2410" w:type="dxa"/>
            <w:shd w:val="clear" w:color="auto" w:fill="auto"/>
          </w:tcPr>
          <w:p w14:paraId="4AC2FC0F" w14:textId="51371F96" w:rsidR="004B29B1" w:rsidRPr="00A864A5" w:rsidRDefault="00684A1D" w:rsidP="002B1B9D">
            <w:pPr>
              <w:pStyle w:val="TableText"/>
              <w:rPr>
                <w:rFonts w:eastAsia="Calibri"/>
                <w:sz w:val="22"/>
                <w:lang w:val="en-NZ"/>
              </w:rPr>
            </w:pPr>
            <w:r>
              <w:rPr>
                <w:rFonts w:eastAsia="Calibri"/>
                <w:sz w:val="22"/>
                <w:lang w:val="en-NZ"/>
              </w:rPr>
              <w:t>Will receive more consistent documentation from people who are non-binary</w:t>
            </w:r>
          </w:p>
        </w:tc>
        <w:tc>
          <w:tcPr>
            <w:tcW w:w="2410" w:type="dxa"/>
            <w:shd w:val="clear" w:color="auto" w:fill="auto"/>
          </w:tcPr>
          <w:p w14:paraId="354C9927" w14:textId="7215C4E2" w:rsidR="004B29B1" w:rsidRPr="00A864A5" w:rsidRDefault="00684A1D" w:rsidP="002B1B9D">
            <w:pPr>
              <w:pStyle w:val="TableText"/>
              <w:rPr>
                <w:rFonts w:eastAsia="Calibri"/>
                <w:sz w:val="22"/>
                <w:lang w:val="en-NZ"/>
              </w:rPr>
            </w:pPr>
            <w:r>
              <w:rPr>
                <w:rFonts w:eastAsia="Calibri"/>
                <w:sz w:val="22"/>
                <w:lang w:val="en-NZ"/>
              </w:rPr>
              <w:t>TBD</w:t>
            </w:r>
          </w:p>
        </w:tc>
        <w:tc>
          <w:tcPr>
            <w:tcW w:w="1843" w:type="dxa"/>
          </w:tcPr>
          <w:p w14:paraId="569C2E81" w14:textId="6638636E" w:rsidR="004B29B1" w:rsidRPr="00A864A5" w:rsidRDefault="00684A1D" w:rsidP="002B1B9D">
            <w:pPr>
              <w:pStyle w:val="TableText"/>
              <w:rPr>
                <w:rFonts w:eastAsia="Calibri"/>
                <w:sz w:val="22"/>
                <w:lang w:val="en-NZ"/>
              </w:rPr>
            </w:pPr>
            <w:r>
              <w:rPr>
                <w:rFonts w:eastAsia="Calibri"/>
                <w:sz w:val="22"/>
                <w:lang w:val="en-NZ"/>
              </w:rPr>
              <w:t>Medium</w:t>
            </w:r>
          </w:p>
        </w:tc>
      </w:tr>
      <w:tr w:rsidR="00684A1D" w:rsidRPr="00A864A5" w14:paraId="28230065" w14:textId="77777777" w:rsidTr="0053423E">
        <w:trPr>
          <w:gridAfter w:val="1"/>
          <w:wAfter w:w="113" w:type="dxa"/>
          <w:trHeight w:val="263"/>
        </w:trPr>
        <w:tc>
          <w:tcPr>
            <w:tcW w:w="2830" w:type="dxa"/>
            <w:shd w:val="clear" w:color="auto" w:fill="auto"/>
          </w:tcPr>
          <w:p w14:paraId="2246A76C" w14:textId="41D56805" w:rsidR="00684A1D" w:rsidRDefault="00684A1D" w:rsidP="002B1B9D">
            <w:pPr>
              <w:pStyle w:val="TableText"/>
              <w:rPr>
                <w:rFonts w:eastAsia="Calibri"/>
                <w:color w:val="000000"/>
                <w:sz w:val="22"/>
                <w:lang w:val="en-NZ"/>
              </w:rPr>
            </w:pPr>
            <w:r>
              <w:rPr>
                <w:rFonts w:eastAsia="Calibri"/>
                <w:color w:val="000000"/>
                <w:sz w:val="22"/>
                <w:lang w:val="en-NZ"/>
              </w:rPr>
              <w:t>People who are non-binary</w:t>
            </w:r>
          </w:p>
        </w:tc>
        <w:tc>
          <w:tcPr>
            <w:tcW w:w="2410" w:type="dxa"/>
            <w:shd w:val="clear" w:color="auto" w:fill="auto"/>
          </w:tcPr>
          <w:p w14:paraId="0B9199A1" w14:textId="508F5823" w:rsidR="00684A1D" w:rsidRDefault="00684A1D" w:rsidP="002B1B9D">
            <w:pPr>
              <w:pStyle w:val="TableText"/>
              <w:rPr>
                <w:rFonts w:eastAsia="Calibri"/>
                <w:sz w:val="22"/>
                <w:lang w:val="en-NZ"/>
              </w:rPr>
            </w:pPr>
            <w:r>
              <w:rPr>
                <w:rFonts w:eastAsia="Calibri"/>
                <w:sz w:val="22"/>
                <w:lang w:val="en-NZ"/>
              </w:rPr>
              <w:t>Birth certificates are a cheaper alternative to getting a passport</w:t>
            </w:r>
          </w:p>
        </w:tc>
        <w:tc>
          <w:tcPr>
            <w:tcW w:w="2410" w:type="dxa"/>
            <w:shd w:val="clear" w:color="auto" w:fill="auto"/>
          </w:tcPr>
          <w:p w14:paraId="6BBF5C39" w14:textId="7863EBA8" w:rsidR="00684A1D" w:rsidRDefault="00684A1D" w:rsidP="002B1B9D">
            <w:pPr>
              <w:pStyle w:val="TableText"/>
              <w:rPr>
                <w:rFonts w:eastAsia="Calibri"/>
                <w:sz w:val="22"/>
                <w:lang w:val="en-NZ"/>
              </w:rPr>
            </w:pPr>
            <w:r>
              <w:rPr>
                <w:rFonts w:eastAsia="Calibri"/>
                <w:sz w:val="22"/>
                <w:lang w:val="en-NZ"/>
              </w:rPr>
              <w:t>TBD</w:t>
            </w:r>
          </w:p>
        </w:tc>
        <w:tc>
          <w:tcPr>
            <w:tcW w:w="1843" w:type="dxa"/>
          </w:tcPr>
          <w:p w14:paraId="2741F364" w14:textId="43A54551" w:rsidR="00684A1D" w:rsidRDefault="00684A1D" w:rsidP="002B1B9D">
            <w:pPr>
              <w:pStyle w:val="TableText"/>
              <w:rPr>
                <w:rFonts w:eastAsia="Calibri"/>
                <w:sz w:val="22"/>
                <w:lang w:val="en-NZ"/>
              </w:rPr>
            </w:pPr>
            <w:r>
              <w:rPr>
                <w:rFonts w:eastAsia="Calibri"/>
                <w:sz w:val="22"/>
                <w:lang w:val="en-NZ"/>
              </w:rPr>
              <w:t>Medium</w:t>
            </w:r>
          </w:p>
        </w:tc>
      </w:tr>
      <w:tr w:rsidR="004B29B1" w:rsidRPr="00A864A5" w14:paraId="5F5024EF" w14:textId="77777777" w:rsidTr="0053423E">
        <w:trPr>
          <w:gridAfter w:val="1"/>
          <w:wAfter w:w="113" w:type="dxa"/>
          <w:trHeight w:val="263"/>
        </w:trPr>
        <w:tc>
          <w:tcPr>
            <w:tcW w:w="2830" w:type="dxa"/>
            <w:shd w:val="clear" w:color="auto" w:fill="auto"/>
          </w:tcPr>
          <w:p w14:paraId="5F818532" w14:textId="77777777" w:rsidR="004B29B1" w:rsidRPr="00A864A5" w:rsidRDefault="004B29B1" w:rsidP="002B1B9D">
            <w:pPr>
              <w:pStyle w:val="TableText"/>
              <w:rPr>
                <w:rFonts w:eastAsia="Calibri"/>
                <w:b/>
                <w:sz w:val="22"/>
                <w:lang w:val="en-NZ"/>
              </w:rPr>
            </w:pPr>
            <w:r w:rsidRPr="00A864A5">
              <w:rPr>
                <w:rFonts w:eastAsia="Calibri"/>
                <w:b/>
                <w:sz w:val="22"/>
                <w:lang w:val="en-NZ"/>
              </w:rPr>
              <w:t>Total monetised benefits</w:t>
            </w:r>
          </w:p>
        </w:tc>
        <w:tc>
          <w:tcPr>
            <w:tcW w:w="2410" w:type="dxa"/>
            <w:shd w:val="clear" w:color="auto" w:fill="auto"/>
          </w:tcPr>
          <w:p w14:paraId="06DFBC57" w14:textId="48779591" w:rsidR="004B29B1" w:rsidRPr="00A864A5" w:rsidRDefault="00684A1D" w:rsidP="002B1B9D">
            <w:pPr>
              <w:pStyle w:val="TableText"/>
              <w:rPr>
                <w:rFonts w:eastAsia="Calibri"/>
                <w:sz w:val="22"/>
                <w:lang w:val="en-NZ"/>
              </w:rPr>
            </w:pPr>
            <w:r>
              <w:rPr>
                <w:rFonts w:eastAsia="Calibri"/>
                <w:sz w:val="22"/>
                <w:lang w:val="en-NZ"/>
              </w:rPr>
              <w:t>N/A</w:t>
            </w:r>
          </w:p>
        </w:tc>
        <w:tc>
          <w:tcPr>
            <w:tcW w:w="2410" w:type="dxa"/>
            <w:shd w:val="clear" w:color="auto" w:fill="auto"/>
          </w:tcPr>
          <w:p w14:paraId="5048FBAB" w14:textId="452C3DCF" w:rsidR="004B29B1" w:rsidRPr="00A864A5" w:rsidRDefault="00684A1D" w:rsidP="002B1B9D">
            <w:pPr>
              <w:pStyle w:val="TableText"/>
              <w:rPr>
                <w:rFonts w:eastAsia="Calibri"/>
                <w:sz w:val="22"/>
                <w:lang w:val="en-NZ"/>
              </w:rPr>
            </w:pPr>
            <w:r>
              <w:rPr>
                <w:rFonts w:eastAsia="Calibri"/>
                <w:sz w:val="22"/>
                <w:lang w:val="en-NZ"/>
              </w:rPr>
              <w:t>Unknown at present</w:t>
            </w:r>
          </w:p>
        </w:tc>
        <w:tc>
          <w:tcPr>
            <w:tcW w:w="1843" w:type="dxa"/>
          </w:tcPr>
          <w:p w14:paraId="1AEBB374" w14:textId="56CFD229" w:rsidR="004B29B1" w:rsidRPr="00A864A5" w:rsidRDefault="00684A1D" w:rsidP="002B1B9D">
            <w:pPr>
              <w:pStyle w:val="TableText"/>
              <w:rPr>
                <w:rFonts w:eastAsia="Calibri"/>
                <w:sz w:val="22"/>
                <w:lang w:val="en-NZ"/>
              </w:rPr>
            </w:pPr>
            <w:r>
              <w:rPr>
                <w:rFonts w:eastAsia="Calibri"/>
                <w:sz w:val="22"/>
                <w:lang w:val="en-NZ"/>
              </w:rPr>
              <w:t>N/A</w:t>
            </w:r>
          </w:p>
        </w:tc>
      </w:tr>
      <w:tr w:rsidR="0053423E" w:rsidRPr="00A864A5" w14:paraId="14106BCC" w14:textId="77777777" w:rsidTr="0053423E">
        <w:trPr>
          <w:trHeight w:val="263"/>
        </w:trPr>
        <w:tc>
          <w:tcPr>
            <w:tcW w:w="2830" w:type="dxa"/>
            <w:vMerge w:val="restart"/>
            <w:shd w:val="clear" w:color="auto" w:fill="auto"/>
          </w:tcPr>
          <w:p w14:paraId="22293693" w14:textId="31A72F76" w:rsidR="0053423E" w:rsidRPr="00A864A5" w:rsidRDefault="0053423E" w:rsidP="002B1B9D">
            <w:pPr>
              <w:pStyle w:val="TableText"/>
              <w:rPr>
                <w:rFonts w:eastAsia="Calibri"/>
                <w:b/>
                <w:sz w:val="22"/>
                <w:lang w:val="en-NZ"/>
              </w:rPr>
            </w:pPr>
            <w:r>
              <w:rPr>
                <w:rFonts w:eastAsia="Calibri"/>
                <w:b/>
                <w:sz w:val="22"/>
                <w:lang w:val="en-NZ"/>
              </w:rPr>
              <w:t>Non-monetised benefits</w:t>
            </w:r>
          </w:p>
        </w:tc>
        <w:tc>
          <w:tcPr>
            <w:tcW w:w="2410" w:type="dxa"/>
            <w:shd w:val="clear" w:color="auto" w:fill="auto"/>
          </w:tcPr>
          <w:p w14:paraId="221F6911" w14:textId="4DEF1E3C" w:rsidR="0053423E" w:rsidRDefault="0053423E" w:rsidP="002B1B9D">
            <w:pPr>
              <w:pStyle w:val="TableText"/>
              <w:rPr>
                <w:rFonts w:eastAsia="Calibri"/>
                <w:sz w:val="22"/>
                <w:lang w:val="en-NZ"/>
              </w:rPr>
            </w:pPr>
            <w:r>
              <w:rPr>
                <w:rFonts w:eastAsia="Calibri"/>
                <w:sz w:val="22"/>
                <w:lang w:val="en-NZ"/>
              </w:rPr>
              <w:t>Greater recognition of gender</w:t>
            </w:r>
          </w:p>
        </w:tc>
        <w:tc>
          <w:tcPr>
            <w:tcW w:w="2410" w:type="dxa"/>
            <w:shd w:val="clear" w:color="auto" w:fill="auto"/>
          </w:tcPr>
          <w:p w14:paraId="2A0E657A" w14:textId="6D4CF8E7" w:rsidR="0053423E" w:rsidRDefault="0053423E" w:rsidP="002B1B9D">
            <w:pPr>
              <w:pStyle w:val="TableText"/>
              <w:rPr>
                <w:rFonts w:eastAsia="Calibri"/>
                <w:sz w:val="22"/>
                <w:lang w:val="en-NZ"/>
              </w:rPr>
            </w:pPr>
            <w:r>
              <w:rPr>
                <w:rFonts w:eastAsia="Calibri"/>
                <w:sz w:val="22"/>
                <w:lang w:val="en-NZ"/>
              </w:rPr>
              <w:t>TBD</w:t>
            </w:r>
          </w:p>
        </w:tc>
        <w:tc>
          <w:tcPr>
            <w:tcW w:w="1843" w:type="dxa"/>
            <w:gridSpan w:val="2"/>
          </w:tcPr>
          <w:p w14:paraId="0557CAEC" w14:textId="74FA41A7" w:rsidR="0053423E" w:rsidRDefault="0053423E" w:rsidP="002B1B9D">
            <w:pPr>
              <w:pStyle w:val="TableText"/>
              <w:rPr>
                <w:rFonts w:eastAsia="Calibri"/>
                <w:sz w:val="22"/>
                <w:lang w:val="en-NZ"/>
              </w:rPr>
            </w:pPr>
            <w:r>
              <w:rPr>
                <w:rFonts w:eastAsia="Calibri"/>
                <w:sz w:val="22"/>
                <w:lang w:val="en-NZ"/>
              </w:rPr>
              <w:t>N/A</w:t>
            </w:r>
          </w:p>
        </w:tc>
      </w:tr>
      <w:tr w:rsidR="0053423E" w:rsidRPr="00A864A5" w14:paraId="5E0508FD" w14:textId="77777777" w:rsidTr="0053423E">
        <w:trPr>
          <w:trHeight w:val="263"/>
        </w:trPr>
        <w:tc>
          <w:tcPr>
            <w:tcW w:w="2830" w:type="dxa"/>
            <w:vMerge/>
            <w:shd w:val="clear" w:color="auto" w:fill="auto"/>
          </w:tcPr>
          <w:p w14:paraId="06E50D67" w14:textId="77777777" w:rsidR="0053423E" w:rsidRDefault="0053423E" w:rsidP="002B1B9D">
            <w:pPr>
              <w:pStyle w:val="TableText"/>
              <w:rPr>
                <w:rFonts w:eastAsia="Calibri"/>
                <w:b/>
                <w:sz w:val="22"/>
                <w:lang w:val="en-NZ"/>
              </w:rPr>
            </w:pPr>
          </w:p>
        </w:tc>
        <w:tc>
          <w:tcPr>
            <w:tcW w:w="2410" w:type="dxa"/>
            <w:shd w:val="clear" w:color="auto" w:fill="auto"/>
          </w:tcPr>
          <w:p w14:paraId="1C3FD9A6" w14:textId="4A4A6E63" w:rsidR="0053423E" w:rsidRDefault="0053423E" w:rsidP="002B1B9D">
            <w:pPr>
              <w:pStyle w:val="TableText"/>
              <w:rPr>
                <w:rFonts w:eastAsia="Calibri"/>
                <w:sz w:val="22"/>
                <w:lang w:val="en-NZ"/>
              </w:rPr>
            </w:pPr>
            <w:r>
              <w:rPr>
                <w:rFonts w:eastAsia="Calibri"/>
                <w:sz w:val="22"/>
                <w:lang w:val="en-NZ"/>
              </w:rPr>
              <w:t>easier to approach service providers</w:t>
            </w:r>
          </w:p>
        </w:tc>
        <w:tc>
          <w:tcPr>
            <w:tcW w:w="2410" w:type="dxa"/>
            <w:shd w:val="clear" w:color="auto" w:fill="auto"/>
          </w:tcPr>
          <w:p w14:paraId="588D75BE" w14:textId="7DAF5930" w:rsidR="0053423E" w:rsidRDefault="0053423E" w:rsidP="002B1B9D">
            <w:pPr>
              <w:pStyle w:val="TableText"/>
              <w:rPr>
                <w:rFonts w:eastAsia="Calibri"/>
                <w:sz w:val="22"/>
                <w:lang w:val="en-NZ"/>
              </w:rPr>
            </w:pPr>
            <w:r>
              <w:rPr>
                <w:rFonts w:eastAsia="Calibri"/>
                <w:sz w:val="22"/>
                <w:lang w:val="en-NZ"/>
              </w:rPr>
              <w:t>TBD</w:t>
            </w:r>
          </w:p>
        </w:tc>
        <w:tc>
          <w:tcPr>
            <w:tcW w:w="1843" w:type="dxa"/>
            <w:gridSpan w:val="2"/>
          </w:tcPr>
          <w:p w14:paraId="45EADBF4" w14:textId="3BDD0ABC" w:rsidR="0053423E" w:rsidRDefault="0053423E" w:rsidP="002B1B9D">
            <w:pPr>
              <w:pStyle w:val="TableText"/>
              <w:rPr>
                <w:rFonts w:eastAsia="Calibri"/>
                <w:sz w:val="22"/>
                <w:lang w:val="en-NZ"/>
              </w:rPr>
            </w:pPr>
            <w:r>
              <w:rPr>
                <w:rFonts w:eastAsia="Calibri"/>
                <w:sz w:val="22"/>
                <w:lang w:val="en-NZ"/>
              </w:rPr>
              <w:t>N/A</w:t>
            </w:r>
          </w:p>
        </w:tc>
      </w:tr>
      <w:tr w:rsidR="0053423E" w:rsidRPr="00A864A5" w14:paraId="794776C6" w14:textId="77777777" w:rsidTr="0053423E">
        <w:trPr>
          <w:trHeight w:val="263"/>
        </w:trPr>
        <w:tc>
          <w:tcPr>
            <w:tcW w:w="2830" w:type="dxa"/>
            <w:vMerge/>
            <w:shd w:val="clear" w:color="auto" w:fill="auto"/>
          </w:tcPr>
          <w:p w14:paraId="482A0A5C" w14:textId="77777777" w:rsidR="0053423E" w:rsidRDefault="0053423E" w:rsidP="002B1B9D">
            <w:pPr>
              <w:pStyle w:val="TableText"/>
              <w:rPr>
                <w:rFonts w:eastAsia="Calibri"/>
                <w:b/>
                <w:sz w:val="22"/>
                <w:lang w:val="en-NZ"/>
              </w:rPr>
            </w:pPr>
          </w:p>
        </w:tc>
        <w:tc>
          <w:tcPr>
            <w:tcW w:w="2410" w:type="dxa"/>
            <w:shd w:val="clear" w:color="auto" w:fill="auto"/>
          </w:tcPr>
          <w:p w14:paraId="0FDC36CE" w14:textId="109AC0C5" w:rsidR="0053423E" w:rsidRDefault="0053423E" w:rsidP="002B1B9D">
            <w:pPr>
              <w:pStyle w:val="TableText"/>
              <w:rPr>
                <w:rFonts w:eastAsia="Calibri"/>
                <w:sz w:val="22"/>
                <w:lang w:val="en-NZ"/>
              </w:rPr>
            </w:pPr>
            <w:r>
              <w:rPr>
                <w:rFonts w:eastAsia="Calibri"/>
                <w:sz w:val="22"/>
                <w:lang w:val="en-NZ"/>
              </w:rPr>
              <w:t>less effort needed to correct records</w:t>
            </w:r>
          </w:p>
        </w:tc>
        <w:tc>
          <w:tcPr>
            <w:tcW w:w="2410" w:type="dxa"/>
            <w:shd w:val="clear" w:color="auto" w:fill="auto"/>
          </w:tcPr>
          <w:p w14:paraId="0E2F25FA" w14:textId="527F1260" w:rsidR="0053423E" w:rsidRDefault="0053423E" w:rsidP="002B1B9D">
            <w:pPr>
              <w:pStyle w:val="TableText"/>
              <w:rPr>
                <w:rFonts w:eastAsia="Calibri"/>
                <w:sz w:val="22"/>
                <w:lang w:val="en-NZ"/>
              </w:rPr>
            </w:pPr>
            <w:r>
              <w:rPr>
                <w:rFonts w:eastAsia="Calibri"/>
                <w:sz w:val="22"/>
                <w:lang w:val="en-NZ"/>
              </w:rPr>
              <w:t>TBD</w:t>
            </w:r>
          </w:p>
        </w:tc>
        <w:tc>
          <w:tcPr>
            <w:tcW w:w="1843" w:type="dxa"/>
            <w:gridSpan w:val="2"/>
          </w:tcPr>
          <w:p w14:paraId="41D09095" w14:textId="13121F98" w:rsidR="0053423E" w:rsidRDefault="0053423E" w:rsidP="002B1B9D">
            <w:pPr>
              <w:pStyle w:val="TableText"/>
              <w:rPr>
                <w:rFonts w:eastAsia="Calibri"/>
                <w:sz w:val="22"/>
                <w:lang w:val="en-NZ"/>
              </w:rPr>
            </w:pPr>
            <w:r>
              <w:rPr>
                <w:rFonts w:eastAsia="Calibri"/>
                <w:sz w:val="22"/>
                <w:lang w:val="en-NZ"/>
              </w:rPr>
              <w:t>N/A</w:t>
            </w:r>
          </w:p>
        </w:tc>
      </w:tr>
    </w:tbl>
    <w:p w14:paraId="3AF9E382" w14:textId="03414427" w:rsidR="002C3C88" w:rsidRDefault="002C3C88" w:rsidP="00B13EB3">
      <w:pPr>
        <w:pStyle w:val="BodyText-Numbered"/>
        <w:numPr>
          <w:ilvl w:val="0"/>
          <w:numId w:val="0"/>
        </w:numPr>
        <w:ind w:left="567"/>
        <w:rPr>
          <w:lang w:val="en-NZ"/>
        </w:rPr>
      </w:pPr>
    </w:p>
    <w:tbl>
      <w:tblPr>
        <w:tblpPr w:leftFromText="180" w:rightFromText="180" w:vertAnchor="text" w:horzAnchor="margin" w:tblpY="124"/>
        <w:tblOverlap w:val="never"/>
        <w:tblW w:w="9493"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2795"/>
        <w:gridCol w:w="2382"/>
        <w:gridCol w:w="2382"/>
        <w:gridCol w:w="1822"/>
        <w:gridCol w:w="112"/>
      </w:tblGrid>
      <w:tr w:rsidR="002C3C88" w:rsidRPr="00A864A5" w14:paraId="236021C3" w14:textId="77777777" w:rsidTr="003D2E62">
        <w:trPr>
          <w:gridAfter w:val="1"/>
          <w:wAfter w:w="113" w:type="dxa"/>
          <w:cantSplit/>
          <w:trHeight w:val="762"/>
        </w:trPr>
        <w:tc>
          <w:tcPr>
            <w:tcW w:w="9493" w:type="dxa"/>
            <w:gridSpan w:val="4"/>
            <w:shd w:val="clear" w:color="auto" w:fill="000000" w:themeFill="text1"/>
          </w:tcPr>
          <w:p w14:paraId="2C5DBE74" w14:textId="5A0F5D42" w:rsidR="002C3C88" w:rsidRPr="00684A1D" w:rsidRDefault="002C3C88" w:rsidP="00960FD5">
            <w:pPr>
              <w:pStyle w:val="TableText"/>
              <w:keepNext/>
              <w:rPr>
                <w:rFonts w:eastAsia="Calibri"/>
                <w:b/>
                <w:color w:val="FFFFFF" w:themeColor="background1"/>
                <w:sz w:val="22"/>
                <w:lang w:val="en-NZ"/>
              </w:rPr>
            </w:pPr>
            <w:r w:rsidRPr="00684A1D">
              <w:rPr>
                <w:rFonts w:eastAsia="Calibri"/>
                <w:b/>
                <w:color w:val="FFFFFF" w:themeColor="background1"/>
                <w:sz w:val="22"/>
                <w:lang w:val="en-NZ"/>
              </w:rPr>
              <w:t xml:space="preserve">Issue </w:t>
            </w:r>
            <w:r>
              <w:rPr>
                <w:rFonts w:eastAsia="Calibri"/>
                <w:b/>
                <w:color w:val="FFFFFF" w:themeColor="background1"/>
                <w:sz w:val="22"/>
                <w:lang w:val="en-NZ"/>
              </w:rPr>
              <w:t>2</w:t>
            </w:r>
            <w:r w:rsidRPr="00684A1D">
              <w:rPr>
                <w:rFonts w:eastAsia="Calibri"/>
                <w:b/>
                <w:color w:val="FFFFFF" w:themeColor="background1"/>
                <w:sz w:val="22"/>
                <w:lang w:val="en-NZ"/>
              </w:rPr>
              <w:t xml:space="preserve"> – </w:t>
            </w:r>
            <w:r>
              <w:rPr>
                <w:rFonts w:eastAsia="Calibri"/>
                <w:b/>
                <w:color w:val="FFFFFF" w:themeColor="background1"/>
                <w:sz w:val="22"/>
                <w:lang w:val="en-NZ"/>
              </w:rPr>
              <w:t>Prescribing suitably qualified third parties</w:t>
            </w:r>
          </w:p>
        </w:tc>
      </w:tr>
      <w:tr w:rsidR="002C3C88" w:rsidRPr="00A864A5" w14:paraId="45C2FC9B" w14:textId="77777777" w:rsidTr="003D2E62">
        <w:trPr>
          <w:gridAfter w:val="1"/>
          <w:wAfter w:w="113" w:type="dxa"/>
          <w:cantSplit/>
          <w:trHeight w:val="762"/>
        </w:trPr>
        <w:tc>
          <w:tcPr>
            <w:tcW w:w="2830" w:type="dxa"/>
            <w:shd w:val="clear" w:color="auto" w:fill="F2F2F2" w:themeFill="background1" w:themeFillShade="F2"/>
          </w:tcPr>
          <w:p w14:paraId="39FC0377" w14:textId="77777777" w:rsidR="002C3C88" w:rsidRPr="00A864A5" w:rsidRDefault="002C3C88" w:rsidP="00960FD5">
            <w:pPr>
              <w:pStyle w:val="TableText"/>
              <w:keepNext/>
              <w:rPr>
                <w:rFonts w:eastAsia="Calibri"/>
                <w:color w:val="000000"/>
                <w:sz w:val="22"/>
                <w:lang w:val="en-NZ"/>
              </w:rPr>
            </w:pPr>
            <w:r w:rsidRPr="00A864A5">
              <w:rPr>
                <w:rFonts w:eastAsia="Calibri"/>
                <w:b/>
                <w:color w:val="000000"/>
                <w:sz w:val="22"/>
                <w:lang w:val="en-NZ"/>
              </w:rPr>
              <w:t>Affected groups</w:t>
            </w:r>
            <w:r>
              <w:rPr>
                <w:rFonts w:eastAsia="Calibri"/>
                <w:color w:val="000000"/>
                <w:sz w:val="22"/>
                <w:lang w:val="en-NZ"/>
              </w:rPr>
              <w:br/>
            </w:r>
            <w:r w:rsidRPr="00136700">
              <w:rPr>
                <w:rFonts w:eastAsia="Calibri"/>
                <w:i/>
                <w:color w:val="000000"/>
                <w:szCs w:val="20"/>
                <w:lang w:val="en-NZ"/>
              </w:rPr>
              <w:t>(identify)</w:t>
            </w:r>
          </w:p>
        </w:tc>
        <w:tc>
          <w:tcPr>
            <w:tcW w:w="2410" w:type="dxa"/>
            <w:shd w:val="clear" w:color="auto" w:fill="F2F2F2" w:themeFill="background1" w:themeFillShade="F2"/>
          </w:tcPr>
          <w:p w14:paraId="141DCCF7" w14:textId="77777777" w:rsidR="002C3C88" w:rsidRPr="00A864A5" w:rsidRDefault="002C3C88" w:rsidP="00960FD5">
            <w:pPr>
              <w:pStyle w:val="TableText"/>
              <w:keepNext/>
              <w:rPr>
                <w:rFonts w:eastAsia="Calibri"/>
                <w:color w:val="000000"/>
                <w:sz w:val="22"/>
                <w:lang w:val="en-NZ"/>
              </w:rPr>
            </w:pPr>
            <w:r w:rsidRPr="00A864A5">
              <w:rPr>
                <w:rFonts w:eastAsia="Calibri"/>
                <w:b/>
                <w:color w:val="000000"/>
                <w:sz w:val="22"/>
                <w:lang w:val="en-NZ"/>
              </w:rPr>
              <w:t>Comment</w:t>
            </w:r>
            <w:r>
              <w:rPr>
                <w:rFonts w:eastAsia="Calibri"/>
                <w:color w:val="000000"/>
                <w:sz w:val="22"/>
                <w:lang w:val="en-NZ"/>
              </w:rPr>
              <w:br/>
            </w:r>
            <w:r w:rsidRPr="00136700">
              <w:rPr>
                <w:rFonts w:eastAsia="Calibri"/>
                <w:i/>
                <w:iCs/>
                <w:color w:val="000000"/>
                <w:szCs w:val="20"/>
                <w:lang w:val="en-NZ"/>
              </w:rPr>
              <w:t>nature of cost or benefit (</w:t>
            </w:r>
            <w:proofErr w:type="spellStart"/>
            <w:r>
              <w:rPr>
                <w:rFonts w:eastAsia="Calibri"/>
                <w:i/>
                <w:iCs/>
                <w:color w:val="000000"/>
                <w:szCs w:val="20"/>
                <w:lang w:val="en-NZ"/>
              </w:rPr>
              <w:t>eg</w:t>
            </w:r>
            <w:proofErr w:type="spellEnd"/>
            <w:r>
              <w:rPr>
                <w:rFonts w:eastAsia="Calibri"/>
                <w:i/>
                <w:iCs/>
                <w:color w:val="000000"/>
                <w:szCs w:val="20"/>
                <w:lang w:val="en-NZ"/>
              </w:rPr>
              <w:t>,</w:t>
            </w:r>
            <w:r w:rsidRPr="00136700">
              <w:rPr>
                <w:rFonts w:eastAsia="Calibri"/>
                <w:i/>
                <w:iCs/>
                <w:color w:val="000000"/>
                <w:szCs w:val="20"/>
                <w:lang w:val="en-NZ"/>
              </w:rPr>
              <w:t xml:space="preserve"> ongoing, one-off), evidence and assumption (</w:t>
            </w:r>
            <w:proofErr w:type="spellStart"/>
            <w:r>
              <w:rPr>
                <w:rFonts w:eastAsia="Calibri"/>
                <w:i/>
                <w:iCs/>
                <w:color w:val="000000"/>
                <w:szCs w:val="20"/>
                <w:lang w:val="en-NZ"/>
              </w:rPr>
              <w:t>eg</w:t>
            </w:r>
            <w:proofErr w:type="spellEnd"/>
            <w:r>
              <w:rPr>
                <w:rFonts w:eastAsia="Calibri"/>
                <w:i/>
                <w:iCs/>
                <w:color w:val="000000"/>
                <w:szCs w:val="20"/>
                <w:lang w:val="en-NZ"/>
              </w:rPr>
              <w:t>,</w:t>
            </w:r>
            <w:r w:rsidRPr="00136700">
              <w:rPr>
                <w:rFonts w:eastAsia="Calibri"/>
                <w:i/>
                <w:iCs/>
                <w:color w:val="000000"/>
                <w:szCs w:val="20"/>
                <w:lang w:val="en-NZ"/>
              </w:rPr>
              <w:t xml:space="preserve"> compliance rates), risks</w:t>
            </w:r>
            <w:r>
              <w:rPr>
                <w:rFonts w:eastAsia="Calibri"/>
                <w:i/>
                <w:iCs/>
                <w:color w:val="000000"/>
                <w:szCs w:val="20"/>
                <w:lang w:val="en-NZ"/>
              </w:rPr>
              <w:t>.</w:t>
            </w:r>
          </w:p>
        </w:tc>
        <w:tc>
          <w:tcPr>
            <w:tcW w:w="2410" w:type="dxa"/>
            <w:shd w:val="clear" w:color="auto" w:fill="F2F2F2" w:themeFill="background1" w:themeFillShade="F2"/>
          </w:tcPr>
          <w:p w14:paraId="564CE650" w14:textId="77777777" w:rsidR="002C3C88" w:rsidRPr="00136700" w:rsidRDefault="002C3C88" w:rsidP="00960FD5">
            <w:pPr>
              <w:pStyle w:val="TableText"/>
              <w:keepNext/>
              <w:rPr>
                <w:rFonts w:eastAsia="Calibri"/>
                <w:b/>
                <w:color w:val="000000"/>
                <w:sz w:val="22"/>
                <w:lang w:val="en-NZ"/>
              </w:rPr>
            </w:pPr>
            <w:r w:rsidRPr="00A864A5">
              <w:rPr>
                <w:rFonts w:eastAsia="Calibri"/>
                <w:b/>
                <w:color w:val="000000"/>
                <w:sz w:val="22"/>
                <w:lang w:val="en-NZ"/>
              </w:rPr>
              <w:t>Impact</w:t>
            </w:r>
            <w:r>
              <w:rPr>
                <w:rFonts w:eastAsia="Calibri"/>
                <w:b/>
                <w:color w:val="000000"/>
                <w:sz w:val="22"/>
                <w:lang w:val="en-NZ"/>
              </w:rPr>
              <w:br/>
            </w:r>
            <w:r w:rsidRPr="00136700">
              <w:rPr>
                <w:rFonts w:eastAsia="Calibri"/>
                <w:i/>
                <w:color w:val="000000"/>
                <w:szCs w:val="20"/>
                <w:lang w:val="en-NZ"/>
              </w:rPr>
              <w:t xml:space="preserve">$m present value where appropriate, for monetised impacts; high, </w:t>
            </w:r>
            <w:proofErr w:type="gramStart"/>
            <w:r w:rsidRPr="00136700">
              <w:rPr>
                <w:rFonts w:eastAsia="Calibri"/>
                <w:i/>
                <w:color w:val="000000"/>
                <w:szCs w:val="20"/>
                <w:lang w:val="en-NZ"/>
              </w:rPr>
              <w:t>medium</w:t>
            </w:r>
            <w:proofErr w:type="gramEnd"/>
            <w:r w:rsidRPr="00136700">
              <w:rPr>
                <w:rFonts w:eastAsia="Calibri"/>
                <w:i/>
                <w:color w:val="000000"/>
                <w:szCs w:val="20"/>
                <w:lang w:val="en-NZ"/>
              </w:rPr>
              <w:t xml:space="preserve"> or low for non-monetised impacts</w:t>
            </w:r>
            <w:r>
              <w:rPr>
                <w:rFonts w:eastAsia="Calibri"/>
                <w:i/>
                <w:color w:val="000000"/>
                <w:szCs w:val="20"/>
                <w:lang w:val="en-NZ"/>
              </w:rPr>
              <w:t>.</w:t>
            </w:r>
          </w:p>
        </w:tc>
        <w:tc>
          <w:tcPr>
            <w:tcW w:w="1843" w:type="dxa"/>
            <w:shd w:val="clear" w:color="auto" w:fill="F2F2F2" w:themeFill="background1" w:themeFillShade="F2"/>
          </w:tcPr>
          <w:p w14:paraId="5F2C68F2" w14:textId="77777777" w:rsidR="002C3C88" w:rsidRPr="00136700" w:rsidRDefault="002C3C88" w:rsidP="00960FD5">
            <w:pPr>
              <w:pStyle w:val="TableText"/>
              <w:keepNext/>
              <w:rPr>
                <w:rFonts w:eastAsia="Calibri"/>
                <w:bCs/>
                <w:i/>
                <w:iCs/>
                <w:color w:val="000000"/>
                <w:szCs w:val="20"/>
                <w:lang w:val="en-NZ"/>
              </w:rPr>
            </w:pPr>
            <w:r>
              <w:rPr>
                <w:rFonts w:eastAsia="Calibri"/>
                <w:b/>
                <w:color w:val="000000"/>
                <w:sz w:val="22"/>
                <w:lang w:val="en-NZ"/>
              </w:rPr>
              <w:t>Evidence Certainty</w:t>
            </w:r>
            <w:r>
              <w:rPr>
                <w:rFonts w:eastAsia="Calibri"/>
                <w:b/>
                <w:color w:val="000000"/>
                <w:sz w:val="22"/>
                <w:lang w:val="en-NZ"/>
              </w:rPr>
              <w:br/>
            </w:r>
            <w:r>
              <w:rPr>
                <w:rFonts w:eastAsia="Calibri"/>
                <w:bCs/>
                <w:i/>
                <w:iCs/>
                <w:color w:val="000000"/>
                <w:szCs w:val="20"/>
                <w:lang w:val="en-NZ"/>
              </w:rPr>
              <w:t>High, medium, or low, and explain reasoning in comment column.</w:t>
            </w:r>
          </w:p>
        </w:tc>
      </w:tr>
      <w:tr w:rsidR="002C3C88" w:rsidRPr="00A864A5" w14:paraId="115D9710" w14:textId="77777777" w:rsidTr="003D2E62">
        <w:trPr>
          <w:gridAfter w:val="1"/>
          <w:wAfter w:w="113" w:type="dxa"/>
          <w:cantSplit/>
          <w:trHeight w:val="391"/>
        </w:trPr>
        <w:tc>
          <w:tcPr>
            <w:tcW w:w="9493" w:type="dxa"/>
            <w:gridSpan w:val="4"/>
            <w:shd w:val="clear" w:color="auto" w:fill="F2F2F2" w:themeFill="background1" w:themeFillShade="F2"/>
            <w:vAlign w:val="center"/>
          </w:tcPr>
          <w:p w14:paraId="6461A757" w14:textId="77777777" w:rsidR="002C3C88" w:rsidRDefault="002C3C88" w:rsidP="00960FD5">
            <w:pPr>
              <w:keepNext/>
              <w:spacing w:before="40" w:after="20" w:line="240" w:lineRule="auto"/>
              <w:jc w:val="center"/>
              <w:rPr>
                <w:rFonts w:eastAsia="Calibri"/>
                <w:b/>
                <w:bCs/>
                <w:color w:val="000000"/>
                <w:szCs w:val="22"/>
                <w:lang w:val="en-NZ"/>
              </w:rPr>
            </w:pPr>
            <w:r>
              <w:rPr>
                <w:rFonts w:eastAsia="Calibri"/>
                <w:b/>
                <w:bCs/>
                <w:color w:val="000000"/>
                <w:szCs w:val="22"/>
                <w:lang w:val="en-NZ"/>
              </w:rPr>
              <w:t>Additional c</w:t>
            </w:r>
            <w:r w:rsidRPr="00A864A5">
              <w:rPr>
                <w:rFonts w:eastAsia="Calibri"/>
                <w:b/>
                <w:bCs/>
                <w:color w:val="000000"/>
                <w:szCs w:val="22"/>
                <w:lang w:val="en-NZ"/>
              </w:rPr>
              <w:t xml:space="preserve">osts of the preferred option compared to </w:t>
            </w:r>
            <w:r>
              <w:rPr>
                <w:rFonts w:eastAsia="Calibri"/>
                <w:b/>
                <w:bCs/>
                <w:color w:val="000000"/>
                <w:szCs w:val="22"/>
                <w:lang w:val="en-NZ"/>
              </w:rPr>
              <w:t>taking no action</w:t>
            </w:r>
          </w:p>
        </w:tc>
      </w:tr>
      <w:tr w:rsidR="002C3C88" w:rsidRPr="00A864A5" w14:paraId="6F009AEF" w14:textId="77777777" w:rsidTr="003D2E62">
        <w:trPr>
          <w:gridAfter w:val="1"/>
          <w:wAfter w:w="113" w:type="dxa"/>
          <w:cantSplit/>
          <w:trHeight w:val="380"/>
        </w:trPr>
        <w:tc>
          <w:tcPr>
            <w:tcW w:w="2830" w:type="dxa"/>
            <w:shd w:val="clear" w:color="auto" w:fill="auto"/>
          </w:tcPr>
          <w:p w14:paraId="4E790E36" w14:textId="2EA41447" w:rsidR="002C3C88" w:rsidRPr="00A864A5" w:rsidRDefault="002C3C88" w:rsidP="00960FD5">
            <w:pPr>
              <w:pStyle w:val="TableText"/>
              <w:keepNext/>
              <w:rPr>
                <w:rFonts w:eastAsia="Calibri"/>
                <w:sz w:val="22"/>
                <w:lang w:val="en-NZ"/>
              </w:rPr>
            </w:pPr>
            <w:r w:rsidRPr="00A864A5">
              <w:rPr>
                <w:rFonts w:eastAsia="Calibri"/>
                <w:sz w:val="22"/>
                <w:lang w:val="en-NZ"/>
              </w:rPr>
              <w:t>Regulated groups</w:t>
            </w:r>
            <w:r w:rsidR="000D1B21">
              <w:rPr>
                <w:rFonts w:eastAsia="Calibri"/>
                <w:sz w:val="22"/>
                <w:lang w:val="en-NZ"/>
              </w:rPr>
              <w:t xml:space="preserve"> (Third parties)</w:t>
            </w:r>
          </w:p>
        </w:tc>
        <w:tc>
          <w:tcPr>
            <w:tcW w:w="2410" w:type="dxa"/>
            <w:shd w:val="clear" w:color="auto" w:fill="auto"/>
          </w:tcPr>
          <w:p w14:paraId="15231FD0" w14:textId="330B9A44" w:rsidR="002C3C88" w:rsidRPr="00A864A5" w:rsidRDefault="000D1B21" w:rsidP="00960FD5">
            <w:pPr>
              <w:pStyle w:val="TableText"/>
              <w:keepNext/>
              <w:rPr>
                <w:rFonts w:eastAsia="Calibri"/>
                <w:sz w:val="22"/>
                <w:lang w:val="en-NZ"/>
              </w:rPr>
            </w:pPr>
            <w:r>
              <w:rPr>
                <w:rFonts w:eastAsia="Calibri"/>
                <w:sz w:val="22"/>
                <w:lang w:val="en-NZ"/>
              </w:rPr>
              <w:t>Time and effort required for third parties to make an assessment and write letter of support.</w:t>
            </w:r>
            <w:r w:rsidR="002C3C88">
              <w:rPr>
                <w:rFonts w:eastAsia="Calibri"/>
                <w:sz w:val="22"/>
                <w:lang w:val="en-NZ"/>
              </w:rPr>
              <w:t xml:space="preserve"> </w:t>
            </w:r>
          </w:p>
        </w:tc>
        <w:tc>
          <w:tcPr>
            <w:tcW w:w="2410" w:type="dxa"/>
            <w:shd w:val="clear" w:color="auto" w:fill="auto"/>
          </w:tcPr>
          <w:p w14:paraId="7F881B24" w14:textId="64039C13" w:rsidR="002C3C88" w:rsidRPr="00A864A5" w:rsidRDefault="000D1B21" w:rsidP="00960FD5">
            <w:pPr>
              <w:pStyle w:val="TableText"/>
              <w:keepNext/>
              <w:rPr>
                <w:rFonts w:eastAsia="Calibri"/>
                <w:sz w:val="22"/>
                <w:lang w:val="en-NZ"/>
              </w:rPr>
            </w:pPr>
            <w:r>
              <w:rPr>
                <w:rFonts w:eastAsia="Calibri"/>
                <w:sz w:val="22"/>
                <w:lang w:val="en-NZ"/>
              </w:rPr>
              <w:t>TBD</w:t>
            </w:r>
          </w:p>
        </w:tc>
        <w:tc>
          <w:tcPr>
            <w:tcW w:w="1843" w:type="dxa"/>
          </w:tcPr>
          <w:p w14:paraId="23863734" w14:textId="76BD2BC3" w:rsidR="002C3C88" w:rsidRPr="00A864A5" w:rsidRDefault="000D1B21" w:rsidP="00960FD5">
            <w:pPr>
              <w:pStyle w:val="TableText"/>
              <w:keepNext/>
              <w:rPr>
                <w:rFonts w:eastAsia="Calibri"/>
                <w:sz w:val="22"/>
                <w:lang w:val="en-NZ"/>
              </w:rPr>
            </w:pPr>
            <w:r>
              <w:rPr>
                <w:rFonts w:eastAsia="Calibri"/>
                <w:sz w:val="22"/>
                <w:lang w:val="en-NZ"/>
              </w:rPr>
              <w:t>N/A</w:t>
            </w:r>
          </w:p>
        </w:tc>
      </w:tr>
      <w:tr w:rsidR="002C3C88" w:rsidRPr="00A864A5" w14:paraId="0F5F0F86" w14:textId="77777777" w:rsidTr="003D2E62">
        <w:trPr>
          <w:gridAfter w:val="1"/>
          <w:wAfter w:w="113" w:type="dxa"/>
          <w:cantSplit/>
          <w:trHeight w:val="380"/>
        </w:trPr>
        <w:tc>
          <w:tcPr>
            <w:tcW w:w="2830" w:type="dxa"/>
            <w:shd w:val="clear" w:color="auto" w:fill="auto"/>
          </w:tcPr>
          <w:p w14:paraId="0544A2E3" w14:textId="77777777" w:rsidR="002C3C88" w:rsidRPr="00A864A5" w:rsidRDefault="002C3C88" w:rsidP="00960FD5">
            <w:pPr>
              <w:pStyle w:val="TableText"/>
              <w:keepNext/>
              <w:rPr>
                <w:rFonts w:eastAsia="Calibri"/>
                <w:sz w:val="22"/>
                <w:lang w:val="en-NZ"/>
              </w:rPr>
            </w:pPr>
            <w:r w:rsidRPr="00A864A5">
              <w:rPr>
                <w:rFonts w:eastAsia="Calibri"/>
                <w:sz w:val="22"/>
                <w:lang w:val="en-NZ"/>
              </w:rPr>
              <w:t>Regulators</w:t>
            </w:r>
            <w:r>
              <w:rPr>
                <w:rFonts w:eastAsia="Calibri"/>
                <w:sz w:val="22"/>
                <w:lang w:val="en-NZ"/>
              </w:rPr>
              <w:t xml:space="preserve"> (DIA)</w:t>
            </w:r>
          </w:p>
        </w:tc>
        <w:tc>
          <w:tcPr>
            <w:tcW w:w="2410" w:type="dxa"/>
            <w:shd w:val="clear" w:color="auto" w:fill="auto"/>
          </w:tcPr>
          <w:p w14:paraId="35298CD9" w14:textId="67AAB8DD" w:rsidR="002C3C88" w:rsidRPr="00A864A5" w:rsidRDefault="002C3C88" w:rsidP="00960FD5">
            <w:pPr>
              <w:pStyle w:val="TableText"/>
              <w:keepNext/>
              <w:rPr>
                <w:rFonts w:eastAsia="Calibri"/>
                <w:sz w:val="22"/>
                <w:lang w:val="en-NZ"/>
              </w:rPr>
            </w:pPr>
            <w:r>
              <w:rPr>
                <w:rFonts w:eastAsia="Calibri"/>
                <w:sz w:val="22"/>
                <w:lang w:val="en-NZ"/>
              </w:rPr>
              <w:t xml:space="preserve">Implementation cost of </w:t>
            </w:r>
            <w:r w:rsidR="00960FD5">
              <w:rPr>
                <w:rFonts w:eastAsia="Calibri"/>
                <w:sz w:val="22"/>
                <w:lang w:val="en-NZ"/>
              </w:rPr>
              <w:t>developing guidance for third parties</w:t>
            </w:r>
            <w:r w:rsidR="000D1B21">
              <w:rPr>
                <w:rFonts w:eastAsia="Calibri"/>
                <w:sz w:val="22"/>
                <w:lang w:val="en-NZ"/>
              </w:rPr>
              <w:t>.</w:t>
            </w:r>
          </w:p>
        </w:tc>
        <w:tc>
          <w:tcPr>
            <w:tcW w:w="2410" w:type="dxa"/>
            <w:shd w:val="clear" w:color="auto" w:fill="auto"/>
          </w:tcPr>
          <w:p w14:paraId="160D2505" w14:textId="77777777" w:rsidR="002C3C88" w:rsidRPr="00A864A5" w:rsidRDefault="002C3C88" w:rsidP="00960FD5">
            <w:pPr>
              <w:pStyle w:val="TableText"/>
              <w:keepNext/>
              <w:rPr>
                <w:rFonts w:eastAsia="Calibri"/>
                <w:sz w:val="22"/>
                <w:lang w:val="en-NZ"/>
              </w:rPr>
            </w:pPr>
            <w:r>
              <w:rPr>
                <w:rFonts w:eastAsia="Calibri"/>
                <w:sz w:val="22"/>
                <w:lang w:val="en-NZ"/>
              </w:rPr>
              <w:t>TBD</w:t>
            </w:r>
          </w:p>
        </w:tc>
        <w:tc>
          <w:tcPr>
            <w:tcW w:w="1843" w:type="dxa"/>
          </w:tcPr>
          <w:p w14:paraId="1151EF89" w14:textId="4F19AFF4" w:rsidR="002C3C88" w:rsidRPr="00A864A5" w:rsidRDefault="000D1B21" w:rsidP="00960FD5">
            <w:pPr>
              <w:pStyle w:val="TableText"/>
              <w:keepNext/>
              <w:rPr>
                <w:rFonts w:eastAsia="Calibri"/>
                <w:sz w:val="22"/>
                <w:lang w:val="en-NZ"/>
              </w:rPr>
            </w:pPr>
            <w:r>
              <w:rPr>
                <w:rFonts w:eastAsia="Calibri"/>
                <w:sz w:val="22"/>
                <w:lang w:val="en-NZ"/>
              </w:rPr>
              <w:t>N/A</w:t>
            </w:r>
          </w:p>
        </w:tc>
      </w:tr>
      <w:tr w:rsidR="002C3C88" w:rsidRPr="00A864A5" w14:paraId="636EDABD" w14:textId="77777777" w:rsidTr="003D2E62">
        <w:trPr>
          <w:gridAfter w:val="1"/>
          <w:wAfter w:w="113" w:type="dxa"/>
          <w:cantSplit/>
          <w:trHeight w:val="263"/>
        </w:trPr>
        <w:tc>
          <w:tcPr>
            <w:tcW w:w="2830" w:type="dxa"/>
            <w:shd w:val="clear" w:color="auto" w:fill="auto"/>
          </w:tcPr>
          <w:p w14:paraId="4CE3365C" w14:textId="77777777" w:rsidR="002C3C88" w:rsidRPr="00A864A5" w:rsidRDefault="002C3C88" w:rsidP="00960FD5">
            <w:pPr>
              <w:pStyle w:val="TableText"/>
              <w:keepNext/>
              <w:rPr>
                <w:rFonts w:eastAsia="Calibri" w:cs="Arial"/>
                <w:color w:val="000000"/>
                <w:sz w:val="22"/>
                <w:lang w:val="en-NZ"/>
              </w:rPr>
            </w:pPr>
            <w:r>
              <w:rPr>
                <w:rFonts w:eastAsia="Calibri"/>
                <w:color w:val="000000"/>
                <w:sz w:val="22"/>
                <w:lang w:val="en-NZ"/>
              </w:rPr>
              <w:t>Wider Government and other service providers that record gender</w:t>
            </w:r>
          </w:p>
        </w:tc>
        <w:tc>
          <w:tcPr>
            <w:tcW w:w="2410" w:type="dxa"/>
            <w:shd w:val="clear" w:color="auto" w:fill="auto"/>
          </w:tcPr>
          <w:p w14:paraId="43A9477B" w14:textId="7A922F83" w:rsidR="002C3C88" w:rsidRPr="00A864A5" w:rsidRDefault="00960FD5" w:rsidP="00960FD5">
            <w:pPr>
              <w:pStyle w:val="TableText"/>
              <w:keepNext/>
              <w:rPr>
                <w:rFonts w:eastAsia="Calibri"/>
                <w:sz w:val="22"/>
                <w:lang w:val="en-NZ"/>
              </w:rPr>
            </w:pPr>
            <w:r>
              <w:rPr>
                <w:rFonts w:eastAsia="Calibri"/>
                <w:sz w:val="22"/>
                <w:lang w:val="en-NZ"/>
              </w:rPr>
              <w:t>-</w:t>
            </w:r>
          </w:p>
        </w:tc>
        <w:tc>
          <w:tcPr>
            <w:tcW w:w="2410" w:type="dxa"/>
            <w:shd w:val="clear" w:color="auto" w:fill="auto"/>
          </w:tcPr>
          <w:p w14:paraId="50280E47" w14:textId="06351AA4" w:rsidR="002C3C88" w:rsidRPr="00A864A5" w:rsidRDefault="00960FD5" w:rsidP="00960FD5">
            <w:pPr>
              <w:pStyle w:val="TableText"/>
              <w:keepNext/>
              <w:rPr>
                <w:rFonts w:eastAsia="Calibri"/>
                <w:sz w:val="22"/>
                <w:lang w:val="en-NZ"/>
              </w:rPr>
            </w:pPr>
            <w:r>
              <w:rPr>
                <w:rFonts w:eastAsia="Calibri"/>
                <w:sz w:val="22"/>
                <w:lang w:val="en-NZ"/>
              </w:rPr>
              <w:t>-</w:t>
            </w:r>
          </w:p>
        </w:tc>
        <w:tc>
          <w:tcPr>
            <w:tcW w:w="1843" w:type="dxa"/>
          </w:tcPr>
          <w:p w14:paraId="2BB89668" w14:textId="36327542" w:rsidR="002C3C88" w:rsidRPr="00A864A5" w:rsidRDefault="00960FD5" w:rsidP="00960FD5">
            <w:pPr>
              <w:pStyle w:val="TableText"/>
              <w:keepNext/>
              <w:rPr>
                <w:rFonts w:eastAsia="Calibri"/>
                <w:sz w:val="22"/>
                <w:lang w:val="en-NZ"/>
              </w:rPr>
            </w:pPr>
            <w:r>
              <w:rPr>
                <w:rFonts w:eastAsia="Calibri"/>
                <w:sz w:val="22"/>
                <w:lang w:val="en-NZ"/>
              </w:rPr>
              <w:t>N/A</w:t>
            </w:r>
          </w:p>
        </w:tc>
      </w:tr>
      <w:tr w:rsidR="002C3C88" w:rsidRPr="00A864A5" w14:paraId="7DF6D8DA" w14:textId="77777777" w:rsidTr="003D2E62">
        <w:trPr>
          <w:gridAfter w:val="1"/>
          <w:wAfter w:w="113" w:type="dxa"/>
          <w:cantSplit/>
          <w:trHeight w:val="263"/>
        </w:trPr>
        <w:tc>
          <w:tcPr>
            <w:tcW w:w="2830" w:type="dxa"/>
            <w:shd w:val="clear" w:color="auto" w:fill="auto"/>
          </w:tcPr>
          <w:p w14:paraId="2ECA5F06" w14:textId="77777777" w:rsidR="002C3C88" w:rsidRPr="00A864A5" w:rsidDel="00AE2FEE" w:rsidRDefault="002C3C88" w:rsidP="00960FD5">
            <w:pPr>
              <w:pStyle w:val="TableText"/>
              <w:keepNext/>
              <w:rPr>
                <w:rFonts w:eastAsia="Calibri"/>
                <w:color w:val="000000"/>
                <w:sz w:val="22"/>
                <w:lang w:val="en-NZ"/>
              </w:rPr>
            </w:pPr>
            <w:r>
              <w:rPr>
                <w:rFonts w:eastAsia="Calibri"/>
                <w:color w:val="000000"/>
                <w:sz w:val="22"/>
                <w:lang w:val="en-NZ"/>
              </w:rPr>
              <w:t>People who are non-binary</w:t>
            </w:r>
          </w:p>
        </w:tc>
        <w:tc>
          <w:tcPr>
            <w:tcW w:w="2410" w:type="dxa"/>
            <w:shd w:val="clear" w:color="auto" w:fill="auto"/>
          </w:tcPr>
          <w:p w14:paraId="24AC4545" w14:textId="634CA1EE" w:rsidR="002C3C88" w:rsidRDefault="002C3C88" w:rsidP="00960FD5">
            <w:pPr>
              <w:pStyle w:val="TableText"/>
              <w:keepNext/>
              <w:rPr>
                <w:rFonts w:eastAsia="Calibri"/>
                <w:sz w:val="22"/>
                <w:lang w:val="en-NZ"/>
              </w:rPr>
            </w:pPr>
            <w:r>
              <w:rPr>
                <w:rFonts w:eastAsia="Calibri"/>
                <w:sz w:val="22"/>
                <w:lang w:val="en-NZ"/>
              </w:rPr>
              <w:t xml:space="preserve">Cost of </w:t>
            </w:r>
            <w:r w:rsidR="00960FD5">
              <w:rPr>
                <w:rFonts w:eastAsia="Calibri"/>
                <w:sz w:val="22"/>
                <w:lang w:val="en-NZ"/>
              </w:rPr>
              <w:t>accessing a third party (</w:t>
            </w:r>
            <w:proofErr w:type="gramStart"/>
            <w:r w:rsidR="00960FD5">
              <w:rPr>
                <w:rFonts w:eastAsia="Calibri"/>
                <w:sz w:val="22"/>
                <w:lang w:val="en-NZ"/>
              </w:rPr>
              <w:t>e.g.</w:t>
            </w:r>
            <w:proofErr w:type="gramEnd"/>
            <w:r w:rsidR="00960FD5">
              <w:rPr>
                <w:rFonts w:eastAsia="Calibri"/>
                <w:sz w:val="22"/>
                <w:lang w:val="en-NZ"/>
              </w:rPr>
              <w:t xml:space="preserve"> if it requires a paid appointment)</w:t>
            </w:r>
          </w:p>
        </w:tc>
        <w:tc>
          <w:tcPr>
            <w:tcW w:w="2410" w:type="dxa"/>
            <w:shd w:val="clear" w:color="auto" w:fill="auto"/>
          </w:tcPr>
          <w:p w14:paraId="7FEA249B" w14:textId="77777777" w:rsidR="002C3C88" w:rsidRDefault="002C3C88" w:rsidP="00960FD5">
            <w:pPr>
              <w:pStyle w:val="TableText"/>
              <w:keepNext/>
              <w:rPr>
                <w:rFonts w:eastAsia="Calibri"/>
                <w:sz w:val="22"/>
                <w:lang w:val="en-NZ"/>
              </w:rPr>
            </w:pPr>
            <w:r>
              <w:rPr>
                <w:rFonts w:eastAsia="Calibri"/>
                <w:sz w:val="22"/>
                <w:lang w:val="en-NZ"/>
              </w:rPr>
              <w:t>TBD</w:t>
            </w:r>
          </w:p>
        </w:tc>
        <w:tc>
          <w:tcPr>
            <w:tcW w:w="1843" w:type="dxa"/>
          </w:tcPr>
          <w:p w14:paraId="548B4585" w14:textId="55EEB129" w:rsidR="002C3C88" w:rsidRDefault="00960FD5" w:rsidP="00960FD5">
            <w:pPr>
              <w:pStyle w:val="TableText"/>
              <w:keepNext/>
              <w:rPr>
                <w:rFonts w:eastAsia="Calibri"/>
                <w:sz w:val="22"/>
                <w:lang w:val="en-NZ"/>
              </w:rPr>
            </w:pPr>
            <w:r>
              <w:rPr>
                <w:rFonts w:eastAsia="Calibri"/>
                <w:sz w:val="22"/>
                <w:lang w:val="en-NZ"/>
              </w:rPr>
              <w:t>N/A</w:t>
            </w:r>
          </w:p>
        </w:tc>
      </w:tr>
      <w:tr w:rsidR="002C3C88" w:rsidRPr="00A864A5" w14:paraId="6BFE6C1C" w14:textId="77777777" w:rsidTr="003D2E62">
        <w:trPr>
          <w:gridAfter w:val="1"/>
          <w:wAfter w:w="113" w:type="dxa"/>
          <w:cantSplit/>
          <w:trHeight w:val="263"/>
        </w:trPr>
        <w:tc>
          <w:tcPr>
            <w:tcW w:w="2830" w:type="dxa"/>
            <w:shd w:val="clear" w:color="auto" w:fill="auto"/>
          </w:tcPr>
          <w:p w14:paraId="01EA25B9" w14:textId="77777777" w:rsidR="002C3C88" w:rsidRPr="00A864A5" w:rsidRDefault="002C3C88" w:rsidP="00960FD5">
            <w:pPr>
              <w:pStyle w:val="TableText"/>
              <w:keepNext/>
              <w:rPr>
                <w:rFonts w:eastAsia="Calibri"/>
                <w:b/>
                <w:sz w:val="22"/>
                <w:lang w:val="en-NZ"/>
              </w:rPr>
            </w:pPr>
            <w:r w:rsidRPr="00A864A5">
              <w:rPr>
                <w:rFonts w:eastAsia="Calibri"/>
                <w:b/>
                <w:sz w:val="22"/>
                <w:lang w:val="en-NZ"/>
              </w:rPr>
              <w:t>Total monetised costs</w:t>
            </w:r>
          </w:p>
        </w:tc>
        <w:tc>
          <w:tcPr>
            <w:tcW w:w="2410" w:type="dxa"/>
            <w:shd w:val="clear" w:color="auto" w:fill="auto"/>
          </w:tcPr>
          <w:p w14:paraId="0EB5EDDF" w14:textId="03634F23" w:rsidR="002C3C88" w:rsidRPr="00960FD5" w:rsidRDefault="00960FD5" w:rsidP="00960FD5">
            <w:pPr>
              <w:pStyle w:val="TableText"/>
              <w:keepNext/>
              <w:rPr>
                <w:rFonts w:eastAsia="Calibri"/>
                <w:sz w:val="22"/>
                <w:lang w:val="en-NZ"/>
              </w:rPr>
            </w:pPr>
            <w:r>
              <w:rPr>
                <w:rFonts w:eastAsia="Calibri"/>
                <w:sz w:val="22"/>
                <w:lang w:val="en-NZ"/>
              </w:rPr>
              <w:t>Unknown</w:t>
            </w:r>
          </w:p>
        </w:tc>
        <w:tc>
          <w:tcPr>
            <w:tcW w:w="2410" w:type="dxa"/>
            <w:shd w:val="clear" w:color="auto" w:fill="auto"/>
          </w:tcPr>
          <w:p w14:paraId="74733850" w14:textId="73ADBEDD" w:rsidR="002C3C88" w:rsidRPr="00A864A5" w:rsidRDefault="00960FD5" w:rsidP="00960FD5">
            <w:pPr>
              <w:pStyle w:val="TableText"/>
              <w:keepNext/>
              <w:rPr>
                <w:rFonts w:eastAsia="Calibri"/>
                <w:sz w:val="22"/>
                <w:lang w:val="en-NZ"/>
              </w:rPr>
            </w:pPr>
            <w:r>
              <w:rPr>
                <w:rFonts w:eastAsia="Calibri"/>
                <w:sz w:val="22"/>
                <w:lang w:val="en-NZ"/>
              </w:rPr>
              <w:t>N/A</w:t>
            </w:r>
          </w:p>
        </w:tc>
        <w:tc>
          <w:tcPr>
            <w:tcW w:w="1843" w:type="dxa"/>
          </w:tcPr>
          <w:p w14:paraId="03443DAB" w14:textId="77777777" w:rsidR="002C3C88" w:rsidRPr="00A864A5" w:rsidRDefault="002C3C88" w:rsidP="00960FD5">
            <w:pPr>
              <w:pStyle w:val="TableText"/>
              <w:keepNext/>
              <w:rPr>
                <w:rFonts w:eastAsia="Calibri"/>
                <w:sz w:val="22"/>
                <w:lang w:val="en-NZ"/>
              </w:rPr>
            </w:pPr>
            <w:r>
              <w:rPr>
                <w:rFonts w:eastAsia="Calibri"/>
                <w:sz w:val="22"/>
                <w:lang w:val="en-NZ"/>
              </w:rPr>
              <w:t>N/A</w:t>
            </w:r>
          </w:p>
        </w:tc>
      </w:tr>
      <w:tr w:rsidR="002C3C88" w:rsidRPr="00A864A5" w14:paraId="0462A9B0" w14:textId="77777777" w:rsidTr="003D2E62">
        <w:trPr>
          <w:gridAfter w:val="1"/>
          <w:wAfter w:w="113" w:type="dxa"/>
          <w:cantSplit/>
          <w:trHeight w:val="263"/>
        </w:trPr>
        <w:tc>
          <w:tcPr>
            <w:tcW w:w="2830" w:type="dxa"/>
            <w:shd w:val="clear" w:color="auto" w:fill="auto"/>
          </w:tcPr>
          <w:p w14:paraId="1A8667B6" w14:textId="77777777" w:rsidR="002C3C88" w:rsidRPr="00A864A5" w:rsidRDefault="002C3C88" w:rsidP="00960FD5">
            <w:pPr>
              <w:pStyle w:val="TableText"/>
              <w:keepNext/>
              <w:rPr>
                <w:rFonts w:eastAsia="Calibri"/>
                <w:b/>
                <w:sz w:val="22"/>
                <w:lang w:val="en-NZ"/>
              </w:rPr>
            </w:pPr>
            <w:r w:rsidRPr="00A864A5">
              <w:rPr>
                <w:rFonts w:eastAsia="Calibri"/>
                <w:b/>
                <w:sz w:val="22"/>
                <w:lang w:val="en-NZ"/>
              </w:rPr>
              <w:t xml:space="preserve">Non-monetised costs </w:t>
            </w:r>
          </w:p>
        </w:tc>
        <w:tc>
          <w:tcPr>
            <w:tcW w:w="2410" w:type="dxa"/>
            <w:shd w:val="clear" w:color="auto" w:fill="auto"/>
          </w:tcPr>
          <w:p w14:paraId="31456D23" w14:textId="6319C3CB" w:rsidR="002C3C88" w:rsidRPr="00960FD5" w:rsidRDefault="00960FD5" w:rsidP="00960FD5">
            <w:pPr>
              <w:pStyle w:val="TableText"/>
              <w:keepNext/>
              <w:rPr>
                <w:rFonts w:eastAsia="Calibri"/>
                <w:sz w:val="22"/>
                <w:lang w:val="en-NZ"/>
              </w:rPr>
            </w:pPr>
            <w:r>
              <w:rPr>
                <w:rFonts w:eastAsia="Calibri"/>
                <w:sz w:val="22"/>
                <w:lang w:val="en-NZ"/>
              </w:rPr>
              <w:t>Unknown</w:t>
            </w:r>
          </w:p>
        </w:tc>
        <w:tc>
          <w:tcPr>
            <w:tcW w:w="2410" w:type="dxa"/>
            <w:shd w:val="clear" w:color="auto" w:fill="auto"/>
          </w:tcPr>
          <w:p w14:paraId="4F789E26" w14:textId="4851083E" w:rsidR="002C3C88" w:rsidRPr="00960FD5" w:rsidRDefault="00960FD5" w:rsidP="00960FD5">
            <w:pPr>
              <w:pStyle w:val="TableText"/>
              <w:keepNext/>
              <w:rPr>
                <w:rFonts w:eastAsia="Calibri"/>
                <w:sz w:val="22"/>
                <w:lang w:val="en-NZ"/>
              </w:rPr>
            </w:pPr>
            <w:r>
              <w:rPr>
                <w:rFonts w:eastAsia="Calibri"/>
                <w:sz w:val="22"/>
                <w:lang w:val="en-NZ"/>
              </w:rPr>
              <w:t>N/A</w:t>
            </w:r>
          </w:p>
        </w:tc>
        <w:tc>
          <w:tcPr>
            <w:tcW w:w="1843" w:type="dxa"/>
          </w:tcPr>
          <w:p w14:paraId="6157E7C0" w14:textId="3AE4A703" w:rsidR="002C3C88" w:rsidRPr="00960FD5" w:rsidRDefault="00960FD5" w:rsidP="00960FD5">
            <w:pPr>
              <w:pStyle w:val="TableText"/>
              <w:keepNext/>
              <w:rPr>
                <w:rFonts w:eastAsia="Calibri"/>
                <w:sz w:val="22"/>
                <w:lang w:val="en-NZ"/>
              </w:rPr>
            </w:pPr>
            <w:r>
              <w:rPr>
                <w:rFonts w:eastAsia="Calibri"/>
                <w:sz w:val="22"/>
                <w:lang w:val="en-NZ"/>
              </w:rPr>
              <w:t>N/A</w:t>
            </w:r>
          </w:p>
        </w:tc>
      </w:tr>
      <w:tr w:rsidR="002C3C88" w:rsidRPr="00A864A5" w14:paraId="2553810F" w14:textId="77777777" w:rsidTr="003D2E62">
        <w:trPr>
          <w:gridAfter w:val="1"/>
          <w:wAfter w:w="113" w:type="dxa"/>
          <w:cantSplit/>
          <w:trHeight w:val="426"/>
        </w:trPr>
        <w:tc>
          <w:tcPr>
            <w:tcW w:w="9493" w:type="dxa"/>
            <w:gridSpan w:val="4"/>
            <w:shd w:val="clear" w:color="auto" w:fill="F2F2F2" w:themeFill="background1" w:themeFillShade="F2"/>
            <w:vAlign w:val="center"/>
          </w:tcPr>
          <w:p w14:paraId="58147EDB" w14:textId="77777777" w:rsidR="002C3C88" w:rsidRDefault="002C3C88" w:rsidP="00960FD5">
            <w:pPr>
              <w:spacing w:before="40" w:after="20" w:line="240" w:lineRule="auto"/>
              <w:jc w:val="center"/>
              <w:rPr>
                <w:rFonts w:eastAsia="Calibri"/>
                <w:b/>
                <w:bCs/>
                <w:color w:val="000000"/>
                <w:szCs w:val="22"/>
                <w:lang w:val="en-NZ"/>
              </w:rPr>
            </w:pPr>
            <w:r>
              <w:rPr>
                <w:rFonts w:eastAsia="Calibri"/>
                <w:b/>
                <w:bCs/>
                <w:color w:val="000000"/>
                <w:szCs w:val="22"/>
                <w:lang w:val="en-NZ"/>
              </w:rPr>
              <w:t>Additional b</w:t>
            </w:r>
            <w:r w:rsidRPr="00A864A5">
              <w:rPr>
                <w:rFonts w:eastAsia="Calibri"/>
                <w:b/>
                <w:bCs/>
                <w:color w:val="000000"/>
                <w:szCs w:val="22"/>
                <w:lang w:val="en-NZ"/>
              </w:rPr>
              <w:t xml:space="preserve">enefits of the preferred option compared to </w:t>
            </w:r>
            <w:r>
              <w:rPr>
                <w:rFonts w:eastAsia="Calibri"/>
                <w:b/>
                <w:bCs/>
                <w:color w:val="000000"/>
                <w:szCs w:val="22"/>
                <w:lang w:val="en-NZ"/>
              </w:rPr>
              <w:t>taking no action</w:t>
            </w:r>
          </w:p>
        </w:tc>
      </w:tr>
      <w:tr w:rsidR="002C3C88" w:rsidRPr="00A864A5" w14:paraId="47B377E1" w14:textId="77777777" w:rsidTr="003D2E62">
        <w:trPr>
          <w:gridAfter w:val="1"/>
          <w:wAfter w:w="113" w:type="dxa"/>
          <w:cantSplit/>
          <w:trHeight w:val="381"/>
        </w:trPr>
        <w:tc>
          <w:tcPr>
            <w:tcW w:w="2830" w:type="dxa"/>
            <w:shd w:val="clear" w:color="auto" w:fill="auto"/>
          </w:tcPr>
          <w:p w14:paraId="0F8AECB3" w14:textId="77777777" w:rsidR="002C3C88" w:rsidRPr="00A864A5" w:rsidRDefault="002C3C88" w:rsidP="00960FD5">
            <w:pPr>
              <w:pStyle w:val="TableText"/>
              <w:rPr>
                <w:rFonts w:eastAsia="Calibri"/>
                <w:sz w:val="22"/>
                <w:lang w:val="en-NZ"/>
              </w:rPr>
            </w:pPr>
            <w:r w:rsidRPr="00A864A5">
              <w:rPr>
                <w:rFonts w:eastAsia="Calibri"/>
                <w:sz w:val="22"/>
                <w:lang w:val="en-NZ"/>
              </w:rPr>
              <w:t>Regulated groups</w:t>
            </w:r>
          </w:p>
        </w:tc>
        <w:tc>
          <w:tcPr>
            <w:tcW w:w="2410" w:type="dxa"/>
            <w:shd w:val="clear" w:color="auto" w:fill="auto"/>
          </w:tcPr>
          <w:p w14:paraId="5FA7571B" w14:textId="704106E7" w:rsidR="002C3C88" w:rsidRPr="00A864A5" w:rsidRDefault="00960FD5" w:rsidP="00960FD5">
            <w:pPr>
              <w:pStyle w:val="TableText"/>
              <w:rPr>
                <w:rFonts w:eastAsia="Calibri"/>
                <w:sz w:val="22"/>
                <w:lang w:val="en-NZ"/>
              </w:rPr>
            </w:pPr>
            <w:r>
              <w:rPr>
                <w:rFonts w:eastAsia="Calibri"/>
                <w:sz w:val="22"/>
                <w:lang w:val="en-NZ"/>
              </w:rPr>
              <w:t>-</w:t>
            </w:r>
          </w:p>
        </w:tc>
        <w:tc>
          <w:tcPr>
            <w:tcW w:w="2410" w:type="dxa"/>
            <w:shd w:val="clear" w:color="auto" w:fill="auto"/>
          </w:tcPr>
          <w:p w14:paraId="31C59CF9" w14:textId="09B2C8D4" w:rsidR="002C3C88" w:rsidRPr="00A864A5" w:rsidRDefault="00960FD5" w:rsidP="00960FD5">
            <w:pPr>
              <w:pStyle w:val="TableText"/>
              <w:rPr>
                <w:rFonts w:eastAsia="Calibri"/>
                <w:sz w:val="22"/>
                <w:lang w:val="en-NZ"/>
              </w:rPr>
            </w:pPr>
            <w:r>
              <w:rPr>
                <w:rFonts w:eastAsia="Calibri"/>
                <w:sz w:val="22"/>
                <w:lang w:val="en-NZ"/>
              </w:rPr>
              <w:t>-</w:t>
            </w:r>
          </w:p>
        </w:tc>
        <w:tc>
          <w:tcPr>
            <w:tcW w:w="1843" w:type="dxa"/>
          </w:tcPr>
          <w:p w14:paraId="0523C118" w14:textId="2ACF18B3" w:rsidR="002C3C88" w:rsidRPr="00A864A5" w:rsidRDefault="00960FD5" w:rsidP="00960FD5">
            <w:pPr>
              <w:pStyle w:val="TableText"/>
              <w:rPr>
                <w:rFonts w:eastAsia="Calibri"/>
                <w:sz w:val="22"/>
                <w:lang w:val="en-NZ"/>
              </w:rPr>
            </w:pPr>
            <w:r>
              <w:rPr>
                <w:rFonts w:eastAsia="Calibri"/>
                <w:sz w:val="22"/>
                <w:lang w:val="en-NZ"/>
              </w:rPr>
              <w:t>-</w:t>
            </w:r>
          </w:p>
        </w:tc>
      </w:tr>
      <w:tr w:rsidR="002C3C88" w:rsidRPr="00A864A5" w14:paraId="1FFC4A09" w14:textId="77777777" w:rsidTr="003D2E62">
        <w:trPr>
          <w:gridAfter w:val="1"/>
          <w:wAfter w:w="113" w:type="dxa"/>
          <w:cantSplit/>
          <w:trHeight w:val="381"/>
        </w:trPr>
        <w:tc>
          <w:tcPr>
            <w:tcW w:w="2830" w:type="dxa"/>
            <w:shd w:val="clear" w:color="auto" w:fill="auto"/>
          </w:tcPr>
          <w:p w14:paraId="4B0ADB7D" w14:textId="77777777" w:rsidR="002C3C88" w:rsidRPr="00A864A5" w:rsidRDefault="002C3C88" w:rsidP="00960FD5">
            <w:pPr>
              <w:pStyle w:val="TableText"/>
              <w:rPr>
                <w:rFonts w:eastAsia="Calibri"/>
                <w:sz w:val="22"/>
                <w:lang w:val="en-NZ"/>
              </w:rPr>
            </w:pPr>
            <w:r w:rsidRPr="00A864A5">
              <w:rPr>
                <w:rFonts w:eastAsia="Calibri"/>
                <w:sz w:val="22"/>
                <w:lang w:val="en-NZ"/>
              </w:rPr>
              <w:t>Regulators</w:t>
            </w:r>
          </w:p>
        </w:tc>
        <w:tc>
          <w:tcPr>
            <w:tcW w:w="2410" w:type="dxa"/>
            <w:shd w:val="clear" w:color="auto" w:fill="auto"/>
          </w:tcPr>
          <w:p w14:paraId="7A9321B3" w14:textId="77777777" w:rsidR="002C3C88" w:rsidRPr="00A864A5" w:rsidRDefault="002C3C88" w:rsidP="00960FD5">
            <w:pPr>
              <w:pStyle w:val="TableText"/>
              <w:rPr>
                <w:rFonts w:eastAsia="Calibri"/>
                <w:sz w:val="22"/>
                <w:lang w:val="en-NZ"/>
              </w:rPr>
            </w:pPr>
            <w:r>
              <w:rPr>
                <w:rFonts w:eastAsia="Calibri"/>
                <w:sz w:val="22"/>
                <w:lang w:val="en-NZ"/>
              </w:rPr>
              <w:t>-</w:t>
            </w:r>
          </w:p>
        </w:tc>
        <w:tc>
          <w:tcPr>
            <w:tcW w:w="2410" w:type="dxa"/>
            <w:shd w:val="clear" w:color="auto" w:fill="auto"/>
          </w:tcPr>
          <w:p w14:paraId="7980C151" w14:textId="77777777" w:rsidR="002C3C88" w:rsidRPr="00A864A5" w:rsidRDefault="002C3C88" w:rsidP="00960FD5">
            <w:pPr>
              <w:pStyle w:val="TableText"/>
              <w:rPr>
                <w:rFonts w:eastAsia="Calibri"/>
                <w:sz w:val="22"/>
                <w:lang w:val="en-NZ"/>
              </w:rPr>
            </w:pPr>
            <w:r>
              <w:rPr>
                <w:rFonts w:eastAsia="Calibri"/>
                <w:sz w:val="22"/>
                <w:lang w:val="en-NZ"/>
              </w:rPr>
              <w:t>-</w:t>
            </w:r>
          </w:p>
        </w:tc>
        <w:tc>
          <w:tcPr>
            <w:tcW w:w="1843" w:type="dxa"/>
          </w:tcPr>
          <w:p w14:paraId="5B8532D7" w14:textId="77777777" w:rsidR="002C3C88" w:rsidRPr="00A864A5" w:rsidRDefault="002C3C88" w:rsidP="00960FD5">
            <w:pPr>
              <w:pStyle w:val="TableText"/>
              <w:rPr>
                <w:rFonts w:eastAsia="Calibri"/>
                <w:sz w:val="22"/>
                <w:lang w:val="en-NZ"/>
              </w:rPr>
            </w:pPr>
            <w:r>
              <w:rPr>
                <w:rFonts w:eastAsia="Calibri"/>
                <w:sz w:val="22"/>
                <w:lang w:val="en-NZ"/>
              </w:rPr>
              <w:t>-</w:t>
            </w:r>
          </w:p>
        </w:tc>
      </w:tr>
      <w:tr w:rsidR="002C3C88" w:rsidRPr="00A864A5" w14:paraId="117A4E75" w14:textId="77777777" w:rsidTr="003D2E62">
        <w:trPr>
          <w:gridAfter w:val="1"/>
          <w:wAfter w:w="113" w:type="dxa"/>
          <w:cantSplit/>
          <w:trHeight w:val="263"/>
        </w:trPr>
        <w:tc>
          <w:tcPr>
            <w:tcW w:w="2830" w:type="dxa"/>
            <w:shd w:val="clear" w:color="auto" w:fill="auto"/>
          </w:tcPr>
          <w:p w14:paraId="2CB0EC46" w14:textId="77777777" w:rsidR="002C3C88" w:rsidRPr="00A864A5" w:rsidRDefault="002C3C88" w:rsidP="00960FD5">
            <w:pPr>
              <w:pStyle w:val="TableText"/>
              <w:rPr>
                <w:rFonts w:eastAsia="Calibri"/>
                <w:sz w:val="22"/>
                <w:lang w:val="en-NZ"/>
              </w:rPr>
            </w:pPr>
            <w:r>
              <w:rPr>
                <w:rFonts w:eastAsia="Calibri"/>
                <w:color w:val="000000"/>
                <w:sz w:val="22"/>
                <w:lang w:val="en-NZ"/>
              </w:rPr>
              <w:t>Wider Government and other service providers that record gender</w:t>
            </w:r>
          </w:p>
        </w:tc>
        <w:tc>
          <w:tcPr>
            <w:tcW w:w="2410" w:type="dxa"/>
            <w:shd w:val="clear" w:color="auto" w:fill="auto"/>
          </w:tcPr>
          <w:p w14:paraId="1A650B54" w14:textId="7573DA9C" w:rsidR="002C3C88" w:rsidRPr="00A864A5" w:rsidRDefault="000D1B21" w:rsidP="00960FD5">
            <w:pPr>
              <w:pStyle w:val="TableText"/>
              <w:rPr>
                <w:rFonts w:eastAsia="Calibri"/>
                <w:sz w:val="22"/>
                <w:lang w:val="en-NZ"/>
              </w:rPr>
            </w:pPr>
            <w:r>
              <w:rPr>
                <w:rFonts w:eastAsia="Calibri"/>
                <w:sz w:val="22"/>
                <w:lang w:val="en-NZ"/>
              </w:rPr>
              <w:t>-</w:t>
            </w:r>
          </w:p>
        </w:tc>
        <w:tc>
          <w:tcPr>
            <w:tcW w:w="2410" w:type="dxa"/>
            <w:shd w:val="clear" w:color="auto" w:fill="auto"/>
          </w:tcPr>
          <w:p w14:paraId="31705D73" w14:textId="4211FE31" w:rsidR="002C3C88" w:rsidRPr="00A864A5" w:rsidRDefault="000D1B21" w:rsidP="00960FD5">
            <w:pPr>
              <w:pStyle w:val="TableText"/>
              <w:rPr>
                <w:rFonts w:eastAsia="Calibri"/>
                <w:sz w:val="22"/>
                <w:lang w:val="en-NZ"/>
              </w:rPr>
            </w:pPr>
            <w:r>
              <w:rPr>
                <w:rFonts w:eastAsia="Calibri"/>
                <w:sz w:val="22"/>
                <w:lang w:val="en-NZ"/>
              </w:rPr>
              <w:t>-</w:t>
            </w:r>
          </w:p>
        </w:tc>
        <w:tc>
          <w:tcPr>
            <w:tcW w:w="1843" w:type="dxa"/>
          </w:tcPr>
          <w:p w14:paraId="3EBDC6A4" w14:textId="1D6D08F9" w:rsidR="002C3C88" w:rsidRPr="00A864A5" w:rsidRDefault="000D1B21" w:rsidP="00960FD5">
            <w:pPr>
              <w:pStyle w:val="TableText"/>
              <w:rPr>
                <w:rFonts w:eastAsia="Calibri"/>
                <w:sz w:val="22"/>
                <w:lang w:val="en-NZ"/>
              </w:rPr>
            </w:pPr>
            <w:r>
              <w:rPr>
                <w:rFonts w:eastAsia="Calibri"/>
                <w:sz w:val="22"/>
                <w:lang w:val="en-NZ"/>
              </w:rPr>
              <w:t>-</w:t>
            </w:r>
          </w:p>
        </w:tc>
      </w:tr>
      <w:tr w:rsidR="002C3C88" w:rsidRPr="00A864A5" w14:paraId="4763F440" w14:textId="77777777" w:rsidTr="003D2E62">
        <w:trPr>
          <w:gridAfter w:val="1"/>
          <w:wAfter w:w="113" w:type="dxa"/>
          <w:cantSplit/>
          <w:trHeight w:val="263"/>
        </w:trPr>
        <w:tc>
          <w:tcPr>
            <w:tcW w:w="2830" w:type="dxa"/>
            <w:shd w:val="clear" w:color="auto" w:fill="auto"/>
          </w:tcPr>
          <w:p w14:paraId="1C209FEB" w14:textId="77777777" w:rsidR="002C3C88" w:rsidRDefault="002C3C88" w:rsidP="00960FD5">
            <w:pPr>
              <w:pStyle w:val="TableText"/>
              <w:rPr>
                <w:rFonts w:eastAsia="Calibri"/>
                <w:color w:val="000000"/>
                <w:sz w:val="22"/>
                <w:lang w:val="en-NZ"/>
              </w:rPr>
            </w:pPr>
            <w:r>
              <w:rPr>
                <w:rFonts w:eastAsia="Calibri"/>
                <w:color w:val="000000"/>
                <w:sz w:val="22"/>
                <w:lang w:val="en-NZ"/>
              </w:rPr>
              <w:t>People who are non-binary</w:t>
            </w:r>
          </w:p>
        </w:tc>
        <w:tc>
          <w:tcPr>
            <w:tcW w:w="2410" w:type="dxa"/>
            <w:shd w:val="clear" w:color="auto" w:fill="auto"/>
          </w:tcPr>
          <w:p w14:paraId="2AA3C3CD" w14:textId="7E11164C" w:rsidR="002C3C88" w:rsidRDefault="000D1B21" w:rsidP="00960FD5">
            <w:pPr>
              <w:pStyle w:val="TableText"/>
              <w:rPr>
                <w:rFonts w:eastAsia="Calibri"/>
                <w:sz w:val="22"/>
                <w:lang w:val="en-NZ"/>
              </w:rPr>
            </w:pPr>
            <w:r>
              <w:rPr>
                <w:rFonts w:eastAsia="Calibri"/>
                <w:sz w:val="22"/>
                <w:lang w:val="en-NZ"/>
              </w:rPr>
              <w:t>-</w:t>
            </w:r>
          </w:p>
        </w:tc>
        <w:tc>
          <w:tcPr>
            <w:tcW w:w="2410" w:type="dxa"/>
            <w:shd w:val="clear" w:color="auto" w:fill="auto"/>
          </w:tcPr>
          <w:p w14:paraId="679B699C" w14:textId="15033312" w:rsidR="002C3C88" w:rsidRDefault="000D1B21" w:rsidP="00960FD5">
            <w:pPr>
              <w:pStyle w:val="TableText"/>
              <w:rPr>
                <w:rFonts w:eastAsia="Calibri"/>
                <w:sz w:val="22"/>
                <w:lang w:val="en-NZ"/>
              </w:rPr>
            </w:pPr>
            <w:r>
              <w:rPr>
                <w:rFonts w:eastAsia="Calibri"/>
                <w:sz w:val="22"/>
                <w:lang w:val="en-NZ"/>
              </w:rPr>
              <w:t>-</w:t>
            </w:r>
          </w:p>
        </w:tc>
        <w:tc>
          <w:tcPr>
            <w:tcW w:w="1843" w:type="dxa"/>
          </w:tcPr>
          <w:p w14:paraId="502F7337" w14:textId="22D979C8" w:rsidR="002C3C88" w:rsidRDefault="000D1B21" w:rsidP="00960FD5">
            <w:pPr>
              <w:pStyle w:val="TableText"/>
              <w:rPr>
                <w:rFonts w:eastAsia="Calibri"/>
                <w:sz w:val="22"/>
                <w:lang w:val="en-NZ"/>
              </w:rPr>
            </w:pPr>
            <w:r>
              <w:rPr>
                <w:rFonts w:eastAsia="Calibri"/>
                <w:sz w:val="22"/>
                <w:lang w:val="en-NZ"/>
              </w:rPr>
              <w:t>-</w:t>
            </w:r>
          </w:p>
        </w:tc>
      </w:tr>
      <w:tr w:rsidR="002C3C88" w:rsidRPr="00A864A5" w14:paraId="736E34BC" w14:textId="77777777" w:rsidTr="003D2E62">
        <w:trPr>
          <w:gridAfter w:val="1"/>
          <w:wAfter w:w="113" w:type="dxa"/>
          <w:cantSplit/>
          <w:trHeight w:val="263"/>
        </w:trPr>
        <w:tc>
          <w:tcPr>
            <w:tcW w:w="2830" w:type="dxa"/>
            <w:shd w:val="clear" w:color="auto" w:fill="auto"/>
          </w:tcPr>
          <w:p w14:paraId="609E0AF9" w14:textId="77777777" w:rsidR="002C3C88" w:rsidRPr="00A864A5" w:rsidRDefault="002C3C88" w:rsidP="00960FD5">
            <w:pPr>
              <w:pStyle w:val="TableText"/>
              <w:rPr>
                <w:rFonts w:eastAsia="Calibri"/>
                <w:b/>
                <w:sz w:val="22"/>
                <w:lang w:val="en-NZ"/>
              </w:rPr>
            </w:pPr>
            <w:r w:rsidRPr="00A864A5">
              <w:rPr>
                <w:rFonts w:eastAsia="Calibri"/>
                <w:b/>
                <w:sz w:val="22"/>
                <w:lang w:val="en-NZ"/>
              </w:rPr>
              <w:t>Total monetised benefits</w:t>
            </w:r>
          </w:p>
        </w:tc>
        <w:tc>
          <w:tcPr>
            <w:tcW w:w="2410" w:type="dxa"/>
            <w:shd w:val="clear" w:color="auto" w:fill="auto"/>
          </w:tcPr>
          <w:p w14:paraId="2A17D67D" w14:textId="77777777" w:rsidR="002C3C88" w:rsidRPr="00A864A5" w:rsidRDefault="002C3C88" w:rsidP="00960FD5">
            <w:pPr>
              <w:pStyle w:val="TableText"/>
              <w:rPr>
                <w:rFonts w:eastAsia="Calibri"/>
                <w:sz w:val="22"/>
                <w:lang w:val="en-NZ"/>
              </w:rPr>
            </w:pPr>
            <w:r>
              <w:rPr>
                <w:rFonts w:eastAsia="Calibri"/>
                <w:sz w:val="22"/>
                <w:lang w:val="en-NZ"/>
              </w:rPr>
              <w:t>N/A</w:t>
            </w:r>
          </w:p>
        </w:tc>
        <w:tc>
          <w:tcPr>
            <w:tcW w:w="2410" w:type="dxa"/>
            <w:shd w:val="clear" w:color="auto" w:fill="auto"/>
          </w:tcPr>
          <w:p w14:paraId="6F8C3FB1" w14:textId="77777777" w:rsidR="002C3C88" w:rsidRPr="00A864A5" w:rsidRDefault="002C3C88" w:rsidP="00960FD5">
            <w:pPr>
              <w:pStyle w:val="TableText"/>
              <w:rPr>
                <w:rFonts w:eastAsia="Calibri"/>
                <w:sz w:val="22"/>
                <w:lang w:val="en-NZ"/>
              </w:rPr>
            </w:pPr>
            <w:r>
              <w:rPr>
                <w:rFonts w:eastAsia="Calibri"/>
                <w:sz w:val="22"/>
                <w:lang w:val="en-NZ"/>
              </w:rPr>
              <w:t>Unknown at present</w:t>
            </w:r>
          </w:p>
        </w:tc>
        <w:tc>
          <w:tcPr>
            <w:tcW w:w="1843" w:type="dxa"/>
          </w:tcPr>
          <w:p w14:paraId="727451AC" w14:textId="77777777" w:rsidR="002C3C88" w:rsidRPr="00A864A5" w:rsidRDefault="002C3C88" w:rsidP="00960FD5">
            <w:pPr>
              <w:pStyle w:val="TableText"/>
              <w:rPr>
                <w:rFonts w:eastAsia="Calibri"/>
                <w:sz w:val="22"/>
                <w:lang w:val="en-NZ"/>
              </w:rPr>
            </w:pPr>
            <w:r>
              <w:rPr>
                <w:rFonts w:eastAsia="Calibri"/>
                <w:sz w:val="22"/>
                <w:lang w:val="en-NZ"/>
              </w:rPr>
              <w:t>N/A</w:t>
            </w:r>
          </w:p>
        </w:tc>
      </w:tr>
      <w:tr w:rsidR="003D2E62" w:rsidRPr="00A864A5" w14:paraId="4120529F" w14:textId="77777777" w:rsidTr="003D2E62">
        <w:trPr>
          <w:cantSplit/>
          <w:trHeight w:val="263"/>
        </w:trPr>
        <w:tc>
          <w:tcPr>
            <w:tcW w:w="2830" w:type="dxa"/>
            <w:vMerge w:val="restart"/>
            <w:shd w:val="clear" w:color="auto" w:fill="auto"/>
          </w:tcPr>
          <w:p w14:paraId="0C82C607" w14:textId="085B1177" w:rsidR="003D2E62" w:rsidRPr="00A864A5" w:rsidRDefault="003D2E62" w:rsidP="003D2E62">
            <w:pPr>
              <w:pStyle w:val="TableText"/>
              <w:rPr>
                <w:rFonts w:eastAsia="Calibri"/>
                <w:b/>
                <w:sz w:val="22"/>
                <w:lang w:val="en-NZ"/>
              </w:rPr>
            </w:pPr>
            <w:r>
              <w:rPr>
                <w:rFonts w:eastAsia="Calibri"/>
                <w:b/>
                <w:sz w:val="22"/>
                <w:lang w:val="en-NZ"/>
              </w:rPr>
              <w:t>Non-monetised benefits</w:t>
            </w:r>
          </w:p>
        </w:tc>
        <w:tc>
          <w:tcPr>
            <w:tcW w:w="2410" w:type="dxa"/>
            <w:shd w:val="clear" w:color="auto" w:fill="auto"/>
          </w:tcPr>
          <w:p w14:paraId="0FF3B152" w14:textId="2135C73F" w:rsidR="003D2E62" w:rsidRDefault="003D2E62" w:rsidP="003D2E62">
            <w:pPr>
              <w:pStyle w:val="TableText"/>
              <w:rPr>
                <w:rFonts w:eastAsia="Calibri"/>
                <w:sz w:val="22"/>
                <w:lang w:val="en-NZ"/>
              </w:rPr>
            </w:pPr>
            <w:r>
              <w:rPr>
                <w:rFonts w:eastAsia="Calibri"/>
                <w:sz w:val="22"/>
                <w:lang w:val="en-NZ"/>
              </w:rPr>
              <w:t>Children will have access to birth certificates that reflect their gender</w:t>
            </w:r>
          </w:p>
        </w:tc>
        <w:tc>
          <w:tcPr>
            <w:tcW w:w="2410" w:type="dxa"/>
            <w:shd w:val="clear" w:color="auto" w:fill="auto"/>
          </w:tcPr>
          <w:p w14:paraId="12E641CD" w14:textId="3AB68262" w:rsidR="003D2E62" w:rsidRDefault="003D2E62" w:rsidP="003D2E62">
            <w:pPr>
              <w:pStyle w:val="TableText"/>
              <w:rPr>
                <w:rFonts w:eastAsia="Calibri"/>
                <w:sz w:val="22"/>
                <w:lang w:val="en-NZ"/>
              </w:rPr>
            </w:pPr>
            <w:r>
              <w:rPr>
                <w:rFonts w:eastAsia="Calibri"/>
                <w:sz w:val="22"/>
                <w:lang w:val="en-NZ"/>
              </w:rPr>
              <w:t>TBD</w:t>
            </w:r>
          </w:p>
        </w:tc>
        <w:tc>
          <w:tcPr>
            <w:tcW w:w="1843" w:type="dxa"/>
            <w:gridSpan w:val="2"/>
          </w:tcPr>
          <w:p w14:paraId="267712FE" w14:textId="7290EB3A" w:rsidR="003D2E62" w:rsidRDefault="003D2E62" w:rsidP="003D2E62">
            <w:pPr>
              <w:pStyle w:val="TableText"/>
              <w:rPr>
                <w:rFonts w:eastAsia="Calibri"/>
                <w:sz w:val="22"/>
                <w:lang w:val="en-NZ"/>
              </w:rPr>
            </w:pPr>
            <w:r>
              <w:rPr>
                <w:rFonts w:eastAsia="Calibri"/>
                <w:sz w:val="22"/>
                <w:lang w:val="en-NZ"/>
              </w:rPr>
              <w:t>N/A</w:t>
            </w:r>
          </w:p>
        </w:tc>
      </w:tr>
      <w:tr w:rsidR="003D2E62" w:rsidRPr="00A864A5" w14:paraId="1E8639B0" w14:textId="77777777" w:rsidTr="003D2E62">
        <w:trPr>
          <w:cantSplit/>
          <w:trHeight w:val="263"/>
        </w:trPr>
        <w:tc>
          <w:tcPr>
            <w:tcW w:w="2830" w:type="dxa"/>
            <w:vMerge/>
            <w:shd w:val="clear" w:color="auto" w:fill="auto"/>
          </w:tcPr>
          <w:p w14:paraId="53860722" w14:textId="77777777" w:rsidR="003D2E62" w:rsidRDefault="003D2E62" w:rsidP="003D2E62">
            <w:pPr>
              <w:pStyle w:val="TableText"/>
              <w:rPr>
                <w:rFonts w:eastAsia="Calibri"/>
                <w:b/>
                <w:sz w:val="22"/>
                <w:lang w:val="en-NZ"/>
              </w:rPr>
            </w:pPr>
          </w:p>
        </w:tc>
        <w:tc>
          <w:tcPr>
            <w:tcW w:w="2410" w:type="dxa"/>
            <w:shd w:val="clear" w:color="auto" w:fill="auto"/>
          </w:tcPr>
          <w:p w14:paraId="57CC965E" w14:textId="20647670" w:rsidR="003D2E62" w:rsidRDefault="003D2E62" w:rsidP="003D2E62">
            <w:pPr>
              <w:pStyle w:val="TableText"/>
              <w:rPr>
                <w:rFonts w:eastAsia="Calibri"/>
                <w:sz w:val="22"/>
                <w:lang w:val="en-NZ"/>
              </w:rPr>
            </w:pPr>
            <w:r>
              <w:rPr>
                <w:rFonts w:eastAsia="Calibri"/>
                <w:sz w:val="22"/>
                <w:lang w:val="en-NZ"/>
              </w:rPr>
              <w:t xml:space="preserve">Will be easier for children and their </w:t>
            </w:r>
            <w:proofErr w:type="spellStart"/>
            <w:r>
              <w:rPr>
                <w:rFonts w:eastAsia="Calibri"/>
                <w:sz w:val="22"/>
                <w:lang w:val="en-NZ"/>
              </w:rPr>
              <w:lastRenderedPageBreak/>
              <w:t>whānau</w:t>
            </w:r>
            <w:proofErr w:type="spellEnd"/>
            <w:r>
              <w:rPr>
                <w:rFonts w:eastAsia="Calibri"/>
                <w:sz w:val="22"/>
                <w:lang w:val="en-NZ"/>
              </w:rPr>
              <w:t xml:space="preserve"> to approach service providers</w:t>
            </w:r>
          </w:p>
        </w:tc>
        <w:tc>
          <w:tcPr>
            <w:tcW w:w="2410" w:type="dxa"/>
            <w:shd w:val="clear" w:color="auto" w:fill="auto"/>
          </w:tcPr>
          <w:p w14:paraId="5EB16705" w14:textId="256DA84F" w:rsidR="003D2E62" w:rsidRDefault="003D2E62" w:rsidP="003D2E62">
            <w:pPr>
              <w:pStyle w:val="TableText"/>
              <w:rPr>
                <w:rFonts w:eastAsia="Calibri"/>
                <w:sz w:val="22"/>
                <w:lang w:val="en-NZ"/>
              </w:rPr>
            </w:pPr>
            <w:r>
              <w:rPr>
                <w:rFonts w:eastAsia="Calibri"/>
                <w:sz w:val="22"/>
                <w:lang w:val="en-NZ"/>
              </w:rPr>
              <w:lastRenderedPageBreak/>
              <w:t>TBD</w:t>
            </w:r>
          </w:p>
        </w:tc>
        <w:tc>
          <w:tcPr>
            <w:tcW w:w="1843" w:type="dxa"/>
            <w:gridSpan w:val="2"/>
          </w:tcPr>
          <w:p w14:paraId="56CA009C" w14:textId="5D25C8E6" w:rsidR="003D2E62" w:rsidRDefault="003D2E62" w:rsidP="003D2E62">
            <w:pPr>
              <w:pStyle w:val="TableText"/>
              <w:rPr>
                <w:rFonts w:eastAsia="Calibri"/>
                <w:sz w:val="22"/>
                <w:lang w:val="en-NZ"/>
              </w:rPr>
            </w:pPr>
            <w:r>
              <w:rPr>
                <w:rFonts w:eastAsia="Calibri"/>
                <w:sz w:val="22"/>
                <w:lang w:val="en-NZ"/>
              </w:rPr>
              <w:t>N/A</w:t>
            </w:r>
          </w:p>
        </w:tc>
      </w:tr>
      <w:tr w:rsidR="003D2E62" w:rsidRPr="00A864A5" w14:paraId="4ED5E569" w14:textId="77777777" w:rsidTr="003D2E62">
        <w:trPr>
          <w:cantSplit/>
          <w:trHeight w:val="263"/>
        </w:trPr>
        <w:tc>
          <w:tcPr>
            <w:tcW w:w="2830" w:type="dxa"/>
            <w:vMerge/>
            <w:shd w:val="clear" w:color="auto" w:fill="auto"/>
          </w:tcPr>
          <w:p w14:paraId="1E3D7450" w14:textId="77777777" w:rsidR="003D2E62" w:rsidRDefault="003D2E62" w:rsidP="003D2E62">
            <w:pPr>
              <w:pStyle w:val="TableText"/>
              <w:rPr>
                <w:rFonts w:eastAsia="Calibri"/>
                <w:b/>
                <w:sz w:val="22"/>
                <w:lang w:val="en-NZ"/>
              </w:rPr>
            </w:pPr>
          </w:p>
        </w:tc>
        <w:tc>
          <w:tcPr>
            <w:tcW w:w="2410" w:type="dxa"/>
            <w:shd w:val="clear" w:color="auto" w:fill="auto"/>
          </w:tcPr>
          <w:p w14:paraId="36A3ED57" w14:textId="08183F9A" w:rsidR="003D2E62" w:rsidRDefault="003D2E62" w:rsidP="003D2E62">
            <w:pPr>
              <w:pStyle w:val="TableText"/>
              <w:rPr>
                <w:rFonts w:eastAsia="Calibri"/>
                <w:sz w:val="22"/>
                <w:lang w:val="en-NZ"/>
              </w:rPr>
            </w:pPr>
            <w:r>
              <w:rPr>
                <w:rFonts w:eastAsia="Calibri"/>
                <w:sz w:val="22"/>
                <w:lang w:val="en-NZ"/>
              </w:rPr>
              <w:t>Less effort needed to correct records for children</w:t>
            </w:r>
          </w:p>
        </w:tc>
        <w:tc>
          <w:tcPr>
            <w:tcW w:w="2410" w:type="dxa"/>
            <w:shd w:val="clear" w:color="auto" w:fill="auto"/>
          </w:tcPr>
          <w:p w14:paraId="49D4F8FF" w14:textId="02AB48E0" w:rsidR="003D2E62" w:rsidRDefault="003D2E62" w:rsidP="003D2E62">
            <w:pPr>
              <w:pStyle w:val="TableText"/>
              <w:rPr>
                <w:rFonts w:eastAsia="Calibri"/>
                <w:sz w:val="22"/>
                <w:lang w:val="en-NZ"/>
              </w:rPr>
            </w:pPr>
            <w:r>
              <w:rPr>
                <w:rFonts w:eastAsia="Calibri"/>
                <w:sz w:val="22"/>
                <w:lang w:val="en-NZ"/>
              </w:rPr>
              <w:t>TBD</w:t>
            </w:r>
          </w:p>
        </w:tc>
        <w:tc>
          <w:tcPr>
            <w:tcW w:w="1843" w:type="dxa"/>
            <w:gridSpan w:val="2"/>
          </w:tcPr>
          <w:p w14:paraId="0A61390A" w14:textId="08A9C3B7" w:rsidR="003D2E62" w:rsidRDefault="003D2E62" w:rsidP="003D2E62">
            <w:pPr>
              <w:pStyle w:val="TableText"/>
              <w:rPr>
                <w:rFonts w:eastAsia="Calibri"/>
                <w:sz w:val="22"/>
                <w:lang w:val="en-NZ"/>
              </w:rPr>
            </w:pPr>
            <w:r>
              <w:rPr>
                <w:rFonts w:eastAsia="Calibri"/>
                <w:sz w:val="22"/>
                <w:lang w:val="en-NZ"/>
              </w:rPr>
              <w:t>N/A</w:t>
            </w:r>
          </w:p>
        </w:tc>
      </w:tr>
    </w:tbl>
    <w:p w14:paraId="79E04902" w14:textId="1AFA423F" w:rsidR="002C3C88" w:rsidRDefault="002C3C88" w:rsidP="002C3C88">
      <w:pPr>
        <w:rPr>
          <w:lang w:val="en-NZ"/>
        </w:rPr>
      </w:pPr>
    </w:p>
    <w:tbl>
      <w:tblPr>
        <w:tblpPr w:leftFromText="180" w:rightFromText="180" w:vertAnchor="text" w:horzAnchor="margin" w:tblpY="124"/>
        <w:tblOverlap w:val="never"/>
        <w:tblW w:w="9493"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2830"/>
        <w:gridCol w:w="2410"/>
        <w:gridCol w:w="2410"/>
        <w:gridCol w:w="1843"/>
      </w:tblGrid>
      <w:tr w:rsidR="00960FD5" w:rsidRPr="00A864A5" w14:paraId="515420E2" w14:textId="77777777" w:rsidTr="007B6DAA">
        <w:trPr>
          <w:trHeight w:val="762"/>
        </w:trPr>
        <w:tc>
          <w:tcPr>
            <w:tcW w:w="9493" w:type="dxa"/>
            <w:gridSpan w:val="4"/>
            <w:shd w:val="clear" w:color="auto" w:fill="000000" w:themeFill="text1"/>
          </w:tcPr>
          <w:p w14:paraId="19AE5DE0" w14:textId="41A0CE8A" w:rsidR="00960FD5" w:rsidRPr="00684A1D" w:rsidRDefault="00960FD5" w:rsidP="00960FD5">
            <w:pPr>
              <w:pStyle w:val="TableText"/>
              <w:keepNext/>
              <w:rPr>
                <w:rFonts w:eastAsia="Calibri"/>
                <w:b/>
                <w:color w:val="FFFFFF" w:themeColor="background1"/>
                <w:sz w:val="22"/>
                <w:lang w:val="en-NZ"/>
              </w:rPr>
            </w:pPr>
            <w:r w:rsidRPr="00684A1D">
              <w:rPr>
                <w:rFonts w:eastAsia="Calibri"/>
                <w:b/>
                <w:color w:val="FFFFFF" w:themeColor="background1"/>
                <w:sz w:val="22"/>
                <w:lang w:val="en-NZ"/>
              </w:rPr>
              <w:t xml:space="preserve">Issue </w:t>
            </w:r>
            <w:r>
              <w:rPr>
                <w:rFonts w:eastAsia="Calibri"/>
                <w:b/>
                <w:color w:val="FFFFFF" w:themeColor="background1"/>
                <w:sz w:val="22"/>
                <w:lang w:val="en-NZ"/>
              </w:rPr>
              <w:t>3</w:t>
            </w:r>
            <w:r w:rsidRPr="00684A1D">
              <w:rPr>
                <w:rFonts w:eastAsia="Calibri"/>
                <w:b/>
                <w:color w:val="FFFFFF" w:themeColor="background1"/>
                <w:sz w:val="22"/>
                <w:lang w:val="en-NZ"/>
              </w:rPr>
              <w:t xml:space="preserve"> – </w:t>
            </w:r>
            <w:r>
              <w:rPr>
                <w:rFonts w:eastAsia="Calibri"/>
                <w:b/>
                <w:color w:val="FFFFFF" w:themeColor="background1"/>
                <w:sz w:val="22"/>
                <w:lang w:val="en-NZ"/>
              </w:rPr>
              <w:t xml:space="preserve">Additional </w:t>
            </w:r>
            <w:r w:rsidR="000D1B21">
              <w:rPr>
                <w:rFonts w:eastAsia="Calibri"/>
                <w:b/>
                <w:color w:val="FFFFFF" w:themeColor="background1"/>
                <w:sz w:val="22"/>
                <w:lang w:val="en-NZ"/>
              </w:rPr>
              <w:t>requirements for multiple applications</w:t>
            </w:r>
          </w:p>
        </w:tc>
      </w:tr>
      <w:tr w:rsidR="00960FD5" w:rsidRPr="00A864A5" w14:paraId="7BFB420F" w14:textId="77777777" w:rsidTr="007B6DAA">
        <w:trPr>
          <w:trHeight w:val="762"/>
        </w:trPr>
        <w:tc>
          <w:tcPr>
            <w:tcW w:w="2830" w:type="dxa"/>
            <w:shd w:val="clear" w:color="auto" w:fill="F2F2F2" w:themeFill="background1" w:themeFillShade="F2"/>
          </w:tcPr>
          <w:p w14:paraId="237E5505" w14:textId="77777777" w:rsidR="00960FD5" w:rsidRPr="00A864A5" w:rsidRDefault="00960FD5" w:rsidP="00960FD5">
            <w:pPr>
              <w:pStyle w:val="TableText"/>
              <w:keepNext/>
              <w:rPr>
                <w:rFonts w:eastAsia="Calibri"/>
                <w:color w:val="000000"/>
                <w:sz w:val="22"/>
                <w:lang w:val="en-NZ"/>
              </w:rPr>
            </w:pPr>
            <w:r w:rsidRPr="00A864A5">
              <w:rPr>
                <w:rFonts w:eastAsia="Calibri"/>
                <w:b/>
                <w:color w:val="000000"/>
                <w:sz w:val="22"/>
                <w:lang w:val="en-NZ"/>
              </w:rPr>
              <w:t>Affected groups</w:t>
            </w:r>
            <w:r>
              <w:rPr>
                <w:rFonts w:eastAsia="Calibri"/>
                <w:color w:val="000000"/>
                <w:sz w:val="22"/>
                <w:lang w:val="en-NZ"/>
              </w:rPr>
              <w:br/>
            </w:r>
            <w:r w:rsidRPr="00136700">
              <w:rPr>
                <w:rFonts w:eastAsia="Calibri"/>
                <w:i/>
                <w:color w:val="000000"/>
                <w:szCs w:val="20"/>
                <w:lang w:val="en-NZ"/>
              </w:rPr>
              <w:t>(identify)</w:t>
            </w:r>
          </w:p>
        </w:tc>
        <w:tc>
          <w:tcPr>
            <w:tcW w:w="2410" w:type="dxa"/>
            <w:shd w:val="clear" w:color="auto" w:fill="F2F2F2" w:themeFill="background1" w:themeFillShade="F2"/>
          </w:tcPr>
          <w:p w14:paraId="40906F44" w14:textId="77777777" w:rsidR="00960FD5" w:rsidRPr="00A864A5" w:rsidRDefault="00960FD5" w:rsidP="00960FD5">
            <w:pPr>
              <w:pStyle w:val="TableText"/>
              <w:keepNext/>
              <w:rPr>
                <w:rFonts w:eastAsia="Calibri"/>
                <w:color w:val="000000"/>
                <w:sz w:val="22"/>
                <w:lang w:val="en-NZ"/>
              </w:rPr>
            </w:pPr>
            <w:r w:rsidRPr="00A864A5">
              <w:rPr>
                <w:rFonts w:eastAsia="Calibri"/>
                <w:b/>
                <w:color w:val="000000"/>
                <w:sz w:val="22"/>
                <w:lang w:val="en-NZ"/>
              </w:rPr>
              <w:t>Comment</w:t>
            </w:r>
            <w:r>
              <w:rPr>
                <w:rFonts w:eastAsia="Calibri"/>
                <w:color w:val="000000"/>
                <w:sz w:val="22"/>
                <w:lang w:val="en-NZ"/>
              </w:rPr>
              <w:br/>
            </w:r>
            <w:r w:rsidRPr="00136700">
              <w:rPr>
                <w:rFonts w:eastAsia="Calibri"/>
                <w:i/>
                <w:iCs/>
                <w:color w:val="000000"/>
                <w:szCs w:val="20"/>
                <w:lang w:val="en-NZ"/>
              </w:rPr>
              <w:t>nature of cost or benefit (</w:t>
            </w:r>
            <w:proofErr w:type="spellStart"/>
            <w:r>
              <w:rPr>
                <w:rFonts w:eastAsia="Calibri"/>
                <w:i/>
                <w:iCs/>
                <w:color w:val="000000"/>
                <w:szCs w:val="20"/>
                <w:lang w:val="en-NZ"/>
              </w:rPr>
              <w:t>eg</w:t>
            </w:r>
            <w:proofErr w:type="spellEnd"/>
            <w:r>
              <w:rPr>
                <w:rFonts w:eastAsia="Calibri"/>
                <w:i/>
                <w:iCs/>
                <w:color w:val="000000"/>
                <w:szCs w:val="20"/>
                <w:lang w:val="en-NZ"/>
              </w:rPr>
              <w:t>,</w:t>
            </w:r>
            <w:r w:rsidRPr="00136700">
              <w:rPr>
                <w:rFonts w:eastAsia="Calibri"/>
                <w:i/>
                <w:iCs/>
                <w:color w:val="000000"/>
                <w:szCs w:val="20"/>
                <w:lang w:val="en-NZ"/>
              </w:rPr>
              <w:t xml:space="preserve"> ongoing, one-off), evidence and assumption (</w:t>
            </w:r>
            <w:proofErr w:type="spellStart"/>
            <w:r>
              <w:rPr>
                <w:rFonts w:eastAsia="Calibri"/>
                <w:i/>
                <w:iCs/>
                <w:color w:val="000000"/>
                <w:szCs w:val="20"/>
                <w:lang w:val="en-NZ"/>
              </w:rPr>
              <w:t>eg</w:t>
            </w:r>
            <w:proofErr w:type="spellEnd"/>
            <w:r>
              <w:rPr>
                <w:rFonts w:eastAsia="Calibri"/>
                <w:i/>
                <w:iCs/>
                <w:color w:val="000000"/>
                <w:szCs w:val="20"/>
                <w:lang w:val="en-NZ"/>
              </w:rPr>
              <w:t>,</w:t>
            </w:r>
            <w:r w:rsidRPr="00136700">
              <w:rPr>
                <w:rFonts w:eastAsia="Calibri"/>
                <w:i/>
                <w:iCs/>
                <w:color w:val="000000"/>
                <w:szCs w:val="20"/>
                <w:lang w:val="en-NZ"/>
              </w:rPr>
              <w:t xml:space="preserve"> compliance rates), risks</w:t>
            </w:r>
            <w:r>
              <w:rPr>
                <w:rFonts w:eastAsia="Calibri"/>
                <w:i/>
                <w:iCs/>
                <w:color w:val="000000"/>
                <w:szCs w:val="20"/>
                <w:lang w:val="en-NZ"/>
              </w:rPr>
              <w:t>.</w:t>
            </w:r>
          </w:p>
        </w:tc>
        <w:tc>
          <w:tcPr>
            <w:tcW w:w="2410" w:type="dxa"/>
            <w:shd w:val="clear" w:color="auto" w:fill="F2F2F2" w:themeFill="background1" w:themeFillShade="F2"/>
          </w:tcPr>
          <w:p w14:paraId="0009645D" w14:textId="77777777" w:rsidR="00960FD5" w:rsidRPr="00136700" w:rsidRDefault="00960FD5" w:rsidP="00960FD5">
            <w:pPr>
              <w:pStyle w:val="TableText"/>
              <w:keepNext/>
              <w:rPr>
                <w:rFonts w:eastAsia="Calibri"/>
                <w:b/>
                <w:color w:val="000000"/>
                <w:sz w:val="22"/>
                <w:lang w:val="en-NZ"/>
              </w:rPr>
            </w:pPr>
            <w:r w:rsidRPr="00A864A5">
              <w:rPr>
                <w:rFonts w:eastAsia="Calibri"/>
                <w:b/>
                <w:color w:val="000000"/>
                <w:sz w:val="22"/>
                <w:lang w:val="en-NZ"/>
              </w:rPr>
              <w:t>Impact</w:t>
            </w:r>
            <w:r>
              <w:rPr>
                <w:rFonts w:eastAsia="Calibri"/>
                <w:b/>
                <w:color w:val="000000"/>
                <w:sz w:val="22"/>
                <w:lang w:val="en-NZ"/>
              </w:rPr>
              <w:br/>
            </w:r>
            <w:r w:rsidRPr="00136700">
              <w:rPr>
                <w:rFonts w:eastAsia="Calibri"/>
                <w:i/>
                <w:color w:val="000000"/>
                <w:szCs w:val="20"/>
                <w:lang w:val="en-NZ"/>
              </w:rPr>
              <w:t xml:space="preserve">$m present value where appropriate, for monetised impacts; high, </w:t>
            </w:r>
            <w:proofErr w:type="gramStart"/>
            <w:r w:rsidRPr="00136700">
              <w:rPr>
                <w:rFonts w:eastAsia="Calibri"/>
                <w:i/>
                <w:color w:val="000000"/>
                <w:szCs w:val="20"/>
                <w:lang w:val="en-NZ"/>
              </w:rPr>
              <w:t>medium</w:t>
            </w:r>
            <w:proofErr w:type="gramEnd"/>
            <w:r w:rsidRPr="00136700">
              <w:rPr>
                <w:rFonts w:eastAsia="Calibri"/>
                <w:i/>
                <w:color w:val="000000"/>
                <w:szCs w:val="20"/>
                <w:lang w:val="en-NZ"/>
              </w:rPr>
              <w:t xml:space="preserve"> or low for non-monetised impacts</w:t>
            </w:r>
            <w:r>
              <w:rPr>
                <w:rFonts w:eastAsia="Calibri"/>
                <w:i/>
                <w:color w:val="000000"/>
                <w:szCs w:val="20"/>
                <w:lang w:val="en-NZ"/>
              </w:rPr>
              <w:t>.</w:t>
            </w:r>
          </w:p>
        </w:tc>
        <w:tc>
          <w:tcPr>
            <w:tcW w:w="1843" w:type="dxa"/>
            <w:shd w:val="clear" w:color="auto" w:fill="F2F2F2" w:themeFill="background1" w:themeFillShade="F2"/>
          </w:tcPr>
          <w:p w14:paraId="035C0367" w14:textId="77777777" w:rsidR="00960FD5" w:rsidRPr="00136700" w:rsidRDefault="00960FD5" w:rsidP="00960FD5">
            <w:pPr>
              <w:pStyle w:val="TableText"/>
              <w:keepNext/>
              <w:rPr>
                <w:rFonts w:eastAsia="Calibri"/>
                <w:bCs/>
                <w:i/>
                <w:iCs/>
                <w:color w:val="000000"/>
                <w:szCs w:val="20"/>
                <w:lang w:val="en-NZ"/>
              </w:rPr>
            </w:pPr>
            <w:r>
              <w:rPr>
                <w:rFonts w:eastAsia="Calibri"/>
                <w:b/>
                <w:color w:val="000000"/>
                <w:sz w:val="22"/>
                <w:lang w:val="en-NZ"/>
              </w:rPr>
              <w:t>Evidence Certainty</w:t>
            </w:r>
            <w:r>
              <w:rPr>
                <w:rFonts w:eastAsia="Calibri"/>
                <w:b/>
                <w:color w:val="000000"/>
                <w:sz w:val="22"/>
                <w:lang w:val="en-NZ"/>
              </w:rPr>
              <w:br/>
            </w:r>
            <w:r>
              <w:rPr>
                <w:rFonts w:eastAsia="Calibri"/>
                <w:bCs/>
                <w:i/>
                <w:iCs/>
                <w:color w:val="000000"/>
                <w:szCs w:val="20"/>
                <w:lang w:val="en-NZ"/>
              </w:rPr>
              <w:t>High, medium, or low, and explain reasoning in comment column.</w:t>
            </w:r>
          </w:p>
        </w:tc>
      </w:tr>
      <w:tr w:rsidR="00960FD5" w:rsidRPr="00A864A5" w14:paraId="48B50951" w14:textId="77777777" w:rsidTr="007B6DAA">
        <w:trPr>
          <w:trHeight w:val="391"/>
        </w:trPr>
        <w:tc>
          <w:tcPr>
            <w:tcW w:w="9493" w:type="dxa"/>
            <w:gridSpan w:val="4"/>
            <w:shd w:val="clear" w:color="auto" w:fill="F2F2F2" w:themeFill="background1" w:themeFillShade="F2"/>
            <w:vAlign w:val="center"/>
          </w:tcPr>
          <w:p w14:paraId="7122376B" w14:textId="77777777" w:rsidR="00960FD5" w:rsidRDefault="00960FD5" w:rsidP="00960FD5">
            <w:pPr>
              <w:keepNext/>
              <w:spacing w:before="40" w:after="20" w:line="240" w:lineRule="auto"/>
              <w:jc w:val="center"/>
              <w:rPr>
                <w:rFonts w:eastAsia="Calibri"/>
                <w:b/>
                <w:bCs/>
                <w:color w:val="000000"/>
                <w:szCs w:val="22"/>
                <w:lang w:val="en-NZ"/>
              </w:rPr>
            </w:pPr>
            <w:r>
              <w:rPr>
                <w:rFonts w:eastAsia="Calibri"/>
                <w:b/>
                <w:bCs/>
                <w:color w:val="000000"/>
                <w:szCs w:val="22"/>
                <w:lang w:val="en-NZ"/>
              </w:rPr>
              <w:t>Additional c</w:t>
            </w:r>
            <w:r w:rsidRPr="00A864A5">
              <w:rPr>
                <w:rFonts w:eastAsia="Calibri"/>
                <w:b/>
                <w:bCs/>
                <w:color w:val="000000"/>
                <w:szCs w:val="22"/>
                <w:lang w:val="en-NZ"/>
              </w:rPr>
              <w:t xml:space="preserve">osts of the preferred option compared to </w:t>
            </w:r>
            <w:r>
              <w:rPr>
                <w:rFonts w:eastAsia="Calibri"/>
                <w:b/>
                <w:bCs/>
                <w:color w:val="000000"/>
                <w:szCs w:val="22"/>
                <w:lang w:val="en-NZ"/>
              </w:rPr>
              <w:t>taking no action</w:t>
            </w:r>
          </w:p>
        </w:tc>
      </w:tr>
      <w:tr w:rsidR="00960FD5" w:rsidRPr="00A864A5" w14:paraId="066FD16B" w14:textId="77777777" w:rsidTr="007B6DAA">
        <w:trPr>
          <w:trHeight w:val="380"/>
        </w:trPr>
        <w:tc>
          <w:tcPr>
            <w:tcW w:w="2830" w:type="dxa"/>
            <w:shd w:val="clear" w:color="auto" w:fill="auto"/>
          </w:tcPr>
          <w:p w14:paraId="64335598" w14:textId="77777777" w:rsidR="00960FD5" w:rsidRPr="00A864A5" w:rsidRDefault="00960FD5" w:rsidP="00960FD5">
            <w:pPr>
              <w:pStyle w:val="TableText"/>
              <w:keepNext/>
              <w:rPr>
                <w:rFonts w:eastAsia="Calibri"/>
                <w:sz w:val="22"/>
                <w:lang w:val="en-NZ"/>
              </w:rPr>
            </w:pPr>
            <w:r w:rsidRPr="00A864A5">
              <w:rPr>
                <w:rFonts w:eastAsia="Calibri"/>
                <w:sz w:val="22"/>
                <w:lang w:val="en-NZ"/>
              </w:rPr>
              <w:t>Regulated groups</w:t>
            </w:r>
          </w:p>
        </w:tc>
        <w:tc>
          <w:tcPr>
            <w:tcW w:w="2410" w:type="dxa"/>
            <w:shd w:val="clear" w:color="auto" w:fill="auto"/>
          </w:tcPr>
          <w:p w14:paraId="20679B03" w14:textId="77777777" w:rsidR="00960FD5" w:rsidRPr="00A864A5" w:rsidRDefault="00960FD5" w:rsidP="00960FD5">
            <w:pPr>
              <w:pStyle w:val="TableText"/>
              <w:keepNext/>
              <w:rPr>
                <w:rFonts w:eastAsia="Calibri"/>
                <w:sz w:val="22"/>
                <w:lang w:val="en-NZ"/>
              </w:rPr>
            </w:pPr>
            <w:r>
              <w:rPr>
                <w:rFonts w:eastAsia="Calibri"/>
                <w:sz w:val="22"/>
                <w:lang w:val="en-NZ"/>
              </w:rPr>
              <w:t xml:space="preserve">- </w:t>
            </w:r>
          </w:p>
        </w:tc>
        <w:tc>
          <w:tcPr>
            <w:tcW w:w="2410" w:type="dxa"/>
            <w:shd w:val="clear" w:color="auto" w:fill="auto"/>
          </w:tcPr>
          <w:p w14:paraId="41B2800E" w14:textId="77777777" w:rsidR="00960FD5" w:rsidRPr="00A864A5" w:rsidRDefault="00960FD5" w:rsidP="00960FD5">
            <w:pPr>
              <w:pStyle w:val="TableText"/>
              <w:keepNext/>
              <w:rPr>
                <w:rFonts w:eastAsia="Calibri"/>
                <w:sz w:val="22"/>
                <w:lang w:val="en-NZ"/>
              </w:rPr>
            </w:pPr>
            <w:r>
              <w:rPr>
                <w:rFonts w:eastAsia="Calibri"/>
                <w:sz w:val="22"/>
                <w:lang w:val="en-NZ"/>
              </w:rPr>
              <w:t>-</w:t>
            </w:r>
          </w:p>
        </w:tc>
        <w:tc>
          <w:tcPr>
            <w:tcW w:w="1843" w:type="dxa"/>
          </w:tcPr>
          <w:p w14:paraId="77E77B3D" w14:textId="77777777" w:rsidR="00960FD5" w:rsidRPr="00A864A5" w:rsidRDefault="00960FD5" w:rsidP="00960FD5">
            <w:pPr>
              <w:pStyle w:val="TableText"/>
              <w:keepNext/>
              <w:rPr>
                <w:rFonts w:eastAsia="Calibri"/>
                <w:sz w:val="22"/>
                <w:lang w:val="en-NZ"/>
              </w:rPr>
            </w:pPr>
            <w:r>
              <w:rPr>
                <w:rFonts w:eastAsia="Calibri"/>
                <w:sz w:val="22"/>
                <w:lang w:val="en-NZ"/>
              </w:rPr>
              <w:t>-</w:t>
            </w:r>
          </w:p>
        </w:tc>
      </w:tr>
      <w:tr w:rsidR="00960FD5" w:rsidRPr="00A864A5" w14:paraId="648EFA0D" w14:textId="77777777" w:rsidTr="007B6DAA">
        <w:trPr>
          <w:trHeight w:val="380"/>
        </w:trPr>
        <w:tc>
          <w:tcPr>
            <w:tcW w:w="2830" w:type="dxa"/>
            <w:shd w:val="clear" w:color="auto" w:fill="auto"/>
          </w:tcPr>
          <w:p w14:paraId="0AC1ABE6" w14:textId="77777777" w:rsidR="00960FD5" w:rsidRPr="00A864A5" w:rsidRDefault="00960FD5" w:rsidP="00960FD5">
            <w:pPr>
              <w:pStyle w:val="TableText"/>
              <w:keepNext/>
              <w:rPr>
                <w:rFonts w:eastAsia="Calibri"/>
                <w:sz w:val="22"/>
                <w:lang w:val="en-NZ"/>
              </w:rPr>
            </w:pPr>
            <w:r w:rsidRPr="00A864A5">
              <w:rPr>
                <w:rFonts w:eastAsia="Calibri"/>
                <w:sz w:val="22"/>
                <w:lang w:val="en-NZ"/>
              </w:rPr>
              <w:t>Regulators</w:t>
            </w:r>
            <w:r>
              <w:rPr>
                <w:rFonts w:eastAsia="Calibri"/>
                <w:sz w:val="22"/>
                <w:lang w:val="en-NZ"/>
              </w:rPr>
              <w:t xml:space="preserve"> (DIA)</w:t>
            </w:r>
          </w:p>
        </w:tc>
        <w:tc>
          <w:tcPr>
            <w:tcW w:w="2410" w:type="dxa"/>
            <w:shd w:val="clear" w:color="auto" w:fill="auto"/>
          </w:tcPr>
          <w:p w14:paraId="42EC489B" w14:textId="7E023E78" w:rsidR="00960FD5" w:rsidRPr="00A864A5" w:rsidRDefault="000D1B21" w:rsidP="00960FD5">
            <w:pPr>
              <w:pStyle w:val="TableText"/>
              <w:keepNext/>
              <w:rPr>
                <w:rFonts w:eastAsia="Calibri"/>
                <w:sz w:val="22"/>
                <w:lang w:val="en-NZ"/>
              </w:rPr>
            </w:pPr>
            <w:r>
              <w:rPr>
                <w:rFonts w:eastAsia="Calibri"/>
                <w:sz w:val="22"/>
                <w:lang w:val="en-NZ"/>
              </w:rPr>
              <w:t>Ongoing cost of implementing the additional requirement</w:t>
            </w:r>
            <w:r w:rsidR="007B6DAA">
              <w:rPr>
                <w:rFonts w:eastAsia="Calibri"/>
                <w:sz w:val="22"/>
                <w:lang w:val="en-NZ"/>
              </w:rPr>
              <w:t>s</w:t>
            </w:r>
            <w:r>
              <w:rPr>
                <w:rFonts w:eastAsia="Calibri"/>
                <w:sz w:val="22"/>
                <w:lang w:val="en-NZ"/>
              </w:rPr>
              <w:t xml:space="preserve"> (could be costs of </w:t>
            </w:r>
            <w:r w:rsidR="009F547B">
              <w:rPr>
                <w:rFonts w:eastAsia="Calibri"/>
                <w:sz w:val="22"/>
                <w:lang w:val="en-NZ"/>
              </w:rPr>
              <w:t xml:space="preserve">additional checks </w:t>
            </w:r>
            <w:r>
              <w:rPr>
                <w:rFonts w:eastAsia="Calibri"/>
                <w:sz w:val="22"/>
                <w:lang w:val="en-NZ"/>
              </w:rPr>
              <w:t>or processing extra forms)</w:t>
            </w:r>
          </w:p>
        </w:tc>
        <w:tc>
          <w:tcPr>
            <w:tcW w:w="2410" w:type="dxa"/>
            <w:shd w:val="clear" w:color="auto" w:fill="auto"/>
          </w:tcPr>
          <w:p w14:paraId="7DAA4908" w14:textId="77777777" w:rsidR="00960FD5" w:rsidRPr="00A864A5" w:rsidRDefault="00960FD5" w:rsidP="00960FD5">
            <w:pPr>
              <w:pStyle w:val="TableText"/>
              <w:keepNext/>
              <w:rPr>
                <w:rFonts w:eastAsia="Calibri"/>
                <w:sz w:val="22"/>
                <w:lang w:val="en-NZ"/>
              </w:rPr>
            </w:pPr>
            <w:r>
              <w:rPr>
                <w:rFonts w:eastAsia="Calibri"/>
                <w:sz w:val="22"/>
                <w:lang w:val="en-NZ"/>
              </w:rPr>
              <w:t>TBD</w:t>
            </w:r>
          </w:p>
        </w:tc>
        <w:tc>
          <w:tcPr>
            <w:tcW w:w="1843" w:type="dxa"/>
          </w:tcPr>
          <w:p w14:paraId="08C0B93C" w14:textId="77777777" w:rsidR="00960FD5" w:rsidRPr="00A864A5" w:rsidRDefault="00960FD5" w:rsidP="00960FD5">
            <w:pPr>
              <w:pStyle w:val="TableText"/>
              <w:keepNext/>
              <w:rPr>
                <w:rFonts w:eastAsia="Calibri"/>
                <w:sz w:val="22"/>
                <w:lang w:val="en-NZ"/>
              </w:rPr>
            </w:pPr>
            <w:r>
              <w:rPr>
                <w:rFonts w:eastAsia="Calibri"/>
                <w:sz w:val="22"/>
                <w:lang w:val="en-NZ"/>
              </w:rPr>
              <w:t>Medium</w:t>
            </w:r>
          </w:p>
        </w:tc>
      </w:tr>
      <w:tr w:rsidR="00960FD5" w:rsidRPr="00A864A5" w14:paraId="59CB8B2F" w14:textId="77777777" w:rsidTr="007B6DAA">
        <w:trPr>
          <w:trHeight w:val="263"/>
        </w:trPr>
        <w:tc>
          <w:tcPr>
            <w:tcW w:w="2830" w:type="dxa"/>
            <w:shd w:val="clear" w:color="auto" w:fill="auto"/>
          </w:tcPr>
          <w:p w14:paraId="5C1BBAF5" w14:textId="77777777" w:rsidR="00960FD5" w:rsidRPr="00A864A5" w:rsidRDefault="00960FD5" w:rsidP="00960FD5">
            <w:pPr>
              <w:pStyle w:val="TableText"/>
              <w:keepNext/>
              <w:rPr>
                <w:rFonts w:eastAsia="Calibri" w:cs="Arial"/>
                <w:color w:val="000000"/>
                <w:sz w:val="22"/>
                <w:lang w:val="en-NZ"/>
              </w:rPr>
            </w:pPr>
            <w:r>
              <w:rPr>
                <w:rFonts w:eastAsia="Calibri"/>
                <w:color w:val="000000"/>
                <w:sz w:val="22"/>
                <w:lang w:val="en-NZ"/>
              </w:rPr>
              <w:t>Wider Government and other service providers that record gender</w:t>
            </w:r>
          </w:p>
        </w:tc>
        <w:tc>
          <w:tcPr>
            <w:tcW w:w="2410" w:type="dxa"/>
            <w:shd w:val="clear" w:color="auto" w:fill="auto"/>
          </w:tcPr>
          <w:p w14:paraId="2EE03AF9" w14:textId="77777777" w:rsidR="00960FD5" w:rsidRPr="00A864A5" w:rsidRDefault="00960FD5" w:rsidP="00960FD5">
            <w:pPr>
              <w:pStyle w:val="TableText"/>
              <w:keepNext/>
              <w:rPr>
                <w:rFonts w:eastAsia="Calibri"/>
                <w:sz w:val="22"/>
                <w:lang w:val="en-NZ"/>
              </w:rPr>
            </w:pPr>
            <w:r>
              <w:rPr>
                <w:rFonts w:eastAsia="Calibri"/>
                <w:sz w:val="22"/>
                <w:lang w:val="en-NZ"/>
              </w:rPr>
              <w:t>-</w:t>
            </w:r>
          </w:p>
        </w:tc>
        <w:tc>
          <w:tcPr>
            <w:tcW w:w="2410" w:type="dxa"/>
            <w:shd w:val="clear" w:color="auto" w:fill="auto"/>
          </w:tcPr>
          <w:p w14:paraId="6B43207F" w14:textId="77777777" w:rsidR="00960FD5" w:rsidRPr="00A864A5" w:rsidRDefault="00960FD5" w:rsidP="00960FD5">
            <w:pPr>
              <w:pStyle w:val="TableText"/>
              <w:keepNext/>
              <w:rPr>
                <w:rFonts w:eastAsia="Calibri"/>
                <w:sz w:val="22"/>
                <w:lang w:val="en-NZ"/>
              </w:rPr>
            </w:pPr>
            <w:r>
              <w:rPr>
                <w:rFonts w:eastAsia="Calibri"/>
                <w:sz w:val="22"/>
                <w:lang w:val="en-NZ"/>
              </w:rPr>
              <w:t>-</w:t>
            </w:r>
          </w:p>
        </w:tc>
        <w:tc>
          <w:tcPr>
            <w:tcW w:w="1843" w:type="dxa"/>
          </w:tcPr>
          <w:p w14:paraId="09429144" w14:textId="77777777" w:rsidR="00960FD5" w:rsidRPr="00A864A5" w:rsidRDefault="00960FD5" w:rsidP="00960FD5">
            <w:pPr>
              <w:pStyle w:val="TableText"/>
              <w:keepNext/>
              <w:rPr>
                <w:rFonts w:eastAsia="Calibri"/>
                <w:sz w:val="22"/>
                <w:lang w:val="en-NZ"/>
              </w:rPr>
            </w:pPr>
            <w:r>
              <w:rPr>
                <w:rFonts w:eastAsia="Calibri"/>
                <w:sz w:val="22"/>
                <w:lang w:val="en-NZ"/>
              </w:rPr>
              <w:t>N/A</w:t>
            </w:r>
          </w:p>
        </w:tc>
      </w:tr>
      <w:tr w:rsidR="00960FD5" w:rsidRPr="00A864A5" w14:paraId="2704A5F8" w14:textId="77777777" w:rsidTr="007B6DAA">
        <w:trPr>
          <w:trHeight w:val="263"/>
        </w:trPr>
        <w:tc>
          <w:tcPr>
            <w:tcW w:w="2830" w:type="dxa"/>
            <w:shd w:val="clear" w:color="auto" w:fill="auto"/>
          </w:tcPr>
          <w:p w14:paraId="70A76DBA" w14:textId="3A45BA8C" w:rsidR="00960FD5" w:rsidRPr="00A864A5" w:rsidDel="00AE2FEE" w:rsidRDefault="00960FD5" w:rsidP="00960FD5">
            <w:pPr>
              <w:pStyle w:val="TableText"/>
              <w:keepNext/>
              <w:rPr>
                <w:rFonts w:eastAsia="Calibri"/>
                <w:color w:val="000000"/>
                <w:sz w:val="22"/>
                <w:lang w:val="en-NZ"/>
              </w:rPr>
            </w:pPr>
            <w:r>
              <w:rPr>
                <w:rFonts w:eastAsia="Calibri"/>
                <w:color w:val="000000"/>
                <w:sz w:val="22"/>
                <w:lang w:val="en-NZ"/>
              </w:rPr>
              <w:t xml:space="preserve">People who are </w:t>
            </w:r>
            <w:r w:rsidR="000D1B21">
              <w:rPr>
                <w:rFonts w:eastAsia="Calibri"/>
                <w:color w:val="000000"/>
                <w:sz w:val="22"/>
                <w:lang w:val="en-NZ"/>
              </w:rPr>
              <w:t>transgender and making multiple amendments</w:t>
            </w:r>
          </w:p>
        </w:tc>
        <w:tc>
          <w:tcPr>
            <w:tcW w:w="2410" w:type="dxa"/>
            <w:shd w:val="clear" w:color="auto" w:fill="auto"/>
          </w:tcPr>
          <w:p w14:paraId="622968BC" w14:textId="43CF705A" w:rsidR="00960FD5" w:rsidRDefault="000D1B21" w:rsidP="00960FD5">
            <w:pPr>
              <w:pStyle w:val="TableText"/>
              <w:keepNext/>
              <w:rPr>
                <w:rFonts w:eastAsia="Calibri"/>
                <w:sz w:val="22"/>
                <w:lang w:val="en-NZ"/>
              </w:rPr>
            </w:pPr>
            <w:r>
              <w:rPr>
                <w:rFonts w:eastAsia="Calibri"/>
                <w:sz w:val="22"/>
                <w:lang w:val="en-NZ"/>
              </w:rPr>
              <w:t xml:space="preserve">Cost </w:t>
            </w:r>
            <w:r w:rsidR="007B6DAA">
              <w:rPr>
                <w:rFonts w:eastAsia="Calibri"/>
                <w:sz w:val="22"/>
                <w:lang w:val="en-NZ"/>
              </w:rPr>
              <w:t xml:space="preserve">and effort </w:t>
            </w:r>
            <w:r>
              <w:rPr>
                <w:rFonts w:eastAsia="Calibri"/>
                <w:sz w:val="22"/>
                <w:lang w:val="en-NZ"/>
              </w:rPr>
              <w:t>involved in adhering to additional requirements.</w:t>
            </w:r>
          </w:p>
        </w:tc>
        <w:tc>
          <w:tcPr>
            <w:tcW w:w="2410" w:type="dxa"/>
            <w:shd w:val="clear" w:color="auto" w:fill="auto"/>
          </w:tcPr>
          <w:p w14:paraId="69A3F15A" w14:textId="77777777" w:rsidR="00960FD5" w:rsidRDefault="00960FD5" w:rsidP="00960FD5">
            <w:pPr>
              <w:pStyle w:val="TableText"/>
              <w:keepNext/>
              <w:rPr>
                <w:rFonts w:eastAsia="Calibri"/>
                <w:sz w:val="22"/>
                <w:lang w:val="en-NZ"/>
              </w:rPr>
            </w:pPr>
            <w:r>
              <w:rPr>
                <w:rFonts w:eastAsia="Calibri"/>
                <w:sz w:val="22"/>
                <w:lang w:val="en-NZ"/>
              </w:rPr>
              <w:t>TBD</w:t>
            </w:r>
          </w:p>
        </w:tc>
        <w:tc>
          <w:tcPr>
            <w:tcW w:w="1843" w:type="dxa"/>
          </w:tcPr>
          <w:p w14:paraId="516EE99A" w14:textId="77777777" w:rsidR="00960FD5" w:rsidRDefault="00960FD5" w:rsidP="00960FD5">
            <w:pPr>
              <w:pStyle w:val="TableText"/>
              <w:keepNext/>
              <w:rPr>
                <w:rFonts w:eastAsia="Calibri"/>
                <w:sz w:val="22"/>
                <w:lang w:val="en-NZ"/>
              </w:rPr>
            </w:pPr>
            <w:r>
              <w:rPr>
                <w:rFonts w:eastAsia="Calibri"/>
                <w:sz w:val="22"/>
                <w:lang w:val="en-NZ"/>
              </w:rPr>
              <w:t>N/A</w:t>
            </w:r>
          </w:p>
        </w:tc>
      </w:tr>
      <w:tr w:rsidR="00960FD5" w:rsidRPr="00A864A5" w14:paraId="7A8AC706" w14:textId="77777777" w:rsidTr="007B6DAA">
        <w:trPr>
          <w:trHeight w:val="263"/>
        </w:trPr>
        <w:tc>
          <w:tcPr>
            <w:tcW w:w="2830" w:type="dxa"/>
            <w:shd w:val="clear" w:color="auto" w:fill="auto"/>
          </w:tcPr>
          <w:p w14:paraId="785FD995" w14:textId="77777777" w:rsidR="00960FD5" w:rsidRPr="00A864A5" w:rsidRDefault="00960FD5" w:rsidP="00960FD5">
            <w:pPr>
              <w:pStyle w:val="TableText"/>
              <w:keepNext/>
              <w:rPr>
                <w:rFonts w:eastAsia="Calibri"/>
                <w:b/>
                <w:sz w:val="22"/>
                <w:lang w:val="en-NZ"/>
              </w:rPr>
            </w:pPr>
            <w:r w:rsidRPr="00A864A5">
              <w:rPr>
                <w:rFonts w:eastAsia="Calibri"/>
                <w:b/>
                <w:sz w:val="22"/>
                <w:lang w:val="en-NZ"/>
              </w:rPr>
              <w:t>Total monetised costs</w:t>
            </w:r>
          </w:p>
        </w:tc>
        <w:tc>
          <w:tcPr>
            <w:tcW w:w="2410" w:type="dxa"/>
            <w:shd w:val="clear" w:color="auto" w:fill="auto"/>
          </w:tcPr>
          <w:p w14:paraId="102B15B4" w14:textId="77777777" w:rsidR="00960FD5" w:rsidRPr="00960FD5" w:rsidRDefault="00960FD5" w:rsidP="00960FD5">
            <w:pPr>
              <w:pStyle w:val="TableText"/>
              <w:keepNext/>
              <w:rPr>
                <w:rFonts w:eastAsia="Calibri"/>
                <w:sz w:val="22"/>
                <w:lang w:val="en-NZ"/>
              </w:rPr>
            </w:pPr>
            <w:r>
              <w:rPr>
                <w:rFonts w:eastAsia="Calibri"/>
                <w:sz w:val="22"/>
                <w:lang w:val="en-NZ"/>
              </w:rPr>
              <w:t>Unknown</w:t>
            </w:r>
          </w:p>
        </w:tc>
        <w:tc>
          <w:tcPr>
            <w:tcW w:w="2410" w:type="dxa"/>
            <w:shd w:val="clear" w:color="auto" w:fill="auto"/>
          </w:tcPr>
          <w:p w14:paraId="5FEC5582" w14:textId="77777777" w:rsidR="00960FD5" w:rsidRPr="00A864A5" w:rsidRDefault="00960FD5" w:rsidP="00960FD5">
            <w:pPr>
              <w:pStyle w:val="TableText"/>
              <w:keepNext/>
              <w:rPr>
                <w:rFonts w:eastAsia="Calibri"/>
                <w:sz w:val="22"/>
                <w:lang w:val="en-NZ"/>
              </w:rPr>
            </w:pPr>
            <w:r>
              <w:rPr>
                <w:rFonts w:eastAsia="Calibri"/>
                <w:sz w:val="22"/>
                <w:lang w:val="en-NZ"/>
              </w:rPr>
              <w:t>N/A</w:t>
            </w:r>
          </w:p>
        </w:tc>
        <w:tc>
          <w:tcPr>
            <w:tcW w:w="1843" w:type="dxa"/>
          </w:tcPr>
          <w:p w14:paraId="08994222" w14:textId="77777777" w:rsidR="00960FD5" w:rsidRPr="00A864A5" w:rsidRDefault="00960FD5" w:rsidP="00960FD5">
            <w:pPr>
              <w:pStyle w:val="TableText"/>
              <w:keepNext/>
              <w:rPr>
                <w:rFonts w:eastAsia="Calibri"/>
                <w:sz w:val="22"/>
                <w:lang w:val="en-NZ"/>
              </w:rPr>
            </w:pPr>
            <w:r>
              <w:rPr>
                <w:rFonts w:eastAsia="Calibri"/>
                <w:sz w:val="22"/>
                <w:lang w:val="en-NZ"/>
              </w:rPr>
              <w:t>N/A</w:t>
            </w:r>
          </w:p>
        </w:tc>
      </w:tr>
      <w:tr w:rsidR="00960FD5" w:rsidRPr="00A864A5" w14:paraId="1031992F" w14:textId="77777777" w:rsidTr="007B6DAA">
        <w:trPr>
          <w:trHeight w:val="263"/>
        </w:trPr>
        <w:tc>
          <w:tcPr>
            <w:tcW w:w="2830" w:type="dxa"/>
            <w:shd w:val="clear" w:color="auto" w:fill="auto"/>
          </w:tcPr>
          <w:p w14:paraId="3902259E" w14:textId="77777777" w:rsidR="00960FD5" w:rsidRPr="00A864A5" w:rsidRDefault="00960FD5" w:rsidP="00960FD5">
            <w:pPr>
              <w:pStyle w:val="TableText"/>
              <w:keepNext/>
              <w:rPr>
                <w:rFonts w:eastAsia="Calibri"/>
                <w:b/>
                <w:sz w:val="22"/>
                <w:lang w:val="en-NZ"/>
              </w:rPr>
            </w:pPr>
            <w:r w:rsidRPr="00A864A5">
              <w:rPr>
                <w:rFonts w:eastAsia="Calibri"/>
                <w:b/>
                <w:sz w:val="22"/>
                <w:lang w:val="en-NZ"/>
              </w:rPr>
              <w:t xml:space="preserve">Non-monetised costs </w:t>
            </w:r>
          </w:p>
        </w:tc>
        <w:tc>
          <w:tcPr>
            <w:tcW w:w="2410" w:type="dxa"/>
            <w:shd w:val="clear" w:color="auto" w:fill="auto"/>
          </w:tcPr>
          <w:p w14:paraId="226A02BB" w14:textId="77777777" w:rsidR="00960FD5" w:rsidRPr="00960FD5" w:rsidRDefault="00960FD5" w:rsidP="00960FD5">
            <w:pPr>
              <w:pStyle w:val="TableText"/>
              <w:keepNext/>
              <w:rPr>
                <w:rFonts w:eastAsia="Calibri"/>
                <w:sz w:val="22"/>
                <w:lang w:val="en-NZ"/>
              </w:rPr>
            </w:pPr>
            <w:r>
              <w:rPr>
                <w:rFonts w:eastAsia="Calibri"/>
                <w:sz w:val="22"/>
                <w:lang w:val="en-NZ"/>
              </w:rPr>
              <w:t>Unknown</w:t>
            </w:r>
          </w:p>
        </w:tc>
        <w:tc>
          <w:tcPr>
            <w:tcW w:w="2410" w:type="dxa"/>
            <w:shd w:val="clear" w:color="auto" w:fill="auto"/>
          </w:tcPr>
          <w:p w14:paraId="57F77BBA" w14:textId="77777777" w:rsidR="00960FD5" w:rsidRPr="00960FD5" w:rsidRDefault="00960FD5" w:rsidP="00960FD5">
            <w:pPr>
              <w:pStyle w:val="TableText"/>
              <w:keepNext/>
              <w:rPr>
                <w:rFonts w:eastAsia="Calibri"/>
                <w:sz w:val="22"/>
                <w:lang w:val="en-NZ"/>
              </w:rPr>
            </w:pPr>
            <w:r>
              <w:rPr>
                <w:rFonts w:eastAsia="Calibri"/>
                <w:sz w:val="22"/>
                <w:lang w:val="en-NZ"/>
              </w:rPr>
              <w:t>N/A</w:t>
            </w:r>
          </w:p>
        </w:tc>
        <w:tc>
          <w:tcPr>
            <w:tcW w:w="1843" w:type="dxa"/>
          </w:tcPr>
          <w:p w14:paraId="4C526676" w14:textId="77777777" w:rsidR="00960FD5" w:rsidRPr="00960FD5" w:rsidRDefault="00960FD5" w:rsidP="00960FD5">
            <w:pPr>
              <w:pStyle w:val="TableText"/>
              <w:keepNext/>
              <w:rPr>
                <w:rFonts w:eastAsia="Calibri"/>
                <w:sz w:val="22"/>
                <w:lang w:val="en-NZ"/>
              </w:rPr>
            </w:pPr>
            <w:r>
              <w:rPr>
                <w:rFonts w:eastAsia="Calibri"/>
                <w:sz w:val="22"/>
                <w:lang w:val="en-NZ"/>
              </w:rPr>
              <w:t>N/A</w:t>
            </w:r>
          </w:p>
        </w:tc>
      </w:tr>
      <w:tr w:rsidR="00960FD5" w:rsidRPr="00A864A5" w14:paraId="5A262861" w14:textId="77777777" w:rsidTr="007B6DAA">
        <w:trPr>
          <w:trHeight w:val="426"/>
        </w:trPr>
        <w:tc>
          <w:tcPr>
            <w:tcW w:w="9493" w:type="dxa"/>
            <w:gridSpan w:val="4"/>
            <w:shd w:val="clear" w:color="auto" w:fill="F2F2F2" w:themeFill="background1" w:themeFillShade="F2"/>
            <w:vAlign w:val="center"/>
          </w:tcPr>
          <w:p w14:paraId="59CE4B28" w14:textId="77777777" w:rsidR="00960FD5" w:rsidRDefault="00960FD5" w:rsidP="00960FD5">
            <w:pPr>
              <w:spacing w:before="40" w:after="20" w:line="240" w:lineRule="auto"/>
              <w:jc w:val="center"/>
              <w:rPr>
                <w:rFonts w:eastAsia="Calibri"/>
                <w:b/>
                <w:bCs/>
                <w:color w:val="000000"/>
                <w:szCs w:val="22"/>
                <w:lang w:val="en-NZ"/>
              </w:rPr>
            </w:pPr>
            <w:r>
              <w:rPr>
                <w:rFonts w:eastAsia="Calibri"/>
                <w:b/>
                <w:bCs/>
                <w:color w:val="000000"/>
                <w:szCs w:val="22"/>
                <w:lang w:val="en-NZ"/>
              </w:rPr>
              <w:t>Additional b</w:t>
            </w:r>
            <w:r w:rsidRPr="00A864A5">
              <w:rPr>
                <w:rFonts w:eastAsia="Calibri"/>
                <w:b/>
                <w:bCs/>
                <w:color w:val="000000"/>
                <w:szCs w:val="22"/>
                <w:lang w:val="en-NZ"/>
              </w:rPr>
              <w:t xml:space="preserve">enefits of the preferred option compared to </w:t>
            </w:r>
            <w:r>
              <w:rPr>
                <w:rFonts w:eastAsia="Calibri"/>
                <w:b/>
                <w:bCs/>
                <w:color w:val="000000"/>
                <w:szCs w:val="22"/>
                <w:lang w:val="en-NZ"/>
              </w:rPr>
              <w:t>taking no action</w:t>
            </w:r>
          </w:p>
        </w:tc>
      </w:tr>
      <w:tr w:rsidR="00960FD5" w:rsidRPr="00A864A5" w14:paraId="0008AFDF" w14:textId="77777777" w:rsidTr="007B6DAA">
        <w:trPr>
          <w:trHeight w:val="381"/>
        </w:trPr>
        <w:tc>
          <w:tcPr>
            <w:tcW w:w="2830" w:type="dxa"/>
            <w:shd w:val="clear" w:color="auto" w:fill="auto"/>
          </w:tcPr>
          <w:p w14:paraId="04E7EBD5" w14:textId="77777777" w:rsidR="00960FD5" w:rsidRPr="00A864A5" w:rsidRDefault="00960FD5" w:rsidP="00960FD5">
            <w:pPr>
              <w:pStyle w:val="TableText"/>
              <w:rPr>
                <w:rFonts w:eastAsia="Calibri"/>
                <w:sz w:val="22"/>
                <w:lang w:val="en-NZ"/>
              </w:rPr>
            </w:pPr>
            <w:r w:rsidRPr="00A864A5">
              <w:rPr>
                <w:rFonts w:eastAsia="Calibri"/>
                <w:sz w:val="22"/>
                <w:lang w:val="en-NZ"/>
              </w:rPr>
              <w:t>Regulated groups</w:t>
            </w:r>
          </w:p>
        </w:tc>
        <w:tc>
          <w:tcPr>
            <w:tcW w:w="2410" w:type="dxa"/>
            <w:shd w:val="clear" w:color="auto" w:fill="auto"/>
          </w:tcPr>
          <w:p w14:paraId="504EEEA5" w14:textId="77777777" w:rsidR="00960FD5" w:rsidRPr="00A864A5" w:rsidRDefault="00960FD5" w:rsidP="00960FD5">
            <w:pPr>
              <w:pStyle w:val="TableText"/>
              <w:rPr>
                <w:rFonts w:eastAsia="Calibri"/>
                <w:sz w:val="22"/>
                <w:lang w:val="en-NZ"/>
              </w:rPr>
            </w:pPr>
            <w:r>
              <w:rPr>
                <w:rFonts w:eastAsia="Calibri"/>
                <w:sz w:val="22"/>
                <w:lang w:val="en-NZ"/>
              </w:rPr>
              <w:t>-</w:t>
            </w:r>
          </w:p>
        </w:tc>
        <w:tc>
          <w:tcPr>
            <w:tcW w:w="2410" w:type="dxa"/>
            <w:shd w:val="clear" w:color="auto" w:fill="auto"/>
          </w:tcPr>
          <w:p w14:paraId="7F26067B" w14:textId="77777777" w:rsidR="00960FD5" w:rsidRPr="00A864A5" w:rsidRDefault="00960FD5" w:rsidP="00960FD5">
            <w:pPr>
              <w:pStyle w:val="TableText"/>
              <w:rPr>
                <w:rFonts w:eastAsia="Calibri"/>
                <w:sz w:val="22"/>
                <w:lang w:val="en-NZ"/>
              </w:rPr>
            </w:pPr>
            <w:r>
              <w:rPr>
                <w:rFonts w:eastAsia="Calibri"/>
                <w:sz w:val="22"/>
                <w:lang w:val="en-NZ"/>
              </w:rPr>
              <w:t>-</w:t>
            </w:r>
          </w:p>
        </w:tc>
        <w:tc>
          <w:tcPr>
            <w:tcW w:w="1843" w:type="dxa"/>
          </w:tcPr>
          <w:p w14:paraId="70D39504" w14:textId="77777777" w:rsidR="00960FD5" w:rsidRPr="00A864A5" w:rsidRDefault="00960FD5" w:rsidP="00960FD5">
            <w:pPr>
              <w:pStyle w:val="TableText"/>
              <w:rPr>
                <w:rFonts w:eastAsia="Calibri"/>
                <w:sz w:val="22"/>
                <w:lang w:val="en-NZ"/>
              </w:rPr>
            </w:pPr>
            <w:r>
              <w:rPr>
                <w:rFonts w:eastAsia="Calibri"/>
                <w:sz w:val="22"/>
                <w:lang w:val="en-NZ"/>
              </w:rPr>
              <w:t>-</w:t>
            </w:r>
          </w:p>
        </w:tc>
      </w:tr>
      <w:tr w:rsidR="00960FD5" w:rsidRPr="00A864A5" w14:paraId="07DE9FA2" w14:textId="77777777" w:rsidTr="007B6DAA">
        <w:trPr>
          <w:trHeight w:val="381"/>
        </w:trPr>
        <w:tc>
          <w:tcPr>
            <w:tcW w:w="2830" w:type="dxa"/>
            <w:shd w:val="clear" w:color="auto" w:fill="auto"/>
          </w:tcPr>
          <w:p w14:paraId="684FA366" w14:textId="0F880E02" w:rsidR="00960FD5" w:rsidRPr="00A864A5" w:rsidRDefault="00960FD5" w:rsidP="00960FD5">
            <w:pPr>
              <w:pStyle w:val="TableText"/>
              <w:rPr>
                <w:rFonts w:eastAsia="Calibri"/>
                <w:sz w:val="22"/>
                <w:lang w:val="en-NZ"/>
              </w:rPr>
            </w:pPr>
            <w:r w:rsidRPr="00A864A5">
              <w:rPr>
                <w:rFonts w:eastAsia="Calibri"/>
                <w:sz w:val="22"/>
                <w:lang w:val="en-NZ"/>
              </w:rPr>
              <w:t>Regulators</w:t>
            </w:r>
            <w:r w:rsidR="007B6DAA">
              <w:rPr>
                <w:rFonts w:eastAsia="Calibri"/>
                <w:sz w:val="22"/>
                <w:lang w:val="en-NZ"/>
              </w:rPr>
              <w:t xml:space="preserve"> (DIA)</w:t>
            </w:r>
          </w:p>
        </w:tc>
        <w:tc>
          <w:tcPr>
            <w:tcW w:w="2410" w:type="dxa"/>
            <w:shd w:val="clear" w:color="auto" w:fill="auto"/>
          </w:tcPr>
          <w:p w14:paraId="523C7265" w14:textId="422361FD" w:rsidR="00960FD5" w:rsidRPr="00A864A5" w:rsidRDefault="007B6DAA" w:rsidP="00960FD5">
            <w:pPr>
              <w:pStyle w:val="TableText"/>
              <w:rPr>
                <w:rFonts w:eastAsia="Calibri"/>
                <w:sz w:val="22"/>
                <w:lang w:val="en-NZ"/>
              </w:rPr>
            </w:pPr>
            <w:r>
              <w:rPr>
                <w:rFonts w:eastAsia="Calibri"/>
                <w:sz w:val="22"/>
                <w:lang w:val="en-NZ"/>
              </w:rPr>
              <w:t>-</w:t>
            </w:r>
          </w:p>
        </w:tc>
        <w:tc>
          <w:tcPr>
            <w:tcW w:w="2410" w:type="dxa"/>
            <w:shd w:val="clear" w:color="auto" w:fill="auto"/>
          </w:tcPr>
          <w:p w14:paraId="73FD7B35" w14:textId="77777777" w:rsidR="00960FD5" w:rsidRPr="00A864A5" w:rsidRDefault="00960FD5" w:rsidP="00960FD5">
            <w:pPr>
              <w:pStyle w:val="TableText"/>
              <w:rPr>
                <w:rFonts w:eastAsia="Calibri"/>
                <w:sz w:val="22"/>
                <w:lang w:val="en-NZ"/>
              </w:rPr>
            </w:pPr>
            <w:r>
              <w:rPr>
                <w:rFonts w:eastAsia="Calibri"/>
                <w:sz w:val="22"/>
                <w:lang w:val="en-NZ"/>
              </w:rPr>
              <w:t>-</w:t>
            </w:r>
          </w:p>
        </w:tc>
        <w:tc>
          <w:tcPr>
            <w:tcW w:w="1843" w:type="dxa"/>
          </w:tcPr>
          <w:p w14:paraId="5E6C9D62" w14:textId="77777777" w:rsidR="00960FD5" w:rsidRPr="00A864A5" w:rsidRDefault="00960FD5" w:rsidP="00960FD5">
            <w:pPr>
              <w:pStyle w:val="TableText"/>
              <w:rPr>
                <w:rFonts w:eastAsia="Calibri"/>
                <w:sz w:val="22"/>
                <w:lang w:val="en-NZ"/>
              </w:rPr>
            </w:pPr>
            <w:r>
              <w:rPr>
                <w:rFonts w:eastAsia="Calibri"/>
                <w:sz w:val="22"/>
                <w:lang w:val="en-NZ"/>
              </w:rPr>
              <w:t>-</w:t>
            </w:r>
          </w:p>
        </w:tc>
      </w:tr>
      <w:tr w:rsidR="00960FD5" w:rsidRPr="00A864A5" w14:paraId="1D82FB73" w14:textId="77777777" w:rsidTr="007B6DAA">
        <w:trPr>
          <w:trHeight w:val="263"/>
        </w:trPr>
        <w:tc>
          <w:tcPr>
            <w:tcW w:w="2830" w:type="dxa"/>
            <w:shd w:val="clear" w:color="auto" w:fill="auto"/>
          </w:tcPr>
          <w:p w14:paraId="029EB3F7" w14:textId="77777777" w:rsidR="00960FD5" w:rsidRPr="00A864A5" w:rsidRDefault="00960FD5" w:rsidP="00960FD5">
            <w:pPr>
              <w:pStyle w:val="TableText"/>
              <w:rPr>
                <w:rFonts w:eastAsia="Calibri"/>
                <w:sz w:val="22"/>
                <w:lang w:val="en-NZ"/>
              </w:rPr>
            </w:pPr>
            <w:r>
              <w:rPr>
                <w:rFonts w:eastAsia="Calibri"/>
                <w:color w:val="000000"/>
                <w:sz w:val="22"/>
                <w:lang w:val="en-NZ"/>
              </w:rPr>
              <w:t>Wider Government and other service providers that record gender</w:t>
            </w:r>
          </w:p>
        </w:tc>
        <w:tc>
          <w:tcPr>
            <w:tcW w:w="2410" w:type="dxa"/>
            <w:shd w:val="clear" w:color="auto" w:fill="auto"/>
          </w:tcPr>
          <w:p w14:paraId="1D6AC15B" w14:textId="7B2BB298" w:rsidR="00960FD5" w:rsidRPr="00A864A5" w:rsidRDefault="003F32B8" w:rsidP="00960FD5">
            <w:pPr>
              <w:pStyle w:val="TableText"/>
              <w:rPr>
                <w:rFonts w:eastAsia="Calibri"/>
                <w:sz w:val="22"/>
                <w:lang w:val="en-NZ"/>
              </w:rPr>
            </w:pPr>
            <w:r>
              <w:rPr>
                <w:rFonts w:eastAsia="Calibri"/>
                <w:sz w:val="22"/>
                <w:lang w:val="en-NZ"/>
              </w:rPr>
              <w:t xml:space="preserve">May be less vulnerable to </w:t>
            </w:r>
            <w:r w:rsidR="007B6DAA">
              <w:rPr>
                <w:rFonts w:eastAsia="Calibri"/>
                <w:sz w:val="22"/>
                <w:lang w:val="en-NZ"/>
              </w:rPr>
              <w:t>identity fraud.</w:t>
            </w:r>
          </w:p>
        </w:tc>
        <w:tc>
          <w:tcPr>
            <w:tcW w:w="2410" w:type="dxa"/>
            <w:shd w:val="clear" w:color="auto" w:fill="auto"/>
          </w:tcPr>
          <w:p w14:paraId="23888380" w14:textId="77777777" w:rsidR="00960FD5" w:rsidRPr="00A864A5" w:rsidRDefault="00960FD5" w:rsidP="00960FD5">
            <w:pPr>
              <w:pStyle w:val="TableText"/>
              <w:rPr>
                <w:rFonts w:eastAsia="Calibri"/>
                <w:sz w:val="22"/>
                <w:lang w:val="en-NZ"/>
              </w:rPr>
            </w:pPr>
            <w:r>
              <w:rPr>
                <w:rFonts w:eastAsia="Calibri"/>
                <w:sz w:val="22"/>
                <w:lang w:val="en-NZ"/>
              </w:rPr>
              <w:t>TBD</w:t>
            </w:r>
          </w:p>
        </w:tc>
        <w:tc>
          <w:tcPr>
            <w:tcW w:w="1843" w:type="dxa"/>
          </w:tcPr>
          <w:p w14:paraId="47297BE6" w14:textId="64F59777" w:rsidR="00960FD5" w:rsidRPr="00A864A5" w:rsidRDefault="007B6DAA" w:rsidP="00960FD5">
            <w:pPr>
              <w:pStyle w:val="TableText"/>
              <w:rPr>
                <w:rFonts w:eastAsia="Calibri"/>
                <w:sz w:val="22"/>
                <w:lang w:val="en-NZ"/>
              </w:rPr>
            </w:pPr>
            <w:r>
              <w:rPr>
                <w:rFonts w:eastAsia="Calibri"/>
                <w:sz w:val="22"/>
                <w:lang w:val="en-NZ"/>
              </w:rPr>
              <w:t>N/A</w:t>
            </w:r>
          </w:p>
        </w:tc>
      </w:tr>
      <w:tr w:rsidR="00960FD5" w:rsidRPr="00A864A5" w14:paraId="23363EC3" w14:textId="77777777" w:rsidTr="007B6DAA">
        <w:trPr>
          <w:trHeight w:val="263"/>
        </w:trPr>
        <w:tc>
          <w:tcPr>
            <w:tcW w:w="2830" w:type="dxa"/>
            <w:shd w:val="clear" w:color="auto" w:fill="auto"/>
          </w:tcPr>
          <w:p w14:paraId="44F53CE6" w14:textId="79FD7E78" w:rsidR="00960FD5" w:rsidRDefault="007B6DAA" w:rsidP="00960FD5">
            <w:pPr>
              <w:pStyle w:val="TableText"/>
              <w:rPr>
                <w:rFonts w:eastAsia="Calibri"/>
                <w:color w:val="000000"/>
                <w:sz w:val="22"/>
                <w:lang w:val="en-NZ"/>
              </w:rPr>
            </w:pPr>
            <w:r>
              <w:rPr>
                <w:rFonts w:eastAsia="Calibri"/>
                <w:color w:val="000000"/>
                <w:sz w:val="22"/>
                <w:lang w:val="en-NZ"/>
              </w:rPr>
              <w:t>People who are transgender and making multiple amendments</w:t>
            </w:r>
          </w:p>
        </w:tc>
        <w:tc>
          <w:tcPr>
            <w:tcW w:w="2410" w:type="dxa"/>
            <w:shd w:val="clear" w:color="auto" w:fill="auto"/>
          </w:tcPr>
          <w:p w14:paraId="0F2E2065" w14:textId="7EB1015F" w:rsidR="00960FD5" w:rsidRDefault="007B6DAA" w:rsidP="00960FD5">
            <w:pPr>
              <w:pStyle w:val="TableText"/>
              <w:rPr>
                <w:rFonts w:eastAsia="Calibri"/>
                <w:sz w:val="22"/>
                <w:lang w:val="en-NZ"/>
              </w:rPr>
            </w:pPr>
            <w:r>
              <w:rPr>
                <w:rFonts w:eastAsia="Calibri"/>
                <w:sz w:val="22"/>
                <w:lang w:val="en-NZ"/>
              </w:rPr>
              <w:t>-</w:t>
            </w:r>
          </w:p>
        </w:tc>
        <w:tc>
          <w:tcPr>
            <w:tcW w:w="2410" w:type="dxa"/>
            <w:shd w:val="clear" w:color="auto" w:fill="auto"/>
          </w:tcPr>
          <w:p w14:paraId="779D7830" w14:textId="625E8DD0" w:rsidR="00960FD5" w:rsidRDefault="007B6DAA" w:rsidP="00960FD5">
            <w:pPr>
              <w:pStyle w:val="TableText"/>
              <w:rPr>
                <w:rFonts w:eastAsia="Calibri"/>
                <w:sz w:val="22"/>
                <w:lang w:val="en-NZ"/>
              </w:rPr>
            </w:pPr>
            <w:r>
              <w:rPr>
                <w:rFonts w:eastAsia="Calibri"/>
                <w:sz w:val="22"/>
                <w:lang w:val="en-NZ"/>
              </w:rPr>
              <w:t>-</w:t>
            </w:r>
          </w:p>
        </w:tc>
        <w:tc>
          <w:tcPr>
            <w:tcW w:w="1843" w:type="dxa"/>
          </w:tcPr>
          <w:p w14:paraId="6F18BDCC" w14:textId="4252CE64" w:rsidR="00960FD5" w:rsidRDefault="007B6DAA" w:rsidP="00960FD5">
            <w:pPr>
              <w:pStyle w:val="TableText"/>
              <w:rPr>
                <w:rFonts w:eastAsia="Calibri"/>
                <w:sz w:val="22"/>
                <w:lang w:val="en-NZ"/>
              </w:rPr>
            </w:pPr>
            <w:r>
              <w:rPr>
                <w:rFonts w:eastAsia="Calibri"/>
                <w:sz w:val="22"/>
                <w:lang w:val="en-NZ"/>
              </w:rPr>
              <w:t>-</w:t>
            </w:r>
          </w:p>
        </w:tc>
      </w:tr>
      <w:tr w:rsidR="00960FD5" w:rsidRPr="00A864A5" w14:paraId="73807B21" w14:textId="77777777" w:rsidTr="007B6DAA">
        <w:trPr>
          <w:trHeight w:val="263"/>
        </w:trPr>
        <w:tc>
          <w:tcPr>
            <w:tcW w:w="2830" w:type="dxa"/>
            <w:shd w:val="clear" w:color="auto" w:fill="auto"/>
          </w:tcPr>
          <w:p w14:paraId="731277DC" w14:textId="77777777" w:rsidR="00960FD5" w:rsidRPr="00A864A5" w:rsidRDefault="00960FD5" w:rsidP="00960FD5">
            <w:pPr>
              <w:pStyle w:val="TableText"/>
              <w:rPr>
                <w:rFonts w:eastAsia="Calibri"/>
                <w:b/>
                <w:sz w:val="22"/>
                <w:lang w:val="en-NZ"/>
              </w:rPr>
            </w:pPr>
            <w:r w:rsidRPr="00A864A5">
              <w:rPr>
                <w:rFonts w:eastAsia="Calibri"/>
                <w:b/>
                <w:sz w:val="22"/>
                <w:lang w:val="en-NZ"/>
              </w:rPr>
              <w:t>Total monetised benefits</w:t>
            </w:r>
          </w:p>
        </w:tc>
        <w:tc>
          <w:tcPr>
            <w:tcW w:w="2410" w:type="dxa"/>
            <w:shd w:val="clear" w:color="auto" w:fill="auto"/>
          </w:tcPr>
          <w:p w14:paraId="268D1588" w14:textId="27A5B99D" w:rsidR="00960FD5" w:rsidRPr="00A864A5" w:rsidRDefault="007B6DAA" w:rsidP="00960FD5">
            <w:pPr>
              <w:pStyle w:val="TableText"/>
              <w:rPr>
                <w:rFonts w:eastAsia="Calibri"/>
                <w:sz w:val="22"/>
                <w:lang w:val="en-NZ"/>
              </w:rPr>
            </w:pPr>
            <w:r>
              <w:rPr>
                <w:rFonts w:eastAsia="Calibri"/>
                <w:sz w:val="22"/>
                <w:lang w:val="en-NZ"/>
              </w:rPr>
              <w:t>Unknown</w:t>
            </w:r>
          </w:p>
        </w:tc>
        <w:tc>
          <w:tcPr>
            <w:tcW w:w="2410" w:type="dxa"/>
            <w:shd w:val="clear" w:color="auto" w:fill="auto"/>
          </w:tcPr>
          <w:p w14:paraId="0D7FB762" w14:textId="42671F2D" w:rsidR="00960FD5" w:rsidRPr="00A864A5" w:rsidRDefault="007B6DAA" w:rsidP="00960FD5">
            <w:pPr>
              <w:pStyle w:val="TableText"/>
              <w:rPr>
                <w:rFonts w:eastAsia="Calibri"/>
                <w:sz w:val="22"/>
                <w:lang w:val="en-NZ"/>
              </w:rPr>
            </w:pPr>
            <w:r>
              <w:rPr>
                <w:rFonts w:eastAsia="Calibri"/>
                <w:sz w:val="22"/>
                <w:lang w:val="en-NZ"/>
              </w:rPr>
              <w:t>N/A</w:t>
            </w:r>
          </w:p>
        </w:tc>
        <w:tc>
          <w:tcPr>
            <w:tcW w:w="1843" w:type="dxa"/>
          </w:tcPr>
          <w:p w14:paraId="77AAEE2F" w14:textId="77777777" w:rsidR="00960FD5" w:rsidRPr="00A864A5" w:rsidRDefault="00960FD5" w:rsidP="00960FD5">
            <w:pPr>
              <w:pStyle w:val="TableText"/>
              <w:rPr>
                <w:rFonts w:eastAsia="Calibri"/>
                <w:sz w:val="22"/>
                <w:lang w:val="en-NZ"/>
              </w:rPr>
            </w:pPr>
            <w:r>
              <w:rPr>
                <w:rFonts w:eastAsia="Calibri"/>
                <w:sz w:val="22"/>
                <w:lang w:val="en-NZ"/>
              </w:rPr>
              <w:t>N/A</w:t>
            </w:r>
          </w:p>
        </w:tc>
      </w:tr>
      <w:tr w:rsidR="007B6DAA" w:rsidRPr="00A864A5" w14:paraId="33FF7086" w14:textId="77777777" w:rsidTr="007B6DAA">
        <w:trPr>
          <w:trHeight w:val="263"/>
        </w:trPr>
        <w:tc>
          <w:tcPr>
            <w:tcW w:w="2830" w:type="dxa"/>
            <w:shd w:val="clear" w:color="auto" w:fill="auto"/>
          </w:tcPr>
          <w:p w14:paraId="16360449" w14:textId="5CF71F76" w:rsidR="007B6DAA" w:rsidRPr="00A864A5" w:rsidRDefault="007B6DAA" w:rsidP="00960FD5">
            <w:pPr>
              <w:pStyle w:val="TableText"/>
              <w:rPr>
                <w:rFonts w:eastAsia="Calibri"/>
                <w:b/>
                <w:sz w:val="22"/>
                <w:lang w:val="en-NZ"/>
              </w:rPr>
            </w:pPr>
            <w:r>
              <w:rPr>
                <w:rFonts w:eastAsia="Calibri"/>
                <w:b/>
                <w:sz w:val="22"/>
                <w:lang w:val="en-NZ"/>
              </w:rPr>
              <w:t>Non-monetised benefits</w:t>
            </w:r>
          </w:p>
        </w:tc>
        <w:tc>
          <w:tcPr>
            <w:tcW w:w="2410" w:type="dxa"/>
            <w:shd w:val="clear" w:color="auto" w:fill="auto"/>
          </w:tcPr>
          <w:p w14:paraId="314F3179" w14:textId="4D7624ED" w:rsidR="007B6DAA" w:rsidRDefault="007B6DAA" w:rsidP="00960FD5">
            <w:pPr>
              <w:pStyle w:val="TableText"/>
              <w:rPr>
                <w:rFonts w:eastAsia="Calibri"/>
                <w:sz w:val="22"/>
                <w:lang w:val="en-NZ"/>
              </w:rPr>
            </w:pPr>
            <w:r>
              <w:rPr>
                <w:rFonts w:eastAsia="Calibri"/>
                <w:sz w:val="22"/>
                <w:lang w:val="en-NZ"/>
              </w:rPr>
              <w:t>-</w:t>
            </w:r>
          </w:p>
        </w:tc>
        <w:tc>
          <w:tcPr>
            <w:tcW w:w="2410" w:type="dxa"/>
            <w:shd w:val="clear" w:color="auto" w:fill="auto"/>
          </w:tcPr>
          <w:p w14:paraId="4629B756" w14:textId="4873845E" w:rsidR="007B6DAA" w:rsidRDefault="007B6DAA" w:rsidP="00960FD5">
            <w:pPr>
              <w:pStyle w:val="TableText"/>
              <w:rPr>
                <w:rFonts w:eastAsia="Calibri"/>
                <w:sz w:val="22"/>
                <w:lang w:val="en-NZ"/>
              </w:rPr>
            </w:pPr>
            <w:r>
              <w:rPr>
                <w:rFonts w:eastAsia="Calibri"/>
                <w:sz w:val="22"/>
                <w:lang w:val="en-NZ"/>
              </w:rPr>
              <w:t>-</w:t>
            </w:r>
          </w:p>
        </w:tc>
        <w:tc>
          <w:tcPr>
            <w:tcW w:w="1843" w:type="dxa"/>
          </w:tcPr>
          <w:p w14:paraId="496B49EA" w14:textId="12A9F60C" w:rsidR="007B6DAA" w:rsidRDefault="007B6DAA" w:rsidP="00960FD5">
            <w:pPr>
              <w:pStyle w:val="TableText"/>
              <w:rPr>
                <w:rFonts w:eastAsia="Calibri"/>
                <w:sz w:val="22"/>
                <w:lang w:val="en-NZ"/>
              </w:rPr>
            </w:pPr>
            <w:r>
              <w:rPr>
                <w:rFonts w:eastAsia="Calibri"/>
                <w:sz w:val="22"/>
                <w:lang w:val="en-NZ"/>
              </w:rPr>
              <w:t>-</w:t>
            </w:r>
          </w:p>
        </w:tc>
      </w:tr>
    </w:tbl>
    <w:p w14:paraId="0DCC3AD7" w14:textId="77777777" w:rsidR="00960FD5" w:rsidRPr="002C3C88" w:rsidRDefault="00960FD5" w:rsidP="002C3C88">
      <w:pPr>
        <w:rPr>
          <w:lang w:val="en-NZ"/>
        </w:rPr>
      </w:pPr>
    </w:p>
    <w:p w14:paraId="10B24A6C" w14:textId="482EEFD3" w:rsidR="00133C2C" w:rsidRPr="00A864A5" w:rsidRDefault="00133C2C" w:rsidP="00802AB2">
      <w:pPr>
        <w:pStyle w:val="Heading2"/>
        <w:rPr>
          <w:lang w:val="en-NZ"/>
        </w:rPr>
      </w:pPr>
      <w:r w:rsidRPr="00A864A5">
        <w:rPr>
          <w:lang w:val="en-NZ"/>
        </w:rPr>
        <w:lastRenderedPageBreak/>
        <w:t>S</w:t>
      </w:r>
      <w:r w:rsidR="007B6DAA">
        <w:rPr>
          <w:lang w:val="en-NZ"/>
        </w:rPr>
        <w:t>ection 4</w:t>
      </w:r>
      <w:r w:rsidRPr="00A864A5">
        <w:rPr>
          <w:lang w:val="en-NZ"/>
        </w:rPr>
        <w:t xml:space="preserve">: </w:t>
      </w:r>
      <w:r>
        <w:rPr>
          <w:lang w:val="en-NZ"/>
        </w:rPr>
        <w:t>Delivering an option</w:t>
      </w:r>
    </w:p>
    <w:p w14:paraId="22DDD7D2" w14:textId="5B7EE9BE" w:rsidR="00133C2C" w:rsidRDefault="00133C2C" w:rsidP="00802AB2">
      <w:pPr>
        <w:pStyle w:val="Heading3"/>
        <w:rPr>
          <w:lang w:val="en-NZ"/>
        </w:rPr>
      </w:pPr>
      <w:r w:rsidRPr="00A864A5">
        <w:rPr>
          <w:lang w:val="en-NZ"/>
        </w:rPr>
        <w:t xml:space="preserve">How will </w:t>
      </w:r>
      <w:r>
        <w:rPr>
          <w:lang w:val="en-NZ"/>
        </w:rPr>
        <w:t>the new arrangements be implemented</w:t>
      </w:r>
      <w:r w:rsidRPr="00A864A5">
        <w:rPr>
          <w:lang w:val="en-NZ"/>
        </w:rPr>
        <w:t>?</w:t>
      </w:r>
    </w:p>
    <w:p w14:paraId="2EDA04C0" w14:textId="013AEE60" w:rsidR="00D04A74" w:rsidRDefault="00D04A74" w:rsidP="00D04A74">
      <w:pPr>
        <w:pStyle w:val="BodyText-Numbered"/>
        <w:rPr>
          <w:lang w:val="en-NZ"/>
        </w:rPr>
      </w:pPr>
      <w:r>
        <w:rPr>
          <w:lang w:val="en-NZ"/>
        </w:rPr>
        <w:t>We are not proposing a final set of options yet, as this is an interim RIS to support the decision to release the discussion document. As such, it is not practicable to develop a detailed plan for implementation and any transitional arrangements.</w:t>
      </w:r>
    </w:p>
    <w:p w14:paraId="4CD78D66" w14:textId="2996D708" w:rsidR="00D04A74" w:rsidRDefault="00D04A74" w:rsidP="00D04A74">
      <w:pPr>
        <w:pStyle w:val="BodyText-Numbered"/>
        <w:rPr>
          <w:lang w:val="en-NZ"/>
        </w:rPr>
      </w:pPr>
      <w:r>
        <w:rPr>
          <w:lang w:val="en-NZ"/>
        </w:rPr>
        <w:t>However</w:t>
      </w:r>
      <w:r w:rsidR="00D2107A">
        <w:rPr>
          <w:lang w:val="en-NZ"/>
        </w:rPr>
        <w:t>,</w:t>
      </w:r>
      <w:r>
        <w:rPr>
          <w:lang w:val="en-NZ"/>
        </w:rPr>
        <w:t xml:space="preserve"> we can say that:</w:t>
      </w:r>
    </w:p>
    <w:p w14:paraId="4160D7D4" w14:textId="2902D314" w:rsidR="00D04A74" w:rsidRDefault="0057700C" w:rsidP="00D04A74">
      <w:pPr>
        <w:pStyle w:val="BodyText-Numbered"/>
        <w:numPr>
          <w:ilvl w:val="1"/>
          <w:numId w:val="1"/>
        </w:numPr>
        <w:rPr>
          <w:lang w:val="en-NZ"/>
        </w:rPr>
      </w:pPr>
      <w:r>
        <w:rPr>
          <w:lang w:val="en-NZ"/>
        </w:rPr>
        <w:t>t</w:t>
      </w:r>
      <w:r w:rsidR="00D04A74">
        <w:rPr>
          <w:lang w:val="en-NZ"/>
        </w:rPr>
        <w:t>he latest that any regulatory changes can be in place is June 2023</w:t>
      </w:r>
      <w:r w:rsidR="00C85800">
        <w:rPr>
          <w:lang w:val="en-NZ"/>
        </w:rPr>
        <w:t>, otherwise no regulations can be put in place</w:t>
      </w:r>
      <w:r w:rsidR="00D04A74">
        <w:rPr>
          <w:lang w:val="en-NZ"/>
        </w:rPr>
        <w:t>;</w:t>
      </w:r>
      <w:r w:rsidR="00C85800">
        <w:rPr>
          <w:lang w:val="en-NZ"/>
        </w:rPr>
        <w:t xml:space="preserve"> and</w:t>
      </w:r>
    </w:p>
    <w:p w14:paraId="5CA4CD79" w14:textId="6EB4F40F" w:rsidR="00D04A74" w:rsidRPr="00D04A74" w:rsidRDefault="00D04A74" w:rsidP="00D04A74">
      <w:pPr>
        <w:pStyle w:val="BodyText-Numbered"/>
        <w:numPr>
          <w:ilvl w:val="1"/>
          <w:numId w:val="1"/>
        </w:numPr>
        <w:rPr>
          <w:lang w:val="en-NZ"/>
        </w:rPr>
      </w:pPr>
      <w:r>
        <w:rPr>
          <w:lang w:val="en-NZ"/>
        </w:rPr>
        <w:t xml:space="preserve">the Department will be responsible for the introduction, ongoing </w:t>
      </w:r>
      <w:proofErr w:type="gramStart"/>
      <w:r>
        <w:rPr>
          <w:lang w:val="en-NZ"/>
        </w:rPr>
        <w:t>operation</w:t>
      </w:r>
      <w:proofErr w:type="gramEnd"/>
      <w:r>
        <w:rPr>
          <w:lang w:val="en-NZ"/>
        </w:rPr>
        <w:t xml:space="preserve"> and enforcement of the regulatory changes</w:t>
      </w:r>
      <w:r w:rsidR="00C85800">
        <w:rPr>
          <w:lang w:val="en-NZ"/>
        </w:rPr>
        <w:t>.</w:t>
      </w:r>
    </w:p>
    <w:p w14:paraId="79CA2874" w14:textId="77777777" w:rsidR="00D04A74" w:rsidRPr="00A864A5" w:rsidRDefault="00D04A74" w:rsidP="00802AB2">
      <w:pPr>
        <w:pStyle w:val="Heading3"/>
        <w:rPr>
          <w:lang w:val="en-NZ"/>
        </w:rPr>
      </w:pPr>
      <w:r>
        <w:rPr>
          <w:lang w:val="en-NZ"/>
        </w:rPr>
        <w:t>How will the new arrangements be m</w:t>
      </w:r>
      <w:r w:rsidRPr="00A864A5">
        <w:rPr>
          <w:lang w:val="en-NZ"/>
        </w:rPr>
        <w:t>onitor</w:t>
      </w:r>
      <w:r>
        <w:rPr>
          <w:lang w:val="en-NZ"/>
        </w:rPr>
        <w:t>ed</w:t>
      </w:r>
      <w:r w:rsidRPr="00A864A5">
        <w:rPr>
          <w:lang w:val="en-NZ"/>
        </w:rPr>
        <w:t xml:space="preserve">, </w:t>
      </w:r>
      <w:r>
        <w:rPr>
          <w:lang w:val="en-NZ"/>
        </w:rPr>
        <w:t>e</w:t>
      </w:r>
      <w:r w:rsidRPr="00A864A5">
        <w:rPr>
          <w:lang w:val="en-NZ"/>
        </w:rPr>
        <w:t>valuat</w:t>
      </w:r>
      <w:r>
        <w:rPr>
          <w:lang w:val="en-NZ"/>
        </w:rPr>
        <w:t>ed</w:t>
      </w:r>
      <w:r w:rsidRPr="00A864A5">
        <w:rPr>
          <w:lang w:val="en-NZ"/>
        </w:rPr>
        <w:t xml:space="preserve">, and </w:t>
      </w:r>
      <w:r>
        <w:rPr>
          <w:lang w:val="en-NZ"/>
        </w:rPr>
        <w:t>r</w:t>
      </w:r>
      <w:r w:rsidRPr="00A864A5">
        <w:rPr>
          <w:lang w:val="en-NZ"/>
        </w:rPr>
        <w:t>eview</w:t>
      </w:r>
      <w:r>
        <w:rPr>
          <w:lang w:val="en-NZ"/>
        </w:rPr>
        <w:t>ed?</w:t>
      </w:r>
    </w:p>
    <w:p w14:paraId="3DC42446" w14:textId="7E1808A5" w:rsidR="00C85800" w:rsidRDefault="00C85800" w:rsidP="00C85800">
      <w:pPr>
        <w:pStyle w:val="BodyText-Numbered"/>
      </w:pPr>
      <w:r>
        <w:t xml:space="preserve">Efforts to monitor, evaluate, and review the self-identification process will be inclusive of the issues of this RIS. </w:t>
      </w:r>
    </w:p>
    <w:p w14:paraId="042A2374" w14:textId="32A89C13" w:rsidR="007B6DAA" w:rsidRPr="00C85800" w:rsidRDefault="007B6DAA" w:rsidP="00C85800">
      <w:pPr>
        <w:pStyle w:val="BodyText-Numbered"/>
      </w:pPr>
      <w:r w:rsidRPr="00C85800">
        <w:t>To ensure the objectives of changing to a self-identification process are being met, the process will be reviewed five years from commencement of the self-identification provisions. As part of this the Minister must consult the Human Rights Commissioner, the transgender and intersex communities and any other persons</w:t>
      </w:r>
      <w:r w:rsidR="00C85800" w:rsidRPr="00C85800">
        <w:t xml:space="preserve"> and organisations considered appropriate</w:t>
      </w:r>
      <w:r w:rsidR="0057700C">
        <w:t>.</w:t>
      </w:r>
    </w:p>
    <w:p w14:paraId="1868FAB4" w14:textId="7E683DD5" w:rsidR="00C85800" w:rsidRDefault="00C85800" w:rsidP="00C85800">
      <w:pPr>
        <w:pStyle w:val="BodyText-Numbered"/>
      </w:pPr>
      <w:r w:rsidRPr="00C85800">
        <w:t>Ahead of this formal review, the Department will survey applicants in the first few years after implementation to understand if the new process is meeting their needs. It is open to other stakeholders to contact the Department directly to raise any concerns they have with the options taken to address the issues in this RIS. Depending on this feedback and these surveys</w:t>
      </w:r>
      <w:r w:rsidR="00E0728D">
        <w:t>,</w:t>
      </w:r>
      <w:r w:rsidRPr="00C85800">
        <w:t xml:space="preserve"> the formal review could be brought forward.</w:t>
      </w:r>
    </w:p>
    <w:p w14:paraId="2B28C938" w14:textId="753E7AC5" w:rsidR="00C85800" w:rsidRPr="00C85800" w:rsidRDefault="00C85800" w:rsidP="00C85800">
      <w:pPr>
        <w:pStyle w:val="BodyText-Numbered"/>
      </w:pPr>
      <w:r>
        <w:t>Further measures may be considered that are specific to these issues.</w:t>
      </w:r>
    </w:p>
    <w:sectPr w:rsidR="00C85800" w:rsidRPr="00C85800" w:rsidSect="00B5612C">
      <w:pgSz w:w="11906" w:h="16838" w:code="9"/>
      <w:pgMar w:top="1134" w:right="1418" w:bottom="992"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29FE" w14:textId="77777777" w:rsidR="006E007C" w:rsidRDefault="006E007C">
      <w:pPr>
        <w:spacing w:after="0" w:line="240" w:lineRule="auto"/>
      </w:pPr>
      <w:r>
        <w:separator/>
      </w:r>
    </w:p>
    <w:p w14:paraId="2F00F5ED" w14:textId="77777777" w:rsidR="006E007C" w:rsidRDefault="006E007C"/>
  </w:endnote>
  <w:endnote w:type="continuationSeparator" w:id="0">
    <w:p w14:paraId="107FB6E1" w14:textId="77777777" w:rsidR="006E007C" w:rsidRDefault="006E007C">
      <w:pPr>
        <w:spacing w:after="0" w:line="240" w:lineRule="auto"/>
      </w:pPr>
      <w:r>
        <w:continuationSeparator/>
      </w:r>
    </w:p>
    <w:p w14:paraId="0E97A218" w14:textId="77777777" w:rsidR="006E007C" w:rsidRDefault="006E007C"/>
  </w:endnote>
  <w:endnote w:type="continuationNotice" w:id="1">
    <w:p w14:paraId="217737C3" w14:textId="77777777" w:rsidR="006E007C" w:rsidRDefault="006E0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Sans">
    <w:altName w:val="Calibri"/>
    <w:panose1 w:val="00000000000000000000"/>
    <w:charset w:val="00"/>
    <w:family w:val="moder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9A0" w14:textId="77777777" w:rsidR="006E007C" w:rsidRDefault="006E007C" w:rsidP="006448CF">
    <w:pPr>
      <w:pStyle w:val="Footer"/>
    </w:pPr>
  </w:p>
  <w:p w14:paraId="6E40FA9B" w14:textId="77777777" w:rsidR="006E007C" w:rsidRDefault="006E00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86C0" w14:textId="37D6EF45" w:rsidR="006E007C" w:rsidRPr="00743278" w:rsidRDefault="006E007C" w:rsidP="006448CF">
    <w:pPr>
      <w:pStyle w:val="Footer"/>
    </w:pPr>
    <w:r>
      <w:rPr>
        <w:sz w:val="14"/>
      </w:rPr>
      <w:tab/>
    </w:r>
    <w:r>
      <w:t xml:space="preserve">Regulatory Impact Statement  </w:t>
    </w:r>
    <w:r w:rsidRPr="009435C4">
      <w:t>|</w:t>
    </w:r>
    <w:r>
      <w:t xml:space="preserve"> </w:t>
    </w:r>
    <w:r w:rsidRPr="009435C4">
      <w:t xml:space="preserve"> </w:t>
    </w:r>
    <w:r w:rsidRPr="009435C4">
      <w:fldChar w:fldCharType="begin"/>
    </w:r>
    <w:r w:rsidRPr="009435C4">
      <w:instrText xml:space="preserve"> PAGE </w:instrText>
    </w:r>
    <w:r w:rsidRPr="009435C4">
      <w:fldChar w:fldCharType="separate"/>
    </w:r>
    <w:r>
      <w:t>11</w:t>
    </w:r>
    <w:r w:rsidRPr="009435C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F65B" w14:textId="37B4D233" w:rsidR="006E007C" w:rsidRPr="00743278" w:rsidRDefault="006E007C" w:rsidP="006448CF">
    <w:pPr>
      <w:pStyle w:val="Footer"/>
    </w:pPr>
    <w:r>
      <w:rPr>
        <w:sz w:val="14"/>
      </w:rPr>
      <w:tab/>
    </w:r>
    <w:r>
      <w:t xml:space="preserve">Regulatory Impact Statement  </w:t>
    </w:r>
    <w:r w:rsidRPr="009435C4">
      <w:t>|</w:t>
    </w:r>
    <w:r>
      <w:t xml:space="preserve"> </w:t>
    </w:r>
    <w:r w:rsidRPr="009435C4">
      <w:t xml:space="preserve"> </w:t>
    </w:r>
    <w:r w:rsidRPr="009435C4">
      <w:fldChar w:fldCharType="begin"/>
    </w:r>
    <w:r w:rsidRPr="009435C4">
      <w:instrText xml:space="preserve"> PAGE </w:instrText>
    </w:r>
    <w:r w:rsidRPr="009435C4">
      <w:fldChar w:fldCharType="separate"/>
    </w:r>
    <w:r>
      <w:t>11</w:t>
    </w:r>
    <w:r w:rsidRPr="009435C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AFB7" w14:textId="77777777" w:rsidR="006E007C" w:rsidRDefault="006E007C" w:rsidP="006448CF">
    <w:pPr>
      <w:pStyle w:val="Footer"/>
    </w:pPr>
  </w:p>
  <w:p w14:paraId="0544E383" w14:textId="77777777" w:rsidR="006E007C" w:rsidRDefault="006E00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D942" w14:textId="77777777" w:rsidR="006E007C" w:rsidRPr="00743278" w:rsidRDefault="006E007C" w:rsidP="006448CF">
    <w:pPr>
      <w:pStyle w:val="Footer"/>
    </w:pPr>
    <w:r>
      <w:rPr>
        <w:sz w:val="14"/>
      </w:rPr>
      <w:tab/>
    </w:r>
    <w:r>
      <w:t xml:space="preserve">Regulatory Impact Statement  </w:t>
    </w:r>
    <w:r w:rsidRPr="009435C4">
      <w:t>|</w:t>
    </w:r>
    <w:r>
      <w:t xml:space="preserve"> </w:t>
    </w:r>
    <w:r w:rsidRPr="009435C4">
      <w:t xml:space="preserve"> </w:t>
    </w:r>
    <w:r w:rsidRPr="009435C4">
      <w:fldChar w:fldCharType="begin"/>
    </w:r>
    <w:r w:rsidRPr="009435C4">
      <w:instrText xml:space="preserve"> PAGE </w:instrText>
    </w:r>
    <w:r w:rsidRPr="009435C4">
      <w:fldChar w:fldCharType="separate"/>
    </w:r>
    <w:r>
      <w:t>11</w:t>
    </w:r>
    <w:r w:rsidRPr="009435C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7308" w14:textId="77777777" w:rsidR="006E007C" w:rsidRPr="00743278" w:rsidRDefault="006E007C" w:rsidP="006448CF">
    <w:pPr>
      <w:pStyle w:val="Footer"/>
    </w:pPr>
    <w:r>
      <w:rPr>
        <w:sz w:val="14"/>
      </w:rPr>
      <w:tab/>
    </w:r>
    <w:r>
      <w:t xml:space="preserve">Regulatory Impact Statement  </w:t>
    </w:r>
    <w:r w:rsidRPr="009435C4">
      <w:t>|</w:t>
    </w:r>
    <w:r>
      <w:t xml:space="preserve"> </w:t>
    </w:r>
    <w:r w:rsidRPr="009435C4">
      <w:t xml:space="preserve"> </w:t>
    </w:r>
    <w:r w:rsidRPr="009435C4">
      <w:fldChar w:fldCharType="begin"/>
    </w:r>
    <w:r w:rsidRPr="009435C4">
      <w:instrText xml:space="preserve"> PAGE </w:instrText>
    </w:r>
    <w:r w:rsidRPr="009435C4">
      <w:fldChar w:fldCharType="separate"/>
    </w:r>
    <w:r>
      <w:t>11</w:t>
    </w:r>
    <w:r w:rsidRPr="009435C4">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F311" w14:textId="77777777" w:rsidR="006E007C" w:rsidRDefault="006E007C" w:rsidP="006448CF">
    <w:pPr>
      <w:pStyle w:val="Footer"/>
    </w:pPr>
  </w:p>
  <w:p w14:paraId="07AFA587" w14:textId="77777777" w:rsidR="006E007C" w:rsidRDefault="006E007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BF3" w14:textId="77777777" w:rsidR="006E007C" w:rsidRPr="00743278" w:rsidRDefault="006E007C" w:rsidP="006448CF">
    <w:pPr>
      <w:pStyle w:val="Footer"/>
    </w:pPr>
    <w:r>
      <w:rPr>
        <w:sz w:val="14"/>
      </w:rPr>
      <w:tab/>
    </w:r>
    <w:r>
      <w:t xml:space="preserve">Regulatory Impact Statement  </w:t>
    </w:r>
    <w:r w:rsidRPr="009435C4">
      <w:t>|</w:t>
    </w:r>
    <w:r>
      <w:t xml:space="preserve"> </w:t>
    </w:r>
    <w:r w:rsidRPr="009435C4">
      <w:t xml:space="preserve"> </w:t>
    </w:r>
    <w:r w:rsidRPr="009435C4">
      <w:fldChar w:fldCharType="begin"/>
    </w:r>
    <w:r w:rsidRPr="009435C4">
      <w:instrText xml:space="preserve"> PAGE </w:instrText>
    </w:r>
    <w:r w:rsidRPr="009435C4">
      <w:fldChar w:fldCharType="separate"/>
    </w:r>
    <w:r>
      <w:t>11</w:t>
    </w:r>
    <w:r w:rsidRPr="009435C4">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E9F0" w14:textId="77777777" w:rsidR="006E007C" w:rsidRPr="00743278" w:rsidRDefault="006E007C" w:rsidP="006448CF">
    <w:pPr>
      <w:pStyle w:val="Footer"/>
    </w:pPr>
    <w:r>
      <w:rPr>
        <w:sz w:val="14"/>
      </w:rPr>
      <w:tab/>
    </w:r>
    <w:r>
      <w:t xml:space="preserve">Regulatory Impact Statement  </w:t>
    </w:r>
    <w:r w:rsidRPr="009435C4">
      <w:t>|</w:t>
    </w:r>
    <w:r>
      <w:t xml:space="preserve"> </w:t>
    </w:r>
    <w:r w:rsidRPr="009435C4">
      <w:t xml:space="preserve"> </w:t>
    </w:r>
    <w:r w:rsidRPr="009435C4">
      <w:fldChar w:fldCharType="begin"/>
    </w:r>
    <w:r w:rsidRPr="009435C4">
      <w:instrText xml:space="preserve"> PAGE </w:instrText>
    </w:r>
    <w:r w:rsidRPr="009435C4">
      <w:fldChar w:fldCharType="separate"/>
    </w:r>
    <w:r>
      <w:t>11</w:t>
    </w:r>
    <w:r w:rsidRPr="009435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767A" w14:textId="77777777" w:rsidR="006E007C" w:rsidRDefault="006E007C">
      <w:pPr>
        <w:spacing w:after="0" w:line="240" w:lineRule="auto"/>
      </w:pPr>
      <w:r>
        <w:separator/>
      </w:r>
    </w:p>
  </w:footnote>
  <w:footnote w:type="continuationSeparator" w:id="0">
    <w:p w14:paraId="19CBCB0F" w14:textId="77777777" w:rsidR="006E007C" w:rsidRDefault="006E007C">
      <w:pPr>
        <w:spacing w:after="0" w:line="240" w:lineRule="auto"/>
      </w:pPr>
      <w:r>
        <w:continuationSeparator/>
      </w:r>
    </w:p>
    <w:p w14:paraId="3A39C256" w14:textId="77777777" w:rsidR="006E007C" w:rsidRDefault="006E007C"/>
  </w:footnote>
  <w:footnote w:type="continuationNotice" w:id="1">
    <w:p w14:paraId="5C8CCF02" w14:textId="77777777" w:rsidR="006E007C" w:rsidRDefault="006E007C">
      <w:pPr>
        <w:spacing w:after="0" w:line="240" w:lineRule="auto"/>
      </w:pPr>
    </w:p>
  </w:footnote>
  <w:footnote w:id="2">
    <w:p w14:paraId="4F449DC2" w14:textId="00B8F5D9" w:rsidR="006E007C" w:rsidRPr="00EE1CA8" w:rsidRDefault="006E007C" w:rsidP="00B53952">
      <w:pPr>
        <w:pStyle w:val="FootnoteText"/>
        <w:ind w:left="170" w:hanging="170"/>
        <w:rPr>
          <w:szCs w:val="18"/>
          <w:lang w:val="en-NZ"/>
        </w:rPr>
      </w:pPr>
      <w:r w:rsidRPr="00B53952">
        <w:rPr>
          <w:rStyle w:val="FootnoteReference"/>
          <w:sz w:val="18"/>
          <w:szCs w:val="18"/>
        </w:rPr>
        <w:footnoteRef/>
      </w:r>
      <w:r w:rsidRPr="006B494D">
        <w:rPr>
          <w:szCs w:val="18"/>
        </w:rPr>
        <w:t xml:space="preserve"> </w:t>
      </w:r>
      <w:r w:rsidRPr="006B494D">
        <w:rPr>
          <w:szCs w:val="18"/>
          <w:lang w:val="en-NZ"/>
        </w:rPr>
        <w:t xml:space="preserve">The term ‘non-binary’ is used in this RIS as </w:t>
      </w:r>
      <w:r>
        <w:rPr>
          <w:szCs w:val="18"/>
          <w:lang w:val="en-NZ"/>
        </w:rPr>
        <w:t>a way of grouping</w:t>
      </w:r>
      <w:r w:rsidRPr="006B494D">
        <w:rPr>
          <w:szCs w:val="18"/>
          <w:lang w:val="en-NZ"/>
        </w:rPr>
        <w:t xml:space="preserve"> all genders besides ‘male’ and ‘female’. This is inclusive of western, </w:t>
      </w:r>
      <w:proofErr w:type="spellStart"/>
      <w:r w:rsidRPr="00EE1CA8">
        <w:rPr>
          <w:szCs w:val="18"/>
          <w:lang w:val="en-NZ"/>
        </w:rPr>
        <w:t>te</w:t>
      </w:r>
      <w:proofErr w:type="spellEnd"/>
      <w:r w:rsidRPr="00EE1CA8">
        <w:rPr>
          <w:szCs w:val="18"/>
          <w:lang w:val="en-NZ"/>
        </w:rPr>
        <w:t xml:space="preserve"> </w:t>
      </w:r>
      <w:proofErr w:type="spellStart"/>
      <w:r w:rsidRPr="00EE1CA8">
        <w:rPr>
          <w:szCs w:val="18"/>
          <w:lang w:val="en-NZ"/>
        </w:rPr>
        <w:t>reo</w:t>
      </w:r>
      <w:proofErr w:type="spellEnd"/>
      <w:r w:rsidRPr="00EE1CA8">
        <w:rPr>
          <w:szCs w:val="18"/>
          <w:lang w:val="en-NZ"/>
        </w:rPr>
        <w:t xml:space="preserve"> Māori, and other </w:t>
      </w:r>
      <w:r>
        <w:rPr>
          <w:szCs w:val="18"/>
          <w:lang w:val="en-NZ"/>
        </w:rPr>
        <w:t>culturally specific</w:t>
      </w:r>
      <w:r w:rsidRPr="00EE1CA8">
        <w:rPr>
          <w:szCs w:val="18"/>
          <w:lang w:val="en-NZ"/>
        </w:rPr>
        <w:t xml:space="preserve"> terms. Examples include: ‘gender diverse’ (western), ‘</w:t>
      </w:r>
      <w:proofErr w:type="spellStart"/>
      <w:r w:rsidRPr="00EE1CA8">
        <w:rPr>
          <w:szCs w:val="18"/>
          <w:lang w:val="en-NZ"/>
        </w:rPr>
        <w:t>takatāpui</w:t>
      </w:r>
      <w:proofErr w:type="spellEnd"/>
      <w:r w:rsidRPr="00EE1CA8">
        <w:rPr>
          <w:szCs w:val="18"/>
          <w:lang w:val="en-NZ"/>
        </w:rPr>
        <w:t>’ (</w:t>
      </w:r>
      <w:proofErr w:type="spellStart"/>
      <w:r w:rsidRPr="00EE1CA8">
        <w:rPr>
          <w:szCs w:val="18"/>
          <w:lang w:val="en-NZ"/>
        </w:rPr>
        <w:t>te</w:t>
      </w:r>
      <w:proofErr w:type="spellEnd"/>
      <w:r w:rsidRPr="00EE1CA8">
        <w:rPr>
          <w:szCs w:val="18"/>
          <w:lang w:val="en-NZ"/>
        </w:rPr>
        <w:t xml:space="preserve"> </w:t>
      </w:r>
      <w:proofErr w:type="spellStart"/>
      <w:r w:rsidRPr="00EE1CA8">
        <w:rPr>
          <w:szCs w:val="18"/>
          <w:lang w:val="en-NZ"/>
        </w:rPr>
        <w:t>reo</w:t>
      </w:r>
      <w:proofErr w:type="spellEnd"/>
      <w:r w:rsidRPr="00EE1CA8">
        <w:rPr>
          <w:szCs w:val="18"/>
          <w:lang w:val="en-NZ"/>
        </w:rPr>
        <w:t xml:space="preserve"> Māori), ‘fa’afafine’ (Samoan). </w:t>
      </w:r>
      <w:r>
        <w:rPr>
          <w:szCs w:val="18"/>
          <w:lang w:val="en-NZ"/>
        </w:rPr>
        <w:t>This reflects the approach taken in the 2019 Counting Ourselves survey.</w:t>
      </w:r>
      <w:r w:rsidRPr="00EE1CA8">
        <w:rPr>
          <w:szCs w:val="18"/>
          <w:lang w:val="en-NZ"/>
        </w:rPr>
        <w:t xml:space="preserve"> ‘Non-binary’ is also a specific gender that people identify with.</w:t>
      </w:r>
    </w:p>
  </w:footnote>
  <w:footnote w:id="3">
    <w:p w14:paraId="1CFF61B2" w14:textId="794F455B" w:rsidR="006E007C" w:rsidRPr="00EE74AA" w:rsidRDefault="006E007C" w:rsidP="00EE74AA">
      <w:pPr>
        <w:pStyle w:val="CommentText"/>
        <w:spacing w:after="0" w:line="240" w:lineRule="auto"/>
        <w:ind w:left="170" w:hanging="170"/>
        <w:rPr>
          <w:sz w:val="18"/>
          <w:lang w:val="en-NZ"/>
        </w:rPr>
      </w:pPr>
      <w:r w:rsidRPr="00EE74AA">
        <w:rPr>
          <w:sz w:val="18"/>
          <w:vertAlign w:val="superscript"/>
          <w:lang w:val="en-NZ"/>
        </w:rPr>
        <w:footnoteRef/>
      </w:r>
      <w:r w:rsidRPr="00EE74AA">
        <w:rPr>
          <w:sz w:val="18"/>
          <w:lang w:val="en-NZ"/>
        </w:rPr>
        <w:t xml:space="preserve"> A traditional term </w:t>
      </w:r>
      <w:r w:rsidRPr="00EE74AA">
        <w:rPr>
          <w:sz w:val="18"/>
          <w:szCs w:val="18"/>
          <w:lang w:val="en-NZ"/>
        </w:rPr>
        <w:t>reclaimed by Māori to encompass both their culture and spirituality, as well as their diverse sexual orientations, gender</w:t>
      </w:r>
      <w:r w:rsidRPr="00EE74AA">
        <w:rPr>
          <w:sz w:val="18"/>
          <w:lang w:val="en-NZ"/>
        </w:rPr>
        <w:t xml:space="preserve"> identities and expressions, and sex characteristics. </w:t>
      </w:r>
    </w:p>
  </w:footnote>
  <w:footnote w:id="4">
    <w:p w14:paraId="54F6A9F8" w14:textId="21D4B10F" w:rsidR="006E007C" w:rsidRPr="00EE74AA" w:rsidRDefault="006E007C" w:rsidP="00EE74AA">
      <w:pPr>
        <w:pStyle w:val="CommentText"/>
        <w:spacing w:after="0" w:line="240" w:lineRule="auto"/>
        <w:ind w:left="170" w:hanging="170"/>
        <w:rPr>
          <w:sz w:val="18"/>
          <w:lang w:val="en-NZ"/>
        </w:rPr>
      </w:pPr>
      <w:r w:rsidRPr="00EE74AA">
        <w:rPr>
          <w:sz w:val="18"/>
          <w:vertAlign w:val="superscript"/>
          <w:lang w:val="en-NZ"/>
        </w:rPr>
        <w:footnoteRef/>
      </w:r>
      <w:r w:rsidRPr="00EE74AA">
        <w:rPr>
          <w:sz w:val="18"/>
          <w:lang w:val="en-NZ"/>
        </w:rPr>
        <w:t xml:space="preserve"> This term </w:t>
      </w:r>
      <w:r w:rsidRPr="00EE74AA">
        <w:rPr>
          <w:sz w:val="18"/>
          <w:szCs w:val="18"/>
          <w:lang w:val="en-NZ"/>
        </w:rPr>
        <w:t>describes a wide variety of people whose gender is different from the sex they were assigned at birth. Transgender people may</w:t>
      </w:r>
      <w:r w:rsidRPr="00EE74AA">
        <w:rPr>
          <w:sz w:val="18"/>
          <w:lang w:val="en-NZ"/>
        </w:rPr>
        <w:t xml:space="preserve"> be binary or non-binary.  </w:t>
      </w:r>
    </w:p>
  </w:footnote>
  <w:footnote w:id="5">
    <w:p w14:paraId="5071FB60" w14:textId="5568C952" w:rsidR="006E007C" w:rsidRPr="00D43B4C" w:rsidRDefault="006E007C" w:rsidP="00EE74AA">
      <w:pPr>
        <w:pStyle w:val="CommentText"/>
        <w:spacing w:after="0" w:line="240" w:lineRule="auto"/>
        <w:ind w:left="170" w:hanging="170"/>
        <w:rPr>
          <w:lang w:val="en-NZ"/>
        </w:rPr>
      </w:pPr>
      <w:r w:rsidRPr="00EE74AA">
        <w:rPr>
          <w:sz w:val="18"/>
          <w:vertAlign w:val="superscript"/>
          <w:lang w:val="en-NZ"/>
        </w:rPr>
        <w:footnoteRef/>
      </w:r>
      <w:r w:rsidRPr="00EE74AA">
        <w:rPr>
          <w:sz w:val="18"/>
          <w:lang w:val="en-NZ"/>
        </w:rPr>
        <w:t xml:space="preserve"> An </w:t>
      </w:r>
      <w:r w:rsidRPr="00EE74AA">
        <w:rPr>
          <w:sz w:val="18"/>
          <w:szCs w:val="18"/>
          <w:lang w:val="en-NZ"/>
        </w:rPr>
        <w:t xml:space="preserve">umbrella term used to describe people born with physical or biological sex characteristics (including sexual anatomy, reproductive organs, hormonal patterns and/or chromosomal patterns) that are more diverse than stereotypical definitions for male or female bodies. Like all people, intersex people may identify as male, </w:t>
      </w:r>
      <w:proofErr w:type="gramStart"/>
      <w:r w:rsidRPr="00EE74AA">
        <w:rPr>
          <w:sz w:val="18"/>
          <w:szCs w:val="18"/>
          <w:lang w:val="en-NZ"/>
        </w:rPr>
        <w:t>female</w:t>
      </w:r>
      <w:proofErr w:type="gramEnd"/>
      <w:r w:rsidRPr="00EE74AA">
        <w:rPr>
          <w:sz w:val="18"/>
          <w:szCs w:val="18"/>
          <w:lang w:val="en-NZ"/>
        </w:rPr>
        <w:t xml:space="preserve"> or non-binary. </w:t>
      </w:r>
    </w:p>
  </w:footnote>
  <w:footnote w:id="6">
    <w:p w14:paraId="5AB8A1B2" w14:textId="57A2E61A" w:rsidR="006E007C" w:rsidRPr="0013736D" w:rsidRDefault="006E007C" w:rsidP="00B53952">
      <w:pPr>
        <w:pStyle w:val="FootnoteText"/>
        <w:spacing w:after="0"/>
        <w:ind w:left="170" w:hanging="170"/>
        <w:rPr>
          <w:szCs w:val="18"/>
          <w:lang w:val="en-NZ"/>
        </w:rPr>
      </w:pPr>
      <w:r w:rsidRPr="00B53952">
        <w:rPr>
          <w:rStyle w:val="FootnoteReference"/>
          <w:sz w:val="18"/>
          <w:szCs w:val="18"/>
        </w:rPr>
        <w:footnoteRef/>
      </w:r>
      <w:r w:rsidRPr="0013736D">
        <w:rPr>
          <w:szCs w:val="18"/>
        </w:rPr>
        <w:t xml:space="preserve"> </w:t>
      </w:r>
      <w:r w:rsidRPr="0013736D">
        <w:rPr>
          <w:szCs w:val="18"/>
          <w:lang w:val="en-NZ"/>
        </w:rPr>
        <w:t>There were between 15 and 18 terms (besides male or female) that at least 1 per cent of participants indicated was their gender. There were also a range of less common genders.</w:t>
      </w:r>
    </w:p>
  </w:footnote>
  <w:footnote w:id="7">
    <w:p w14:paraId="35EB33A8" w14:textId="6111498E" w:rsidR="006E007C" w:rsidRPr="0013736D" w:rsidRDefault="006E007C" w:rsidP="00B53952">
      <w:pPr>
        <w:pStyle w:val="FootnoteText"/>
        <w:spacing w:after="0"/>
        <w:ind w:left="170" w:hanging="170"/>
        <w:rPr>
          <w:szCs w:val="18"/>
          <w:lang w:val="en-NZ"/>
        </w:rPr>
      </w:pPr>
      <w:r w:rsidRPr="00B53952">
        <w:rPr>
          <w:rStyle w:val="FootnoteReference"/>
          <w:sz w:val="18"/>
          <w:szCs w:val="18"/>
        </w:rPr>
        <w:footnoteRef/>
      </w:r>
      <w:r w:rsidRPr="0013736D">
        <w:rPr>
          <w:szCs w:val="18"/>
        </w:rPr>
        <w:t xml:space="preserve"> </w:t>
      </w:r>
      <w:r w:rsidRPr="0013736D">
        <w:rPr>
          <w:szCs w:val="18"/>
          <w:lang w:val="en-NZ"/>
        </w:rPr>
        <w:t>The 2021 standard uses the term ‘another gender’ and recommends that if people select ‘another gender’ that they can write in their gender in an open text field. The standard was mandated for use across the public service in 2022.</w:t>
      </w:r>
    </w:p>
  </w:footnote>
  <w:footnote w:id="8">
    <w:p w14:paraId="6125B14D" w14:textId="296A6512" w:rsidR="006E007C" w:rsidRPr="00BB73F2" w:rsidRDefault="006E007C" w:rsidP="00B53952">
      <w:pPr>
        <w:pStyle w:val="FootnoteText"/>
        <w:spacing w:after="0"/>
        <w:ind w:left="170" w:hanging="170"/>
        <w:rPr>
          <w:lang w:val="en-NZ"/>
        </w:rPr>
      </w:pPr>
      <w:r w:rsidRPr="00B53952">
        <w:rPr>
          <w:rStyle w:val="FootnoteReference"/>
          <w:sz w:val="18"/>
          <w:szCs w:val="18"/>
        </w:rPr>
        <w:footnoteRef/>
      </w:r>
      <w:r w:rsidRPr="0013736D">
        <w:rPr>
          <w:szCs w:val="18"/>
        </w:rPr>
        <w:t xml:space="preserve"> </w:t>
      </w:r>
      <w:r w:rsidRPr="0013736D">
        <w:rPr>
          <w:szCs w:val="18"/>
          <w:lang w:val="en-NZ"/>
        </w:rPr>
        <w:t>People can select ‘non-binary’ for their New Zealand citizenship record and ‘X (gender diverse)’ for their passport.</w:t>
      </w:r>
    </w:p>
  </w:footnote>
  <w:footnote w:id="9">
    <w:p w14:paraId="0E17C0AF" w14:textId="0752BF11" w:rsidR="006E007C" w:rsidRPr="006A4AD9" w:rsidRDefault="006E007C" w:rsidP="00B53952">
      <w:pPr>
        <w:pStyle w:val="FootnoteText"/>
        <w:ind w:left="170" w:hanging="170"/>
        <w:rPr>
          <w:szCs w:val="18"/>
          <w:lang w:val="en-NZ"/>
        </w:rPr>
      </w:pPr>
      <w:r w:rsidRPr="00B53952">
        <w:rPr>
          <w:rStyle w:val="FootnoteReference"/>
          <w:sz w:val="18"/>
          <w:szCs w:val="18"/>
        </w:rPr>
        <w:footnoteRef/>
      </w:r>
      <w:r w:rsidRPr="006A4AD9">
        <w:rPr>
          <w:szCs w:val="18"/>
        </w:rPr>
        <w:t xml:space="preserve"> </w:t>
      </w:r>
      <w:r w:rsidRPr="006A4AD9">
        <w:rPr>
          <w:szCs w:val="18"/>
          <w:lang w:val="en-NZ"/>
        </w:rPr>
        <w:t>These sex marker options are only available under the process to amend registered sex. The sex marker options for registering a child at birth will remain the same.</w:t>
      </w:r>
    </w:p>
  </w:footnote>
  <w:footnote w:id="10">
    <w:p w14:paraId="5546ECEC" w14:textId="00725440" w:rsidR="006E007C" w:rsidRPr="00CD495F" w:rsidRDefault="006E007C" w:rsidP="00EE74AA">
      <w:pPr>
        <w:pStyle w:val="CommentText"/>
        <w:spacing w:after="0" w:line="240" w:lineRule="auto"/>
        <w:ind w:left="170" w:hanging="170"/>
        <w:rPr>
          <w:sz w:val="18"/>
          <w:szCs w:val="18"/>
        </w:rPr>
      </w:pPr>
      <w:r w:rsidRPr="00CD495F">
        <w:rPr>
          <w:rStyle w:val="FootnoteReference"/>
          <w:sz w:val="18"/>
          <w:szCs w:val="18"/>
        </w:rPr>
        <w:footnoteRef/>
      </w:r>
      <w:r w:rsidRPr="00CD495F">
        <w:rPr>
          <w:sz w:val="18"/>
          <w:szCs w:val="18"/>
        </w:rPr>
        <w:t xml:space="preserve"> </w:t>
      </w:r>
      <w:r w:rsidRPr="00EE74AA">
        <w:rPr>
          <w:sz w:val="18"/>
          <w:lang w:val="en-NZ"/>
        </w:rPr>
        <w:t xml:space="preserve">Intersex Trust Aotearoa New Zealand is a charitable trust that provides information, </w:t>
      </w:r>
      <w:proofErr w:type="gramStart"/>
      <w:r w:rsidRPr="00EE74AA">
        <w:rPr>
          <w:sz w:val="18"/>
          <w:lang w:val="en-NZ"/>
        </w:rPr>
        <w:t>education</w:t>
      </w:r>
      <w:proofErr w:type="gramEnd"/>
      <w:r w:rsidRPr="00EE74AA">
        <w:rPr>
          <w:sz w:val="18"/>
          <w:lang w:val="en-NZ"/>
        </w:rPr>
        <w:t xml:space="preserve"> and training about intersex people in New Zealand.</w:t>
      </w:r>
    </w:p>
  </w:footnote>
  <w:footnote w:id="11">
    <w:p w14:paraId="5C89C1D7" w14:textId="644E8DF5" w:rsidR="006E007C" w:rsidRPr="00684A1D" w:rsidRDefault="006E007C" w:rsidP="00B53952">
      <w:pPr>
        <w:pStyle w:val="FootnoteText"/>
        <w:spacing w:after="0"/>
        <w:ind w:left="170" w:hanging="170"/>
        <w:rPr>
          <w:lang w:val="en-NZ"/>
        </w:rPr>
      </w:pPr>
      <w:r>
        <w:rPr>
          <w:rStyle w:val="FootnoteReference"/>
        </w:rPr>
        <w:footnoteRef/>
      </w:r>
      <w:r>
        <w:t xml:space="preserve"> </w:t>
      </w:r>
      <w:r>
        <w:rPr>
          <w:lang w:val="en-NZ"/>
        </w:rPr>
        <w:t>The term ‘indeterminate’ is not prescribed in the BDMRR Act or regulations but can be used for registering the birth of a child where the child has a variation of sex characteristics. People who are intersex can also apply to amend their birth certificate to say ‘indeterminate’ under a separate process to self-identification. However, the Department’s records indicate this marker has mostly been used as a marker for sex at birth for babies who are stillborn or die soon after birth where their sex could not be determined.</w:t>
      </w:r>
    </w:p>
  </w:footnote>
  <w:footnote w:id="12">
    <w:p w14:paraId="66F60DBA" w14:textId="79FF075D" w:rsidR="006E007C" w:rsidRPr="00317943" w:rsidRDefault="006E007C" w:rsidP="00B53952">
      <w:pPr>
        <w:pStyle w:val="FootnoteText"/>
        <w:spacing w:after="0"/>
        <w:ind w:left="170" w:hanging="170"/>
        <w:rPr>
          <w:lang w:val="en-NZ"/>
        </w:rPr>
      </w:pPr>
      <w:r>
        <w:rPr>
          <w:rStyle w:val="FootnoteReference"/>
        </w:rPr>
        <w:footnoteRef/>
      </w:r>
      <w:r>
        <w:t xml:space="preserve"> </w:t>
      </w:r>
      <w:r>
        <w:rPr>
          <w:lang w:val="en-NZ"/>
        </w:rPr>
        <w:t xml:space="preserve">Findings from consultation are available on the </w:t>
      </w:r>
      <w:proofErr w:type="spellStart"/>
      <w:r>
        <w:rPr>
          <w:lang w:val="en-NZ"/>
        </w:rPr>
        <w:t>StatsNZ</w:t>
      </w:r>
      <w:proofErr w:type="spellEnd"/>
      <w:r>
        <w:rPr>
          <w:lang w:val="en-NZ"/>
        </w:rPr>
        <w:t xml:space="preserve"> website: </w:t>
      </w:r>
      <w:hyperlink r:id="rId1" w:history="1">
        <w:r w:rsidRPr="00350AF1">
          <w:rPr>
            <w:rStyle w:val="Hyperlink"/>
            <w:lang w:val="en-NZ"/>
          </w:rPr>
          <w:t>www.stats.govt.nz/reports/sex-and-gender-identity-statistical-standards-findings-from-public-consultation-julyaugust-2020</w:t>
        </w:r>
      </w:hyperlink>
      <w:r>
        <w:rPr>
          <w:lang w:val="en-NZ"/>
        </w:rPr>
        <w:t xml:space="preserve"> </w:t>
      </w:r>
    </w:p>
  </w:footnote>
  <w:footnote w:id="13">
    <w:p w14:paraId="38015778" w14:textId="77777777" w:rsidR="006E007C" w:rsidRPr="004311DF" w:rsidRDefault="006E007C" w:rsidP="00CC48C0">
      <w:pPr>
        <w:pStyle w:val="FootnoteText"/>
        <w:spacing w:after="0"/>
        <w:ind w:left="170" w:hanging="170"/>
        <w:rPr>
          <w:lang w:val="en-NZ"/>
        </w:rPr>
      </w:pPr>
      <w:r>
        <w:rPr>
          <w:rStyle w:val="FootnoteReference"/>
        </w:rPr>
        <w:footnoteRef/>
      </w:r>
      <w:r>
        <w:t xml:space="preserve"> </w:t>
      </w:r>
      <w:r>
        <w:rPr>
          <w:lang w:val="en-NZ"/>
        </w:rPr>
        <w:t>The Government’s evidence of identity standard recommends service providers ask for more than one document to verify a person’s identity.</w:t>
      </w:r>
    </w:p>
  </w:footnote>
  <w:footnote w:id="14">
    <w:p w14:paraId="407FEEB3" w14:textId="1E278EF5" w:rsidR="006E007C" w:rsidRPr="000244AF" w:rsidRDefault="006E007C" w:rsidP="00CC48C0">
      <w:pPr>
        <w:pStyle w:val="FootnoteText"/>
        <w:spacing w:after="0"/>
        <w:ind w:left="170" w:hanging="170"/>
        <w:rPr>
          <w:lang w:val="en-NZ"/>
        </w:rPr>
      </w:pPr>
      <w:r>
        <w:rPr>
          <w:rStyle w:val="FootnoteReference"/>
        </w:rPr>
        <w:footnoteRef/>
      </w:r>
      <w:r>
        <w:t xml:space="preserve"> Nine per cent of non-binary people reported they had been verbally harassed, and 11 per cent had reported they were denied services.</w:t>
      </w:r>
    </w:p>
  </w:footnote>
  <w:footnote w:id="15">
    <w:p w14:paraId="0345A4F7" w14:textId="03056B9D" w:rsidR="006E007C" w:rsidRDefault="006E007C" w:rsidP="00CC48C0">
      <w:pPr>
        <w:pStyle w:val="FootnoteText"/>
        <w:spacing w:after="0"/>
        <w:ind w:left="170" w:hanging="170"/>
      </w:pPr>
      <w:r>
        <w:rPr>
          <w:rStyle w:val="FootnoteReference"/>
        </w:rPr>
        <w:footnoteRef/>
      </w:r>
      <w:r>
        <w:t xml:space="preserve"> An umbrella term is used to described genders that do not fit within the binary of male and female. An umbrella term normally covers a group of gender terms that have something in common. </w:t>
      </w:r>
    </w:p>
  </w:footnote>
  <w:footnote w:id="16">
    <w:p w14:paraId="49C85706" w14:textId="2CB5E73B" w:rsidR="006E007C" w:rsidRPr="007756CA" w:rsidRDefault="006E007C" w:rsidP="00CC48C0">
      <w:pPr>
        <w:pStyle w:val="FootnoteText"/>
        <w:spacing w:after="0"/>
        <w:ind w:left="170" w:hanging="170"/>
        <w:rPr>
          <w:szCs w:val="18"/>
        </w:rPr>
      </w:pPr>
      <w:r w:rsidRPr="00CC48C0">
        <w:rPr>
          <w:rStyle w:val="FootnoteReference"/>
        </w:rPr>
        <w:footnoteRef/>
      </w:r>
      <w:r w:rsidRPr="00CC48C0">
        <w:rPr>
          <w:rStyle w:val="FootnoteReference"/>
        </w:rPr>
        <w:t xml:space="preserve"> </w:t>
      </w:r>
      <w:r w:rsidRPr="007756CA">
        <w:rPr>
          <w:szCs w:val="18"/>
        </w:rPr>
        <w:t>Four per</w:t>
      </w:r>
      <w:r>
        <w:rPr>
          <w:szCs w:val="18"/>
        </w:rPr>
        <w:t xml:space="preserve"> </w:t>
      </w:r>
      <w:r w:rsidRPr="007756CA">
        <w:rPr>
          <w:szCs w:val="18"/>
        </w:rPr>
        <w:t xml:space="preserve">cent of respondents to the Counting </w:t>
      </w:r>
      <w:proofErr w:type="gramStart"/>
      <w:r w:rsidRPr="007756CA">
        <w:rPr>
          <w:szCs w:val="18"/>
        </w:rPr>
        <w:t>Ourselves</w:t>
      </w:r>
      <w:proofErr w:type="gramEnd"/>
      <w:r w:rsidRPr="007756CA">
        <w:rPr>
          <w:szCs w:val="18"/>
        </w:rPr>
        <w:t xml:space="preserve"> Survey identified their gender as </w:t>
      </w:r>
      <w:proofErr w:type="spellStart"/>
      <w:r w:rsidRPr="007756CA">
        <w:rPr>
          <w:szCs w:val="18"/>
        </w:rPr>
        <w:t>takatāpui</w:t>
      </w:r>
      <w:proofErr w:type="spellEnd"/>
      <w:r w:rsidRPr="007756CA">
        <w:rPr>
          <w:szCs w:val="18"/>
        </w:rPr>
        <w:t>.</w:t>
      </w:r>
    </w:p>
  </w:footnote>
  <w:footnote w:id="17">
    <w:p w14:paraId="25BF61FD" w14:textId="77777777" w:rsidR="006E007C" w:rsidRPr="007756CA" w:rsidRDefault="006E007C" w:rsidP="00CC48C0">
      <w:pPr>
        <w:pStyle w:val="FootnoteText"/>
        <w:spacing w:after="0"/>
        <w:ind w:left="170" w:hanging="170"/>
        <w:rPr>
          <w:szCs w:val="18"/>
        </w:rPr>
      </w:pPr>
      <w:r w:rsidRPr="00CC48C0">
        <w:rPr>
          <w:rStyle w:val="FootnoteReference"/>
        </w:rPr>
        <w:footnoteRef/>
      </w:r>
      <w:r w:rsidRPr="007756CA">
        <w:rPr>
          <w:szCs w:val="18"/>
        </w:rPr>
        <w:t xml:space="preserve"> One per cent of respondents to the Counting </w:t>
      </w:r>
      <w:proofErr w:type="gramStart"/>
      <w:r w:rsidRPr="007756CA">
        <w:rPr>
          <w:szCs w:val="18"/>
        </w:rPr>
        <w:t>Ourselves</w:t>
      </w:r>
      <w:proofErr w:type="gramEnd"/>
      <w:r w:rsidRPr="007756CA">
        <w:rPr>
          <w:szCs w:val="18"/>
        </w:rPr>
        <w:t xml:space="preserve"> Survey indicated they identified with each of these terms.</w:t>
      </w:r>
    </w:p>
  </w:footnote>
  <w:footnote w:id="18">
    <w:p w14:paraId="215D857A" w14:textId="1DA22B5E" w:rsidR="006E007C" w:rsidRPr="007756CA" w:rsidRDefault="006E007C" w:rsidP="00B53952">
      <w:pPr>
        <w:pStyle w:val="FootnoteText"/>
        <w:spacing w:after="0"/>
        <w:ind w:left="284" w:hanging="284"/>
        <w:rPr>
          <w:szCs w:val="18"/>
          <w:lang w:val="en-NZ"/>
        </w:rPr>
      </w:pPr>
      <w:r w:rsidRPr="00B53952">
        <w:rPr>
          <w:rStyle w:val="FootnoteReference"/>
          <w:sz w:val="18"/>
          <w:szCs w:val="18"/>
        </w:rPr>
        <w:footnoteRef/>
      </w:r>
      <w:r w:rsidRPr="007756CA">
        <w:rPr>
          <w:szCs w:val="18"/>
        </w:rPr>
        <w:t xml:space="preserve"> </w:t>
      </w:r>
      <w:r w:rsidRPr="007756CA">
        <w:rPr>
          <w:szCs w:val="18"/>
          <w:lang w:val="en-NZ"/>
        </w:rPr>
        <w:t xml:space="preserve">The Counting </w:t>
      </w:r>
      <w:proofErr w:type="gramStart"/>
      <w:r w:rsidRPr="007756CA">
        <w:rPr>
          <w:szCs w:val="18"/>
          <w:lang w:val="en-NZ"/>
        </w:rPr>
        <w:t>Ourselves</w:t>
      </w:r>
      <w:proofErr w:type="gramEnd"/>
      <w:r w:rsidRPr="007756CA">
        <w:rPr>
          <w:szCs w:val="18"/>
          <w:lang w:val="en-NZ"/>
        </w:rPr>
        <w:t xml:space="preserve"> survey report indicated that some New Zealand-based respondents identified with Pacific gender terms.</w:t>
      </w:r>
    </w:p>
  </w:footnote>
  <w:footnote w:id="19">
    <w:p w14:paraId="0567DAF1" w14:textId="2FCFF641" w:rsidR="006E007C" w:rsidRDefault="006E007C" w:rsidP="00B53952">
      <w:pPr>
        <w:pStyle w:val="FootnoteText"/>
        <w:spacing w:after="0"/>
        <w:ind w:left="284" w:hanging="284"/>
      </w:pPr>
      <w:r w:rsidRPr="00B53952">
        <w:rPr>
          <w:rStyle w:val="FootnoteReference"/>
          <w:sz w:val="18"/>
          <w:szCs w:val="18"/>
        </w:rPr>
        <w:footnoteRef/>
      </w:r>
      <w:r w:rsidRPr="007756CA">
        <w:rPr>
          <w:szCs w:val="18"/>
        </w:rPr>
        <w:t xml:space="preserve"> ‘Ethnic communities’ here means communities</w:t>
      </w:r>
      <w:r>
        <w:t xml:space="preserve"> that fall within the remit of the Ministry of Ethnic Communities (Asian, Middle Eastern, Latin American, African and Continental European).</w:t>
      </w:r>
    </w:p>
  </w:footnote>
  <w:footnote w:id="20">
    <w:p w14:paraId="352C0B21" w14:textId="1D288A3E" w:rsidR="006E007C" w:rsidRPr="00684A1D" w:rsidRDefault="006E007C" w:rsidP="00B53952">
      <w:pPr>
        <w:pStyle w:val="FootnoteText"/>
        <w:ind w:left="284" w:hanging="284"/>
        <w:rPr>
          <w:lang w:val="en-NZ"/>
        </w:rPr>
      </w:pPr>
      <w:r w:rsidRPr="00B53952">
        <w:rPr>
          <w:rStyle w:val="FootnoteReference"/>
          <w:sz w:val="18"/>
          <w:szCs w:val="18"/>
        </w:rPr>
        <w:footnoteRef/>
      </w:r>
      <w:r w:rsidRPr="00BC5055">
        <w:rPr>
          <w:szCs w:val="18"/>
        </w:rPr>
        <w:t xml:space="preserve"> </w:t>
      </w:r>
      <w:r w:rsidRPr="00BC5055">
        <w:rPr>
          <w:szCs w:val="18"/>
          <w:lang w:val="en-NZ"/>
        </w:rPr>
        <w:t xml:space="preserve">We have identified Belgium, Iceland, Argentina, and Malta as </w:t>
      </w:r>
      <w:r w:rsidRPr="000A74AB">
        <w:rPr>
          <w:szCs w:val="18"/>
          <w:lang w:val="en-NZ"/>
        </w:rPr>
        <w:t>countries that enable a third ‘non-binary’ gender on birth certificates or civil registration do</w:t>
      </w:r>
      <w:r w:rsidRPr="00271DB5">
        <w:rPr>
          <w:szCs w:val="18"/>
          <w:lang w:val="en-NZ"/>
        </w:rPr>
        <w:t xml:space="preserve">cuments. Each of these countries uses ‘X’ as a catch-all marker for non-binary genders. This aligns with the ‘X’ that can be used to indicate a non-binary </w:t>
      </w:r>
      <w:r w:rsidRPr="0037460F">
        <w:rPr>
          <w:szCs w:val="18"/>
          <w:lang w:val="en-NZ"/>
        </w:rPr>
        <w:t>gender on a passport under the international</w:t>
      </w:r>
      <w:r>
        <w:rPr>
          <w:lang w:val="en-NZ"/>
        </w:rPr>
        <w:t xml:space="preserve"> civil aviation organisation standards.</w:t>
      </w:r>
    </w:p>
  </w:footnote>
  <w:footnote w:id="21">
    <w:p w14:paraId="4DD2E721" w14:textId="3FBF3615" w:rsidR="006E007C" w:rsidRPr="00271DB5" w:rsidRDefault="006E007C" w:rsidP="00B53952">
      <w:pPr>
        <w:pStyle w:val="FootnoteText"/>
        <w:spacing w:after="0"/>
        <w:ind w:left="284" w:hanging="284"/>
        <w:rPr>
          <w:szCs w:val="18"/>
          <w:lang w:val="en-NZ"/>
        </w:rPr>
      </w:pPr>
      <w:r w:rsidRPr="00B53952">
        <w:rPr>
          <w:rStyle w:val="FootnoteReference"/>
          <w:sz w:val="18"/>
          <w:szCs w:val="18"/>
        </w:rPr>
        <w:footnoteRef/>
      </w:r>
      <w:r w:rsidRPr="00BC5055">
        <w:rPr>
          <w:szCs w:val="18"/>
        </w:rPr>
        <w:t xml:space="preserve"> MVPFAFF+ is an umbrella acronym for diverse gender terms from Pacific cultures. The letters stand for: </w:t>
      </w:r>
      <w:proofErr w:type="spellStart"/>
      <w:r w:rsidRPr="00BC5055">
        <w:rPr>
          <w:szCs w:val="18"/>
        </w:rPr>
        <w:t>Mahu</w:t>
      </w:r>
      <w:proofErr w:type="spellEnd"/>
      <w:r w:rsidRPr="00BC5055">
        <w:rPr>
          <w:szCs w:val="18"/>
        </w:rPr>
        <w:t xml:space="preserve"> (Tahitian/Hawaiian), </w:t>
      </w:r>
      <w:proofErr w:type="spellStart"/>
      <w:r w:rsidRPr="00BC5055">
        <w:rPr>
          <w:szCs w:val="18"/>
        </w:rPr>
        <w:t>Palopa</w:t>
      </w:r>
      <w:proofErr w:type="spellEnd"/>
      <w:r w:rsidRPr="00BC5055">
        <w:rPr>
          <w:szCs w:val="18"/>
        </w:rPr>
        <w:t xml:space="preserve"> (Papua New Guinea), Fa’afafine</w:t>
      </w:r>
      <w:r w:rsidRPr="000A74AB">
        <w:rPr>
          <w:szCs w:val="18"/>
        </w:rPr>
        <w:t xml:space="preserve"> (Samoan), </w:t>
      </w:r>
      <w:proofErr w:type="spellStart"/>
      <w:r w:rsidRPr="000A74AB">
        <w:rPr>
          <w:szCs w:val="18"/>
        </w:rPr>
        <w:t>Akava’ine</w:t>
      </w:r>
      <w:proofErr w:type="spellEnd"/>
      <w:r w:rsidRPr="000A74AB">
        <w:rPr>
          <w:szCs w:val="18"/>
        </w:rPr>
        <w:t xml:space="preserve"> (Cook Islands Māori), Fakaleiti (Tongan), and </w:t>
      </w:r>
      <w:proofErr w:type="spellStart"/>
      <w:r w:rsidRPr="000A74AB">
        <w:rPr>
          <w:szCs w:val="18"/>
        </w:rPr>
        <w:t>Fiafifine</w:t>
      </w:r>
      <w:proofErr w:type="spellEnd"/>
      <w:r w:rsidRPr="000A74AB">
        <w:rPr>
          <w:szCs w:val="18"/>
        </w:rPr>
        <w:t xml:space="preserve"> (Niuean). We unders</w:t>
      </w:r>
      <w:r w:rsidRPr="00271DB5">
        <w:rPr>
          <w:szCs w:val="18"/>
        </w:rPr>
        <w:t xml:space="preserve">tand the acronym was first coined by </w:t>
      </w:r>
      <w:proofErr w:type="spellStart"/>
      <w:r w:rsidRPr="00271DB5">
        <w:rPr>
          <w:szCs w:val="18"/>
        </w:rPr>
        <w:t>Phylesha</w:t>
      </w:r>
      <w:proofErr w:type="spellEnd"/>
      <w:r w:rsidRPr="00271DB5">
        <w:rPr>
          <w:szCs w:val="18"/>
        </w:rPr>
        <w:t xml:space="preserve"> Brown-Acton in 2011.</w:t>
      </w:r>
    </w:p>
  </w:footnote>
  <w:footnote w:id="22">
    <w:p w14:paraId="7A4BB782" w14:textId="5237BB88" w:rsidR="006E007C" w:rsidRPr="00684A1D" w:rsidRDefault="006E007C" w:rsidP="00B53952">
      <w:pPr>
        <w:pStyle w:val="FootnoteText"/>
        <w:spacing w:after="0"/>
        <w:ind w:left="284" w:hanging="284"/>
        <w:rPr>
          <w:lang w:val="en-NZ"/>
        </w:rPr>
      </w:pPr>
      <w:r w:rsidRPr="00B53952">
        <w:rPr>
          <w:rStyle w:val="FootnoteReference"/>
          <w:sz w:val="18"/>
          <w:szCs w:val="18"/>
        </w:rPr>
        <w:footnoteRef/>
      </w:r>
      <w:r w:rsidRPr="00BC5055">
        <w:rPr>
          <w:szCs w:val="18"/>
        </w:rPr>
        <w:t xml:space="preserve"> Participants in the Counting </w:t>
      </w:r>
      <w:proofErr w:type="gramStart"/>
      <w:r w:rsidRPr="00BC5055">
        <w:rPr>
          <w:szCs w:val="18"/>
        </w:rPr>
        <w:t>Ourselves</w:t>
      </w:r>
      <w:proofErr w:type="gramEnd"/>
      <w:r w:rsidRPr="00BC5055">
        <w:rPr>
          <w:szCs w:val="18"/>
        </w:rPr>
        <w:t xml:space="preserve"> survey indicated their gender – a high number of participants indicated that they</w:t>
      </w:r>
      <w:r>
        <w:t xml:space="preserve"> identify with these terms.</w:t>
      </w:r>
    </w:p>
  </w:footnote>
  <w:footnote w:id="23">
    <w:p w14:paraId="23BF9462" w14:textId="5CCA9BBE" w:rsidR="006E007C" w:rsidRDefault="006E007C" w:rsidP="009B68C2">
      <w:pPr>
        <w:pStyle w:val="FootnoteText"/>
        <w:ind w:left="284" w:hanging="284"/>
      </w:pPr>
      <w:r>
        <w:rPr>
          <w:rStyle w:val="FootnoteReference"/>
        </w:rPr>
        <w:footnoteRef/>
      </w:r>
      <w:r>
        <w:t xml:space="preserve"> </w:t>
      </w:r>
      <w:r w:rsidRPr="00373C08">
        <w:rPr>
          <w:lang w:eastAsia="en-NZ"/>
        </w:rPr>
        <w:t xml:space="preserve">A recent survey of New Zealand youth found that three quarters of those who identified as transgender and </w:t>
      </w:r>
      <w:r>
        <w:rPr>
          <w:lang w:eastAsia="en-NZ"/>
        </w:rPr>
        <w:t>non-binary</w:t>
      </w:r>
      <w:r w:rsidRPr="00373C08">
        <w:rPr>
          <w:lang w:eastAsia="en-NZ"/>
        </w:rPr>
        <w:t xml:space="preserve"> said they had started to do so before the age of 14</w:t>
      </w:r>
      <w:r>
        <w:rPr>
          <w:lang w:eastAsia="en-NZ"/>
        </w:rPr>
        <w:t xml:space="preserve">. </w:t>
      </w:r>
    </w:p>
  </w:footnote>
  <w:footnote w:id="24">
    <w:p w14:paraId="013C857A" w14:textId="5E991E66" w:rsidR="006E007C" w:rsidRPr="00B776A9" w:rsidRDefault="006E007C" w:rsidP="00B53952">
      <w:pPr>
        <w:pStyle w:val="FootnoteText"/>
        <w:spacing w:after="0"/>
        <w:ind w:left="284" w:hanging="284"/>
        <w:rPr>
          <w:lang w:val="en-NZ"/>
        </w:rPr>
      </w:pPr>
      <w:r>
        <w:rPr>
          <w:rStyle w:val="FootnoteReference"/>
        </w:rPr>
        <w:footnoteRef/>
      </w:r>
      <w:r>
        <w:t xml:space="preserve"> The guardian must have the child’s consent to make the application and must verify in their statutory declaration that they believe the child identifies as a person of the nominated sex.</w:t>
      </w:r>
    </w:p>
  </w:footnote>
  <w:footnote w:id="25">
    <w:p w14:paraId="5AEFFF2B" w14:textId="6C72BC76" w:rsidR="006E007C" w:rsidRPr="00A90B18" w:rsidRDefault="006E007C" w:rsidP="00B53952">
      <w:pPr>
        <w:pStyle w:val="FootnoteText"/>
        <w:ind w:left="284" w:hanging="284"/>
        <w:rPr>
          <w:szCs w:val="18"/>
          <w:lang w:val="en-NZ"/>
        </w:rPr>
      </w:pPr>
      <w:r w:rsidRPr="00B53952">
        <w:rPr>
          <w:rStyle w:val="FootnoteReference"/>
          <w:sz w:val="18"/>
          <w:szCs w:val="18"/>
        </w:rPr>
        <w:footnoteRef/>
      </w:r>
      <w:r w:rsidRPr="0037460F">
        <w:rPr>
          <w:szCs w:val="18"/>
        </w:rPr>
        <w:t xml:space="preserve"> Findings were passed on by counterparts in </w:t>
      </w:r>
      <w:r w:rsidRPr="00A90B18">
        <w:rPr>
          <w:szCs w:val="18"/>
          <w:lang w:val="en-NZ"/>
        </w:rPr>
        <w:t xml:space="preserve">Victoria, Australia who conducted a survey of transgender youth when designing their self-identification model. </w:t>
      </w:r>
    </w:p>
  </w:footnote>
  <w:footnote w:id="26">
    <w:p w14:paraId="43EF455A" w14:textId="2A737DD4" w:rsidR="006E007C" w:rsidRDefault="006E007C" w:rsidP="000408E1">
      <w:pPr>
        <w:pStyle w:val="FootnoteText"/>
        <w:spacing w:after="0"/>
        <w:ind w:left="170" w:hanging="170"/>
      </w:pPr>
      <w:r>
        <w:rPr>
          <w:rStyle w:val="FootnoteReference"/>
        </w:rPr>
        <w:footnoteRef/>
      </w:r>
      <w:r>
        <w:t xml:space="preserve"> It is common for applications to amend registered sex to be accompanied by a name change request. In 2021, all applications to amend registered sex under the Family Court process also requested to change their name. </w:t>
      </w:r>
    </w:p>
  </w:footnote>
  <w:footnote w:id="27">
    <w:p w14:paraId="38DFA364" w14:textId="1C73FB5A" w:rsidR="006E007C" w:rsidRDefault="006E007C">
      <w:pPr>
        <w:pStyle w:val="FootnoteText"/>
      </w:pPr>
      <w:r>
        <w:rPr>
          <w:rStyle w:val="FootnoteReference"/>
        </w:rPr>
        <w:footnoteRef/>
      </w:r>
      <w:r>
        <w:t xml:space="preserve"> To request a birth certificate, a person’s name and date of birth must be provided. </w:t>
      </w:r>
    </w:p>
  </w:footnote>
  <w:footnote w:id="28">
    <w:p w14:paraId="5D4EAE2A" w14:textId="258A9DB2" w:rsidR="006E007C" w:rsidRPr="001806DE" w:rsidRDefault="006E007C" w:rsidP="00B53952">
      <w:pPr>
        <w:pStyle w:val="FootnoteText"/>
        <w:spacing w:after="0"/>
        <w:ind w:left="284" w:hanging="284"/>
        <w:rPr>
          <w:lang w:val="en-NZ"/>
        </w:rPr>
      </w:pPr>
      <w:r w:rsidRPr="00B53952">
        <w:rPr>
          <w:rStyle w:val="FootnoteReference"/>
          <w:sz w:val="18"/>
          <w:szCs w:val="18"/>
        </w:rPr>
        <w:footnoteRef/>
      </w:r>
      <w:r w:rsidRPr="00F762EF">
        <w:rPr>
          <w:szCs w:val="18"/>
        </w:rPr>
        <w:t xml:space="preserve"> This refers to an </w:t>
      </w:r>
      <w:r w:rsidRPr="00F762EF">
        <w:rPr>
          <w:szCs w:val="18"/>
          <w:lang w:val="en-NZ"/>
        </w:rPr>
        <w:t>adult applicant. A child or young person aged 15 and under will still need guardian consent a</w:t>
      </w:r>
      <w:r>
        <w:rPr>
          <w:szCs w:val="18"/>
          <w:lang w:val="en-NZ"/>
        </w:rPr>
        <w:t xml:space="preserve">nd </w:t>
      </w:r>
      <w:r>
        <w:rPr>
          <w:lang w:val="en-NZ"/>
        </w:rPr>
        <w:t>a</w:t>
      </w:r>
      <w:r w:rsidRPr="00F762EF">
        <w:rPr>
          <w:szCs w:val="18"/>
          <w:lang w:val="en-NZ"/>
        </w:rPr>
        <w:t xml:space="preserve"> letter of support from a suitably qualified third party, and a young person aged 16-17 will need either guardian consent or a letter from a suitably qualified third party.</w:t>
      </w:r>
      <w:r>
        <w:rPr>
          <w:lang w:val="en-N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076" w14:textId="31B427BB" w:rsidR="006E007C" w:rsidRDefault="006E007C">
    <w:pPr>
      <w:pStyle w:val="Header"/>
    </w:pPr>
  </w:p>
  <w:p w14:paraId="5B68D6FF" w14:textId="77777777" w:rsidR="006E007C" w:rsidRDefault="006E00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215B" w14:textId="6764FB09" w:rsidR="006E007C" w:rsidRPr="00EB1B21" w:rsidRDefault="006E007C" w:rsidP="00150D58">
    <w:pPr>
      <w:tabs>
        <w:tab w:val="center" w:pos="4253"/>
      </w:tabs>
      <w:spacing w:after="0"/>
      <w:rPr>
        <w:b/>
      </w:rPr>
    </w:pPr>
    <w:r>
      <w:tab/>
    </w:r>
  </w:p>
  <w:p w14:paraId="60EA4F3F" w14:textId="77777777" w:rsidR="006E007C" w:rsidRDefault="006E00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98E3" w14:textId="77777777" w:rsidR="006E007C" w:rsidRDefault="006E007C">
    <w:pPr>
      <w:pStyle w:val="Header"/>
    </w:pPr>
  </w:p>
  <w:p w14:paraId="29CEFDE1" w14:textId="77777777" w:rsidR="006E007C" w:rsidRDefault="006E0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CDC2" w14:textId="77777777" w:rsidR="006E007C" w:rsidRPr="00EB1B21" w:rsidRDefault="006E007C" w:rsidP="00150D58">
    <w:pPr>
      <w:tabs>
        <w:tab w:val="center" w:pos="4253"/>
      </w:tabs>
      <w:spacing w:after="0"/>
      <w:rPr>
        <w:b/>
      </w:rPr>
    </w:pPr>
    <w:r>
      <w:tab/>
    </w:r>
  </w:p>
  <w:p w14:paraId="47C17906" w14:textId="77777777" w:rsidR="006E007C" w:rsidRDefault="006E00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41B2" w14:textId="77777777" w:rsidR="006E007C" w:rsidRDefault="006E007C">
    <w:pPr>
      <w:pStyle w:val="Header"/>
    </w:pPr>
  </w:p>
  <w:p w14:paraId="18D90EFA" w14:textId="77777777" w:rsidR="006E007C" w:rsidRDefault="006E007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541F" w14:textId="77777777" w:rsidR="006E007C" w:rsidRPr="00EB1B21" w:rsidRDefault="006E007C" w:rsidP="00150D58">
    <w:pPr>
      <w:tabs>
        <w:tab w:val="center" w:pos="4253"/>
      </w:tabs>
      <w:spacing w:after="0"/>
      <w:rPr>
        <w:b/>
      </w:rPr>
    </w:pPr>
    <w:r>
      <w:tab/>
    </w:r>
  </w:p>
  <w:p w14:paraId="3DCCDD90" w14:textId="77777777" w:rsidR="006E007C" w:rsidRDefault="006E0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6D0"/>
    <w:multiLevelType w:val="hybridMultilevel"/>
    <w:tmpl w:val="D3F85AB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664821"/>
    <w:multiLevelType w:val="hybridMultilevel"/>
    <w:tmpl w:val="D22EE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521E53"/>
    <w:multiLevelType w:val="hybridMultilevel"/>
    <w:tmpl w:val="FC9ED6D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8F0817"/>
    <w:multiLevelType w:val="hybridMultilevel"/>
    <w:tmpl w:val="0BC6E93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8B66E13"/>
    <w:multiLevelType w:val="hybridMultilevel"/>
    <w:tmpl w:val="4DF2A5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ACE2D4C"/>
    <w:multiLevelType w:val="hybridMultilevel"/>
    <w:tmpl w:val="EBDAA90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15:restartNumberingAfterBreak="0">
    <w:nsid w:val="0DA82164"/>
    <w:multiLevelType w:val="hybridMultilevel"/>
    <w:tmpl w:val="49522E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1580251"/>
    <w:multiLevelType w:val="hybridMultilevel"/>
    <w:tmpl w:val="4EBE4B02"/>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start w:val="1"/>
      <w:numFmt w:val="bullet"/>
      <w:lvlText w:val="o"/>
      <w:lvlJc w:val="left"/>
      <w:pPr>
        <w:ind w:left="3807" w:hanging="360"/>
      </w:pPr>
      <w:rPr>
        <w:rFonts w:ascii="Courier New" w:hAnsi="Courier New" w:cs="Courier New" w:hint="default"/>
      </w:rPr>
    </w:lvl>
    <w:lvl w:ilvl="5" w:tplc="14090005">
      <w:start w:val="1"/>
      <w:numFmt w:val="bullet"/>
      <w:lvlText w:val=""/>
      <w:lvlJc w:val="left"/>
      <w:pPr>
        <w:ind w:left="4527" w:hanging="360"/>
      </w:pPr>
      <w:rPr>
        <w:rFonts w:ascii="Wingdings" w:hAnsi="Wingdings" w:hint="default"/>
      </w:rPr>
    </w:lvl>
    <w:lvl w:ilvl="6" w:tplc="14090001">
      <w:start w:val="1"/>
      <w:numFmt w:val="bullet"/>
      <w:lvlText w:val=""/>
      <w:lvlJc w:val="left"/>
      <w:pPr>
        <w:ind w:left="5247" w:hanging="360"/>
      </w:pPr>
      <w:rPr>
        <w:rFonts w:ascii="Symbol" w:hAnsi="Symbol" w:hint="default"/>
      </w:rPr>
    </w:lvl>
    <w:lvl w:ilvl="7" w:tplc="14090003">
      <w:start w:val="1"/>
      <w:numFmt w:val="bullet"/>
      <w:lvlText w:val="o"/>
      <w:lvlJc w:val="left"/>
      <w:pPr>
        <w:ind w:left="5967" w:hanging="360"/>
      </w:pPr>
      <w:rPr>
        <w:rFonts w:ascii="Courier New" w:hAnsi="Courier New" w:cs="Courier New" w:hint="default"/>
      </w:rPr>
    </w:lvl>
    <w:lvl w:ilvl="8" w:tplc="14090005">
      <w:start w:val="1"/>
      <w:numFmt w:val="bullet"/>
      <w:lvlText w:val=""/>
      <w:lvlJc w:val="left"/>
      <w:pPr>
        <w:ind w:left="6687" w:hanging="360"/>
      </w:pPr>
      <w:rPr>
        <w:rFonts w:ascii="Wingdings" w:hAnsi="Wingdings" w:hint="default"/>
      </w:rPr>
    </w:lvl>
  </w:abstractNum>
  <w:abstractNum w:abstractNumId="9" w15:restartNumberingAfterBreak="0">
    <w:nsid w:val="125B56BB"/>
    <w:multiLevelType w:val="hybridMultilevel"/>
    <w:tmpl w:val="5E90157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66716FA"/>
    <w:multiLevelType w:val="hybridMultilevel"/>
    <w:tmpl w:val="793439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186173"/>
    <w:multiLevelType w:val="hybridMultilevel"/>
    <w:tmpl w:val="6B54E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99B7D47"/>
    <w:multiLevelType w:val="hybridMultilevel"/>
    <w:tmpl w:val="B192D0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9DA7FA5"/>
    <w:multiLevelType w:val="hybridMultilevel"/>
    <w:tmpl w:val="80E8B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C4545B6"/>
    <w:multiLevelType w:val="hybridMultilevel"/>
    <w:tmpl w:val="5E42870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1C4B2C2D"/>
    <w:multiLevelType w:val="hybridMultilevel"/>
    <w:tmpl w:val="80DAB2FE"/>
    <w:lvl w:ilvl="0" w:tplc="490CCB5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D7E1473"/>
    <w:multiLevelType w:val="hybridMultilevel"/>
    <w:tmpl w:val="CB9C9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0B8763B"/>
    <w:multiLevelType w:val="hybridMultilevel"/>
    <w:tmpl w:val="FD16E1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26771DE"/>
    <w:multiLevelType w:val="hybridMultilevel"/>
    <w:tmpl w:val="216CA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E62F65"/>
    <w:multiLevelType w:val="hybridMultilevel"/>
    <w:tmpl w:val="AD14867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7B27F62"/>
    <w:multiLevelType w:val="hybridMultilevel"/>
    <w:tmpl w:val="6DAAA26E"/>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21" w15:restartNumberingAfterBreak="0">
    <w:nsid w:val="3149033D"/>
    <w:multiLevelType w:val="hybridMultilevel"/>
    <w:tmpl w:val="BC78F1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D20B5A"/>
    <w:multiLevelType w:val="hybridMultilevel"/>
    <w:tmpl w:val="517EAA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539082D"/>
    <w:multiLevelType w:val="hybridMultilevel"/>
    <w:tmpl w:val="B30C4CCA"/>
    <w:lvl w:ilvl="0" w:tplc="6C0C79D2">
      <w:start w:val="1"/>
      <w:numFmt w:val="bullet"/>
      <w:pStyle w:val="Table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6FF0F09"/>
    <w:multiLevelType w:val="hybridMultilevel"/>
    <w:tmpl w:val="FA02DF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74F1B62"/>
    <w:multiLevelType w:val="multilevel"/>
    <w:tmpl w:val="68FE59F6"/>
    <w:lvl w:ilvl="0">
      <w:start w:val="1"/>
      <w:numFmt w:val="decimal"/>
      <w:lvlText w:val="%1."/>
      <w:lvlJc w:val="left"/>
      <w:pPr>
        <w:tabs>
          <w:tab w:val="num" w:pos="567"/>
        </w:tabs>
        <w:ind w:left="567" w:hanging="567"/>
      </w:pPr>
      <w:rPr>
        <w:rFonts w:hint="default"/>
      </w:rPr>
    </w:lvl>
    <w:lvl w:ilvl="1">
      <w:start w:val="1"/>
      <w:numFmt w:val="decimal"/>
      <w:lvlText w:val="%1.%2"/>
      <w:lvlJc w:val="left"/>
      <w:pPr>
        <w:ind w:left="924" w:hanging="357"/>
      </w:pPr>
      <w:rPr>
        <w:rFonts w:hint="default"/>
        <w:i w:val="0"/>
      </w:rPr>
    </w:lvl>
    <w:lvl w:ilvl="2">
      <w:start w:val="1"/>
      <w:numFmt w:val="decimal"/>
      <w:lvlText w:val="%1.%2.%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D093597"/>
    <w:multiLevelType w:val="hybridMultilevel"/>
    <w:tmpl w:val="1BF62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BB06FD"/>
    <w:multiLevelType w:val="hybridMultilevel"/>
    <w:tmpl w:val="7DEA22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397488D"/>
    <w:multiLevelType w:val="hybridMultilevel"/>
    <w:tmpl w:val="F64EB6B8"/>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30" w15:restartNumberingAfterBreak="0">
    <w:nsid w:val="479D190F"/>
    <w:multiLevelType w:val="hybridMultilevel"/>
    <w:tmpl w:val="FDA2E6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EF97C33"/>
    <w:multiLevelType w:val="hybridMultilevel"/>
    <w:tmpl w:val="EEE08E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3774C8"/>
    <w:multiLevelType w:val="hybridMultilevel"/>
    <w:tmpl w:val="DA9C14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48410C0"/>
    <w:multiLevelType w:val="multilevel"/>
    <w:tmpl w:val="52EED6BC"/>
    <w:lvl w:ilvl="0">
      <w:start w:val="1"/>
      <w:numFmt w:val="decimal"/>
      <w:pStyle w:val="BodyText-Numbered"/>
      <w:lvlText w:val="%1."/>
      <w:lvlJc w:val="left"/>
      <w:pPr>
        <w:ind w:left="567" w:hanging="567"/>
      </w:pPr>
      <w:rPr>
        <w:rFonts w:ascii="Arial" w:hAnsi="Arial" w:cs="Arial" w:hint="default"/>
        <w:b w:val="0"/>
        <w:i w:val="0"/>
        <w:iCs/>
        <w:sz w:val="22"/>
        <w:szCs w:val="22"/>
      </w:rPr>
    </w:lvl>
    <w:lvl w:ilvl="1">
      <w:start w:val="1"/>
      <w:numFmt w:val="bullet"/>
      <w:lvlText w:val=""/>
      <w:lvlJc w:val="left"/>
      <w:pPr>
        <w:ind w:left="1134" w:hanging="567"/>
      </w:pPr>
      <w:rPr>
        <w:rFonts w:ascii="Symbol" w:hAnsi="Symbol" w:hint="default"/>
        <w:sz w:val="22"/>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61A693C"/>
    <w:multiLevelType w:val="hybridMultilevel"/>
    <w:tmpl w:val="C8423C5E"/>
    <w:lvl w:ilvl="0" w:tplc="41F4BD7E">
      <w:start w:val="1"/>
      <w:numFmt w:val="bullet"/>
      <w:pStyle w:val="Boxbullet"/>
      <w:lvlText w:val="•"/>
      <w:lvlJc w:val="left"/>
      <w:pPr>
        <w:tabs>
          <w:tab w:val="num" w:pos="644"/>
        </w:tabs>
        <w:ind w:left="567" w:hanging="283"/>
      </w:pPr>
      <w:rPr>
        <w:rFonts w:hAnsi="Aria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5B62C8"/>
    <w:multiLevelType w:val="hybridMultilevel"/>
    <w:tmpl w:val="9EC8CD8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6" w15:restartNumberingAfterBreak="0">
    <w:nsid w:val="59B66865"/>
    <w:multiLevelType w:val="hybridMultilevel"/>
    <w:tmpl w:val="6F3828A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9D10170"/>
    <w:multiLevelType w:val="hybridMultilevel"/>
    <w:tmpl w:val="2500B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B9A6720"/>
    <w:multiLevelType w:val="hybridMultilevel"/>
    <w:tmpl w:val="F3489C04"/>
    <w:lvl w:ilvl="0" w:tplc="14090001">
      <w:start w:val="1"/>
      <w:numFmt w:val="bullet"/>
      <w:lvlText w:val=""/>
      <w:lvlJc w:val="left"/>
      <w:pPr>
        <w:ind w:left="9360" w:hanging="360"/>
      </w:pPr>
      <w:rPr>
        <w:rFonts w:ascii="Symbol" w:hAnsi="Symbol" w:hint="default"/>
      </w:rPr>
    </w:lvl>
    <w:lvl w:ilvl="1" w:tplc="14090003" w:tentative="1">
      <w:start w:val="1"/>
      <w:numFmt w:val="bullet"/>
      <w:lvlText w:val="o"/>
      <w:lvlJc w:val="left"/>
      <w:pPr>
        <w:ind w:left="10080" w:hanging="360"/>
      </w:pPr>
      <w:rPr>
        <w:rFonts w:ascii="Courier New" w:hAnsi="Courier New" w:cs="Courier New" w:hint="default"/>
      </w:rPr>
    </w:lvl>
    <w:lvl w:ilvl="2" w:tplc="14090005" w:tentative="1">
      <w:start w:val="1"/>
      <w:numFmt w:val="bullet"/>
      <w:lvlText w:val=""/>
      <w:lvlJc w:val="left"/>
      <w:pPr>
        <w:ind w:left="10800" w:hanging="360"/>
      </w:pPr>
      <w:rPr>
        <w:rFonts w:ascii="Wingdings" w:hAnsi="Wingdings" w:hint="default"/>
      </w:rPr>
    </w:lvl>
    <w:lvl w:ilvl="3" w:tplc="14090001" w:tentative="1">
      <w:start w:val="1"/>
      <w:numFmt w:val="bullet"/>
      <w:lvlText w:val=""/>
      <w:lvlJc w:val="left"/>
      <w:pPr>
        <w:ind w:left="11520" w:hanging="360"/>
      </w:pPr>
      <w:rPr>
        <w:rFonts w:ascii="Symbol" w:hAnsi="Symbol" w:hint="default"/>
      </w:rPr>
    </w:lvl>
    <w:lvl w:ilvl="4" w:tplc="14090003" w:tentative="1">
      <w:start w:val="1"/>
      <w:numFmt w:val="bullet"/>
      <w:lvlText w:val="o"/>
      <w:lvlJc w:val="left"/>
      <w:pPr>
        <w:ind w:left="12240" w:hanging="360"/>
      </w:pPr>
      <w:rPr>
        <w:rFonts w:ascii="Courier New" w:hAnsi="Courier New" w:cs="Courier New" w:hint="default"/>
      </w:rPr>
    </w:lvl>
    <w:lvl w:ilvl="5" w:tplc="14090005" w:tentative="1">
      <w:start w:val="1"/>
      <w:numFmt w:val="bullet"/>
      <w:lvlText w:val=""/>
      <w:lvlJc w:val="left"/>
      <w:pPr>
        <w:ind w:left="12960" w:hanging="360"/>
      </w:pPr>
      <w:rPr>
        <w:rFonts w:ascii="Wingdings" w:hAnsi="Wingdings" w:hint="default"/>
      </w:rPr>
    </w:lvl>
    <w:lvl w:ilvl="6" w:tplc="14090001" w:tentative="1">
      <w:start w:val="1"/>
      <w:numFmt w:val="bullet"/>
      <w:lvlText w:val=""/>
      <w:lvlJc w:val="left"/>
      <w:pPr>
        <w:ind w:left="13680" w:hanging="360"/>
      </w:pPr>
      <w:rPr>
        <w:rFonts w:ascii="Symbol" w:hAnsi="Symbol" w:hint="default"/>
      </w:rPr>
    </w:lvl>
    <w:lvl w:ilvl="7" w:tplc="14090003" w:tentative="1">
      <w:start w:val="1"/>
      <w:numFmt w:val="bullet"/>
      <w:lvlText w:val="o"/>
      <w:lvlJc w:val="left"/>
      <w:pPr>
        <w:ind w:left="14400" w:hanging="360"/>
      </w:pPr>
      <w:rPr>
        <w:rFonts w:ascii="Courier New" w:hAnsi="Courier New" w:cs="Courier New" w:hint="default"/>
      </w:rPr>
    </w:lvl>
    <w:lvl w:ilvl="8" w:tplc="14090005" w:tentative="1">
      <w:start w:val="1"/>
      <w:numFmt w:val="bullet"/>
      <w:lvlText w:val=""/>
      <w:lvlJc w:val="left"/>
      <w:pPr>
        <w:ind w:left="15120" w:hanging="360"/>
      </w:pPr>
      <w:rPr>
        <w:rFonts w:ascii="Wingdings" w:hAnsi="Wingdings" w:hint="default"/>
      </w:rPr>
    </w:lvl>
  </w:abstractNum>
  <w:abstractNum w:abstractNumId="39" w15:restartNumberingAfterBreak="0">
    <w:nsid w:val="5CF1611C"/>
    <w:multiLevelType w:val="hybridMultilevel"/>
    <w:tmpl w:val="99943EB8"/>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40" w15:restartNumberingAfterBreak="0">
    <w:nsid w:val="5DF71A17"/>
    <w:multiLevelType w:val="hybridMultilevel"/>
    <w:tmpl w:val="1902DF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15:restartNumberingAfterBreak="0">
    <w:nsid w:val="68E67E35"/>
    <w:multiLevelType w:val="hybridMultilevel"/>
    <w:tmpl w:val="FAAE77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69C91562"/>
    <w:multiLevelType w:val="hybridMultilevel"/>
    <w:tmpl w:val="EDF6A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A062730"/>
    <w:multiLevelType w:val="hybridMultilevel"/>
    <w:tmpl w:val="18827D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6" w15:restartNumberingAfterBreak="0">
    <w:nsid w:val="6EB60184"/>
    <w:multiLevelType w:val="hybridMultilevel"/>
    <w:tmpl w:val="B21C5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09C5B55"/>
    <w:multiLevelType w:val="hybridMultilevel"/>
    <w:tmpl w:val="45FE7C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3015127"/>
    <w:multiLevelType w:val="hybridMultilevel"/>
    <w:tmpl w:val="3BF0C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807648D"/>
    <w:multiLevelType w:val="hybridMultilevel"/>
    <w:tmpl w:val="92EE391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CCE41FD"/>
    <w:multiLevelType w:val="hybridMultilevel"/>
    <w:tmpl w:val="7FFA40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F830D0E"/>
    <w:multiLevelType w:val="hybridMultilevel"/>
    <w:tmpl w:val="296EC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6"/>
  </w:num>
  <w:num w:numId="4">
    <w:abstractNumId w:val="23"/>
  </w:num>
  <w:num w:numId="5">
    <w:abstractNumId w:val="0"/>
  </w:num>
  <w:num w:numId="6">
    <w:abstractNumId w:val="17"/>
  </w:num>
  <w:num w:numId="7">
    <w:abstractNumId w:val="44"/>
  </w:num>
  <w:num w:numId="8">
    <w:abstractNumId w:val="32"/>
  </w:num>
  <w:num w:numId="9">
    <w:abstractNumId w:val="42"/>
  </w:num>
  <w:num w:numId="10">
    <w:abstractNumId w:val="40"/>
  </w:num>
  <w:num w:numId="11">
    <w:abstractNumId w:val="7"/>
  </w:num>
  <w:num w:numId="12">
    <w:abstractNumId w:val="19"/>
  </w:num>
  <w:num w:numId="13">
    <w:abstractNumId w:val="30"/>
  </w:num>
  <w:num w:numId="14">
    <w:abstractNumId w:val="8"/>
  </w:num>
  <w:num w:numId="15">
    <w:abstractNumId w:val="2"/>
  </w:num>
  <w:num w:numId="16">
    <w:abstractNumId w:val="15"/>
  </w:num>
  <w:num w:numId="17">
    <w:abstractNumId w:val="45"/>
  </w:num>
  <w:num w:numId="18">
    <w:abstractNumId w:val="24"/>
  </w:num>
  <w:num w:numId="19">
    <w:abstractNumId w:val="37"/>
  </w:num>
  <w:num w:numId="20">
    <w:abstractNumId w:val="16"/>
  </w:num>
  <w:num w:numId="21">
    <w:abstractNumId w:val="5"/>
  </w:num>
  <w:num w:numId="22">
    <w:abstractNumId w:val="28"/>
  </w:num>
  <w:num w:numId="23">
    <w:abstractNumId w:val="46"/>
  </w:num>
  <w:num w:numId="24">
    <w:abstractNumId w:val="10"/>
  </w:num>
  <w:num w:numId="25">
    <w:abstractNumId w:val="31"/>
  </w:num>
  <w:num w:numId="26">
    <w:abstractNumId w:val="4"/>
  </w:num>
  <w:num w:numId="27">
    <w:abstractNumId w:val="9"/>
  </w:num>
  <w:num w:numId="28">
    <w:abstractNumId w:val="27"/>
  </w:num>
  <w:num w:numId="29">
    <w:abstractNumId w:val="11"/>
  </w:num>
  <w:num w:numId="30">
    <w:abstractNumId w:val="39"/>
  </w:num>
  <w:num w:numId="31">
    <w:abstractNumId w:val="22"/>
  </w:num>
  <w:num w:numId="32">
    <w:abstractNumId w:val="36"/>
  </w:num>
  <w:num w:numId="33">
    <w:abstractNumId w:val="3"/>
  </w:num>
  <w:num w:numId="34">
    <w:abstractNumId w:val="38"/>
  </w:num>
  <w:num w:numId="35">
    <w:abstractNumId w:val="51"/>
  </w:num>
  <w:num w:numId="36">
    <w:abstractNumId w:val="13"/>
  </w:num>
  <w:num w:numId="37">
    <w:abstractNumId w:val="48"/>
  </w:num>
  <w:num w:numId="38">
    <w:abstractNumId w:val="20"/>
  </w:num>
  <w:num w:numId="39">
    <w:abstractNumId w:val="47"/>
  </w:num>
  <w:num w:numId="40">
    <w:abstractNumId w:val="21"/>
  </w:num>
  <w:num w:numId="41">
    <w:abstractNumId w:val="1"/>
  </w:num>
  <w:num w:numId="42">
    <w:abstractNumId w:val="6"/>
  </w:num>
  <w:num w:numId="43">
    <w:abstractNumId w:val="50"/>
  </w:num>
  <w:num w:numId="44">
    <w:abstractNumId w:val="18"/>
  </w:num>
  <w:num w:numId="45">
    <w:abstractNumId w:val="35"/>
  </w:num>
  <w:num w:numId="46">
    <w:abstractNumId w:val="49"/>
  </w:num>
  <w:num w:numId="47">
    <w:abstractNumId w:val="25"/>
  </w:num>
  <w:num w:numId="48">
    <w:abstractNumId w:val="33"/>
  </w:num>
  <w:num w:numId="49">
    <w:abstractNumId w:val="33"/>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33"/>
  </w:num>
  <w:num w:numId="59">
    <w:abstractNumId w:val="33"/>
  </w:num>
  <w:num w:numId="60">
    <w:abstractNumId w:val="33"/>
  </w:num>
  <w:num w:numId="61">
    <w:abstractNumId w:val="33"/>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41"/>
  </w:num>
  <w:num w:numId="77">
    <w:abstractNumId w:val="43"/>
  </w:num>
  <w:num w:numId="78">
    <w:abstractNumId w:val="29"/>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num>
  <w:num w:numId="81">
    <w:abstractNumId w:val="33"/>
  </w:num>
  <w:num w:numId="82">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09"/>
    <w:rsid w:val="00001F0D"/>
    <w:rsid w:val="00001FF8"/>
    <w:rsid w:val="0000201A"/>
    <w:rsid w:val="00002A71"/>
    <w:rsid w:val="0000328A"/>
    <w:rsid w:val="0000522D"/>
    <w:rsid w:val="000055F8"/>
    <w:rsid w:val="00005F9B"/>
    <w:rsid w:val="00006851"/>
    <w:rsid w:val="0000724E"/>
    <w:rsid w:val="00007A86"/>
    <w:rsid w:val="00007FD3"/>
    <w:rsid w:val="00010CCA"/>
    <w:rsid w:val="00011CFE"/>
    <w:rsid w:val="00012998"/>
    <w:rsid w:val="00012BB4"/>
    <w:rsid w:val="000130D4"/>
    <w:rsid w:val="000132F6"/>
    <w:rsid w:val="00014EC4"/>
    <w:rsid w:val="00014FB7"/>
    <w:rsid w:val="00015EBA"/>
    <w:rsid w:val="00020F75"/>
    <w:rsid w:val="000210ED"/>
    <w:rsid w:val="00021AC0"/>
    <w:rsid w:val="00021B75"/>
    <w:rsid w:val="00021BEB"/>
    <w:rsid w:val="00023B2F"/>
    <w:rsid w:val="00023F28"/>
    <w:rsid w:val="00024303"/>
    <w:rsid w:val="000244AF"/>
    <w:rsid w:val="00024979"/>
    <w:rsid w:val="00025EC6"/>
    <w:rsid w:val="00030190"/>
    <w:rsid w:val="0003090D"/>
    <w:rsid w:val="00030C33"/>
    <w:rsid w:val="00031327"/>
    <w:rsid w:val="00031A4F"/>
    <w:rsid w:val="00034615"/>
    <w:rsid w:val="00034F89"/>
    <w:rsid w:val="00036FE7"/>
    <w:rsid w:val="00037643"/>
    <w:rsid w:val="00037CE7"/>
    <w:rsid w:val="00037F29"/>
    <w:rsid w:val="000408E1"/>
    <w:rsid w:val="00041FC0"/>
    <w:rsid w:val="0004243E"/>
    <w:rsid w:val="000424B7"/>
    <w:rsid w:val="00043E6C"/>
    <w:rsid w:val="0004541F"/>
    <w:rsid w:val="00045881"/>
    <w:rsid w:val="00045B2A"/>
    <w:rsid w:val="00046A04"/>
    <w:rsid w:val="000473E5"/>
    <w:rsid w:val="00050268"/>
    <w:rsid w:val="00051193"/>
    <w:rsid w:val="000524A6"/>
    <w:rsid w:val="000543B4"/>
    <w:rsid w:val="000543BA"/>
    <w:rsid w:val="000548CE"/>
    <w:rsid w:val="0005691A"/>
    <w:rsid w:val="00060CA4"/>
    <w:rsid w:val="000626D7"/>
    <w:rsid w:val="00063943"/>
    <w:rsid w:val="00064320"/>
    <w:rsid w:val="00064677"/>
    <w:rsid w:val="0006790E"/>
    <w:rsid w:val="0007044B"/>
    <w:rsid w:val="00070512"/>
    <w:rsid w:val="0007168A"/>
    <w:rsid w:val="0007168F"/>
    <w:rsid w:val="000718C6"/>
    <w:rsid w:val="00072C3E"/>
    <w:rsid w:val="00072EA7"/>
    <w:rsid w:val="000743BE"/>
    <w:rsid w:val="0007474B"/>
    <w:rsid w:val="00076368"/>
    <w:rsid w:val="00080FED"/>
    <w:rsid w:val="00081CD2"/>
    <w:rsid w:val="00082502"/>
    <w:rsid w:val="0008373E"/>
    <w:rsid w:val="0008397A"/>
    <w:rsid w:val="00083ACB"/>
    <w:rsid w:val="00083B73"/>
    <w:rsid w:val="00083BD5"/>
    <w:rsid w:val="00084D6A"/>
    <w:rsid w:val="00087406"/>
    <w:rsid w:val="00087C6F"/>
    <w:rsid w:val="00087EE3"/>
    <w:rsid w:val="0009049E"/>
    <w:rsid w:val="00092030"/>
    <w:rsid w:val="00093E9C"/>
    <w:rsid w:val="000940D1"/>
    <w:rsid w:val="00097119"/>
    <w:rsid w:val="000A0200"/>
    <w:rsid w:val="000A0468"/>
    <w:rsid w:val="000A0FEF"/>
    <w:rsid w:val="000A2B04"/>
    <w:rsid w:val="000A3506"/>
    <w:rsid w:val="000A4B99"/>
    <w:rsid w:val="000A5060"/>
    <w:rsid w:val="000A5858"/>
    <w:rsid w:val="000A70C9"/>
    <w:rsid w:val="000A74AB"/>
    <w:rsid w:val="000B0D4D"/>
    <w:rsid w:val="000B2320"/>
    <w:rsid w:val="000B242C"/>
    <w:rsid w:val="000B297D"/>
    <w:rsid w:val="000B53C2"/>
    <w:rsid w:val="000B5A51"/>
    <w:rsid w:val="000B5AB4"/>
    <w:rsid w:val="000B697B"/>
    <w:rsid w:val="000B6C09"/>
    <w:rsid w:val="000B7AB6"/>
    <w:rsid w:val="000C1203"/>
    <w:rsid w:val="000C268D"/>
    <w:rsid w:val="000C299F"/>
    <w:rsid w:val="000C29FA"/>
    <w:rsid w:val="000C2DE8"/>
    <w:rsid w:val="000C356C"/>
    <w:rsid w:val="000C3DCA"/>
    <w:rsid w:val="000C4659"/>
    <w:rsid w:val="000C467F"/>
    <w:rsid w:val="000C51EE"/>
    <w:rsid w:val="000C7053"/>
    <w:rsid w:val="000D1B21"/>
    <w:rsid w:val="000D34D3"/>
    <w:rsid w:val="000D624F"/>
    <w:rsid w:val="000D6868"/>
    <w:rsid w:val="000E00AF"/>
    <w:rsid w:val="000E1C6B"/>
    <w:rsid w:val="000E22A7"/>
    <w:rsid w:val="000E2459"/>
    <w:rsid w:val="000E35FF"/>
    <w:rsid w:val="000E45BB"/>
    <w:rsid w:val="000F00FB"/>
    <w:rsid w:val="000F01D2"/>
    <w:rsid w:val="000F0ACF"/>
    <w:rsid w:val="000F0C65"/>
    <w:rsid w:val="000F403C"/>
    <w:rsid w:val="000F5D1D"/>
    <w:rsid w:val="000F62E0"/>
    <w:rsid w:val="000F6B2E"/>
    <w:rsid w:val="000F720E"/>
    <w:rsid w:val="000F73B2"/>
    <w:rsid w:val="000F740F"/>
    <w:rsid w:val="000F7A12"/>
    <w:rsid w:val="00101FE6"/>
    <w:rsid w:val="00103516"/>
    <w:rsid w:val="0010467F"/>
    <w:rsid w:val="001049D4"/>
    <w:rsid w:val="00105D66"/>
    <w:rsid w:val="0011195C"/>
    <w:rsid w:val="001163EB"/>
    <w:rsid w:val="0011738B"/>
    <w:rsid w:val="001220BD"/>
    <w:rsid w:val="00122DAC"/>
    <w:rsid w:val="00124FA4"/>
    <w:rsid w:val="0012532D"/>
    <w:rsid w:val="00126F10"/>
    <w:rsid w:val="00130ADB"/>
    <w:rsid w:val="00132393"/>
    <w:rsid w:val="0013264B"/>
    <w:rsid w:val="001333EF"/>
    <w:rsid w:val="00133A81"/>
    <w:rsid w:val="00133C2C"/>
    <w:rsid w:val="00133CB1"/>
    <w:rsid w:val="00135B24"/>
    <w:rsid w:val="00136004"/>
    <w:rsid w:val="00136700"/>
    <w:rsid w:val="00136946"/>
    <w:rsid w:val="0013736D"/>
    <w:rsid w:val="00137414"/>
    <w:rsid w:val="001402E8"/>
    <w:rsid w:val="00142F5F"/>
    <w:rsid w:val="00143F2D"/>
    <w:rsid w:val="001478B5"/>
    <w:rsid w:val="00150D58"/>
    <w:rsid w:val="0015115B"/>
    <w:rsid w:val="00151C13"/>
    <w:rsid w:val="00152D5A"/>
    <w:rsid w:val="00153521"/>
    <w:rsid w:val="00154091"/>
    <w:rsid w:val="001568CA"/>
    <w:rsid w:val="00157164"/>
    <w:rsid w:val="00163C37"/>
    <w:rsid w:val="00163CAE"/>
    <w:rsid w:val="00164445"/>
    <w:rsid w:val="00164906"/>
    <w:rsid w:val="00164D97"/>
    <w:rsid w:val="00165971"/>
    <w:rsid w:val="00166921"/>
    <w:rsid w:val="00167308"/>
    <w:rsid w:val="00167871"/>
    <w:rsid w:val="001705FE"/>
    <w:rsid w:val="00170AE9"/>
    <w:rsid w:val="0017116F"/>
    <w:rsid w:val="00173A6D"/>
    <w:rsid w:val="00175B52"/>
    <w:rsid w:val="001802E8"/>
    <w:rsid w:val="001817F4"/>
    <w:rsid w:val="00182FAD"/>
    <w:rsid w:val="001837C1"/>
    <w:rsid w:val="00183922"/>
    <w:rsid w:val="0018484F"/>
    <w:rsid w:val="00184EDE"/>
    <w:rsid w:val="00185A12"/>
    <w:rsid w:val="00186592"/>
    <w:rsid w:val="00187999"/>
    <w:rsid w:val="00190F33"/>
    <w:rsid w:val="00193813"/>
    <w:rsid w:val="00193917"/>
    <w:rsid w:val="001946E5"/>
    <w:rsid w:val="001967D5"/>
    <w:rsid w:val="001A07B8"/>
    <w:rsid w:val="001A2C98"/>
    <w:rsid w:val="001A3FD4"/>
    <w:rsid w:val="001A4B31"/>
    <w:rsid w:val="001A563B"/>
    <w:rsid w:val="001A6552"/>
    <w:rsid w:val="001B01AC"/>
    <w:rsid w:val="001B20A2"/>
    <w:rsid w:val="001B260A"/>
    <w:rsid w:val="001B2C68"/>
    <w:rsid w:val="001B3FB7"/>
    <w:rsid w:val="001B5235"/>
    <w:rsid w:val="001B59C5"/>
    <w:rsid w:val="001C1FFB"/>
    <w:rsid w:val="001C4A82"/>
    <w:rsid w:val="001C5AAC"/>
    <w:rsid w:val="001C6453"/>
    <w:rsid w:val="001C6468"/>
    <w:rsid w:val="001C66CD"/>
    <w:rsid w:val="001C6997"/>
    <w:rsid w:val="001C7925"/>
    <w:rsid w:val="001D057C"/>
    <w:rsid w:val="001D0AA6"/>
    <w:rsid w:val="001D1874"/>
    <w:rsid w:val="001D1B56"/>
    <w:rsid w:val="001D2FAB"/>
    <w:rsid w:val="001D3B85"/>
    <w:rsid w:val="001D4DEC"/>
    <w:rsid w:val="001D599D"/>
    <w:rsid w:val="001D6A1B"/>
    <w:rsid w:val="001D6A52"/>
    <w:rsid w:val="001D7632"/>
    <w:rsid w:val="001D7B9B"/>
    <w:rsid w:val="001E05A9"/>
    <w:rsid w:val="001E08EA"/>
    <w:rsid w:val="001E1444"/>
    <w:rsid w:val="001E166B"/>
    <w:rsid w:val="001E1DF7"/>
    <w:rsid w:val="001E3430"/>
    <w:rsid w:val="001E34C4"/>
    <w:rsid w:val="001E44D2"/>
    <w:rsid w:val="001E7D01"/>
    <w:rsid w:val="001F29E6"/>
    <w:rsid w:val="001F58FB"/>
    <w:rsid w:val="001F5C5D"/>
    <w:rsid w:val="001F6FBD"/>
    <w:rsid w:val="001F70E7"/>
    <w:rsid w:val="001F751F"/>
    <w:rsid w:val="001F7857"/>
    <w:rsid w:val="00200DA1"/>
    <w:rsid w:val="0020106B"/>
    <w:rsid w:val="00201AAA"/>
    <w:rsid w:val="00201BBD"/>
    <w:rsid w:val="002020D6"/>
    <w:rsid w:val="002032DC"/>
    <w:rsid w:val="002060EC"/>
    <w:rsid w:val="00206590"/>
    <w:rsid w:val="00207705"/>
    <w:rsid w:val="00207ED1"/>
    <w:rsid w:val="00210579"/>
    <w:rsid w:val="00210C3D"/>
    <w:rsid w:val="002112EA"/>
    <w:rsid w:val="00212395"/>
    <w:rsid w:val="00212A84"/>
    <w:rsid w:val="00212CF9"/>
    <w:rsid w:val="0021310F"/>
    <w:rsid w:val="00214B75"/>
    <w:rsid w:val="002167FC"/>
    <w:rsid w:val="00216981"/>
    <w:rsid w:val="00221C0F"/>
    <w:rsid w:val="0022201B"/>
    <w:rsid w:val="00222441"/>
    <w:rsid w:val="002254E4"/>
    <w:rsid w:val="0022557C"/>
    <w:rsid w:val="002271BF"/>
    <w:rsid w:val="00227457"/>
    <w:rsid w:val="00231673"/>
    <w:rsid w:val="002316E5"/>
    <w:rsid w:val="0023241A"/>
    <w:rsid w:val="00232946"/>
    <w:rsid w:val="002352C4"/>
    <w:rsid w:val="0023621A"/>
    <w:rsid w:val="0024134D"/>
    <w:rsid w:val="002428A4"/>
    <w:rsid w:val="002428DC"/>
    <w:rsid w:val="0024499A"/>
    <w:rsid w:val="002469D4"/>
    <w:rsid w:val="00250693"/>
    <w:rsid w:val="00250F16"/>
    <w:rsid w:val="00252B2F"/>
    <w:rsid w:val="00252EB0"/>
    <w:rsid w:val="002546A9"/>
    <w:rsid w:val="00254712"/>
    <w:rsid w:val="00256A25"/>
    <w:rsid w:val="0026139D"/>
    <w:rsid w:val="002625F9"/>
    <w:rsid w:val="00262ADF"/>
    <w:rsid w:val="0026379C"/>
    <w:rsid w:val="0026379E"/>
    <w:rsid w:val="00263D08"/>
    <w:rsid w:val="002658C7"/>
    <w:rsid w:val="00265977"/>
    <w:rsid w:val="002663F5"/>
    <w:rsid w:val="0027057A"/>
    <w:rsid w:val="00270594"/>
    <w:rsid w:val="00271DB5"/>
    <w:rsid w:val="002720E1"/>
    <w:rsid w:val="002722CB"/>
    <w:rsid w:val="00273014"/>
    <w:rsid w:val="00275103"/>
    <w:rsid w:val="0027622D"/>
    <w:rsid w:val="00281606"/>
    <w:rsid w:val="00281F2F"/>
    <w:rsid w:val="00282154"/>
    <w:rsid w:val="0028538B"/>
    <w:rsid w:val="00291243"/>
    <w:rsid w:val="002919A7"/>
    <w:rsid w:val="00292A25"/>
    <w:rsid w:val="00293D8D"/>
    <w:rsid w:val="0029421E"/>
    <w:rsid w:val="00294646"/>
    <w:rsid w:val="00295393"/>
    <w:rsid w:val="002958E5"/>
    <w:rsid w:val="0029653F"/>
    <w:rsid w:val="002A1634"/>
    <w:rsid w:val="002A2C0F"/>
    <w:rsid w:val="002A2C43"/>
    <w:rsid w:val="002A346A"/>
    <w:rsid w:val="002A57EE"/>
    <w:rsid w:val="002A6334"/>
    <w:rsid w:val="002A7820"/>
    <w:rsid w:val="002B01D8"/>
    <w:rsid w:val="002B1665"/>
    <w:rsid w:val="002B1B9D"/>
    <w:rsid w:val="002B27D8"/>
    <w:rsid w:val="002B2AEE"/>
    <w:rsid w:val="002B426E"/>
    <w:rsid w:val="002B6B7C"/>
    <w:rsid w:val="002B79BA"/>
    <w:rsid w:val="002C02D5"/>
    <w:rsid w:val="002C0A68"/>
    <w:rsid w:val="002C0E77"/>
    <w:rsid w:val="002C2785"/>
    <w:rsid w:val="002C346F"/>
    <w:rsid w:val="002C3926"/>
    <w:rsid w:val="002C3C3D"/>
    <w:rsid w:val="002C3C88"/>
    <w:rsid w:val="002C5C2C"/>
    <w:rsid w:val="002C5C61"/>
    <w:rsid w:val="002C65AB"/>
    <w:rsid w:val="002C6A2B"/>
    <w:rsid w:val="002C7C74"/>
    <w:rsid w:val="002C7E48"/>
    <w:rsid w:val="002D2932"/>
    <w:rsid w:val="002D2F88"/>
    <w:rsid w:val="002D3CD5"/>
    <w:rsid w:val="002D5018"/>
    <w:rsid w:val="002D52C3"/>
    <w:rsid w:val="002D7DBF"/>
    <w:rsid w:val="002E06CC"/>
    <w:rsid w:val="002E140F"/>
    <w:rsid w:val="002E1635"/>
    <w:rsid w:val="002E1718"/>
    <w:rsid w:val="002E325C"/>
    <w:rsid w:val="002E3773"/>
    <w:rsid w:val="002E3E5B"/>
    <w:rsid w:val="002E4479"/>
    <w:rsid w:val="002E487F"/>
    <w:rsid w:val="002E6BD1"/>
    <w:rsid w:val="002E7AB6"/>
    <w:rsid w:val="002F1125"/>
    <w:rsid w:val="002F13F7"/>
    <w:rsid w:val="002F25CE"/>
    <w:rsid w:val="002F2648"/>
    <w:rsid w:val="002F36F6"/>
    <w:rsid w:val="002F456E"/>
    <w:rsid w:val="002F4AE5"/>
    <w:rsid w:val="002F59DB"/>
    <w:rsid w:val="002F5FB6"/>
    <w:rsid w:val="002F7B32"/>
    <w:rsid w:val="00300366"/>
    <w:rsid w:val="00300557"/>
    <w:rsid w:val="00300DE3"/>
    <w:rsid w:val="003017B5"/>
    <w:rsid w:val="0030464E"/>
    <w:rsid w:val="0030471F"/>
    <w:rsid w:val="00304A08"/>
    <w:rsid w:val="00304E35"/>
    <w:rsid w:val="003055F9"/>
    <w:rsid w:val="00306EC5"/>
    <w:rsid w:val="0030704D"/>
    <w:rsid w:val="00307959"/>
    <w:rsid w:val="00310035"/>
    <w:rsid w:val="00310839"/>
    <w:rsid w:val="00312647"/>
    <w:rsid w:val="00314476"/>
    <w:rsid w:val="0031504F"/>
    <w:rsid w:val="00315255"/>
    <w:rsid w:val="00315A06"/>
    <w:rsid w:val="00317799"/>
    <w:rsid w:val="00317943"/>
    <w:rsid w:val="00317AF4"/>
    <w:rsid w:val="00317F29"/>
    <w:rsid w:val="00320A67"/>
    <w:rsid w:val="0032296F"/>
    <w:rsid w:val="00322DC7"/>
    <w:rsid w:val="0032495B"/>
    <w:rsid w:val="00324DC3"/>
    <w:rsid w:val="00324E1E"/>
    <w:rsid w:val="00326864"/>
    <w:rsid w:val="00330375"/>
    <w:rsid w:val="00332128"/>
    <w:rsid w:val="0033231A"/>
    <w:rsid w:val="00333532"/>
    <w:rsid w:val="003335DC"/>
    <w:rsid w:val="00334427"/>
    <w:rsid w:val="0033590C"/>
    <w:rsid w:val="00337FF0"/>
    <w:rsid w:val="00341836"/>
    <w:rsid w:val="00341DE5"/>
    <w:rsid w:val="0034357A"/>
    <w:rsid w:val="00345C3F"/>
    <w:rsid w:val="00346116"/>
    <w:rsid w:val="00346B27"/>
    <w:rsid w:val="00346B30"/>
    <w:rsid w:val="00347572"/>
    <w:rsid w:val="00347BA1"/>
    <w:rsid w:val="00351E76"/>
    <w:rsid w:val="0035252E"/>
    <w:rsid w:val="00354F55"/>
    <w:rsid w:val="0035526F"/>
    <w:rsid w:val="003559A6"/>
    <w:rsid w:val="003563AA"/>
    <w:rsid w:val="00356714"/>
    <w:rsid w:val="0036225A"/>
    <w:rsid w:val="00363B61"/>
    <w:rsid w:val="003640B0"/>
    <w:rsid w:val="00364C4C"/>
    <w:rsid w:val="003653D9"/>
    <w:rsid w:val="0036646F"/>
    <w:rsid w:val="003672C9"/>
    <w:rsid w:val="00367CF2"/>
    <w:rsid w:val="00370F39"/>
    <w:rsid w:val="00373851"/>
    <w:rsid w:val="00373CD5"/>
    <w:rsid w:val="0037460F"/>
    <w:rsid w:val="003753EB"/>
    <w:rsid w:val="003759E1"/>
    <w:rsid w:val="00376364"/>
    <w:rsid w:val="003776D9"/>
    <w:rsid w:val="00377818"/>
    <w:rsid w:val="0038293B"/>
    <w:rsid w:val="003835F8"/>
    <w:rsid w:val="00384E9B"/>
    <w:rsid w:val="003902BA"/>
    <w:rsid w:val="003904E2"/>
    <w:rsid w:val="00390DC2"/>
    <w:rsid w:val="0039355D"/>
    <w:rsid w:val="0039358D"/>
    <w:rsid w:val="0039577B"/>
    <w:rsid w:val="00397C8D"/>
    <w:rsid w:val="003A1323"/>
    <w:rsid w:val="003A2BB1"/>
    <w:rsid w:val="003A3177"/>
    <w:rsid w:val="003A4160"/>
    <w:rsid w:val="003A6757"/>
    <w:rsid w:val="003A7823"/>
    <w:rsid w:val="003B009F"/>
    <w:rsid w:val="003B04B7"/>
    <w:rsid w:val="003B1C49"/>
    <w:rsid w:val="003B3BB7"/>
    <w:rsid w:val="003B40D1"/>
    <w:rsid w:val="003B698D"/>
    <w:rsid w:val="003B77EA"/>
    <w:rsid w:val="003B7835"/>
    <w:rsid w:val="003C18B8"/>
    <w:rsid w:val="003C2F0A"/>
    <w:rsid w:val="003C3183"/>
    <w:rsid w:val="003C48E9"/>
    <w:rsid w:val="003C5267"/>
    <w:rsid w:val="003C5947"/>
    <w:rsid w:val="003C61B5"/>
    <w:rsid w:val="003D2E62"/>
    <w:rsid w:val="003D3FC0"/>
    <w:rsid w:val="003D4DA7"/>
    <w:rsid w:val="003D500E"/>
    <w:rsid w:val="003D66AD"/>
    <w:rsid w:val="003D6D1C"/>
    <w:rsid w:val="003E07DB"/>
    <w:rsid w:val="003E1241"/>
    <w:rsid w:val="003E20E0"/>
    <w:rsid w:val="003E33AF"/>
    <w:rsid w:val="003E5ACC"/>
    <w:rsid w:val="003E5E6F"/>
    <w:rsid w:val="003E64F1"/>
    <w:rsid w:val="003E71A9"/>
    <w:rsid w:val="003F0AA3"/>
    <w:rsid w:val="003F0DFA"/>
    <w:rsid w:val="003F1C16"/>
    <w:rsid w:val="003F2438"/>
    <w:rsid w:val="003F2D3B"/>
    <w:rsid w:val="003F2F6F"/>
    <w:rsid w:val="003F32B8"/>
    <w:rsid w:val="003F360F"/>
    <w:rsid w:val="003F3813"/>
    <w:rsid w:val="003F4EE0"/>
    <w:rsid w:val="003F5263"/>
    <w:rsid w:val="003F59DE"/>
    <w:rsid w:val="003F5DC3"/>
    <w:rsid w:val="003F775E"/>
    <w:rsid w:val="003F7A06"/>
    <w:rsid w:val="003F7F54"/>
    <w:rsid w:val="004002A6"/>
    <w:rsid w:val="00400E1D"/>
    <w:rsid w:val="00400E95"/>
    <w:rsid w:val="0040187B"/>
    <w:rsid w:val="00401E3C"/>
    <w:rsid w:val="0040297B"/>
    <w:rsid w:val="00402EE1"/>
    <w:rsid w:val="0040343B"/>
    <w:rsid w:val="0040429C"/>
    <w:rsid w:val="0040497A"/>
    <w:rsid w:val="00404B63"/>
    <w:rsid w:val="00405E5B"/>
    <w:rsid w:val="00406EC7"/>
    <w:rsid w:val="0041056D"/>
    <w:rsid w:val="004111B8"/>
    <w:rsid w:val="0041278D"/>
    <w:rsid w:val="00413E78"/>
    <w:rsid w:val="00413F65"/>
    <w:rsid w:val="00413FD8"/>
    <w:rsid w:val="00414C0F"/>
    <w:rsid w:val="00414C14"/>
    <w:rsid w:val="00414DA6"/>
    <w:rsid w:val="00416312"/>
    <w:rsid w:val="0041785C"/>
    <w:rsid w:val="004179F5"/>
    <w:rsid w:val="00417B4A"/>
    <w:rsid w:val="00417C31"/>
    <w:rsid w:val="0042107B"/>
    <w:rsid w:val="00421B70"/>
    <w:rsid w:val="00422C20"/>
    <w:rsid w:val="0042356F"/>
    <w:rsid w:val="00423ECD"/>
    <w:rsid w:val="0042454E"/>
    <w:rsid w:val="0042618D"/>
    <w:rsid w:val="004271BC"/>
    <w:rsid w:val="00430835"/>
    <w:rsid w:val="00430F9A"/>
    <w:rsid w:val="004311DF"/>
    <w:rsid w:val="00431CA7"/>
    <w:rsid w:val="00431E78"/>
    <w:rsid w:val="0043361C"/>
    <w:rsid w:val="00434211"/>
    <w:rsid w:val="0043484B"/>
    <w:rsid w:val="00435014"/>
    <w:rsid w:val="00435900"/>
    <w:rsid w:val="00435C29"/>
    <w:rsid w:val="0043637C"/>
    <w:rsid w:val="00436C51"/>
    <w:rsid w:val="004402CE"/>
    <w:rsid w:val="00441D64"/>
    <w:rsid w:val="00442959"/>
    <w:rsid w:val="004457FB"/>
    <w:rsid w:val="00447453"/>
    <w:rsid w:val="00447BEF"/>
    <w:rsid w:val="00447FDB"/>
    <w:rsid w:val="00453323"/>
    <w:rsid w:val="004537E5"/>
    <w:rsid w:val="00453F5E"/>
    <w:rsid w:val="004545F4"/>
    <w:rsid w:val="0045592C"/>
    <w:rsid w:val="00457E51"/>
    <w:rsid w:val="00460CD2"/>
    <w:rsid w:val="004625C9"/>
    <w:rsid w:val="004625F9"/>
    <w:rsid w:val="004628FF"/>
    <w:rsid w:val="004633BF"/>
    <w:rsid w:val="00467AB7"/>
    <w:rsid w:val="00467D3F"/>
    <w:rsid w:val="00470794"/>
    <w:rsid w:val="0047222C"/>
    <w:rsid w:val="004724A7"/>
    <w:rsid w:val="00472DD9"/>
    <w:rsid w:val="004735EC"/>
    <w:rsid w:val="00474272"/>
    <w:rsid w:val="00477087"/>
    <w:rsid w:val="00477E82"/>
    <w:rsid w:val="00482D93"/>
    <w:rsid w:val="00484A6C"/>
    <w:rsid w:val="004851B1"/>
    <w:rsid w:val="00487C79"/>
    <w:rsid w:val="00487FAD"/>
    <w:rsid w:val="00491FAD"/>
    <w:rsid w:val="00491FC3"/>
    <w:rsid w:val="0049234F"/>
    <w:rsid w:val="00493983"/>
    <w:rsid w:val="00493DFB"/>
    <w:rsid w:val="00493E5C"/>
    <w:rsid w:val="0049402F"/>
    <w:rsid w:val="0049467D"/>
    <w:rsid w:val="004947A7"/>
    <w:rsid w:val="0049554F"/>
    <w:rsid w:val="00496B0A"/>
    <w:rsid w:val="004974FE"/>
    <w:rsid w:val="00497810"/>
    <w:rsid w:val="00497BBA"/>
    <w:rsid w:val="00497E3A"/>
    <w:rsid w:val="004A010C"/>
    <w:rsid w:val="004A11FC"/>
    <w:rsid w:val="004A1AE3"/>
    <w:rsid w:val="004A1CB8"/>
    <w:rsid w:val="004A21F0"/>
    <w:rsid w:val="004A2714"/>
    <w:rsid w:val="004A4084"/>
    <w:rsid w:val="004A4FB9"/>
    <w:rsid w:val="004A5AD1"/>
    <w:rsid w:val="004A5BEE"/>
    <w:rsid w:val="004A6E33"/>
    <w:rsid w:val="004B076B"/>
    <w:rsid w:val="004B0926"/>
    <w:rsid w:val="004B0A19"/>
    <w:rsid w:val="004B0C3B"/>
    <w:rsid w:val="004B29B1"/>
    <w:rsid w:val="004B2E9A"/>
    <w:rsid w:val="004B42D4"/>
    <w:rsid w:val="004B4B9F"/>
    <w:rsid w:val="004B4C9E"/>
    <w:rsid w:val="004B4D95"/>
    <w:rsid w:val="004B5B34"/>
    <w:rsid w:val="004B6BAB"/>
    <w:rsid w:val="004B6F7D"/>
    <w:rsid w:val="004B725A"/>
    <w:rsid w:val="004B7BD3"/>
    <w:rsid w:val="004C056B"/>
    <w:rsid w:val="004C077F"/>
    <w:rsid w:val="004C12D0"/>
    <w:rsid w:val="004C1BBC"/>
    <w:rsid w:val="004C321A"/>
    <w:rsid w:val="004C4603"/>
    <w:rsid w:val="004C4A86"/>
    <w:rsid w:val="004C5FAC"/>
    <w:rsid w:val="004C6060"/>
    <w:rsid w:val="004D000C"/>
    <w:rsid w:val="004D1722"/>
    <w:rsid w:val="004D5AF6"/>
    <w:rsid w:val="004D5BDF"/>
    <w:rsid w:val="004D64CA"/>
    <w:rsid w:val="004E145D"/>
    <w:rsid w:val="004E1852"/>
    <w:rsid w:val="004E1A06"/>
    <w:rsid w:val="004E285E"/>
    <w:rsid w:val="004E38F1"/>
    <w:rsid w:val="004E40F3"/>
    <w:rsid w:val="004E5A8E"/>
    <w:rsid w:val="004E7130"/>
    <w:rsid w:val="004F2516"/>
    <w:rsid w:val="004F3DA8"/>
    <w:rsid w:val="004F5664"/>
    <w:rsid w:val="004F5B65"/>
    <w:rsid w:val="00501053"/>
    <w:rsid w:val="0050385F"/>
    <w:rsid w:val="0050418B"/>
    <w:rsid w:val="00505B2B"/>
    <w:rsid w:val="00505C22"/>
    <w:rsid w:val="005101AA"/>
    <w:rsid w:val="005102A6"/>
    <w:rsid w:val="0051102D"/>
    <w:rsid w:val="00511E97"/>
    <w:rsid w:val="00512D0B"/>
    <w:rsid w:val="00513AA7"/>
    <w:rsid w:val="005140CE"/>
    <w:rsid w:val="00514167"/>
    <w:rsid w:val="00514770"/>
    <w:rsid w:val="005167FA"/>
    <w:rsid w:val="005177B5"/>
    <w:rsid w:val="00517BA2"/>
    <w:rsid w:val="00517D79"/>
    <w:rsid w:val="00520855"/>
    <w:rsid w:val="0052120E"/>
    <w:rsid w:val="0052132B"/>
    <w:rsid w:val="00521403"/>
    <w:rsid w:val="0052265A"/>
    <w:rsid w:val="0052371E"/>
    <w:rsid w:val="00523D6A"/>
    <w:rsid w:val="0052565F"/>
    <w:rsid w:val="005258E4"/>
    <w:rsid w:val="0052670F"/>
    <w:rsid w:val="005275ED"/>
    <w:rsid w:val="005279EE"/>
    <w:rsid w:val="00527C27"/>
    <w:rsid w:val="00527F6E"/>
    <w:rsid w:val="00530722"/>
    <w:rsid w:val="00531137"/>
    <w:rsid w:val="0053423E"/>
    <w:rsid w:val="00536977"/>
    <w:rsid w:val="0053705A"/>
    <w:rsid w:val="0053778A"/>
    <w:rsid w:val="0053785A"/>
    <w:rsid w:val="00537B28"/>
    <w:rsid w:val="00537EFE"/>
    <w:rsid w:val="00540D3C"/>
    <w:rsid w:val="00541194"/>
    <w:rsid w:val="00541C3D"/>
    <w:rsid w:val="00543012"/>
    <w:rsid w:val="00543026"/>
    <w:rsid w:val="00543648"/>
    <w:rsid w:val="00543F54"/>
    <w:rsid w:val="00546076"/>
    <w:rsid w:val="005460F0"/>
    <w:rsid w:val="0054701B"/>
    <w:rsid w:val="00547891"/>
    <w:rsid w:val="005503BA"/>
    <w:rsid w:val="00550CEB"/>
    <w:rsid w:val="00552E42"/>
    <w:rsid w:val="00553C18"/>
    <w:rsid w:val="00554046"/>
    <w:rsid w:val="00554284"/>
    <w:rsid w:val="00554B23"/>
    <w:rsid w:val="00556893"/>
    <w:rsid w:val="0055776D"/>
    <w:rsid w:val="005578F5"/>
    <w:rsid w:val="00557B86"/>
    <w:rsid w:val="00560B8C"/>
    <w:rsid w:val="00560FED"/>
    <w:rsid w:val="0056106D"/>
    <w:rsid w:val="00561B63"/>
    <w:rsid w:val="0056317B"/>
    <w:rsid w:val="00564321"/>
    <w:rsid w:val="00564DAE"/>
    <w:rsid w:val="0056507E"/>
    <w:rsid w:val="0056545E"/>
    <w:rsid w:val="005654AF"/>
    <w:rsid w:val="00565FA5"/>
    <w:rsid w:val="005669FE"/>
    <w:rsid w:val="00566C6D"/>
    <w:rsid w:val="00567740"/>
    <w:rsid w:val="00570089"/>
    <w:rsid w:val="00570978"/>
    <w:rsid w:val="00570CEB"/>
    <w:rsid w:val="00570E3F"/>
    <w:rsid w:val="0057126C"/>
    <w:rsid w:val="00575FF9"/>
    <w:rsid w:val="0057700C"/>
    <w:rsid w:val="00580B1B"/>
    <w:rsid w:val="00582826"/>
    <w:rsid w:val="005843AC"/>
    <w:rsid w:val="005852A9"/>
    <w:rsid w:val="005855FE"/>
    <w:rsid w:val="00586CA5"/>
    <w:rsid w:val="005919BA"/>
    <w:rsid w:val="00592010"/>
    <w:rsid w:val="00593B97"/>
    <w:rsid w:val="00594270"/>
    <w:rsid w:val="005A0840"/>
    <w:rsid w:val="005A0B65"/>
    <w:rsid w:val="005A173D"/>
    <w:rsid w:val="005A17F5"/>
    <w:rsid w:val="005A2AD0"/>
    <w:rsid w:val="005A2E71"/>
    <w:rsid w:val="005A5398"/>
    <w:rsid w:val="005A57DF"/>
    <w:rsid w:val="005A64C4"/>
    <w:rsid w:val="005A6658"/>
    <w:rsid w:val="005A6797"/>
    <w:rsid w:val="005A6AA0"/>
    <w:rsid w:val="005A7388"/>
    <w:rsid w:val="005A74CA"/>
    <w:rsid w:val="005B03EA"/>
    <w:rsid w:val="005B065F"/>
    <w:rsid w:val="005B14F1"/>
    <w:rsid w:val="005B1897"/>
    <w:rsid w:val="005B1E61"/>
    <w:rsid w:val="005B27FB"/>
    <w:rsid w:val="005B52A7"/>
    <w:rsid w:val="005B59A9"/>
    <w:rsid w:val="005B5FC4"/>
    <w:rsid w:val="005C028F"/>
    <w:rsid w:val="005C1D93"/>
    <w:rsid w:val="005C2246"/>
    <w:rsid w:val="005C3504"/>
    <w:rsid w:val="005C38A2"/>
    <w:rsid w:val="005C4A58"/>
    <w:rsid w:val="005C63EC"/>
    <w:rsid w:val="005C76D8"/>
    <w:rsid w:val="005D14FF"/>
    <w:rsid w:val="005D4415"/>
    <w:rsid w:val="005E02B8"/>
    <w:rsid w:val="005E0AE7"/>
    <w:rsid w:val="005E17CA"/>
    <w:rsid w:val="005E24C2"/>
    <w:rsid w:val="005E39A1"/>
    <w:rsid w:val="005E65B3"/>
    <w:rsid w:val="005E6E0C"/>
    <w:rsid w:val="005E74D6"/>
    <w:rsid w:val="005F24B3"/>
    <w:rsid w:val="005F2AFE"/>
    <w:rsid w:val="005F355B"/>
    <w:rsid w:val="005F41A2"/>
    <w:rsid w:val="005F4E4B"/>
    <w:rsid w:val="005F51DE"/>
    <w:rsid w:val="005F5B23"/>
    <w:rsid w:val="005F5B62"/>
    <w:rsid w:val="0060071B"/>
    <w:rsid w:val="00601465"/>
    <w:rsid w:val="00605092"/>
    <w:rsid w:val="00606A1E"/>
    <w:rsid w:val="00606EDC"/>
    <w:rsid w:val="006112A0"/>
    <w:rsid w:val="00614129"/>
    <w:rsid w:val="00615D83"/>
    <w:rsid w:val="006172F1"/>
    <w:rsid w:val="00623D67"/>
    <w:rsid w:val="00624CAF"/>
    <w:rsid w:val="00625B30"/>
    <w:rsid w:val="00626178"/>
    <w:rsid w:val="0062657E"/>
    <w:rsid w:val="00626592"/>
    <w:rsid w:val="006278DF"/>
    <w:rsid w:val="00630DF1"/>
    <w:rsid w:val="00633BDD"/>
    <w:rsid w:val="006343F5"/>
    <w:rsid w:val="006354F8"/>
    <w:rsid w:val="006356D0"/>
    <w:rsid w:val="00636019"/>
    <w:rsid w:val="00637633"/>
    <w:rsid w:val="00637874"/>
    <w:rsid w:val="00640A61"/>
    <w:rsid w:val="0064145E"/>
    <w:rsid w:val="00642209"/>
    <w:rsid w:val="00642C2F"/>
    <w:rsid w:val="00643EC8"/>
    <w:rsid w:val="0064405E"/>
    <w:rsid w:val="006448CF"/>
    <w:rsid w:val="00644FA4"/>
    <w:rsid w:val="00646D3D"/>
    <w:rsid w:val="00647305"/>
    <w:rsid w:val="006478D6"/>
    <w:rsid w:val="00647946"/>
    <w:rsid w:val="00647987"/>
    <w:rsid w:val="006502AE"/>
    <w:rsid w:val="00651755"/>
    <w:rsid w:val="00653CA8"/>
    <w:rsid w:val="00654CEA"/>
    <w:rsid w:val="00656452"/>
    <w:rsid w:val="00656925"/>
    <w:rsid w:val="00661D28"/>
    <w:rsid w:val="0066247B"/>
    <w:rsid w:val="00662974"/>
    <w:rsid w:val="00663BAA"/>
    <w:rsid w:val="00664F50"/>
    <w:rsid w:val="006658AC"/>
    <w:rsid w:val="00667185"/>
    <w:rsid w:val="0066764D"/>
    <w:rsid w:val="00671451"/>
    <w:rsid w:val="00671877"/>
    <w:rsid w:val="00671993"/>
    <w:rsid w:val="006728DB"/>
    <w:rsid w:val="0067439C"/>
    <w:rsid w:val="00675711"/>
    <w:rsid w:val="00676458"/>
    <w:rsid w:val="006766FC"/>
    <w:rsid w:val="00676730"/>
    <w:rsid w:val="006767B7"/>
    <w:rsid w:val="006777C4"/>
    <w:rsid w:val="00680721"/>
    <w:rsid w:val="00682C09"/>
    <w:rsid w:val="00682E16"/>
    <w:rsid w:val="00684A1D"/>
    <w:rsid w:val="006858BE"/>
    <w:rsid w:val="00686045"/>
    <w:rsid w:val="006863F9"/>
    <w:rsid w:val="0068645E"/>
    <w:rsid w:val="00687118"/>
    <w:rsid w:val="0068775E"/>
    <w:rsid w:val="00687DC7"/>
    <w:rsid w:val="0069044C"/>
    <w:rsid w:val="006906EA"/>
    <w:rsid w:val="00693232"/>
    <w:rsid w:val="006960B5"/>
    <w:rsid w:val="006964DD"/>
    <w:rsid w:val="0069739E"/>
    <w:rsid w:val="006A0F82"/>
    <w:rsid w:val="006A299E"/>
    <w:rsid w:val="006A2A36"/>
    <w:rsid w:val="006A2CFA"/>
    <w:rsid w:val="006A31AD"/>
    <w:rsid w:val="006A49C1"/>
    <w:rsid w:val="006A4AD9"/>
    <w:rsid w:val="006A55EB"/>
    <w:rsid w:val="006A5CC7"/>
    <w:rsid w:val="006A6B3A"/>
    <w:rsid w:val="006B2ECE"/>
    <w:rsid w:val="006B494D"/>
    <w:rsid w:val="006B5794"/>
    <w:rsid w:val="006B63F7"/>
    <w:rsid w:val="006B67CE"/>
    <w:rsid w:val="006B6FAF"/>
    <w:rsid w:val="006C1313"/>
    <w:rsid w:val="006C3283"/>
    <w:rsid w:val="006C34EE"/>
    <w:rsid w:val="006C3B28"/>
    <w:rsid w:val="006C66AF"/>
    <w:rsid w:val="006C66CB"/>
    <w:rsid w:val="006C684F"/>
    <w:rsid w:val="006C76AF"/>
    <w:rsid w:val="006C784C"/>
    <w:rsid w:val="006D05B2"/>
    <w:rsid w:val="006D0A1B"/>
    <w:rsid w:val="006D12A5"/>
    <w:rsid w:val="006D17FA"/>
    <w:rsid w:val="006D206D"/>
    <w:rsid w:val="006D325C"/>
    <w:rsid w:val="006D3E45"/>
    <w:rsid w:val="006D602F"/>
    <w:rsid w:val="006D64DE"/>
    <w:rsid w:val="006D6EC8"/>
    <w:rsid w:val="006D6FA6"/>
    <w:rsid w:val="006D779E"/>
    <w:rsid w:val="006E007C"/>
    <w:rsid w:val="006E1E28"/>
    <w:rsid w:val="006E1F2B"/>
    <w:rsid w:val="006E1F3D"/>
    <w:rsid w:val="006E2E5D"/>
    <w:rsid w:val="006E4597"/>
    <w:rsid w:val="006E6003"/>
    <w:rsid w:val="006E61A8"/>
    <w:rsid w:val="006E7718"/>
    <w:rsid w:val="006F1A67"/>
    <w:rsid w:val="006F3D78"/>
    <w:rsid w:val="006F3E62"/>
    <w:rsid w:val="006F425D"/>
    <w:rsid w:val="00702F48"/>
    <w:rsid w:val="007037C4"/>
    <w:rsid w:val="00705BB2"/>
    <w:rsid w:val="00707EB1"/>
    <w:rsid w:val="0071017B"/>
    <w:rsid w:val="00711922"/>
    <w:rsid w:val="00712676"/>
    <w:rsid w:val="00715855"/>
    <w:rsid w:val="0071644A"/>
    <w:rsid w:val="00717832"/>
    <w:rsid w:val="0072101C"/>
    <w:rsid w:val="00721CE1"/>
    <w:rsid w:val="0072251D"/>
    <w:rsid w:val="00722B25"/>
    <w:rsid w:val="00723B97"/>
    <w:rsid w:val="00723C46"/>
    <w:rsid w:val="00723DF3"/>
    <w:rsid w:val="007245C5"/>
    <w:rsid w:val="00725895"/>
    <w:rsid w:val="00725CA6"/>
    <w:rsid w:val="007271F7"/>
    <w:rsid w:val="0072799F"/>
    <w:rsid w:val="00730034"/>
    <w:rsid w:val="007303A3"/>
    <w:rsid w:val="00730501"/>
    <w:rsid w:val="00731FAE"/>
    <w:rsid w:val="007325A8"/>
    <w:rsid w:val="0073327D"/>
    <w:rsid w:val="007336C9"/>
    <w:rsid w:val="00734D57"/>
    <w:rsid w:val="007357A0"/>
    <w:rsid w:val="00735B24"/>
    <w:rsid w:val="007361CF"/>
    <w:rsid w:val="00736876"/>
    <w:rsid w:val="0073708A"/>
    <w:rsid w:val="0073765C"/>
    <w:rsid w:val="00743278"/>
    <w:rsid w:val="007441E0"/>
    <w:rsid w:val="00744D50"/>
    <w:rsid w:val="00745324"/>
    <w:rsid w:val="00747229"/>
    <w:rsid w:val="00753CEA"/>
    <w:rsid w:val="00754249"/>
    <w:rsid w:val="00754C97"/>
    <w:rsid w:val="00755099"/>
    <w:rsid w:val="00757DAA"/>
    <w:rsid w:val="00760A40"/>
    <w:rsid w:val="00761786"/>
    <w:rsid w:val="00762FAE"/>
    <w:rsid w:val="0076310B"/>
    <w:rsid w:val="00765F96"/>
    <w:rsid w:val="00766AFD"/>
    <w:rsid w:val="007702B8"/>
    <w:rsid w:val="007704CF"/>
    <w:rsid w:val="00770650"/>
    <w:rsid w:val="007733A2"/>
    <w:rsid w:val="00773638"/>
    <w:rsid w:val="00773957"/>
    <w:rsid w:val="00773A84"/>
    <w:rsid w:val="007745C4"/>
    <w:rsid w:val="007756C9"/>
    <w:rsid w:val="007756CA"/>
    <w:rsid w:val="00776E61"/>
    <w:rsid w:val="00776F8B"/>
    <w:rsid w:val="007805F2"/>
    <w:rsid w:val="0078143F"/>
    <w:rsid w:val="00782B12"/>
    <w:rsid w:val="007831BC"/>
    <w:rsid w:val="00785D15"/>
    <w:rsid w:val="00785D7C"/>
    <w:rsid w:val="00786245"/>
    <w:rsid w:val="007862D3"/>
    <w:rsid w:val="00787FC5"/>
    <w:rsid w:val="007916A6"/>
    <w:rsid w:val="00792525"/>
    <w:rsid w:val="007928DD"/>
    <w:rsid w:val="007933C9"/>
    <w:rsid w:val="00793B7D"/>
    <w:rsid w:val="0079435C"/>
    <w:rsid w:val="00797176"/>
    <w:rsid w:val="007A0045"/>
    <w:rsid w:val="007A1C70"/>
    <w:rsid w:val="007A1D11"/>
    <w:rsid w:val="007A20DD"/>
    <w:rsid w:val="007A2192"/>
    <w:rsid w:val="007A390D"/>
    <w:rsid w:val="007A3BF5"/>
    <w:rsid w:val="007A4FC6"/>
    <w:rsid w:val="007A7736"/>
    <w:rsid w:val="007B024A"/>
    <w:rsid w:val="007B0612"/>
    <w:rsid w:val="007B090A"/>
    <w:rsid w:val="007B1245"/>
    <w:rsid w:val="007B1E67"/>
    <w:rsid w:val="007B1F60"/>
    <w:rsid w:val="007B2088"/>
    <w:rsid w:val="007B28B8"/>
    <w:rsid w:val="007B4CEA"/>
    <w:rsid w:val="007B5213"/>
    <w:rsid w:val="007B6DAA"/>
    <w:rsid w:val="007C1C10"/>
    <w:rsid w:val="007C23B0"/>
    <w:rsid w:val="007C2703"/>
    <w:rsid w:val="007C2A0E"/>
    <w:rsid w:val="007C4790"/>
    <w:rsid w:val="007C6348"/>
    <w:rsid w:val="007D125B"/>
    <w:rsid w:val="007D2B34"/>
    <w:rsid w:val="007D39C4"/>
    <w:rsid w:val="007D454A"/>
    <w:rsid w:val="007D58A4"/>
    <w:rsid w:val="007D6081"/>
    <w:rsid w:val="007D6E61"/>
    <w:rsid w:val="007D78A1"/>
    <w:rsid w:val="007D7A5C"/>
    <w:rsid w:val="007D7EDC"/>
    <w:rsid w:val="007E08C2"/>
    <w:rsid w:val="007E2307"/>
    <w:rsid w:val="007E3081"/>
    <w:rsid w:val="007E3217"/>
    <w:rsid w:val="007E4A01"/>
    <w:rsid w:val="007E4F5A"/>
    <w:rsid w:val="007E5056"/>
    <w:rsid w:val="007E62F2"/>
    <w:rsid w:val="007F20C2"/>
    <w:rsid w:val="007F2441"/>
    <w:rsid w:val="007F3B1C"/>
    <w:rsid w:val="007F4112"/>
    <w:rsid w:val="007F6004"/>
    <w:rsid w:val="007F63A6"/>
    <w:rsid w:val="007F6633"/>
    <w:rsid w:val="00800893"/>
    <w:rsid w:val="00800C78"/>
    <w:rsid w:val="00801650"/>
    <w:rsid w:val="00801AFB"/>
    <w:rsid w:val="00802AB2"/>
    <w:rsid w:val="00804567"/>
    <w:rsid w:val="00804E26"/>
    <w:rsid w:val="00805DB4"/>
    <w:rsid w:val="008064C0"/>
    <w:rsid w:val="0080719D"/>
    <w:rsid w:val="008071A6"/>
    <w:rsid w:val="00812CAB"/>
    <w:rsid w:val="00813C8E"/>
    <w:rsid w:val="00813D4E"/>
    <w:rsid w:val="00814BA4"/>
    <w:rsid w:val="008155BF"/>
    <w:rsid w:val="00816332"/>
    <w:rsid w:val="00816A4C"/>
    <w:rsid w:val="00817163"/>
    <w:rsid w:val="00817978"/>
    <w:rsid w:val="00817D48"/>
    <w:rsid w:val="00817EF6"/>
    <w:rsid w:val="00821749"/>
    <w:rsid w:val="008218A9"/>
    <w:rsid w:val="008230C5"/>
    <w:rsid w:val="00823835"/>
    <w:rsid w:val="00823D2A"/>
    <w:rsid w:val="0082413D"/>
    <w:rsid w:val="008246BA"/>
    <w:rsid w:val="00825237"/>
    <w:rsid w:val="008270D9"/>
    <w:rsid w:val="00827259"/>
    <w:rsid w:val="008272E9"/>
    <w:rsid w:val="0082788B"/>
    <w:rsid w:val="0083060A"/>
    <w:rsid w:val="00830CB2"/>
    <w:rsid w:val="008321F8"/>
    <w:rsid w:val="00832281"/>
    <w:rsid w:val="00832767"/>
    <w:rsid w:val="0083300D"/>
    <w:rsid w:val="00834148"/>
    <w:rsid w:val="008342AD"/>
    <w:rsid w:val="00835D2A"/>
    <w:rsid w:val="00836306"/>
    <w:rsid w:val="008409E0"/>
    <w:rsid w:val="00840B47"/>
    <w:rsid w:val="00840CCC"/>
    <w:rsid w:val="00840ECA"/>
    <w:rsid w:val="008414F6"/>
    <w:rsid w:val="008424B8"/>
    <w:rsid w:val="008426F4"/>
    <w:rsid w:val="00843796"/>
    <w:rsid w:val="0084389C"/>
    <w:rsid w:val="008445E0"/>
    <w:rsid w:val="008461C4"/>
    <w:rsid w:val="00846C56"/>
    <w:rsid w:val="00847E6E"/>
    <w:rsid w:val="00850864"/>
    <w:rsid w:val="00850EFB"/>
    <w:rsid w:val="0085124A"/>
    <w:rsid w:val="00851D59"/>
    <w:rsid w:val="0085212E"/>
    <w:rsid w:val="00852FA3"/>
    <w:rsid w:val="00853169"/>
    <w:rsid w:val="00853CCB"/>
    <w:rsid w:val="00853E6C"/>
    <w:rsid w:val="0085441F"/>
    <w:rsid w:val="00854A76"/>
    <w:rsid w:val="00855BBA"/>
    <w:rsid w:val="008603C7"/>
    <w:rsid w:val="00860829"/>
    <w:rsid w:val="00860A2C"/>
    <w:rsid w:val="0086109A"/>
    <w:rsid w:val="0086254E"/>
    <w:rsid w:val="008634AC"/>
    <w:rsid w:val="00864D58"/>
    <w:rsid w:val="008655C8"/>
    <w:rsid w:val="008704DC"/>
    <w:rsid w:val="00871483"/>
    <w:rsid w:val="0087479E"/>
    <w:rsid w:val="008756D2"/>
    <w:rsid w:val="00875BB3"/>
    <w:rsid w:val="00875D38"/>
    <w:rsid w:val="00877A82"/>
    <w:rsid w:val="00880730"/>
    <w:rsid w:val="008810DD"/>
    <w:rsid w:val="00881A01"/>
    <w:rsid w:val="00881CA9"/>
    <w:rsid w:val="00881DF1"/>
    <w:rsid w:val="00882849"/>
    <w:rsid w:val="00882A34"/>
    <w:rsid w:val="00883A80"/>
    <w:rsid w:val="00884440"/>
    <w:rsid w:val="008852E4"/>
    <w:rsid w:val="00885AB1"/>
    <w:rsid w:val="00890436"/>
    <w:rsid w:val="008924D7"/>
    <w:rsid w:val="00894266"/>
    <w:rsid w:val="0089588F"/>
    <w:rsid w:val="00896669"/>
    <w:rsid w:val="0089735D"/>
    <w:rsid w:val="008A1A39"/>
    <w:rsid w:val="008A1FFA"/>
    <w:rsid w:val="008A28DE"/>
    <w:rsid w:val="008A4F83"/>
    <w:rsid w:val="008A504D"/>
    <w:rsid w:val="008A585C"/>
    <w:rsid w:val="008A6261"/>
    <w:rsid w:val="008A6674"/>
    <w:rsid w:val="008B15F2"/>
    <w:rsid w:val="008B1CF1"/>
    <w:rsid w:val="008B38B1"/>
    <w:rsid w:val="008B4C5A"/>
    <w:rsid w:val="008B57CC"/>
    <w:rsid w:val="008B5CAA"/>
    <w:rsid w:val="008B6085"/>
    <w:rsid w:val="008B785E"/>
    <w:rsid w:val="008C0AE3"/>
    <w:rsid w:val="008C1879"/>
    <w:rsid w:val="008C2163"/>
    <w:rsid w:val="008C2F14"/>
    <w:rsid w:val="008C49E4"/>
    <w:rsid w:val="008C53FE"/>
    <w:rsid w:val="008C572D"/>
    <w:rsid w:val="008C6383"/>
    <w:rsid w:val="008C642E"/>
    <w:rsid w:val="008C69EC"/>
    <w:rsid w:val="008C6B39"/>
    <w:rsid w:val="008D00DA"/>
    <w:rsid w:val="008D051A"/>
    <w:rsid w:val="008D1993"/>
    <w:rsid w:val="008D1BAE"/>
    <w:rsid w:val="008D2207"/>
    <w:rsid w:val="008D22EF"/>
    <w:rsid w:val="008D265C"/>
    <w:rsid w:val="008D3C9F"/>
    <w:rsid w:val="008D4BEA"/>
    <w:rsid w:val="008D5A2D"/>
    <w:rsid w:val="008D679C"/>
    <w:rsid w:val="008D7774"/>
    <w:rsid w:val="008E24CD"/>
    <w:rsid w:val="008E3B45"/>
    <w:rsid w:val="008E4014"/>
    <w:rsid w:val="008E4BE4"/>
    <w:rsid w:val="008E517E"/>
    <w:rsid w:val="008E6E49"/>
    <w:rsid w:val="008E7E2B"/>
    <w:rsid w:val="008F02B0"/>
    <w:rsid w:val="008F173D"/>
    <w:rsid w:val="008F1C19"/>
    <w:rsid w:val="008F2987"/>
    <w:rsid w:val="008F3D7F"/>
    <w:rsid w:val="008F3EA3"/>
    <w:rsid w:val="008F44DD"/>
    <w:rsid w:val="008F6E88"/>
    <w:rsid w:val="008F714C"/>
    <w:rsid w:val="0090043C"/>
    <w:rsid w:val="00900519"/>
    <w:rsid w:val="00900866"/>
    <w:rsid w:val="00901D2B"/>
    <w:rsid w:val="009037EA"/>
    <w:rsid w:val="00903EA3"/>
    <w:rsid w:val="00904610"/>
    <w:rsid w:val="0090696D"/>
    <w:rsid w:val="00907E5A"/>
    <w:rsid w:val="009125FB"/>
    <w:rsid w:val="00913334"/>
    <w:rsid w:val="00913497"/>
    <w:rsid w:val="009140EC"/>
    <w:rsid w:val="00914E7A"/>
    <w:rsid w:val="00916D9C"/>
    <w:rsid w:val="009205B8"/>
    <w:rsid w:val="00920842"/>
    <w:rsid w:val="009215BF"/>
    <w:rsid w:val="0092176D"/>
    <w:rsid w:val="0092280D"/>
    <w:rsid w:val="009228FF"/>
    <w:rsid w:val="00922D3A"/>
    <w:rsid w:val="00924992"/>
    <w:rsid w:val="009256D5"/>
    <w:rsid w:val="00925C6B"/>
    <w:rsid w:val="00931D9A"/>
    <w:rsid w:val="00932544"/>
    <w:rsid w:val="00933161"/>
    <w:rsid w:val="0093574C"/>
    <w:rsid w:val="00940893"/>
    <w:rsid w:val="009410E3"/>
    <w:rsid w:val="00943329"/>
    <w:rsid w:val="009433B5"/>
    <w:rsid w:val="009435C4"/>
    <w:rsid w:val="009438E4"/>
    <w:rsid w:val="009439AD"/>
    <w:rsid w:val="009446FD"/>
    <w:rsid w:val="009447AD"/>
    <w:rsid w:val="0094584C"/>
    <w:rsid w:val="009460E9"/>
    <w:rsid w:val="0094615B"/>
    <w:rsid w:val="009476AF"/>
    <w:rsid w:val="0095120D"/>
    <w:rsid w:val="00952460"/>
    <w:rsid w:val="00952504"/>
    <w:rsid w:val="00952DE4"/>
    <w:rsid w:val="0095332B"/>
    <w:rsid w:val="00954080"/>
    <w:rsid w:val="00954259"/>
    <w:rsid w:val="00954D3F"/>
    <w:rsid w:val="00954FC9"/>
    <w:rsid w:val="00956684"/>
    <w:rsid w:val="00957A1D"/>
    <w:rsid w:val="009609C7"/>
    <w:rsid w:val="00960FD5"/>
    <w:rsid w:val="00962946"/>
    <w:rsid w:val="00963FD0"/>
    <w:rsid w:val="00964E59"/>
    <w:rsid w:val="009650DE"/>
    <w:rsid w:val="0096726C"/>
    <w:rsid w:val="00967C5E"/>
    <w:rsid w:val="00970321"/>
    <w:rsid w:val="00970B59"/>
    <w:rsid w:val="00970CA8"/>
    <w:rsid w:val="00971284"/>
    <w:rsid w:val="00971A61"/>
    <w:rsid w:val="00971AFE"/>
    <w:rsid w:val="009722FA"/>
    <w:rsid w:val="0097236D"/>
    <w:rsid w:val="00974308"/>
    <w:rsid w:val="00975D61"/>
    <w:rsid w:val="00975F2E"/>
    <w:rsid w:val="00981E9D"/>
    <w:rsid w:val="0098254D"/>
    <w:rsid w:val="00983132"/>
    <w:rsid w:val="00984692"/>
    <w:rsid w:val="00984A4A"/>
    <w:rsid w:val="00984EDB"/>
    <w:rsid w:val="00985DA6"/>
    <w:rsid w:val="00986735"/>
    <w:rsid w:val="0098723D"/>
    <w:rsid w:val="0099086E"/>
    <w:rsid w:val="0099190A"/>
    <w:rsid w:val="00991E5D"/>
    <w:rsid w:val="009926F5"/>
    <w:rsid w:val="009927C0"/>
    <w:rsid w:val="00993B41"/>
    <w:rsid w:val="00993DD9"/>
    <w:rsid w:val="00995758"/>
    <w:rsid w:val="00995B8B"/>
    <w:rsid w:val="00996453"/>
    <w:rsid w:val="00997356"/>
    <w:rsid w:val="00997542"/>
    <w:rsid w:val="009A1323"/>
    <w:rsid w:val="009A2329"/>
    <w:rsid w:val="009A3032"/>
    <w:rsid w:val="009A3159"/>
    <w:rsid w:val="009A331F"/>
    <w:rsid w:val="009A3E7A"/>
    <w:rsid w:val="009A49FB"/>
    <w:rsid w:val="009A5A80"/>
    <w:rsid w:val="009A660E"/>
    <w:rsid w:val="009A6C5A"/>
    <w:rsid w:val="009A7999"/>
    <w:rsid w:val="009A7EBC"/>
    <w:rsid w:val="009B0796"/>
    <w:rsid w:val="009B2531"/>
    <w:rsid w:val="009B29ED"/>
    <w:rsid w:val="009B35BC"/>
    <w:rsid w:val="009B5272"/>
    <w:rsid w:val="009B55E4"/>
    <w:rsid w:val="009B68C2"/>
    <w:rsid w:val="009C0998"/>
    <w:rsid w:val="009C22A3"/>
    <w:rsid w:val="009C2397"/>
    <w:rsid w:val="009C293E"/>
    <w:rsid w:val="009C4129"/>
    <w:rsid w:val="009C6195"/>
    <w:rsid w:val="009C63EE"/>
    <w:rsid w:val="009C6559"/>
    <w:rsid w:val="009D0B82"/>
    <w:rsid w:val="009D1C90"/>
    <w:rsid w:val="009D3307"/>
    <w:rsid w:val="009D3D6E"/>
    <w:rsid w:val="009D4BD5"/>
    <w:rsid w:val="009D52FF"/>
    <w:rsid w:val="009E062A"/>
    <w:rsid w:val="009E0634"/>
    <w:rsid w:val="009E0E0B"/>
    <w:rsid w:val="009E15DE"/>
    <w:rsid w:val="009E4462"/>
    <w:rsid w:val="009E5719"/>
    <w:rsid w:val="009E5865"/>
    <w:rsid w:val="009E6303"/>
    <w:rsid w:val="009F080F"/>
    <w:rsid w:val="009F36BA"/>
    <w:rsid w:val="009F3DFA"/>
    <w:rsid w:val="009F452A"/>
    <w:rsid w:val="009F547B"/>
    <w:rsid w:val="009F6501"/>
    <w:rsid w:val="009F7015"/>
    <w:rsid w:val="009F7285"/>
    <w:rsid w:val="009F7655"/>
    <w:rsid w:val="00A002B6"/>
    <w:rsid w:val="00A01648"/>
    <w:rsid w:val="00A01D69"/>
    <w:rsid w:val="00A02270"/>
    <w:rsid w:val="00A0304C"/>
    <w:rsid w:val="00A03CE3"/>
    <w:rsid w:val="00A03E72"/>
    <w:rsid w:val="00A05D22"/>
    <w:rsid w:val="00A06D24"/>
    <w:rsid w:val="00A0728D"/>
    <w:rsid w:val="00A13317"/>
    <w:rsid w:val="00A137FB"/>
    <w:rsid w:val="00A13833"/>
    <w:rsid w:val="00A161A7"/>
    <w:rsid w:val="00A165BC"/>
    <w:rsid w:val="00A16654"/>
    <w:rsid w:val="00A16B89"/>
    <w:rsid w:val="00A17365"/>
    <w:rsid w:val="00A20BA4"/>
    <w:rsid w:val="00A20D84"/>
    <w:rsid w:val="00A211D4"/>
    <w:rsid w:val="00A21330"/>
    <w:rsid w:val="00A24836"/>
    <w:rsid w:val="00A252DC"/>
    <w:rsid w:val="00A26095"/>
    <w:rsid w:val="00A2672C"/>
    <w:rsid w:val="00A26A94"/>
    <w:rsid w:val="00A27387"/>
    <w:rsid w:val="00A27611"/>
    <w:rsid w:val="00A30AC1"/>
    <w:rsid w:val="00A3107F"/>
    <w:rsid w:val="00A3225A"/>
    <w:rsid w:val="00A342A6"/>
    <w:rsid w:val="00A34D76"/>
    <w:rsid w:val="00A355C6"/>
    <w:rsid w:val="00A36232"/>
    <w:rsid w:val="00A36767"/>
    <w:rsid w:val="00A374F5"/>
    <w:rsid w:val="00A428E6"/>
    <w:rsid w:val="00A42E62"/>
    <w:rsid w:val="00A44B01"/>
    <w:rsid w:val="00A4535E"/>
    <w:rsid w:val="00A456CA"/>
    <w:rsid w:val="00A460A4"/>
    <w:rsid w:val="00A50D05"/>
    <w:rsid w:val="00A52719"/>
    <w:rsid w:val="00A52BAD"/>
    <w:rsid w:val="00A532D8"/>
    <w:rsid w:val="00A53E1A"/>
    <w:rsid w:val="00A55678"/>
    <w:rsid w:val="00A5730C"/>
    <w:rsid w:val="00A5787D"/>
    <w:rsid w:val="00A60FE7"/>
    <w:rsid w:val="00A61552"/>
    <w:rsid w:val="00A62AE6"/>
    <w:rsid w:val="00A64D1B"/>
    <w:rsid w:val="00A655E0"/>
    <w:rsid w:val="00A66A27"/>
    <w:rsid w:val="00A67B15"/>
    <w:rsid w:val="00A71B8C"/>
    <w:rsid w:val="00A71E07"/>
    <w:rsid w:val="00A72574"/>
    <w:rsid w:val="00A757A6"/>
    <w:rsid w:val="00A760BE"/>
    <w:rsid w:val="00A77B0A"/>
    <w:rsid w:val="00A83219"/>
    <w:rsid w:val="00A8333E"/>
    <w:rsid w:val="00A8334C"/>
    <w:rsid w:val="00A853DC"/>
    <w:rsid w:val="00A864A5"/>
    <w:rsid w:val="00A866B1"/>
    <w:rsid w:val="00A86A2F"/>
    <w:rsid w:val="00A86F7F"/>
    <w:rsid w:val="00A905DD"/>
    <w:rsid w:val="00A90B18"/>
    <w:rsid w:val="00A91104"/>
    <w:rsid w:val="00A9187F"/>
    <w:rsid w:val="00A931AA"/>
    <w:rsid w:val="00A946A5"/>
    <w:rsid w:val="00A97A35"/>
    <w:rsid w:val="00A97DC4"/>
    <w:rsid w:val="00AA04C9"/>
    <w:rsid w:val="00AA06E4"/>
    <w:rsid w:val="00AA0F7D"/>
    <w:rsid w:val="00AA15D5"/>
    <w:rsid w:val="00AA1B4F"/>
    <w:rsid w:val="00AA361C"/>
    <w:rsid w:val="00AA5A3C"/>
    <w:rsid w:val="00AA5A7C"/>
    <w:rsid w:val="00AA6A54"/>
    <w:rsid w:val="00AA7857"/>
    <w:rsid w:val="00AB108D"/>
    <w:rsid w:val="00AB10D5"/>
    <w:rsid w:val="00AB175D"/>
    <w:rsid w:val="00AB4BB3"/>
    <w:rsid w:val="00AB5226"/>
    <w:rsid w:val="00AB6445"/>
    <w:rsid w:val="00AB680D"/>
    <w:rsid w:val="00AC0C69"/>
    <w:rsid w:val="00AC52DB"/>
    <w:rsid w:val="00AC645F"/>
    <w:rsid w:val="00AC6E2D"/>
    <w:rsid w:val="00AD1291"/>
    <w:rsid w:val="00AD37EE"/>
    <w:rsid w:val="00AD3C6E"/>
    <w:rsid w:val="00AD3DB8"/>
    <w:rsid w:val="00AD4078"/>
    <w:rsid w:val="00AD4328"/>
    <w:rsid w:val="00AE00DA"/>
    <w:rsid w:val="00AE1F63"/>
    <w:rsid w:val="00AE2FEE"/>
    <w:rsid w:val="00AE4AE0"/>
    <w:rsid w:val="00AE5595"/>
    <w:rsid w:val="00AE6881"/>
    <w:rsid w:val="00AE7AC0"/>
    <w:rsid w:val="00AE7E27"/>
    <w:rsid w:val="00AF2098"/>
    <w:rsid w:val="00AF3084"/>
    <w:rsid w:val="00AF595C"/>
    <w:rsid w:val="00AF5BE6"/>
    <w:rsid w:val="00AF6E79"/>
    <w:rsid w:val="00AF79BD"/>
    <w:rsid w:val="00AF79E9"/>
    <w:rsid w:val="00B00F8E"/>
    <w:rsid w:val="00B01C63"/>
    <w:rsid w:val="00B027B4"/>
    <w:rsid w:val="00B046C2"/>
    <w:rsid w:val="00B04F10"/>
    <w:rsid w:val="00B05825"/>
    <w:rsid w:val="00B05FDA"/>
    <w:rsid w:val="00B061CF"/>
    <w:rsid w:val="00B0625D"/>
    <w:rsid w:val="00B07DAD"/>
    <w:rsid w:val="00B1014F"/>
    <w:rsid w:val="00B104A4"/>
    <w:rsid w:val="00B10F25"/>
    <w:rsid w:val="00B121E3"/>
    <w:rsid w:val="00B129E3"/>
    <w:rsid w:val="00B1304E"/>
    <w:rsid w:val="00B13EB3"/>
    <w:rsid w:val="00B17967"/>
    <w:rsid w:val="00B17AC6"/>
    <w:rsid w:val="00B20909"/>
    <w:rsid w:val="00B2239E"/>
    <w:rsid w:val="00B22DB6"/>
    <w:rsid w:val="00B23557"/>
    <w:rsid w:val="00B248FC"/>
    <w:rsid w:val="00B25CA4"/>
    <w:rsid w:val="00B26F38"/>
    <w:rsid w:val="00B27096"/>
    <w:rsid w:val="00B3077E"/>
    <w:rsid w:val="00B30A80"/>
    <w:rsid w:val="00B30CD5"/>
    <w:rsid w:val="00B33E8C"/>
    <w:rsid w:val="00B36406"/>
    <w:rsid w:val="00B3650C"/>
    <w:rsid w:val="00B4015B"/>
    <w:rsid w:val="00B4047F"/>
    <w:rsid w:val="00B4314A"/>
    <w:rsid w:val="00B432B4"/>
    <w:rsid w:val="00B43482"/>
    <w:rsid w:val="00B45AB6"/>
    <w:rsid w:val="00B46ECC"/>
    <w:rsid w:val="00B505C3"/>
    <w:rsid w:val="00B51988"/>
    <w:rsid w:val="00B53653"/>
    <w:rsid w:val="00B53732"/>
    <w:rsid w:val="00B53952"/>
    <w:rsid w:val="00B53D0C"/>
    <w:rsid w:val="00B53DA3"/>
    <w:rsid w:val="00B541BF"/>
    <w:rsid w:val="00B55637"/>
    <w:rsid w:val="00B5612C"/>
    <w:rsid w:val="00B56273"/>
    <w:rsid w:val="00B566F4"/>
    <w:rsid w:val="00B614BE"/>
    <w:rsid w:val="00B62B80"/>
    <w:rsid w:val="00B63DE7"/>
    <w:rsid w:val="00B64126"/>
    <w:rsid w:val="00B661DA"/>
    <w:rsid w:val="00B6693F"/>
    <w:rsid w:val="00B6752E"/>
    <w:rsid w:val="00B70E9E"/>
    <w:rsid w:val="00B72858"/>
    <w:rsid w:val="00B73053"/>
    <w:rsid w:val="00B730BB"/>
    <w:rsid w:val="00B740F5"/>
    <w:rsid w:val="00B748BF"/>
    <w:rsid w:val="00B74BD4"/>
    <w:rsid w:val="00B74E80"/>
    <w:rsid w:val="00B74FA3"/>
    <w:rsid w:val="00B762DD"/>
    <w:rsid w:val="00B8031C"/>
    <w:rsid w:val="00B80582"/>
    <w:rsid w:val="00B81C76"/>
    <w:rsid w:val="00B820C7"/>
    <w:rsid w:val="00B825B6"/>
    <w:rsid w:val="00B82732"/>
    <w:rsid w:val="00B827FB"/>
    <w:rsid w:val="00B82870"/>
    <w:rsid w:val="00B82D27"/>
    <w:rsid w:val="00B83DAD"/>
    <w:rsid w:val="00B84356"/>
    <w:rsid w:val="00B8492F"/>
    <w:rsid w:val="00B84E15"/>
    <w:rsid w:val="00B853A7"/>
    <w:rsid w:val="00B861A0"/>
    <w:rsid w:val="00B87AED"/>
    <w:rsid w:val="00B87EF1"/>
    <w:rsid w:val="00B906DC"/>
    <w:rsid w:val="00B90B0C"/>
    <w:rsid w:val="00B92D3C"/>
    <w:rsid w:val="00B949A6"/>
    <w:rsid w:val="00B94B68"/>
    <w:rsid w:val="00B96523"/>
    <w:rsid w:val="00B96ED6"/>
    <w:rsid w:val="00B96F95"/>
    <w:rsid w:val="00BA2072"/>
    <w:rsid w:val="00BA346F"/>
    <w:rsid w:val="00BA43F6"/>
    <w:rsid w:val="00BA4F3F"/>
    <w:rsid w:val="00BA62DD"/>
    <w:rsid w:val="00BA7788"/>
    <w:rsid w:val="00BA7837"/>
    <w:rsid w:val="00BB03D7"/>
    <w:rsid w:val="00BB04B4"/>
    <w:rsid w:val="00BB219E"/>
    <w:rsid w:val="00BB2605"/>
    <w:rsid w:val="00BB60DC"/>
    <w:rsid w:val="00BB6D46"/>
    <w:rsid w:val="00BB7100"/>
    <w:rsid w:val="00BB73F2"/>
    <w:rsid w:val="00BB754E"/>
    <w:rsid w:val="00BB7C9B"/>
    <w:rsid w:val="00BC2287"/>
    <w:rsid w:val="00BC3EA0"/>
    <w:rsid w:val="00BC5055"/>
    <w:rsid w:val="00BC6859"/>
    <w:rsid w:val="00BC702B"/>
    <w:rsid w:val="00BC7A3B"/>
    <w:rsid w:val="00BD0405"/>
    <w:rsid w:val="00BD1F90"/>
    <w:rsid w:val="00BD4CBD"/>
    <w:rsid w:val="00BD5A46"/>
    <w:rsid w:val="00BD5AD4"/>
    <w:rsid w:val="00BD61A5"/>
    <w:rsid w:val="00BE0605"/>
    <w:rsid w:val="00BE184B"/>
    <w:rsid w:val="00BE1A6E"/>
    <w:rsid w:val="00BE20C4"/>
    <w:rsid w:val="00BE3133"/>
    <w:rsid w:val="00BE36E3"/>
    <w:rsid w:val="00BE4646"/>
    <w:rsid w:val="00BE4B5F"/>
    <w:rsid w:val="00BE4EB0"/>
    <w:rsid w:val="00BE520F"/>
    <w:rsid w:val="00BE6F90"/>
    <w:rsid w:val="00BF1286"/>
    <w:rsid w:val="00BF417F"/>
    <w:rsid w:val="00BF4DA8"/>
    <w:rsid w:val="00BF4DAE"/>
    <w:rsid w:val="00BF5F05"/>
    <w:rsid w:val="00BF65D6"/>
    <w:rsid w:val="00BF69FF"/>
    <w:rsid w:val="00BF7672"/>
    <w:rsid w:val="00C019C2"/>
    <w:rsid w:val="00C03518"/>
    <w:rsid w:val="00C036C1"/>
    <w:rsid w:val="00C04A9A"/>
    <w:rsid w:val="00C052B3"/>
    <w:rsid w:val="00C06B19"/>
    <w:rsid w:val="00C07618"/>
    <w:rsid w:val="00C07C5D"/>
    <w:rsid w:val="00C07FA5"/>
    <w:rsid w:val="00C10549"/>
    <w:rsid w:val="00C10FDE"/>
    <w:rsid w:val="00C11114"/>
    <w:rsid w:val="00C11B3B"/>
    <w:rsid w:val="00C11E9A"/>
    <w:rsid w:val="00C12598"/>
    <w:rsid w:val="00C14B61"/>
    <w:rsid w:val="00C14C7A"/>
    <w:rsid w:val="00C14F4E"/>
    <w:rsid w:val="00C156CE"/>
    <w:rsid w:val="00C158D2"/>
    <w:rsid w:val="00C172DD"/>
    <w:rsid w:val="00C1738D"/>
    <w:rsid w:val="00C17661"/>
    <w:rsid w:val="00C22C22"/>
    <w:rsid w:val="00C23A72"/>
    <w:rsid w:val="00C23DB6"/>
    <w:rsid w:val="00C240E8"/>
    <w:rsid w:val="00C24ED6"/>
    <w:rsid w:val="00C24EEE"/>
    <w:rsid w:val="00C25ACE"/>
    <w:rsid w:val="00C267C2"/>
    <w:rsid w:val="00C27170"/>
    <w:rsid w:val="00C279F5"/>
    <w:rsid w:val="00C27BBD"/>
    <w:rsid w:val="00C31873"/>
    <w:rsid w:val="00C31924"/>
    <w:rsid w:val="00C324C8"/>
    <w:rsid w:val="00C3263C"/>
    <w:rsid w:val="00C3314A"/>
    <w:rsid w:val="00C340CC"/>
    <w:rsid w:val="00C341DB"/>
    <w:rsid w:val="00C35D66"/>
    <w:rsid w:val="00C36691"/>
    <w:rsid w:val="00C3695A"/>
    <w:rsid w:val="00C36B2A"/>
    <w:rsid w:val="00C4046E"/>
    <w:rsid w:val="00C40BFD"/>
    <w:rsid w:val="00C4165C"/>
    <w:rsid w:val="00C42CAD"/>
    <w:rsid w:val="00C457BF"/>
    <w:rsid w:val="00C45950"/>
    <w:rsid w:val="00C45EDF"/>
    <w:rsid w:val="00C52225"/>
    <w:rsid w:val="00C52D29"/>
    <w:rsid w:val="00C53DAC"/>
    <w:rsid w:val="00C54576"/>
    <w:rsid w:val="00C55DF3"/>
    <w:rsid w:val="00C5768C"/>
    <w:rsid w:val="00C6027E"/>
    <w:rsid w:val="00C62569"/>
    <w:rsid w:val="00C63290"/>
    <w:rsid w:val="00C636DE"/>
    <w:rsid w:val="00C6496D"/>
    <w:rsid w:val="00C64A8D"/>
    <w:rsid w:val="00C65149"/>
    <w:rsid w:val="00C66C9F"/>
    <w:rsid w:val="00C67705"/>
    <w:rsid w:val="00C70904"/>
    <w:rsid w:val="00C70CD7"/>
    <w:rsid w:val="00C71268"/>
    <w:rsid w:val="00C71615"/>
    <w:rsid w:val="00C72EE3"/>
    <w:rsid w:val="00C73810"/>
    <w:rsid w:val="00C74254"/>
    <w:rsid w:val="00C75AF3"/>
    <w:rsid w:val="00C763BC"/>
    <w:rsid w:val="00C7766C"/>
    <w:rsid w:val="00C81209"/>
    <w:rsid w:val="00C819BF"/>
    <w:rsid w:val="00C822B4"/>
    <w:rsid w:val="00C834F7"/>
    <w:rsid w:val="00C8523E"/>
    <w:rsid w:val="00C85800"/>
    <w:rsid w:val="00C85D54"/>
    <w:rsid w:val="00C931B2"/>
    <w:rsid w:val="00C93549"/>
    <w:rsid w:val="00C93DC3"/>
    <w:rsid w:val="00CA0FE1"/>
    <w:rsid w:val="00CA29FA"/>
    <w:rsid w:val="00CA4E90"/>
    <w:rsid w:val="00CA5DF5"/>
    <w:rsid w:val="00CA6A9B"/>
    <w:rsid w:val="00CA7267"/>
    <w:rsid w:val="00CB08AA"/>
    <w:rsid w:val="00CB17E4"/>
    <w:rsid w:val="00CB394C"/>
    <w:rsid w:val="00CB3AC3"/>
    <w:rsid w:val="00CB517C"/>
    <w:rsid w:val="00CB73AD"/>
    <w:rsid w:val="00CC0AC9"/>
    <w:rsid w:val="00CC2F41"/>
    <w:rsid w:val="00CC376D"/>
    <w:rsid w:val="00CC3920"/>
    <w:rsid w:val="00CC48C0"/>
    <w:rsid w:val="00CC48C1"/>
    <w:rsid w:val="00CC4B34"/>
    <w:rsid w:val="00CC5045"/>
    <w:rsid w:val="00CC63C2"/>
    <w:rsid w:val="00CD0511"/>
    <w:rsid w:val="00CD0631"/>
    <w:rsid w:val="00CD0E07"/>
    <w:rsid w:val="00CD3472"/>
    <w:rsid w:val="00CD3984"/>
    <w:rsid w:val="00CD495F"/>
    <w:rsid w:val="00CD4B62"/>
    <w:rsid w:val="00CD5424"/>
    <w:rsid w:val="00CD6003"/>
    <w:rsid w:val="00CD791B"/>
    <w:rsid w:val="00CE0410"/>
    <w:rsid w:val="00CE07C7"/>
    <w:rsid w:val="00CE206E"/>
    <w:rsid w:val="00CE230E"/>
    <w:rsid w:val="00CE31D3"/>
    <w:rsid w:val="00CE37B2"/>
    <w:rsid w:val="00CE3900"/>
    <w:rsid w:val="00CE4FC3"/>
    <w:rsid w:val="00CE50A0"/>
    <w:rsid w:val="00CE53AE"/>
    <w:rsid w:val="00CE5474"/>
    <w:rsid w:val="00CE7A7E"/>
    <w:rsid w:val="00CF1664"/>
    <w:rsid w:val="00CF1BF8"/>
    <w:rsid w:val="00CF22E7"/>
    <w:rsid w:val="00CF2904"/>
    <w:rsid w:val="00CF3051"/>
    <w:rsid w:val="00CF6EA8"/>
    <w:rsid w:val="00CF7D3E"/>
    <w:rsid w:val="00D01A62"/>
    <w:rsid w:val="00D021DB"/>
    <w:rsid w:val="00D0479B"/>
    <w:rsid w:val="00D04A74"/>
    <w:rsid w:val="00D052EF"/>
    <w:rsid w:val="00D05D1D"/>
    <w:rsid w:val="00D0750C"/>
    <w:rsid w:val="00D076C2"/>
    <w:rsid w:val="00D10AD4"/>
    <w:rsid w:val="00D13491"/>
    <w:rsid w:val="00D1458A"/>
    <w:rsid w:val="00D15B67"/>
    <w:rsid w:val="00D174FC"/>
    <w:rsid w:val="00D2107A"/>
    <w:rsid w:val="00D21193"/>
    <w:rsid w:val="00D215C0"/>
    <w:rsid w:val="00D22330"/>
    <w:rsid w:val="00D22B25"/>
    <w:rsid w:val="00D249FB"/>
    <w:rsid w:val="00D26178"/>
    <w:rsid w:val="00D278AA"/>
    <w:rsid w:val="00D27B36"/>
    <w:rsid w:val="00D27E3E"/>
    <w:rsid w:val="00D30812"/>
    <w:rsid w:val="00D32240"/>
    <w:rsid w:val="00D32B5E"/>
    <w:rsid w:val="00D33239"/>
    <w:rsid w:val="00D33EC0"/>
    <w:rsid w:val="00D356D2"/>
    <w:rsid w:val="00D3610F"/>
    <w:rsid w:val="00D36A22"/>
    <w:rsid w:val="00D40033"/>
    <w:rsid w:val="00D43B4C"/>
    <w:rsid w:val="00D43D26"/>
    <w:rsid w:val="00D4480B"/>
    <w:rsid w:val="00D44942"/>
    <w:rsid w:val="00D479EF"/>
    <w:rsid w:val="00D47CF9"/>
    <w:rsid w:val="00D47DF8"/>
    <w:rsid w:val="00D47E19"/>
    <w:rsid w:val="00D52A24"/>
    <w:rsid w:val="00D55369"/>
    <w:rsid w:val="00D5555C"/>
    <w:rsid w:val="00D57A10"/>
    <w:rsid w:val="00D57E7C"/>
    <w:rsid w:val="00D57F7E"/>
    <w:rsid w:val="00D602C7"/>
    <w:rsid w:val="00D619CC"/>
    <w:rsid w:val="00D625CE"/>
    <w:rsid w:val="00D62B30"/>
    <w:rsid w:val="00D6465D"/>
    <w:rsid w:val="00D64BAF"/>
    <w:rsid w:val="00D6670E"/>
    <w:rsid w:val="00D71CE0"/>
    <w:rsid w:val="00D72700"/>
    <w:rsid w:val="00D72A78"/>
    <w:rsid w:val="00D72DD2"/>
    <w:rsid w:val="00D734B2"/>
    <w:rsid w:val="00D7384D"/>
    <w:rsid w:val="00D73DF8"/>
    <w:rsid w:val="00D75982"/>
    <w:rsid w:val="00D76D2A"/>
    <w:rsid w:val="00D774E4"/>
    <w:rsid w:val="00D80717"/>
    <w:rsid w:val="00D813F3"/>
    <w:rsid w:val="00D821E3"/>
    <w:rsid w:val="00D83325"/>
    <w:rsid w:val="00D84ED7"/>
    <w:rsid w:val="00D90DE0"/>
    <w:rsid w:val="00D916FB"/>
    <w:rsid w:val="00D91EB7"/>
    <w:rsid w:val="00D92028"/>
    <w:rsid w:val="00D923B2"/>
    <w:rsid w:val="00D92786"/>
    <w:rsid w:val="00D93A59"/>
    <w:rsid w:val="00D93B1B"/>
    <w:rsid w:val="00D9660A"/>
    <w:rsid w:val="00D96EB2"/>
    <w:rsid w:val="00D979AD"/>
    <w:rsid w:val="00DA1117"/>
    <w:rsid w:val="00DA1938"/>
    <w:rsid w:val="00DA1FD3"/>
    <w:rsid w:val="00DA2762"/>
    <w:rsid w:val="00DA2CF0"/>
    <w:rsid w:val="00DA3E7D"/>
    <w:rsid w:val="00DA464F"/>
    <w:rsid w:val="00DB0B1C"/>
    <w:rsid w:val="00DB344C"/>
    <w:rsid w:val="00DB34DC"/>
    <w:rsid w:val="00DB3A97"/>
    <w:rsid w:val="00DB51CD"/>
    <w:rsid w:val="00DB63E2"/>
    <w:rsid w:val="00DB74CC"/>
    <w:rsid w:val="00DC018D"/>
    <w:rsid w:val="00DC295B"/>
    <w:rsid w:val="00DC341E"/>
    <w:rsid w:val="00DC3FD0"/>
    <w:rsid w:val="00DC40C5"/>
    <w:rsid w:val="00DC5CDD"/>
    <w:rsid w:val="00DC75E7"/>
    <w:rsid w:val="00DD1A7F"/>
    <w:rsid w:val="00DD1DF3"/>
    <w:rsid w:val="00DD1E4C"/>
    <w:rsid w:val="00DD2C30"/>
    <w:rsid w:val="00DD37D7"/>
    <w:rsid w:val="00DD739D"/>
    <w:rsid w:val="00DD7964"/>
    <w:rsid w:val="00DE0218"/>
    <w:rsid w:val="00DE0913"/>
    <w:rsid w:val="00DE097D"/>
    <w:rsid w:val="00DE0A47"/>
    <w:rsid w:val="00DE441F"/>
    <w:rsid w:val="00DE44A4"/>
    <w:rsid w:val="00DE48FD"/>
    <w:rsid w:val="00DE564B"/>
    <w:rsid w:val="00DE63FC"/>
    <w:rsid w:val="00DE7D21"/>
    <w:rsid w:val="00DE7FB3"/>
    <w:rsid w:val="00DF0840"/>
    <w:rsid w:val="00DF216D"/>
    <w:rsid w:val="00DF2E7B"/>
    <w:rsid w:val="00DF3EDA"/>
    <w:rsid w:val="00DF406C"/>
    <w:rsid w:val="00DF537C"/>
    <w:rsid w:val="00DF5D7C"/>
    <w:rsid w:val="00DF6A6C"/>
    <w:rsid w:val="00DF7124"/>
    <w:rsid w:val="00E0257A"/>
    <w:rsid w:val="00E03966"/>
    <w:rsid w:val="00E05214"/>
    <w:rsid w:val="00E05B44"/>
    <w:rsid w:val="00E0653B"/>
    <w:rsid w:val="00E0728D"/>
    <w:rsid w:val="00E07BBB"/>
    <w:rsid w:val="00E11CD5"/>
    <w:rsid w:val="00E12264"/>
    <w:rsid w:val="00E15A15"/>
    <w:rsid w:val="00E16BDB"/>
    <w:rsid w:val="00E17042"/>
    <w:rsid w:val="00E1724C"/>
    <w:rsid w:val="00E17CB7"/>
    <w:rsid w:val="00E201D9"/>
    <w:rsid w:val="00E23D42"/>
    <w:rsid w:val="00E24EA5"/>
    <w:rsid w:val="00E25546"/>
    <w:rsid w:val="00E26A57"/>
    <w:rsid w:val="00E33E87"/>
    <w:rsid w:val="00E34B7A"/>
    <w:rsid w:val="00E35131"/>
    <w:rsid w:val="00E3528E"/>
    <w:rsid w:val="00E355B5"/>
    <w:rsid w:val="00E35684"/>
    <w:rsid w:val="00E375E2"/>
    <w:rsid w:val="00E418E7"/>
    <w:rsid w:val="00E427A8"/>
    <w:rsid w:val="00E427D3"/>
    <w:rsid w:val="00E42B0E"/>
    <w:rsid w:val="00E44ECE"/>
    <w:rsid w:val="00E4568C"/>
    <w:rsid w:val="00E45B4B"/>
    <w:rsid w:val="00E50DD0"/>
    <w:rsid w:val="00E5109A"/>
    <w:rsid w:val="00E515FC"/>
    <w:rsid w:val="00E52B84"/>
    <w:rsid w:val="00E5441F"/>
    <w:rsid w:val="00E550CF"/>
    <w:rsid w:val="00E55558"/>
    <w:rsid w:val="00E574D2"/>
    <w:rsid w:val="00E613A7"/>
    <w:rsid w:val="00E62EDB"/>
    <w:rsid w:val="00E63924"/>
    <w:rsid w:val="00E640E3"/>
    <w:rsid w:val="00E652BF"/>
    <w:rsid w:val="00E655B8"/>
    <w:rsid w:val="00E65754"/>
    <w:rsid w:val="00E658E9"/>
    <w:rsid w:val="00E65D75"/>
    <w:rsid w:val="00E6617F"/>
    <w:rsid w:val="00E67EE0"/>
    <w:rsid w:val="00E71205"/>
    <w:rsid w:val="00E71B32"/>
    <w:rsid w:val="00E7638D"/>
    <w:rsid w:val="00E76C15"/>
    <w:rsid w:val="00E76E63"/>
    <w:rsid w:val="00E8143E"/>
    <w:rsid w:val="00E81614"/>
    <w:rsid w:val="00E841AD"/>
    <w:rsid w:val="00E84A28"/>
    <w:rsid w:val="00E84E17"/>
    <w:rsid w:val="00E87FE0"/>
    <w:rsid w:val="00E90113"/>
    <w:rsid w:val="00E901E5"/>
    <w:rsid w:val="00E90DBF"/>
    <w:rsid w:val="00E9166F"/>
    <w:rsid w:val="00E92DC8"/>
    <w:rsid w:val="00E93AE9"/>
    <w:rsid w:val="00E95372"/>
    <w:rsid w:val="00E95F6A"/>
    <w:rsid w:val="00E961B2"/>
    <w:rsid w:val="00EA1269"/>
    <w:rsid w:val="00EA25FD"/>
    <w:rsid w:val="00EA2E0C"/>
    <w:rsid w:val="00EA4C26"/>
    <w:rsid w:val="00EA55AA"/>
    <w:rsid w:val="00EA5DD7"/>
    <w:rsid w:val="00EA61DE"/>
    <w:rsid w:val="00EA63EB"/>
    <w:rsid w:val="00EA65E2"/>
    <w:rsid w:val="00EA71E3"/>
    <w:rsid w:val="00EA787C"/>
    <w:rsid w:val="00EA7ED8"/>
    <w:rsid w:val="00EB06A9"/>
    <w:rsid w:val="00EB1DC6"/>
    <w:rsid w:val="00EB2157"/>
    <w:rsid w:val="00EB2434"/>
    <w:rsid w:val="00EB2C66"/>
    <w:rsid w:val="00EB2F14"/>
    <w:rsid w:val="00EB3953"/>
    <w:rsid w:val="00EB436A"/>
    <w:rsid w:val="00EB43C0"/>
    <w:rsid w:val="00EB6671"/>
    <w:rsid w:val="00EB7185"/>
    <w:rsid w:val="00EC214F"/>
    <w:rsid w:val="00EC218E"/>
    <w:rsid w:val="00EC552A"/>
    <w:rsid w:val="00EC7559"/>
    <w:rsid w:val="00ED0382"/>
    <w:rsid w:val="00ED05E2"/>
    <w:rsid w:val="00ED18C4"/>
    <w:rsid w:val="00ED2E63"/>
    <w:rsid w:val="00ED3597"/>
    <w:rsid w:val="00ED42C1"/>
    <w:rsid w:val="00ED55E4"/>
    <w:rsid w:val="00ED5FEF"/>
    <w:rsid w:val="00ED64B4"/>
    <w:rsid w:val="00ED67B8"/>
    <w:rsid w:val="00ED69FB"/>
    <w:rsid w:val="00ED757D"/>
    <w:rsid w:val="00EE0099"/>
    <w:rsid w:val="00EE0102"/>
    <w:rsid w:val="00EE03E6"/>
    <w:rsid w:val="00EE056B"/>
    <w:rsid w:val="00EE1CA8"/>
    <w:rsid w:val="00EE2B1F"/>
    <w:rsid w:val="00EE3214"/>
    <w:rsid w:val="00EE42EA"/>
    <w:rsid w:val="00EE4666"/>
    <w:rsid w:val="00EE61C1"/>
    <w:rsid w:val="00EE6484"/>
    <w:rsid w:val="00EE74AA"/>
    <w:rsid w:val="00EF0204"/>
    <w:rsid w:val="00EF123E"/>
    <w:rsid w:val="00EF1A94"/>
    <w:rsid w:val="00EF1D5D"/>
    <w:rsid w:val="00EF41DF"/>
    <w:rsid w:val="00EF50FD"/>
    <w:rsid w:val="00F006DB"/>
    <w:rsid w:val="00F00A9D"/>
    <w:rsid w:val="00F01ED1"/>
    <w:rsid w:val="00F034D0"/>
    <w:rsid w:val="00F05A65"/>
    <w:rsid w:val="00F05AD9"/>
    <w:rsid w:val="00F1061A"/>
    <w:rsid w:val="00F107AA"/>
    <w:rsid w:val="00F13A96"/>
    <w:rsid w:val="00F15365"/>
    <w:rsid w:val="00F15D3E"/>
    <w:rsid w:val="00F16A65"/>
    <w:rsid w:val="00F16C50"/>
    <w:rsid w:val="00F17801"/>
    <w:rsid w:val="00F17B27"/>
    <w:rsid w:val="00F20A37"/>
    <w:rsid w:val="00F2107C"/>
    <w:rsid w:val="00F2296D"/>
    <w:rsid w:val="00F23703"/>
    <w:rsid w:val="00F24B39"/>
    <w:rsid w:val="00F25C1B"/>
    <w:rsid w:val="00F26ACC"/>
    <w:rsid w:val="00F27846"/>
    <w:rsid w:val="00F30D0F"/>
    <w:rsid w:val="00F31430"/>
    <w:rsid w:val="00F315FD"/>
    <w:rsid w:val="00F321A6"/>
    <w:rsid w:val="00F323D7"/>
    <w:rsid w:val="00F337B4"/>
    <w:rsid w:val="00F361BB"/>
    <w:rsid w:val="00F37083"/>
    <w:rsid w:val="00F37C6E"/>
    <w:rsid w:val="00F402DF"/>
    <w:rsid w:val="00F40E6D"/>
    <w:rsid w:val="00F4179D"/>
    <w:rsid w:val="00F42D05"/>
    <w:rsid w:val="00F42D87"/>
    <w:rsid w:val="00F43D08"/>
    <w:rsid w:val="00F452A1"/>
    <w:rsid w:val="00F45CA6"/>
    <w:rsid w:val="00F473B7"/>
    <w:rsid w:val="00F47B05"/>
    <w:rsid w:val="00F50305"/>
    <w:rsid w:val="00F5422D"/>
    <w:rsid w:val="00F5580B"/>
    <w:rsid w:val="00F568F5"/>
    <w:rsid w:val="00F56CCA"/>
    <w:rsid w:val="00F5746E"/>
    <w:rsid w:val="00F57822"/>
    <w:rsid w:val="00F57EF5"/>
    <w:rsid w:val="00F57F6F"/>
    <w:rsid w:val="00F6094B"/>
    <w:rsid w:val="00F6185A"/>
    <w:rsid w:val="00F63002"/>
    <w:rsid w:val="00F637B2"/>
    <w:rsid w:val="00F64DC6"/>
    <w:rsid w:val="00F66CF8"/>
    <w:rsid w:val="00F67EF2"/>
    <w:rsid w:val="00F70076"/>
    <w:rsid w:val="00F706D2"/>
    <w:rsid w:val="00F70F22"/>
    <w:rsid w:val="00F72E1C"/>
    <w:rsid w:val="00F74DA2"/>
    <w:rsid w:val="00F75BEA"/>
    <w:rsid w:val="00F762EF"/>
    <w:rsid w:val="00F76786"/>
    <w:rsid w:val="00F778FC"/>
    <w:rsid w:val="00F80557"/>
    <w:rsid w:val="00F811EF"/>
    <w:rsid w:val="00F82780"/>
    <w:rsid w:val="00F82EDF"/>
    <w:rsid w:val="00F83C17"/>
    <w:rsid w:val="00F84216"/>
    <w:rsid w:val="00F84928"/>
    <w:rsid w:val="00F8530C"/>
    <w:rsid w:val="00F85356"/>
    <w:rsid w:val="00F85995"/>
    <w:rsid w:val="00F85A84"/>
    <w:rsid w:val="00F87AEB"/>
    <w:rsid w:val="00F91128"/>
    <w:rsid w:val="00F915A5"/>
    <w:rsid w:val="00F91B9E"/>
    <w:rsid w:val="00F92DE7"/>
    <w:rsid w:val="00F93AFE"/>
    <w:rsid w:val="00F945D8"/>
    <w:rsid w:val="00F96D2B"/>
    <w:rsid w:val="00F96D50"/>
    <w:rsid w:val="00F97575"/>
    <w:rsid w:val="00FA0178"/>
    <w:rsid w:val="00FA06D2"/>
    <w:rsid w:val="00FA0971"/>
    <w:rsid w:val="00FA0CEA"/>
    <w:rsid w:val="00FA1A5E"/>
    <w:rsid w:val="00FA2433"/>
    <w:rsid w:val="00FA4FED"/>
    <w:rsid w:val="00FA516A"/>
    <w:rsid w:val="00FA598B"/>
    <w:rsid w:val="00FA60B6"/>
    <w:rsid w:val="00FA7EFC"/>
    <w:rsid w:val="00FB1398"/>
    <w:rsid w:val="00FB1871"/>
    <w:rsid w:val="00FB1C2B"/>
    <w:rsid w:val="00FB21EF"/>
    <w:rsid w:val="00FB2CEF"/>
    <w:rsid w:val="00FB367A"/>
    <w:rsid w:val="00FB36E3"/>
    <w:rsid w:val="00FB6B18"/>
    <w:rsid w:val="00FB749B"/>
    <w:rsid w:val="00FB7F6E"/>
    <w:rsid w:val="00FC09EE"/>
    <w:rsid w:val="00FC0ED9"/>
    <w:rsid w:val="00FC27A3"/>
    <w:rsid w:val="00FC2A1A"/>
    <w:rsid w:val="00FC3275"/>
    <w:rsid w:val="00FC3FAA"/>
    <w:rsid w:val="00FC5A67"/>
    <w:rsid w:val="00FC5EAE"/>
    <w:rsid w:val="00FC62A4"/>
    <w:rsid w:val="00FC754E"/>
    <w:rsid w:val="00FD020E"/>
    <w:rsid w:val="00FD0AC2"/>
    <w:rsid w:val="00FD1402"/>
    <w:rsid w:val="00FD1A43"/>
    <w:rsid w:val="00FD2F64"/>
    <w:rsid w:val="00FD5497"/>
    <w:rsid w:val="00FE0400"/>
    <w:rsid w:val="00FE1068"/>
    <w:rsid w:val="00FE1832"/>
    <w:rsid w:val="00FE21A1"/>
    <w:rsid w:val="00FE292F"/>
    <w:rsid w:val="00FE2DF4"/>
    <w:rsid w:val="00FE3199"/>
    <w:rsid w:val="00FE3419"/>
    <w:rsid w:val="00FE7B3B"/>
    <w:rsid w:val="00FE7CEA"/>
    <w:rsid w:val="00FF0087"/>
    <w:rsid w:val="00FF1C4D"/>
    <w:rsid w:val="00FF1F94"/>
    <w:rsid w:val="00FF2F5E"/>
    <w:rsid w:val="00FF3C1F"/>
    <w:rsid w:val="00FF481F"/>
    <w:rsid w:val="00FF4EA9"/>
    <w:rsid w:val="00FF5727"/>
    <w:rsid w:val="00FF610B"/>
    <w:rsid w:val="00FF646E"/>
    <w:rsid w:val="00FF6B9F"/>
    <w:rsid w:val="00FF75D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76E221"/>
  <w15:chartTrackingRefBased/>
  <w15:docId w15:val="{1C0024DC-A97E-4D45-995C-4F5F40C3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72"/>
    <w:pPr>
      <w:spacing w:after="180" w:line="280" w:lineRule="atLeast"/>
    </w:pPr>
    <w:rPr>
      <w:rFonts w:ascii="Arial" w:eastAsia="Times New Roman" w:hAnsi="Arial"/>
      <w:sz w:val="22"/>
      <w:lang w:val="en-GB" w:eastAsia="en-GB"/>
    </w:rPr>
  </w:style>
  <w:style w:type="paragraph" w:styleId="Heading1">
    <w:name w:val="heading 1"/>
    <w:basedOn w:val="Normal"/>
    <w:next w:val="Normal"/>
    <w:link w:val="Heading1Char"/>
    <w:qFormat/>
    <w:rsid w:val="00BC3EA0"/>
    <w:pPr>
      <w:spacing w:before="120" w:line="240" w:lineRule="auto"/>
      <w:outlineLvl w:val="0"/>
    </w:pPr>
    <w:rPr>
      <w:b/>
      <w:color w:val="002469"/>
      <w:spacing w:val="20"/>
      <w:w w:val="90"/>
      <w:sz w:val="44"/>
      <w:szCs w:val="44"/>
    </w:rPr>
  </w:style>
  <w:style w:type="paragraph" w:styleId="Heading2">
    <w:name w:val="heading 2"/>
    <w:basedOn w:val="Normal"/>
    <w:next w:val="Normal"/>
    <w:link w:val="Heading2Char"/>
    <w:autoRedefine/>
    <w:qFormat/>
    <w:rsid w:val="00802AB2"/>
    <w:pPr>
      <w:keepNext/>
      <w:spacing w:before="120" w:after="120" w:line="240" w:lineRule="auto"/>
      <w:outlineLvl w:val="1"/>
    </w:pPr>
    <w:rPr>
      <w:rFonts w:ascii="Arial Bold" w:hAnsi="Arial Bold"/>
      <w:b/>
      <w:color w:val="0082AB"/>
      <w:spacing w:val="20"/>
      <w:w w:val="90"/>
      <w:sz w:val="32"/>
      <w:szCs w:val="24"/>
    </w:rPr>
  </w:style>
  <w:style w:type="paragraph" w:styleId="Heading3">
    <w:name w:val="heading 3"/>
    <w:basedOn w:val="Heading2"/>
    <w:next w:val="Normal"/>
    <w:link w:val="Heading3Char"/>
    <w:qFormat/>
    <w:rsid w:val="00715855"/>
    <w:pPr>
      <w:spacing w:before="200" w:after="180"/>
      <w:outlineLvl w:val="2"/>
    </w:pPr>
    <w:rPr>
      <w:sz w:val="24"/>
      <w:szCs w:val="22"/>
    </w:rPr>
  </w:style>
  <w:style w:type="paragraph" w:styleId="Heading4">
    <w:name w:val="heading 4"/>
    <w:basedOn w:val="Normal"/>
    <w:next w:val="Normal"/>
    <w:link w:val="Heading4Char"/>
    <w:qFormat/>
    <w:rsid w:val="006448CF"/>
    <w:pPr>
      <w:spacing w:before="120" w:after="200" w:line="240" w:lineRule="auto"/>
      <w:outlineLvl w:val="3"/>
    </w:pPr>
    <w:rPr>
      <w:b/>
      <w:bCs/>
      <w:color w:val="595959" w:themeColor="text1" w:themeTint="A6"/>
    </w:rPr>
  </w:style>
  <w:style w:type="paragraph" w:styleId="Heading5">
    <w:name w:val="heading 5"/>
    <w:basedOn w:val="Normal"/>
    <w:next w:val="Normal"/>
    <w:link w:val="Heading5Char"/>
    <w:rsid w:val="00BC3EA0"/>
    <w:pPr>
      <w:keepNext/>
      <w:widowControl w:val="0"/>
      <w:spacing w:before="80" w:after="120"/>
      <w:outlineLvl w:val="4"/>
    </w:pPr>
    <w:rPr>
      <w:color w:val="000000"/>
      <w:szCs w:val="22"/>
    </w:rPr>
  </w:style>
  <w:style w:type="paragraph" w:styleId="Heading6">
    <w:name w:val="heading 6"/>
    <w:basedOn w:val="Normal"/>
    <w:next w:val="Normal"/>
    <w:link w:val="Heading6Char"/>
    <w:rsid w:val="00BC3EA0"/>
    <w:pPr>
      <w:spacing w:before="240"/>
      <w:outlineLvl w:val="5"/>
    </w:pPr>
    <w:rPr>
      <w:i/>
      <w:sz w:val="20"/>
    </w:rPr>
  </w:style>
  <w:style w:type="paragraph" w:styleId="Heading7">
    <w:name w:val="heading 7"/>
    <w:basedOn w:val="Normal"/>
    <w:next w:val="Normal"/>
    <w:link w:val="Heading7Char"/>
    <w:rsid w:val="00BC3EA0"/>
    <w:pPr>
      <w:spacing w:before="240"/>
      <w:outlineLvl w:val="6"/>
    </w:pPr>
    <w:rPr>
      <w:sz w:val="20"/>
    </w:rPr>
  </w:style>
  <w:style w:type="paragraph" w:styleId="Heading8">
    <w:name w:val="heading 8"/>
    <w:basedOn w:val="Normal"/>
    <w:next w:val="Normal"/>
    <w:link w:val="Heading8Char"/>
    <w:rsid w:val="00BC3EA0"/>
    <w:pPr>
      <w:spacing w:before="80" w:after="80"/>
      <w:outlineLvl w:val="7"/>
    </w:pPr>
    <w:rPr>
      <w:sz w:val="20"/>
    </w:rPr>
  </w:style>
  <w:style w:type="paragraph" w:styleId="Heading9">
    <w:name w:val="heading 9"/>
    <w:next w:val="Normal"/>
    <w:link w:val="Heading9Char"/>
    <w:rsid w:val="00BC3EA0"/>
    <w:pPr>
      <w:keepNext/>
      <w:spacing w:before="160" w:line="260" w:lineRule="exact"/>
      <w:outlineLvl w:val="8"/>
    </w:pPr>
    <w:rPr>
      <w:rFonts w:ascii="Arial" w:eastAsia="Times New Roman" w:hAnsi="Arial"/>
      <w:b/>
      <w:i/>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6448CF"/>
    <w:pPr>
      <w:tabs>
        <w:tab w:val="right" w:pos="14002"/>
      </w:tabs>
      <w:spacing w:after="0" w:line="240" w:lineRule="auto"/>
    </w:pPr>
    <w:rPr>
      <w:noProof/>
      <w:color w:val="0082AB"/>
      <w:spacing w:val="6"/>
      <w:sz w:val="16"/>
      <w:szCs w:val="16"/>
    </w:rPr>
  </w:style>
  <w:style w:type="character" w:customStyle="1" w:styleId="FooterChar">
    <w:name w:val="Footer Char"/>
    <w:link w:val="Footer"/>
    <w:rsid w:val="006448CF"/>
    <w:rPr>
      <w:rFonts w:ascii="Arial" w:eastAsia="Times New Roman" w:hAnsi="Arial"/>
      <w:noProof/>
      <w:color w:val="0082AB"/>
      <w:spacing w:val="6"/>
      <w:sz w:val="16"/>
      <w:szCs w:val="16"/>
      <w:lang w:val="en-GB" w:eastAsia="en-GB"/>
    </w:rPr>
  </w:style>
  <w:style w:type="table" w:styleId="TableGrid">
    <w:name w:val="Table Grid"/>
    <w:basedOn w:val="TableNormal"/>
    <w:rsid w:val="00BC3EA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C3EA0"/>
    <w:rPr>
      <w:rFonts w:ascii="Tahoma" w:hAnsi="Tahoma" w:cs="Tahoma"/>
      <w:sz w:val="16"/>
      <w:szCs w:val="16"/>
    </w:rPr>
  </w:style>
  <w:style w:type="character" w:customStyle="1" w:styleId="BalloonTextChar">
    <w:name w:val="Balloon Text Char"/>
    <w:link w:val="BalloonText"/>
    <w:semiHidden/>
    <w:rsid w:val="00487FAD"/>
    <w:rPr>
      <w:rFonts w:ascii="Tahoma" w:eastAsia="Times New Roman" w:hAnsi="Tahoma" w:cs="Tahoma"/>
      <w:sz w:val="16"/>
      <w:szCs w:val="16"/>
      <w:lang w:val="en-GB" w:eastAsia="en-GB"/>
    </w:rPr>
  </w:style>
  <w:style w:type="paragraph" w:styleId="ListParagraph">
    <w:name w:val="List Paragraph"/>
    <w:basedOn w:val="Normal"/>
    <w:uiPriority w:val="34"/>
    <w:qFormat/>
    <w:rsid w:val="006448CF"/>
    <w:pPr>
      <w:ind w:left="567"/>
      <w:contextualSpacing/>
    </w:pPr>
  </w:style>
  <w:style w:type="character" w:styleId="Hyperlink">
    <w:name w:val="Hyperlink"/>
    <w:uiPriority w:val="99"/>
    <w:rsid w:val="00537EFE"/>
    <w:rPr>
      <w:color w:val="0082AB"/>
      <w:u w:val="single"/>
    </w:rPr>
  </w:style>
  <w:style w:type="character" w:styleId="CommentReference">
    <w:name w:val="annotation reference"/>
    <w:uiPriority w:val="99"/>
    <w:semiHidden/>
    <w:rsid w:val="00BC3EA0"/>
    <w:rPr>
      <w:sz w:val="16"/>
      <w:szCs w:val="16"/>
    </w:rPr>
  </w:style>
  <w:style w:type="paragraph" w:styleId="CommentText">
    <w:name w:val="annotation text"/>
    <w:basedOn w:val="Normal"/>
    <w:link w:val="CommentTextChar"/>
    <w:uiPriority w:val="99"/>
    <w:semiHidden/>
    <w:rsid w:val="00BC3EA0"/>
    <w:rPr>
      <w:sz w:val="20"/>
    </w:rPr>
  </w:style>
  <w:style w:type="character" w:customStyle="1" w:styleId="CommentTextChar">
    <w:name w:val="Comment Text Char"/>
    <w:link w:val="CommentText"/>
    <w:uiPriority w:val="99"/>
    <w:semiHidden/>
    <w:rsid w:val="004A4084"/>
    <w:rPr>
      <w:rFonts w:ascii="Arial" w:eastAsia="Times New Roman" w:hAnsi="Arial" w:cs="Times New Roman"/>
      <w:sz w:val="20"/>
      <w:szCs w:val="20"/>
      <w:lang w:val="en-GB" w:eastAsia="en-GB"/>
    </w:rPr>
  </w:style>
  <w:style w:type="paragraph" w:customStyle="1" w:styleId="BodyText-Numbered">
    <w:name w:val="Body Text - Numbered"/>
    <w:basedOn w:val="BodyText"/>
    <w:link w:val="BodyText-NumberedChar"/>
    <w:qFormat/>
    <w:rsid w:val="004A4084"/>
    <w:pPr>
      <w:keepNext/>
      <w:numPr>
        <w:numId w:val="1"/>
      </w:numPr>
      <w:spacing w:before="60" w:line="240" w:lineRule="auto"/>
    </w:pPr>
    <w:rPr>
      <w:rFonts w:cs="Arial"/>
    </w:rPr>
  </w:style>
  <w:style w:type="character" w:customStyle="1" w:styleId="BodyText-NumberedChar">
    <w:name w:val="Body Text - Numbered Char"/>
    <w:link w:val="BodyText-Numbered"/>
    <w:rsid w:val="004A4084"/>
    <w:rPr>
      <w:rFonts w:ascii="Arial" w:eastAsia="Times New Roman" w:hAnsi="Arial" w:cs="Arial"/>
      <w:sz w:val="22"/>
      <w:lang w:val="en-GB" w:eastAsia="en-GB"/>
    </w:rPr>
  </w:style>
  <w:style w:type="paragraph" w:styleId="BodyText">
    <w:name w:val="Body Text"/>
    <w:basedOn w:val="Normal"/>
    <w:link w:val="BodyTextChar"/>
    <w:uiPriority w:val="99"/>
    <w:semiHidden/>
    <w:unhideWhenUsed/>
    <w:rsid w:val="004A4084"/>
    <w:pPr>
      <w:spacing w:after="120"/>
    </w:pPr>
  </w:style>
  <w:style w:type="character" w:customStyle="1" w:styleId="BodyTextChar">
    <w:name w:val="Body Text Char"/>
    <w:basedOn w:val="DefaultParagraphFont"/>
    <w:link w:val="BodyText"/>
    <w:uiPriority w:val="99"/>
    <w:semiHidden/>
    <w:rsid w:val="004A4084"/>
  </w:style>
  <w:style w:type="paragraph" w:customStyle="1" w:styleId="spacer">
    <w:name w:val="spacer"/>
    <w:basedOn w:val="Normal"/>
    <w:qFormat/>
    <w:rsid w:val="00BC3EA0"/>
    <w:pPr>
      <w:spacing w:after="0" w:line="240" w:lineRule="auto"/>
    </w:pPr>
    <w:rPr>
      <w:sz w:val="16"/>
      <w:szCs w:val="22"/>
      <w:lang w:eastAsia="en-AU"/>
    </w:rPr>
  </w:style>
  <w:style w:type="paragraph" w:styleId="CommentSubject">
    <w:name w:val="annotation subject"/>
    <w:basedOn w:val="CommentText"/>
    <w:next w:val="CommentText"/>
    <w:link w:val="CommentSubjectChar"/>
    <w:semiHidden/>
    <w:rsid w:val="00BC3EA0"/>
    <w:rPr>
      <w:b/>
      <w:bCs/>
    </w:rPr>
  </w:style>
  <w:style w:type="character" w:customStyle="1" w:styleId="CommentSubjectChar">
    <w:name w:val="Comment Subject Char"/>
    <w:link w:val="CommentSubject"/>
    <w:semiHidden/>
    <w:rsid w:val="000C4659"/>
    <w:rPr>
      <w:rFonts w:ascii="Arial" w:eastAsia="Times New Roman" w:hAnsi="Arial" w:cs="Times New Roman"/>
      <w:b/>
      <w:bCs/>
      <w:sz w:val="20"/>
      <w:szCs w:val="20"/>
      <w:lang w:val="en-GB" w:eastAsia="en-GB"/>
    </w:rPr>
  </w:style>
  <w:style w:type="paragraph" w:styleId="Header">
    <w:name w:val="header"/>
    <w:basedOn w:val="Normal"/>
    <w:link w:val="HeaderChar"/>
    <w:rsid w:val="00BC3EA0"/>
    <w:pPr>
      <w:tabs>
        <w:tab w:val="center" w:pos="4153"/>
        <w:tab w:val="right" w:pos="8306"/>
      </w:tabs>
    </w:pPr>
  </w:style>
  <w:style w:type="character" w:customStyle="1" w:styleId="HeaderChar">
    <w:name w:val="Header Char"/>
    <w:link w:val="Header"/>
    <w:rsid w:val="008D265C"/>
    <w:rPr>
      <w:rFonts w:ascii="Arial" w:eastAsia="Times New Roman" w:hAnsi="Arial" w:cs="Times New Roman"/>
      <w:szCs w:val="20"/>
      <w:lang w:val="en-GB" w:eastAsia="en-GB"/>
    </w:rPr>
  </w:style>
  <w:style w:type="character" w:styleId="FollowedHyperlink">
    <w:name w:val="FollowedHyperlink"/>
    <w:rsid w:val="00BC3EA0"/>
    <w:rPr>
      <w:color w:val="800080"/>
      <w:u w:val="single"/>
    </w:rPr>
  </w:style>
  <w:style w:type="paragraph" w:styleId="Revision">
    <w:name w:val="Revision"/>
    <w:hidden/>
    <w:uiPriority w:val="99"/>
    <w:semiHidden/>
    <w:rsid w:val="0082413D"/>
    <w:rPr>
      <w:sz w:val="22"/>
      <w:szCs w:val="22"/>
      <w:lang w:eastAsia="en-US"/>
    </w:rPr>
  </w:style>
  <w:style w:type="paragraph" w:customStyle="1" w:styleId="Author">
    <w:name w:val="Author"/>
    <w:basedOn w:val="Normal"/>
    <w:semiHidden/>
    <w:rsid w:val="00BC3EA0"/>
    <w:pPr>
      <w:spacing w:before="240" w:after="1200"/>
      <w:ind w:left="-181"/>
      <w:jc w:val="right"/>
    </w:pPr>
    <w:rPr>
      <w:rFonts w:cs="Arial"/>
      <w:i/>
      <w:sz w:val="40"/>
      <w:szCs w:val="22"/>
    </w:rPr>
  </w:style>
  <w:style w:type="paragraph" w:customStyle="1" w:styleId="Boxtext">
    <w:name w:val="Box text"/>
    <w:basedOn w:val="Normal"/>
    <w:rsid w:val="00FA7EFC"/>
    <w:pPr>
      <w:pBdr>
        <w:top w:val="single" w:sz="4" w:space="10" w:color="EBF5F8"/>
        <w:left w:val="single" w:sz="4" w:space="4" w:color="EBF5F8"/>
        <w:bottom w:val="single" w:sz="4" w:space="10" w:color="EBF5F8"/>
        <w:right w:val="single" w:sz="4" w:space="4" w:color="EBF5F8"/>
      </w:pBdr>
      <w:shd w:val="clear" w:color="auto" w:fill="EBF5F8"/>
      <w:spacing w:after="80"/>
      <w:ind w:left="142" w:right="142"/>
    </w:pPr>
    <w:rPr>
      <w:i/>
    </w:rPr>
  </w:style>
  <w:style w:type="paragraph" w:customStyle="1" w:styleId="Boxbullet">
    <w:name w:val="Box bullet"/>
    <w:basedOn w:val="Boxtext"/>
    <w:rsid w:val="00BC3EA0"/>
    <w:pPr>
      <w:numPr>
        <w:numId w:val="2"/>
      </w:numPr>
      <w:tabs>
        <w:tab w:val="clear" w:pos="644"/>
        <w:tab w:val="num" w:pos="426"/>
      </w:tabs>
      <w:spacing w:before="80"/>
    </w:pPr>
  </w:style>
  <w:style w:type="paragraph" w:customStyle="1" w:styleId="Boxheading">
    <w:name w:val="Box heading"/>
    <w:basedOn w:val="Normal"/>
    <w:next w:val="Boxtext"/>
    <w:autoRedefine/>
    <w:rsid w:val="00BC3EA0"/>
    <w:pPr>
      <w:spacing w:before="180" w:after="60" w:line="240" w:lineRule="auto"/>
      <w:ind w:left="284" w:right="284"/>
    </w:pPr>
    <w:rPr>
      <w:rFonts w:ascii="Arial Narrow" w:hAnsi="Arial Narrow"/>
      <w:b/>
      <w:bCs/>
      <w:color w:val="335087"/>
      <w:spacing w:val="10"/>
      <w:szCs w:val="22"/>
    </w:rPr>
  </w:style>
  <w:style w:type="paragraph" w:customStyle="1" w:styleId="Boxindent">
    <w:name w:val="Box indent"/>
    <w:basedOn w:val="Boxtext"/>
    <w:rsid w:val="00BC3EA0"/>
    <w:pPr>
      <w:tabs>
        <w:tab w:val="left" w:pos="426"/>
      </w:tabs>
      <w:ind w:left="426" w:hanging="284"/>
    </w:pPr>
  </w:style>
  <w:style w:type="paragraph" w:customStyle="1" w:styleId="Bullet-list">
    <w:name w:val="Bullet-list"/>
    <w:qFormat/>
    <w:rsid w:val="00BC3EA0"/>
    <w:pPr>
      <w:numPr>
        <w:numId w:val="3"/>
      </w:numPr>
      <w:spacing w:after="180" w:line="280" w:lineRule="exact"/>
    </w:pPr>
    <w:rPr>
      <w:rFonts w:ascii="Arial" w:eastAsia="Times New Roman" w:hAnsi="Arial"/>
      <w:sz w:val="22"/>
      <w:lang w:val="en-AU" w:eastAsia="en-US"/>
    </w:rPr>
  </w:style>
  <w:style w:type="paragraph" w:styleId="Caption">
    <w:name w:val="caption"/>
    <w:basedOn w:val="Normal"/>
    <w:next w:val="Normal"/>
    <w:rsid w:val="00BC3EA0"/>
    <w:rPr>
      <w:b/>
      <w:bCs/>
      <w:sz w:val="20"/>
    </w:rPr>
  </w:style>
  <w:style w:type="paragraph" w:styleId="DocumentMap">
    <w:name w:val="Document Map"/>
    <w:basedOn w:val="Normal"/>
    <w:link w:val="DocumentMapChar"/>
    <w:semiHidden/>
    <w:rsid w:val="00BC3EA0"/>
    <w:pPr>
      <w:shd w:val="clear" w:color="auto" w:fill="000080"/>
    </w:pPr>
    <w:rPr>
      <w:rFonts w:ascii="Tahoma" w:hAnsi="Tahoma" w:cs="Tahoma"/>
      <w:sz w:val="20"/>
    </w:rPr>
  </w:style>
  <w:style w:type="character" w:customStyle="1" w:styleId="DocumentMapChar">
    <w:name w:val="Document Map Char"/>
    <w:link w:val="DocumentMap"/>
    <w:semiHidden/>
    <w:rsid w:val="00BC3EA0"/>
    <w:rPr>
      <w:rFonts w:ascii="Tahoma" w:eastAsia="Times New Roman" w:hAnsi="Tahoma" w:cs="Tahoma"/>
      <w:sz w:val="20"/>
      <w:szCs w:val="20"/>
      <w:shd w:val="clear" w:color="auto" w:fill="000080"/>
      <w:lang w:val="en-GB" w:eastAsia="en-GB"/>
    </w:rPr>
  </w:style>
  <w:style w:type="paragraph" w:customStyle="1" w:styleId="EvenFooter">
    <w:name w:val="Even Footer"/>
    <w:basedOn w:val="Footer"/>
    <w:rsid w:val="00BC3EA0"/>
  </w:style>
  <w:style w:type="paragraph" w:customStyle="1" w:styleId="Evenfooter-wide">
    <w:name w:val="Even footer-wide"/>
    <w:basedOn w:val="EvenFooter"/>
    <w:rsid w:val="00BC3EA0"/>
  </w:style>
  <w:style w:type="character" w:styleId="FootnoteReference">
    <w:name w:val="footnote reference"/>
    <w:semiHidden/>
    <w:rsid w:val="00BC3EA0"/>
    <w:rPr>
      <w:rFonts w:ascii="Arial" w:hAnsi="Arial"/>
      <w:color w:val="auto"/>
      <w:position w:val="8"/>
      <w:sz w:val="16"/>
    </w:rPr>
  </w:style>
  <w:style w:type="paragraph" w:styleId="FootnoteText">
    <w:name w:val="footnote text"/>
    <w:basedOn w:val="Normal"/>
    <w:link w:val="FootnoteTextChar"/>
    <w:semiHidden/>
    <w:rsid w:val="00BC3EA0"/>
    <w:pPr>
      <w:tabs>
        <w:tab w:val="left" w:pos="425"/>
      </w:tabs>
      <w:spacing w:after="60" w:line="240" w:lineRule="auto"/>
      <w:ind w:left="425" w:hanging="425"/>
    </w:pPr>
    <w:rPr>
      <w:sz w:val="18"/>
    </w:rPr>
  </w:style>
  <w:style w:type="character" w:customStyle="1" w:styleId="FootnoteTextChar">
    <w:name w:val="Footnote Text Char"/>
    <w:link w:val="FootnoteText"/>
    <w:semiHidden/>
    <w:rsid w:val="00BC3EA0"/>
    <w:rPr>
      <w:rFonts w:ascii="Arial" w:eastAsia="Times New Roman" w:hAnsi="Arial" w:cs="Times New Roman"/>
      <w:sz w:val="18"/>
      <w:szCs w:val="20"/>
      <w:lang w:val="en-GB" w:eastAsia="en-GB"/>
    </w:rPr>
  </w:style>
  <w:style w:type="character" w:customStyle="1" w:styleId="Heading1Char">
    <w:name w:val="Heading 1 Char"/>
    <w:link w:val="Heading1"/>
    <w:rsid w:val="00BC3EA0"/>
    <w:rPr>
      <w:rFonts w:ascii="Arial" w:eastAsia="Times New Roman" w:hAnsi="Arial" w:cs="Times New Roman"/>
      <w:b/>
      <w:color w:val="002469"/>
      <w:spacing w:val="20"/>
      <w:w w:val="90"/>
      <w:sz w:val="44"/>
      <w:szCs w:val="44"/>
      <w:lang w:val="en-GB" w:eastAsia="en-GB"/>
    </w:rPr>
  </w:style>
  <w:style w:type="character" w:customStyle="1" w:styleId="Heading2Char">
    <w:name w:val="Heading 2 Char"/>
    <w:link w:val="Heading2"/>
    <w:rsid w:val="00802AB2"/>
    <w:rPr>
      <w:rFonts w:ascii="Arial Bold" w:eastAsia="Times New Roman" w:hAnsi="Arial Bold"/>
      <w:b/>
      <w:color w:val="0082AB"/>
      <w:spacing w:val="20"/>
      <w:w w:val="90"/>
      <w:sz w:val="32"/>
      <w:szCs w:val="24"/>
      <w:lang w:val="en-GB" w:eastAsia="en-GB"/>
    </w:rPr>
  </w:style>
  <w:style w:type="character" w:customStyle="1" w:styleId="Heading3Char">
    <w:name w:val="Heading 3 Char"/>
    <w:link w:val="Heading3"/>
    <w:rsid w:val="00715855"/>
    <w:rPr>
      <w:rFonts w:ascii="Arial Bold" w:eastAsia="Times New Roman" w:hAnsi="Arial Bold"/>
      <w:b/>
      <w:color w:val="0082AB"/>
      <w:spacing w:val="20"/>
      <w:w w:val="90"/>
      <w:sz w:val="24"/>
      <w:szCs w:val="22"/>
      <w:lang w:val="en-GB" w:eastAsia="en-GB"/>
    </w:rPr>
  </w:style>
  <w:style w:type="character" w:customStyle="1" w:styleId="Heading4Char">
    <w:name w:val="Heading 4 Char"/>
    <w:link w:val="Heading4"/>
    <w:rsid w:val="006448CF"/>
    <w:rPr>
      <w:rFonts w:ascii="Arial" w:eastAsia="Times New Roman" w:hAnsi="Arial"/>
      <w:b/>
      <w:bCs/>
      <w:color w:val="595959" w:themeColor="text1" w:themeTint="A6"/>
      <w:sz w:val="22"/>
      <w:lang w:val="en-GB" w:eastAsia="en-GB"/>
    </w:rPr>
  </w:style>
  <w:style w:type="character" w:customStyle="1" w:styleId="Heading5Char">
    <w:name w:val="Heading 5 Char"/>
    <w:link w:val="Heading5"/>
    <w:rsid w:val="00BC3EA0"/>
    <w:rPr>
      <w:rFonts w:ascii="Arial" w:eastAsia="Times New Roman" w:hAnsi="Arial" w:cs="Times New Roman"/>
      <w:color w:val="000000"/>
      <w:lang w:val="en-GB" w:eastAsia="en-GB"/>
    </w:rPr>
  </w:style>
  <w:style w:type="character" w:customStyle="1" w:styleId="Heading6Char">
    <w:name w:val="Heading 6 Char"/>
    <w:link w:val="Heading6"/>
    <w:rsid w:val="00BC3EA0"/>
    <w:rPr>
      <w:rFonts w:ascii="Arial" w:eastAsia="Times New Roman" w:hAnsi="Arial" w:cs="Times New Roman"/>
      <w:i/>
      <w:sz w:val="20"/>
      <w:szCs w:val="20"/>
      <w:lang w:val="en-GB" w:eastAsia="en-GB"/>
    </w:rPr>
  </w:style>
  <w:style w:type="character" w:customStyle="1" w:styleId="Heading7Char">
    <w:name w:val="Heading 7 Char"/>
    <w:link w:val="Heading7"/>
    <w:rsid w:val="00BC3EA0"/>
    <w:rPr>
      <w:rFonts w:ascii="Arial" w:eastAsia="Times New Roman" w:hAnsi="Arial" w:cs="Times New Roman"/>
      <w:sz w:val="20"/>
      <w:szCs w:val="20"/>
      <w:lang w:val="en-GB" w:eastAsia="en-GB"/>
    </w:rPr>
  </w:style>
  <w:style w:type="character" w:customStyle="1" w:styleId="Heading8Char">
    <w:name w:val="Heading 8 Char"/>
    <w:link w:val="Heading8"/>
    <w:rsid w:val="00BC3EA0"/>
    <w:rPr>
      <w:rFonts w:ascii="Arial" w:eastAsia="Times New Roman" w:hAnsi="Arial" w:cs="Times New Roman"/>
      <w:sz w:val="20"/>
      <w:szCs w:val="20"/>
      <w:lang w:val="en-GB" w:eastAsia="en-GB"/>
    </w:rPr>
  </w:style>
  <w:style w:type="character" w:customStyle="1" w:styleId="Heading9Char">
    <w:name w:val="Heading 9 Char"/>
    <w:link w:val="Heading9"/>
    <w:rsid w:val="00BC3EA0"/>
    <w:rPr>
      <w:rFonts w:ascii="Arial" w:eastAsia="Times New Roman" w:hAnsi="Arial" w:cs="Times New Roman"/>
      <w:b/>
      <w:i/>
      <w:sz w:val="20"/>
      <w:szCs w:val="20"/>
      <w:lang w:val="en-AU"/>
    </w:rPr>
  </w:style>
  <w:style w:type="paragraph" w:styleId="List">
    <w:name w:val="List"/>
    <w:basedOn w:val="Normal"/>
    <w:rsid w:val="00BC3EA0"/>
    <w:pPr>
      <w:ind w:left="283" w:hanging="283"/>
    </w:pPr>
  </w:style>
  <w:style w:type="paragraph" w:styleId="Title">
    <w:name w:val="Title"/>
    <w:basedOn w:val="Normal"/>
    <w:link w:val="TitleChar"/>
    <w:rsid w:val="00BC3EA0"/>
    <w:pPr>
      <w:widowControl w:val="0"/>
      <w:autoSpaceDE w:val="0"/>
      <w:autoSpaceDN w:val="0"/>
      <w:adjustRightInd w:val="0"/>
      <w:spacing w:before="1560" w:after="720" w:line="240" w:lineRule="atLeast"/>
    </w:pPr>
    <w:rPr>
      <w:rFonts w:cs="Arial"/>
      <w:color w:val="002469"/>
      <w:spacing w:val="40"/>
      <w:w w:val="90"/>
      <w:sz w:val="48"/>
      <w:szCs w:val="48"/>
    </w:rPr>
  </w:style>
  <w:style w:type="character" w:customStyle="1" w:styleId="TitleChar">
    <w:name w:val="Title Char"/>
    <w:link w:val="Title"/>
    <w:rsid w:val="00BC3EA0"/>
    <w:rPr>
      <w:rFonts w:ascii="Arial" w:eastAsia="Times New Roman" w:hAnsi="Arial" w:cs="Arial"/>
      <w:color w:val="002469"/>
      <w:spacing w:val="40"/>
      <w:w w:val="90"/>
      <w:sz w:val="48"/>
      <w:szCs w:val="48"/>
      <w:lang w:val="en-GB" w:eastAsia="en-GB"/>
    </w:rPr>
  </w:style>
  <w:style w:type="paragraph" w:styleId="Subtitle">
    <w:name w:val="Subtitle"/>
    <w:basedOn w:val="Title"/>
    <w:next w:val="Normal"/>
    <w:link w:val="SubtitleChar"/>
    <w:rsid w:val="00BC3EA0"/>
    <w:pPr>
      <w:spacing w:before="360" w:line="600" w:lineRule="atLeast"/>
    </w:pPr>
    <w:rPr>
      <w:sz w:val="36"/>
      <w:szCs w:val="36"/>
    </w:rPr>
  </w:style>
  <w:style w:type="character" w:customStyle="1" w:styleId="SubtitleChar">
    <w:name w:val="Subtitle Char"/>
    <w:link w:val="Subtitle"/>
    <w:rsid w:val="00BC3EA0"/>
    <w:rPr>
      <w:rFonts w:ascii="Arial" w:eastAsia="Times New Roman" w:hAnsi="Arial" w:cs="Arial"/>
      <w:color w:val="002469"/>
      <w:spacing w:val="40"/>
      <w:w w:val="90"/>
      <w:sz w:val="36"/>
      <w:szCs w:val="36"/>
      <w:lang w:val="en-GB" w:eastAsia="en-GB"/>
    </w:rPr>
  </w:style>
  <w:style w:type="paragraph" w:customStyle="1" w:styleId="TableText">
    <w:name w:val="Table Text"/>
    <w:basedOn w:val="Normal"/>
    <w:rsid w:val="00BC3EA0"/>
    <w:pPr>
      <w:autoSpaceDE w:val="0"/>
      <w:autoSpaceDN w:val="0"/>
      <w:adjustRightInd w:val="0"/>
      <w:spacing w:before="60" w:after="60" w:line="240" w:lineRule="atLeast"/>
    </w:pPr>
    <w:rPr>
      <w:rFonts w:cs="GillSans"/>
      <w:sz w:val="20"/>
      <w:szCs w:val="22"/>
      <w:lang w:eastAsia="en-AU"/>
    </w:rPr>
  </w:style>
  <w:style w:type="paragraph" w:customStyle="1" w:styleId="tablespacer">
    <w:name w:val="table_spacer"/>
    <w:basedOn w:val="Normal"/>
    <w:next w:val="Normal"/>
    <w:rsid w:val="00BC3EA0"/>
    <w:pPr>
      <w:keepNext/>
      <w:spacing w:after="0" w:line="240" w:lineRule="auto"/>
    </w:pPr>
    <w:rPr>
      <w:sz w:val="20"/>
    </w:rPr>
  </w:style>
  <w:style w:type="paragraph" w:styleId="TOC1">
    <w:name w:val="toc 1"/>
    <w:basedOn w:val="Normal"/>
    <w:next w:val="Normal"/>
    <w:uiPriority w:val="39"/>
    <w:rsid w:val="00BC3EA0"/>
    <w:pPr>
      <w:tabs>
        <w:tab w:val="right" w:leader="dot" w:pos="9214"/>
      </w:tabs>
      <w:spacing w:before="240" w:after="120"/>
      <w:ind w:left="284" w:right="284"/>
    </w:pPr>
    <w:rPr>
      <w:bCs/>
      <w:noProof/>
      <w:sz w:val="24"/>
      <w:szCs w:val="44"/>
    </w:rPr>
  </w:style>
  <w:style w:type="paragraph" w:styleId="TOC2">
    <w:name w:val="toc 2"/>
    <w:basedOn w:val="Normal"/>
    <w:next w:val="Normal"/>
    <w:uiPriority w:val="39"/>
    <w:rsid w:val="00BC3EA0"/>
    <w:pPr>
      <w:tabs>
        <w:tab w:val="right" w:leader="dot" w:pos="9214"/>
      </w:tabs>
      <w:spacing w:before="100" w:after="100"/>
      <w:ind w:left="709" w:right="284"/>
    </w:pPr>
    <w:rPr>
      <w:noProof/>
      <w:sz w:val="24"/>
    </w:rPr>
  </w:style>
  <w:style w:type="paragraph" w:styleId="TOC3">
    <w:name w:val="toc 3"/>
    <w:basedOn w:val="Normal"/>
    <w:next w:val="Normal"/>
    <w:semiHidden/>
    <w:rsid w:val="00BC3EA0"/>
    <w:pPr>
      <w:tabs>
        <w:tab w:val="left" w:leader="dot" w:pos="8646"/>
        <w:tab w:val="right" w:pos="9072"/>
      </w:tabs>
      <w:ind w:left="1418" w:right="850"/>
    </w:pPr>
  </w:style>
  <w:style w:type="paragraph" w:customStyle="1" w:styleId="Tier2Bullet-list">
    <w:name w:val="Tier 2 Bullet-list"/>
    <w:qFormat/>
    <w:rsid w:val="0062657E"/>
    <w:pPr>
      <w:spacing w:after="160" w:line="259" w:lineRule="auto"/>
      <w:ind w:left="568" w:hanging="284"/>
    </w:pPr>
    <w:rPr>
      <w:rFonts w:ascii="Arial" w:eastAsia="Times New Roman" w:hAnsi="Arial"/>
      <w:sz w:val="22"/>
      <w:lang w:val="en-AU" w:eastAsia="en-US"/>
    </w:rPr>
  </w:style>
  <w:style w:type="paragraph" w:customStyle="1" w:styleId="TableHeading2">
    <w:name w:val="Table Heading 2"/>
    <w:basedOn w:val="Normal"/>
    <w:qFormat/>
    <w:rsid w:val="00DF2E7B"/>
    <w:pPr>
      <w:spacing w:before="60" w:after="60" w:line="276" w:lineRule="auto"/>
    </w:pPr>
    <w:rPr>
      <w:i/>
      <w:szCs w:val="22"/>
    </w:rPr>
  </w:style>
  <w:style w:type="paragraph" w:customStyle="1" w:styleId="Tablebullet">
    <w:name w:val="Table bullet"/>
    <w:basedOn w:val="Normal"/>
    <w:qFormat/>
    <w:rsid w:val="00B56273"/>
    <w:pPr>
      <w:numPr>
        <w:numId w:val="4"/>
      </w:numPr>
      <w:autoSpaceDE w:val="0"/>
      <w:autoSpaceDN w:val="0"/>
      <w:adjustRightInd w:val="0"/>
      <w:spacing w:before="60" w:after="60"/>
    </w:pPr>
    <w:rPr>
      <w:rFonts w:cs="GillSans"/>
      <w:szCs w:val="22"/>
      <w:lang w:eastAsia="en-AU"/>
    </w:rPr>
  </w:style>
  <w:style w:type="table" w:styleId="GridTable4-Accent1">
    <w:name w:val="Grid Table 4 Accent 1"/>
    <w:basedOn w:val="TableNormal"/>
    <w:uiPriority w:val="49"/>
    <w:rsid w:val="00C935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Headings">
    <w:name w:val="Table Headings"/>
    <w:basedOn w:val="Normal"/>
    <w:qFormat/>
    <w:rsid w:val="00C93549"/>
    <w:pPr>
      <w:spacing w:before="60" w:after="60"/>
    </w:pPr>
    <w:rPr>
      <w:rFonts w:cs="Arial"/>
      <w:b/>
      <w:color w:val="000000"/>
    </w:rPr>
  </w:style>
  <w:style w:type="character" w:customStyle="1" w:styleId="UnresolvedMention1">
    <w:name w:val="Unresolved Mention1"/>
    <w:basedOn w:val="DefaultParagraphFont"/>
    <w:uiPriority w:val="99"/>
    <w:semiHidden/>
    <w:unhideWhenUsed/>
    <w:rsid w:val="00E52B84"/>
    <w:rPr>
      <w:color w:val="605E5C"/>
      <w:shd w:val="clear" w:color="auto" w:fill="E1DFDD"/>
    </w:rPr>
  </w:style>
  <w:style w:type="character" w:styleId="UnresolvedMention">
    <w:name w:val="Unresolved Mention"/>
    <w:basedOn w:val="DefaultParagraphFont"/>
    <w:uiPriority w:val="99"/>
    <w:semiHidden/>
    <w:unhideWhenUsed/>
    <w:rsid w:val="00447453"/>
    <w:rPr>
      <w:color w:val="605E5C"/>
      <w:shd w:val="clear" w:color="auto" w:fill="E1DFDD"/>
    </w:rPr>
  </w:style>
  <w:style w:type="paragraph" w:customStyle="1" w:styleId="Numberedpara3level1">
    <w:name w:val="Numbered para (3) level 1"/>
    <w:basedOn w:val="Normal"/>
    <w:qFormat/>
    <w:rsid w:val="000A4B99"/>
    <w:pPr>
      <w:keepLines/>
      <w:numPr>
        <w:numId w:val="15"/>
      </w:numPr>
      <w:spacing w:before="120" w:after="120" w:line="240" w:lineRule="auto"/>
    </w:pPr>
    <w:rPr>
      <w:rFonts w:ascii="Calibri" w:eastAsiaTheme="minorHAnsi" w:hAnsi="Calibri"/>
      <w:sz w:val="24"/>
      <w:szCs w:val="24"/>
      <w:lang w:val="en-NZ" w:eastAsia="en-US"/>
    </w:rPr>
  </w:style>
  <w:style w:type="paragraph" w:customStyle="1" w:styleId="Numberedpara3level211">
    <w:name w:val="Numbered para (3) level 2 (1.1)"/>
    <w:basedOn w:val="Normal"/>
    <w:qFormat/>
    <w:rsid w:val="000A4B99"/>
    <w:pPr>
      <w:keepLines/>
      <w:numPr>
        <w:ilvl w:val="1"/>
        <w:numId w:val="15"/>
      </w:numPr>
      <w:spacing w:before="120" w:after="120" w:line="240" w:lineRule="auto"/>
    </w:pPr>
    <w:rPr>
      <w:rFonts w:ascii="Calibri" w:eastAsiaTheme="minorHAnsi" w:hAnsi="Calibri"/>
      <w:sz w:val="24"/>
      <w:szCs w:val="24"/>
      <w:lang w:val="en-NZ" w:eastAsia="en-US"/>
    </w:rPr>
  </w:style>
  <w:style w:type="paragraph" w:customStyle="1" w:styleId="Numberedpara3level3111">
    <w:name w:val="Numbered para (3) level 3 (1.1.1)"/>
    <w:basedOn w:val="Normal"/>
    <w:qFormat/>
    <w:rsid w:val="000A4B99"/>
    <w:pPr>
      <w:keepLines/>
      <w:numPr>
        <w:ilvl w:val="2"/>
        <w:numId w:val="15"/>
      </w:numPr>
      <w:spacing w:before="120" w:after="120" w:line="240" w:lineRule="auto"/>
    </w:pPr>
    <w:rPr>
      <w:rFonts w:ascii="Calibri" w:eastAsiaTheme="minorHAnsi" w:hAnsi="Calibri"/>
      <w:sz w:val="24"/>
      <w:szCs w:val="24"/>
      <w:lang w:val="en-NZ" w:eastAsia="en-US"/>
    </w:rPr>
  </w:style>
  <w:style w:type="paragraph" w:styleId="ListNumber2">
    <w:name w:val="List Number 2"/>
    <w:basedOn w:val="List123level2"/>
    <w:uiPriority w:val="99"/>
    <w:semiHidden/>
    <w:rsid w:val="002B1B9D"/>
  </w:style>
  <w:style w:type="paragraph" w:customStyle="1" w:styleId="List123">
    <w:name w:val="List 1 2 3"/>
    <w:basedOn w:val="Normal"/>
    <w:rsid w:val="002B1B9D"/>
    <w:pPr>
      <w:keepLines/>
      <w:numPr>
        <w:numId w:val="17"/>
      </w:numPr>
      <w:spacing w:before="80" w:after="80" w:line="240" w:lineRule="auto"/>
    </w:pPr>
    <w:rPr>
      <w:rFonts w:ascii="Calibri" w:eastAsiaTheme="minorHAnsi" w:hAnsi="Calibri"/>
      <w:sz w:val="24"/>
      <w:szCs w:val="24"/>
      <w:lang w:val="en-NZ" w:eastAsia="en-US"/>
    </w:rPr>
  </w:style>
  <w:style w:type="paragraph" w:customStyle="1" w:styleId="List123level2">
    <w:name w:val="List 1 2 3 level 2"/>
    <w:basedOn w:val="Normal"/>
    <w:uiPriority w:val="1"/>
    <w:semiHidden/>
    <w:qFormat/>
    <w:rsid w:val="002B1B9D"/>
    <w:pPr>
      <w:keepLines/>
      <w:numPr>
        <w:ilvl w:val="1"/>
        <w:numId w:val="17"/>
      </w:numPr>
      <w:spacing w:before="80" w:after="80" w:line="240" w:lineRule="auto"/>
    </w:pPr>
    <w:rPr>
      <w:rFonts w:ascii="Calibri" w:eastAsiaTheme="minorHAnsi" w:hAnsi="Calibri"/>
      <w:sz w:val="24"/>
      <w:szCs w:val="24"/>
      <w:lang w:val="en-NZ" w:eastAsia="en-US"/>
    </w:rPr>
  </w:style>
  <w:style w:type="paragraph" w:customStyle="1" w:styleId="List123level3">
    <w:name w:val="List 1 2 3 level 3"/>
    <w:basedOn w:val="Normal"/>
    <w:uiPriority w:val="1"/>
    <w:semiHidden/>
    <w:qFormat/>
    <w:rsid w:val="002B1B9D"/>
    <w:pPr>
      <w:keepLines/>
      <w:numPr>
        <w:ilvl w:val="2"/>
        <w:numId w:val="17"/>
      </w:numPr>
      <w:spacing w:before="80" w:after="80" w:line="240" w:lineRule="auto"/>
    </w:pPr>
    <w:rPr>
      <w:rFonts w:ascii="Calibri" w:eastAsiaTheme="minorHAnsi" w:hAnsi="Calibri"/>
      <w:sz w:val="24"/>
      <w:szCs w:val="24"/>
      <w:lang w:val="en-NZ" w:eastAsia="en-US"/>
    </w:rPr>
  </w:style>
  <w:style w:type="paragraph" w:styleId="NormalWeb">
    <w:name w:val="Normal (Web)"/>
    <w:basedOn w:val="Normal"/>
    <w:uiPriority w:val="99"/>
    <w:unhideWhenUsed/>
    <w:rsid w:val="00083BD5"/>
    <w:pPr>
      <w:spacing w:before="100" w:beforeAutospacing="1" w:after="100" w:afterAutospacing="1" w:line="240" w:lineRule="auto"/>
    </w:pPr>
    <w:rPr>
      <w:rFonts w:ascii="Times New Roman" w:hAnsi="Times New Roman"/>
      <w:sz w:val="24"/>
      <w:szCs w:val="24"/>
      <w:lang w:val="en-NZ" w:eastAsia="en-NZ"/>
    </w:rPr>
  </w:style>
  <w:style w:type="paragraph" w:customStyle="1" w:styleId="Briefingparasubheading">
    <w:name w:val="Briefing para subheading"/>
    <w:basedOn w:val="Normal"/>
    <w:next w:val="Numberedpara3level1"/>
    <w:qFormat/>
    <w:rsid w:val="00A5730C"/>
    <w:pPr>
      <w:keepNext/>
      <w:spacing w:before="240" w:after="120" w:line="240" w:lineRule="auto"/>
    </w:pPr>
    <w:rPr>
      <w:rFonts w:ascii="Calibri" w:eastAsia="Calibri" w:hAnsi="Calibri"/>
      <w:b/>
      <w:i/>
      <w:sz w:val="24"/>
      <w:szCs w:val="24"/>
      <w:lang w:val="en-NZ" w:eastAsia="en-US"/>
    </w:rPr>
  </w:style>
  <w:style w:type="character" w:styleId="Strong">
    <w:name w:val="Strong"/>
    <w:basedOn w:val="DefaultParagraphFont"/>
    <w:uiPriority w:val="22"/>
    <w:qFormat/>
    <w:rsid w:val="00CE07C7"/>
    <w:rPr>
      <w:b/>
      <w:bCs/>
    </w:rPr>
  </w:style>
  <w:style w:type="paragraph" w:customStyle="1" w:styleId="Bullet">
    <w:name w:val="Bullet"/>
    <w:basedOn w:val="Normal"/>
    <w:rsid w:val="00F6094B"/>
    <w:pPr>
      <w:keepLines/>
      <w:numPr>
        <w:numId w:val="76"/>
      </w:numPr>
      <w:spacing w:before="80" w:after="80" w:line="240" w:lineRule="auto"/>
    </w:pPr>
    <w:rPr>
      <w:rFonts w:ascii="Calibri" w:eastAsiaTheme="minorHAnsi" w:hAnsi="Calibri"/>
      <w:sz w:val="24"/>
      <w:szCs w:val="24"/>
      <w:lang w:val="en-NZ" w:eastAsia="en-US"/>
    </w:rPr>
  </w:style>
  <w:style w:type="paragraph" w:customStyle="1" w:styleId="Bulletlevel2">
    <w:name w:val="Bullet level 2"/>
    <w:basedOn w:val="Normal"/>
    <w:uiPriority w:val="1"/>
    <w:semiHidden/>
    <w:rsid w:val="00F6094B"/>
    <w:pPr>
      <w:keepLines/>
      <w:numPr>
        <w:ilvl w:val="1"/>
        <w:numId w:val="76"/>
      </w:numPr>
      <w:tabs>
        <w:tab w:val="num" w:pos="360"/>
      </w:tabs>
      <w:spacing w:before="80" w:after="80" w:line="240" w:lineRule="auto"/>
      <w:ind w:left="0" w:firstLine="0"/>
    </w:pPr>
    <w:rPr>
      <w:rFonts w:ascii="Calibri" w:eastAsiaTheme="minorHAnsi" w:hAnsi="Calibri"/>
      <w:sz w:val="24"/>
      <w:szCs w:val="24"/>
      <w:lang w:val="en-NZ" w:eastAsia="en-US"/>
    </w:rPr>
  </w:style>
  <w:style w:type="paragraph" w:customStyle="1" w:styleId="Bulletlevel3">
    <w:name w:val="Bullet level 3"/>
    <w:basedOn w:val="Normal"/>
    <w:uiPriority w:val="1"/>
    <w:semiHidden/>
    <w:rsid w:val="00F6094B"/>
    <w:pPr>
      <w:keepLines/>
      <w:numPr>
        <w:ilvl w:val="2"/>
        <w:numId w:val="76"/>
      </w:numPr>
      <w:tabs>
        <w:tab w:val="num" w:pos="360"/>
      </w:tabs>
      <w:spacing w:before="80" w:after="80" w:line="240" w:lineRule="auto"/>
      <w:ind w:left="0" w:firstLine="0"/>
    </w:pPr>
    <w:rPr>
      <w:rFonts w:ascii="Calibri" w:eastAsiaTheme="minorHAnsi" w:hAnsi="Calibri"/>
      <w:sz w:val="24"/>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0275">
      <w:bodyDiv w:val="1"/>
      <w:marLeft w:val="0"/>
      <w:marRight w:val="0"/>
      <w:marTop w:val="0"/>
      <w:marBottom w:val="0"/>
      <w:divBdr>
        <w:top w:val="none" w:sz="0" w:space="0" w:color="auto"/>
        <w:left w:val="none" w:sz="0" w:space="0" w:color="auto"/>
        <w:bottom w:val="none" w:sz="0" w:space="0" w:color="auto"/>
        <w:right w:val="none" w:sz="0" w:space="0" w:color="auto"/>
      </w:divBdr>
    </w:div>
    <w:div w:id="117989026">
      <w:bodyDiv w:val="1"/>
      <w:marLeft w:val="0"/>
      <w:marRight w:val="0"/>
      <w:marTop w:val="0"/>
      <w:marBottom w:val="0"/>
      <w:divBdr>
        <w:top w:val="none" w:sz="0" w:space="0" w:color="auto"/>
        <w:left w:val="none" w:sz="0" w:space="0" w:color="auto"/>
        <w:bottom w:val="none" w:sz="0" w:space="0" w:color="auto"/>
        <w:right w:val="none" w:sz="0" w:space="0" w:color="auto"/>
      </w:divBdr>
    </w:div>
    <w:div w:id="196696763">
      <w:bodyDiv w:val="1"/>
      <w:marLeft w:val="0"/>
      <w:marRight w:val="0"/>
      <w:marTop w:val="0"/>
      <w:marBottom w:val="0"/>
      <w:divBdr>
        <w:top w:val="none" w:sz="0" w:space="0" w:color="auto"/>
        <w:left w:val="none" w:sz="0" w:space="0" w:color="auto"/>
        <w:bottom w:val="none" w:sz="0" w:space="0" w:color="auto"/>
        <w:right w:val="none" w:sz="0" w:space="0" w:color="auto"/>
      </w:divBdr>
    </w:div>
    <w:div w:id="953637357">
      <w:bodyDiv w:val="1"/>
      <w:marLeft w:val="0"/>
      <w:marRight w:val="0"/>
      <w:marTop w:val="0"/>
      <w:marBottom w:val="0"/>
      <w:divBdr>
        <w:top w:val="none" w:sz="0" w:space="0" w:color="auto"/>
        <w:left w:val="none" w:sz="0" w:space="0" w:color="auto"/>
        <w:bottom w:val="none" w:sz="0" w:space="0" w:color="auto"/>
        <w:right w:val="none" w:sz="0" w:space="0" w:color="auto"/>
      </w:divBdr>
    </w:div>
    <w:div w:id="1232036928">
      <w:bodyDiv w:val="1"/>
      <w:marLeft w:val="0"/>
      <w:marRight w:val="0"/>
      <w:marTop w:val="0"/>
      <w:marBottom w:val="0"/>
      <w:divBdr>
        <w:top w:val="none" w:sz="0" w:space="0" w:color="auto"/>
        <w:left w:val="none" w:sz="0" w:space="0" w:color="auto"/>
        <w:bottom w:val="none" w:sz="0" w:space="0" w:color="auto"/>
        <w:right w:val="none" w:sz="0" w:space="0" w:color="auto"/>
      </w:divBdr>
    </w:div>
    <w:div w:id="1701081625">
      <w:bodyDiv w:val="1"/>
      <w:marLeft w:val="0"/>
      <w:marRight w:val="0"/>
      <w:marTop w:val="0"/>
      <w:marBottom w:val="0"/>
      <w:divBdr>
        <w:top w:val="none" w:sz="0" w:space="0" w:color="auto"/>
        <w:left w:val="none" w:sz="0" w:space="0" w:color="auto"/>
        <w:bottom w:val="none" w:sz="0" w:space="0" w:color="auto"/>
        <w:right w:val="none" w:sz="0" w:space="0" w:color="auto"/>
      </w:divBdr>
    </w:div>
    <w:div w:id="1711880483">
      <w:bodyDiv w:val="1"/>
      <w:marLeft w:val="0"/>
      <w:marRight w:val="0"/>
      <w:marTop w:val="0"/>
      <w:marBottom w:val="0"/>
      <w:divBdr>
        <w:top w:val="none" w:sz="0" w:space="0" w:color="auto"/>
        <w:left w:val="none" w:sz="0" w:space="0" w:color="auto"/>
        <w:bottom w:val="none" w:sz="0" w:space="0" w:color="auto"/>
        <w:right w:val="none" w:sz="0" w:space="0" w:color="auto"/>
      </w:divBdr>
    </w:div>
    <w:div w:id="1722092100">
      <w:bodyDiv w:val="1"/>
      <w:marLeft w:val="0"/>
      <w:marRight w:val="0"/>
      <w:marTop w:val="0"/>
      <w:marBottom w:val="0"/>
      <w:divBdr>
        <w:top w:val="none" w:sz="0" w:space="0" w:color="auto"/>
        <w:left w:val="none" w:sz="0" w:space="0" w:color="auto"/>
        <w:bottom w:val="none" w:sz="0" w:space="0" w:color="auto"/>
        <w:right w:val="none" w:sz="0" w:space="0" w:color="auto"/>
      </w:divBdr>
    </w:div>
    <w:div w:id="190094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www.stats.govt.nz/reports/sex-and-gender-identity-statistical-standards-findings-from-public-consultation-julyaugust-202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5T23:46:38.947"/>
    </inkml:context>
    <inkml:brush xml:id="br0">
      <inkml:brushProperty name="width" value="0.05" units="cm"/>
      <inkml:brushProperty name="height" value="0.05" units="cm"/>
      <inkml:brushProperty name="color" value="#5B2D90"/>
    </inkml:brush>
    <inkml:context xml:id="ctx1">
      <inkml:inkSource xml:id="inkSrc1">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1" timeString="2022-05-05T23:46:40.295"/>
    </inkml:context>
  </inkml:definitions>
  <inkml:trace contextRef="#ctx0" brushRef="#br0">4 1095 16468,'0'0'11,"0"0"1,0 0 0,0 0 0,-1 0 0,1 0-1,0 0 1,0 0 0,0 0 0,0 0 0,0 0-1,0 0 1,0 0 0,0 0 0,0 0 0,-1 0-1,1 0 1,0 0 0,0 0 0,0 0 0,0 0-1,0 0 1,0 0 0,0 0 0,0 0 0,0 0-1,0 0 1,-1 0 0,1 0 0,0 0 0,0 0-1,0 0 1,0 0 0,0 0 0,0 0 0,0 0-1,0 0 1,0-1 0,0 1 0,0 0 0,0 0-1,0 0 1,0 0 0,0 0 0,-1 0 0,1 0-1,0 0 1,0 0 0,0 0 0,0-1 0,0 1-1,0 0 1,0 0 0,0 0 0,0 0 0,0 0-1,0 0 1,0 0 0,0 0 0,0 0 0,1-1-1,-1 1 1,0 0 0,0 0 0,0 0 0,0 0-1,0 0 1,0 0 0,9-8 325,29-13-339,-13 6 95,81-57-40,138-122 0,242-276-159,-279 259 66,-188 191 12,-9 9-39,1 0-1,0 0 0,1 1 1,0 1-1,1 0 1,15-9-1,-28 18 60,0 0-1,1-1 1,-1 1 0,1 0-1,-1 0 1,0 0-1,1 0 1,-1 0 0,1-1-1,-1 1 1,0 0 0,1 0-1,-1 0 1,1 0 0,-1 0-1,1 0 1,-1 0-1,0 0 1,1 0 0,-1 1-1,1-1 1,-1 0 0,0 0-1,1 0 1,-1 0 0,1 1-1,-1-1 1,0 0-1,1 0 1,-1 1 0,0-1-1,1 0 1,-1 0 0,0 1-1,0-1 1,1 1-1,1 16-221,-5-5 133,0 1-1,0-1 1,-1 0 0,-1 0-1,-8 17 1,-38 60-149,31-55 198,-33 52 216,-4-2 1,-77 89-1,88-121 0,-2-3 1,-3-1 0,-1-3 0,-64 42 0,112-84-166,-26 17 87,-33 16-1,56-32-83,-1 0-1,0-1 1,-1 0-1,1 0 1,0-1-1,-1 0 1,0 0-1,1-1 1,-18 0-1,24-1-40,0 0 0,0 0 0,1 0 0,-1-1 1,0 1-1,0-1 0,0 1 0,1-1 0,-1 0 0,0 0 0,1 1 0,-1-1 0,1 0 0,-1-1 1,1 1-1,-1 0 0,1 0 0,0-1 0,-1 1 0,1-1 0,0 1 0,0-1 0,0 1 1,0-1-1,1 1 0,-1-1 0,0 0 0,1 0 0,-1 1 0,1-1 0,-1 0 0,1 0 0,0 0 1,0 0-1,0 0 0,0 1 0,0-4 0,2-8-117,-1 1-1,2 0 1,-1 0-1,8-18 1,-10 29 156,22-63-466</inkml:trace>
  <inkml:trace contextRef="#ctx1" brushRef="#br0">1441 214 6553 0 0,'4'-4'762'0'0,"0"1"1"0"0,1-1-1 0 0,0 1 0 0 0,0 0 0 0 0,0 0 0 0 0,9-3 0 0 0,-24 25 431 0 0,-54 76-461 0 0,-62 121-1 0 0,-1 4-688 0 0,117-205 7 0 0,-55 81 265 0 0,55-84-146 0 0,-1 1 1 0 0,0-1-1 0 0,-1-1 0 0 0,0 0 0 0 0,-13 10 0 0 0,24-21-141 0 0,1 1 1 0 0,-1-1-1 0 0,1 1 0 0 0,-1-1 0 0 0,1 1 0 0 0,-1-1 0 0 0,0 0 0 0 0,1 1 0 0 0,-1-1 0 0 0,1 0 0 0 0,-1 1 0 0 0,0-1 0 0 0,1 0 0 0 0,-1 0 0 0 0,0 0 0 0 0,0 1 0 0 0,1-1 0 0 0,-1 0 0 0 0,0 0 0 0 0,1 0 0 0 0,-1 0 1 0 0,0 0-1 0 0,0 0 0 0 0,1 0 0 0 0,-1-1 0 0 0,0 1 0 0 0,1 0 0 0 0,-1 0 0 0 0,0 0 0 0 0,0-1 0 0 0,0 0 2 0 0,1 0 0 0 0,-1-1 0 0 0,1 1 0 0 0,-1 0 0 0 0,1 0 0 0 0,0 0 0 0 0,-1 0 0 0 0,1-1 0 0 0,0 1 0 0 0,0 0 0 0 0,0 0 0 0 0,0-1 0 0 0,0 1 0 0 0,0 0 0 0 0,1-2 0 0 0,0-8 54 0 0,2 0 1 0 0,5-18-1 0 0,3 1-80 0 0,1 1-1 0 0,2 0 0 0 0,0 0 0 0 0,27-34 0 0 0,82-94-260 0 0,-78 102 166 0 0,-26 30 56 0 0,84-97-118 0 0,-79 95 137 0 0,2 0 0 0 0,38-29 0 0 0,-59 50 8 0 0,0 1 0 0 0,0 0 0 0 0,1 0 0 0 0,-1 0-1 0 0,8-2 1 0 0,-13 5 1 0 0,1-1 0 0 0,0 1-1 0 0,0 0 1 0 0,0 0 0 0 0,-1 0-1 0 0,1 0 1 0 0,0 0-1 0 0,0 0 1 0 0,0 0 0 0 0,-1 0-1 0 0,1 0 1 0 0,0 0 0 0 0,0 0-1 0 0,-1 0 1 0 0,1 0 0 0 0,0 1-1 0 0,0-1 1 0 0,-1 0 0 0 0,2 1-1 0 0,-1 0-5 0 0,-1 0 0 0 0,1 0 0 0 0,-1-1 0 0 0,1 1 0 0 0,-1 0 0 0 0,1 0 0 0 0,-1 0 0 0 0,0 0 0 0 0,1 0 0 0 0,-1 0-1 0 0,0 0 1 0 0,0-1 0 0 0,0 1 0 0 0,1 0 0 0 0,-1 0 0 0 0,0 0 0 0 0,-1 0 0 0 0,1 0 0 0 0,0 0 0 0 0,0 2 0 0 0,-6 20-69 0 0,0 1 1 0 0,-2-1-1 0 0,0-1 1 0 0,-1 1-1 0 0,-25 40 1 0 0,13-23 67 0 0,-118 201 245 0 0,67-122 73 0 0,63-108-37 0 0,9-21-79 0 0,9-20-107 0 0,8-2-158 0 0,1 1 1 0 0,1 0-1 0 0,2 1 0 0 0,24-27 1 0 0,106-100-76 0 0,-115 123 168 0 0,1 1 0 0 0,2 2 0 0 0,2 2 1 0 0,0 1-1 0 0,2 3 0 0 0,53-24 0 0 0,-93 47-9 0 0,1 1 0 0 0,0-1 0 0 0,-1 1 0 0 0,1 0-1 0 0,0 0 1 0 0,0 1 0 0 0,0-1 0 0 0,-1 1 0 0 0,6 0 0 0 0,-8 0-7 0 0,-1 0 0 0 0,1 0 1 0 0,0 0-1 0 0,0 0 0 0 0,-1 1 1 0 0,1-1-1 0 0,0 0 0 0 0,-1 1 1 0 0,1-1-1 0 0,0 0 0 0 0,-1 1 1 0 0,1-1-1 0 0,0 1 0 0 0,-1-1 1 0 0,1 1-1 0 0,-1-1 0 0 0,1 1 1 0 0,-1 0-1 0 0,2 0 1 0 0,-2 1-3 0 0,1-1 0 0 0,-1 1 0 0 0,0-1 0 0 0,1 1 0 0 0,-1-1 0 0 0,0 1 0 0 0,0-1 0 0 0,0 1 0 0 0,0-1 0 0 0,0 1 0 0 0,0-1 0 0 0,0 1 0 0 0,0-1 0 0 0,-1 2 0 0 0,-4 15-30 0 0,-1-1 0 0 0,-1 1 0 0 0,-1-1 0 0 0,0-1 0 0 0,-14 21 0 0 0,2-3-8 0 0,-28 51-64 0 0,-4-3-1 0 0,-4-2 1 0 0,-113 125 0 0 0,165-200-75 0 0,-9 8-263 0 0,-22 20 1 0 0,31-30-162 0 0,1-1 0 0 0,-1 1 0 0 0,0-1 0 0 0,-1 1 0 0 0,1-1 0 0 0,-8 2 0 0 0,11-3 536 0 0,1-1 0 0 0,-1 0 0 0 0,1 0 1 0 0,-1 0-1 0 0,1 0 0 0 0,-1 0 0 0 0,1 0 1 0 0,-1 0-1 0 0,1 0 0 0 0,-1 0 1 0 0,1 0-1 0 0,-1 0 0 0 0,1 0 0 0 0,-1 0 1 0 0,1 0-1 0 0,-1 0 0 0 0,1-1 0 0 0,-1 1 1 0 0,1 0-1 0 0,-1 0 0 0 0,1-1 0 0 0,-1 1 1 0 0,-2-8-805 0 0</inkml:trace>
  <inkml:trace contextRef="#ctx1" brushRef="#br0" timeOffset="661.99">2032 287 12179 0 0,'2'0'-80'0'0,"0"-1"0"0"0,1 0 1 0 0,-1 0-1 0 0,0 1 0 0 0,0 0 1 0 0,1-1-1 0 0,-1 1 0 0 0,0 0 1 0 0,1 0-1 0 0,-1 0 0 0 0,0 0 1 0 0,0 1-1 0 0,1-1 1 0 0,-1 0-1 0 0,0 1 0 0 0,0 0 1 0 0,3 1-1 0 0,2-1 2655 0 0,-14 4-832 0 0,3-3-1695 0 0,-1 1 1 0 0,1 1-1 0 0,-1-1 0 0 0,1 1 0 0 0,0-1 0 0 0,1 1 0 0 0,-1 0 0 0 0,-5 8 1 0 0,-72 104-143 0 0,-169 200 78 0 0,238-303-5 0 0,18-23-23 0 0,18-23 53 0 0,-19 27 21 0 0,0 0-1 0 0,0 0 1 0 0,0 1-1 0 0,1 0 1 0 0,-1 0-1 0 0,1 0 1 0 0,10-6-1 0 0,-13 10-11 0 0,1-1 0 0 0,-1 1-1 0 0,0 0 1 0 0,0 0-1 0 0,1 0 1 0 0,-1 0-1 0 0,0 1 1 0 0,1-1-1 0 0,-1 1 1 0 0,1 0-1 0 0,-1 0 1 0 0,0 0-1 0 0,1 1 1 0 0,-1-1-1 0 0,1 1 1 0 0,-1 0-1 0 0,0 0 1 0 0,1 0 0 0 0,2 1-1 0 0,25 12 69 0 0,-13-6 46 0 0,0 0-1 0 0,1-1 1 0 0,33 7 0 0 0,-46-13-99 0 0,1 0 0 0 0,0-1 1 0 0,0 0-1 0 0,0 0 0 0 0,-1 0 1 0 0,1-1-1 0 0,0 0 0 0 0,0 0 0 0 0,-1-1 1 0 0,1 0-1 0 0,-1 0 0 0 0,0 0 1 0 0,1-1-1 0 0,10-6 0 0 0,0-2 35 0 0,-1-1 0 0 0,-1 0 0 0 0,0-1-1 0 0,-1-1 1 0 0,0 0 0 0 0,-1-1 0 0 0,21-32 0 0 0,-25 34 63 0 0,-1-1 1 0 0,-1 0 0 0 0,0-1-1 0 0,0 0 1 0 0,-2 0 0 0 0,0 0 0 0 0,0-1-1 0 0,-1 1 1 0 0,-1-1 0 0 0,1-19-1 0 0,-4 27-91 0 0,0 1 0 0 0,-1-1 0 0 0,0 0 0 0 0,0 1 0 0 0,0-1 0 0 0,-1 0-1 0 0,0 1 1 0 0,0-1 0 0 0,-1 1 0 0 0,0 0 0 0 0,-1 0 0 0 0,1 0 0 0 0,-1 1-1 0 0,-1-1 1 0 0,1 1 0 0 0,-1 0 0 0 0,0 0 0 0 0,0 0 0 0 0,-1 1 0 0 0,0 0-1 0 0,0 0 1 0 0,0 0 0 0 0,0 1 0 0 0,-1 0 0 0 0,0 0 0 0 0,0 0 0 0 0,-9-2-1 0 0,0-1-81 0 0,0 2-1 0 0,-1 0 0 0 0,0 1 0 0 0,0 1 0 0 0,0 1 0 0 0,0 0 0 0 0,-1 1 0 0 0,1 1 0 0 0,0 0 1 0 0,-1 2-1 0 0,-20 3 0 0 0,20-1-68 0 0,0 0 0 0 0,1 1 0 0 0,0 1-1 0 0,0 1 1 0 0,1 0 0 0 0,-1 1 0 0 0,2 1 0 0 0,-17 11 0 0 0,25-15-271 0 0,1 1 1 0 0,-1-1-1 0 0,1 1 1 0 0,0 1-1 0 0,0-1 1 0 0,1 1-1 0 0,0 0 0 0 0,0 0 1 0 0,1 0-1 0 0,-1 1 1 0 0,2 0-1 0 0,-1 0 1 0 0,1 0-1 0 0,0 0 0 0 0,1 0 1 0 0,0 1-1 0 0,0-1 1 0 0,-1 18-1 0 0,3-4 139 0 0</inkml:trace>
  <inkml:trace contextRef="#ctx1" brushRef="#br0" timeOffset="2235.96">2345 515 10274 0 0,'-1'2'237'0'0,"0"-1"0"0"0,-1 1-1 0 0,1-1 1 0 0,0 1 0 0 0,0-1-1 0 0,0 1 1 0 0,0 0 0 0 0,0 0 0 0 0,0-1-1 0 0,1 1 1 0 0,-1 0 0 0 0,0 2-1 0 0,-7 14-121 0 0,2-8-48 0 0,0 0 1 0 0,1 1-1 0 0,0 0 1 0 0,1 0 0 0 0,0 0-1 0 0,0 0 1 0 0,-2 18 0 0 0,5-26-47 0 0,1 0 0 0 0,0 0 1 0 0,0 0-1 0 0,0 0 0 0 0,0 0 1 0 0,0 0-1 0 0,1 0 0 0 0,0 0 1 0 0,-1 0-1 0 0,1 0 0 0 0,0 0 1 0 0,0 0-1 0 0,0-1 0 0 0,1 1 1 0 0,-1 0-1 0 0,1 0 1 0 0,0-1-1 0 0,-1 1 0 0 0,1-1 1 0 0,0 0-1 0 0,0 0 0 0 0,1 1 1 0 0,-1-1-1 0 0,0-1 0 0 0,1 1 1 0 0,-1 0-1 0 0,1 0 0 0 0,0-1 1 0 0,-1 0-1 0 0,1 1 0 0 0,0-1 1 0 0,0 0-1 0 0,5 1 0 0 0,-1-1 35 0 0,-1 0 0 0 0,0 0 0 0 0,0-1 0 0 0,1 0 0 0 0,-1 0-1 0 0,0 0 1 0 0,1-1 0 0 0,-1 0 0 0 0,0 0 0 0 0,0-1-1 0 0,0 0 1 0 0,0 0 0 0 0,0 0 0 0 0,0-1 0 0 0,0 1-1 0 0,-1-2 1 0 0,7-3 0 0 0,3-3 9 0 0,-1 0 0 0 0,0-2 0 0 0,-1 1 0 0 0,23-27 0 0 0,-30 31-20 0 0,-1 0 1 0 0,0 0-1 0 0,0-1 0 0 0,-1 1 1 0 0,0-1-1 0 0,0 0 1 0 0,-1 0-1 0 0,0 0 0 0 0,0 0 1 0 0,2-16-1 0 0,-4 21-24 0 0,-1-1-1 0 0,1 0 1 0 0,-1 1-1 0 0,0-1 1 0 0,-1 0 0 0 0,1 1-1 0 0,-1-1 1 0 0,1 1-1 0 0,-1-1 1 0 0,0 0 0 0 0,0 1-1 0 0,-1 0 1 0 0,1-1 0 0 0,-1 1-1 0 0,0 0 1 0 0,0 0-1 0 0,0 0 1 0 0,0 0 0 0 0,0 0-1 0 0,0 0 1 0 0,-1 0 0 0 0,0 1-1 0 0,1-1 1 0 0,-1 1-1 0 0,0 0 1 0 0,0 0 0 0 0,-6-3-1 0 0,-1 0-55 0 0,0 0 1 0 0,0 0-1 0 0,-1 1 0 0 0,0 1 0 0 0,-21-5 0 0 0,28 7 8 0 0,0 0-1 0 0,-1 1 1 0 0,1 0-1 0 0,-1 0 1 0 0,1 0 0 0 0,0 1-1 0 0,-1-1 1 0 0,1 1 0 0 0,0 0-1 0 0,-1 0 1 0 0,1 0-1 0 0,0 1 1 0 0,0 0 0 0 0,0-1-1 0 0,0 2 1 0 0,0-1 0 0 0,1 0-1 0 0,-5 4 1 0 0,-1 0-76 0 0,-16 16-139 0 0,24-21 190 0 0,0-1 0 0 0,0 1 1 0 0,0 0-1 0 0,0 0 0 0 0,1 0 1 0 0,-1 0-1 0 0,0-1 0 0 0,1 1 1 0 0,-1 0-1 0 0,1 0 0 0 0,-1 0 1 0 0,1 0-1 0 0,-1 1 0 0 0,1-1 1 0 0,0 0-1 0 0,-1 0 0 0 0,1 0 1 0 0,0 0-1 0 0,0 0 0 0 0,0 0 1 0 0,0 2-1 0 0,0-2 10 0 0,1 0 0 0 0,-1-1 0 0 0,1 1 0 0 0,0-1 0 0 0,-1 1 0 0 0,1 0 0 0 0,0-1 0 0 0,-1 1 0 0 0,1-1 0 0 0,0 0-1 0 0,-1 1 1 0 0,1-1 0 0 0,0 0 0 0 0,0 1 0 0 0,0-1 0 0 0,0 0 0 0 0,-1 0 0 0 0,1 1 0 0 0,0-1 0 0 0,0 0 0 0 0,0 0 0 0 0,0 0 0 0 0,1 0 0 0 0,22-2-387 0 0,-21 2 364 0 0,33-5-227 0 0,57-16 0 0 0,-9 2 313 0 0,-24 8 224 0 0,0 3 0 0 0,63 0 0 0 0,-122 8-207 0 0,-1 0 1 0 0,1 0-1 0 0,-1 0 0 0 0,1 0 0 0 0,-1 0 1 0 0,1 0-1 0 0,-1 0 0 0 0,1 0 0 0 0,0 0 1 0 0,-1 0-1 0 0,1 0 0 0 0,-1 0 0 0 0,1 1 0 0 0,-1-1 1 0 0,1 0-1 0 0,-1 0 0 0 0,1 1 0 0 0,-1-1 1 0 0,1 0-1 0 0,-1 1 0 0 0,1-1 0 0 0,0 1 0 0 0,-6 8 587 0 0,-27 15-15 0 0,19-16-563 0 0,11-6-41 0 0,-22 18 21 0 0,-23 24 0 0 0,41-39-36 0 0,1 1-1 0 0,0 0 1 0 0,0 1 0 0 0,1-1-1 0 0,-1 1 1 0 0,1 0-1 0 0,1 0 1 0 0,-1 1 0 0 0,-3 13-1 0 0,6-21 8 0 0,1 1 0 0 0,0 0-1 0 0,0 0 1 0 0,0 0-1 0 0,0-1 1 0 0,0 1-1 0 0,0 0 1 0 0,0 0 0 0 0,0 0-1 0 0,0-1 1 0 0,0 1-1 0 0,0 0 1 0 0,0 0-1 0 0,1 0 1 0 0,-1-1 0 0 0,0 1-1 0 0,1 0 1 0 0,-1 0-1 0 0,0-1 1 0 0,1 1 0 0 0,-1 0-1 0 0,1-1 1 0 0,-1 1-1 0 0,1 0 1 0 0,-1-1-1 0 0,2 1 1 0 0,-1 0-3 0 0,1 0 0 0 0,0 0-1 0 0,-1 0 1 0 0,1 0 0 0 0,0-1 0 0 0,0 1 0 0 0,0-1 0 0 0,0 1-1 0 0,0-1 1 0 0,3 0 0 0 0,3 1-21 0 0,1-2 0 0 0,-1 1 0 0 0,0-1 0 0 0,11-2 0 0 0,195-55-1306 0 0,-194 52 958 0 0,-1 0 1 0 0,1-2-1 0 0,-1 0 1 0 0,-1-1-1 0 0,28-19 0 0 0,-9 2-1647 0 0,49-47-1 0 0,-41 29 1234 0 0,-44 44 1152 0 0,-20 1 2991 0 0,-2 5-3196 0 0,16-5-18 0 0,0 1 242 0 0,-25 12 233 0 0,1 2 0 0 0,0 1-1 0 0,2 1 1 0 0,-31 26 0 0 0,48-35-585 0 0,0 0 1 0 0,0 1-1 0 0,1 0 0 0 0,0 1 0 0 0,0 0 1 0 0,2 0-1 0 0,-1 1 0 0 0,1 0 0 0 0,1 0 1 0 0,0 1-1 0 0,1 0 0 0 0,1 0 0 0 0,-4 14 1 0 0,7-25-39 0 0,1-1 1 0 0,0 1 0 0 0,0 0 0 0 0,-1 0-1 0 0,1 0 1 0 0,0 0 0 0 0,0 0 0 0 0,1 0 0 0 0,-1 0-1 0 0,1 3 1 0 0,-1-5 4 0 0,1 1-1 0 0,-1 0 0 0 0,0-1 1 0 0,1 1-1 0 0,-1 0 1 0 0,1-1-1 0 0,-1 1 0 0 0,0 0 1 0 0,1-1-1 0 0,0 1 1 0 0,-1-1-1 0 0,1 1 0 0 0,-1-1 1 0 0,1 1-1 0 0,0-1 1 0 0,-1 0-1 0 0,1 1 0 0 0,0-1 1 0 0,0 1-1 0 0,2-1 7 0 0,-1 0-1 0 0,1 1 0 0 0,-1-1 1 0 0,1 0-1 0 0,-1-1 0 0 0,1 1 1 0 0,-1 0-1 0 0,1-1 0 0 0,-1 1 1 0 0,0-1-1 0 0,1 0 0 0 0,-1 0 1 0 0,0 0-1 0 0,1 0 1 0 0,1-1-1 0 0,14-8 76 0 0,-1-1 0 0 0,-1-1 0 0 0,0 0 0 0 0,16-16 0 0 0,55-62 177 0 0,-70 72-236 0 0,0-3 149 0 0,0-1 0 0 0,20-34 0 0 0,-37 55-159 0 0,-19 35 226 0 0,-26 65 1 0 0,-11 51-825 0 0,52-137 586 0 0,-24 65-341 0 0,-42 113-513 0 0,55-157 815 0 0,0-2-1 0 0,-3 0 1 0 0,-32 45-1 0 0,40-64 122 0 0,0-1-1 0 0,-1 0 0 0 0,0 0 0 0 0,0-1 0 0 0,-2-1 0 0 0,1 0 1 0 0,-27 16-1 0 0,35-24-27 0 0,0 0 0 0 0,0 0 0 0 0,0-1 0 0 0,0 1 0 0 0,0-1 0 0 0,0 0 0 0 0,0 0 0 0 0,-1 0 0 0 0,1 0 0 0 0,0-1 0 0 0,0 0-1 0 0,-1 0 1 0 0,1 0 0 0 0,0 0 0 0 0,-1-1 0 0 0,1 0 0 0 0,0 0 0 0 0,0 0 0 0 0,-1 0 0 0 0,1-1 0 0 0,0 1 0 0 0,0-1 0 0 0,1 0 0 0 0,-1 0 0 0 0,0-1 0 0 0,1 1 0 0 0,-1-1 0 0 0,1 0 0 0 0,0 1 0 0 0,0-2 0 0 0,0 1 0 0 0,0 0 0 0 0,-4-6 0 0 0,3 2 7 0 0,-1 0 0 0 0,1 0 0 0 0,0 0 0 0 0,0-1 1 0 0,1 1-1 0 0,0-1 0 0 0,0 0 0 0 0,1 0 0 0 0,0 0 0 0 0,1 0 0 0 0,-1 0 0 0 0,1-16 0 0 0,1 12-42 0 0,1-1 0 0 0,1 1 0 0 0,0-1-1 0 0,1 1 1 0 0,0 0 0 0 0,1 0-1 0 0,9-21 1 0 0,0 8-21 0 0,1-1-1 0 0,1 2 1 0 0,2 0-1 0 0,0 1 1 0 0,2 0-1 0 0,34-32 1 0 0,-19 25 32 0 0,2 2-1 0 0,0 1 1 0 0,2 2 0 0 0,0 2-1 0 0,49-22 1 0 0,214-73-1520 0 0,-180 74-311 0 0,-71 25 1703 0 0</inkml:trace>
  <inkml:trace contextRef="#ctx1" brushRef="#br0" timeOffset="2621.75">2915 109 20548 0 0,'-3'3'577'0'0,"4"1"-345"0"0,2 3 0 0 0,0 2 16 0 0,0 1-328 0 0,1 4-248 0 0,2 1 40 0 0,-1 1-737 0 0,-2-1-207 0 0,-1-1-96 0 0,-2-1-889 0 0,0-3 41 0 0,-1-3-665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DIA" ma:contentTypeID="0x0101005496552013C0BA46BE88192D5C6EB20B0064326E2FE2DC4F4C82D88636CB89B16500B9E76A920B410F4895452FD168EAD9D6" ma:contentTypeVersion="6" ma:contentTypeDescription="Use for the development and management of Policy both internal and external to DIA" ma:contentTypeScope="" ma:versionID="45bb81e3cac993e976776009983a01ee">
  <xsd:schema xmlns:xsd="http://www.w3.org/2001/XMLSchema" xmlns:xs="http://www.w3.org/2001/XMLSchema" xmlns:p="http://schemas.microsoft.com/office/2006/metadata/properties" xmlns:ns3="01be4277-2979-4a68-876d-b92b25fceece" xmlns:ns4="18cf293b-ce89-46f8-9bed-0c96c674c2d1" targetNamespace="http://schemas.microsoft.com/office/2006/metadata/properties" ma:root="true" ma:fieldsID="ca87c6beef982db45fe31452a095ba4d" ns3:_="" ns4:_="">
    <xsd:import namespace="01be4277-2979-4a68-876d-b92b25fceece"/>
    <xsd:import namespace="18cf293b-ce89-46f8-9bed-0c96c674c2d1"/>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c2ead2bafe3437a940e126fc8cf8bdb" minOccurs="0"/>
                <xsd:element ref="ns4:aba3a45dc2194161a894669118d4d6d6" minOccurs="0"/>
                <xsd:element ref="ns4:DIA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54a8be0c-b1b0-4ad2-ac90-07623ae9b249" ma:anchorId="a5e8ec15-a21d-4c71-a5ab-bdc04c834b2f"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f293b-ce89-46f8-9bed-0c96c674c2d1"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c479fc61-2290-4683-acf8-93bf0a326fab}" ma:internalName="TaxCatchAll" ma:showField="CatchAllData" ma:web="18cf293b-ce89-46f8-9bed-0c96c674c2d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479fc61-2290-4683-acf8-93bf0a326fab}" ma:internalName="TaxCatchAllLabel" ma:readOnly="true" ma:showField="CatchAllDataLabel" ma:web="18cf293b-ce89-46f8-9bed-0c96c674c2d1">
      <xsd:complexType>
        <xsd:complexContent>
          <xsd:extension base="dms:MultiChoiceLookup">
            <xsd:sequence>
              <xsd:element name="Value" type="dms:Lookup" maxOccurs="unbounded" minOccurs="0" nillable="true"/>
            </xsd:sequence>
          </xsd:extension>
        </xsd:complexContent>
      </xsd:complexType>
    </xsd:element>
    <xsd:element name="bc2ead2bafe3437a940e126fc8cf8bdb" ma:index="14" nillable="true" ma:taxonomy="true" ma:internalName="bc2ead2bafe3437a940e126fc8cf8bdb" ma:taxonomyFieldName="DIAPolicyorProcedureType" ma:displayName="Policy or Procedure Type" ma:fieldId="{bc2ead2b-afe3-437a-940e-126fc8cf8bdb}" ma:sspId="caf61cd4-0327-4679-8f8a-6e41773e81e7" ma:termSetId="a5aa541f-9b72-47f9-b198-4af2ea1d7870" ma:anchorId="00000000-0000-0000-0000-000000000000" ma:open="false" ma:isKeyword="false">
      <xsd:complexType>
        <xsd:sequence>
          <xsd:element ref="pc:Terms" minOccurs="0" maxOccurs="1"/>
        </xsd:sequence>
      </xsd:complexType>
    </xsd:element>
    <xsd:element name="aba3a45dc2194161a894669118d4d6d6" ma:index="16" ma:taxonomy="true" ma:internalName="aba3a45dc2194161a894669118d4d6d6" ma:taxonomyFieldName="DIASecurityClassification" ma:displayName="Security Classification" ma:default="1;#UNCLASSIFIED|875d92a8-67e2-4a32-9472-8fe99549e1eb" ma:fieldId="{aba3a45d-c219-4161-a894-669118d4d6d6}"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8" nillable="true" ma:displayName="Notes" ma:description="Additional information, can include URL link to another document" ma:internalName="DIANotes">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18cf293b-ce89-46f8-9bed-0c96c674c2d1">
      <Value>2</Value>
      <Value>106</Value>
    </TaxCatchAll>
    <DIANotes xmlns="18cf293b-ce89-46f8-9bed-0c96c674c2d1" xsi:nil="true"/>
    <TaxKeywordTaxHTField xmlns="18cf293b-ce89-46f8-9bed-0c96c674c2d1">
      <Terms xmlns="http://schemas.microsoft.com/office/infopath/2007/PartnerControls"/>
    </TaxKeywordTaxHTField>
    <aba3a45dc2194161a894669118d4d6d6 xmlns="18cf293b-ce89-46f8-9bed-0c96c674c2d1">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cf9276f4-acb3-404d-a80d-53cc76a30125</TermId>
        </TermInfo>
      </Terms>
    </aba3a45dc2194161a894669118d4d6d6>
    <_dlc_DocId xmlns="18cf293b-ce89-46f8-9bed-0c96c674c2d1">FYHHWTPX5PK5-2036087859-5</_dlc_DocId>
    <_dlc_DocIdUrl xmlns="18cf293b-ce89-46f8-9bed-0c96c674c2d1">
      <Url>https://dia.cohesion.net.nz/Sites/BDM/PLM/PLI/BDMRR/_layouts/15/DocIdRedir.aspx?ID=FYHHWTPX5PK5-2036087859-5</Url>
      <Description>FYHHWTPX5PK5-2036087859-5</Description>
    </_dlc_DocIdUrl>
    <bc2ead2bafe3437a940e126fc8cf8bdb xmlns="18cf293b-ce89-46f8-9bed-0c96c674c2d1">
      <Terms xmlns="http://schemas.microsoft.com/office/infopath/2007/PartnerControls"/>
    </bc2ead2bafe3437a940e126fc8cf8bd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8B3E63-E5CD-4E93-8DB3-C16F5243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8cf293b-ce89-46f8-9bed-0c96c674c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F14C3-5D24-43F1-9632-A15F9FE5AB58}">
  <ds:schemaRefs>
    <ds:schemaRef ds:uri="http://schemas.microsoft.com/sharepoint/v3/contenttype/forms"/>
  </ds:schemaRefs>
</ds:datastoreItem>
</file>

<file path=customXml/itemProps3.xml><?xml version="1.0" encoding="utf-8"?>
<ds:datastoreItem xmlns:ds="http://schemas.openxmlformats.org/officeDocument/2006/customXml" ds:itemID="{1168F27D-1BA4-4C4B-8A2D-BEB1EA1142C8}">
  <ds:schemaRefs>
    <ds:schemaRef ds:uri="http://schemas.openxmlformats.org/officeDocument/2006/bibliography"/>
  </ds:schemaRefs>
</ds:datastoreItem>
</file>

<file path=customXml/itemProps4.xml><?xml version="1.0" encoding="utf-8"?>
<ds:datastoreItem xmlns:ds="http://schemas.openxmlformats.org/officeDocument/2006/customXml" ds:itemID="{179F1E05-5CC0-4D47-910E-6C9B09430580}">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18cf293b-ce89-46f8-9bed-0c96c674c2d1"/>
    <ds:schemaRef ds:uri="http://schemas.microsoft.com/office/infopath/2007/PartnerControls"/>
    <ds:schemaRef ds:uri="http://schemas.openxmlformats.org/package/2006/metadata/core-properties"/>
    <ds:schemaRef ds:uri="01be4277-2979-4a68-876d-b92b25fceece"/>
    <ds:schemaRef ds:uri="http://www.w3.org/XML/1998/namespace"/>
  </ds:schemaRefs>
</ds:datastoreItem>
</file>

<file path=customXml/itemProps5.xml><?xml version="1.0" encoding="utf-8"?>
<ds:datastoreItem xmlns:ds="http://schemas.openxmlformats.org/officeDocument/2006/customXml" ds:itemID="{7354CE43-CBDE-4492-9D82-48435BB790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16658</Words>
  <Characters>94951</Characters>
  <Application>Microsoft Office Word</Application>
  <DocSecurity>4</DocSecurity>
  <Lines>791</Lines>
  <Paragraphs>222</Paragraphs>
  <ScaleCrop>false</ScaleCrop>
  <HeadingPairs>
    <vt:vector size="2" baseType="variant">
      <vt:variant>
        <vt:lpstr>Title</vt:lpstr>
      </vt:variant>
      <vt:variant>
        <vt:i4>1</vt:i4>
      </vt:variant>
    </vt:vector>
  </HeadingPairs>
  <TitlesOfParts>
    <vt:vector size="1" baseType="lpstr">
      <vt:lpstr>Interim Self-ID Regulations RIS - First draft</vt:lpstr>
    </vt:vector>
  </TitlesOfParts>
  <Company>NZ Government</Company>
  <LinksUpToDate>false</LinksUpToDate>
  <CharactersWithSpaces>111387</CharactersWithSpaces>
  <SharedDoc>false</SharedDoc>
  <HLinks>
    <vt:vector size="54" baseType="variant">
      <vt:variant>
        <vt:i4>2687029</vt:i4>
      </vt:variant>
      <vt:variant>
        <vt:i4>24</vt:i4>
      </vt:variant>
      <vt:variant>
        <vt:i4>0</vt:i4>
      </vt:variant>
      <vt:variant>
        <vt:i4>5</vt:i4>
      </vt:variant>
      <vt:variant>
        <vt:lpwstr>http://www.treasury.govt.nz/regulation/expectations</vt:lpwstr>
      </vt:variant>
      <vt:variant>
        <vt:lpwstr/>
      </vt:variant>
      <vt:variant>
        <vt:i4>2687029</vt:i4>
      </vt:variant>
      <vt:variant>
        <vt:i4>21</vt:i4>
      </vt:variant>
      <vt:variant>
        <vt:i4>0</vt:i4>
      </vt:variant>
      <vt:variant>
        <vt:i4>5</vt:i4>
      </vt:variant>
      <vt:variant>
        <vt:lpwstr>http://www.treasury.govt.nz/regulation/expectations</vt:lpwstr>
      </vt:variant>
      <vt:variant>
        <vt:lpwstr/>
      </vt:variant>
      <vt:variant>
        <vt:i4>8257662</vt:i4>
      </vt:variant>
      <vt:variant>
        <vt:i4>18</vt:i4>
      </vt:variant>
      <vt:variant>
        <vt:i4>0</vt:i4>
      </vt:variant>
      <vt:variant>
        <vt:i4>5</vt:i4>
      </vt:variant>
      <vt:variant>
        <vt:lpwstr>http://www.treasury.govt.nz/publications/guidance/planning/costbenefitanalysis</vt:lpwstr>
      </vt:variant>
      <vt:variant>
        <vt:lpwstr/>
      </vt:variant>
      <vt:variant>
        <vt:i4>2949239</vt:i4>
      </vt:variant>
      <vt:variant>
        <vt:i4>15</vt:i4>
      </vt:variant>
      <vt:variant>
        <vt:i4>0</vt:i4>
      </vt:variant>
      <vt:variant>
        <vt:i4>5</vt:i4>
      </vt:variant>
      <vt:variant>
        <vt:lpwstr>http://www.treasury.govt.nz/publications/guidance/planning/costbenefitanalysis/x/x-guide-oct15.pdf</vt:lpwstr>
      </vt:variant>
      <vt:variant>
        <vt:lpwstr/>
      </vt:variant>
      <vt:variant>
        <vt:i4>2687029</vt:i4>
      </vt:variant>
      <vt:variant>
        <vt:i4>12</vt:i4>
      </vt:variant>
      <vt:variant>
        <vt:i4>0</vt:i4>
      </vt:variant>
      <vt:variant>
        <vt:i4>5</vt:i4>
      </vt:variant>
      <vt:variant>
        <vt:lpwstr>http://www.treasury.govt.nz/regulation/expectations</vt:lpwstr>
      </vt:variant>
      <vt:variant>
        <vt:lpwstr/>
      </vt:variant>
      <vt:variant>
        <vt:i4>4128805</vt:i4>
      </vt:variant>
      <vt:variant>
        <vt:i4>9</vt:i4>
      </vt:variant>
      <vt:variant>
        <vt:i4>0</vt:i4>
      </vt:variant>
      <vt:variant>
        <vt:i4>5</vt:i4>
      </vt:variant>
      <vt:variant>
        <vt:lpwstr>http://www.treasury.govt.nz/regulation/regulatoryproposal/ria/handbook</vt:lpwstr>
      </vt:variant>
      <vt:variant>
        <vt:lpwstr/>
      </vt:variant>
      <vt:variant>
        <vt:i4>2687029</vt:i4>
      </vt:variant>
      <vt:variant>
        <vt:i4>6</vt:i4>
      </vt:variant>
      <vt:variant>
        <vt:i4>0</vt:i4>
      </vt:variant>
      <vt:variant>
        <vt:i4>5</vt:i4>
      </vt:variant>
      <vt:variant>
        <vt:lpwstr>http://www.treasury.govt.nz/regulation/expectations</vt:lpwstr>
      </vt:variant>
      <vt:variant>
        <vt:lpwstr/>
      </vt:variant>
      <vt:variant>
        <vt:i4>4128805</vt:i4>
      </vt:variant>
      <vt:variant>
        <vt:i4>3</vt:i4>
      </vt:variant>
      <vt:variant>
        <vt:i4>0</vt:i4>
      </vt:variant>
      <vt:variant>
        <vt:i4>5</vt:i4>
      </vt:variant>
      <vt:variant>
        <vt:lpwstr>http://www.treasury.govt.nz/regulation/regulatoryproposal/ria/handbook</vt:lpwstr>
      </vt:variant>
      <vt:variant>
        <vt:lpwstr/>
      </vt:variant>
      <vt:variant>
        <vt:i4>3801155</vt:i4>
      </vt:variant>
      <vt:variant>
        <vt:i4>0</vt:i4>
      </vt:variant>
      <vt:variant>
        <vt:i4>0</vt:i4>
      </vt:variant>
      <vt:variant>
        <vt:i4>5</vt:i4>
      </vt:variant>
      <vt:variant>
        <vt:lpwstr>mailto:ria@treasury.govt.nz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Self-ID Regulations RIS - First draft</dc:title>
  <dc:subject/>
  <dc:creator>New Zealand Treasury</dc:creator>
  <cp:keywords/>
  <dc:description/>
  <cp:lastModifiedBy>Tim Bollinger</cp:lastModifiedBy>
  <cp:revision>2</cp:revision>
  <cp:lastPrinted>2022-04-05T03:59:00Z</cp:lastPrinted>
  <dcterms:created xsi:type="dcterms:W3CDTF">2022-06-08T02:47:00Z</dcterms:created>
  <dcterms:modified xsi:type="dcterms:W3CDTF">2022-06-08T02:47:00Z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0x0101005496552013C0BA46BE88192D5C6EB20B0064326E2FE2DC4F4C82D88636CB89B16500B9E76A920B410F4895452FD168EAD9D6</vt:lpwstr>
  </property>
  <property fmtid="{D5CDD505-2E9C-101B-9397-08002B2CF9AE}" pid="3" name="DIAEmailContentType">
    <vt:lpwstr>2;#Correspondence|dcd6b05f-dc80-4336-b228-09aebf3d212c</vt:lpwstr>
  </property>
  <property fmtid="{D5CDD505-2E9C-101B-9397-08002B2CF9AE}" pid="4" name="k99ffec3ab8a4b7abdb735fb42ba2022">
    <vt:lpwstr>Correspondence|dcd6b05f-dc80-4336-b228-09aebf3d212c</vt:lpwstr>
  </property>
  <property fmtid="{D5CDD505-2E9C-101B-9397-08002B2CF9AE}" pid="5" name="DIASecurityClassification">
    <vt:lpwstr>106;#IN-CONFIDENCE|cf9276f4-acb3-404d-a80d-53cc76a30125</vt:lpwstr>
  </property>
  <property fmtid="{D5CDD505-2E9C-101B-9397-08002B2CF9AE}" pid="6" name="_dlc_DocIdItemGuid">
    <vt:lpwstr>1644cc86-7369-4521-aab7-5caecb501ba0</vt:lpwstr>
  </property>
  <property fmtid="{D5CDD505-2E9C-101B-9397-08002B2CF9AE}" pid="7" name="DIAPolicyorProcedureType">
    <vt:lpwstr/>
  </property>
  <property fmtid="{D5CDD505-2E9C-101B-9397-08002B2CF9AE}" pid="8" name="TaxKeyword">
    <vt:lpwstr/>
  </property>
  <property fmtid="{D5CDD505-2E9C-101B-9397-08002B2CF9AE}" pid="9" name="gddf791f5b5d4e7f88ee1f025f628ccf">
    <vt:lpwstr/>
  </property>
  <property fmtid="{D5CDD505-2E9C-101B-9397-08002B2CF9AE}" pid="10" name="DIALegislation">
    <vt:lpwstr/>
  </property>
  <property fmtid="{D5CDD505-2E9C-101B-9397-08002B2CF9AE}" pid="11" name="DIAAnalysisDocumentType">
    <vt:lpwstr/>
  </property>
  <property fmtid="{D5CDD505-2E9C-101B-9397-08002B2CF9AE}" pid="12" name="h627772381104ecc820dfe91f03e857c">
    <vt:lpwstr/>
  </property>
  <property fmtid="{D5CDD505-2E9C-101B-9397-08002B2CF9AE}" pid="13" name="o753c1294e2f4c51b3891a9112e72ce9">
    <vt:lpwstr/>
  </property>
  <property fmtid="{D5CDD505-2E9C-101B-9397-08002B2CF9AE}" pid="14" name="DIAAgreementType">
    <vt:lpwstr/>
  </property>
  <property fmtid="{D5CDD505-2E9C-101B-9397-08002B2CF9AE}" pid="15" name="C3Topic">
    <vt:lpwstr/>
  </property>
  <property fmtid="{D5CDD505-2E9C-101B-9397-08002B2CF9AE}" pid="16" name="DIAReportDocumentType">
    <vt:lpwstr/>
  </property>
  <property fmtid="{D5CDD505-2E9C-101B-9397-08002B2CF9AE}" pid="17" name="p1b27b0b1ed7479688bcafa1357becb7">
    <vt:lpwstr/>
  </property>
  <property fmtid="{D5CDD505-2E9C-101B-9397-08002B2CF9AE}" pid="18" name="o05edd03cedf48a2b90b20f35e1ff8dd">
    <vt:lpwstr/>
  </property>
  <property fmtid="{D5CDD505-2E9C-101B-9397-08002B2CF9AE}" pid="19" name="m3f0678535164f9893bd028eb939e58b">
    <vt:lpwstr/>
  </property>
  <property fmtid="{D5CDD505-2E9C-101B-9397-08002B2CF9AE}" pid="20" name="DIAOfficialEntity">
    <vt:lpwstr/>
  </property>
  <property fmtid="{D5CDD505-2E9C-101B-9397-08002B2CF9AE}" pid="21" name="DIAPortfolio">
    <vt:lpwstr/>
  </property>
  <property fmtid="{D5CDD505-2E9C-101B-9397-08002B2CF9AE}" pid="22" name="DIAAdministrationDocumentType">
    <vt:lpwstr/>
  </property>
  <property fmtid="{D5CDD505-2E9C-101B-9397-08002B2CF9AE}" pid="23" name="o5c74dcd6c0343d39a44b89ad889b7c1">
    <vt:lpwstr/>
  </property>
  <property fmtid="{D5CDD505-2E9C-101B-9397-08002B2CF9AE}" pid="24" name="d0ee913f5c3c4ac7990e041f6fb48b61">
    <vt:lpwstr/>
  </property>
  <property fmtid="{D5CDD505-2E9C-101B-9397-08002B2CF9AE}" pid="25" name="p99ba52da7c64c1687fed847f3441d6c">
    <vt:lpwstr/>
  </property>
  <property fmtid="{D5CDD505-2E9C-101B-9397-08002B2CF9AE}" pid="26" name="jd96ac64781f405a84a13e2c60ace85e">
    <vt:lpwstr/>
  </property>
  <property fmtid="{D5CDD505-2E9C-101B-9397-08002B2CF9AE}" pid="27" name="DIABriefingType">
    <vt:lpwstr/>
  </property>
  <property fmtid="{D5CDD505-2E9C-101B-9397-08002B2CF9AE}" pid="28" name="ma214fb9b2af4888ab84d3850305d8dd">
    <vt:lpwstr/>
  </property>
  <property fmtid="{D5CDD505-2E9C-101B-9397-08002B2CF9AE}" pid="29" name="DIABriefingAudience">
    <vt:lpwstr/>
  </property>
  <property fmtid="{D5CDD505-2E9C-101B-9397-08002B2CF9AE}" pid="30" name="DIAMediaDocumentType">
    <vt:lpwstr/>
  </property>
  <property fmtid="{D5CDD505-2E9C-101B-9397-08002B2CF9AE}" pid="31" name="DIAMeetingDocumentType">
    <vt:lpwstr/>
  </property>
</Properties>
</file>