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62AAB" w14:textId="1587A930" w:rsidR="00EF50FD" w:rsidRPr="00A864A5" w:rsidRDefault="00EF50FD" w:rsidP="00D14868">
      <w:pPr>
        <w:pStyle w:val="Heading1"/>
        <w:spacing w:before="0" w:after="120"/>
        <w:rPr>
          <w:color w:val="0082AB"/>
          <w:lang w:val="en-NZ"/>
        </w:rPr>
      </w:pPr>
      <w:r w:rsidRPr="00A864A5">
        <w:rPr>
          <w:color w:val="0082AB"/>
          <w:lang w:val="en-NZ"/>
        </w:rPr>
        <w:t xml:space="preserve">Regulatory Impact Statement: </w:t>
      </w:r>
      <w:r w:rsidR="009B6901">
        <w:rPr>
          <w:color w:val="0082AB"/>
          <w:lang w:val="en-NZ"/>
        </w:rPr>
        <w:t xml:space="preserve">Interim assessment for </w:t>
      </w:r>
      <w:r w:rsidR="00B1735C">
        <w:rPr>
          <w:color w:val="0082AB"/>
          <w:lang w:val="en-NZ"/>
        </w:rPr>
        <w:t>Reducing Pokies Harm</w:t>
      </w:r>
    </w:p>
    <w:p w14:paraId="35D0BAF4" w14:textId="77777777" w:rsidR="0062657E" w:rsidRPr="00A864A5" w:rsidRDefault="0062657E" w:rsidP="00D14868">
      <w:pPr>
        <w:pStyle w:val="spacer"/>
        <w:rPr>
          <w:lang w:val="en-NZ"/>
        </w:rPr>
      </w:pP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6"/>
        <w:gridCol w:w="6654"/>
      </w:tblGrid>
      <w:tr w:rsidR="001F29E6" w:rsidRPr="00A864A5" w14:paraId="6F9E87E6" w14:textId="77777777" w:rsidTr="006448CF">
        <w:tc>
          <w:tcPr>
            <w:tcW w:w="5000" w:type="pct"/>
            <w:gridSpan w:val="2"/>
            <w:tcBorders>
              <w:bottom w:val="single" w:sz="4" w:space="0" w:color="DDDDDD"/>
            </w:tcBorders>
            <w:shd w:val="clear" w:color="auto" w:fill="99CDDD"/>
            <w:hideMark/>
          </w:tcPr>
          <w:p w14:paraId="23A0EC86" w14:textId="77777777" w:rsidR="001F29E6" w:rsidRPr="00A864A5" w:rsidRDefault="001F29E6" w:rsidP="00D14868">
            <w:pPr>
              <w:pStyle w:val="TableHeadings"/>
              <w:spacing w:line="240" w:lineRule="auto"/>
              <w:rPr>
                <w:color w:val="002060"/>
                <w:szCs w:val="22"/>
                <w:lang w:val="en-NZ"/>
              </w:rPr>
            </w:pPr>
            <w:bookmarkStart w:id="0" w:name="_Hlk47357107"/>
            <w:r w:rsidRPr="00A864A5">
              <w:rPr>
                <w:szCs w:val="22"/>
                <w:lang w:val="en-NZ"/>
              </w:rPr>
              <w:t>Purpose</w:t>
            </w:r>
            <w:r w:rsidR="002C0E77">
              <w:rPr>
                <w:szCs w:val="22"/>
                <w:lang w:val="en-NZ"/>
              </w:rPr>
              <w:t xml:space="preserve"> of Document</w:t>
            </w:r>
          </w:p>
        </w:tc>
      </w:tr>
      <w:tr w:rsidR="001F29E6" w:rsidRPr="00A864A5" w14:paraId="4D64BA85" w14:textId="77777777" w:rsidTr="00CA1831">
        <w:trPr>
          <w:trHeight w:val="161"/>
        </w:trPr>
        <w:tc>
          <w:tcPr>
            <w:tcW w:w="1328" w:type="pct"/>
            <w:tcBorders>
              <w:top w:val="nil"/>
            </w:tcBorders>
            <w:shd w:val="clear" w:color="auto" w:fill="EBF5F8"/>
          </w:tcPr>
          <w:p w14:paraId="2FD07DBD" w14:textId="77777777" w:rsidR="001F29E6" w:rsidRPr="00B1735C" w:rsidRDefault="001F29E6" w:rsidP="00CA1831">
            <w:pPr>
              <w:spacing w:before="60" w:after="120" w:line="240" w:lineRule="auto"/>
              <w:rPr>
                <w:rFonts w:cs="Arial"/>
                <w:iCs/>
                <w:color w:val="000000"/>
                <w:sz w:val="20"/>
                <w:lang w:val="en-NZ"/>
              </w:rPr>
            </w:pPr>
            <w:r w:rsidRPr="00B1735C">
              <w:rPr>
                <w:rFonts w:cs="Arial"/>
                <w:iCs/>
                <w:color w:val="000000"/>
                <w:sz w:val="20"/>
                <w:lang w:val="en-NZ"/>
              </w:rPr>
              <w:t xml:space="preserve">Decision </w:t>
            </w:r>
            <w:r w:rsidR="002C0E77" w:rsidRPr="00B1735C">
              <w:rPr>
                <w:rFonts w:cs="Arial"/>
                <w:iCs/>
                <w:color w:val="000000"/>
                <w:sz w:val="20"/>
                <w:lang w:val="en-NZ"/>
              </w:rPr>
              <w:t>s</w:t>
            </w:r>
            <w:r w:rsidRPr="00B1735C">
              <w:rPr>
                <w:rFonts w:cs="Arial"/>
                <w:iCs/>
                <w:color w:val="000000"/>
                <w:sz w:val="20"/>
                <w:lang w:val="en-NZ"/>
              </w:rPr>
              <w:t>ought:</w:t>
            </w:r>
          </w:p>
        </w:tc>
        <w:tc>
          <w:tcPr>
            <w:tcW w:w="3672" w:type="pct"/>
            <w:tcBorders>
              <w:top w:val="nil"/>
            </w:tcBorders>
            <w:shd w:val="clear" w:color="auto" w:fill="auto"/>
          </w:tcPr>
          <w:p w14:paraId="6C7486D0" w14:textId="25A8CDCD" w:rsidR="001F29E6" w:rsidRPr="003F6091" w:rsidRDefault="00606E71" w:rsidP="00CA1831">
            <w:pPr>
              <w:spacing w:before="60" w:after="120" w:line="240" w:lineRule="auto"/>
              <w:rPr>
                <w:rFonts w:cs="Arial"/>
                <w:i/>
                <w:color w:val="000000"/>
                <w:sz w:val="20"/>
                <w:lang w:val="en-NZ"/>
              </w:rPr>
            </w:pPr>
            <w:r w:rsidRPr="003F6091">
              <w:rPr>
                <w:rFonts w:cs="Arial"/>
                <w:color w:val="000000"/>
                <w:sz w:val="20"/>
                <w:lang w:val="en-NZ"/>
              </w:rPr>
              <w:t xml:space="preserve">Release of a </w:t>
            </w:r>
            <w:r w:rsidR="00D0628B" w:rsidRPr="003F6091">
              <w:rPr>
                <w:rFonts w:cs="Arial"/>
                <w:color w:val="000000"/>
                <w:sz w:val="20"/>
                <w:lang w:val="en-NZ"/>
              </w:rPr>
              <w:t xml:space="preserve">public </w:t>
            </w:r>
            <w:r w:rsidRPr="003F6091">
              <w:rPr>
                <w:rFonts w:cs="Arial"/>
                <w:color w:val="000000"/>
                <w:sz w:val="20"/>
                <w:lang w:val="en-NZ"/>
              </w:rPr>
              <w:t xml:space="preserve">discussion document </w:t>
            </w:r>
            <w:r w:rsidR="00D0628B" w:rsidRPr="003F6091">
              <w:rPr>
                <w:rFonts w:cs="Arial"/>
                <w:color w:val="000000"/>
                <w:sz w:val="20"/>
                <w:lang w:val="en-NZ"/>
              </w:rPr>
              <w:t xml:space="preserve">seeking views on how </w:t>
            </w:r>
            <w:r w:rsidRPr="003F6091">
              <w:rPr>
                <w:rFonts w:cs="Arial"/>
                <w:color w:val="000000"/>
                <w:sz w:val="20"/>
                <w:lang w:val="en-NZ"/>
              </w:rPr>
              <w:t xml:space="preserve">to strengthen </w:t>
            </w:r>
            <w:r w:rsidR="00D0628B" w:rsidRPr="003F6091">
              <w:rPr>
                <w:rFonts w:cs="Arial"/>
                <w:color w:val="000000"/>
                <w:sz w:val="20"/>
                <w:lang w:val="en-NZ"/>
              </w:rPr>
              <w:t xml:space="preserve">harm minimisation </w:t>
            </w:r>
            <w:r w:rsidRPr="003F6091">
              <w:rPr>
                <w:rFonts w:cs="Arial"/>
                <w:color w:val="000000"/>
                <w:sz w:val="20"/>
                <w:lang w:val="en-NZ"/>
              </w:rPr>
              <w:t xml:space="preserve">regulations </w:t>
            </w:r>
            <w:r w:rsidR="00D0628B" w:rsidRPr="003F6091">
              <w:rPr>
                <w:rFonts w:cs="Arial"/>
                <w:color w:val="000000"/>
                <w:sz w:val="20"/>
                <w:lang w:val="en-NZ"/>
              </w:rPr>
              <w:t xml:space="preserve">for </w:t>
            </w:r>
            <w:r w:rsidRPr="003F6091">
              <w:rPr>
                <w:rFonts w:cs="Arial"/>
                <w:color w:val="000000"/>
                <w:sz w:val="20"/>
                <w:lang w:val="en-NZ"/>
              </w:rPr>
              <w:t>Class 4 gambling venues</w:t>
            </w:r>
            <w:r w:rsidR="00743572" w:rsidRPr="003F6091">
              <w:rPr>
                <w:rFonts w:cs="Arial"/>
                <w:color w:val="000000"/>
                <w:sz w:val="20"/>
                <w:lang w:val="en-NZ"/>
              </w:rPr>
              <w:t>.</w:t>
            </w:r>
            <w:r w:rsidR="00D0628B" w:rsidRPr="003F6091">
              <w:rPr>
                <w:rFonts w:cs="Arial"/>
                <w:color w:val="000000"/>
                <w:sz w:val="20"/>
                <w:lang w:val="en-NZ"/>
              </w:rPr>
              <w:t xml:space="preserve"> (</w:t>
            </w:r>
            <w:r w:rsidR="00743572" w:rsidRPr="003F6091">
              <w:rPr>
                <w:rFonts w:cs="Arial"/>
                <w:color w:val="000000"/>
                <w:sz w:val="20"/>
                <w:lang w:val="en-NZ"/>
              </w:rPr>
              <w:t xml:space="preserve">in effect, </w:t>
            </w:r>
            <w:r w:rsidR="00D0628B" w:rsidRPr="003F6091">
              <w:rPr>
                <w:rFonts w:cs="Arial"/>
                <w:color w:val="000000"/>
                <w:sz w:val="20"/>
                <w:lang w:val="en-NZ"/>
              </w:rPr>
              <w:t xml:space="preserve">an ‘in-principle’ decision to </w:t>
            </w:r>
            <w:r w:rsidR="00F36AEC">
              <w:rPr>
                <w:rFonts w:cs="Arial"/>
                <w:color w:val="000000"/>
                <w:sz w:val="20"/>
                <w:lang w:val="en-NZ"/>
              </w:rPr>
              <w:t xml:space="preserve">consult on </w:t>
            </w:r>
            <w:r w:rsidR="00D0628B" w:rsidRPr="003F6091">
              <w:rPr>
                <w:rFonts w:cs="Arial"/>
                <w:color w:val="000000"/>
                <w:sz w:val="20"/>
                <w:lang w:val="en-NZ"/>
              </w:rPr>
              <w:t>strengthen</w:t>
            </w:r>
            <w:r w:rsidR="00AB1925">
              <w:rPr>
                <w:rFonts w:cs="Arial"/>
                <w:color w:val="000000"/>
                <w:sz w:val="20"/>
                <w:lang w:val="en-NZ"/>
              </w:rPr>
              <w:t>ing</w:t>
            </w:r>
            <w:r w:rsidR="00D0628B" w:rsidRPr="003F6091">
              <w:rPr>
                <w:rFonts w:cs="Arial"/>
                <w:color w:val="000000"/>
                <w:sz w:val="20"/>
                <w:lang w:val="en-NZ"/>
              </w:rPr>
              <w:t xml:space="preserve"> the regulations, without knowing exactly how)</w:t>
            </w:r>
            <w:r w:rsidRPr="003F6091">
              <w:rPr>
                <w:rFonts w:cs="Arial"/>
                <w:color w:val="000000"/>
                <w:sz w:val="20"/>
                <w:lang w:val="en-NZ"/>
              </w:rPr>
              <w:t>.</w:t>
            </w:r>
          </w:p>
        </w:tc>
      </w:tr>
      <w:tr w:rsidR="001F29E6" w:rsidRPr="00A864A5" w14:paraId="4D10CBA8" w14:textId="77777777" w:rsidTr="00B1735C">
        <w:trPr>
          <w:trHeight w:val="62"/>
        </w:trPr>
        <w:tc>
          <w:tcPr>
            <w:tcW w:w="1328" w:type="pct"/>
            <w:tcBorders>
              <w:top w:val="nil"/>
            </w:tcBorders>
            <w:shd w:val="clear" w:color="auto" w:fill="EBF5F8"/>
          </w:tcPr>
          <w:p w14:paraId="2C545BF5" w14:textId="77777777" w:rsidR="001F29E6" w:rsidRPr="00B1735C" w:rsidRDefault="002C0E77" w:rsidP="00CA1831">
            <w:pPr>
              <w:spacing w:before="60" w:after="120" w:line="240" w:lineRule="auto"/>
              <w:rPr>
                <w:rFonts w:cs="Arial"/>
                <w:iCs/>
                <w:color w:val="000000"/>
                <w:sz w:val="20"/>
                <w:lang w:val="en-NZ"/>
              </w:rPr>
            </w:pPr>
            <w:r w:rsidRPr="00B1735C">
              <w:rPr>
                <w:rFonts w:cs="Arial"/>
                <w:iCs/>
                <w:color w:val="000000"/>
                <w:sz w:val="20"/>
                <w:lang w:val="en-NZ"/>
              </w:rPr>
              <w:t>Advising agencies</w:t>
            </w:r>
            <w:r w:rsidR="007F3B1C" w:rsidRPr="00B1735C">
              <w:rPr>
                <w:rFonts w:cs="Arial"/>
                <w:iCs/>
                <w:color w:val="000000"/>
                <w:sz w:val="20"/>
                <w:lang w:val="en-NZ"/>
              </w:rPr>
              <w:t>:</w:t>
            </w:r>
          </w:p>
        </w:tc>
        <w:tc>
          <w:tcPr>
            <w:tcW w:w="3672" w:type="pct"/>
            <w:tcBorders>
              <w:top w:val="nil"/>
            </w:tcBorders>
            <w:shd w:val="clear" w:color="auto" w:fill="auto"/>
          </w:tcPr>
          <w:p w14:paraId="3B587F1A" w14:textId="77777777" w:rsidR="001F29E6" w:rsidRPr="003F6091" w:rsidRDefault="00606E71" w:rsidP="00CA1831">
            <w:pPr>
              <w:spacing w:before="60" w:after="120" w:line="240" w:lineRule="auto"/>
              <w:rPr>
                <w:rFonts w:cs="Arial"/>
                <w:color w:val="000000"/>
                <w:sz w:val="20"/>
                <w:lang w:val="en-NZ"/>
              </w:rPr>
            </w:pPr>
            <w:r w:rsidRPr="003F6091">
              <w:rPr>
                <w:rFonts w:cs="Arial"/>
                <w:color w:val="000000"/>
                <w:sz w:val="20"/>
                <w:lang w:val="en-NZ"/>
              </w:rPr>
              <w:t>Department of Internal Affairs</w:t>
            </w:r>
          </w:p>
        </w:tc>
      </w:tr>
      <w:tr w:rsidR="001F29E6" w:rsidRPr="00A864A5" w14:paraId="126F11CB" w14:textId="77777777" w:rsidTr="00B1735C">
        <w:trPr>
          <w:trHeight w:val="60"/>
        </w:trPr>
        <w:tc>
          <w:tcPr>
            <w:tcW w:w="1328" w:type="pct"/>
            <w:tcBorders>
              <w:top w:val="nil"/>
            </w:tcBorders>
            <w:shd w:val="clear" w:color="auto" w:fill="EBF5F8"/>
          </w:tcPr>
          <w:p w14:paraId="1861C340" w14:textId="77777777" w:rsidR="001F29E6" w:rsidRPr="00B1735C" w:rsidRDefault="001F29E6" w:rsidP="00CA1831">
            <w:pPr>
              <w:spacing w:before="60" w:after="120" w:line="240" w:lineRule="auto"/>
              <w:rPr>
                <w:rFonts w:cs="Arial"/>
                <w:iCs/>
                <w:color w:val="000000"/>
                <w:sz w:val="20"/>
                <w:lang w:val="en-NZ"/>
              </w:rPr>
            </w:pPr>
            <w:r w:rsidRPr="00B1735C">
              <w:rPr>
                <w:rFonts w:cs="Arial"/>
                <w:iCs/>
                <w:color w:val="000000"/>
                <w:sz w:val="20"/>
                <w:lang w:val="en-NZ"/>
              </w:rPr>
              <w:t>Proposing Minister</w:t>
            </w:r>
            <w:r w:rsidR="000C29FA" w:rsidRPr="00B1735C">
              <w:rPr>
                <w:rFonts w:cs="Arial"/>
                <w:iCs/>
                <w:color w:val="000000"/>
                <w:sz w:val="20"/>
                <w:lang w:val="en-NZ"/>
              </w:rPr>
              <w:t>s:</w:t>
            </w:r>
          </w:p>
        </w:tc>
        <w:tc>
          <w:tcPr>
            <w:tcW w:w="3672" w:type="pct"/>
            <w:tcBorders>
              <w:top w:val="nil"/>
            </w:tcBorders>
            <w:shd w:val="clear" w:color="auto" w:fill="auto"/>
          </w:tcPr>
          <w:p w14:paraId="798C3235" w14:textId="77777777" w:rsidR="001F29E6" w:rsidRPr="0043532E" w:rsidRDefault="00606E71" w:rsidP="00CA1831">
            <w:pPr>
              <w:spacing w:before="60" w:after="120" w:line="240" w:lineRule="auto"/>
              <w:rPr>
                <w:rFonts w:cs="Arial"/>
                <w:color w:val="000000"/>
                <w:sz w:val="20"/>
                <w:lang w:val="en-NZ"/>
              </w:rPr>
            </w:pPr>
            <w:r w:rsidRPr="0043532E">
              <w:rPr>
                <w:rFonts w:cs="Arial"/>
                <w:color w:val="000000"/>
                <w:sz w:val="20"/>
                <w:lang w:val="en-NZ"/>
              </w:rPr>
              <w:t>Minister of Internal Affairs</w:t>
            </w:r>
          </w:p>
        </w:tc>
      </w:tr>
      <w:tr w:rsidR="00C11B3B" w:rsidRPr="00A864A5" w14:paraId="50539682" w14:textId="77777777" w:rsidTr="00B1735C">
        <w:trPr>
          <w:trHeight w:val="118"/>
        </w:trPr>
        <w:tc>
          <w:tcPr>
            <w:tcW w:w="1328" w:type="pct"/>
            <w:tcBorders>
              <w:top w:val="nil"/>
            </w:tcBorders>
            <w:shd w:val="clear" w:color="auto" w:fill="EBF5F8"/>
          </w:tcPr>
          <w:p w14:paraId="4A0A5A02" w14:textId="77777777" w:rsidR="00C11B3B" w:rsidRPr="00B1735C" w:rsidRDefault="00C11B3B" w:rsidP="00CA1831">
            <w:pPr>
              <w:spacing w:before="60" w:after="120" w:line="240" w:lineRule="auto"/>
              <w:rPr>
                <w:rFonts w:cs="Arial"/>
                <w:iCs/>
                <w:color w:val="000000"/>
                <w:sz w:val="20"/>
                <w:lang w:val="en-NZ"/>
              </w:rPr>
            </w:pPr>
            <w:r w:rsidRPr="00B1735C">
              <w:rPr>
                <w:rFonts w:cs="Arial"/>
                <w:iCs/>
                <w:color w:val="000000"/>
                <w:sz w:val="20"/>
                <w:lang w:val="en-NZ"/>
              </w:rPr>
              <w:t>Date</w:t>
            </w:r>
            <w:r w:rsidR="002C0E77" w:rsidRPr="00B1735C">
              <w:rPr>
                <w:rFonts w:cs="Arial"/>
                <w:iCs/>
                <w:color w:val="000000"/>
                <w:sz w:val="20"/>
                <w:lang w:val="en-NZ"/>
              </w:rPr>
              <w:t xml:space="preserve"> finalised</w:t>
            </w:r>
            <w:r w:rsidRPr="00B1735C">
              <w:rPr>
                <w:rFonts w:cs="Arial"/>
                <w:iCs/>
                <w:color w:val="000000"/>
                <w:sz w:val="20"/>
                <w:lang w:val="en-NZ"/>
              </w:rPr>
              <w:t>:</w:t>
            </w:r>
          </w:p>
        </w:tc>
        <w:tc>
          <w:tcPr>
            <w:tcW w:w="3672" w:type="pct"/>
            <w:tcBorders>
              <w:top w:val="nil"/>
            </w:tcBorders>
            <w:shd w:val="clear" w:color="auto" w:fill="auto"/>
          </w:tcPr>
          <w:p w14:paraId="0A2BE096" w14:textId="6BABE069" w:rsidR="00C11B3B" w:rsidRPr="0043532E" w:rsidRDefault="00763B1B" w:rsidP="00CA1831">
            <w:pPr>
              <w:spacing w:before="60" w:after="120" w:line="240" w:lineRule="auto"/>
              <w:rPr>
                <w:rFonts w:cs="Arial"/>
                <w:color w:val="000000"/>
                <w:sz w:val="20"/>
                <w:lang w:val="en-NZ"/>
              </w:rPr>
            </w:pPr>
            <w:r>
              <w:rPr>
                <w:rFonts w:cs="Arial"/>
                <w:color w:val="000000"/>
                <w:sz w:val="20"/>
                <w:lang w:val="en-NZ"/>
              </w:rPr>
              <w:t>8</w:t>
            </w:r>
            <w:r w:rsidR="00A87BFA" w:rsidRPr="0043532E">
              <w:rPr>
                <w:rFonts w:cs="Arial"/>
                <w:color w:val="000000"/>
                <w:sz w:val="20"/>
                <w:lang w:val="en-NZ"/>
              </w:rPr>
              <w:t xml:space="preserve"> December </w:t>
            </w:r>
            <w:r w:rsidR="00E4189B" w:rsidRPr="0043532E">
              <w:rPr>
                <w:rFonts w:cs="Arial"/>
                <w:color w:val="000000"/>
                <w:sz w:val="20"/>
                <w:lang w:val="en-NZ"/>
              </w:rPr>
              <w:t>2021</w:t>
            </w:r>
          </w:p>
        </w:tc>
      </w:tr>
      <w:tr w:rsidR="0079435C" w:rsidRPr="00A864A5" w14:paraId="4149E662" w14:textId="77777777" w:rsidTr="006448CF">
        <w:tc>
          <w:tcPr>
            <w:tcW w:w="5000" w:type="pct"/>
            <w:gridSpan w:val="2"/>
            <w:tcBorders>
              <w:bottom w:val="single" w:sz="4" w:space="0" w:color="DDDDDD"/>
            </w:tcBorders>
            <w:shd w:val="clear" w:color="auto" w:fill="99CDDD"/>
            <w:hideMark/>
          </w:tcPr>
          <w:p w14:paraId="31C1E606" w14:textId="77777777" w:rsidR="0079435C" w:rsidRPr="00A864A5" w:rsidRDefault="0079435C" w:rsidP="00D14868">
            <w:pPr>
              <w:pStyle w:val="TableHeadings"/>
              <w:spacing w:line="240" w:lineRule="auto"/>
              <w:rPr>
                <w:color w:val="002060"/>
                <w:szCs w:val="22"/>
                <w:lang w:val="en-NZ"/>
              </w:rPr>
            </w:pPr>
            <w:r w:rsidRPr="00A864A5">
              <w:rPr>
                <w:szCs w:val="22"/>
                <w:lang w:val="en-NZ"/>
              </w:rPr>
              <w:t>Problem Definition</w:t>
            </w:r>
          </w:p>
        </w:tc>
      </w:tr>
      <w:tr w:rsidR="0079435C" w:rsidRPr="00A864A5" w14:paraId="74F7CADA" w14:textId="77777777" w:rsidTr="006448CF">
        <w:trPr>
          <w:trHeight w:val="824"/>
        </w:trPr>
        <w:tc>
          <w:tcPr>
            <w:tcW w:w="5000" w:type="pct"/>
            <w:gridSpan w:val="2"/>
            <w:tcBorders>
              <w:top w:val="nil"/>
            </w:tcBorders>
            <w:shd w:val="clear" w:color="auto" w:fill="auto"/>
          </w:tcPr>
          <w:p w14:paraId="4B180EAC" w14:textId="338F86AB" w:rsidR="0079435C" w:rsidRPr="00AE6B24" w:rsidRDefault="000C3F6A" w:rsidP="00D3440E">
            <w:pPr>
              <w:tabs>
                <w:tab w:val="left" w:pos="7424"/>
                <w:tab w:val="right" w:pos="8636"/>
              </w:tabs>
              <w:spacing w:before="120" w:line="240" w:lineRule="auto"/>
              <w:rPr>
                <w:rFonts w:cs="Arial"/>
                <w:sz w:val="20"/>
                <w:lang w:val="en-NZ"/>
              </w:rPr>
            </w:pPr>
            <w:r w:rsidRPr="00AE6B24">
              <w:rPr>
                <w:rStyle w:val="normaltextrun"/>
                <w:rFonts w:cs="Arial"/>
                <w:color w:val="000000"/>
                <w:sz w:val="20"/>
                <w:shd w:val="clear" w:color="auto" w:fill="FFFFFF"/>
              </w:rPr>
              <w:t>Class 4 gambling (</w:t>
            </w:r>
            <w:r w:rsidR="000A6FE2" w:rsidRPr="00AE6B24">
              <w:rPr>
                <w:rStyle w:val="normaltextrun"/>
                <w:rFonts w:cs="Arial"/>
                <w:color w:val="000000"/>
                <w:sz w:val="20"/>
                <w:shd w:val="clear" w:color="auto" w:fill="FFFFFF"/>
              </w:rPr>
              <w:t xml:space="preserve">known as pokies, refers to </w:t>
            </w:r>
            <w:r w:rsidRPr="00AE6B24">
              <w:rPr>
                <w:rStyle w:val="normaltextrun"/>
                <w:rFonts w:cs="Arial"/>
                <w:color w:val="000000"/>
                <w:sz w:val="20"/>
                <w:shd w:val="clear" w:color="auto" w:fill="FFFFFF"/>
              </w:rPr>
              <w:t>electronic gaming machines in pubs, clubs and TABs) has a higher risk of harm than other forms of gambling</w:t>
            </w:r>
            <w:r w:rsidR="0013799C" w:rsidRPr="00AE6B24">
              <w:rPr>
                <w:rStyle w:val="normaltextrun"/>
                <w:rFonts w:cs="Arial"/>
                <w:color w:val="000000"/>
                <w:sz w:val="20"/>
                <w:shd w:val="clear" w:color="auto" w:fill="FFFFFF"/>
              </w:rPr>
              <w:t>.</w:t>
            </w:r>
            <w:r w:rsidRPr="00AE6B24">
              <w:rPr>
                <w:rStyle w:val="normaltextrun"/>
                <w:rFonts w:cs="Arial"/>
                <w:color w:val="000000"/>
                <w:sz w:val="20"/>
                <w:shd w:val="clear" w:color="auto" w:fill="FFFFFF"/>
              </w:rPr>
              <w:t xml:space="preserve"> </w:t>
            </w:r>
            <w:r w:rsidR="00152AB6" w:rsidRPr="00AE6B24">
              <w:rPr>
                <w:rStyle w:val="normaltextrun"/>
                <w:rFonts w:cs="Arial"/>
                <w:color w:val="000000"/>
                <w:sz w:val="20"/>
                <w:shd w:val="clear" w:color="auto" w:fill="FFFFFF"/>
              </w:rPr>
              <w:t>The</w:t>
            </w:r>
            <w:r w:rsidR="00951141" w:rsidRPr="00AE6B24">
              <w:rPr>
                <w:rStyle w:val="normaltextrun"/>
                <w:rFonts w:cs="Arial"/>
                <w:color w:val="000000"/>
                <w:sz w:val="20"/>
                <w:shd w:val="clear" w:color="auto" w:fill="FFFFFF"/>
              </w:rPr>
              <w:t xml:space="preserve"> current regulations around harm minimisation have not been substantively reviewed since their inception in 2004 </w:t>
            </w:r>
            <w:r w:rsidR="00C345BC" w:rsidRPr="00AE6B24">
              <w:rPr>
                <w:rStyle w:val="normaltextrun"/>
                <w:rFonts w:cs="Arial"/>
                <w:color w:val="000000"/>
                <w:sz w:val="20"/>
                <w:shd w:val="clear" w:color="auto" w:fill="FFFFFF"/>
              </w:rPr>
              <w:t xml:space="preserve">and </w:t>
            </w:r>
            <w:r w:rsidR="00951141" w:rsidRPr="00AE6B24">
              <w:rPr>
                <w:rStyle w:val="normaltextrun"/>
                <w:rFonts w:cs="Arial"/>
                <w:color w:val="000000"/>
                <w:sz w:val="20"/>
                <w:shd w:val="clear" w:color="auto" w:fill="FFFFFF"/>
              </w:rPr>
              <w:t>are limited in terms of today’s known</w:t>
            </w:r>
            <w:r w:rsidR="003C10A8" w:rsidRPr="00AE6B24">
              <w:rPr>
                <w:rStyle w:val="normaltextrun"/>
                <w:rFonts w:cs="Arial"/>
                <w:color w:val="000000"/>
                <w:sz w:val="20"/>
                <w:shd w:val="clear" w:color="auto" w:fill="FFFFFF"/>
              </w:rPr>
              <w:t xml:space="preserve"> best practice</w:t>
            </w:r>
            <w:r w:rsidR="00951141" w:rsidRPr="00AE6B24">
              <w:rPr>
                <w:rStyle w:val="normaltextrun"/>
                <w:rFonts w:cs="Arial"/>
                <w:color w:val="000000"/>
                <w:sz w:val="20"/>
                <w:shd w:val="clear" w:color="auto" w:fill="FFFFFF"/>
              </w:rPr>
              <w:t xml:space="preserve"> harm minimisation measure</w:t>
            </w:r>
            <w:r w:rsidR="005D78CD" w:rsidRPr="00AE6B24">
              <w:rPr>
                <w:rStyle w:val="normaltextrun"/>
                <w:rFonts w:cs="Arial"/>
                <w:color w:val="000000"/>
                <w:sz w:val="20"/>
                <w:shd w:val="clear" w:color="auto" w:fill="FFFFFF"/>
              </w:rPr>
              <w:t>s</w:t>
            </w:r>
            <w:r w:rsidR="00ED678E" w:rsidRPr="00AE6B24">
              <w:rPr>
                <w:rStyle w:val="normaltextrun"/>
                <w:rFonts w:cs="Arial"/>
                <w:color w:val="000000"/>
                <w:sz w:val="20"/>
                <w:shd w:val="clear" w:color="auto" w:fill="FFFFFF"/>
              </w:rPr>
              <w:t xml:space="preserve"> –</w:t>
            </w:r>
            <w:r w:rsidR="003C10A8" w:rsidRPr="00AE6B24">
              <w:rPr>
                <w:rStyle w:val="normaltextrun"/>
                <w:rFonts w:cs="Arial"/>
                <w:color w:val="000000"/>
                <w:sz w:val="20"/>
                <w:shd w:val="clear" w:color="auto" w:fill="FFFFFF"/>
              </w:rPr>
              <w:t xml:space="preserve"> which means that</w:t>
            </w:r>
            <w:r w:rsidR="00ED678E" w:rsidRPr="00AE6B24">
              <w:rPr>
                <w:rStyle w:val="normaltextrun"/>
                <w:rFonts w:cs="Arial"/>
                <w:color w:val="000000"/>
                <w:sz w:val="20"/>
                <w:shd w:val="clear" w:color="auto" w:fill="FFFFFF"/>
              </w:rPr>
              <w:t xml:space="preserve"> people could be experiencing </w:t>
            </w:r>
            <w:r w:rsidR="005B51F5" w:rsidRPr="00AE6B24">
              <w:rPr>
                <w:rStyle w:val="normaltextrun"/>
                <w:rFonts w:cs="Arial"/>
                <w:color w:val="000000"/>
                <w:sz w:val="20"/>
                <w:shd w:val="clear" w:color="auto" w:fill="FFFFFF"/>
              </w:rPr>
              <w:t xml:space="preserve">preventable </w:t>
            </w:r>
            <w:r w:rsidR="00ED678E" w:rsidRPr="00AE6B24">
              <w:rPr>
                <w:rStyle w:val="normaltextrun"/>
                <w:rFonts w:cs="Arial"/>
                <w:color w:val="000000"/>
                <w:sz w:val="20"/>
                <w:shd w:val="clear" w:color="auto" w:fill="FFFFFF"/>
              </w:rPr>
              <w:t>harm</w:t>
            </w:r>
            <w:r w:rsidR="00951141" w:rsidRPr="00AE6B24">
              <w:rPr>
                <w:rStyle w:val="normaltextrun"/>
                <w:rFonts w:cs="Arial"/>
                <w:color w:val="000000"/>
                <w:sz w:val="20"/>
                <w:shd w:val="clear" w:color="auto" w:fill="FFFFFF"/>
              </w:rPr>
              <w:t xml:space="preserve">. The </w:t>
            </w:r>
            <w:r w:rsidR="00152AB6" w:rsidRPr="00AE6B24">
              <w:rPr>
                <w:rStyle w:val="normaltextrun"/>
                <w:rFonts w:cs="Arial"/>
                <w:color w:val="000000"/>
                <w:sz w:val="20"/>
                <w:shd w:val="clear" w:color="auto" w:fill="FFFFFF"/>
              </w:rPr>
              <w:t>risk of h</w:t>
            </w:r>
            <w:r w:rsidR="00B1735C" w:rsidRPr="00AE6B24">
              <w:rPr>
                <w:rStyle w:val="normaltextrun"/>
                <w:rFonts w:cs="Arial"/>
                <w:color w:val="000000"/>
                <w:sz w:val="20"/>
                <w:shd w:val="clear" w:color="auto" w:fill="FFFFFF"/>
              </w:rPr>
              <w:t xml:space="preserve">arm may not be appropriately </w:t>
            </w:r>
            <w:r w:rsidR="00951141" w:rsidRPr="00AE6B24">
              <w:rPr>
                <w:rStyle w:val="normaltextrun"/>
                <w:rFonts w:cs="Arial"/>
                <w:color w:val="000000"/>
                <w:sz w:val="20"/>
                <w:shd w:val="clear" w:color="auto" w:fill="FFFFFF"/>
              </w:rPr>
              <w:t xml:space="preserve">or optimally </w:t>
            </w:r>
            <w:r w:rsidR="00B1735C" w:rsidRPr="00AE6B24">
              <w:rPr>
                <w:rStyle w:val="normaltextrun"/>
                <w:rFonts w:cs="Arial"/>
                <w:color w:val="000000"/>
                <w:sz w:val="20"/>
                <w:shd w:val="clear" w:color="auto" w:fill="FFFFFF"/>
              </w:rPr>
              <w:t>mitigated by operators and their venues. </w:t>
            </w:r>
            <w:r w:rsidR="00951141" w:rsidRPr="00AE6B24">
              <w:rPr>
                <w:rStyle w:val="normaltextrun"/>
                <w:rFonts w:cs="Arial"/>
                <w:color w:val="000000"/>
                <w:sz w:val="20"/>
                <w:shd w:val="clear" w:color="auto" w:fill="FFFFFF"/>
              </w:rPr>
              <w:t>While machine numbers are declining, they remain the most common type of gambling harm for clients accessing intervention services.</w:t>
            </w:r>
            <w:r w:rsidR="0079435C" w:rsidRPr="00AE6B24">
              <w:rPr>
                <w:rFonts w:cs="Arial"/>
                <w:sz w:val="20"/>
                <w:lang w:val="en-NZ"/>
              </w:rPr>
              <w:tab/>
            </w:r>
            <w:r w:rsidR="0079435C" w:rsidRPr="00AE6B24">
              <w:rPr>
                <w:rFonts w:cs="Arial"/>
                <w:sz w:val="20"/>
                <w:lang w:val="en-NZ"/>
              </w:rPr>
              <w:tab/>
            </w:r>
          </w:p>
        </w:tc>
      </w:tr>
      <w:tr w:rsidR="00C93549" w:rsidRPr="00A864A5" w14:paraId="3C385116" w14:textId="77777777" w:rsidTr="006448CF">
        <w:tc>
          <w:tcPr>
            <w:tcW w:w="5000" w:type="pct"/>
            <w:gridSpan w:val="2"/>
            <w:tcBorders>
              <w:bottom w:val="single" w:sz="4" w:space="0" w:color="DDDDDD"/>
            </w:tcBorders>
            <w:shd w:val="clear" w:color="auto" w:fill="99CDDD"/>
            <w:hideMark/>
          </w:tcPr>
          <w:p w14:paraId="612DFC63" w14:textId="77777777" w:rsidR="00C93549" w:rsidRPr="00AE6B24" w:rsidRDefault="00063943" w:rsidP="00D14868">
            <w:pPr>
              <w:pStyle w:val="TableHeadings"/>
              <w:spacing w:line="240" w:lineRule="auto"/>
              <w:rPr>
                <w:color w:val="002060"/>
                <w:szCs w:val="22"/>
                <w:lang w:val="en-NZ"/>
              </w:rPr>
            </w:pPr>
            <w:bookmarkStart w:id="1" w:name="_Hlk57202117"/>
            <w:r w:rsidRPr="00AE6B24">
              <w:rPr>
                <w:szCs w:val="22"/>
                <w:lang w:val="en-NZ"/>
              </w:rPr>
              <w:t>Exe</w:t>
            </w:r>
            <w:r w:rsidR="0079435C" w:rsidRPr="00AE6B24">
              <w:rPr>
                <w:szCs w:val="22"/>
                <w:lang w:val="en-NZ"/>
              </w:rPr>
              <w:t>cutive Summary</w:t>
            </w:r>
          </w:p>
        </w:tc>
      </w:tr>
      <w:tr w:rsidR="00FE3199" w:rsidRPr="00A864A5" w14:paraId="5A959A79" w14:textId="77777777" w:rsidTr="003C516F">
        <w:trPr>
          <w:trHeight w:val="558"/>
        </w:trPr>
        <w:tc>
          <w:tcPr>
            <w:tcW w:w="5000" w:type="pct"/>
            <w:gridSpan w:val="2"/>
            <w:tcBorders>
              <w:top w:val="nil"/>
            </w:tcBorders>
            <w:shd w:val="clear" w:color="auto" w:fill="auto"/>
          </w:tcPr>
          <w:p w14:paraId="578B7AC7" w14:textId="02020275" w:rsidR="00B1735C" w:rsidRPr="00D14868" w:rsidRDefault="00B1735C" w:rsidP="00D3440E">
            <w:pPr>
              <w:tabs>
                <w:tab w:val="left" w:pos="7424"/>
                <w:tab w:val="right" w:pos="8636"/>
              </w:tabs>
              <w:spacing w:before="120" w:line="240" w:lineRule="auto"/>
              <w:rPr>
                <w:sz w:val="20"/>
                <w:lang w:val="en-NZ"/>
              </w:rPr>
            </w:pPr>
            <w:r w:rsidRPr="00D14868">
              <w:rPr>
                <w:sz w:val="20"/>
                <w:lang w:val="en-NZ"/>
              </w:rPr>
              <w:t xml:space="preserve">The level of harm associated with playing pokies </w:t>
            </w:r>
            <w:r w:rsidR="00707D12">
              <w:rPr>
                <w:sz w:val="20"/>
                <w:lang w:val="en-NZ"/>
              </w:rPr>
              <w:t xml:space="preserve">is </w:t>
            </w:r>
            <w:r w:rsidRPr="00D14868">
              <w:rPr>
                <w:sz w:val="20"/>
                <w:lang w:val="en-NZ"/>
              </w:rPr>
              <w:t>increasing</w:t>
            </w:r>
            <w:r w:rsidR="0055694C">
              <w:rPr>
                <w:sz w:val="20"/>
                <w:lang w:val="en-NZ"/>
              </w:rPr>
              <w:t xml:space="preserve"> and will continue to do </w:t>
            </w:r>
            <w:r w:rsidR="00DD278D">
              <w:rPr>
                <w:sz w:val="20"/>
                <w:lang w:val="en-NZ"/>
              </w:rPr>
              <w:t xml:space="preserve">so </w:t>
            </w:r>
            <w:r w:rsidR="0055694C">
              <w:rPr>
                <w:sz w:val="20"/>
                <w:lang w:val="en-NZ"/>
              </w:rPr>
              <w:t>without Government intervention</w:t>
            </w:r>
            <w:r w:rsidR="00091719">
              <w:rPr>
                <w:sz w:val="20"/>
                <w:lang w:val="en-NZ"/>
              </w:rPr>
              <w:t xml:space="preserve">. </w:t>
            </w:r>
            <w:r w:rsidR="00D317AA" w:rsidRPr="00D14868">
              <w:rPr>
                <w:sz w:val="20"/>
                <w:lang w:val="en-NZ"/>
              </w:rPr>
              <w:t>This g</w:t>
            </w:r>
            <w:r w:rsidR="00A33E49" w:rsidRPr="00D14868">
              <w:rPr>
                <w:sz w:val="20"/>
                <w:lang w:val="en-NZ"/>
              </w:rPr>
              <w:t xml:space="preserve">ambling </w:t>
            </w:r>
            <w:r w:rsidR="00A33E49" w:rsidRPr="00BC2572">
              <w:rPr>
                <w:rStyle w:val="normaltextrun"/>
                <w:rFonts w:cs="Arial"/>
                <w:color w:val="000000"/>
                <w:sz w:val="20"/>
                <w:shd w:val="clear" w:color="auto" w:fill="FFFFFF"/>
              </w:rPr>
              <w:t>harm</w:t>
            </w:r>
            <w:r w:rsidR="00A33E49" w:rsidRPr="00D14868">
              <w:rPr>
                <w:sz w:val="20"/>
                <w:lang w:val="en-NZ"/>
              </w:rPr>
              <w:t xml:space="preserve"> has </w:t>
            </w:r>
            <w:r w:rsidR="000A6FE2">
              <w:rPr>
                <w:sz w:val="20"/>
                <w:lang w:val="en-NZ"/>
              </w:rPr>
              <w:t xml:space="preserve">a negative </w:t>
            </w:r>
            <w:r w:rsidR="00F2385E">
              <w:rPr>
                <w:sz w:val="20"/>
                <w:lang w:val="en-NZ"/>
              </w:rPr>
              <w:t>effect</w:t>
            </w:r>
            <w:r w:rsidR="000A6FE2">
              <w:rPr>
                <w:sz w:val="20"/>
                <w:lang w:val="en-NZ"/>
              </w:rPr>
              <w:t xml:space="preserve"> on individuals</w:t>
            </w:r>
            <w:r w:rsidR="00A33E49" w:rsidRPr="00D14868">
              <w:rPr>
                <w:sz w:val="20"/>
                <w:lang w:val="en-NZ"/>
              </w:rPr>
              <w:t xml:space="preserve"> and </w:t>
            </w:r>
            <w:r w:rsidR="000A6FE2">
              <w:rPr>
                <w:sz w:val="20"/>
                <w:lang w:val="en-NZ"/>
              </w:rPr>
              <w:t>their</w:t>
            </w:r>
            <w:r w:rsidR="00A33E49" w:rsidRPr="00D14868">
              <w:rPr>
                <w:sz w:val="20"/>
                <w:lang w:val="en-NZ"/>
              </w:rPr>
              <w:t xml:space="preserve"> wh</w:t>
            </w:r>
            <w:r w:rsidR="00707D12">
              <w:rPr>
                <w:sz w:val="20"/>
                <w:lang w:val="en-NZ"/>
              </w:rPr>
              <w:t>ā</w:t>
            </w:r>
            <w:r w:rsidR="00A33E49" w:rsidRPr="00D14868">
              <w:rPr>
                <w:sz w:val="20"/>
                <w:lang w:val="en-NZ"/>
              </w:rPr>
              <w:t xml:space="preserve">nau, friends and the wider community. </w:t>
            </w:r>
            <w:r w:rsidR="00D317AA" w:rsidRPr="00D14868">
              <w:rPr>
                <w:sz w:val="20"/>
                <w:lang w:val="en-NZ"/>
              </w:rPr>
              <w:t xml:space="preserve">This harm is also disproportionately affecting </w:t>
            </w:r>
            <w:r w:rsidR="00D317AA" w:rsidRPr="00D14868">
              <w:rPr>
                <w:sz w:val="20"/>
              </w:rPr>
              <w:t xml:space="preserve">Māori, Pacific </w:t>
            </w:r>
            <w:r w:rsidR="000A6FE2">
              <w:rPr>
                <w:sz w:val="20"/>
              </w:rPr>
              <w:t xml:space="preserve">peoples </w:t>
            </w:r>
            <w:r w:rsidR="00D317AA" w:rsidRPr="00D14868">
              <w:rPr>
                <w:sz w:val="20"/>
              </w:rPr>
              <w:t xml:space="preserve">and other </w:t>
            </w:r>
            <w:r w:rsidR="000A6FE2">
              <w:rPr>
                <w:sz w:val="20"/>
              </w:rPr>
              <w:t>population</w:t>
            </w:r>
            <w:r w:rsidR="00D317AA" w:rsidRPr="00D14868">
              <w:rPr>
                <w:sz w:val="20"/>
              </w:rPr>
              <w:t xml:space="preserve"> groups.</w:t>
            </w:r>
          </w:p>
          <w:p w14:paraId="1CF21091" w14:textId="1D88AAD5" w:rsidR="00D317AA" w:rsidRPr="00B521E1" w:rsidRDefault="00091719" w:rsidP="00D14868">
            <w:pPr>
              <w:spacing w:line="240" w:lineRule="auto"/>
              <w:rPr>
                <w:sz w:val="20"/>
              </w:rPr>
            </w:pPr>
            <w:r w:rsidRPr="00F2385E">
              <w:rPr>
                <w:sz w:val="20"/>
                <w:lang w:val="en-NZ"/>
              </w:rPr>
              <w:t xml:space="preserve">The </w:t>
            </w:r>
            <w:r w:rsidR="00A33E49" w:rsidRPr="00F2385E">
              <w:rPr>
                <w:sz w:val="20"/>
              </w:rPr>
              <w:t>Gambling (Harm Prevention and Minimisation) Regulations 2004</w:t>
            </w:r>
            <w:r w:rsidRPr="00F2385E">
              <w:rPr>
                <w:sz w:val="20"/>
              </w:rPr>
              <w:t xml:space="preserve"> are limited in scope and prescription and </w:t>
            </w:r>
            <w:r w:rsidR="00D317AA" w:rsidRPr="00F2385E">
              <w:rPr>
                <w:sz w:val="20"/>
              </w:rPr>
              <w:t xml:space="preserve">have not </w:t>
            </w:r>
            <w:r w:rsidR="001F7F23" w:rsidRPr="00425DED">
              <w:rPr>
                <w:sz w:val="20"/>
              </w:rPr>
              <w:t xml:space="preserve">changed significantly </w:t>
            </w:r>
            <w:r w:rsidR="00D317AA" w:rsidRPr="00425DED">
              <w:rPr>
                <w:sz w:val="20"/>
              </w:rPr>
              <w:t xml:space="preserve">since </w:t>
            </w:r>
            <w:r w:rsidR="001F7F23" w:rsidRPr="00425DED">
              <w:rPr>
                <w:sz w:val="20"/>
              </w:rPr>
              <w:t xml:space="preserve">they were established </w:t>
            </w:r>
            <w:r w:rsidR="00D317AA" w:rsidRPr="00425DED">
              <w:rPr>
                <w:sz w:val="20"/>
              </w:rPr>
              <w:t xml:space="preserve">in 2004. </w:t>
            </w:r>
            <w:r w:rsidR="00CF69B4" w:rsidRPr="00286E91">
              <w:rPr>
                <w:sz w:val="20"/>
              </w:rPr>
              <w:t xml:space="preserve">The requirements </w:t>
            </w:r>
            <w:r w:rsidR="0082082F" w:rsidRPr="00286E91">
              <w:rPr>
                <w:sz w:val="20"/>
              </w:rPr>
              <w:t xml:space="preserve">in the Regulations </w:t>
            </w:r>
            <w:r w:rsidR="00CF69B4" w:rsidRPr="00286E91">
              <w:rPr>
                <w:sz w:val="20"/>
              </w:rPr>
              <w:t xml:space="preserve">do not correspond with the level of </w:t>
            </w:r>
            <w:r w:rsidR="00CF69B4" w:rsidRPr="002D1A74">
              <w:rPr>
                <w:sz w:val="20"/>
              </w:rPr>
              <w:t>risk and the harm being caused</w:t>
            </w:r>
            <w:r w:rsidR="005C2079" w:rsidRPr="002D1A74">
              <w:rPr>
                <w:sz w:val="20"/>
              </w:rPr>
              <w:t>.</w:t>
            </w:r>
            <w:r w:rsidR="00CF69B4" w:rsidRPr="002D1A74">
              <w:rPr>
                <w:sz w:val="20"/>
              </w:rPr>
              <w:t xml:space="preserve"> </w:t>
            </w:r>
            <w:r w:rsidR="00D317AA" w:rsidRPr="002D1A74">
              <w:rPr>
                <w:sz w:val="20"/>
              </w:rPr>
              <w:t>Advocates in the harm prevention and minimisation sector, as well as local authorities, have been asking for stronger measures</w:t>
            </w:r>
            <w:r w:rsidR="00E4189B" w:rsidRPr="002D1A74">
              <w:rPr>
                <w:sz w:val="20"/>
              </w:rPr>
              <w:t xml:space="preserve"> for some time</w:t>
            </w:r>
            <w:r w:rsidR="00D317AA" w:rsidRPr="002D1A74">
              <w:rPr>
                <w:sz w:val="20"/>
              </w:rPr>
              <w:t xml:space="preserve">. </w:t>
            </w:r>
            <w:r w:rsidR="002D1A74" w:rsidRPr="002D1A74">
              <w:rPr>
                <w:rFonts w:cs="Arial"/>
                <w:sz w:val="20"/>
                <w:lang w:val="en-NZ"/>
              </w:rPr>
              <w:t>A recent District Court decision has also identified that more prescriptive requirements might result in more effective enforcement.</w:t>
            </w:r>
          </w:p>
          <w:p w14:paraId="0D725036" w14:textId="77777777" w:rsidR="006950B8" w:rsidRDefault="006950B8" w:rsidP="006950B8">
            <w:pPr>
              <w:spacing w:line="240" w:lineRule="auto"/>
              <w:rPr>
                <w:sz w:val="20"/>
              </w:rPr>
            </w:pPr>
            <w:r>
              <w:rPr>
                <w:sz w:val="20"/>
              </w:rPr>
              <w:t xml:space="preserve">The </w:t>
            </w:r>
            <w:r w:rsidR="00C06E1F">
              <w:rPr>
                <w:sz w:val="20"/>
              </w:rPr>
              <w:t>regulation-making powers in the Gambling Act 2003 are</w:t>
            </w:r>
            <w:r w:rsidR="00C06E1F" w:rsidRPr="00C06E1F">
              <w:rPr>
                <w:sz w:val="20"/>
              </w:rPr>
              <w:t xml:space="preserve"> </w:t>
            </w:r>
            <w:r w:rsidR="00C06E1F">
              <w:rPr>
                <w:sz w:val="20"/>
              </w:rPr>
              <w:t xml:space="preserve">substantial, but the content of the current Regulations is limited. There is </w:t>
            </w:r>
            <w:r>
              <w:rPr>
                <w:sz w:val="20"/>
              </w:rPr>
              <w:t xml:space="preserve">a significant opportunity to create a stronger harm minimisation approach by strengthening </w:t>
            </w:r>
            <w:r w:rsidR="00C06E1F">
              <w:rPr>
                <w:sz w:val="20"/>
              </w:rPr>
              <w:t xml:space="preserve">the current </w:t>
            </w:r>
            <w:r>
              <w:rPr>
                <w:sz w:val="20"/>
              </w:rPr>
              <w:t>harm minimisation requirements</w:t>
            </w:r>
            <w:r w:rsidR="00C06E1F">
              <w:rPr>
                <w:sz w:val="20"/>
              </w:rPr>
              <w:t xml:space="preserve">. This could create a tangible reduction in </w:t>
            </w:r>
            <w:r>
              <w:rPr>
                <w:sz w:val="20"/>
              </w:rPr>
              <w:t>level and impact of pokies harm on individuals and their communities.</w:t>
            </w:r>
          </w:p>
          <w:p w14:paraId="757BF0AB" w14:textId="77777777" w:rsidR="00FD6BC7" w:rsidRDefault="00D14868" w:rsidP="004B7683">
            <w:pPr>
              <w:spacing w:after="40" w:line="240" w:lineRule="auto"/>
              <w:rPr>
                <w:sz w:val="20"/>
              </w:rPr>
            </w:pPr>
            <w:r w:rsidRPr="00D14868">
              <w:rPr>
                <w:sz w:val="20"/>
              </w:rPr>
              <w:t xml:space="preserve">The discussion document </w:t>
            </w:r>
            <w:r>
              <w:rPr>
                <w:sz w:val="20"/>
              </w:rPr>
              <w:t xml:space="preserve">sets out key information </w:t>
            </w:r>
            <w:r w:rsidR="00FD6BC7">
              <w:rPr>
                <w:sz w:val="20"/>
              </w:rPr>
              <w:t xml:space="preserve">on: </w:t>
            </w:r>
          </w:p>
          <w:p w14:paraId="2ECCD425" w14:textId="77777777" w:rsidR="00FD6BC7" w:rsidRPr="00D5468D" w:rsidRDefault="00D14868" w:rsidP="00D5468D">
            <w:pPr>
              <w:pStyle w:val="ListParagraph"/>
              <w:numPr>
                <w:ilvl w:val="0"/>
                <w:numId w:val="6"/>
              </w:numPr>
              <w:spacing w:after="60" w:line="240" w:lineRule="auto"/>
              <w:contextualSpacing w:val="0"/>
              <w:rPr>
                <w:sz w:val="20"/>
                <w:lang w:val="en-NZ"/>
              </w:rPr>
            </w:pPr>
            <w:r w:rsidRPr="00D5468D">
              <w:rPr>
                <w:sz w:val="20"/>
                <w:lang w:val="en-NZ"/>
              </w:rPr>
              <w:t>the pokies sector</w:t>
            </w:r>
            <w:r w:rsidR="005B522C" w:rsidRPr="00D5468D">
              <w:rPr>
                <w:sz w:val="20"/>
                <w:lang w:val="en-NZ"/>
              </w:rPr>
              <w:t>;</w:t>
            </w:r>
          </w:p>
          <w:p w14:paraId="02F36B62" w14:textId="77777777" w:rsidR="00FD6BC7" w:rsidRPr="00D5468D" w:rsidRDefault="00D14868" w:rsidP="00D5468D">
            <w:pPr>
              <w:pStyle w:val="ListParagraph"/>
              <w:numPr>
                <w:ilvl w:val="0"/>
                <w:numId w:val="6"/>
              </w:numPr>
              <w:spacing w:after="60" w:line="240" w:lineRule="auto"/>
              <w:contextualSpacing w:val="0"/>
              <w:rPr>
                <w:sz w:val="20"/>
                <w:lang w:val="en-NZ"/>
              </w:rPr>
            </w:pPr>
            <w:r w:rsidRPr="00D5468D">
              <w:rPr>
                <w:sz w:val="20"/>
                <w:lang w:val="en-NZ"/>
              </w:rPr>
              <w:t xml:space="preserve">the current </w:t>
            </w:r>
            <w:r w:rsidR="00FD6BC7" w:rsidRPr="00D5468D">
              <w:rPr>
                <w:sz w:val="20"/>
                <w:lang w:val="en-NZ"/>
              </w:rPr>
              <w:t>harm minimisation</w:t>
            </w:r>
            <w:r w:rsidRPr="00D5468D">
              <w:rPr>
                <w:sz w:val="20"/>
                <w:lang w:val="en-NZ"/>
              </w:rPr>
              <w:t xml:space="preserve"> requirements and issues</w:t>
            </w:r>
            <w:r w:rsidR="005B522C" w:rsidRPr="00D5468D">
              <w:rPr>
                <w:sz w:val="20"/>
                <w:lang w:val="en-NZ"/>
              </w:rPr>
              <w:t>;</w:t>
            </w:r>
            <w:r w:rsidRPr="00D5468D">
              <w:rPr>
                <w:sz w:val="20"/>
                <w:lang w:val="en-NZ"/>
              </w:rPr>
              <w:t xml:space="preserve"> and </w:t>
            </w:r>
          </w:p>
          <w:p w14:paraId="4F6B3D35" w14:textId="77777777" w:rsidR="00FD6BC7" w:rsidRPr="00D5468D" w:rsidRDefault="00D14868" w:rsidP="00D5468D">
            <w:pPr>
              <w:pStyle w:val="ListParagraph"/>
              <w:numPr>
                <w:ilvl w:val="0"/>
                <w:numId w:val="6"/>
              </w:numPr>
              <w:spacing w:after="60" w:line="240" w:lineRule="auto"/>
              <w:contextualSpacing w:val="0"/>
              <w:rPr>
                <w:sz w:val="20"/>
                <w:lang w:val="en-NZ"/>
              </w:rPr>
            </w:pPr>
            <w:r w:rsidRPr="00D5468D">
              <w:rPr>
                <w:sz w:val="20"/>
                <w:lang w:val="en-NZ"/>
              </w:rPr>
              <w:t>the gambling harm being experienced</w:t>
            </w:r>
            <w:r w:rsidR="00FD6BC7" w:rsidRPr="00D5468D">
              <w:rPr>
                <w:sz w:val="20"/>
                <w:lang w:val="en-NZ"/>
              </w:rPr>
              <w:t xml:space="preserve"> due to pokies</w:t>
            </w:r>
            <w:r w:rsidRPr="00D5468D">
              <w:rPr>
                <w:sz w:val="20"/>
                <w:lang w:val="en-NZ"/>
              </w:rPr>
              <w:t xml:space="preserve">. </w:t>
            </w:r>
          </w:p>
          <w:p w14:paraId="5935339D" w14:textId="10D20C00" w:rsidR="004B7683" w:rsidRPr="00B521E1" w:rsidRDefault="00D14868" w:rsidP="00C7373D">
            <w:pPr>
              <w:spacing w:before="180" w:line="240" w:lineRule="auto"/>
              <w:rPr>
                <w:sz w:val="20"/>
              </w:rPr>
            </w:pPr>
            <w:r w:rsidRPr="00877711">
              <w:rPr>
                <w:sz w:val="20"/>
              </w:rPr>
              <w:t xml:space="preserve">The document presents some high-level options for the public to comment on and asks </w:t>
            </w:r>
            <w:proofErr w:type="gramStart"/>
            <w:r w:rsidRPr="00877711">
              <w:rPr>
                <w:sz w:val="20"/>
              </w:rPr>
              <w:t>a number of</w:t>
            </w:r>
            <w:proofErr w:type="gramEnd"/>
            <w:r w:rsidRPr="00877711">
              <w:rPr>
                <w:sz w:val="20"/>
              </w:rPr>
              <w:t xml:space="preserve"> questions about the issues, </w:t>
            </w:r>
            <w:r w:rsidR="00567AEB" w:rsidRPr="00877711">
              <w:rPr>
                <w:sz w:val="20"/>
              </w:rPr>
              <w:t>the potential impact (including on different population groups)</w:t>
            </w:r>
            <w:r w:rsidR="00425DED">
              <w:rPr>
                <w:sz w:val="20"/>
              </w:rPr>
              <w:t>,</w:t>
            </w:r>
            <w:r w:rsidR="00567AEB" w:rsidRPr="00877711">
              <w:rPr>
                <w:sz w:val="20"/>
              </w:rPr>
              <w:t xml:space="preserve"> and </w:t>
            </w:r>
            <w:r w:rsidRPr="00877711">
              <w:rPr>
                <w:sz w:val="20"/>
              </w:rPr>
              <w:t>whether the proposals will be effective</w:t>
            </w:r>
            <w:r w:rsidR="00425DED">
              <w:rPr>
                <w:sz w:val="20"/>
              </w:rPr>
              <w:t xml:space="preserve">. It also </w:t>
            </w:r>
            <w:r w:rsidRPr="00877711">
              <w:rPr>
                <w:sz w:val="20"/>
              </w:rPr>
              <w:t xml:space="preserve">seeks </w:t>
            </w:r>
            <w:r w:rsidR="00FD6BC7" w:rsidRPr="00877711">
              <w:rPr>
                <w:sz w:val="20"/>
              </w:rPr>
              <w:t>suggestions for</w:t>
            </w:r>
            <w:r w:rsidRPr="00877711">
              <w:rPr>
                <w:sz w:val="20"/>
              </w:rPr>
              <w:t xml:space="preserve"> any </w:t>
            </w:r>
            <w:r w:rsidR="00FD6BC7" w:rsidRPr="00877711">
              <w:rPr>
                <w:sz w:val="20"/>
              </w:rPr>
              <w:t xml:space="preserve">other </w:t>
            </w:r>
            <w:r w:rsidRPr="00877711">
              <w:rPr>
                <w:sz w:val="20"/>
              </w:rPr>
              <w:t xml:space="preserve">solutions. </w:t>
            </w:r>
            <w:r w:rsidR="00567AEB" w:rsidRPr="00877711">
              <w:rPr>
                <w:sz w:val="20"/>
              </w:rPr>
              <w:t>This will inform the development of a formal set of regulatory proposals.</w:t>
            </w:r>
            <w:r w:rsidR="0082082F" w:rsidRPr="00877711">
              <w:rPr>
                <w:sz w:val="20"/>
              </w:rPr>
              <w:t xml:space="preserve"> </w:t>
            </w:r>
            <w:r w:rsidR="00567AEB" w:rsidRPr="00425DED">
              <w:rPr>
                <w:sz w:val="20"/>
              </w:rPr>
              <w:t xml:space="preserve">An </w:t>
            </w:r>
            <w:r w:rsidR="00263DAD" w:rsidRPr="00425DED">
              <w:rPr>
                <w:sz w:val="20"/>
              </w:rPr>
              <w:t xml:space="preserve">engagement plan is being designed to </w:t>
            </w:r>
            <w:r w:rsidR="00627737" w:rsidRPr="00425DED">
              <w:rPr>
                <w:sz w:val="20"/>
              </w:rPr>
              <w:t xml:space="preserve">explicitly </w:t>
            </w:r>
            <w:r w:rsidR="00263DAD" w:rsidRPr="00425DED">
              <w:rPr>
                <w:sz w:val="20"/>
              </w:rPr>
              <w:t xml:space="preserve">encourage input from </w:t>
            </w:r>
            <w:r w:rsidR="00627737" w:rsidRPr="00425DED">
              <w:rPr>
                <w:sz w:val="20"/>
              </w:rPr>
              <w:t xml:space="preserve">the </w:t>
            </w:r>
            <w:proofErr w:type="gramStart"/>
            <w:r w:rsidR="00627737" w:rsidRPr="00425DED">
              <w:rPr>
                <w:sz w:val="20"/>
              </w:rPr>
              <w:t>general public</w:t>
            </w:r>
            <w:proofErr w:type="gramEnd"/>
            <w:r w:rsidR="00627737" w:rsidRPr="00425DED">
              <w:rPr>
                <w:sz w:val="20"/>
              </w:rPr>
              <w:t xml:space="preserve"> as well as the </w:t>
            </w:r>
            <w:r w:rsidR="00567AEB" w:rsidRPr="00425DED">
              <w:rPr>
                <w:sz w:val="20"/>
              </w:rPr>
              <w:t xml:space="preserve">disproportionately </w:t>
            </w:r>
            <w:r w:rsidR="00627737" w:rsidRPr="00B521E1">
              <w:rPr>
                <w:sz w:val="20"/>
              </w:rPr>
              <w:t>affected</w:t>
            </w:r>
            <w:r w:rsidR="00263DAD" w:rsidRPr="00B521E1">
              <w:rPr>
                <w:sz w:val="20"/>
              </w:rPr>
              <w:t xml:space="preserve"> population groups</w:t>
            </w:r>
            <w:r w:rsidR="00DD5B6A" w:rsidRPr="00B521E1">
              <w:rPr>
                <w:sz w:val="20"/>
              </w:rPr>
              <w:t>.</w:t>
            </w:r>
            <w:r w:rsidR="00FD6BC7" w:rsidRPr="00B521E1">
              <w:rPr>
                <w:sz w:val="20"/>
              </w:rPr>
              <w:t xml:space="preserve"> </w:t>
            </w:r>
            <w:r w:rsidR="00763B1B">
              <w:rPr>
                <w:sz w:val="20"/>
              </w:rPr>
              <w:t xml:space="preserve"> </w:t>
            </w:r>
          </w:p>
          <w:p w14:paraId="11DF66B1" w14:textId="131EEC34" w:rsidR="0082082F" w:rsidRPr="00D14868" w:rsidRDefault="00D14868" w:rsidP="00693D3F">
            <w:pPr>
              <w:spacing w:after="0" w:line="240" w:lineRule="auto"/>
              <w:rPr>
                <w:sz w:val="20"/>
              </w:rPr>
            </w:pPr>
            <w:r w:rsidRPr="00DD5B6A">
              <w:rPr>
                <w:sz w:val="20"/>
              </w:rPr>
              <w:t xml:space="preserve">The </w:t>
            </w:r>
            <w:r w:rsidR="003C10A8">
              <w:rPr>
                <w:sz w:val="20"/>
              </w:rPr>
              <w:t>objectives of this project</w:t>
            </w:r>
            <w:r w:rsidRPr="00DD5B6A">
              <w:rPr>
                <w:sz w:val="20"/>
              </w:rPr>
              <w:t xml:space="preserve"> are expected to be relatively uncontroversial, </w:t>
            </w:r>
            <w:r w:rsidR="00C45EE7">
              <w:rPr>
                <w:sz w:val="20"/>
              </w:rPr>
              <w:t xml:space="preserve">as </w:t>
            </w:r>
            <w:r w:rsidR="00877711">
              <w:rPr>
                <w:sz w:val="20"/>
              </w:rPr>
              <w:t xml:space="preserve">we expect that </w:t>
            </w:r>
            <w:r w:rsidR="00C45EE7">
              <w:rPr>
                <w:sz w:val="20"/>
              </w:rPr>
              <w:t>most parties would agree that reducing harm from pokies is a good objective</w:t>
            </w:r>
            <w:r w:rsidR="00567AEB">
              <w:rPr>
                <w:sz w:val="20"/>
              </w:rPr>
              <w:t>.</w:t>
            </w:r>
            <w:r w:rsidR="00C45EE7">
              <w:rPr>
                <w:sz w:val="20"/>
              </w:rPr>
              <w:t xml:space="preserve"> </w:t>
            </w:r>
            <w:r w:rsidR="00567AEB">
              <w:rPr>
                <w:sz w:val="20"/>
              </w:rPr>
              <w:t>It</w:t>
            </w:r>
            <w:r w:rsidRPr="00DD5B6A">
              <w:rPr>
                <w:sz w:val="20"/>
              </w:rPr>
              <w:t xml:space="preserve"> is expected that key stakeholder</w:t>
            </w:r>
            <w:r w:rsidR="00425DED">
              <w:rPr>
                <w:sz w:val="20"/>
              </w:rPr>
              <w:t xml:space="preserve">s, including </w:t>
            </w:r>
            <w:proofErr w:type="spellStart"/>
            <w:r w:rsidR="00567AEB">
              <w:rPr>
                <w:sz w:val="20"/>
              </w:rPr>
              <w:t>pokie</w:t>
            </w:r>
            <w:proofErr w:type="spellEnd"/>
            <w:r w:rsidR="00567AEB">
              <w:rPr>
                <w:sz w:val="20"/>
              </w:rPr>
              <w:t xml:space="preserve"> </w:t>
            </w:r>
            <w:r w:rsidR="00DD5B6A" w:rsidRPr="00DD5B6A">
              <w:rPr>
                <w:sz w:val="20"/>
              </w:rPr>
              <w:t>operators</w:t>
            </w:r>
            <w:r w:rsidR="00425DED">
              <w:rPr>
                <w:sz w:val="20"/>
              </w:rPr>
              <w:t xml:space="preserve">, </w:t>
            </w:r>
            <w:r w:rsidR="00C45EE7">
              <w:rPr>
                <w:sz w:val="20"/>
              </w:rPr>
              <w:t xml:space="preserve">venues, </w:t>
            </w:r>
            <w:r w:rsidR="00DD5B6A" w:rsidRPr="00DD5B6A">
              <w:rPr>
                <w:sz w:val="20"/>
              </w:rPr>
              <w:t xml:space="preserve">and gambling harm </w:t>
            </w:r>
            <w:r w:rsidR="00567AEB">
              <w:rPr>
                <w:sz w:val="20"/>
              </w:rPr>
              <w:t xml:space="preserve">treatment </w:t>
            </w:r>
            <w:r w:rsidR="00DD5B6A" w:rsidRPr="00DD5B6A">
              <w:rPr>
                <w:sz w:val="20"/>
              </w:rPr>
              <w:t>services</w:t>
            </w:r>
            <w:r w:rsidR="00425DED">
              <w:rPr>
                <w:sz w:val="20"/>
              </w:rPr>
              <w:t>,</w:t>
            </w:r>
            <w:r w:rsidR="00877711">
              <w:rPr>
                <w:sz w:val="20"/>
              </w:rPr>
              <w:t xml:space="preserve"> </w:t>
            </w:r>
            <w:r w:rsidRPr="00DD5B6A">
              <w:rPr>
                <w:sz w:val="20"/>
              </w:rPr>
              <w:t>will have different views on the optimal approach.</w:t>
            </w:r>
          </w:p>
        </w:tc>
      </w:tr>
      <w:tr w:rsidR="00E8143E" w:rsidRPr="00A864A5" w14:paraId="09FE3872" w14:textId="77777777" w:rsidTr="006448CF">
        <w:tc>
          <w:tcPr>
            <w:tcW w:w="5000" w:type="pct"/>
            <w:gridSpan w:val="2"/>
            <w:tcBorders>
              <w:bottom w:val="single" w:sz="4" w:space="0" w:color="DDDDDD"/>
            </w:tcBorders>
            <w:shd w:val="clear" w:color="auto" w:fill="99CDDD"/>
            <w:hideMark/>
          </w:tcPr>
          <w:p w14:paraId="385402DA" w14:textId="77777777" w:rsidR="00E8143E" w:rsidRPr="00A864A5" w:rsidRDefault="00E8143E" w:rsidP="00D14868">
            <w:pPr>
              <w:pStyle w:val="TableHeadings"/>
              <w:spacing w:line="240" w:lineRule="auto"/>
              <w:rPr>
                <w:color w:val="002060"/>
                <w:szCs w:val="22"/>
                <w:lang w:val="en-NZ"/>
              </w:rPr>
            </w:pPr>
            <w:bookmarkStart w:id="2" w:name="_Hlk57203483"/>
            <w:bookmarkEnd w:id="0"/>
            <w:bookmarkEnd w:id="1"/>
            <w:r w:rsidRPr="00A864A5">
              <w:rPr>
                <w:szCs w:val="22"/>
                <w:lang w:val="en-NZ"/>
              </w:rPr>
              <w:lastRenderedPageBreak/>
              <w:t xml:space="preserve">Limitations </w:t>
            </w:r>
            <w:r w:rsidR="003F775E">
              <w:rPr>
                <w:szCs w:val="22"/>
                <w:lang w:val="en-NZ"/>
              </w:rPr>
              <w:t>and</w:t>
            </w:r>
            <w:r w:rsidRPr="00A864A5">
              <w:rPr>
                <w:szCs w:val="22"/>
                <w:lang w:val="en-NZ"/>
              </w:rPr>
              <w:t xml:space="preserve"> Constraints on Analysis</w:t>
            </w:r>
          </w:p>
        </w:tc>
      </w:tr>
      <w:tr w:rsidR="00E8143E" w:rsidRPr="00A864A5" w14:paraId="7C653E94" w14:textId="77777777" w:rsidTr="006448CF">
        <w:trPr>
          <w:trHeight w:val="978"/>
        </w:trPr>
        <w:tc>
          <w:tcPr>
            <w:tcW w:w="5000" w:type="pct"/>
            <w:gridSpan w:val="2"/>
            <w:tcBorders>
              <w:top w:val="nil"/>
            </w:tcBorders>
            <w:shd w:val="clear" w:color="auto" w:fill="auto"/>
          </w:tcPr>
          <w:p w14:paraId="2F804990" w14:textId="571114CE" w:rsidR="009D2095" w:rsidRPr="00AE6B24" w:rsidRDefault="00606E71" w:rsidP="00615EB0">
            <w:pPr>
              <w:tabs>
                <w:tab w:val="left" w:pos="7424"/>
                <w:tab w:val="right" w:pos="8636"/>
              </w:tabs>
              <w:spacing w:before="120" w:after="60" w:line="240" w:lineRule="auto"/>
              <w:rPr>
                <w:iCs/>
                <w:color w:val="000000"/>
                <w:sz w:val="20"/>
                <w:lang w:val="en-NZ"/>
              </w:rPr>
            </w:pPr>
            <w:r w:rsidRPr="00D14868">
              <w:rPr>
                <w:sz w:val="20"/>
                <w:lang w:val="en-NZ"/>
              </w:rPr>
              <w:t xml:space="preserve">The Minister </w:t>
            </w:r>
            <w:r w:rsidR="008A2A87" w:rsidRPr="00D14868">
              <w:rPr>
                <w:sz w:val="20"/>
                <w:lang w:val="en-NZ"/>
              </w:rPr>
              <w:t xml:space="preserve">asked </w:t>
            </w:r>
            <w:r w:rsidRPr="00D14868">
              <w:rPr>
                <w:sz w:val="20"/>
                <w:lang w:val="en-NZ"/>
              </w:rPr>
              <w:t>that the scope of the discussion document be restricted to options to reduce harm associated with Class 4 gambling venues and machines</w:t>
            </w:r>
            <w:r w:rsidR="008A2A87" w:rsidRPr="00D14868">
              <w:rPr>
                <w:sz w:val="20"/>
                <w:lang w:val="en-NZ"/>
              </w:rPr>
              <w:t xml:space="preserve"> (‘gaming venues pokies’)</w:t>
            </w:r>
            <w:r w:rsidRPr="00D14868">
              <w:rPr>
                <w:sz w:val="20"/>
                <w:lang w:val="en-NZ"/>
              </w:rPr>
              <w:t xml:space="preserve">, using the regulation-making </w:t>
            </w:r>
            <w:r w:rsidRPr="00BC2572">
              <w:rPr>
                <w:rStyle w:val="normaltextrun"/>
                <w:rFonts w:cs="Arial"/>
                <w:color w:val="000000"/>
                <w:sz w:val="20"/>
                <w:shd w:val="clear" w:color="auto" w:fill="FFFFFF"/>
              </w:rPr>
              <w:t>powers</w:t>
            </w:r>
            <w:r w:rsidRPr="00D14868">
              <w:rPr>
                <w:sz w:val="20"/>
                <w:lang w:val="en-NZ"/>
              </w:rPr>
              <w:t xml:space="preserve"> that already exist in the Gambling Act 2003</w:t>
            </w:r>
            <w:r w:rsidR="008A2A87" w:rsidRPr="00D14868">
              <w:rPr>
                <w:sz w:val="20"/>
                <w:lang w:val="en-NZ"/>
              </w:rPr>
              <w:t xml:space="preserve"> (the Act’)</w:t>
            </w:r>
            <w:r w:rsidRPr="00D14868">
              <w:rPr>
                <w:sz w:val="20"/>
                <w:lang w:val="en-NZ"/>
              </w:rPr>
              <w:t xml:space="preserve">. </w:t>
            </w:r>
            <w:r w:rsidR="008A2A87" w:rsidRPr="00D14868">
              <w:rPr>
                <w:sz w:val="20"/>
                <w:lang w:val="en-NZ"/>
              </w:rPr>
              <w:t>P</w:t>
            </w:r>
            <w:r w:rsidRPr="00D14868">
              <w:rPr>
                <w:sz w:val="20"/>
                <w:lang w:val="en-NZ"/>
              </w:rPr>
              <w:t xml:space="preserve">rimary legislative change and </w:t>
            </w:r>
            <w:r w:rsidR="008A2A87" w:rsidRPr="00D14868">
              <w:rPr>
                <w:sz w:val="20"/>
                <w:lang w:val="en-NZ"/>
              </w:rPr>
              <w:t xml:space="preserve">regulation addressing any </w:t>
            </w:r>
            <w:r w:rsidRPr="00D14868">
              <w:rPr>
                <w:sz w:val="20"/>
                <w:lang w:val="en-NZ"/>
              </w:rPr>
              <w:t xml:space="preserve">wider system issues (operating environment and inequity around </w:t>
            </w:r>
            <w:r w:rsidRPr="00AE6B24">
              <w:rPr>
                <w:sz w:val="20"/>
                <w:lang w:val="en-NZ"/>
              </w:rPr>
              <w:t xml:space="preserve">community funding) </w:t>
            </w:r>
            <w:r w:rsidR="00567AEB" w:rsidRPr="00AE6B24">
              <w:rPr>
                <w:sz w:val="20"/>
                <w:lang w:val="en-NZ"/>
              </w:rPr>
              <w:t>are</w:t>
            </w:r>
            <w:r w:rsidR="008A2A87" w:rsidRPr="00AE6B24">
              <w:rPr>
                <w:sz w:val="20"/>
                <w:lang w:val="en-NZ"/>
              </w:rPr>
              <w:t xml:space="preserve"> </w:t>
            </w:r>
            <w:r w:rsidRPr="00AE6B24">
              <w:rPr>
                <w:sz w:val="20"/>
                <w:lang w:val="en-NZ"/>
              </w:rPr>
              <w:t>out of scope.</w:t>
            </w:r>
            <w:r w:rsidR="00615EB0" w:rsidRPr="00AE6B24">
              <w:rPr>
                <w:sz w:val="20"/>
                <w:lang w:val="en-NZ"/>
              </w:rPr>
              <w:t xml:space="preserve"> </w:t>
            </w:r>
            <w:r w:rsidR="008A2A87" w:rsidRPr="00AE6B24">
              <w:rPr>
                <w:iCs/>
                <w:color w:val="000000"/>
                <w:sz w:val="20"/>
                <w:lang w:val="en-NZ"/>
              </w:rPr>
              <w:t xml:space="preserve">In </w:t>
            </w:r>
            <w:r w:rsidR="00E4189B" w:rsidRPr="00AE6B24">
              <w:rPr>
                <w:iCs/>
                <w:color w:val="000000"/>
                <w:sz w:val="20"/>
                <w:lang w:val="en-NZ"/>
              </w:rPr>
              <w:t>defining</w:t>
            </w:r>
            <w:r w:rsidR="008A2A87" w:rsidRPr="00AE6B24">
              <w:rPr>
                <w:iCs/>
                <w:color w:val="000000"/>
                <w:sz w:val="20"/>
                <w:lang w:val="en-NZ"/>
              </w:rPr>
              <w:t xml:space="preserve"> the scope</w:t>
            </w:r>
            <w:r w:rsidR="00263DAD" w:rsidRPr="00AE6B24">
              <w:rPr>
                <w:iCs/>
                <w:color w:val="000000"/>
                <w:sz w:val="20"/>
                <w:lang w:val="en-NZ"/>
              </w:rPr>
              <w:t xml:space="preserve"> </w:t>
            </w:r>
            <w:r w:rsidR="00E4189B" w:rsidRPr="00AE6B24">
              <w:rPr>
                <w:sz w:val="20"/>
                <w:lang w:val="en-NZ"/>
              </w:rPr>
              <w:t>as ‘</w:t>
            </w:r>
            <w:r w:rsidR="00263DAD" w:rsidRPr="00AE6B24">
              <w:rPr>
                <w:sz w:val="20"/>
                <w:lang w:val="en-NZ"/>
              </w:rPr>
              <w:t xml:space="preserve">options to reduce harm </w:t>
            </w:r>
            <w:r w:rsidR="00833094" w:rsidRPr="00AE6B24">
              <w:rPr>
                <w:sz w:val="20"/>
                <w:lang w:val="en-NZ"/>
              </w:rPr>
              <w:t xml:space="preserve">in </w:t>
            </w:r>
            <w:r w:rsidR="00E4189B" w:rsidRPr="00AE6B24">
              <w:rPr>
                <w:sz w:val="20"/>
                <w:lang w:val="en-NZ"/>
              </w:rPr>
              <w:t xml:space="preserve">pokies </w:t>
            </w:r>
            <w:r w:rsidR="00833094" w:rsidRPr="00AE6B24">
              <w:rPr>
                <w:sz w:val="20"/>
                <w:lang w:val="en-NZ"/>
              </w:rPr>
              <w:t xml:space="preserve">venues </w:t>
            </w:r>
            <w:r w:rsidR="00263DAD" w:rsidRPr="00AE6B24">
              <w:rPr>
                <w:sz w:val="20"/>
                <w:lang w:val="en-NZ"/>
              </w:rPr>
              <w:t xml:space="preserve">using </w:t>
            </w:r>
            <w:r w:rsidR="00E4189B" w:rsidRPr="00AE6B24">
              <w:rPr>
                <w:sz w:val="20"/>
                <w:lang w:val="en-NZ"/>
              </w:rPr>
              <w:t xml:space="preserve">regulatory </w:t>
            </w:r>
            <w:r w:rsidR="00263DAD" w:rsidRPr="00AE6B24">
              <w:rPr>
                <w:sz w:val="20"/>
                <w:lang w:val="en-NZ"/>
              </w:rPr>
              <w:t>powers</w:t>
            </w:r>
            <w:r w:rsidR="00E4189B" w:rsidRPr="00AE6B24">
              <w:rPr>
                <w:sz w:val="20"/>
                <w:lang w:val="en-NZ"/>
              </w:rPr>
              <w:t>’</w:t>
            </w:r>
            <w:r w:rsidR="008A2A87" w:rsidRPr="00AE6B24">
              <w:rPr>
                <w:iCs/>
                <w:color w:val="000000"/>
                <w:sz w:val="20"/>
                <w:lang w:val="en-NZ"/>
              </w:rPr>
              <w:t xml:space="preserve">, </w:t>
            </w:r>
            <w:r w:rsidR="009D2095" w:rsidRPr="00AE6B24">
              <w:rPr>
                <w:iCs/>
                <w:color w:val="000000"/>
                <w:sz w:val="20"/>
                <w:lang w:val="en-NZ"/>
              </w:rPr>
              <w:t>the:</w:t>
            </w:r>
          </w:p>
          <w:p w14:paraId="6792ED01" w14:textId="77777777" w:rsidR="009D2095" w:rsidRPr="00AE6B24" w:rsidRDefault="00606E71" w:rsidP="00A42B77">
            <w:pPr>
              <w:pStyle w:val="ListParagraph"/>
              <w:numPr>
                <w:ilvl w:val="0"/>
                <w:numId w:val="6"/>
              </w:numPr>
              <w:spacing w:after="60" w:line="240" w:lineRule="auto"/>
              <w:contextualSpacing w:val="0"/>
              <w:rPr>
                <w:iCs/>
                <w:color w:val="000000"/>
                <w:sz w:val="20"/>
                <w:lang w:val="en-NZ"/>
              </w:rPr>
            </w:pPr>
            <w:r w:rsidRPr="00AE6B24">
              <w:rPr>
                <w:i/>
                <w:iCs/>
                <w:color w:val="000000"/>
                <w:sz w:val="20"/>
                <w:lang w:val="en-NZ"/>
              </w:rPr>
              <w:t>problem definition</w:t>
            </w:r>
            <w:r w:rsidRPr="00AE6B24">
              <w:rPr>
                <w:iCs/>
                <w:color w:val="000000"/>
                <w:sz w:val="20"/>
                <w:lang w:val="en-NZ"/>
              </w:rPr>
              <w:t xml:space="preserve"> has </w:t>
            </w:r>
            <w:r w:rsidRPr="00AE6B24">
              <w:rPr>
                <w:rFonts w:cs="Arial"/>
                <w:sz w:val="20"/>
              </w:rPr>
              <w:t>been</w:t>
            </w:r>
            <w:r w:rsidRPr="00AE6B24">
              <w:rPr>
                <w:iCs/>
                <w:color w:val="000000"/>
                <w:sz w:val="20"/>
                <w:lang w:val="en-NZ"/>
              </w:rPr>
              <w:t xml:space="preserve"> restricted </w:t>
            </w:r>
            <w:r w:rsidR="008A2A87" w:rsidRPr="00AE6B24">
              <w:rPr>
                <w:iCs/>
                <w:color w:val="000000"/>
                <w:sz w:val="20"/>
                <w:lang w:val="en-NZ"/>
              </w:rPr>
              <w:t xml:space="preserve">to </w:t>
            </w:r>
            <w:r w:rsidR="00E4189B" w:rsidRPr="00AE6B24">
              <w:rPr>
                <w:iCs/>
                <w:color w:val="000000"/>
                <w:sz w:val="20"/>
                <w:lang w:val="en-NZ"/>
              </w:rPr>
              <w:t xml:space="preserve">pokies </w:t>
            </w:r>
            <w:r w:rsidR="008A2A87" w:rsidRPr="00AE6B24">
              <w:rPr>
                <w:iCs/>
                <w:color w:val="000000"/>
                <w:sz w:val="20"/>
                <w:lang w:val="en-NZ"/>
              </w:rPr>
              <w:t xml:space="preserve">harm </w:t>
            </w:r>
            <w:r w:rsidR="00D317AA" w:rsidRPr="00AE6B24">
              <w:rPr>
                <w:iCs/>
                <w:color w:val="000000"/>
                <w:sz w:val="20"/>
                <w:lang w:val="en-NZ"/>
              </w:rPr>
              <w:t xml:space="preserve">in </w:t>
            </w:r>
            <w:r w:rsidR="00E4189B" w:rsidRPr="00AE6B24">
              <w:rPr>
                <w:iCs/>
                <w:color w:val="000000"/>
                <w:sz w:val="20"/>
                <w:lang w:val="en-NZ"/>
              </w:rPr>
              <w:t>pubs</w:t>
            </w:r>
            <w:r w:rsidR="000E4E12" w:rsidRPr="00AE6B24">
              <w:rPr>
                <w:iCs/>
                <w:color w:val="000000"/>
                <w:sz w:val="20"/>
                <w:lang w:val="en-NZ"/>
              </w:rPr>
              <w:t xml:space="preserve">, clubs and </w:t>
            </w:r>
            <w:r w:rsidR="009D2095" w:rsidRPr="00AE6B24">
              <w:rPr>
                <w:iCs/>
                <w:color w:val="000000"/>
                <w:sz w:val="20"/>
                <w:lang w:val="en-NZ"/>
              </w:rPr>
              <w:t>TAB</w:t>
            </w:r>
            <w:r w:rsidR="000E4E12" w:rsidRPr="00AE6B24">
              <w:rPr>
                <w:iCs/>
                <w:color w:val="000000"/>
                <w:sz w:val="20"/>
                <w:lang w:val="en-NZ"/>
              </w:rPr>
              <w:t>s</w:t>
            </w:r>
            <w:r w:rsidR="009D2095" w:rsidRPr="00AE6B24">
              <w:rPr>
                <w:iCs/>
                <w:color w:val="000000"/>
                <w:sz w:val="20"/>
                <w:lang w:val="en-NZ"/>
              </w:rPr>
              <w:t xml:space="preserve">, and </w:t>
            </w:r>
          </w:p>
          <w:p w14:paraId="0A9B3B73" w14:textId="77777777" w:rsidR="008A2A87" w:rsidRPr="00AE6B24" w:rsidRDefault="009D2095" w:rsidP="00615EB0">
            <w:pPr>
              <w:pStyle w:val="ListParagraph"/>
              <w:numPr>
                <w:ilvl w:val="0"/>
                <w:numId w:val="6"/>
              </w:numPr>
              <w:spacing w:line="240" w:lineRule="auto"/>
              <w:ind w:left="714" w:hanging="357"/>
              <w:contextualSpacing w:val="0"/>
              <w:rPr>
                <w:iCs/>
                <w:color w:val="000000"/>
                <w:sz w:val="20"/>
                <w:lang w:val="en-NZ"/>
              </w:rPr>
            </w:pPr>
            <w:r w:rsidRPr="00AE6B24">
              <w:rPr>
                <w:i/>
                <w:iCs/>
                <w:color w:val="000000"/>
                <w:sz w:val="20"/>
                <w:lang w:val="en-NZ"/>
              </w:rPr>
              <w:t xml:space="preserve">options </w:t>
            </w:r>
            <w:r w:rsidRPr="00AE6B24">
              <w:rPr>
                <w:rFonts w:cs="Arial"/>
                <w:sz w:val="20"/>
              </w:rPr>
              <w:t>have</w:t>
            </w:r>
            <w:r w:rsidRPr="00AE6B24">
              <w:rPr>
                <w:iCs/>
                <w:color w:val="000000"/>
                <w:sz w:val="20"/>
                <w:lang w:val="en-NZ"/>
              </w:rPr>
              <w:t xml:space="preserve"> been restricted </w:t>
            </w:r>
            <w:r w:rsidR="00E4189B" w:rsidRPr="00AE6B24">
              <w:rPr>
                <w:iCs/>
                <w:color w:val="000000"/>
                <w:sz w:val="20"/>
                <w:lang w:val="en-NZ"/>
              </w:rPr>
              <w:t xml:space="preserve">to </w:t>
            </w:r>
            <w:r w:rsidR="00567AEB" w:rsidRPr="00AE6B24">
              <w:rPr>
                <w:iCs/>
                <w:color w:val="000000"/>
                <w:sz w:val="20"/>
                <w:lang w:val="en-NZ"/>
              </w:rPr>
              <w:t xml:space="preserve">what </w:t>
            </w:r>
            <w:r w:rsidR="0082082F" w:rsidRPr="00AE6B24">
              <w:rPr>
                <w:iCs/>
                <w:color w:val="000000"/>
                <w:sz w:val="20"/>
                <w:lang w:val="en-NZ"/>
              </w:rPr>
              <w:t xml:space="preserve">is </w:t>
            </w:r>
            <w:r w:rsidR="00567AEB" w:rsidRPr="00AE6B24">
              <w:rPr>
                <w:iCs/>
                <w:color w:val="000000"/>
                <w:sz w:val="20"/>
                <w:lang w:val="en-NZ"/>
              </w:rPr>
              <w:t>achiev</w:t>
            </w:r>
            <w:r w:rsidR="0082082F" w:rsidRPr="00AE6B24">
              <w:rPr>
                <w:iCs/>
                <w:color w:val="000000"/>
                <w:sz w:val="20"/>
                <w:lang w:val="en-NZ"/>
              </w:rPr>
              <w:t>able</w:t>
            </w:r>
            <w:r w:rsidR="00567AEB" w:rsidRPr="00AE6B24">
              <w:rPr>
                <w:iCs/>
                <w:color w:val="000000"/>
                <w:sz w:val="20"/>
                <w:lang w:val="en-NZ"/>
              </w:rPr>
              <w:t xml:space="preserve"> using</w:t>
            </w:r>
            <w:r w:rsidR="00E4189B" w:rsidRPr="00AE6B24">
              <w:rPr>
                <w:iCs/>
                <w:color w:val="000000"/>
                <w:sz w:val="20"/>
                <w:lang w:val="en-NZ"/>
              </w:rPr>
              <w:t xml:space="preserve"> existing </w:t>
            </w:r>
            <w:r w:rsidR="008A2A87" w:rsidRPr="00AE6B24">
              <w:rPr>
                <w:iCs/>
                <w:color w:val="000000"/>
                <w:sz w:val="20"/>
                <w:lang w:val="en-NZ"/>
              </w:rPr>
              <w:t>regulation making powers</w:t>
            </w:r>
            <w:r w:rsidR="000E4E12" w:rsidRPr="00AE6B24">
              <w:rPr>
                <w:iCs/>
                <w:color w:val="000000"/>
                <w:sz w:val="20"/>
                <w:lang w:val="en-NZ"/>
              </w:rPr>
              <w:t>.</w:t>
            </w:r>
            <w:r w:rsidR="008A2A87" w:rsidRPr="00AE6B24">
              <w:rPr>
                <w:iCs/>
                <w:color w:val="000000"/>
                <w:sz w:val="20"/>
                <w:lang w:val="en-NZ"/>
              </w:rPr>
              <w:t xml:space="preserve"> </w:t>
            </w:r>
          </w:p>
          <w:p w14:paraId="1AB43C9F" w14:textId="61D40451" w:rsidR="00615EB0" w:rsidRPr="00AE6B24" w:rsidRDefault="00615EB0" w:rsidP="00615EB0">
            <w:pPr>
              <w:spacing w:after="120" w:line="240" w:lineRule="auto"/>
              <w:rPr>
                <w:sz w:val="20"/>
                <w:lang w:val="en-NZ"/>
              </w:rPr>
            </w:pPr>
            <w:r w:rsidRPr="00AE6B24">
              <w:rPr>
                <w:sz w:val="20"/>
                <w:lang w:val="en-NZ"/>
              </w:rPr>
              <w:t xml:space="preserve">One of the key constraints is the limited information available on the efficacy and cost of the various proposals. </w:t>
            </w:r>
            <w:r w:rsidRPr="00AE6B24">
              <w:rPr>
                <w:iCs/>
                <w:color w:val="000000"/>
                <w:sz w:val="20"/>
                <w:lang w:val="en-NZ"/>
              </w:rPr>
              <w:t xml:space="preserve">The decision to progress with a high-level discussion document should support us to receive a wide range of information and feedback to inform the development of a formal set of regulatory proposals. </w:t>
            </w:r>
            <w:r w:rsidRPr="00AE6B24">
              <w:rPr>
                <w:sz w:val="20"/>
                <w:lang w:val="en-NZ"/>
              </w:rPr>
              <w:t xml:space="preserve">Data and information is specifically needed on the: </w:t>
            </w:r>
          </w:p>
          <w:p w14:paraId="0F8653D7" w14:textId="617833D3" w:rsidR="00615EB0" w:rsidRPr="00AE6B24" w:rsidRDefault="00615EB0" w:rsidP="00615EB0">
            <w:pPr>
              <w:pStyle w:val="ListParagraph"/>
              <w:numPr>
                <w:ilvl w:val="0"/>
                <w:numId w:val="6"/>
              </w:numPr>
              <w:spacing w:after="60" w:line="240" w:lineRule="auto"/>
              <w:contextualSpacing w:val="0"/>
              <w:rPr>
                <w:sz w:val="20"/>
                <w:lang w:val="en-NZ"/>
              </w:rPr>
            </w:pPr>
            <w:r w:rsidRPr="00AE6B24">
              <w:rPr>
                <w:sz w:val="20"/>
                <w:lang w:val="en-NZ"/>
              </w:rPr>
              <w:t>impact of many of the harm minimisation measures in the discussion document</w:t>
            </w:r>
            <w:r w:rsidR="00C345BC" w:rsidRPr="00AE6B24">
              <w:rPr>
                <w:sz w:val="20"/>
                <w:lang w:val="en-NZ"/>
              </w:rPr>
              <w:t>;</w:t>
            </w:r>
            <w:r w:rsidRPr="00AE6B24">
              <w:rPr>
                <w:sz w:val="20"/>
                <w:lang w:val="en-NZ"/>
              </w:rPr>
              <w:t xml:space="preserve"> and </w:t>
            </w:r>
          </w:p>
          <w:p w14:paraId="2F4B1BCC" w14:textId="4EE70AB1" w:rsidR="00615EB0" w:rsidRPr="00AE6B24" w:rsidRDefault="00615EB0" w:rsidP="00615EB0">
            <w:pPr>
              <w:pStyle w:val="ListParagraph"/>
              <w:numPr>
                <w:ilvl w:val="0"/>
                <w:numId w:val="6"/>
              </w:numPr>
              <w:spacing w:line="240" w:lineRule="auto"/>
              <w:ind w:left="714" w:hanging="357"/>
              <w:contextualSpacing w:val="0"/>
              <w:rPr>
                <w:sz w:val="20"/>
                <w:lang w:val="en-NZ"/>
              </w:rPr>
            </w:pPr>
            <w:r w:rsidRPr="00AE6B24">
              <w:rPr>
                <w:sz w:val="20"/>
                <w:lang w:val="en-NZ"/>
              </w:rPr>
              <w:t xml:space="preserve">the level and type of operational implications for </w:t>
            </w:r>
            <w:r w:rsidR="00693D3F" w:rsidRPr="00AE6B24">
              <w:rPr>
                <w:sz w:val="20"/>
                <w:lang w:val="en-NZ"/>
              </w:rPr>
              <w:t>organisations directly impacted</w:t>
            </w:r>
            <w:r w:rsidRPr="00AE6B24">
              <w:rPr>
                <w:sz w:val="20"/>
                <w:lang w:val="en-NZ"/>
              </w:rPr>
              <w:t>.</w:t>
            </w:r>
          </w:p>
          <w:p w14:paraId="6EBF9071" w14:textId="2872A341" w:rsidR="00615EB0" w:rsidRPr="00AE6B24" w:rsidRDefault="00615EB0" w:rsidP="00615EB0">
            <w:pPr>
              <w:spacing w:after="60" w:line="240" w:lineRule="auto"/>
              <w:rPr>
                <w:iCs/>
                <w:color w:val="000000"/>
                <w:sz w:val="20"/>
                <w:lang w:val="en-NZ"/>
              </w:rPr>
            </w:pPr>
            <w:r w:rsidRPr="00AE6B24">
              <w:rPr>
                <w:iCs/>
                <w:color w:val="000000"/>
                <w:sz w:val="20"/>
                <w:lang w:val="en-NZ"/>
              </w:rPr>
              <w:t>The key assumptions and uncertainties underpinning the impact analysis are that:</w:t>
            </w:r>
          </w:p>
          <w:p w14:paraId="46152A0C" w14:textId="77777777" w:rsidR="00615EB0" w:rsidRPr="00AE6B24" w:rsidRDefault="00615EB0" w:rsidP="00615EB0">
            <w:pPr>
              <w:pStyle w:val="ListParagraph"/>
              <w:numPr>
                <w:ilvl w:val="0"/>
                <w:numId w:val="6"/>
              </w:numPr>
              <w:spacing w:before="60" w:after="60" w:line="240" w:lineRule="auto"/>
              <w:contextualSpacing w:val="0"/>
              <w:rPr>
                <w:sz w:val="20"/>
                <w:lang w:val="en-NZ"/>
              </w:rPr>
            </w:pPr>
            <w:r w:rsidRPr="00AE6B24">
              <w:rPr>
                <w:rFonts w:cs="Arial"/>
                <w:sz w:val="20"/>
              </w:rPr>
              <w:t xml:space="preserve">regulatory change will only be progressed where it is the most effective response, but at this early stage there is some </w:t>
            </w:r>
            <w:r w:rsidRPr="00AE6B24">
              <w:rPr>
                <w:iCs/>
                <w:color w:val="000000"/>
                <w:sz w:val="20"/>
                <w:lang w:val="en-NZ"/>
              </w:rPr>
              <w:t xml:space="preserve">uncertainly about which harm minimisation measures are best provided for in operational rules rather than regulations, </w:t>
            </w:r>
          </w:p>
          <w:p w14:paraId="34FAF6E3" w14:textId="77777777" w:rsidR="00615EB0" w:rsidRDefault="00615EB0" w:rsidP="00615EB0">
            <w:pPr>
              <w:pStyle w:val="ListParagraph"/>
              <w:numPr>
                <w:ilvl w:val="0"/>
                <w:numId w:val="6"/>
              </w:numPr>
              <w:spacing w:before="60" w:after="60" w:line="240" w:lineRule="auto"/>
              <w:ind w:left="714" w:hanging="357"/>
              <w:contextualSpacing w:val="0"/>
              <w:rPr>
                <w:rFonts w:cs="Arial"/>
                <w:sz w:val="20"/>
              </w:rPr>
            </w:pPr>
            <w:r w:rsidRPr="00AE6B24">
              <w:rPr>
                <w:rFonts w:cs="Arial"/>
                <w:sz w:val="20"/>
              </w:rPr>
              <w:t>we are seeking input on the practicality and acceptability of measures, as the private nature of the activity and links to comorbidities</w:t>
            </w:r>
            <w:r w:rsidRPr="00D14868">
              <w:rPr>
                <w:rFonts w:cs="Arial"/>
                <w:sz w:val="20"/>
              </w:rPr>
              <w:t xml:space="preserve"> means that the data and evidence is inevitably limited</w:t>
            </w:r>
            <w:r>
              <w:rPr>
                <w:rFonts w:cs="Arial"/>
                <w:sz w:val="20"/>
              </w:rPr>
              <w:t>, and</w:t>
            </w:r>
            <w:r w:rsidRPr="00D14868">
              <w:rPr>
                <w:rFonts w:cs="Arial"/>
                <w:sz w:val="20"/>
              </w:rPr>
              <w:t xml:space="preserve"> </w:t>
            </w:r>
          </w:p>
          <w:p w14:paraId="1ADE24DB" w14:textId="77777777" w:rsidR="00615EB0" w:rsidRPr="00833094" w:rsidRDefault="00615EB0" w:rsidP="00615EB0">
            <w:pPr>
              <w:pStyle w:val="ListParagraph"/>
              <w:numPr>
                <w:ilvl w:val="0"/>
                <w:numId w:val="6"/>
              </w:numPr>
              <w:spacing w:before="60" w:line="240" w:lineRule="auto"/>
              <w:ind w:left="714" w:hanging="357"/>
              <w:contextualSpacing w:val="0"/>
              <w:rPr>
                <w:rFonts w:cs="Arial"/>
                <w:sz w:val="20"/>
              </w:rPr>
            </w:pPr>
            <w:r>
              <w:rPr>
                <w:rFonts w:cs="Arial"/>
                <w:sz w:val="20"/>
              </w:rPr>
              <w:t>we are taking an open</w:t>
            </w:r>
            <w:r w:rsidRPr="00D14868">
              <w:rPr>
                <w:rFonts w:cs="Arial"/>
                <w:sz w:val="20"/>
              </w:rPr>
              <w:t xml:space="preserve"> approach</w:t>
            </w:r>
            <w:r>
              <w:rPr>
                <w:rFonts w:cs="Arial"/>
                <w:sz w:val="20"/>
              </w:rPr>
              <w:t>, by setting out a relatively wide range of potential measures for information and feedback rather than offering pre-evaluated measures for comment</w:t>
            </w:r>
            <w:r w:rsidRPr="00833094">
              <w:rPr>
                <w:rFonts w:cs="Arial"/>
                <w:sz w:val="20"/>
              </w:rPr>
              <w:t>.</w:t>
            </w:r>
          </w:p>
          <w:p w14:paraId="7BA82375" w14:textId="77777777" w:rsidR="00474028" w:rsidRPr="00D14868" w:rsidRDefault="00D74716" w:rsidP="00D74716">
            <w:pPr>
              <w:spacing w:line="240" w:lineRule="auto"/>
              <w:rPr>
                <w:iCs/>
                <w:color w:val="000000"/>
                <w:sz w:val="20"/>
                <w:lang w:val="en-NZ"/>
              </w:rPr>
            </w:pPr>
            <w:r w:rsidRPr="00D74716">
              <w:rPr>
                <w:iCs/>
                <w:color w:val="000000"/>
                <w:sz w:val="20"/>
                <w:lang w:val="en-NZ"/>
              </w:rPr>
              <w:t xml:space="preserve">We do not think </w:t>
            </w:r>
            <w:r w:rsidR="00474028" w:rsidRPr="00D74716">
              <w:rPr>
                <w:iCs/>
                <w:color w:val="000000"/>
                <w:sz w:val="20"/>
                <w:lang w:val="en-NZ"/>
              </w:rPr>
              <w:t xml:space="preserve">these limitations and constraints </w:t>
            </w:r>
            <w:r w:rsidRPr="00D74716">
              <w:rPr>
                <w:iCs/>
                <w:color w:val="000000"/>
                <w:sz w:val="20"/>
                <w:lang w:val="en-NZ"/>
              </w:rPr>
              <w:t xml:space="preserve">will impact on </w:t>
            </w:r>
            <w:r w:rsidR="00474028" w:rsidRPr="00D74716">
              <w:rPr>
                <w:iCs/>
                <w:color w:val="000000"/>
                <w:sz w:val="20"/>
                <w:lang w:val="en-NZ"/>
              </w:rPr>
              <w:t>Ministers</w:t>
            </w:r>
            <w:r w:rsidR="00707D12">
              <w:rPr>
                <w:iCs/>
                <w:color w:val="000000"/>
                <w:sz w:val="20"/>
                <w:lang w:val="en-NZ"/>
              </w:rPr>
              <w:t>’</w:t>
            </w:r>
            <w:r w:rsidR="00474028" w:rsidRPr="00D74716">
              <w:rPr>
                <w:iCs/>
                <w:color w:val="000000"/>
                <w:sz w:val="20"/>
                <w:lang w:val="en-NZ"/>
              </w:rPr>
              <w:t xml:space="preserve"> </w:t>
            </w:r>
            <w:r w:rsidRPr="00D74716">
              <w:rPr>
                <w:iCs/>
                <w:color w:val="000000"/>
                <w:sz w:val="20"/>
                <w:lang w:val="en-NZ"/>
              </w:rPr>
              <w:t>confidence in the approach taken in the draft discussion document and their decision to release it.</w:t>
            </w:r>
          </w:p>
        </w:tc>
      </w:tr>
      <w:tr w:rsidR="00413FD8" w:rsidRPr="00A864A5" w14:paraId="5C46FEB3" w14:textId="77777777" w:rsidTr="006448CF">
        <w:tc>
          <w:tcPr>
            <w:tcW w:w="5000" w:type="pct"/>
            <w:gridSpan w:val="2"/>
            <w:tcBorders>
              <w:bottom w:val="single" w:sz="4" w:space="0" w:color="DDDDDD"/>
            </w:tcBorders>
            <w:shd w:val="clear" w:color="auto" w:fill="99CDDD"/>
            <w:hideMark/>
          </w:tcPr>
          <w:p w14:paraId="531EB65D" w14:textId="77777777" w:rsidR="00413FD8" w:rsidRPr="00A864A5" w:rsidRDefault="00413FD8" w:rsidP="00D14868">
            <w:pPr>
              <w:pStyle w:val="TableHeadings"/>
              <w:spacing w:line="240" w:lineRule="auto"/>
              <w:rPr>
                <w:color w:val="002060"/>
                <w:szCs w:val="22"/>
                <w:lang w:val="en-NZ"/>
              </w:rPr>
            </w:pPr>
            <w:bookmarkStart w:id="3" w:name="_Hlk47608084"/>
            <w:bookmarkEnd w:id="2"/>
            <w:r w:rsidRPr="00A864A5">
              <w:rPr>
                <w:szCs w:val="22"/>
                <w:lang w:val="en-NZ"/>
              </w:rPr>
              <w:t>Responsible Manager(s) (completed by relevant manager)</w:t>
            </w:r>
          </w:p>
        </w:tc>
      </w:tr>
      <w:tr w:rsidR="00413FD8" w:rsidRPr="00A864A5" w14:paraId="3AEBE5F9" w14:textId="77777777" w:rsidTr="00D14868">
        <w:trPr>
          <w:trHeight w:val="1074"/>
        </w:trPr>
        <w:tc>
          <w:tcPr>
            <w:tcW w:w="5000" w:type="pct"/>
            <w:gridSpan w:val="2"/>
            <w:tcBorders>
              <w:top w:val="nil"/>
            </w:tcBorders>
            <w:shd w:val="clear" w:color="auto" w:fill="auto"/>
          </w:tcPr>
          <w:p w14:paraId="34168950" w14:textId="0E75AF26" w:rsidR="00FA1A47" w:rsidRPr="00FA1A47" w:rsidRDefault="00FA1A47" w:rsidP="00D3440E">
            <w:pPr>
              <w:tabs>
                <w:tab w:val="left" w:pos="7424"/>
                <w:tab w:val="right" w:pos="8636"/>
              </w:tabs>
              <w:spacing w:before="120" w:after="60" w:line="240" w:lineRule="auto"/>
              <w:rPr>
                <w:b/>
                <w:iCs/>
                <w:color w:val="000000"/>
                <w:sz w:val="20"/>
                <w:lang w:val="en-NZ"/>
              </w:rPr>
            </w:pPr>
            <w:r>
              <w:rPr>
                <w:b/>
                <w:iCs/>
                <w:noProof/>
                <w:color w:val="000000"/>
                <w:sz w:val="20"/>
                <w:lang w:val="en-NZ"/>
              </w:rPr>
              <w:drawing>
                <wp:inline distT="0" distB="0" distL="0" distR="0" wp14:anchorId="2DBAF83C" wp14:editId="109BE272">
                  <wp:extent cx="1296537" cy="533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161" cy="543702"/>
                          </a:xfrm>
                          <a:prstGeom prst="rect">
                            <a:avLst/>
                          </a:prstGeom>
                          <a:noFill/>
                        </pic:spPr>
                      </pic:pic>
                    </a:graphicData>
                  </a:graphic>
                </wp:inline>
              </w:drawing>
            </w:r>
          </w:p>
          <w:p w14:paraId="2AA60EF7" w14:textId="06779187" w:rsidR="00D14868" w:rsidRPr="00D14868" w:rsidRDefault="00AE6B24" w:rsidP="00D3440E">
            <w:pPr>
              <w:tabs>
                <w:tab w:val="left" w:pos="7424"/>
                <w:tab w:val="right" w:pos="8636"/>
              </w:tabs>
              <w:spacing w:before="120" w:after="60" w:line="240" w:lineRule="auto"/>
              <w:rPr>
                <w:iCs/>
                <w:color w:val="000000"/>
                <w:sz w:val="20"/>
                <w:lang w:val="en-NZ"/>
              </w:rPr>
            </w:pPr>
            <w:r w:rsidRPr="00D80DA2">
              <w:rPr>
                <w:iCs/>
                <w:color w:val="000000"/>
                <w:sz w:val="20"/>
                <w:lang w:val="en-NZ"/>
              </w:rPr>
              <w:t>Michael Wood</w:t>
            </w:r>
            <w:r w:rsidR="00DD278D" w:rsidRPr="00D80DA2">
              <w:rPr>
                <w:iCs/>
                <w:color w:val="000000"/>
                <w:sz w:val="20"/>
                <w:lang w:val="en-NZ"/>
              </w:rPr>
              <w:t>side</w:t>
            </w:r>
            <w:r w:rsidR="00D14868" w:rsidRPr="00D80DA2">
              <w:rPr>
                <w:iCs/>
                <w:color w:val="000000"/>
                <w:sz w:val="20"/>
                <w:lang w:val="en-NZ"/>
              </w:rPr>
              <w:t xml:space="preserve">, </w:t>
            </w:r>
            <w:r w:rsidRPr="00D80DA2">
              <w:rPr>
                <w:iCs/>
                <w:color w:val="000000"/>
                <w:sz w:val="20"/>
                <w:lang w:val="en-NZ"/>
              </w:rPr>
              <w:t>Polic</w:t>
            </w:r>
            <w:r w:rsidR="00E02235" w:rsidRPr="00D80DA2">
              <w:rPr>
                <w:iCs/>
                <w:color w:val="000000"/>
                <w:sz w:val="20"/>
                <w:lang w:val="en-NZ"/>
              </w:rPr>
              <w:t>y</w:t>
            </w:r>
            <w:r w:rsidRPr="00D80DA2">
              <w:rPr>
                <w:iCs/>
                <w:color w:val="000000"/>
                <w:sz w:val="20"/>
                <w:lang w:val="en-NZ"/>
              </w:rPr>
              <w:t xml:space="preserve"> Direct</w:t>
            </w:r>
            <w:r w:rsidR="00E02235" w:rsidRPr="00D80DA2">
              <w:rPr>
                <w:iCs/>
                <w:color w:val="000000"/>
                <w:sz w:val="20"/>
                <w:lang w:val="en-NZ"/>
              </w:rPr>
              <w:t>or</w:t>
            </w:r>
            <w:r w:rsidRPr="00D80DA2">
              <w:rPr>
                <w:iCs/>
                <w:color w:val="000000"/>
                <w:sz w:val="20"/>
                <w:lang w:val="en-NZ"/>
              </w:rPr>
              <w:t xml:space="preserve">, </w:t>
            </w:r>
            <w:r w:rsidR="00D14868" w:rsidRPr="00D80DA2">
              <w:rPr>
                <w:iCs/>
                <w:color w:val="000000"/>
                <w:sz w:val="20"/>
                <w:lang w:val="en-NZ"/>
              </w:rPr>
              <w:t xml:space="preserve">Policy </w:t>
            </w:r>
            <w:r w:rsidR="00D14868" w:rsidRPr="00D80DA2">
              <w:rPr>
                <w:rStyle w:val="normaltextrun"/>
                <w:rFonts w:cs="Arial"/>
                <w:sz w:val="20"/>
                <w:shd w:val="clear" w:color="auto" w:fill="FFFFFF"/>
              </w:rPr>
              <w:t>Group</w:t>
            </w:r>
            <w:r w:rsidR="00D14868" w:rsidRPr="00D80DA2">
              <w:rPr>
                <w:iCs/>
                <w:color w:val="000000"/>
                <w:sz w:val="20"/>
                <w:lang w:val="en-NZ"/>
              </w:rPr>
              <w:t>, Regulation and Policy</w:t>
            </w:r>
            <w:r w:rsidR="001749B4" w:rsidRPr="00D80DA2">
              <w:rPr>
                <w:iCs/>
                <w:color w:val="000000"/>
                <w:sz w:val="20"/>
                <w:lang w:val="en-NZ"/>
              </w:rPr>
              <w:t>,</w:t>
            </w:r>
            <w:r w:rsidR="001749B4">
              <w:rPr>
                <w:iCs/>
                <w:color w:val="000000"/>
                <w:sz w:val="20"/>
                <w:lang w:val="en-NZ"/>
              </w:rPr>
              <w:t xml:space="preserve"> </w:t>
            </w:r>
          </w:p>
          <w:p w14:paraId="3F98EFD3" w14:textId="77777777" w:rsidR="00D14868" w:rsidRPr="0043532E" w:rsidRDefault="00D14868" w:rsidP="001749B4">
            <w:pPr>
              <w:spacing w:before="60" w:after="120" w:line="240" w:lineRule="auto"/>
              <w:rPr>
                <w:iCs/>
                <w:color w:val="000000"/>
                <w:sz w:val="20"/>
                <w:lang w:val="en-NZ"/>
              </w:rPr>
            </w:pPr>
            <w:r w:rsidRPr="0043532E">
              <w:rPr>
                <w:iCs/>
                <w:color w:val="000000"/>
                <w:sz w:val="20"/>
                <w:lang w:val="en-NZ"/>
              </w:rPr>
              <w:t>Department of Internal Affairs  </w:t>
            </w:r>
          </w:p>
          <w:p w14:paraId="6935402D" w14:textId="10947D09" w:rsidR="007A20DD" w:rsidRPr="00D14868" w:rsidRDefault="00763B1B" w:rsidP="001749B4">
            <w:pPr>
              <w:spacing w:before="60" w:after="120" w:line="240" w:lineRule="auto"/>
              <w:rPr>
                <w:iCs/>
                <w:color w:val="000000"/>
                <w:lang w:val="en-NZ"/>
              </w:rPr>
            </w:pPr>
            <w:r>
              <w:rPr>
                <w:iCs/>
                <w:color w:val="000000"/>
                <w:sz w:val="20"/>
                <w:lang w:val="en-NZ"/>
              </w:rPr>
              <w:t>8</w:t>
            </w:r>
            <w:r w:rsidR="00D14868" w:rsidRPr="0043532E">
              <w:rPr>
                <w:iCs/>
                <w:color w:val="000000"/>
                <w:sz w:val="20"/>
                <w:lang w:val="en-NZ"/>
              </w:rPr>
              <w:t xml:space="preserve"> </w:t>
            </w:r>
            <w:r w:rsidR="00A87BFA" w:rsidRPr="0043532E">
              <w:rPr>
                <w:iCs/>
                <w:color w:val="000000"/>
                <w:sz w:val="20"/>
                <w:lang w:val="en-NZ"/>
              </w:rPr>
              <w:t>December</w:t>
            </w:r>
            <w:r w:rsidR="00D14868" w:rsidRPr="00D14868">
              <w:rPr>
                <w:iCs/>
                <w:color w:val="000000"/>
                <w:sz w:val="20"/>
                <w:lang w:val="en-NZ"/>
              </w:rPr>
              <w:t> 2021</w:t>
            </w:r>
            <w:r w:rsidR="00D14868" w:rsidRPr="00D14868">
              <w:rPr>
                <w:iCs/>
                <w:color w:val="000000"/>
                <w:lang w:val="en-NZ"/>
              </w:rPr>
              <w:t> </w:t>
            </w:r>
          </w:p>
        </w:tc>
      </w:tr>
      <w:tr w:rsidR="00EB2157" w:rsidRPr="00A864A5" w14:paraId="3608D672" w14:textId="77777777" w:rsidTr="006448CF">
        <w:tc>
          <w:tcPr>
            <w:tcW w:w="5000" w:type="pct"/>
            <w:gridSpan w:val="2"/>
            <w:tcBorders>
              <w:bottom w:val="single" w:sz="4" w:space="0" w:color="DDDDDD"/>
            </w:tcBorders>
            <w:shd w:val="clear" w:color="auto" w:fill="99CDDD"/>
            <w:hideMark/>
          </w:tcPr>
          <w:p w14:paraId="06E26351" w14:textId="77777777" w:rsidR="00EB2157" w:rsidRPr="00A864A5" w:rsidRDefault="00EB2157" w:rsidP="00D14868">
            <w:pPr>
              <w:pStyle w:val="TableHeadings"/>
              <w:spacing w:line="240" w:lineRule="auto"/>
              <w:rPr>
                <w:color w:val="002060"/>
                <w:szCs w:val="22"/>
                <w:lang w:val="en-NZ"/>
              </w:rPr>
            </w:pPr>
            <w:r w:rsidRPr="00A864A5">
              <w:rPr>
                <w:szCs w:val="22"/>
                <w:lang w:val="en-NZ"/>
              </w:rPr>
              <w:t xml:space="preserve">Quality </w:t>
            </w:r>
            <w:r w:rsidR="009F6501" w:rsidRPr="00A864A5">
              <w:rPr>
                <w:szCs w:val="22"/>
                <w:lang w:val="en-NZ"/>
              </w:rPr>
              <w:t>A</w:t>
            </w:r>
            <w:r w:rsidRPr="00A864A5">
              <w:rPr>
                <w:szCs w:val="22"/>
                <w:lang w:val="en-NZ"/>
              </w:rPr>
              <w:t xml:space="preserve">ssurance </w:t>
            </w:r>
            <w:r w:rsidR="00076368" w:rsidRPr="00A864A5">
              <w:rPr>
                <w:szCs w:val="22"/>
                <w:lang w:val="en-NZ"/>
              </w:rPr>
              <w:t>(completed by QA panel)</w:t>
            </w:r>
          </w:p>
        </w:tc>
      </w:tr>
      <w:tr w:rsidR="00EB2157" w:rsidRPr="00A864A5" w14:paraId="4696703A" w14:textId="77777777" w:rsidTr="006448CF">
        <w:trPr>
          <w:trHeight w:val="141"/>
        </w:trPr>
        <w:tc>
          <w:tcPr>
            <w:tcW w:w="1328" w:type="pct"/>
            <w:tcBorders>
              <w:top w:val="nil"/>
            </w:tcBorders>
            <w:shd w:val="clear" w:color="auto" w:fill="EBF5F8"/>
          </w:tcPr>
          <w:p w14:paraId="0C1799DA" w14:textId="77777777" w:rsidR="00EB2157" w:rsidRPr="00D14868" w:rsidRDefault="00EB2157" w:rsidP="001749B4">
            <w:pPr>
              <w:spacing w:before="60" w:line="240" w:lineRule="auto"/>
              <w:rPr>
                <w:rFonts w:cs="Arial"/>
                <w:iCs/>
                <w:color w:val="000000"/>
                <w:sz w:val="20"/>
                <w:lang w:val="en-NZ"/>
              </w:rPr>
            </w:pPr>
            <w:r w:rsidRPr="00D14868">
              <w:rPr>
                <w:rFonts w:cs="Arial"/>
                <w:iCs/>
                <w:color w:val="000000"/>
                <w:sz w:val="20"/>
                <w:lang w:val="en-NZ"/>
              </w:rPr>
              <w:t xml:space="preserve">Reviewing </w:t>
            </w:r>
            <w:r w:rsidR="00575FF9" w:rsidRPr="00D14868">
              <w:rPr>
                <w:rFonts w:cs="Arial"/>
                <w:iCs/>
                <w:color w:val="000000"/>
                <w:sz w:val="20"/>
                <w:lang w:val="en-NZ"/>
              </w:rPr>
              <w:t>A</w:t>
            </w:r>
            <w:r w:rsidRPr="00D14868">
              <w:rPr>
                <w:rFonts w:cs="Arial"/>
                <w:iCs/>
                <w:color w:val="000000"/>
                <w:sz w:val="20"/>
                <w:lang w:val="en-NZ"/>
              </w:rPr>
              <w:t>gency:</w:t>
            </w:r>
          </w:p>
        </w:tc>
        <w:tc>
          <w:tcPr>
            <w:tcW w:w="3672" w:type="pct"/>
            <w:tcBorders>
              <w:top w:val="nil"/>
            </w:tcBorders>
            <w:shd w:val="clear" w:color="auto" w:fill="auto"/>
          </w:tcPr>
          <w:p w14:paraId="0075E9C9" w14:textId="77777777" w:rsidR="00EB2157" w:rsidRPr="00D14868" w:rsidRDefault="00D14868" w:rsidP="001749B4">
            <w:pPr>
              <w:spacing w:before="60" w:line="240" w:lineRule="auto"/>
              <w:rPr>
                <w:rFonts w:cs="Arial"/>
                <w:iCs/>
                <w:color w:val="000000"/>
                <w:sz w:val="20"/>
                <w:lang w:val="en-NZ"/>
              </w:rPr>
            </w:pPr>
            <w:r w:rsidRPr="00D14868">
              <w:rPr>
                <w:rFonts w:cs="Arial"/>
                <w:color w:val="000000"/>
                <w:sz w:val="20"/>
                <w:lang w:val="en-NZ"/>
              </w:rPr>
              <w:t>Department of Internal Affairs</w:t>
            </w:r>
          </w:p>
        </w:tc>
      </w:tr>
      <w:tr w:rsidR="00EB2157" w:rsidRPr="00A864A5" w14:paraId="77F3319F" w14:textId="77777777" w:rsidTr="006448CF">
        <w:trPr>
          <w:trHeight w:val="1639"/>
        </w:trPr>
        <w:tc>
          <w:tcPr>
            <w:tcW w:w="1328" w:type="pct"/>
            <w:tcBorders>
              <w:top w:val="nil"/>
            </w:tcBorders>
            <w:shd w:val="clear" w:color="auto" w:fill="EBF5F8"/>
          </w:tcPr>
          <w:p w14:paraId="145C415B" w14:textId="77777777" w:rsidR="00EB2157" w:rsidRPr="00D14868" w:rsidRDefault="00F321A6" w:rsidP="001749B4">
            <w:pPr>
              <w:spacing w:before="60" w:line="240" w:lineRule="auto"/>
              <w:rPr>
                <w:rFonts w:cs="Arial"/>
                <w:iCs/>
                <w:color w:val="000000"/>
                <w:sz w:val="20"/>
                <w:lang w:val="en-NZ"/>
              </w:rPr>
            </w:pPr>
            <w:r w:rsidRPr="00D14868">
              <w:rPr>
                <w:rFonts w:cs="Arial"/>
                <w:iCs/>
                <w:color w:val="000000"/>
                <w:sz w:val="20"/>
                <w:lang w:val="en-NZ"/>
              </w:rPr>
              <w:t xml:space="preserve">Panel </w:t>
            </w:r>
            <w:r w:rsidR="00EB2157" w:rsidRPr="00D14868">
              <w:rPr>
                <w:rFonts w:cs="Arial"/>
                <w:iCs/>
                <w:color w:val="000000"/>
                <w:sz w:val="20"/>
                <w:lang w:val="en-NZ"/>
              </w:rPr>
              <w:t>Assessment</w:t>
            </w:r>
            <w:r w:rsidRPr="00D14868">
              <w:rPr>
                <w:rFonts w:cs="Arial"/>
                <w:iCs/>
                <w:color w:val="000000"/>
                <w:sz w:val="20"/>
                <w:lang w:val="en-NZ"/>
              </w:rPr>
              <w:t xml:space="preserve"> &amp; </w:t>
            </w:r>
            <w:r w:rsidR="0085441F" w:rsidRPr="00D14868">
              <w:rPr>
                <w:rFonts w:cs="Arial"/>
                <w:iCs/>
                <w:color w:val="000000"/>
                <w:sz w:val="20"/>
                <w:lang w:val="en-NZ"/>
              </w:rPr>
              <w:t>Comment</w:t>
            </w:r>
            <w:r w:rsidR="00EB2157" w:rsidRPr="00D14868">
              <w:rPr>
                <w:rFonts w:cs="Arial"/>
                <w:iCs/>
                <w:color w:val="000000"/>
                <w:sz w:val="20"/>
                <w:lang w:val="en-NZ"/>
              </w:rPr>
              <w:t>:</w:t>
            </w:r>
          </w:p>
        </w:tc>
        <w:tc>
          <w:tcPr>
            <w:tcW w:w="3672" w:type="pct"/>
            <w:tcBorders>
              <w:top w:val="nil"/>
            </w:tcBorders>
            <w:shd w:val="clear" w:color="auto" w:fill="auto"/>
          </w:tcPr>
          <w:p w14:paraId="32440EA9" w14:textId="02158953" w:rsidR="00EB2157" w:rsidRPr="00763B1B" w:rsidRDefault="00763B1B" w:rsidP="001749B4">
            <w:pPr>
              <w:spacing w:before="60" w:line="240" w:lineRule="auto"/>
              <w:rPr>
                <w:rFonts w:cs="Arial"/>
                <w:sz w:val="20"/>
                <w:lang w:val="en-NZ"/>
              </w:rPr>
            </w:pPr>
            <w:r w:rsidRPr="00763B1B">
              <w:rPr>
                <w:rFonts w:cs="Arial"/>
                <w:sz w:val="20"/>
                <w:lang w:val="en-NZ"/>
              </w:rPr>
              <w:t>The panel considers that the information and analysis summarised in the RIA partially meets the quality assurance criteria.</w:t>
            </w:r>
            <w:bookmarkStart w:id="4" w:name="_Hlk89775623"/>
            <w:r>
              <w:rPr>
                <w:rFonts w:cs="Arial"/>
                <w:sz w:val="20"/>
                <w:lang w:val="en-NZ"/>
              </w:rPr>
              <w:t xml:space="preserve"> </w:t>
            </w:r>
            <w:r w:rsidRPr="00763B1B">
              <w:rPr>
                <w:rFonts w:cs="Arial"/>
                <w:sz w:val="20"/>
                <w:lang w:val="en-NZ"/>
              </w:rPr>
              <w:t xml:space="preserve">The interim RIS does a reasonable job of identifying the gaps in data, evidence and information to support decisions about whether changes to the regulations are needed and, if so, what changes to the regulations may have the largest positive and least adverse impacts. It will be important to obtain good information through the consultation process to help to fill these gaps, including about costs and benefits and the implementation of the proposed regulatory changes. A good consultation process should help to fill gaps in the analysis of costs and benefits, both quantifiable and non-quantifiable, so that the final RIS can provide the necessary information to support decision-making. It is also important for the final RIS to assess the interaction between regulatory changes, operational improvements and the role of the regulator in effective enforcement. </w:t>
            </w:r>
            <w:bookmarkEnd w:id="4"/>
          </w:p>
        </w:tc>
      </w:tr>
    </w:tbl>
    <w:p w14:paraId="37986EC1" w14:textId="77777777" w:rsidR="00C53DAC" w:rsidRDefault="00F16C50" w:rsidP="00D14868">
      <w:pPr>
        <w:pStyle w:val="Heading2"/>
        <w:rPr>
          <w:lang w:val="en-NZ"/>
        </w:rPr>
      </w:pPr>
      <w:bookmarkStart w:id="5" w:name="_Toc363047038"/>
      <w:bookmarkStart w:id="6" w:name="_Toc362940530"/>
      <w:bookmarkStart w:id="7" w:name="_Toc362618966"/>
      <w:bookmarkStart w:id="8" w:name="_Toc362434720"/>
      <w:bookmarkStart w:id="9" w:name="_Toc362368098"/>
      <w:bookmarkEnd w:id="3"/>
      <w:r w:rsidRPr="00A864A5">
        <w:rPr>
          <w:lang w:val="en-NZ"/>
        </w:rPr>
        <w:lastRenderedPageBreak/>
        <w:t xml:space="preserve">Section 1: </w:t>
      </w:r>
      <w:r w:rsidR="0022201B">
        <w:rPr>
          <w:lang w:val="en-NZ"/>
        </w:rPr>
        <w:t>Diagnos</w:t>
      </w:r>
      <w:r w:rsidR="001C4A82">
        <w:rPr>
          <w:lang w:val="en-NZ"/>
        </w:rPr>
        <w:t>ing</w:t>
      </w:r>
      <w:r w:rsidR="0022201B">
        <w:rPr>
          <w:lang w:val="en-NZ"/>
        </w:rPr>
        <w:t xml:space="preserve"> the policy problem</w:t>
      </w:r>
    </w:p>
    <w:p w14:paraId="6DDDABFD" w14:textId="77777777" w:rsidR="007D78A1" w:rsidRPr="00A864A5" w:rsidRDefault="007E4F5A" w:rsidP="00D14868">
      <w:pPr>
        <w:pStyle w:val="Heading3"/>
        <w:rPr>
          <w:lang w:val="en-NZ"/>
        </w:rPr>
      </w:pPr>
      <w:r>
        <w:rPr>
          <w:lang w:val="en-NZ"/>
        </w:rPr>
        <w:t xml:space="preserve">What is the context behind the </w:t>
      </w:r>
      <w:r w:rsidR="008E4014">
        <w:rPr>
          <w:lang w:val="en-NZ"/>
        </w:rPr>
        <w:t xml:space="preserve">policy </w:t>
      </w:r>
      <w:r>
        <w:rPr>
          <w:lang w:val="en-NZ"/>
        </w:rPr>
        <w:t>problem</w:t>
      </w:r>
      <w:r w:rsidR="000F740F">
        <w:rPr>
          <w:lang w:val="en-NZ"/>
        </w:rPr>
        <w:t xml:space="preserve"> and </w:t>
      </w:r>
      <w:r w:rsidR="00E0257A">
        <w:rPr>
          <w:lang w:val="en-NZ"/>
        </w:rPr>
        <w:t xml:space="preserve">how is the </w:t>
      </w:r>
      <w:r w:rsidR="0055694C">
        <w:rPr>
          <w:lang w:val="en-NZ"/>
        </w:rPr>
        <w:t>Counterfactual</w:t>
      </w:r>
      <w:r w:rsidR="00E0257A">
        <w:rPr>
          <w:lang w:val="en-NZ"/>
        </w:rPr>
        <w:t xml:space="preserve"> expected to develop</w:t>
      </w:r>
      <w:r>
        <w:rPr>
          <w:lang w:val="en-NZ"/>
        </w:rPr>
        <w:t>?</w:t>
      </w:r>
    </w:p>
    <w:p w14:paraId="6C1C0CDB" w14:textId="77777777" w:rsidR="00A62963" w:rsidRPr="00A62963" w:rsidRDefault="00091719" w:rsidP="00BC61E0">
      <w:pPr>
        <w:spacing w:before="240" w:after="120" w:line="240" w:lineRule="auto"/>
        <w:rPr>
          <w:b/>
          <w:sz w:val="20"/>
          <w:lang w:val="en-NZ"/>
        </w:rPr>
      </w:pPr>
      <w:r>
        <w:rPr>
          <w:b/>
          <w:sz w:val="20"/>
          <w:lang w:val="en-NZ"/>
        </w:rPr>
        <w:t xml:space="preserve">Context </w:t>
      </w:r>
    </w:p>
    <w:p w14:paraId="0B2628D2" w14:textId="77777777" w:rsidR="00635830" w:rsidRPr="00635830" w:rsidRDefault="00635830" w:rsidP="00635830">
      <w:pPr>
        <w:spacing w:after="120" w:line="240" w:lineRule="auto"/>
        <w:rPr>
          <w:i/>
          <w:sz w:val="20"/>
        </w:rPr>
      </w:pPr>
      <w:r w:rsidRPr="00635830">
        <w:rPr>
          <w:i/>
          <w:sz w:val="20"/>
        </w:rPr>
        <w:t>A quick overview</w:t>
      </w:r>
    </w:p>
    <w:p w14:paraId="51F8AC1F" w14:textId="77777777" w:rsidR="002552F0" w:rsidRDefault="004821DB" w:rsidP="0091110B">
      <w:pPr>
        <w:pStyle w:val="ListParagraph"/>
        <w:numPr>
          <w:ilvl w:val="0"/>
          <w:numId w:val="5"/>
        </w:numPr>
        <w:spacing w:before="120" w:after="60" w:line="240" w:lineRule="auto"/>
        <w:ind w:left="567" w:hanging="567"/>
        <w:contextualSpacing w:val="0"/>
        <w:rPr>
          <w:sz w:val="20"/>
        </w:rPr>
      </w:pPr>
      <w:r>
        <w:rPr>
          <w:sz w:val="20"/>
        </w:rPr>
        <w:t xml:space="preserve">Class 4 gambling </w:t>
      </w:r>
      <w:r w:rsidR="001C7C55">
        <w:rPr>
          <w:sz w:val="20"/>
        </w:rPr>
        <w:t xml:space="preserve">(‘pokies’) </w:t>
      </w:r>
      <w:r w:rsidR="002C63E3">
        <w:rPr>
          <w:sz w:val="20"/>
        </w:rPr>
        <w:t xml:space="preserve">means </w:t>
      </w:r>
      <w:r w:rsidRPr="004821DB">
        <w:rPr>
          <w:sz w:val="20"/>
        </w:rPr>
        <w:t xml:space="preserve">electronic gaming machines </w:t>
      </w:r>
      <w:r>
        <w:rPr>
          <w:sz w:val="20"/>
        </w:rPr>
        <w:t>(</w:t>
      </w:r>
      <w:r w:rsidRPr="004821DB">
        <w:rPr>
          <w:sz w:val="20"/>
        </w:rPr>
        <w:t>EGMs</w:t>
      </w:r>
      <w:r>
        <w:rPr>
          <w:sz w:val="20"/>
        </w:rPr>
        <w:t>)</w:t>
      </w:r>
      <w:r w:rsidRPr="004821DB">
        <w:rPr>
          <w:sz w:val="20"/>
        </w:rPr>
        <w:t xml:space="preserve"> in pubs, clubs and TABs</w:t>
      </w:r>
      <w:r>
        <w:rPr>
          <w:sz w:val="20"/>
        </w:rPr>
        <w:t xml:space="preserve"> </w:t>
      </w:r>
      <w:r w:rsidR="005C2079">
        <w:rPr>
          <w:sz w:val="20"/>
        </w:rPr>
        <w:t>(but not casinos</w:t>
      </w:r>
      <w:r w:rsidR="00877711">
        <w:rPr>
          <w:sz w:val="20"/>
        </w:rPr>
        <w:t>, which are regulated by another part of the Act</w:t>
      </w:r>
      <w:r w:rsidR="005C2079">
        <w:rPr>
          <w:sz w:val="20"/>
        </w:rPr>
        <w:t xml:space="preserve">) </w:t>
      </w:r>
      <w:r>
        <w:rPr>
          <w:sz w:val="20"/>
        </w:rPr>
        <w:t xml:space="preserve">around New Zealand. </w:t>
      </w:r>
      <w:r w:rsidR="0091110B" w:rsidRPr="0091110B">
        <w:rPr>
          <w:sz w:val="20"/>
        </w:rPr>
        <w:t>Pokies are a form of continuous gambling, where money can immediately be reinvested to more gambling</w:t>
      </w:r>
      <w:r w:rsidR="0091110B">
        <w:rPr>
          <w:sz w:val="20"/>
        </w:rPr>
        <w:t>.</w:t>
      </w:r>
    </w:p>
    <w:p w14:paraId="4BF00511" w14:textId="21B93673" w:rsidR="002552F0" w:rsidRPr="002552F0" w:rsidRDefault="001C7C55" w:rsidP="00A42B77">
      <w:pPr>
        <w:pStyle w:val="ListParagraph"/>
        <w:numPr>
          <w:ilvl w:val="0"/>
          <w:numId w:val="5"/>
        </w:numPr>
        <w:spacing w:before="120" w:after="60" w:line="240" w:lineRule="auto"/>
        <w:ind w:left="567" w:hanging="567"/>
        <w:contextualSpacing w:val="0"/>
        <w:rPr>
          <w:sz w:val="20"/>
        </w:rPr>
      </w:pPr>
      <w:r>
        <w:rPr>
          <w:sz w:val="20"/>
        </w:rPr>
        <w:t xml:space="preserve">Pokies are operated by </w:t>
      </w:r>
      <w:r w:rsidR="004821DB" w:rsidRPr="002552F0">
        <w:rPr>
          <w:sz w:val="20"/>
        </w:rPr>
        <w:t>‘</w:t>
      </w:r>
      <w:r>
        <w:rPr>
          <w:sz w:val="20"/>
        </w:rPr>
        <w:t>c</w:t>
      </w:r>
      <w:r w:rsidR="00FA79DC">
        <w:rPr>
          <w:sz w:val="20"/>
        </w:rPr>
        <w:t xml:space="preserve">orporate </w:t>
      </w:r>
      <w:r w:rsidR="004821DB" w:rsidRPr="002552F0">
        <w:rPr>
          <w:sz w:val="20"/>
        </w:rPr>
        <w:t xml:space="preserve">societies’ </w:t>
      </w:r>
      <w:r>
        <w:rPr>
          <w:sz w:val="20"/>
        </w:rPr>
        <w:t xml:space="preserve">who </w:t>
      </w:r>
      <w:r w:rsidR="004821DB" w:rsidRPr="002552F0">
        <w:rPr>
          <w:sz w:val="20"/>
        </w:rPr>
        <w:t xml:space="preserve">must </w:t>
      </w:r>
      <w:r w:rsidR="00FA79DC">
        <w:rPr>
          <w:sz w:val="20"/>
        </w:rPr>
        <w:t>be licen</w:t>
      </w:r>
      <w:r w:rsidR="00361592">
        <w:rPr>
          <w:sz w:val="20"/>
        </w:rPr>
        <w:t>s</w:t>
      </w:r>
      <w:r w:rsidR="00FA79DC">
        <w:rPr>
          <w:sz w:val="20"/>
        </w:rPr>
        <w:t xml:space="preserve">ed, </w:t>
      </w:r>
      <w:r w:rsidR="004821DB" w:rsidRPr="002552F0">
        <w:rPr>
          <w:sz w:val="20"/>
        </w:rPr>
        <w:t xml:space="preserve">operate in a not-for-profit manner and return gaming machine proceeds to </w:t>
      </w:r>
      <w:r w:rsidR="00FA79DC">
        <w:rPr>
          <w:sz w:val="20"/>
        </w:rPr>
        <w:t xml:space="preserve">authorised purposes’ </w:t>
      </w:r>
      <w:r w:rsidR="004821DB" w:rsidRPr="002552F0">
        <w:rPr>
          <w:sz w:val="20"/>
        </w:rPr>
        <w:t xml:space="preserve">(via </w:t>
      </w:r>
      <w:r w:rsidR="002552F0">
        <w:rPr>
          <w:sz w:val="20"/>
        </w:rPr>
        <w:t xml:space="preserve">community </w:t>
      </w:r>
      <w:r w:rsidR="004821DB" w:rsidRPr="002552F0">
        <w:rPr>
          <w:sz w:val="20"/>
        </w:rPr>
        <w:t xml:space="preserve">grants, </w:t>
      </w:r>
      <w:r w:rsidR="002552F0">
        <w:rPr>
          <w:sz w:val="20"/>
        </w:rPr>
        <w:t xml:space="preserve">internal </w:t>
      </w:r>
      <w:r w:rsidR="002552F0" w:rsidRPr="002552F0">
        <w:rPr>
          <w:sz w:val="20"/>
        </w:rPr>
        <w:t xml:space="preserve">club funding or </w:t>
      </w:r>
      <w:r w:rsidR="002552F0">
        <w:rPr>
          <w:sz w:val="20"/>
        </w:rPr>
        <w:t xml:space="preserve">TAB </w:t>
      </w:r>
      <w:r w:rsidR="002552F0" w:rsidRPr="002552F0">
        <w:rPr>
          <w:sz w:val="20"/>
        </w:rPr>
        <w:t>racing industry</w:t>
      </w:r>
      <w:r w:rsidR="002552F0">
        <w:rPr>
          <w:sz w:val="20"/>
        </w:rPr>
        <w:t xml:space="preserve"> fu</w:t>
      </w:r>
      <w:r w:rsidR="00FA79DC">
        <w:rPr>
          <w:sz w:val="20"/>
        </w:rPr>
        <w:t>n</w:t>
      </w:r>
      <w:r w:rsidR="002552F0">
        <w:rPr>
          <w:sz w:val="20"/>
        </w:rPr>
        <w:t>ding</w:t>
      </w:r>
      <w:r w:rsidR="002552F0" w:rsidRPr="002552F0">
        <w:rPr>
          <w:sz w:val="20"/>
        </w:rPr>
        <w:t xml:space="preserve">). </w:t>
      </w:r>
      <w:r w:rsidR="00361592">
        <w:rPr>
          <w:sz w:val="20"/>
        </w:rPr>
        <w:t>The key differences between pubs and clubs are</w:t>
      </w:r>
      <w:r w:rsidR="0053224A">
        <w:rPr>
          <w:sz w:val="20"/>
        </w:rPr>
        <w:t xml:space="preserve"> that</w:t>
      </w:r>
      <w:r w:rsidR="00361592">
        <w:rPr>
          <w:sz w:val="20"/>
        </w:rPr>
        <w:t>:</w:t>
      </w:r>
    </w:p>
    <w:p w14:paraId="51FF34EB" w14:textId="07DC588D" w:rsidR="00F72B5D" w:rsidRDefault="0053224A" w:rsidP="00A42B77">
      <w:pPr>
        <w:pStyle w:val="ListParagraph"/>
        <w:numPr>
          <w:ilvl w:val="0"/>
          <w:numId w:val="15"/>
        </w:numPr>
        <w:spacing w:after="60" w:line="240" w:lineRule="auto"/>
        <w:contextualSpacing w:val="0"/>
        <w:rPr>
          <w:sz w:val="20"/>
        </w:rPr>
      </w:pPr>
      <w:r>
        <w:rPr>
          <w:sz w:val="20"/>
        </w:rPr>
        <w:t>n</w:t>
      </w:r>
      <w:r w:rsidR="002552F0">
        <w:rPr>
          <w:sz w:val="20"/>
        </w:rPr>
        <w:t xml:space="preserve">on-club societies </w:t>
      </w:r>
      <w:r>
        <w:rPr>
          <w:sz w:val="20"/>
        </w:rPr>
        <w:t xml:space="preserve">(e.g. NZ Community Trust) can </w:t>
      </w:r>
      <w:r w:rsidR="002552F0">
        <w:rPr>
          <w:sz w:val="20"/>
        </w:rPr>
        <w:t xml:space="preserve">have </w:t>
      </w:r>
      <w:r>
        <w:rPr>
          <w:sz w:val="20"/>
        </w:rPr>
        <w:t xml:space="preserve">multiple </w:t>
      </w:r>
      <w:r w:rsidR="002552F0">
        <w:rPr>
          <w:sz w:val="20"/>
        </w:rPr>
        <w:t>venues</w:t>
      </w:r>
      <w:r>
        <w:rPr>
          <w:sz w:val="20"/>
        </w:rPr>
        <w:t xml:space="preserve"> (</w:t>
      </w:r>
      <w:r w:rsidR="002552F0">
        <w:rPr>
          <w:sz w:val="20"/>
        </w:rPr>
        <w:t>but a venue licence must be acquired for each venue</w:t>
      </w:r>
      <w:r>
        <w:rPr>
          <w:sz w:val="20"/>
        </w:rPr>
        <w:t>)</w:t>
      </w:r>
      <w:r w:rsidR="00323A68">
        <w:rPr>
          <w:sz w:val="20"/>
        </w:rPr>
        <w:t>;</w:t>
      </w:r>
      <w:r>
        <w:rPr>
          <w:sz w:val="20"/>
        </w:rPr>
        <w:t xml:space="preserve"> while</w:t>
      </w:r>
      <w:r w:rsidR="002552F0">
        <w:rPr>
          <w:sz w:val="20"/>
        </w:rPr>
        <w:t xml:space="preserve"> </w:t>
      </w:r>
    </w:p>
    <w:p w14:paraId="469DE9BF" w14:textId="0896439E" w:rsidR="002552F0" w:rsidRDefault="0053224A" w:rsidP="00A42B77">
      <w:pPr>
        <w:pStyle w:val="ListParagraph"/>
        <w:numPr>
          <w:ilvl w:val="0"/>
          <w:numId w:val="15"/>
        </w:numPr>
        <w:spacing w:after="120" w:line="240" w:lineRule="auto"/>
        <w:ind w:left="924" w:hanging="357"/>
        <w:contextualSpacing w:val="0"/>
        <w:rPr>
          <w:sz w:val="20"/>
        </w:rPr>
      </w:pPr>
      <w:r>
        <w:rPr>
          <w:sz w:val="20"/>
        </w:rPr>
        <w:t>c</w:t>
      </w:r>
      <w:r w:rsidR="002552F0">
        <w:rPr>
          <w:sz w:val="20"/>
        </w:rPr>
        <w:t>lub</w:t>
      </w:r>
      <w:r w:rsidR="00FA79DC">
        <w:rPr>
          <w:sz w:val="20"/>
        </w:rPr>
        <w:t xml:space="preserve"> societies</w:t>
      </w:r>
      <w:r w:rsidR="002552F0">
        <w:rPr>
          <w:sz w:val="20"/>
        </w:rPr>
        <w:t xml:space="preserve"> (e.g. the RSA) have their own premise</w:t>
      </w:r>
      <w:r w:rsidR="00FA79DC">
        <w:rPr>
          <w:sz w:val="20"/>
        </w:rPr>
        <w:t>s</w:t>
      </w:r>
      <w:r w:rsidR="002552F0">
        <w:rPr>
          <w:sz w:val="20"/>
        </w:rPr>
        <w:t xml:space="preserve"> as a venue</w:t>
      </w:r>
      <w:r w:rsidR="00FA79DC">
        <w:rPr>
          <w:sz w:val="20"/>
        </w:rPr>
        <w:t xml:space="preserve"> (the exception is TAB, which is a club but has many venues across NZ).</w:t>
      </w:r>
    </w:p>
    <w:p w14:paraId="331D1E14" w14:textId="77777777" w:rsidR="004821DB" w:rsidRPr="00FA79DC" w:rsidRDefault="002552F0" w:rsidP="00A42B77">
      <w:pPr>
        <w:pStyle w:val="ListParagraph"/>
        <w:numPr>
          <w:ilvl w:val="0"/>
          <w:numId w:val="5"/>
        </w:numPr>
        <w:spacing w:before="120" w:after="120" w:line="240" w:lineRule="auto"/>
        <w:ind w:left="567" w:hanging="567"/>
        <w:contextualSpacing w:val="0"/>
        <w:rPr>
          <w:sz w:val="20"/>
        </w:rPr>
      </w:pPr>
      <w:r w:rsidRPr="00FA79DC">
        <w:rPr>
          <w:sz w:val="20"/>
        </w:rPr>
        <w:t xml:space="preserve">All societies and venues have obligations under the </w:t>
      </w:r>
      <w:r w:rsidR="00312CE5">
        <w:rPr>
          <w:sz w:val="20"/>
        </w:rPr>
        <w:t xml:space="preserve">Gambling </w:t>
      </w:r>
      <w:r w:rsidRPr="00FA79DC">
        <w:rPr>
          <w:sz w:val="20"/>
        </w:rPr>
        <w:t xml:space="preserve">Act </w:t>
      </w:r>
      <w:r w:rsidR="00312CE5">
        <w:rPr>
          <w:sz w:val="20"/>
        </w:rPr>
        <w:t xml:space="preserve">2003 (the Act) </w:t>
      </w:r>
      <w:r w:rsidRPr="00FA79DC">
        <w:rPr>
          <w:sz w:val="20"/>
        </w:rPr>
        <w:t xml:space="preserve">and the </w:t>
      </w:r>
      <w:r w:rsidR="00215DED">
        <w:rPr>
          <w:sz w:val="20"/>
        </w:rPr>
        <w:t>G</w:t>
      </w:r>
      <w:r w:rsidR="00312CE5">
        <w:rPr>
          <w:sz w:val="20"/>
        </w:rPr>
        <w:t>ambling (</w:t>
      </w:r>
      <w:r w:rsidRPr="00FA79DC">
        <w:rPr>
          <w:sz w:val="20"/>
        </w:rPr>
        <w:t xml:space="preserve">Harm </w:t>
      </w:r>
      <w:r w:rsidR="00312CE5">
        <w:rPr>
          <w:sz w:val="20"/>
        </w:rPr>
        <w:t xml:space="preserve">Prevention and </w:t>
      </w:r>
      <w:r w:rsidRPr="00FA79DC">
        <w:rPr>
          <w:sz w:val="20"/>
        </w:rPr>
        <w:t>Minimisation</w:t>
      </w:r>
      <w:r w:rsidR="00312CE5">
        <w:rPr>
          <w:sz w:val="20"/>
        </w:rPr>
        <w:t>)</w:t>
      </w:r>
      <w:r w:rsidRPr="00FA79DC">
        <w:rPr>
          <w:sz w:val="20"/>
        </w:rPr>
        <w:t xml:space="preserve"> Regulations </w:t>
      </w:r>
      <w:r w:rsidR="00312CE5">
        <w:rPr>
          <w:sz w:val="20"/>
        </w:rPr>
        <w:t xml:space="preserve">2004 </w:t>
      </w:r>
      <w:r w:rsidRPr="00FA79DC">
        <w:rPr>
          <w:sz w:val="20"/>
        </w:rPr>
        <w:t>(see next section).</w:t>
      </w:r>
      <w:r w:rsidR="00FA79DC" w:rsidRPr="00FA79DC">
        <w:rPr>
          <w:sz w:val="20"/>
        </w:rPr>
        <w:t xml:space="preserve"> This includes ensuring </w:t>
      </w:r>
      <w:r w:rsidR="00FA79DC">
        <w:rPr>
          <w:sz w:val="20"/>
        </w:rPr>
        <w:t>a</w:t>
      </w:r>
      <w:r w:rsidRPr="00FA79DC">
        <w:rPr>
          <w:sz w:val="20"/>
        </w:rPr>
        <w:t xml:space="preserve">ll EGMs meet </w:t>
      </w:r>
      <w:r w:rsidR="00FA79DC">
        <w:rPr>
          <w:sz w:val="20"/>
        </w:rPr>
        <w:t xml:space="preserve">the </w:t>
      </w:r>
      <w:r w:rsidRPr="00FA79DC">
        <w:rPr>
          <w:sz w:val="20"/>
        </w:rPr>
        <w:t xml:space="preserve">national standards and include any </w:t>
      </w:r>
      <w:r w:rsidR="00FA79DC">
        <w:rPr>
          <w:sz w:val="20"/>
        </w:rPr>
        <w:t>specified features.</w:t>
      </w:r>
    </w:p>
    <w:p w14:paraId="7F17A8FF" w14:textId="77777777" w:rsidR="006A6443" w:rsidRPr="006A6443" w:rsidRDefault="00750DA1" w:rsidP="006A6443">
      <w:pPr>
        <w:spacing w:after="120" w:line="240" w:lineRule="auto"/>
        <w:rPr>
          <w:i/>
          <w:sz w:val="20"/>
        </w:rPr>
      </w:pPr>
      <w:r>
        <w:rPr>
          <w:i/>
          <w:sz w:val="20"/>
        </w:rPr>
        <w:t>The Department of Internal Affairs regulates pokies</w:t>
      </w:r>
    </w:p>
    <w:p w14:paraId="49BB46A2" w14:textId="77777777" w:rsidR="00A62963" w:rsidRPr="007428AF" w:rsidRDefault="00A62963" w:rsidP="00A42B77">
      <w:pPr>
        <w:pStyle w:val="ListParagraph"/>
        <w:numPr>
          <w:ilvl w:val="0"/>
          <w:numId w:val="5"/>
        </w:numPr>
        <w:spacing w:before="120" w:after="120" w:line="240" w:lineRule="auto"/>
        <w:ind w:left="567" w:hanging="567"/>
        <w:contextualSpacing w:val="0"/>
        <w:rPr>
          <w:sz w:val="20"/>
        </w:rPr>
      </w:pPr>
      <w:r>
        <w:rPr>
          <w:sz w:val="20"/>
        </w:rPr>
        <w:t>The</w:t>
      </w:r>
      <w:r w:rsidR="007428AF">
        <w:rPr>
          <w:sz w:val="20"/>
        </w:rPr>
        <w:t xml:space="preserve">re are </w:t>
      </w:r>
      <w:proofErr w:type="gramStart"/>
      <w:r w:rsidR="007428AF">
        <w:rPr>
          <w:sz w:val="20"/>
        </w:rPr>
        <w:t>a number of</w:t>
      </w:r>
      <w:proofErr w:type="gramEnd"/>
      <w:r w:rsidR="007428AF">
        <w:rPr>
          <w:sz w:val="20"/>
        </w:rPr>
        <w:t xml:space="preserve"> legislative </w:t>
      </w:r>
      <w:r>
        <w:rPr>
          <w:sz w:val="20"/>
        </w:rPr>
        <w:t xml:space="preserve">measures </w:t>
      </w:r>
      <w:r w:rsidR="007428AF">
        <w:rPr>
          <w:sz w:val="20"/>
        </w:rPr>
        <w:t xml:space="preserve">already in place that </w:t>
      </w:r>
      <w:r>
        <w:rPr>
          <w:sz w:val="20"/>
        </w:rPr>
        <w:t>are intended to prevent and minimise harm from pokies.</w:t>
      </w:r>
      <w:r w:rsidR="007428AF" w:rsidRPr="007428AF">
        <w:rPr>
          <w:sz w:val="20"/>
        </w:rPr>
        <w:t xml:space="preserve"> </w:t>
      </w:r>
      <w:r w:rsidR="00743572">
        <w:rPr>
          <w:sz w:val="20"/>
        </w:rPr>
        <w:t xml:space="preserve">The Appendix </w:t>
      </w:r>
      <w:r w:rsidR="007428AF">
        <w:rPr>
          <w:sz w:val="20"/>
        </w:rPr>
        <w:t>provides an o</w:t>
      </w:r>
      <w:r w:rsidR="007428AF" w:rsidRPr="00A62963">
        <w:rPr>
          <w:sz w:val="20"/>
        </w:rPr>
        <w:t xml:space="preserve">verview </w:t>
      </w:r>
      <w:r w:rsidR="00390149">
        <w:rPr>
          <w:sz w:val="20"/>
        </w:rPr>
        <w:t xml:space="preserve">(colour coded) </w:t>
      </w:r>
      <w:r w:rsidR="007428AF" w:rsidRPr="00A62963">
        <w:rPr>
          <w:sz w:val="20"/>
        </w:rPr>
        <w:t>of Class 4 Venue Requirements of the Act and the Harm Minimisation Regulations</w:t>
      </w:r>
      <w:r w:rsidR="007428AF">
        <w:rPr>
          <w:sz w:val="20"/>
        </w:rPr>
        <w:t>.</w:t>
      </w:r>
    </w:p>
    <w:p w14:paraId="30918267" w14:textId="360280B6" w:rsidR="00D13785" w:rsidRDefault="001F7F23" w:rsidP="00A42B77">
      <w:pPr>
        <w:pStyle w:val="ListParagraph"/>
        <w:numPr>
          <w:ilvl w:val="0"/>
          <w:numId w:val="5"/>
        </w:numPr>
        <w:spacing w:before="120" w:after="120" w:line="240" w:lineRule="auto"/>
        <w:ind w:left="567" w:hanging="567"/>
        <w:contextualSpacing w:val="0"/>
        <w:rPr>
          <w:sz w:val="20"/>
        </w:rPr>
      </w:pPr>
      <w:r w:rsidRPr="00D45E99">
        <w:rPr>
          <w:sz w:val="20"/>
        </w:rPr>
        <w:t>The Department of Internal Affairs</w:t>
      </w:r>
      <w:r w:rsidR="00312CE5">
        <w:rPr>
          <w:sz w:val="20"/>
        </w:rPr>
        <w:t xml:space="preserve"> (the Department)</w:t>
      </w:r>
      <w:r w:rsidRPr="00D45E99">
        <w:rPr>
          <w:sz w:val="20"/>
        </w:rPr>
        <w:t xml:space="preserve"> is responsible for regulating the Class 4 gambling sector in New Zealand. As the </w:t>
      </w:r>
      <w:r w:rsidR="00951141">
        <w:rPr>
          <w:sz w:val="20"/>
        </w:rPr>
        <w:t>r</w:t>
      </w:r>
      <w:r w:rsidRPr="00D45E99">
        <w:rPr>
          <w:sz w:val="20"/>
        </w:rPr>
        <w:t>egulator</w:t>
      </w:r>
      <w:r w:rsidR="00951141">
        <w:rPr>
          <w:sz w:val="20"/>
        </w:rPr>
        <w:t>,</w:t>
      </w:r>
      <w:r w:rsidRPr="00D45E99">
        <w:rPr>
          <w:sz w:val="20"/>
        </w:rPr>
        <w:t xml:space="preserve"> this includes the licen</w:t>
      </w:r>
      <w:r w:rsidR="00A70F56">
        <w:rPr>
          <w:sz w:val="20"/>
        </w:rPr>
        <w:t>s</w:t>
      </w:r>
      <w:r w:rsidRPr="00D45E99">
        <w:rPr>
          <w:sz w:val="20"/>
        </w:rPr>
        <w:t>ing function, encouraging best practice and minimising harm caused by gambling.</w:t>
      </w:r>
      <w:r w:rsidR="00D45E99" w:rsidRPr="00D45E99">
        <w:rPr>
          <w:sz w:val="20"/>
        </w:rPr>
        <w:t xml:space="preserve"> </w:t>
      </w:r>
      <w:r w:rsidR="00A70F56">
        <w:rPr>
          <w:sz w:val="20"/>
        </w:rPr>
        <w:t>The c</w:t>
      </w:r>
      <w:r w:rsidR="00D13785" w:rsidRPr="00D45E99">
        <w:rPr>
          <w:sz w:val="20"/>
        </w:rPr>
        <w:t xml:space="preserve">urrent key focus </w:t>
      </w:r>
      <w:r w:rsidR="00D13785">
        <w:rPr>
          <w:sz w:val="20"/>
        </w:rPr>
        <w:t xml:space="preserve">of </w:t>
      </w:r>
      <w:r w:rsidR="00D13785" w:rsidRPr="00D45E99">
        <w:rPr>
          <w:sz w:val="20"/>
        </w:rPr>
        <w:t>the regulator is improving harm minimisation interventions and outcomes by increased monitoring and enforcement of harm requirements.</w:t>
      </w:r>
    </w:p>
    <w:p w14:paraId="34696CC7" w14:textId="77777777" w:rsidR="001F7F23" w:rsidRPr="00D45E99" w:rsidRDefault="005D1A9A" w:rsidP="00A42B77">
      <w:pPr>
        <w:pStyle w:val="ListParagraph"/>
        <w:numPr>
          <w:ilvl w:val="0"/>
          <w:numId w:val="5"/>
        </w:numPr>
        <w:spacing w:before="120" w:after="120" w:line="240" w:lineRule="auto"/>
        <w:ind w:left="567" w:hanging="567"/>
        <w:contextualSpacing w:val="0"/>
        <w:rPr>
          <w:sz w:val="20"/>
        </w:rPr>
      </w:pPr>
      <w:r w:rsidRPr="00D45E99">
        <w:rPr>
          <w:sz w:val="20"/>
        </w:rPr>
        <w:t>T</w:t>
      </w:r>
      <w:r w:rsidR="001F7F23" w:rsidRPr="00D45E99">
        <w:rPr>
          <w:sz w:val="20"/>
        </w:rPr>
        <w:t xml:space="preserve">he regulator continually </w:t>
      </w:r>
      <w:r w:rsidR="00BD283A">
        <w:rPr>
          <w:sz w:val="20"/>
        </w:rPr>
        <w:t xml:space="preserve">enhances </w:t>
      </w:r>
      <w:r w:rsidR="007428AF" w:rsidRPr="00D45E99">
        <w:rPr>
          <w:sz w:val="20"/>
        </w:rPr>
        <w:t>operational processes to improve the transparency and accountability of Class 4 operators</w:t>
      </w:r>
      <w:r w:rsidR="001F7F23" w:rsidRPr="00D45E99">
        <w:rPr>
          <w:sz w:val="20"/>
        </w:rPr>
        <w:t xml:space="preserve"> and </w:t>
      </w:r>
      <w:r w:rsidR="00750DA1">
        <w:rPr>
          <w:sz w:val="20"/>
        </w:rPr>
        <w:t>improve their</w:t>
      </w:r>
      <w:r w:rsidR="00750DA1" w:rsidRPr="00D45E99">
        <w:rPr>
          <w:sz w:val="20"/>
        </w:rPr>
        <w:t xml:space="preserve"> </w:t>
      </w:r>
      <w:r w:rsidR="007428AF" w:rsidRPr="00D45E99">
        <w:rPr>
          <w:sz w:val="20"/>
        </w:rPr>
        <w:t xml:space="preserve">understanding of the scale and nature of non-compliance with existing rules. </w:t>
      </w:r>
    </w:p>
    <w:p w14:paraId="39800228" w14:textId="77777777" w:rsidR="00877A72" w:rsidRPr="00D024AA" w:rsidRDefault="00877A72" w:rsidP="00877A72">
      <w:pPr>
        <w:spacing w:after="120" w:line="240" w:lineRule="auto"/>
        <w:rPr>
          <w:i/>
          <w:sz w:val="20"/>
        </w:rPr>
      </w:pPr>
      <w:r>
        <w:rPr>
          <w:i/>
          <w:sz w:val="20"/>
        </w:rPr>
        <w:t>Expenditure on pokies</w:t>
      </w:r>
      <w:r w:rsidRPr="00D024AA">
        <w:rPr>
          <w:i/>
          <w:sz w:val="20"/>
        </w:rPr>
        <w:t xml:space="preserve"> </w:t>
      </w:r>
    </w:p>
    <w:p w14:paraId="7EDF8481" w14:textId="129E1553" w:rsidR="00877A72" w:rsidRDefault="00877A72" w:rsidP="00877A72">
      <w:pPr>
        <w:pStyle w:val="ListParagraph"/>
        <w:numPr>
          <w:ilvl w:val="0"/>
          <w:numId w:val="5"/>
        </w:numPr>
        <w:spacing w:before="120" w:after="120" w:line="240" w:lineRule="auto"/>
        <w:ind w:left="567" w:hanging="567"/>
        <w:contextualSpacing w:val="0"/>
        <w:rPr>
          <w:sz w:val="20"/>
        </w:rPr>
      </w:pPr>
      <w:r w:rsidRPr="00D024AA">
        <w:rPr>
          <w:sz w:val="20"/>
        </w:rPr>
        <w:t xml:space="preserve">Expenditure on </w:t>
      </w:r>
      <w:r>
        <w:rPr>
          <w:sz w:val="20"/>
        </w:rPr>
        <w:t>pokies</w:t>
      </w:r>
      <w:r w:rsidRPr="00D024AA">
        <w:rPr>
          <w:sz w:val="20"/>
        </w:rPr>
        <w:t xml:space="preserve"> increase</w:t>
      </w:r>
      <w:r>
        <w:rPr>
          <w:sz w:val="20"/>
        </w:rPr>
        <w:t>s</w:t>
      </w:r>
      <w:r w:rsidRPr="00D024AA">
        <w:rPr>
          <w:sz w:val="20"/>
        </w:rPr>
        <w:t xml:space="preserve"> annually from a low of $806 million in 2013/14, to a high of $924 million in 2018/19. For 2019/20, total expenditure fell to $802 million, which can be primarily attributed to the significant loss of gaming machine profits (GMP) due to the COVID-19 alert level restrictions. </w:t>
      </w:r>
      <w:bookmarkStart w:id="10" w:name="_Hlk96688418"/>
      <w:r w:rsidRPr="00D024AA">
        <w:rPr>
          <w:sz w:val="20"/>
        </w:rPr>
        <w:t xml:space="preserve">Despite this decrease, recorded GMP expenditure for 2020/21 was $987 million, the highest since records began in 2007. </w:t>
      </w:r>
      <w:bookmarkEnd w:id="10"/>
    </w:p>
    <w:p w14:paraId="55A4C3E1" w14:textId="249611B0" w:rsidR="000E3029" w:rsidRPr="000E3029" w:rsidRDefault="000E3029" w:rsidP="000E3029">
      <w:pPr>
        <w:pStyle w:val="ListParagraph"/>
        <w:numPr>
          <w:ilvl w:val="0"/>
          <w:numId w:val="5"/>
        </w:numPr>
        <w:spacing w:before="120" w:after="120" w:line="240" w:lineRule="auto"/>
        <w:ind w:left="567" w:hanging="567"/>
        <w:contextualSpacing w:val="0"/>
        <w:rPr>
          <w:sz w:val="20"/>
        </w:rPr>
      </w:pPr>
      <w:r w:rsidRPr="000E3029">
        <w:rPr>
          <w:sz w:val="20"/>
        </w:rPr>
        <w:t>Most of the money spent on gambling in New Zealand comes from the relatively limited number of people</w:t>
      </w:r>
      <w:r w:rsidRPr="000E3029">
        <w:rPr>
          <w:sz w:val="20"/>
          <w:vertAlign w:val="superscript"/>
        </w:rPr>
        <w:footnoteReference w:id="2"/>
      </w:r>
      <w:r w:rsidRPr="000E3029">
        <w:rPr>
          <w:sz w:val="20"/>
        </w:rPr>
        <w:t xml:space="preserve"> who play </w:t>
      </w:r>
      <w:r w:rsidR="00F022C2">
        <w:rPr>
          <w:sz w:val="20"/>
        </w:rPr>
        <w:t>pokies</w:t>
      </w:r>
      <w:r w:rsidRPr="000E3029">
        <w:rPr>
          <w:sz w:val="20"/>
        </w:rPr>
        <w:t xml:space="preserve"> </w:t>
      </w:r>
      <w:r w:rsidR="00F022C2">
        <w:rPr>
          <w:sz w:val="20"/>
        </w:rPr>
        <w:t>and/</w:t>
      </w:r>
      <w:r w:rsidRPr="000E3029">
        <w:rPr>
          <w:sz w:val="20"/>
        </w:rPr>
        <w:t>or casino gaming machines. Most people accessing gambling-harm intervention services cite pub or club pokies as the primary problem gambling mode.</w:t>
      </w:r>
    </w:p>
    <w:p w14:paraId="4B7EEBCE" w14:textId="77777777" w:rsidR="00070E55" w:rsidRDefault="00750DA1" w:rsidP="006A6443">
      <w:pPr>
        <w:spacing w:after="120" w:line="240" w:lineRule="auto"/>
        <w:rPr>
          <w:i/>
          <w:sz w:val="20"/>
        </w:rPr>
      </w:pPr>
      <w:r>
        <w:rPr>
          <w:i/>
          <w:sz w:val="20"/>
        </w:rPr>
        <w:t>Harm from gambling is wider ranging and has impacts beyond the gambler</w:t>
      </w:r>
    </w:p>
    <w:p w14:paraId="5F290BAF" w14:textId="77777777" w:rsidR="00070E55" w:rsidRPr="00070E55" w:rsidRDefault="00070E55" w:rsidP="00A42B77">
      <w:pPr>
        <w:pStyle w:val="ListParagraph"/>
        <w:numPr>
          <w:ilvl w:val="0"/>
          <w:numId w:val="5"/>
        </w:numPr>
        <w:spacing w:before="120" w:after="120" w:line="240" w:lineRule="auto"/>
        <w:ind w:left="567" w:hanging="567"/>
        <w:contextualSpacing w:val="0"/>
        <w:rPr>
          <w:sz w:val="20"/>
        </w:rPr>
      </w:pPr>
      <w:r w:rsidRPr="00070E55">
        <w:rPr>
          <w:sz w:val="20"/>
        </w:rPr>
        <w:t xml:space="preserve">The Act defines a </w:t>
      </w:r>
      <w:r w:rsidRPr="004821DB">
        <w:rPr>
          <w:i/>
          <w:sz w:val="20"/>
        </w:rPr>
        <w:t>problem gambler</w:t>
      </w:r>
      <w:r w:rsidRPr="00070E55">
        <w:rPr>
          <w:sz w:val="20"/>
        </w:rPr>
        <w:t xml:space="preserve"> as a person whose gambling causes harm or may cause harm. Harmful gambling is now </w:t>
      </w:r>
      <w:r w:rsidR="004821DB">
        <w:rPr>
          <w:sz w:val="20"/>
        </w:rPr>
        <w:t xml:space="preserve">our preferred </w:t>
      </w:r>
      <w:r w:rsidRPr="00070E55">
        <w:rPr>
          <w:sz w:val="20"/>
        </w:rPr>
        <w:t>term</w:t>
      </w:r>
      <w:r w:rsidR="004821DB">
        <w:rPr>
          <w:sz w:val="20"/>
        </w:rPr>
        <w:t xml:space="preserve">, as it removes the onus on the </w:t>
      </w:r>
      <w:r w:rsidRPr="00070E55">
        <w:rPr>
          <w:sz w:val="20"/>
        </w:rPr>
        <w:t>individual.</w:t>
      </w:r>
    </w:p>
    <w:p w14:paraId="44B22E36" w14:textId="77777777" w:rsidR="00070E55" w:rsidRDefault="004821DB" w:rsidP="00A42B77">
      <w:pPr>
        <w:pStyle w:val="ListParagraph"/>
        <w:numPr>
          <w:ilvl w:val="0"/>
          <w:numId w:val="5"/>
        </w:numPr>
        <w:spacing w:before="120" w:after="120" w:line="240" w:lineRule="auto"/>
        <w:ind w:left="567" w:hanging="567"/>
        <w:contextualSpacing w:val="0"/>
        <w:rPr>
          <w:sz w:val="20"/>
        </w:rPr>
      </w:pPr>
      <w:r>
        <w:rPr>
          <w:sz w:val="20"/>
        </w:rPr>
        <w:t xml:space="preserve">The Act defines </w:t>
      </w:r>
      <w:r w:rsidRPr="004821DB">
        <w:rPr>
          <w:i/>
          <w:sz w:val="20"/>
        </w:rPr>
        <w:t>h</w:t>
      </w:r>
      <w:r w:rsidR="00070E55" w:rsidRPr="004821DB">
        <w:rPr>
          <w:i/>
          <w:sz w:val="20"/>
        </w:rPr>
        <w:t>arm</w:t>
      </w:r>
      <w:r w:rsidR="00070E55" w:rsidRPr="00070E55">
        <w:rPr>
          <w:sz w:val="20"/>
        </w:rPr>
        <w:t xml:space="preserve"> as harm or distress of any kind, caused or exacerbated by a person’s gambling and includes personal, social or economic harm suffered by</w:t>
      </w:r>
      <w:r w:rsidR="00070E55">
        <w:rPr>
          <w:sz w:val="20"/>
        </w:rPr>
        <w:t xml:space="preserve"> any person or society. </w:t>
      </w:r>
    </w:p>
    <w:p w14:paraId="02A3AE34" w14:textId="77777777" w:rsidR="00070E55" w:rsidRPr="00070E55" w:rsidRDefault="00070E55" w:rsidP="00A42B77">
      <w:pPr>
        <w:pStyle w:val="ListParagraph"/>
        <w:numPr>
          <w:ilvl w:val="0"/>
          <w:numId w:val="5"/>
        </w:numPr>
        <w:spacing w:before="120" w:after="60" w:line="240" w:lineRule="auto"/>
        <w:ind w:left="567" w:hanging="567"/>
        <w:contextualSpacing w:val="0"/>
        <w:rPr>
          <w:sz w:val="20"/>
        </w:rPr>
      </w:pPr>
      <w:r>
        <w:rPr>
          <w:sz w:val="20"/>
        </w:rPr>
        <w:t>Individual h</w:t>
      </w:r>
      <w:r w:rsidRPr="00070E55">
        <w:rPr>
          <w:sz w:val="20"/>
        </w:rPr>
        <w:t xml:space="preserve">arm from gambling is wide-ranging and can include: </w:t>
      </w:r>
    </w:p>
    <w:p w14:paraId="5C5EB989" w14:textId="77777777" w:rsidR="00070E55" w:rsidRPr="00070E55" w:rsidRDefault="00070E55" w:rsidP="00A42B77">
      <w:pPr>
        <w:pStyle w:val="ListParagraph"/>
        <w:numPr>
          <w:ilvl w:val="0"/>
          <w:numId w:val="15"/>
        </w:numPr>
        <w:spacing w:after="60" w:line="240" w:lineRule="auto"/>
        <w:contextualSpacing w:val="0"/>
        <w:rPr>
          <w:sz w:val="20"/>
        </w:rPr>
      </w:pPr>
      <w:r w:rsidRPr="00070E55">
        <w:rPr>
          <w:sz w:val="20"/>
        </w:rPr>
        <w:lastRenderedPageBreak/>
        <w:t>damage to relationships, including neglect of dependents</w:t>
      </w:r>
      <w:r w:rsidR="004D3BD1">
        <w:rPr>
          <w:sz w:val="20"/>
        </w:rPr>
        <w:t>;</w:t>
      </w:r>
      <w:r w:rsidRPr="00070E55">
        <w:rPr>
          <w:sz w:val="20"/>
        </w:rPr>
        <w:t xml:space="preserve"> </w:t>
      </w:r>
    </w:p>
    <w:p w14:paraId="3900A2E6" w14:textId="77777777" w:rsidR="00070E55" w:rsidRPr="00070E55" w:rsidRDefault="00070E55" w:rsidP="00A42B77">
      <w:pPr>
        <w:pStyle w:val="ListParagraph"/>
        <w:numPr>
          <w:ilvl w:val="0"/>
          <w:numId w:val="15"/>
        </w:numPr>
        <w:spacing w:after="60" w:line="240" w:lineRule="auto"/>
        <w:contextualSpacing w:val="0"/>
        <w:rPr>
          <w:sz w:val="20"/>
        </w:rPr>
      </w:pPr>
      <w:r w:rsidRPr="00070E55">
        <w:rPr>
          <w:sz w:val="20"/>
        </w:rPr>
        <w:t>emotional and psychological distress</w:t>
      </w:r>
      <w:r w:rsidR="004D3BD1">
        <w:rPr>
          <w:sz w:val="20"/>
        </w:rPr>
        <w:t>;</w:t>
      </w:r>
      <w:r w:rsidRPr="00070E55">
        <w:rPr>
          <w:sz w:val="20"/>
        </w:rPr>
        <w:t xml:space="preserve"> </w:t>
      </w:r>
    </w:p>
    <w:p w14:paraId="68763223" w14:textId="77777777" w:rsidR="00070E55" w:rsidRPr="00070E55" w:rsidRDefault="00070E55" w:rsidP="00A42B77">
      <w:pPr>
        <w:pStyle w:val="ListParagraph"/>
        <w:numPr>
          <w:ilvl w:val="0"/>
          <w:numId w:val="15"/>
        </w:numPr>
        <w:spacing w:after="60" w:line="240" w:lineRule="auto"/>
        <w:contextualSpacing w:val="0"/>
        <w:rPr>
          <w:sz w:val="20"/>
        </w:rPr>
      </w:pPr>
      <w:r w:rsidRPr="00070E55">
        <w:rPr>
          <w:sz w:val="20"/>
        </w:rPr>
        <w:t>disruptions to work or study</w:t>
      </w:r>
      <w:r w:rsidR="004D3BD1">
        <w:rPr>
          <w:sz w:val="20"/>
        </w:rPr>
        <w:t>;</w:t>
      </w:r>
      <w:r w:rsidRPr="00070E55">
        <w:rPr>
          <w:sz w:val="20"/>
        </w:rPr>
        <w:t xml:space="preserve"> </w:t>
      </w:r>
    </w:p>
    <w:p w14:paraId="196E47BA" w14:textId="77777777" w:rsidR="00070E55" w:rsidRPr="00070E55" w:rsidRDefault="00070E55" w:rsidP="00A42B77">
      <w:pPr>
        <w:pStyle w:val="ListParagraph"/>
        <w:numPr>
          <w:ilvl w:val="0"/>
          <w:numId w:val="15"/>
        </w:numPr>
        <w:spacing w:after="60" w:line="240" w:lineRule="auto"/>
        <w:contextualSpacing w:val="0"/>
        <w:rPr>
          <w:sz w:val="20"/>
        </w:rPr>
      </w:pPr>
      <w:r w:rsidRPr="00070E55">
        <w:rPr>
          <w:sz w:val="20"/>
        </w:rPr>
        <w:t>financial distress and loss of income</w:t>
      </w:r>
      <w:r w:rsidR="004D3BD1">
        <w:rPr>
          <w:sz w:val="20"/>
        </w:rPr>
        <w:t>;</w:t>
      </w:r>
    </w:p>
    <w:p w14:paraId="36C26A56" w14:textId="77777777" w:rsidR="00070E55" w:rsidRPr="00070E55" w:rsidRDefault="00070E55" w:rsidP="00A42B77">
      <w:pPr>
        <w:pStyle w:val="ListParagraph"/>
        <w:numPr>
          <w:ilvl w:val="0"/>
          <w:numId w:val="15"/>
        </w:numPr>
        <w:spacing w:after="60" w:line="240" w:lineRule="auto"/>
        <w:contextualSpacing w:val="0"/>
        <w:rPr>
          <w:sz w:val="20"/>
        </w:rPr>
      </w:pPr>
      <w:r w:rsidRPr="00070E55">
        <w:rPr>
          <w:sz w:val="20"/>
        </w:rPr>
        <w:t>fraud and related crimes</w:t>
      </w:r>
      <w:r w:rsidR="004D3BD1">
        <w:rPr>
          <w:sz w:val="20"/>
        </w:rPr>
        <w:t>; and</w:t>
      </w:r>
    </w:p>
    <w:p w14:paraId="5B762ED2" w14:textId="77777777" w:rsidR="00070E55" w:rsidRPr="00070E55" w:rsidRDefault="00070E55" w:rsidP="00A42B77">
      <w:pPr>
        <w:pStyle w:val="ListParagraph"/>
        <w:numPr>
          <w:ilvl w:val="0"/>
          <w:numId w:val="15"/>
        </w:numPr>
        <w:spacing w:after="120" w:line="240" w:lineRule="auto"/>
        <w:ind w:left="924" w:hanging="357"/>
        <w:contextualSpacing w:val="0"/>
        <w:rPr>
          <w:sz w:val="20"/>
        </w:rPr>
      </w:pPr>
      <w:r w:rsidRPr="00070E55">
        <w:rPr>
          <w:sz w:val="20"/>
        </w:rPr>
        <w:t>family violence</w:t>
      </w:r>
      <w:r>
        <w:rPr>
          <w:sz w:val="20"/>
        </w:rPr>
        <w:t>.</w:t>
      </w:r>
    </w:p>
    <w:p w14:paraId="5FEF165D" w14:textId="77777777" w:rsidR="004821DB" w:rsidRDefault="00070E55" w:rsidP="00A42B77">
      <w:pPr>
        <w:pStyle w:val="ListParagraph"/>
        <w:numPr>
          <w:ilvl w:val="0"/>
          <w:numId w:val="5"/>
        </w:numPr>
        <w:spacing w:before="120" w:after="60" w:line="240" w:lineRule="auto"/>
        <w:ind w:left="567" w:hanging="567"/>
        <w:contextualSpacing w:val="0"/>
        <w:rPr>
          <w:sz w:val="20"/>
        </w:rPr>
      </w:pPr>
      <w:r>
        <w:rPr>
          <w:sz w:val="20"/>
          <w:lang w:val="en-NZ"/>
        </w:rPr>
        <w:t xml:space="preserve">Second-hand harm from </w:t>
      </w:r>
      <w:r w:rsidRPr="00F9682F">
        <w:rPr>
          <w:sz w:val="20"/>
        </w:rPr>
        <w:t>gambling</w:t>
      </w:r>
      <w:r>
        <w:rPr>
          <w:sz w:val="20"/>
          <w:lang w:val="en-NZ"/>
        </w:rPr>
        <w:t xml:space="preserve"> is where the </w:t>
      </w:r>
      <w:r w:rsidRPr="00070E55">
        <w:rPr>
          <w:sz w:val="20"/>
        </w:rPr>
        <w:t xml:space="preserve">harm does not just affect the gambler, but also affects </w:t>
      </w:r>
      <w:r>
        <w:rPr>
          <w:sz w:val="20"/>
        </w:rPr>
        <w:t xml:space="preserve">their </w:t>
      </w:r>
      <w:r w:rsidRPr="00070E55">
        <w:rPr>
          <w:sz w:val="20"/>
        </w:rPr>
        <w:t xml:space="preserve">whānau, friends, and the wider community. </w:t>
      </w:r>
      <w:r w:rsidR="005B522C">
        <w:rPr>
          <w:sz w:val="20"/>
        </w:rPr>
        <w:t>Other impacts include:</w:t>
      </w:r>
    </w:p>
    <w:p w14:paraId="7239D316" w14:textId="77777777" w:rsidR="004821DB" w:rsidRDefault="005B522C" w:rsidP="00A42B77">
      <w:pPr>
        <w:pStyle w:val="ListParagraph"/>
        <w:numPr>
          <w:ilvl w:val="0"/>
          <w:numId w:val="15"/>
        </w:numPr>
        <w:spacing w:after="60" w:line="240" w:lineRule="auto"/>
        <w:contextualSpacing w:val="0"/>
        <w:rPr>
          <w:sz w:val="20"/>
        </w:rPr>
      </w:pPr>
      <w:r>
        <w:rPr>
          <w:sz w:val="20"/>
        </w:rPr>
        <w:t>t</w:t>
      </w:r>
      <w:r w:rsidR="00070E55" w:rsidRPr="00070E55">
        <w:rPr>
          <w:sz w:val="20"/>
        </w:rPr>
        <w:t>he direct impacts can include neglect of dependents, financial and emotional distress</w:t>
      </w:r>
      <w:r>
        <w:rPr>
          <w:sz w:val="20"/>
        </w:rPr>
        <w:t>;</w:t>
      </w:r>
      <w:r w:rsidR="00070E55" w:rsidRPr="00070E55">
        <w:rPr>
          <w:sz w:val="20"/>
        </w:rPr>
        <w:t xml:space="preserve"> </w:t>
      </w:r>
    </w:p>
    <w:p w14:paraId="2F63E303" w14:textId="6AC46F42" w:rsidR="004821DB" w:rsidRDefault="005B522C" w:rsidP="00A42B77">
      <w:pPr>
        <w:pStyle w:val="ListParagraph"/>
        <w:numPr>
          <w:ilvl w:val="0"/>
          <w:numId w:val="15"/>
        </w:numPr>
        <w:spacing w:after="60" w:line="240" w:lineRule="auto"/>
        <w:contextualSpacing w:val="0"/>
        <w:rPr>
          <w:sz w:val="20"/>
        </w:rPr>
      </w:pPr>
      <w:r>
        <w:rPr>
          <w:sz w:val="20"/>
        </w:rPr>
        <w:t>t</w:t>
      </w:r>
      <w:r w:rsidR="00070E55" w:rsidRPr="00070E55">
        <w:rPr>
          <w:sz w:val="20"/>
        </w:rPr>
        <w:t>here is also a strong correlation between gambling and family, whānau or partner violence for women and children</w:t>
      </w:r>
      <w:r>
        <w:rPr>
          <w:sz w:val="20"/>
        </w:rPr>
        <w:t>;</w:t>
      </w:r>
      <w:r w:rsidR="003F420B">
        <w:rPr>
          <w:sz w:val="20"/>
        </w:rPr>
        <w:t xml:space="preserve"> </w:t>
      </w:r>
      <w:r>
        <w:rPr>
          <w:sz w:val="20"/>
        </w:rPr>
        <w:t>and</w:t>
      </w:r>
    </w:p>
    <w:p w14:paraId="2608B2D9" w14:textId="77777777" w:rsidR="00070E55" w:rsidRPr="00070E55" w:rsidRDefault="005B522C" w:rsidP="00A42B77">
      <w:pPr>
        <w:pStyle w:val="ListParagraph"/>
        <w:numPr>
          <w:ilvl w:val="0"/>
          <w:numId w:val="15"/>
        </w:numPr>
        <w:spacing w:after="120" w:line="240" w:lineRule="auto"/>
        <w:ind w:left="924" w:hanging="357"/>
        <w:contextualSpacing w:val="0"/>
        <w:rPr>
          <w:sz w:val="20"/>
        </w:rPr>
      </w:pPr>
      <w:r>
        <w:rPr>
          <w:sz w:val="20"/>
        </w:rPr>
        <w:t>h</w:t>
      </w:r>
      <w:r w:rsidR="00070E55" w:rsidRPr="00070E55">
        <w:rPr>
          <w:sz w:val="20"/>
        </w:rPr>
        <w:t>arm caused by gambling may also have broader economic effects, such as for employers and businesses due to lack of productivity or fraud.</w:t>
      </w:r>
    </w:p>
    <w:p w14:paraId="36C1F09F" w14:textId="73CF95AB" w:rsidR="006A6443" w:rsidRPr="006A6443" w:rsidRDefault="006A6443" w:rsidP="00406F2B">
      <w:pPr>
        <w:spacing w:after="0" w:line="240" w:lineRule="auto"/>
        <w:rPr>
          <w:i/>
          <w:sz w:val="20"/>
        </w:rPr>
      </w:pPr>
      <w:r>
        <w:rPr>
          <w:i/>
          <w:sz w:val="20"/>
        </w:rPr>
        <w:t xml:space="preserve">Sector composition </w:t>
      </w:r>
    </w:p>
    <w:p w14:paraId="4938C9AB" w14:textId="61143206" w:rsidR="006A6443" w:rsidRDefault="009511AE" w:rsidP="00A42B77">
      <w:pPr>
        <w:pStyle w:val="ListParagraph"/>
        <w:numPr>
          <w:ilvl w:val="0"/>
          <w:numId w:val="5"/>
        </w:numPr>
        <w:spacing w:before="120" w:after="60" w:line="240" w:lineRule="auto"/>
        <w:ind w:left="567" w:hanging="567"/>
        <w:contextualSpacing w:val="0"/>
        <w:rPr>
          <w:sz w:val="20"/>
        </w:rPr>
      </w:pPr>
      <w:r>
        <w:rPr>
          <w:sz w:val="20"/>
        </w:rPr>
        <w:t>As of 30 June 2021, t</w:t>
      </w:r>
      <w:r w:rsidR="006A6443">
        <w:rPr>
          <w:sz w:val="20"/>
        </w:rPr>
        <w:t xml:space="preserve">he </w:t>
      </w:r>
      <w:r w:rsidR="006A6443" w:rsidRPr="00B85E6C">
        <w:rPr>
          <w:sz w:val="20"/>
        </w:rPr>
        <w:t xml:space="preserve">Class 4 gambling </w:t>
      </w:r>
      <w:r w:rsidR="006A6443" w:rsidRPr="00F9682F">
        <w:rPr>
          <w:sz w:val="20"/>
          <w:lang w:val="en-NZ"/>
        </w:rPr>
        <w:t>sector</w:t>
      </w:r>
      <w:r w:rsidR="006A6443" w:rsidRPr="006A6443">
        <w:rPr>
          <w:sz w:val="20"/>
        </w:rPr>
        <w:t xml:space="preserve"> currently comprises</w:t>
      </w:r>
      <w:r w:rsidR="006A6443">
        <w:rPr>
          <w:sz w:val="20"/>
        </w:rPr>
        <w:t>:</w:t>
      </w:r>
      <w:r w:rsidR="006A6443" w:rsidRPr="006A6443">
        <w:rPr>
          <w:sz w:val="20"/>
        </w:rPr>
        <w:t xml:space="preserve"> </w:t>
      </w:r>
    </w:p>
    <w:p w14:paraId="229D9105" w14:textId="77777777" w:rsidR="006A6443" w:rsidRDefault="006A6443" w:rsidP="00A42B77">
      <w:pPr>
        <w:pStyle w:val="ListParagraph"/>
        <w:numPr>
          <w:ilvl w:val="0"/>
          <w:numId w:val="15"/>
        </w:numPr>
        <w:spacing w:after="60" w:line="240" w:lineRule="auto"/>
        <w:contextualSpacing w:val="0"/>
        <w:rPr>
          <w:sz w:val="20"/>
        </w:rPr>
      </w:pPr>
      <w:r w:rsidRPr="006A6443">
        <w:rPr>
          <w:sz w:val="20"/>
        </w:rPr>
        <w:t xml:space="preserve">218 corporate </w:t>
      </w:r>
      <w:r w:rsidRPr="00B85E6C">
        <w:rPr>
          <w:sz w:val="20"/>
        </w:rPr>
        <w:t>societies (1</w:t>
      </w:r>
      <w:r w:rsidRPr="006A6443">
        <w:rPr>
          <w:sz w:val="20"/>
        </w:rPr>
        <w:t>84 ‘clubs’ and 34 ‘non-club’)</w:t>
      </w:r>
      <w:r w:rsidR="005B522C">
        <w:rPr>
          <w:sz w:val="20"/>
        </w:rPr>
        <w:t>;</w:t>
      </w:r>
      <w:r w:rsidRPr="006A6443">
        <w:rPr>
          <w:sz w:val="20"/>
        </w:rPr>
        <w:t xml:space="preserve"> with </w:t>
      </w:r>
    </w:p>
    <w:p w14:paraId="11D135E0" w14:textId="77777777" w:rsidR="006A6443" w:rsidRPr="006A6443" w:rsidRDefault="006A6443" w:rsidP="00A42B77">
      <w:pPr>
        <w:pStyle w:val="ListParagraph"/>
        <w:numPr>
          <w:ilvl w:val="0"/>
          <w:numId w:val="15"/>
        </w:numPr>
        <w:spacing w:after="120" w:line="240" w:lineRule="auto"/>
        <w:contextualSpacing w:val="0"/>
        <w:rPr>
          <w:sz w:val="20"/>
        </w:rPr>
      </w:pPr>
      <w:r w:rsidRPr="006A6443">
        <w:rPr>
          <w:sz w:val="20"/>
        </w:rPr>
        <w:t xml:space="preserve">1,059 ‘venues’ operating a combined total of 14,704 machines.  </w:t>
      </w:r>
    </w:p>
    <w:p w14:paraId="220C89AD" w14:textId="77777777" w:rsidR="002552F0" w:rsidRPr="002552F0" w:rsidRDefault="002552F0" w:rsidP="00A42B77">
      <w:pPr>
        <w:pStyle w:val="ListParagraph"/>
        <w:numPr>
          <w:ilvl w:val="0"/>
          <w:numId w:val="5"/>
        </w:numPr>
        <w:spacing w:before="120" w:after="120" w:line="240" w:lineRule="auto"/>
        <w:ind w:left="567" w:hanging="567"/>
        <w:contextualSpacing w:val="0"/>
        <w:rPr>
          <w:sz w:val="20"/>
        </w:rPr>
      </w:pPr>
      <w:r w:rsidRPr="00D06DBD">
        <w:rPr>
          <w:sz w:val="20"/>
        </w:rPr>
        <w:t xml:space="preserve">Societies operate </w:t>
      </w:r>
      <w:proofErr w:type="spellStart"/>
      <w:r w:rsidRPr="00D06DBD">
        <w:rPr>
          <w:sz w:val="20"/>
        </w:rPr>
        <w:t>pokie</w:t>
      </w:r>
      <w:proofErr w:type="spellEnd"/>
      <w:r w:rsidRPr="00D06DBD">
        <w:rPr>
          <w:sz w:val="20"/>
        </w:rPr>
        <w:t xml:space="preserve"> machines out of clubs and pubs and must distribute their net proceeds to community recipients. Examples include Pub Charity and the Lion Foundation. Their peak body is the Gaming Machine Association of New Zealand (GMANZ), though not all societies are members of GMANZ.</w:t>
      </w:r>
    </w:p>
    <w:p w14:paraId="560A6745" w14:textId="77777777" w:rsidR="002552F0" w:rsidRDefault="002552F0" w:rsidP="00A42B77">
      <w:pPr>
        <w:pStyle w:val="ListParagraph"/>
        <w:numPr>
          <w:ilvl w:val="0"/>
          <w:numId w:val="5"/>
        </w:numPr>
        <w:spacing w:before="120" w:after="120" w:line="240" w:lineRule="auto"/>
        <w:ind w:left="567" w:hanging="567"/>
        <w:contextualSpacing w:val="0"/>
        <w:rPr>
          <w:sz w:val="20"/>
        </w:rPr>
      </w:pPr>
      <w:r w:rsidRPr="00D06DBD">
        <w:rPr>
          <w:sz w:val="20"/>
        </w:rPr>
        <w:t xml:space="preserve">Clubs are organisations such as RSAs, working men’s clubs and cosmopolitan clubs. They run </w:t>
      </w:r>
      <w:proofErr w:type="spellStart"/>
      <w:r w:rsidRPr="00D06DBD">
        <w:rPr>
          <w:sz w:val="20"/>
        </w:rPr>
        <w:t>pokie</w:t>
      </w:r>
      <w:proofErr w:type="spellEnd"/>
      <w:r w:rsidRPr="00D06DBD">
        <w:rPr>
          <w:sz w:val="20"/>
        </w:rPr>
        <w:t xml:space="preserve"> machines within the clubs, and the net proceeds are usually returned to their own operations. The Department requires there to be rules about membership, election of officers, and purposes and operations of the club. Their peak body is Clubs New Zealand.</w:t>
      </w:r>
    </w:p>
    <w:p w14:paraId="6828AF76" w14:textId="77777777" w:rsidR="006A6443" w:rsidRDefault="006A6443" w:rsidP="00A42B77">
      <w:pPr>
        <w:pStyle w:val="ListParagraph"/>
        <w:numPr>
          <w:ilvl w:val="0"/>
          <w:numId w:val="5"/>
        </w:numPr>
        <w:spacing w:before="120" w:after="60" w:line="240" w:lineRule="auto"/>
        <w:ind w:left="567" w:hanging="567"/>
        <w:contextualSpacing w:val="0"/>
        <w:rPr>
          <w:sz w:val="20"/>
        </w:rPr>
      </w:pPr>
      <w:r>
        <w:rPr>
          <w:sz w:val="20"/>
        </w:rPr>
        <w:t xml:space="preserve">Some </w:t>
      </w:r>
      <w:r w:rsidR="002552F0">
        <w:rPr>
          <w:sz w:val="20"/>
        </w:rPr>
        <w:t xml:space="preserve">systemic </w:t>
      </w:r>
      <w:r>
        <w:rPr>
          <w:sz w:val="20"/>
        </w:rPr>
        <w:t>aspects may impact on harm minimisation, namely:</w:t>
      </w:r>
    </w:p>
    <w:p w14:paraId="7BE02332" w14:textId="5E0918CB" w:rsidR="006A6443" w:rsidRPr="006A6443" w:rsidRDefault="006A6443" w:rsidP="00A42B77">
      <w:pPr>
        <w:pStyle w:val="ListParagraph"/>
        <w:numPr>
          <w:ilvl w:val="0"/>
          <w:numId w:val="14"/>
        </w:numPr>
        <w:spacing w:after="60" w:line="240" w:lineRule="auto"/>
        <w:contextualSpacing w:val="0"/>
        <w:rPr>
          <w:sz w:val="20"/>
        </w:rPr>
      </w:pPr>
      <w:r w:rsidRPr="006A6443">
        <w:rPr>
          <w:sz w:val="20"/>
        </w:rPr>
        <w:t>operators are intended to be ‘not-for-profit’ with a strong local community focus and yet most operate their machines in a competitive commercial environment with all the attendant commercial imperatives and consequences</w:t>
      </w:r>
      <w:r>
        <w:rPr>
          <w:sz w:val="20"/>
        </w:rPr>
        <w:t xml:space="preserve"> (e.g. </w:t>
      </w:r>
      <w:r w:rsidRPr="007428AF">
        <w:rPr>
          <w:sz w:val="20"/>
        </w:rPr>
        <w:t xml:space="preserve">societies compete for </w:t>
      </w:r>
      <w:r>
        <w:rPr>
          <w:sz w:val="20"/>
        </w:rPr>
        <w:t xml:space="preserve">good </w:t>
      </w:r>
      <w:r w:rsidRPr="007428AF">
        <w:rPr>
          <w:sz w:val="20"/>
        </w:rPr>
        <w:t>venues</w:t>
      </w:r>
      <w:r>
        <w:rPr>
          <w:sz w:val="20"/>
        </w:rPr>
        <w:t>)</w:t>
      </w:r>
      <w:r w:rsidR="00323A68">
        <w:rPr>
          <w:sz w:val="20"/>
        </w:rPr>
        <w:t>; and</w:t>
      </w:r>
      <w:r w:rsidRPr="007428AF">
        <w:rPr>
          <w:sz w:val="20"/>
        </w:rPr>
        <w:t> </w:t>
      </w:r>
    </w:p>
    <w:p w14:paraId="60B3337E" w14:textId="2549BDAD" w:rsidR="00070E55" w:rsidRDefault="006A6443" w:rsidP="00A42B77">
      <w:pPr>
        <w:pStyle w:val="ListParagraph"/>
        <w:numPr>
          <w:ilvl w:val="0"/>
          <w:numId w:val="14"/>
        </w:numPr>
        <w:spacing w:after="120" w:line="240" w:lineRule="auto"/>
        <w:contextualSpacing w:val="0"/>
        <w:rPr>
          <w:sz w:val="20"/>
        </w:rPr>
      </w:pPr>
      <w:r w:rsidRPr="006A6443">
        <w:rPr>
          <w:sz w:val="20"/>
        </w:rPr>
        <w:t xml:space="preserve">tension between </w:t>
      </w:r>
      <w:r w:rsidR="00070E55">
        <w:rPr>
          <w:sz w:val="20"/>
        </w:rPr>
        <w:t xml:space="preserve">generating </w:t>
      </w:r>
      <w:r w:rsidRPr="006A6443">
        <w:rPr>
          <w:sz w:val="20"/>
        </w:rPr>
        <w:t>gambling revenue and harm minimisation</w:t>
      </w:r>
      <w:r w:rsidR="00070E55" w:rsidRPr="00070E55">
        <w:rPr>
          <w:sz w:val="20"/>
        </w:rPr>
        <w:t xml:space="preserve"> </w:t>
      </w:r>
      <w:r w:rsidR="00070E55">
        <w:rPr>
          <w:sz w:val="20"/>
        </w:rPr>
        <w:t xml:space="preserve">measures (i.e. </w:t>
      </w:r>
      <w:r>
        <w:rPr>
          <w:sz w:val="20"/>
        </w:rPr>
        <w:t>r</w:t>
      </w:r>
      <w:r w:rsidRPr="006A6443">
        <w:rPr>
          <w:sz w:val="20"/>
        </w:rPr>
        <w:t>educed gambling</w:t>
      </w:r>
      <w:r w:rsidR="0073060D">
        <w:rPr>
          <w:sz w:val="20"/>
        </w:rPr>
        <w:t xml:space="preserve"> due to increased harm minimisation</w:t>
      </w:r>
      <w:r w:rsidRPr="006A6443">
        <w:rPr>
          <w:sz w:val="20"/>
        </w:rPr>
        <w:t xml:space="preserve"> </w:t>
      </w:r>
      <w:r w:rsidR="00070E55">
        <w:rPr>
          <w:sz w:val="20"/>
        </w:rPr>
        <w:t xml:space="preserve">means less harm but </w:t>
      </w:r>
      <w:r w:rsidRPr="006A6443">
        <w:rPr>
          <w:sz w:val="20"/>
        </w:rPr>
        <w:t>results in less funding</w:t>
      </w:r>
      <w:r w:rsidR="00070E55">
        <w:rPr>
          <w:sz w:val="20"/>
        </w:rPr>
        <w:t>)</w:t>
      </w:r>
      <w:r w:rsidRPr="006A6443">
        <w:rPr>
          <w:sz w:val="20"/>
        </w:rPr>
        <w:t xml:space="preserve">. </w:t>
      </w:r>
    </w:p>
    <w:p w14:paraId="55CB4C34" w14:textId="071F9EC7" w:rsidR="007428AF" w:rsidRPr="00B25D1D" w:rsidRDefault="004821DB" w:rsidP="00B25D1D">
      <w:pPr>
        <w:spacing w:after="120" w:line="240" w:lineRule="auto"/>
        <w:rPr>
          <w:i/>
          <w:sz w:val="20"/>
        </w:rPr>
      </w:pPr>
      <w:r w:rsidRPr="00B25D1D">
        <w:rPr>
          <w:i/>
          <w:sz w:val="20"/>
        </w:rPr>
        <w:t xml:space="preserve">Agencies and services involved in </w:t>
      </w:r>
      <w:r w:rsidR="00B25D1D" w:rsidRPr="00B25D1D">
        <w:rPr>
          <w:i/>
          <w:sz w:val="20"/>
        </w:rPr>
        <w:t xml:space="preserve">gambling harm </w:t>
      </w:r>
      <w:r w:rsidR="0092217D">
        <w:rPr>
          <w:i/>
          <w:sz w:val="20"/>
        </w:rPr>
        <w:t xml:space="preserve">prevention and </w:t>
      </w:r>
      <w:r w:rsidRPr="00B25D1D">
        <w:rPr>
          <w:i/>
          <w:sz w:val="20"/>
        </w:rPr>
        <w:t>reduction</w:t>
      </w:r>
    </w:p>
    <w:p w14:paraId="73374227" w14:textId="4DB0903E" w:rsidR="00B25D1D" w:rsidRDefault="004821DB" w:rsidP="00A42B77">
      <w:pPr>
        <w:pStyle w:val="ListParagraph"/>
        <w:numPr>
          <w:ilvl w:val="0"/>
          <w:numId w:val="5"/>
        </w:numPr>
        <w:spacing w:before="120" w:after="120" w:line="240" w:lineRule="auto"/>
        <w:ind w:left="567" w:hanging="567"/>
        <w:contextualSpacing w:val="0"/>
        <w:rPr>
          <w:sz w:val="20"/>
        </w:rPr>
      </w:pPr>
      <w:r w:rsidRPr="00B25D1D">
        <w:rPr>
          <w:sz w:val="20"/>
        </w:rPr>
        <w:t xml:space="preserve">The Ministry of Health </w:t>
      </w:r>
      <w:r w:rsidR="00B25D1D">
        <w:rPr>
          <w:sz w:val="20"/>
        </w:rPr>
        <w:t xml:space="preserve">develops and administers the three-yearly </w:t>
      </w:r>
      <w:r w:rsidRPr="00B25D1D">
        <w:rPr>
          <w:sz w:val="20"/>
        </w:rPr>
        <w:t xml:space="preserve">strategy to prevent and minimise gambling harm. This includes funding gambling harm prevention and minimisation services (including gambling treatment providers), </w:t>
      </w:r>
      <w:r w:rsidR="00AD4E4C">
        <w:rPr>
          <w:sz w:val="20"/>
        </w:rPr>
        <w:t xml:space="preserve">setting the problem gambling levy and </w:t>
      </w:r>
      <w:r w:rsidRPr="00B25D1D">
        <w:rPr>
          <w:sz w:val="20"/>
        </w:rPr>
        <w:t>research and evaluation.</w:t>
      </w:r>
    </w:p>
    <w:p w14:paraId="29F1B526" w14:textId="77777777" w:rsidR="004821DB" w:rsidRDefault="00312CE5" w:rsidP="00A42B77">
      <w:pPr>
        <w:pStyle w:val="ListParagraph"/>
        <w:numPr>
          <w:ilvl w:val="0"/>
          <w:numId w:val="5"/>
        </w:numPr>
        <w:spacing w:before="120" w:after="120" w:line="240" w:lineRule="auto"/>
        <w:ind w:left="567" w:hanging="567"/>
        <w:contextualSpacing w:val="0"/>
        <w:rPr>
          <w:sz w:val="20"/>
        </w:rPr>
      </w:pPr>
      <w:r>
        <w:rPr>
          <w:sz w:val="20"/>
        </w:rPr>
        <w:t xml:space="preserve">Te </w:t>
      </w:r>
      <w:proofErr w:type="spellStart"/>
      <w:r>
        <w:rPr>
          <w:sz w:val="20"/>
        </w:rPr>
        <w:t>Hiringa</w:t>
      </w:r>
      <w:proofErr w:type="spellEnd"/>
      <w:r>
        <w:rPr>
          <w:sz w:val="20"/>
        </w:rPr>
        <w:t xml:space="preserve"> </w:t>
      </w:r>
      <w:r w:rsidR="0092217D">
        <w:rPr>
          <w:sz w:val="20"/>
        </w:rPr>
        <w:t>H</w:t>
      </w:r>
      <w:r>
        <w:rPr>
          <w:sz w:val="20"/>
        </w:rPr>
        <w:t>auora/</w:t>
      </w:r>
      <w:r w:rsidR="004821DB" w:rsidRPr="00B25D1D">
        <w:rPr>
          <w:sz w:val="20"/>
        </w:rPr>
        <w:t>Health Promotion Agency</w:t>
      </w:r>
      <w:r w:rsidR="00D3440E">
        <w:rPr>
          <w:sz w:val="20"/>
        </w:rPr>
        <w:t xml:space="preserve"> (</w:t>
      </w:r>
      <w:r w:rsidR="00B25D1D" w:rsidRPr="00B25D1D">
        <w:rPr>
          <w:sz w:val="20"/>
        </w:rPr>
        <w:t>funded by the Ministry of Health</w:t>
      </w:r>
      <w:r w:rsidR="004821DB" w:rsidRPr="00B25D1D">
        <w:rPr>
          <w:sz w:val="20"/>
        </w:rPr>
        <w:t xml:space="preserve">) provides information and education services that aims to support New Zealand communities to prevent and respond to harmful gambling. </w:t>
      </w:r>
    </w:p>
    <w:p w14:paraId="38BF4AB2" w14:textId="0755AA02" w:rsidR="004821DB" w:rsidRPr="00AE6B24" w:rsidRDefault="00B25D1D" w:rsidP="00A42B77">
      <w:pPr>
        <w:pStyle w:val="ListParagraph"/>
        <w:numPr>
          <w:ilvl w:val="0"/>
          <w:numId w:val="5"/>
        </w:numPr>
        <w:spacing w:before="120" w:after="120" w:line="240" w:lineRule="auto"/>
        <w:ind w:left="567" w:hanging="567"/>
        <w:contextualSpacing w:val="0"/>
        <w:rPr>
          <w:sz w:val="20"/>
        </w:rPr>
      </w:pPr>
      <w:r>
        <w:rPr>
          <w:sz w:val="20"/>
        </w:rPr>
        <w:t xml:space="preserve">A range of </w:t>
      </w:r>
      <w:r w:rsidR="0092217D">
        <w:rPr>
          <w:sz w:val="20"/>
        </w:rPr>
        <w:t>g</w:t>
      </w:r>
      <w:r w:rsidRPr="00B25D1D">
        <w:rPr>
          <w:sz w:val="20"/>
        </w:rPr>
        <w:t xml:space="preserve">ambling harm service providers, such as PGF Services, </w:t>
      </w:r>
      <w:r w:rsidR="00D5041E">
        <w:rPr>
          <w:sz w:val="20"/>
        </w:rPr>
        <w:t xml:space="preserve">Salvation Army </w:t>
      </w:r>
      <w:r w:rsidRPr="00B25D1D">
        <w:rPr>
          <w:sz w:val="20"/>
        </w:rPr>
        <w:t xml:space="preserve">Oasis and Asian Family </w:t>
      </w:r>
      <w:r w:rsidRPr="00AE6B24">
        <w:rPr>
          <w:sz w:val="20"/>
        </w:rPr>
        <w:t>Services provide intervention and/or public health services</w:t>
      </w:r>
      <w:r w:rsidR="00D3440E" w:rsidRPr="00AE6B24">
        <w:rPr>
          <w:sz w:val="20"/>
        </w:rPr>
        <w:t xml:space="preserve"> (contracted by the Ministry of Health)</w:t>
      </w:r>
      <w:r w:rsidRPr="00AE6B24">
        <w:rPr>
          <w:sz w:val="20"/>
        </w:rPr>
        <w:t xml:space="preserve">. They offer a range of intervention services from helpline and information services through to full treatment services. </w:t>
      </w:r>
      <w:r w:rsidR="0092217D" w:rsidRPr="00AE6B24">
        <w:rPr>
          <w:sz w:val="20"/>
        </w:rPr>
        <w:t>Some providers are universal</w:t>
      </w:r>
      <w:r w:rsidR="003A47BA" w:rsidRPr="00AE6B24">
        <w:rPr>
          <w:sz w:val="20"/>
        </w:rPr>
        <w:t>,</w:t>
      </w:r>
      <w:r w:rsidR="0092217D" w:rsidRPr="00AE6B24">
        <w:rPr>
          <w:sz w:val="20"/>
        </w:rPr>
        <w:t xml:space="preserve"> and others focus on </w:t>
      </w:r>
      <w:r w:rsidR="008D26D6" w:rsidRPr="00AE6B24">
        <w:rPr>
          <w:sz w:val="20"/>
        </w:rPr>
        <w:t>population</w:t>
      </w:r>
      <w:r w:rsidR="0092217D" w:rsidRPr="00AE6B24">
        <w:rPr>
          <w:sz w:val="20"/>
        </w:rPr>
        <w:t xml:space="preserve"> groups</w:t>
      </w:r>
      <w:r w:rsidRPr="00AE6B24">
        <w:rPr>
          <w:sz w:val="20"/>
        </w:rPr>
        <w:t xml:space="preserve"> </w:t>
      </w:r>
      <w:r w:rsidR="0092217D" w:rsidRPr="00AE6B24">
        <w:rPr>
          <w:sz w:val="20"/>
        </w:rPr>
        <w:t>such as</w:t>
      </w:r>
      <w:r w:rsidRPr="00AE6B24">
        <w:rPr>
          <w:sz w:val="20"/>
        </w:rPr>
        <w:t xml:space="preserve"> Māori, Pacific, and Asian gamblers</w:t>
      </w:r>
      <w:r w:rsidR="00AD4E4C">
        <w:rPr>
          <w:sz w:val="20"/>
        </w:rPr>
        <w:t xml:space="preserve"> and their family and friends</w:t>
      </w:r>
      <w:r w:rsidRPr="00AE6B24">
        <w:rPr>
          <w:sz w:val="20"/>
        </w:rPr>
        <w:t>.</w:t>
      </w:r>
    </w:p>
    <w:p w14:paraId="1DA16AFA" w14:textId="77777777" w:rsidR="007428AF" w:rsidRPr="00AE6B24" w:rsidRDefault="00D0680B" w:rsidP="00E32DE4">
      <w:pPr>
        <w:spacing w:before="240" w:after="120" w:line="240" w:lineRule="auto"/>
        <w:rPr>
          <w:b/>
          <w:sz w:val="20"/>
        </w:rPr>
      </w:pPr>
      <w:r w:rsidRPr="00AE6B24">
        <w:rPr>
          <w:b/>
          <w:sz w:val="20"/>
        </w:rPr>
        <w:t xml:space="preserve">The </w:t>
      </w:r>
      <w:r w:rsidR="0092217D" w:rsidRPr="00AE6B24">
        <w:rPr>
          <w:b/>
          <w:sz w:val="20"/>
        </w:rPr>
        <w:t>current state</w:t>
      </w:r>
    </w:p>
    <w:p w14:paraId="5491CA44" w14:textId="77777777" w:rsidR="002F2CD3" w:rsidRPr="00AE6B24" w:rsidRDefault="0092217D" w:rsidP="002F2CD3">
      <w:pPr>
        <w:spacing w:after="120" w:line="240" w:lineRule="auto"/>
        <w:rPr>
          <w:i/>
          <w:sz w:val="20"/>
        </w:rPr>
      </w:pPr>
      <w:r w:rsidRPr="00AE6B24">
        <w:rPr>
          <w:i/>
          <w:sz w:val="20"/>
        </w:rPr>
        <w:t>Pokies contribute to a concerning level of harm</w:t>
      </w:r>
    </w:p>
    <w:p w14:paraId="5D123FEE" w14:textId="10DB6438" w:rsidR="0053224A" w:rsidRPr="00AE6B24" w:rsidRDefault="004B1F53" w:rsidP="0053224A">
      <w:pPr>
        <w:pStyle w:val="ListParagraph"/>
        <w:numPr>
          <w:ilvl w:val="0"/>
          <w:numId w:val="5"/>
        </w:numPr>
        <w:spacing w:before="120" w:after="120" w:line="240" w:lineRule="auto"/>
        <w:ind w:left="567" w:hanging="567"/>
        <w:contextualSpacing w:val="0"/>
        <w:rPr>
          <w:sz w:val="20"/>
        </w:rPr>
      </w:pPr>
      <w:r w:rsidRPr="00AE6B24">
        <w:rPr>
          <w:sz w:val="20"/>
        </w:rPr>
        <w:t>There is already a concerning level of harm associated with pokies</w:t>
      </w:r>
      <w:r w:rsidR="0053224A" w:rsidRPr="00AE6B24">
        <w:rPr>
          <w:sz w:val="20"/>
        </w:rPr>
        <w:t xml:space="preserve"> - while </w:t>
      </w:r>
      <w:r w:rsidRPr="00AE6B24">
        <w:rPr>
          <w:sz w:val="20"/>
        </w:rPr>
        <w:t>the number of EGM</w:t>
      </w:r>
      <w:r w:rsidR="00215DED" w:rsidRPr="00AE6B24">
        <w:rPr>
          <w:sz w:val="20"/>
        </w:rPr>
        <w:t>s</w:t>
      </w:r>
      <w:r w:rsidRPr="00AE6B24">
        <w:rPr>
          <w:sz w:val="20"/>
        </w:rPr>
        <w:t xml:space="preserve"> has been </w:t>
      </w:r>
      <w:r w:rsidR="008501F5" w:rsidRPr="00AE6B24">
        <w:rPr>
          <w:sz w:val="20"/>
        </w:rPr>
        <w:t xml:space="preserve">steadily </w:t>
      </w:r>
      <w:r w:rsidRPr="00AE6B24">
        <w:rPr>
          <w:sz w:val="20"/>
        </w:rPr>
        <w:t>reducing over time</w:t>
      </w:r>
      <w:r w:rsidR="008501F5" w:rsidRPr="00AE6B24">
        <w:rPr>
          <w:sz w:val="20"/>
        </w:rPr>
        <w:t xml:space="preserve"> </w:t>
      </w:r>
      <w:r w:rsidR="00F10CCF" w:rsidRPr="00AE6B24">
        <w:rPr>
          <w:sz w:val="20"/>
        </w:rPr>
        <w:t xml:space="preserve">but </w:t>
      </w:r>
      <w:r w:rsidR="00582441" w:rsidRPr="00AE6B24">
        <w:rPr>
          <w:sz w:val="20"/>
        </w:rPr>
        <w:t xml:space="preserve">the amount </w:t>
      </w:r>
      <w:r w:rsidR="0053224A" w:rsidRPr="00AE6B24">
        <w:rPr>
          <w:sz w:val="20"/>
        </w:rPr>
        <w:t xml:space="preserve">being </w:t>
      </w:r>
      <w:r w:rsidR="00582441" w:rsidRPr="00AE6B24">
        <w:rPr>
          <w:sz w:val="20"/>
        </w:rPr>
        <w:t xml:space="preserve">spent by New Zealanders is </w:t>
      </w:r>
      <w:r w:rsidR="00582441" w:rsidRPr="00AE6B24">
        <w:rPr>
          <w:sz w:val="20"/>
        </w:rPr>
        <w:lastRenderedPageBreak/>
        <w:t xml:space="preserve">increasing </w:t>
      </w:r>
      <w:r w:rsidR="008501F5" w:rsidRPr="00AE6B24">
        <w:rPr>
          <w:sz w:val="20"/>
        </w:rPr>
        <w:t xml:space="preserve">over time, </w:t>
      </w:r>
      <w:r w:rsidR="00F10CCF" w:rsidRPr="00AE6B24">
        <w:rPr>
          <w:sz w:val="20"/>
        </w:rPr>
        <w:t xml:space="preserve">and </w:t>
      </w:r>
      <w:r w:rsidR="00582441" w:rsidRPr="00AE6B24">
        <w:rPr>
          <w:sz w:val="20"/>
        </w:rPr>
        <w:t xml:space="preserve">pokies </w:t>
      </w:r>
      <w:r w:rsidR="00582441" w:rsidRPr="00AE6B24">
        <w:rPr>
          <w:rStyle w:val="normaltextrun"/>
          <w:rFonts w:cs="Arial"/>
          <w:color w:val="000000"/>
          <w:sz w:val="20"/>
          <w:shd w:val="clear" w:color="auto" w:fill="FFFFFF"/>
        </w:rPr>
        <w:t>remain the most common type of gambling harm for clients accessing intervention services.</w:t>
      </w:r>
      <w:r w:rsidR="00F10CCF" w:rsidRPr="00AE6B24">
        <w:rPr>
          <w:rStyle w:val="FootnoteReference"/>
          <w:rFonts w:cs="Arial"/>
          <w:shd w:val="clear" w:color="auto" w:fill="FFFFFF"/>
        </w:rPr>
        <w:footnoteReference w:id="3"/>
      </w:r>
      <w:r w:rsidR="00582441" w:rsidRPr="00AE6B24">
        <w:rPr>
          <w:sz w:val="20"/>
        </w:rPr>
        <w:t xml:space="preserve"> </w:t>
      </w:r>
    </w:p>
    <w:p w14:paraId="78097D8C" w14:textId="7453D112" w:rsidR="004B1F53" w:rsidRPr="00AE6B24" w:rsidRDefault="004B1F53" w:rsidP="0053224A">
      <w:pPr>
        <w:pStyle w:val="ListParagraph"/>
        <w:numPr>
          <w:ilvl w:val="0"/>
          <w:numId w:val="5"/>
        </w:numPr>
        <w:spacing w:before="120" w:after="120" w:line="240" w:lineRule="auto"/>
        <w:ind w:left="567" w:hanging="567"/>
        <w:contextualSpacing w:val="0"/>
        <w:rPr>
          <w:sz w:val="20"/>
        </w:rPr>
      </w:pPr>
      <w:r w:rsidRPr="00AE6B24">
        <w:rPr>
          <w:sz w:val="20"/>
        </w:rPr>
        <w:t>This level of harm will continue</w:t>
      </w:r>
      <w:r w:rsidR="0053224A" w:rsidRPr="00AE6B24">
        <w:rPr>
          <w:sz w:val="20"/>
        </w:rPr>
        <w:t xml:space="preserve"> </w:t>
      </w:r>
      <w:r w:rsidR="00DD278D">
        <w:rPr>
          <w:sz w:val="20"/>
        </w:rPr>
        <w:t xml:space="preserve">to </w:t>
      </w:r>
      <w:r w:rsidRPr="00AE6B24">
        <w:rPr>
          <w:sz w:val="20"/>
        </w:rPr>
        <w:t xml:space="preserve">increase if left unchecked. </w:t>
      </w:r>
      <w:r w:rsidR="0053224A" w:rsidRPr="00AE6B24">
        <w:rPr>
          <w:sz w:val="20"/>
        </w:rPr>
        <w:t xml:space="preserve">The HLS 2020 indicates that one in five </w:t>
      </w:r>
      <w:proofErr w:type="spellStart"/>
      <w:r w:rsidR="0053224A" w:rsidRPr="00AE6B24">
        <w:rPr>
          <w:sz w:val="20"/>
        </w:rPr>
        <w:t>pokie</w:t>
      </w:r>
      <w:proofErr w:type="spellEnd"/>
      <w:r w:rsidR="0053224A" w:rsidRPr="00AE6B24">
        <w:rPr>
          <w:sz w:val="20"/>
        </w:rPr>
        <w:t xml:space="preserve"> players are considered at-risk gamblers (this is an increase from the HLS 2018 which indicated ‘one in six’). This suggests that some people are experiencing a level of harm that has worsened over time.</w:t>
      </w:r>
    </w:p>
    <w:p w14:paraId="05824A45" w14:textId="5C27F20F" w:rsidR="002F2CD3" w:rsidRPr="00AE6B24" w:rsidRDefault="002F2CD3" w:rsidP="002F2CD3">
      <w:pPr>
        <w:spacing w:after="120" w:line="240" w:lineRule="auto"/>
        <w:rPr>
          <w:i/>
          <w:sz w:val="20"/>
        </w:rPr>
      </w:pPr>
      <w:r w:rsidRPr="00AE6B24">
        <w:rPr>
          <w:i/>
          <w:sz w:val="20"/>
        </w:rPr>
        <w:t xml:space="preserve">Regulatory requirements </w:t>
      </w:r>
      <w:r w:rsidR="00FE046E" w:rsidRPr="00AE6B24">
        <w:rPr>
          <w:i/>
          <w:sz w:val="20"/>
        </w:rPr>
        <w:t>to prevent and minimise harm</w:t>
      </w:r>
      <w:r w:rsidRPr="00AE6B24">
        <w:rPr>
          <w:i/>
          <w:sz w:val="20"/>
        </w:rPr>
        <w:t xml:space="preserve"> are </w:t>
      </w:r>
      <w:r w:rsidR="0025300E" w:rsidRPr="00AE6B24">
        <w:rPr>
          <w:i/>
          <w:sz w:val="20"/>
        </w:rPr>
        <w:t xml:space="preserve">relatively </w:t>
      </w:r>
      <w:r w:rsidRPr="00AE6B24">
        <w:rPr>
          <w:i/>
          <w:sz w:val="20"/>
        </w:rPr>
        <w:t>limited</w:t>
      </w:r>
    </w:p>
    <w:p w14:paraId="7267F036" w14:textId="7B7D7634" w:rsidR="00B315E6" w:rsidRPr="00AE6B24" w:rsidRDefault="002F2CD3" w:rsidP="006A66AB">
      <w:pPr>
        <w:pStyle w:val="ListParagraph"/>
        <w:numPr>
          <w:ilvl w:val="0"/>
          <w:numId w:val="5"/>
        </w:numPr>
        <w:spacing w:before="120" w:after="60" w:line="240" w:lineRule="auto"/>
        <w:ind w:left="567" w:hanging="567"/>
        <w:contextualSpacing w:val="0"/>
        <w:rPr>
          <w:sz w:val="20"/>
        </w:rPr>
      </w:pPr>
      <w:r w:rsidRPr="00AE6B24">
        <w:rPr>
          <w:sz w:val="20"/>
        </w:rPr>
        <w:t>The current regulations cover a limited number of topics, with a low level of prescription</w:t>
      </w:r>
      <w:r w:rsidR="00693D3F" w:rsidRPr="00AE6B24">
        <w:rPr>
          <w:sz w:val="20"/>
        </w:rPr>
        <w:t>. They</w:t>
      </w:r>
      <w:r w:rsidR="00FE046E" w:rsidRPr="00AE6B24">
        <w:rPr>
          <w:sz w:val="20"/>
        </w:rPr>
        <w:t>:</w:t>
      </w:r>
      <w:r w:rsidR="00B315E6" w:rsidRPr="00AE6B24">
        <w:rPr>
          <w:sz w:val="20"/>
        </w:rPr>
        <w:t xml:space="preserve"> </w:t>
      </w:r>
    </w:p>
    <w:p w14:paraId="18773BD5" w14:textId="77777777" w:rsidR="00B315E6" w:rsidRPr="00F9682F" w:rsidRDefault="00B315E6" w:rsidP="00A42B77">
      <w:pPr>
        <w:pStyle w:val="ListParagraph"/>
        <w:numPr>
          <w:ilvl w:val="0"/>
          <w:numId w:val="15"/>
        </w:numPr>
        <w:spacing w:after="60" w:line="240" w:lineRule="auto"/>
        <w:contextualSpacing w:val="0"/>
        <w:rPr>
          <w:sz w:val="20"/>
        </w:rPr>
      </w:pPr>
      <w:r w:rsidRPr="00AE6B24">
        <w:rPr>
          <w:sz w:val="20"/>
        </w:rPr>
        <w:t>do not specify procedures for</w:t>
      </w:r>
      <w:r w:rsidRPr="00F9682F">
        <w:rPr>
          <w:sz w:val="20"/>
        </w:rPr>
        <w:t xml:space="preserve"> harm minimisation policies, such as how and when venue staff should check on players; </w:t>
      </w:r>
    </w:p>
    <w:p w14:paraId="313F29BB" w14:textId="77777777" w:rsidR="00B315E6" w:rsidRPr="00F9682F" w:rsidRDefault="00B315E6" w:rsidP="00A42B77">
      <w:pPr>
        <w:pStyle w:val="ListParagraph"/>
        <w:numPr>
          <w:ilvl w:val="0"/>
          <w:numId w:val="15"/>
        </w:numPr>
        <w:spacing w:after="60" w:line="240" w:lineRule="auto"/>
        <w:contextualSpacing w:val="0"/>
        <w:rPr>
          <w:sz w:val="20"/>
        </w:rPr>
      </w:pPr>
      <w:r w:rsidRPr="00F9682F">
        <w:rPr>
          <w:sz w:val="20"/>
        </w:rPr>
        <w:t>have few restrictions on the gam</w:t>
      </w:r>
      <w:r w:rsidR="00D5041E">
        <w:rPr>
          <w:sz w:val="20"/>
        </w:rPr>
        <w:t>e</w:t>
      </w:r>
      <w:r w:rsidRPr="00F9682F">
        <w:rPr>
          <w:sz w:val="20"/>
        </w:rPr>
        <w:t xml:space="preserve"> features known to attract players and encourage continuous play; and </w:t>
      </w:r>
    </w:p>
    <w:p w14:paraId="5F30AC1F" w14:textId="77777777" w:rsidR="00B315E6" w:rsidRPr="00F9682F" w:rsidRDefault="00B315E6" w:rsidP="006A66AB">
      <w:pPr>
        <w:pStyle w:val="ListParagraph"/>
        <w:numPr>
          <w:ilvl w:val="0"/>
          <w:numId w:val="15"/>
        </w:numPr>
        <w:spacing w:after="120" w:line="240" w:lineRule="auto"/>
        <w:ind w:left="924" w:hanging="357"/>
        <w:contextualSpacing w:val="0"/>
        <w:rPr>
          <w:sz w:val="20"/>
        </w:rPr>
      </w:pPr>
      <w:r w:rsidRPr="00F9682F">
        <w:rPr>
          <w:sz w:val="20"/>
        </w:rPr>
        <w:t>have no associated infringement offences.</w:t>
      </w:r>
    </w:p>
    <w:p w14:paraId="0C519209" w14:textId="3A877E58" w:rsidR="0025300E" w:rsidRPr="00F97930" w:rsidRDefault="00FF5F25" w:rsidP="0025300E">
      <w:pPr>
        <w:pStyle w:val="ListParagraph"/>
        <w:numPr>
          <w:ilvl w:val="0"/>
          <w:numId w:val="5"/>
        </w:numPr>
        <w:spacing w:before="120" w:after="60" w:line="240" w:lineRule="auto"/>
        <w:ind w:left="567" w:hanging="567"/>
        <w:contextualSpacing w:val="0"/>
        <w:rPr>
          <w:sz w:val="20"/>
        </w:rPr>
      </w:pPr>
      <w:r>
        <w:rPr>
          <w:sz w:val="20"/>
        </w:rPr>
        <w:t>For example, some of the k</w:t>
      </w:r>
      <w:r w:rsidR="0025300E" w:rsidRPr="00F97930">
        <w:rPr>
          <w:sz w:val="20"/>
        </w:rPr>
        <w:t xml:space="preserve">ey inadequacies identified </w:t>
      </w:r>
      <w:r>
        <w:rPr>
          <w:sz w:val="20"/>
        </w:rPr>
        <w:t xml:space="preserve">in the current regulations </w:t>
      </w:r>
      <w:r w:rsidR="0025300E">
        <w:rPr>
          <w:sz w:val="20"/>
        </w:rPr>
        <w:t>include</w:t>
      </w:r>
      <w:r w:rsidR="0025300E" w:rsidRPr="00F97930">
        <w:rPr>
          <w:sz w:val="20"/>
        </w:rPr>
        <w:t>:</w:t>
      </w:r>
    </w:p>
    <w:p w14:paraId="305C1972" w14:textId="724E0366" w:rsidR="0025300E" w:rsidRPr="00F97930" w:rsidRDefault="0025300E" w:rsidP="0025300E">
      <w:pPr>
        <w:pStyle w:val="ListParagraph"/>
        <w:numPr>
          <w:ilvl w:val="0"/>
          <w:numId w:val="20"/>
        </w:numPr>
        <w:spacing w:before="60" w:after="60" w:line="240" w:lineRule="auto"/>
        <w:ind w:left="924" w:hanging="357"/>
        <w:contextualSpacing w:val="0"/>
        <w:rPr>
          <w:sz w:val="20"/>
        </w:rPr>
      </w:pPr>
      <w:r w:rsidRPr="00F97930">
        <w:rPr>
          <w:sz w:val="20"/>
        </w:rPr>
        <w:t>staff who work at pubs and clubs lack the tools to identify problem gambling and intervene effectively</w:t>
      </w:r>
      <w:r w:rsidR="00323A68">
        <w:rPr>
          <w:sz w:val="20"/>
        </w:rPr>
        <w:t>;</w:t>
      </w:r>
    </w:p>
    <w:p w14:paraId="5848EA67" w14:textId="3B892317" w:rsidR="0025300E" w:rsidRPr="00F97930" w:rsidRDefault="0025300E" w:rsidP="0025300E">
      <w:pPr>
        <w:pStyle w:val="ListParagraph"/>
        <w:numPr>
          <w:ilvl w:val="0"/>
          <w:numId w:val="20"/>
        </w:numPr>
        <w:spacing w:before="60" w:after="60" w:line="240" w:lineRule="auto"/>
        <w:ind w:left="924" w:hanging="357"/>
        <w:contextualSpacing w:val="0"/>
        <w:rPr>
          <w:sz w:val="20"/>
        </w:rPr>
      </w:pPr>
      <w:r w:rsidRPr="00F97930">
        <w:rPr>
          <w:sz w:val="20"/>
        </w:rPr>
        <w:t>the criteria for interventions by venue staff are either not prescribed, or not clearly prescribed in the society policy or venue statement</w:t>
      </w:r>
      <w:r w:rsidR="00323A68">
        <w:rPr>
          <w:sz w:val="20"/>
        </w:rPr>
        <w:t>; and</w:t>
      </w:r>
      <w:r w:rsidRPr="00F97930">
        <w:rPr>
          <w:sz w:val="20"/>
        </w:rPr>
        <w:t xml:space="preserve">  </w:t>
      </w:r>
    </w:p>
    <w:p w14:paraId="00554FE8" w14:textId="77777777" w:rsidR="0025300E" w:rsidRDefault="0025300E" w:rsidP="0025300E">
      <w:pPr>
        <w:pStyle w:val="ListParagraph"/>
        <w:numPr>
          <w:ilvl w:val="0"/>
          <w:numId w:val="20"/>
        </w:numPr>
        <w:spacing w:before="60" w:after="60" w:line="240" w:lineRule="auto"/>
        <w:ind w:left="924" w:hanging="357"/>
        <w:contextualSpacing w:val="0"/>
        <w:rPr>
          <w:sz w:val="20"/>
        </w:rPr>
      </w:pPr>
      <w:r w:rsidRPr="00F97930">
        <w:rPr>
          <w:sz w:val="20"/>
        </w:rPr>
        <w:t>harm minimisation regulations assign some responsibilities only to venue managers – meaning societies are not accountable</w:t>
      </w:r>
      <w:r>
        <w:rPr>
          <w:sz w:val="20"/>
        </w:rPr>
        <w:t>.</w:t>
      </w:r>
    </w:p>
    <w:p w14:paraId="16B58AD0" w14:textId="77777777" w:rsidR="0025300E" w:rsidRPr="00E80BD1" w:rsidRDefault="0025300E" w:rsidP="0025300E">
      <w:pPr>
        <w:pStyle w:val="ListParagraph"/>
        <w:numPr>
          <w:ilvl w:val="0"/>
          <w:numId w:val="5"/>
        </w:numPr>
        <w:spacing w:before="120" w:after="120" w:line="240" w:lineRule="auto"/>
        <w:ind w:left="567" w:hanging="567"/>
        <w:contextualSpacing w:val="0"/>
        <w:rPr>
          <w:sz w:val="20"/>
        </w:rPr>
      </w:pPr>
      <w:r w:rsidRPr="002F2CD3">
        <w:rPr>
          <w:color w:val="000000" w:themeColor="text1"/>
          <w:sz w:val="20"/>
        </w:rPr>
        <w:t xml:space="preserve">There are no offences and infringement fees </w:t>
      </w:r>
      <w:r>
        <w:rPr>
          <w:color w:val="000000" w:themeColor="text1"/>
          <w:sz w:val="20"/>
        </w:rPr>
        <w:t xml:space="preserve">for </w:t>
      </w:r>
      <w:r w:rsidRPr="002F2CD3">
        <w:rPr>
          <w:color w:val="000000" w:themeColor="text1"/>
          <w:sz w:val="20"/>
        </w:rPr>
        <w:t xml:space="preserve">the requirements in the current </w:t>
      </w:r>
      <w:r>
        <w:rPr>
          <w:color w:val="000000" w:themeColor="text1"/>
          <w:sz w:val="20"/>
        </w:rPr>
        <w:t>R</w:t>
      </w:r>
      <w:r w:rsidRPr="002F2CD3">
        <w:rPr>
          <w:color w:val="000000" w:themeColor="text1"/>
          <w:sz w:val="20"/>
        </w:rPr>
        <w:t xml:space="preserve">egulations. </w:t>
      </w:r>
      <w:r>
        <w:rPr>
          <w:sz w:val="20"/>
          <w:lang w:val="en-NZ"/>
        </w:rPr>
        <w:t>T</w:t>
      </w:r>
      <w:r w:rsidRPr="002F2CD3">
        <w:rPr>
          <w:sz w:val="20"/>
          <w:lang w:val="en-NZ"/>
        </w:rPr>
        <w:t xml:space="preserve">he only options to address non-compliance are prosecution, or suspension/cancellation of </w:t>
      </w:r>
      <w:r>
        <w:rPr>
          <w:sz w:val="20"/>
          <w:lang w:val="en-NZ"/>
        </w:rPr>
        <w:t xml:space="preserve">a </w:t>
      </w:r>
      <w:r w:rsidRPr="002F2CD3">
        <w:rPr>
          <w:sz w:val="20"/>
          <w:lang w:val="en-NZ"/>
        </w:rPr>
        <w:t xml:space="preserve">licence (which is often suspended, as societies appeal to the Gambling </w:t>
      </w:r>
      <w:r w:rsidRPr="002F2CD3">
        <w:rPr>
          <w:sz w:val="20"/>
        </w:rPr>
        <w:t>Commission</w:t>
      </w:r>
      <w:r w:rsidRPr="002F2CD3">
        <w:rPr>
          <w:sz w:val="20"/>
          <w:lang w:val="en-NZ"/>
        </w:rPr>
        <w:t>)</w:t>
      </w:r>
      <w:r>
        <w:rPr>
          <w:sz w:val="20"/>
          <w:lang w:val="en-NZ"/>
        </w:rPr>
        <w:t>. This means</w:t>
      </w:r>
      <w:r w:rsidRPr="002F2CD3">
        <w:rPr>
          <w:sz w:val="20"/>
          <w:lang w:val="en-NZ"/>
        </w:rPr>
        <w:t xml:space="preserve"> that a significant level of resources is required to act on a breach, and small breaches that do not justify this action in and of themselves are not formally recorded against a society or venue, </w:t>
      </w:r>
      <w:r>
        <w:rPr>
          <w:sz w:val="20"/>
          <w:lang w:val="en-NZ"/>
        </w:rPr>
        <w:t>so they do not receive</w:t>
      </w:r>
      <w:r w:rsidRPr="002F2CD3">
        <w:rPr>
          <w:sz w:val="20"/>
          <w:lang w:val="en-NZ"/>
        </w:rPr>
        <w:t xml:space="preserve"> any penalty.</w:t>
      </w:r>
    </w:p>
    <w:p w14:paraId="706DFFD6" w14:textId="270C63F9" w:rsidR="00FF5F25" w:rsidRDefault="00FF5F25" w:rsidP="00FF5F25">
      <w:pPr>
        <w:pStyle w:val="ListParagraph"/>
        <w:numPr>
          <w:ilvl w:val="0"/>
          <w:numId w:val="5"/>
        </w:numPr>
        <w:spacing w:before="120" w:after="120" w:line="240" w:lineRule="auto"/>
        <w:ind w:left="567" w:hanging="567"/>
        <w:contextualSpacing w:val="0"/>
        <w:rPr>
          <w:sz w:val="20"/>
        </w:rPr>
      </w:pPr>
      <w:r w:rsidRPr="00F97930">
        <w:rPr>
          <w:sz w:val="20"/>
        </w:rPr>
        <w:t xml:space="preserve">The </w:t>
      </w:r>
      <w:r w:rsidRPr="00D13785">
        <w:rPr>
          <w:sz w:val="20"/>
        </w:rPr>
        <w:t xml:space="preserve">current </w:t>
      </w:r>
      <w:r>
        <w:rPr>
          <w:sz w:val="20"/>
        </w:rPr>
        <w:t>settings provide minimal</w:t>
      </w:r>
      <w:r w:rsidR="00004B58">
        <w:rPr>
          <w:sz w:val="20"/>
        </w:rPr>
        <w:t xml:space="preserve"> guidance</w:t>
      </w:r>
      <w:r>
        <w:rPr>
          <w:sz w:val="20"/>
        </w:rPr>
        <w:t xml:space="preserve"> </w:t>
      </w:r>
      <w:r w:rsidR="000A32D0">
        <w:rPr>
          <w:sz w:val="20"/>
        </w:rPr>
        <w:t>on the</w:t>
      </w:r>
      <w:r w:rsidRPr="00D13785">
        <w:rPr>
          <w:sz w:val="20"/>
        </w:rPr>
        <w:t xml:space="preserve"> practical aspects of harm minimisation that we know </w:t>
      </w:r>
      <w:r w:rsidR="00004B58">
        <w:rPr>
          <w:sz w:val="20"/>
        </w:rPr>
        <w:t>are</w:t>
      </w:r>
      <w:r w:rsidRPr="00D13785">
        <w:rPr>
          <w:sz w:val="20"/>
        </w:rPr>
        <w:t xml:space="preserve"> important</w:t>
      </w:r>
      <w:r>
        <w:rPr>
          <w:sz w:val="20"/>
        </w:rPr>
        <w:t xml:space="preserve"> (e.g. </w:t>
      </w:r>
      <w:r w:rsidRPr="00D13785">
        <w:rPr>
          <w:sz w:val="20"/>
        </w:rPr>
        <w:t>what signs of harm must be recorded which could help identify someone as a harmful gambler or supporting measures like penalties</w:t>
      </w:r>
      <w:r>
        <w:rPr>
          <w:sz w:val="20"/>
        </w:rPr>
        <w:t>) and have no associated offences and penalties for lower level intervention</w:t>
      </w:r>
      <w:r w:rsidRPr="00D13785">
        <w:rPr>
          <w:sz w:val="20"/>
        </w:rPr>
        <w:t>.</w:t>
      </w:r>
      <w:r w:rsidRPr="002F2CD3">
        <w:rPr>
          <w:sz w:val="20"/>
        </w:rPr>
        <w:t xml:space="preserve"> </w:t>
      </w:r>
    </w:p>
    <w:p w14:paraId="6947FC26" w14:textId="1836D08D" w:rsidR="002F2CD3" w:rsidRPr="002F2CD3" w:rsidRDefault="00FE046E" w:rsidP="002F2CD3">
      <w:pPr>
        <w:spacing w:after="120" w:line="240" w:lineRule="auto"/>
        <w:rPr>
          <w:i/>
          <w:sz w:val="20"/>
        </w:rPr>
      </w:pPr>
      <w:r>
        <w:rPr>
          <w:i/>
          <w:sz w:val="20"/>
        </w:rPr>
        <w:t>The</w:t>
      </w:r>
      <w:r w:rsidR="00CA4850">
        <w:rPr>
          <w:i/>
          <w:sz w:val="20"/>
        </w:rPr>
        <w:t>re have been developments in harm minimisation practices and processes since the re</w:t>
      </w:r>
      <w:r w:rsidR="00693D3F">
        <w:rPr>
          <w:i/>
          <w:sz w:val="20"/>
        </w:rPr>
        <w:t>g</w:t>
      </w:r>
      <w:r w:rsidR="00CA4850">
        <w:rPr>
          <w:i/>
          <w:sz w:val="20"/>
        </w:rPr>
        <w:t>u</w:t>
      </w:r>
      <w:r w:rsidR="00693D3F">
        <w:rPr>
          <w:i/>
          <w:sz w:val="20"/>
        </w:rPr>
        <w:t>l</w:t>
      </w:r>
      <w:r w:rsidR="00CA4850">
        <w:rPr>
          <w:i/>
          <w:sz w:val="20"/>
        </w:rPr>
        <w:t>ations were created in 2004</w:t>
      </w:r>
    </w:p>
    <w:p w14:paraId="42B624EE" w14:textId="58CF2183" w:rsidR="0025300E" w:rsidRDefault="0025300E" w:rsidP="00A42B77">
      <w:pPr>
        <w:pStyle w:val="ListParagraph"/>
        <w:numPr>
          <w:ilvl w:val="0"/>
          <w:numId w:val="5"/>
        </w:numPr>
        <w:spacing w:before="120" w:after="120" w:line="240" w:lineRule="auto"/>
        <w:ind w:left="567" w:hanging="567"/>
        <w:contextualSpacing w:val="0"/>
        <w:rPr>
          <w:sz w:val="20"/>
        </w:rPr>
      </w:pPr>
      <w:r>
        <w:rPr>
          <w:sz w:val="20"/>
        </w:rPr>
        <w:t>There has been a significant amount of recent research on the best modes of recognising, recording and intervening in harmful gambling. Current advice on best practice recommends:</w:t>
      </w:r>
    </w:p>
    <w:p w14:paraId="1F390572" w14:textId="2164220C" w:rsidR="0025300E" w:rsidRPr="0025300E" w:rsidRDefault="00FF5F25" w:rsidP="00FF5F25">
      <w:pPr>
        <w:pStyle w:val="ListParagraph"/>
        <w:numPr>
          <w:ilvl w:val="0"/>
          <w:numId w:val="20"/>
        </w:numPr>
        <w:spacing w:before="60" w:after="60" w:line="240" w:lineRule="auto"/>
        <w:ind w:left="924" w:hanging="357"/>
        <w:contextualSpacing w:val="0"/>
        <w:rPr>
          <w:sz w:val="20"/>
        </w:rPr>
      </w:pPr>
      <w:r>
        <w:rPr>
          <w:sz w:val="20"/>
        </w:rPr>
        <w:t>m</w:t>
      </w:r>
      <w:r w:rsidR="0025300E" w:rsidRPr="00FF5F25">
        <w:rPr>
          <w:sz w:val="20"/>
        </w:rPr>
        <w:t>ore prescriptive tools could be developed to enable venue staff to identify and then know what to do when a patron’s gambling becomes harmful</w:t>
      </w:r>
      <w:r w:rsidR="00323A68">
        <w:rPr>
          <w:sz w:val="20"/>
        </w:rPr>
        <w:t>;</w:t>
      </w:r>
    </w:p>
    <w:p w14:paraId="0AC94992" w14:textId="197AF0FE" w:rsidR="0025300E" w:rsidRPr="0025300E" w:rsidRDefault="00FF5F25" w:rsidP="00FF5F25">
      <w:pPr>
        <w:pStyle w:val="ListParagraph"/>
        <w:numPr>
          <w:ilvl w:val="0"/>
          <w:numId w:val="20"/>
        </w:numPr>
        <w:spacing w:before="60" w:after="60" w:line="240" w:lineRule="auto"/>
        <w:ind w:left="924" w:hanging="357"/>
        <w:contextualSpacing w:val="0"/>
        <w:rPr>
          <w:sz w:val="20"/>
        </w:rPr>
      </w:pPr>
      <w:r>
        <w:rPr>
          <w:sz w:val="20"/>
        </w:rPr>
        <w:t>m</w:t>
      </w:r>
      <w:r w:rsidR="0025300E" w:rsidRPr="00FF5F25">
        <w:rPr>
          <w:sz w:val="20"/>
        </w:rPr>
        <w:t xml:space="preserve">ore concentrated training, for </w:t>
      </w:r>
      <w:r w:rsidRPr="00FF5F25">
        <w:rPr>
          <w:sz w:val="20"/>
        </w:rPr>
        <w:t xml:space="preserve">all </w:t>
      </w:r>
      <w:r w:rsidR="0025300E" w:rsidRPr="00FF5F25">
        <w:rPr>
          <w:sz w:val="20"/>
        </w:rPr>
        <w:t>staff who supervise pokies</w:t>
      </w:r>
      <w:r w:rsidR="00323A68">
        <w:rPr>
          <w:sz w:val="20"/>
        </w:rPr>
        <w:t>; and</w:t>
      </w:r>
    </w:p>
    <w:p w14:paraId="062B5EA8" w14:textId="039DA228" w:rsidR="0025300E" w:rsidRDefault="00FF5F25" w:rsidP="00FF5F25">
      <w:pPr>
        <w:pStyle w:val="ListParagraph"/>
        <w:numPr>
          <w:ilvl w:val="0"/>
          <w:numId w:val="20"/>
        </w:numPr>
        <w:spacing w:before="60" w:after="60" w:line="240" w:lineRule="auto"/>
        <w:ind w:left="924" w:hanging="357"/>
        <w:contextualSpacing w:val="0"/>
        <w:rPr>
          <w:sz w:val="20"/>
        </w:rPr>
      </w:pPr>
      <w:r w:rsidRPr="00FF5F25">
        <w:rPr>
          <w:sz w:val="20"/>
        </w:rPr>
        <w:t>more consistent and detailed guidance on the signs of harmful gambling.</w:t>
      </w:r>
    </w:p>
    <w:p w14:paraId="7376AB5A" w14:textId="09EB6C6B" w:rsidR="00BC61E0" w:rsidRPr="00FB0714" w:rsidRDefault="00F97930" w:rsidP="00A42B77">
      <w:pPr>
        <w:pStyle w:val="ListParagraph"/>
        <w:numPr>
          <w:ilvl w:val="0"/>
          <w:numId w:val="5"/>
        </w:numPr>
        <w:spacing w:before="120" w:after="120" w:line="240" w:lineRule="auto"/>
        <w:ind w:left="567" w:hanging="567"/>
        <w:contextualSpacing w:val="0"/>
        <w:rPr>
          <w:sz w:val="20"/>
        </w:rPr>
      </w:pPr>
      <w:r>
        <w:rPr>
          <w:sz w:val="20"/>
        </w:rPr>
        <w:t>Technology is continuing to increase the machines</w:t>
      </w:r>
      <w:r w:rsidR="00FE046E">
        <w:rPr>
          <w:sz w:val="20"/>
        </w:rPr>
        <w:t>’</w:t>
      </w:r>
      <w:r>
        <w:rPr>
          <w:sz w:val="20"/>
        </w:rPr>
        <w:t xml:space="preserve"> addictive power.</w:t>
      </w:r>
      <w:r w:rsidRPr="00F3224D">
        <w:rPr>
          <w:sz w:val="20"/>
        </w:rPr>
        <w:t xml:space="preserve"> </w:t>
      </w:r>
      <w:r w:rsidR="00F3224D" w:rsidRPr="00F3224D">
        <w:rPr>
          <w:sz w:val="20"/>
        </w:rPr>
        <w:t xml:space="preserve">Game features have evolved significantly since the Act </w:t>
      </w:r>
      <w:r w:rsidR="00F3224D">
        <w:rPr>
          <w:sz w:val="20"/>
        </w:rPr>
        <w:t xml:space="preserve">and the Regulations </w:t>
      </w:r>
      <w:r w:rsidR="00FE046E">
        <w:rPr>
          <w:sz w:val="20"/>
        </w:rPr>
        <w:t>were introduced.</w:t>
      </w:r>
      <w:r w:rsidR="00F3224D" w:rsidRPr="00F3224D">
        <w:rPr>
          <w:sz w:val="20"/>
        </w:rPr>
        <w:t xml:space="preserve"> </w:t>
      </w:r>
      <w:r w:rsidR="00FE046E">
        <w:rPr>
          <w:sz w:val="20"/>
        </w:rPr>
        <w:t>T</w:t>
      </w:r>
      <w:r w:rsidR="00BC61E0">
        <w:rPr>
          <w:sz w:val="20"/>
        </w:rPr>
        <w:t xml:space="preserve">here are features within games that are specifically designed to keep people paying </w:t>
      </w:r>
      <w:r w:rsidR="00FE046E">
        <w:rPr>
          <w:sz w:val="20"/>
        </w:rPr>
        <w:t>continuously</w:t>
      </w:r>
      <w:r w:rsidR="00F3224D">
        <w:rPr>
          <w:sz w:val="20"/>
        </w:rPr>
        <w:t xml:space="preserve">. </w:t>
      </w:r>
      <w:r w:rsidR="00BC61E0">
        <w:rPr>
          <w:sz w:val="20"/>
        </w:rPr>
        <w:t>There ha</w:t>
      </w:r>
      <w:r w:rsidR="00EE6B25">
        <w:rPr>
          <w:sz w:val="20"/>
        </w:rPr>
        <w:t>ve</w:t>
      </w:r>
      <w:r w:rsidR="00BC61E0">
        <w:rPr>
          <w:sz w:val="20"/>
        </w:rPr>
        <w:t xml:space="preserve"> been no corresponding regulatory changes to prevent or restrict these features</w:t>
      </w:r>
      <w:r w:rsidR="00F9682F">
        <w:rPr>
          <w:sz w:val="20"/>
        </w:rPr>
        <w:t>.</w:t>
      </w:r>
      <w:r w:rsidR="00F3224D">
        <w:rPr>
          <w:sz w:val="20"/>
        </w:rPr>
        <w:t xml:space="preserve"> </w:t>
      </w:r>
    </w:p>
    <w:p w14:paraId="2A988126" w14:textId="77777777" w:rsidR="00BC61E0" w:rsidRPr="00FB0714" w:rsidRDefault="00FB0714" w:rsidP="00A42B77">
      <w:pPr>
        <w:pStyle w:val="ListParagraph"/>
        <w:numPr>
          <w:ilvl w:val="0"/>
          <w:numId w:val="5"/>
        </w:numPr>
        <w:spacing w:before="120" w:after="120" w:line="240" w:lineRule="auto"/>
        <w:ind w:left="567" w:hanging="567"/>
        <w:contextualSpacing w:val="0"/>
        <w:rPr>
          <w:sz w:val="20"/>
        </w:rPr>
      </w:pPr>
      <w:r w:rsidRPr="00FB0714">
        <w:rPr>
          <w:sz w:val="20"/>
        </w:rPr>
        <w:t xml:space="preserve">Adverse aspects of jackpots are being increasingly observed. </w:t>
      </w:r>
      <w:r w:rsidR="00BC61E0" w:rsidRPr="00FB0714">
        <w:rPr>
          <w:sz w:val="20"/>
        </w:rPr>
        <w:t xml:space="preserve">There are reports of gaming machines becoming highly sought after in venues where a jackpot level appears close to being won. It is common for gaming venues to see marked increases in the number of people gambling, the amounts being gambled each play, and to the speed </w:t>
      </w:r>
      <w:r w:rsidR="00AB74D6">
        <w:rPr>
          <w:sz w:val="20"/>
        </w:rPr>
        <w:t>at which people</w:t>
      </w:r>
      <w:r w:rsidR="00BC61E0" w:rsidRPr="00FB0714">
        <w:rPr>
          <w:sz w:val="20"/>
        </w:rPr>
        <w:t xml:space="preserve"> play. There have been instances of stand over tactics and violence to force users to abandon a machine, and of groups taking charge of all machines in a venue to ensure they share in a jackpot win. </w:t>
      </w:r>
    </w:p>
    <w:p w14:paraId="792DD73B" w14:textId="77777777" w:rsidR="00070E55" w:rsidRPr="00F3224D" w:rsidRDefault="007D78A1" w:rsidP="00F3224D">
      <w:pPr>
        <w:pStyle w:val="Heading3"/>
        <w:rPr>
          <w:lang w:val="en-NZ"/>
        </w:rPr>
      </w:pPr>
      <w:r w:rsidRPr="00A864A5">
        <w:rPr>
          <w:lang w:val="en-NZ"/>
        </w:rPr>
        <w:lastRenderedPageBreak/>
        <w:t>What is the policy problem</w:t>
      </w:r>
      <w:r w:rsidR="002352C4">
        <w:rPr>
          <w:lang w:val="en-NZ"/>
        </w:rPr>
        <w:t xml:space="preserve"> or opportunity</w:t>
      </w:r>
      <w:r w:rsidRPr="00A864A5">
        <w:rPr>
          <w:lang w:val="en-NZ"/>
        </w:rPr>
        <w:t>?</w:t>
      </w:r>
    </w:p>
    <w:p w14:paraId="6EA6F27C" w14:textId="5E417B6F" w:rsidR="00215DED" w:rsidRPr="009131AA" w:rsidRDefault="00070E55" w:rsidP="009131AA">
      <w:pPr>
        <w:pStyle w:val="ListParagraph"/>
        <w:numPr>
          <w:ilvl w:val="0"/>
          <w:numId w:val="5"/>
        </w:numPr>
        <w:spacing w:before="120" w:after="120" w:line="240" w:lineRule="auto"/>
        <w:ind w:left="567" w:hanging="567"/>
        <w:contextualSpacing w:val="0"/>
        <w:rPr>
          <w:sz w:val="20"/>
          <w:lang w:val="en-NZ"/>
        </w:rPr>
      </w:pPr>
      <w:r w:rsidRPr="009131AA">
        <w:rPr>
          <w:sz w:val="20"/>
        </w:rPr>
        <w:t xml:space="preserve">New Zealanders are </w:t>
      </w:r>
      <w:r w:rsidR="00582441">
        <w:rPr>
          <w:sz w:val="20"/>
        </w:rPr>
        <w:t>spending</w:t>
      </w:r>
      <w:r w:rsidRPr="009131AA">
        <w:rPr>
          <w:sz w:val="20"/>
        </w:rPr>
        <w:t xml:space="preserve"> almost a billion dollars every year</w:t>
      </w:r>
      <w:r w:rsidR="001216DC" w:rsidRPr="009131AA">
        <w:rPr>
          <w:sz w:val="20"/>
        </w:rPr>
        <w:t xml:space="preserve"> at the pokies</w:t>
      </w:r>
      <w:r w:rsidR="009131AA" w:rsidRPr="009131AA">
        <w:rPr>
          <w:sz w:val="20"/>
        </w:rPr>
        <w:t xml:space="preserve"> and t</w:t>
      </w:r>
      <w:r w:rsidR="00215DED" w:rsidRPr="009131AA">
        <w:rPr>
          <w:sz w:val="20"/>
          <w:lang w:val="en-NZ"/>
        </w:rPr>
        <w:t xml:space="preserve">he level of harm associated with playing pokies is increasing </w:t>
      </w:r>
      <w:r w:rsidR="009131AA">
        <w:rPr>
          <w:sz w:val="20"/>
          <w:lang w:val="en-NZ"/>
        </w:rPr>
        <w:t xml:space="preserve">- </w:t>
      </w:r>
      <w:r w:rsidR="00215DED" w:rsidRPr="009131AA">
        <w:rPr>
          <w:sz w:val="20"/>
          <w:lang w:val="en-NZ"/>
        </w:rPr>
        <w:t xml:space="preserve">and will continue </w:t>
      </w:r>
      <w:r w:rsidR="00215DED" w:rsidRPr="009131AA" w:rsidDel="00323A68">
        <w:rPr>
          <w:sz w:val="20"/>
          <w:lang w:val="en-NZ"/>
        </w:rPr>
        <w:t>to do</w:t>
      </w:r>
      <w:r w:rsidR="00215DED" w:rsidRPr="009131AA">
        <w:rPr>
          <w:sz w:val="20"/>
          <w:lang w:val="en-NZ"/>
        </w:rPr>
        <w:t xml:space="preserve"> </w:t>
      </w:r>
      <w:r w:rsidR="000A32D0">
        <w:rPr>
          <w:sz w:val="20"/>
          <w:lang w:val="en-NZ"/>
        </w:rPr>
        <w:t xml:space="preserve">so </w:t>
      </w:r>
      <w:r w:rsidR="00215DED" w:rsidRPr="009131AA">
        <w:rPr>
          <w:sz w:val="20"/>
          <w:lang w:val="en-NZ"/>
        </w:rPr>
        <w:t xml:space="preserve">without Government intervention. This gambling </w:t>
      </w:r>
      <w:r w:rsidR="00215DED" w:rsidRPr="009131AA">
        <w:rPr>
          <w:rStyle w:val="normaltextrun"/>
          <w:rFonts w:cs="Arial"/>
          <w:color w:val="000000"/>
          <w:sz w:val="20"/>
          <w:shd w:val="clear" w:color="auto" w:fill="FFFFFF"/>
        </w:rPr>
        <w:t>harm</w:t>
      </w:r>
      <w:r w:rsidR="00215DED" w:rsidRPr="009131AA">
        <w:rPr>
          <w:sz w:val="20"/>
          <w:lang w:val="en-NZ"/>
        </w:rPr>
        <w:t xml:space="preserve"> has a negative </w:t>
      </w:r>
      <w:r w:rsidR="009131AA">
        <w:rPr>
          <w:sz w:val="20"/>
          <w:lang w:val="en-NZ"/>
        </w:rPr>
        <w:t>e</w:t>
      </w:r>
      <w:r w:rsidR="00215DED" w:rsidRPr="009131AA">
        <w:rPr>
          <w:sz w:val="20"/>
          <w:lang w:val="en-NZ"/>
        </w:rPr>
        <w:t>ffect on individuals</w:t>
      </w:r>
      <w:r w:rsidR="004D3BD1">
        <w:rPr>
          <w:sz w:val="20"/>
          <w:lang w:val="en-NZ"/>
        </w:rPr>
        <w:t xml:space="preserve">, </w:t>
      </w:r>
      <w:r w:rsidR="00215DED" w:rsidRPr="009131AA">
        <w:rPr>
          <w:sz w:val="20"/>
          <w:lang w:val="en-NZ"/>
        </w:rPr>
        <w:t xml:space="preserve">their whānau, friends and the wider community. This harm is also disproportionately affecting </w:t>
      </w:r>
      <w:r w:rsidR="00215DED" w:rsidRPr="009131AA">
        <w:rPr>
          <w:sz w:val="20"/>
        </w:rPr>
        <w:t>Māori, Pacific peoples and other population groups.</w:t>
      </w:r>
    </w:p>
    <w:p w14:paraId="521E7205" w14:textId="34B59EE9" w:rsidR="000D6133" w:rsidRPr="00F97930" w:rsidRDefault="00F97930" w:rsidP="00A42B77">
      <w:pPr>
        <w:pStyle w:val="ListParagraph"/>
        <w:numPr>
          <w:ilvl w:val="0"/>
          <w:numId w:val="5"/>
        </w:numPr>
        <w:spacing w:before="120" w:after="120" w:line="240" w:lineRule="auto"/>
        <w:ind w:left="567" w:hanging="567"/>
        <w:contextualSpacing w:val="0"/>
        <w:rPr>
          <w:sz w:val="20"/>
        </w:rPr>
      </w:pPr>
      <w:r w:rsidRPr="00F97930">
        <w:rPr>
          <w:sz w:val="20"/>
        </w:rPr>
        <w:t>The key reasons for harm are the time spent gambling and the money lost. These affect people differently.</w:t>
      </w:r>
      <w:r w:rsidR="000D6133" w:rsidRPr="000D6133">
        <w:rPr>
          <w:sz w:val="20"/>
        </w:rPr>
        <w:t xml:space="preserve"> </w:t>
      </w:r>
      <w:r w:rsidR="000D6133" w:rsidRPr="00F97930">
        <w:rPr>
          <w:sz w:val="20"/>
        </w:rPr>
        <w:t>In 20</w:t>
      </w:r>
      <w:r w:rsidR="00E27AFE">
        <w:rPr>
          <w:sz w:val="20"/>
        </w:rPr>
        <w:t>20</w:t>
      </w:r>
      <w:r w:rsidR="000D6133" w:rsidRPr="00F97930">
        <w:rPr>
          <w:sz w:val="20"/>
        </w:rPr>
        <w:t xml:space="preserve">, about 4.5% of New Zealand adults self-reported some harm from their own gambling in the previous year. Gambling harm is widely believed to be underreported, in part due to the </w:t>
      </w:r>
      <w:r w:rsidR="001216DC">
        <w:rPr>
          <w:sz w:val="20"/>
        </w:rPr>
        <w:t>perceived</w:t>
      </w:r>
      <w:r w:rsidR="000D6133" w:rsidRPr="00F97930">
        <w:rPr>
          <w:sz w:val="20"/>
        </w:rPr>
        <w:t xml:space="preserve"> stigma</w:t>
      </w:r>
      <w:r w:rsidR="001216DC">
        <w:rPr>
          <w:sz w:val="20"/>
        </w:rPr>
        <w:t>.</w:t>
      </w:r>
    </w:p>
    <w:p w14:paraId="7508FA23" w14:textId="6BAD8224" w:rsidR="00F97930" w:rsidRPr="000D6133" w:rsidRDefault="000D6133" w:rsidP="00A42B77">
      <w:pPr>
        <w:pStyle w:val="ListParagraph"/>
        <w:numPr>
          <w:ilvl w:val="0"/>
          <w:numId w:val="5"/>
        </w:numPr>
        <w:spacing w:before="120" w:after="120" w:line="240" w:lineRule="auto"/>
        <w:ind w:left="567" w:hanging="567"/>
        <w:contextualSpacing w:val="0"/>
        <w:rPr>
          <w:sz w:val="20"/>
        </w:rPr>
      </w:pPr>
      <w:r>
        <w:rPr>
          <w:sz w:val="20"/>
        </w:rPr>
        <w:t>In addition, w</w:t>
      </w:r>
      <w:r w:rsidR="00F97930" w:rsidRPr="000D6133">
        <w:rPr>
          <w:sz w:val="20"/>
        </w:rPr>
        <w:t>e know that people who have a problem with gambling on pokies are not usually identified in pubs and clubs.</w:t>
      </w:r>
      <w:r w:rsidR="00783B89">
        <w:rPr>
          <w:sz w:val="20"/>
        </w:rPr>
        <w:t xml:space="preserve"> </w:t>
      </w:r>
      <w:r w:rsidR="00783B89" w:rsidRPr="000D6133">
        <w:rPr>
          <w:sz w:val="20"/>
        </w:rPr>
        <w:t xml:space="preserve">According to the Health and Lifestyles Survey </w:t>
      </w:r>
      <w:r w:rsidR="00783B89">
        <w:rPr>
          <w:sz w:val="20"/>
        </w:rPr>
        <w:t>2020</w:t>
      </w:r>
      <w:r w:rsidR="00783B89" w:rsidRPr="000D6133">
        <w:rPr>
          <w:sz w:val="20"/>
        </w:rPr>
        <w:t xml:space="preserve">, </w:t>
      </w:r>
      <w:r w:rsidR="00783B89">
        <w:rPr>
          <w:sz w:val="20"/>
        </w:rPr>
        <w:t xml:space="preserve">over 60% of pokies </w:t>
      </w:r>
      <w:r w:rsidR="00783B89" w:rsidRPr="000D6133">
        <w:rPr>
          <w:sz w:val="20"/>
        </w:rPr>
        <w:t xml:space="preserve">reported that </w:t>
      </w:r>
      <w:r w:rsidR="00783B89">
        <w:rPr>
          <w:sz w:val="20"/>
        </w:rPr>
        <w:t xml:space="preserve">they had not </w:t>
      </w:r>
      <w:r w:rsidR="00E27AFE">
        <w:rPr>
          <w:sz w:val="20"/>
        </w:rPr>
        <w:t xml:space="preserve">any interaction with </w:t>
      </w:r>
      <w:r w:rsidR="00783B89" w:rsidRPr="000D6133">
        <w:rPr>
          <w:sz w:val="20"/>
        </w:rPr>
        <w:t>staff about their gambling</w:t>
      </w:r>
      <w:r w:rsidR="00E27AFE">
        <w:rPr>
          <w:sz w:val="20"/>
        </w:rPr>
        <w:t xml:space="preserve">. Interactions included: </w:t>
      </w:r>
      <w:r w:rsidR="00E27AFE" w:rsidRPr="00E27AFE">
        <w:rPr>
          <w:sz w:val="20"/>
        </w:rPr>
        <w:t>know my name or recognise me</w:t>
      </w:r>
      <w:r w:rsidR="00E27AFE" w:rsidRPr="00E27AFE">
        <w:rPr>
          <w:sz w:val="20"/>
        </w:rPr>
        <w:t>;</w:t>
      </w:r>
      <w:r w:rsidR="00E27AFE" w:rsidRPr="00E27AFE">
        <w:rPr>
          <w:sz w:val="20"/>
        </w:rPr>
        <w:t xml:space="preserve"> monitor the </w:t>
      </w:r>
      <w:proofErr w:type="spellStart"/>
      <w:r w:rsidR="00E27AFE" w:rsidRPr="00E27AFE">
        <w:rPr>
          <w:sz w:val="20"/>
        </w:rPr>
        <w:t>pokie</w:t>
      </w:r>
      <w:proofErr w:type="spellEnd"/>
      <w:r w:rsidR="00E27AFE" w:rsidRPr="00E27AFE">
        <w:rPr>
          <w:sz w:val="20"/>
        </w:rPr>
        <w:t xml:space="preserve"> room</w:t>
      </w:r>
      <w:r w:rsidR="00E27AFE" w:rsidRPr="00E27AFE">
        <w:rPr>
          <w:sz w:val="20"/>
        </w:rPr>
        <w:t>;</w:t>
      </w:r>
      <w:r w:rsidR="00E27AFE" w:rsidRPr="00E27AFE">
        <w:rPr>
          <w:sz w:val="20"/>
        </w:rPr>
        <w:t xml:space="preserve"> spoken to me with a concern about my gambling</w:t>
      </w:r>
      <w:r w:rsidR="00E27AFE" w:rsidRPr="00E27AFE">
        <w:rPr>
          <w:sz w:val="20"/>
        </w:rPr>
        <w:t>;</w:t>
      </w:r>
      <w:r w:rsidR="00E27AFE" w:rsidRPr="00E27AFE">
        <w:rPr>
          <w:sz w:val="20"/>
        </w:rPr>
        <w:t xml:space="preserve"> given me a leaflet on gambling support services</w:t>
      </w:r>
      <w:r w:rsidR="00E27AFE" w:rsidRPr="00E27AFE">
        <w:rPr>
          <w:sz w:val="20"/>
        </w:rPr>
        <w:t>.</w:t>
      </w:r>
    </w:p>
    <w:p w14:paraId="74710620" w14:textId="2292FF34" w:rsidR="00B315E6" w:rsidRPr="00B315E6" w:rsidRDefault="00070E55" w:rsidP="00A42B77">
      <w:pPr>
        <w:pStyle w:val="ListParagraph"/>
        <w:numPr>
          <w:ilvl w:val="0"/>
          <w:numId w:val="5"/>
        </w:numPr>
        <w:spacing w:before="120" w:after="120" w:line="240" w:lineRule="auto"/>
        <w:ind w:left="567" w:hanging="567"/>
        <w:contextualSpacing w:val="0"/>
        <w:rPr>
          <w:sz w:val="20"/>
        </w:rPr>
      </w:pPr>
      <w:r w:rsidRPr="00B315E6">
        <w:rPr>
          <w:sz w:val="20"/>
        </w:rPr>
        <w:t xml:space="preserve">The current regulations do not ensure </w:t>
      </w:r>
      <w:r w:rsidR="00B315E6" w:rsidRPr="00B315E6">
        <w:rPr>
          <w:sz w:val="20"/>
        </w:rPr>
        <w:t>adequate use</w:t>
      </w:r>
      <w:r w:rsidR="00443D34">
        <w:rPr>
          <w:sz w:val="20"/>
        </w:rPr>
        <w:t xml:space="preserve"> of</w:t>
      </w:r>
      <w:r w:rsidR="00B315E6" w:rsidRPr="00B315E6">
        <w:rPr>
          <w:sz w:val="20"/>
        </w:rPr>
        <w:t xml:space="preserve"> some of the key levers for reducing pokies harm – controls in the gam</w:t>
      </w:r>
      <w:r w:rsidR="00B315E6">
        <w:rPr>
          <w:sz w:val="20"/>
        </w:rPr>
        <w:t>b</w:t>
      </w:r>
      <w:r w:rsidR="00B315E6" w:rsidRPr="00B315E6">
        <w:rPr>
          <w:sz w:val="20"/>
        </w:rPr>
        <w:t>ling venue, restrictions on machine features, and enforcement tools to drive compliance</w:t>
      </w:r>
      <w:r w:rsidR="00B315E6">
        <w:rPr>
          <w:sz w:val="20"/>
        </w:rPr>
        <w:t>. The research and practice advice</w:t>
      </w:r>
      <w:r w:rsidR="003A47BA">
        <w:rPr>
          <w:sz w:val="20"/>
        </w:rPr>
        <w:t xml:space="preserve">, such as the guidance issued by Te </w:t>
      </w:r>
      <w:proofErr w:type="spellStart"/>
      <w:r w:rsidR="003A47BA">
        <w:rPr>
          <w:sz w:val="20"/>
        </w:rPr>
        <w:t>Hiringa</w:t>
      </w:r>
      <w:proofErr w:type="spellEnd"/>
      <w:r w:rsidR="003A47BA">
        <w:rPr>
          <w:sz w:val="20"/>
        </w:rPr>
        <w:t xml:space="preserve"> Hauora</w:t>
      </w:r>
      <w:r w:rsidR="00B315E6">
        <w:rPr>
          <w:sz w:val="20"/>
        </w:rPr>
        <w:t xml:space="preserve"> have evolved since the Regulations were created in 2004</w:t>
      </w:r>
      <w:r w:rsidR="00582441">
        <w:rPr>
          <w:sz w:val="20"/>
        </w:rPr>
        <w:t xml:space="preserve"> – and difference approaches are recommended as best practice in terms of venue management and game features.</w:t>
      </w:r>
    </w:p>
    <w:p w14:paraId="6AD4A413" w14:textId="39CCC7A7" w:rsidR="00B315E6" w:rsidRPr="002D1A74" w:rsidRDefault="00693D3F" w:rsidP="00A42B77">
      <w:pPr>
        <w:pStyle w:val="ListParagraph"/>
        <w:numPr>
          <w:ilvl w:val="0"/>
          <w:numId w:val="5"/>
        </w:numPr>
        <w:spacing w:before="120" w:after="120" w:line="240" w:lineRule="auto"/>
        <w:ind w:left="567" w:hanging="567"/>
        <w:contextualSpacing w:val="0"/>
        <w:rPr>
          <w:sz w:val="20"/>
        </w:rPr>
      </w:pPr>
      <w:r w:rsidRPr="002D1A74">
        <w:rPr>
          <w:sz w:val="20"/>
        </w:rPr>
        <w:t>S</w:t>
      </w:r>
      <w:r w:rsidR="00B315E6" w:rsidRPr="002D1A74">
        <w:rPr>
          <w:sz w:val="20"/>
        </w:rPr>
        <w:t>ome people are experiencing</w:t>
      </w:r>
      <w:r w:rsidR="007346F0" w:rsidRPr="002D1A74">
        <w:rPr>
          <w:sz w:val="20"/>
        </w:rPr>
        <w:t>,</w:t>
      </w:r>
      <w:r w:rsidR="00B315E6" w:rsidRPr="002D1A74">
        <w:rPr>
          <w:sz w:val="20"/>
        </w:rPr>
        <w:t xml:space="preserve"> </w:t>
      </w:r>
      <w:r w:rsidR="007346F0" w:rsidRPr="002D1A74">
        <w:rPr>
          <w:sz w:val="20"/>
        </w:rPr>
        <w:t xml:space="preserve">or at risk of, </w:t>
      </w:r>
      <w:r w:rsidR="00B315E6" w:rsidRPr="002D1A74">
        <w:rPr>
          <w:sz w:val="20"/>
        </w:rPr>
        <w:t>a level of harm that could have been prevented or minimised.</w:t>
      </w:r>
    </w:p>
    <w:p w14:paraId="7AA754C0" w14:textId="00A2226A" w:rsidR="00B315E6" w:rsidRPr="002D1A74" w:rsidRDefault="00F3224D" w:rsidP="00A42B77">
      <w:pPr>
        <w:pStyle w:val="ListParagraph"/>
        <w:numPr>
          <w:ilvl w:val="0"/>
          <w:numId w:val="5"/>
        </w:numPr>
        <w:spacing w:before="120" w:after="120" w:line="240" w:lineRule="auto"/>
        <w:ind w:left="567" w:hanging="567"/>
        <w:contextualSpacing w:val="0"/>
        <w:rPr>
          <w:sz w:val="20"/>
        </w:rPr>
      </w:pPr>
      <w:r w:rsidRPr="002D1A74">
        <w:rPr>
          <w:sz w:val="20"/>
        </w:rPr>
        <w:t>A recent District Court</w:t>
      </w:r>
      <w:r w:rsidRPr="002D1A74" w:rsidDel="00570396">
        <w:rPr>
          <w:sz w:val="20"/>
        </w:rPr>
        <w:t xml:space="preserve"> </w:t>
      </w:r>
      <w:r w:rsidRPr="002D1A74">
        <w:rPr>
          <w:sz w:val="20"/>
        </w:rPr>
        <w:t xml:space="preserve">decision has also identified that more prescriptive requirements are needed. </w:t>
      </w:r>
      <w:r w:rsidR="00B315E6" w:rsidRPr="002D1A74">
        <w:rPr>
          <w:sz w:val="20"/>
        </w:rPr>
        <w:t>A Christchurch patron with a</w:t>
      </w:r>
      <w:r w:rsidR="001216DC" w:rsidRPr="002D1A74">
        <w:rPr>
          <w:sz w:val="20"/>
        </w:rPr>
        <w:t>n</w:t>
      </w:r>
      <w:r w:rsidR="00B315E6" w:rsidRPr="002D1A74">
        <w:rPr>
          <w:sz w:val="20"/>
        </w:rPr>
        <w:t xml:space="preserve"> addiction to </w:t>
      </w:r>
      <w:r w:rsidR="001216DC" w:rsidRPr="002D1A74">
        <w:rPr>
          <w:sz w:val="20"/>
        </w:rPr>
        <w:t>pokies</w:t>
      </w:r>
      <w:r w:rsidR="00B315E6" w:rsidRPr="002D1A74">
        <w:rPr>
          <w:sz w:val="20"/>
        </w:rPr>
        <w:t xml:space="preserve">, spent around $500,000 of earthquake insurance money </w:t>
      </w:r>
      <w:r w:rsidR="001216DC" w:rsidRPr="002D1A74">
        <w:rPr>
          <w:sz w:val="20"/>
        </w:rPr>
        <w:t xml:space="preserve">on pokies over </w:t>
      </w:r>
      <w:r w:rsidR="00B315E6" w:rsidRPr="002D1A74">
        <w:rPr>
          <w:sz w:val="20"/>
        </w:rPr>
        <w:t xml:space="preserve">three years, before passing </w:t>
      </w:r>
      <w:r w:rsidR="001216DC" w:rsidRPr="002D1A74">
        <w:rPr>
          <w:sz w:val="20"/>
        </w:rPr>
        <w:t xml:space="preserve">away </w:t>
      </w:r>
      <w:r w:rsidR="00B315E6" w:rsidRPr="002D1A74">
        <w:rPr>
          <w:sz w:val="20"/>
        </w:rPr>
        <w:t xml:space="preserve">suddenly. </w:t>
      </w:r>
      <w:r w:rsidR="00723808">
        <w:rPr>
          <w:sz w:val="20"/>
        </w:rPr>
        <w:t>The manager of o</w:t>
      </w:r>
      <w:r w:rsidR="00B315E6" w:rsidRPr="002D1A74">
        <w:rPr>
          <w:sz w:val="20"/>
        </w:rPr>
        <w:t>ne of the venues he frequented was prosecuted for not identifying his problem. In a 299-day period, he’d spent over $75,000 there. On one single visit, he made 17 EFTPOS withdrawals totalling $2</w:t>
      </w:r>
      <w:r w:rsidR="001216DC" w:rsidRPr="002D1A74">
        <w:rPr>
          <w:sz w:val="20"/>
        </w:rPr>
        <w:t>,</w:t>
      </w:r>
      <w:r w:rsidR="00B315E6" w:rsidRPr="002D1A74">
        <w:rPr>
          <w:sz w:val="20"/>
        </w:rPr>
        <w:t xml:space="preserve">700. Towards the end, he was there every second day. The venue missed all the signs of his addiction. </w:t>
      </w:r>
    </w:p>
    <w:p w14:paraId="006B40AA" w14:textId="6B79324F" w:rsidR="00F3224D" w:rsidRPr="002D1A74" w:rsidRDefault="00B315E6" w:rsidP="009131AA">
      <w:pPr>
        <w:pStyle w:val="ListParagraph"/>
        <w:numPr>
          <w:ilvl w:val="0"/>
          <w:numId w:val="5"/>
        </w:numPr>
        <w:spacing w:before="120" w:after="60" w:line="240" w:lineRule="auto"/>
        <w:ind w:left="567" w:hanging="567"/>
        <w:contextualSpacing w:val="0"/>
        <w:rPr>
          <w:sz w:val="20"/>
        </w:rPr>
      </w:pPr>
      <w:r w:rsidRPr="002D1A74">
        <w:rPr>
          <w:sz w:val="20"/>
        </w:rPr>
        <w:t xml:space="preserve">The </w:t>
      </w:r>
      <w:r w:rsidR="00F3224D" w:rsidRPr="002D1A74">
        <w:rPr>
          <w:sz w:val="20"/>
        </w:rPr>
        <w:t>decision [</w:t>
      </w:r>
      <w:r w:rsidR="00F3224D" w:rsidRPr="002D1A74">
        <w:rPr>
          <w:i/>
          <w:sz w:val="20"/>
        </w:rPr>
        <w:t>Department of Internal Affairs v Suppressed [</w:t>
      </w:r>
      <w:proofErr w:type="spellStart"/>
      <w:r w:rsidR="00120D92">
        <w:rPr>
          <w:i/>
          <w:sz w:val="20"/>
        </w:rPr>
        <w:t>expendexpend</w:t>
      </w:r>
      <w:r w:rsidR="00F3224D" w:rsidRPr="002D1A74">
        <w:rPr>
          <w:i/>
          <w:sz w:val="20"/>
        </w:rPr>
        <w:t>NZDC</w:t>
      </w:r>
      <w:proofErr w:type="spellEnd"/>
      <w:r w:rsidR="00F3224D" w:rsidRPr="002D1A74">
        <w:rPr>
          <w:i/>
          <w:sz w:val="20"/>
        </w:rPr>
        <w:t xml:space="preserve"> 11625</w:t>
      </w:r>
      <w:r w:rsidR="00F3224D" w:rsidRPr="002D1A74">
        <w:rPr>
          <w:sz w:val="20"/>
        </w:rPr>
        <w:t xml:space="preserve">] has shown, the need to set more prescriptive requirements for identifying gambling harm in venues. </w:t>
      </w:r>
      <w:r w:rsidR="004D3BD1" w:rsidRPr="002D1A74">
        <w:rPr>
          <w:sz w:val="20"/>
        </w:rPr>
        <w:t>To summarise:</w:t>
      </w:r>
    </w:p>
    <w:p w14:paraId="2D9C776D" w14:textId="4EC6A924" w:rsidR="00F3224D" w:rsidRPr="002D1A74" w:rsidRDefault="004D3BD1" w:rsidP="00A42B77">
      <w:pPr>
        <w:pStyle w:val="ListParagraph"/>
        <w:numPr>
          <w:ilvl w:val="0"/>
          <w:numId w:val="19"/>
        </w:numPr>
        <w:spacing w:before="60" w:after="60" w:line="240" w:lineRule="auto"/>
        <w:ind w:left="924" w:hanging="357"/>
        <w:contextualSpacing w:val="0"/>
        <w:rPr>
          <w:sz w:val="20"/>
        </w:rPr>
      </w:pPr>
      <w:r w:rsidRPr="002D1A74">
        <w:rPr>
          <w:sz w:val="20"/>
        </w:rPr>
        <w:t>t</w:t>
      </w:r>
      <w:r w:rsidR="00F3224D" w:rsidRPr="002D1A74">
        <w:rPr>
          <w:sz w:val="20"/>
        </w:rPr>
        <w:t xml:space="preserve">he </w:t>
      </w:r>
      <w:r w:rsidR="00723808">
        <w:rPr>
          <w:sz w:val="20"/>
        </w:rPr>
        <w:t>venue manager</w:t>
      </w:r>
      <w:r w:rsidR="00F3224D" w:rsidRPr="002D1A74">
        <w:rPr>
          <w:sz w:val="20"/>
        </w:rPr>
        <w:t xml:space="preserve"> was charged with failing to take reasonable steps to ensure that the venue’s harm minimisation policy was used to identify a problem gambler</w:t>
      </w:r>
      <w:r w:rsidR="00783B89" w:rsidRPr="002D1A74">
        <w:rPr>
          <w:sz w:val="20"/>
        </w:rPr>
        <w:t>,</w:t>
      </w:r>
      <w:r w:rsidR="00F3224D" w:rsidRPr="002D1A74">
        <w:rPr>
          <w:sz w:val="20"/>
        </w:rPr>
        <w:t xml:space="preserve"> </w:t>
      </w:r>
    </w:p>
    <w:p w14:paraId="669E56E1" w14:textId="77777777" w:rsidR="00F3224D" w:rsidRPr="002D1A74" w:rsidRDefault="004D3BD1" w:rsidP="00A42B77">
      <w:pPr>
        <w:pStyle w:val="ListParagraph"/>
        <w:numPr>
          <w:ilvl w:val="0"/>
          <w:numId w:val="19"/>
        </w:numPr>
        <w:spacing w:before="60" w:after="60" w:line="240" w:lineRule="auto"/>
        <w:ind w:left="924" w:hanging="357"/>
        <w:contextualSpacing w:val="0"/>
        <w:rPr>
          <w:sz w:val="20"/>
        </w:rPr>
      </w:pPr>
      <w:r w:rsidRPr="002D1A74">
        <w:rPr>
          <w:sz w:val="20"/>
        </w:rPr>
        <w:t>t</w:t>
      </w:r>
      <w:r w:rsidR="00F3224D" w:rsidRPr="002D1A74">
        <w:rPr>
          <w:sz w:val="20"/>
        </w:rPr>
        <w:t>he reasonable steps included having systems to track multiple cash withdrawals and regular long play durations</w:t>
      </w:r>
      <w:r w:rsidR="00783B89" w:rsidRPr="002D1A74">
        <w:rPr>
          <w:sz w:val="20"/>
        </w:rPr>
        <w:t>,</w:t>
      </w:r>
      <w:r w:rsidR="00F3224D" w:rsidRPr="002D1A74">
        <w:rPr>
          <w:sz w:val="20"/>
        </w:rPr>
        <w:t xml:space="preserve"> </w:t>
      </w:r>
    </w:p>
    <w:p w14:paraId="6377E99D" w14:textId="77777777" w:rsidR="00F3224D" w:rsidRPr="002D1A74" w:rsidRDefault="004D3BD1" w:rsidP="00A42B77">
      <w:pPr>
        <w:pStyle w:val="ListParagraph"/>
        <w:numPr>
          <w:ilvl w:val="0"/>
          <w:numId w:val="19"/>
        </w:numPr>
        <w:spacing w:before="60" w:after="60" w:line="240" w:lineRule="auto"/>
        <w:ind w:left="924" w:hanging="357"/>
        <w:contextualSpacing w:val="0"/>
        <w:rPr>
          <w:sz w:val="20"/>
        </w:rPr>
      </w:pPr>
      <w:r w:rsidRPr="002D1A74">
        <w:rPr>
          <w:sz w:val="20"/>
        </w:rPr>
        <w:t>t</w:t>
      </w:r>
      <w:r w:rsidR="00F3224D" w:rsidRPr="002D1A74">
        <w:rPr>
          <w:sz w:val="20"/>
        </w:rPr>
        <w:t>he Judge held that as these steps were not included in the harm minimisation policy, they were not self-evident requirements</w:t>
      </w:r>
      <w:r w:rsidR="00783B89" w:rsidRPr="002D1A74">
        <w:rPr>
          <w:sz w:val="20"/>
        </w:rPr>
        <w:t>, and</w:t>
      </w:r>
      <w:r w:rsidR="00F3224D" w:rsidRPr="002D1A74">
        <w:rPr>
          <w:sz w:val="20"/>
        </w:rPr>
        <w:t xml:space="preserve"> </w:t>
      </w:r>
    </w:p>
    <w:p w14:paraId="0A4A158A" w14:textId="77777777" w:rsidR="00F3224D" w:rsidRPr="002D1A74" w:rsidRDefault="004D3BD1" w:rsidP="00A42B77">
      <w:pPr>
        <w:pStyle w:val="ListParagraph"/>
        <w:numPr>
          <w:ilvl w:val="0"/>
          <w:numId w:val="19"/>
        </w:numPr>
        <w:spacing w:before="60" w:after="60" w:line="240" w:lineRule="auto"/>
        <w:ind w:left="924" w:hanging="357"/>
        <w:contextualSpacing w:val="0"/>
        <w:rPr>
          <w:sz w:val="20"/>
        </w:rPr>
      </w:pPr>
      <w:r w:rsidRPr="002D1A74">
        <w:rPr>
          <w:sz w:val="20"/>
        </w:rPr>
        <w:t>t</w:t>
      </w:r>
      <w:r w:rsidR="00F3224D" w:rsidRPr="002D1A74">
        <w:rPr>
          <w:sz w:val="20"/>
        </w:rPr>
        <w:t>he decision noted that these steps could be prescribed by regulations and that venue staff and gamblers would benefit from this.</w:t>
      </w:r>
    </w:p>
    <w:p w14:paraId="5728F904" w14:textId="77777777" w:rsidR="00F3224D" w:rsidRPr="00AE6B24" w:rsidRDefault="00B315E6" w:rsidP="00A42B77">
      <w:pPr>
        <w:pStyle w:val="ListParagraph"/>
        <w:numPr>
          <w:ilvl w:val="0"/>
          <w:numId w:val="5"/>
        </w:numPr>
        <w:spacing w:before="120" w:after="120" w:line="240" w:lineRule="auto"/>
        <w:ind w:left="567" w:hanging="567"/>
        <w:contextualSpacing w:val="0"/>
        <w:rPr>
          <w:sz w:val="20"/>
        </w:rPr>
      </w:pPr>
      <w:r w:rsidRPr="002D1A74">
        <w:rPr>
          <w:sz w:val="20"/>
        </w:rPr>
        <w:t>The current ‘light touch’ regulation model, where societies and venues have been expected to develop and apply strong harm minimisation measures, has not been successful</w:t>
      </w:r>
      <w:r w:rsidR="001216DC" w:rsidRPr="002D1A74">
        <w:rPr>
          <w:sz w:val="20"/>
        </w:rPr>
        <w:t>.</w:t>
      </w:r>
      <w:r w:rsidRPr="002D1A74">
        <w:rPr>
          <w:sz w:val="20"/>
        </w:rPr>
        <w:t xml:space="preserve"> </w:t>
      </w:r>
      <w:r w:rsidR="001216DC" w:rsidRPr="002D1A74">
        <w:rPr>
          <w:sz w:val="20"/>
        </w:rPr>
        <w:t>A</w:t>
      </w:r>
      <w:r w:rsidRPr="002D1A74">
        <w:rPr>
          <w:sz w:val="20"/>
        </w:rPr>
        <w:t xml:space="preserve"> more prescriptive approach to harm minimisation could reduce the harm New Zealanders experience from gambling on pokies. </w:t>
      </w:r>
      <w:r w:rsidR="00F3224D" w:rsidRPr="002D1A74">
        <w:rPr>
          <w:sz w:val="20"/>
        </w:rPr>
        <w:t>Advocates in the</w:t>
      </w:r>
      <w:r w:rsidR="00F3224D" w:rsidRPr="00AE6B24">
        <w:rPr>
          <w:sz w:val="20"/>
        </w:rPr>
        <w:t xml:space="preserve"> harm prevention and minimisation sector, as well as local authorities, have been asking for stronger measures for some time. </w:t>
      </w:r>
    </w:p>
    <w:p w14:paraId="39F084D4" w14:textId="07E347A7" w:rsidR="00F3224D" w:rsidRPr="00AE6B24" w:rsidRDefault="00A62963" w:rsidP="00DD278D">
      <w:pPr>
        <w:pStyle w:val="ListParagraph"/>
        <w:numPr>
          <w:ilvl w:val="0"/>
          <w:numId w:val="5"/>
        </w:numPr>
        <w:spacing w:before="120" w:after="60" w:line="240" w:lineRule="auto"/>
        <w:ind w:left="567" w:hanging="567"/>
        <w:contextualSpacing w:val="0"/>
        <w:rPr>
          <w:sz w:val="20"/>
        </w:rPr>
      </w:pPr>
      <w:r w:rsidRPr="00AE6B24">
        <w:rPr>
          <w:sz w:val="20"/>
        </w:rPr>
        <w:t xml:space="preserve">Preventing and minimising harm is one of the purposes of the Act - and the sole purpose of the Regulations. The </w:t>
      </w:r>
      <w:r w:rsidR="00F3224D" w:rsidRPr="00AE6B24">
        <w:rPr>
          <w:sz w:val="20"/>
        </w:rPr>
        <w:t>Act contemplates a substantially higher level of regulation in relation to Class 4 gambling</w:t>
      </w:r>
      <w:r w:rsidR="00582441" w:rsidRPr="00AE6B24">
        <w:rPr>
          <w:sz w:val="20"/>
        </w:rPr>
        <w:t xml:space="preserve"> than is currently </w:t>
      </w:r>
      <w:r w:rsidR="006A66AB" w:rsidRPr="00AE6B24">
        <w:rPr>
          <w:sz w:val="20"/>
        </w:rPr>
        <w:t xml:space="preserve">used. </w:t>
      </w:r>
      <w:r w:rsidR="00F57911" w:rsidRPr="00AE6B24">
        <w:rPr>
          <w:sz w:val="20"/>
        </w:rPr>
        <w:t>D</w:t>
      </w:r>
      <w:r w:rsidR="00F3224D" w:rsidRPr="00AE6B24">
        <w:rPr>
          <w:sz w:val="20"/>
        </w:rPr>
        <w:t xml:space="preserve">etailed regulation-making powers </w:t>
      </w:r>
      <w:r w:rsidR="006A66AB" w:rsidRPr="00AE6B24">
        <w:rPr>
          <w:sz w:val="20"/>
        </w:rPr>
        <w:t>are provided for</w:t>
      </w:r>
      <w:r w:rsidR="00F3224D" w:rsidRPr="00AE6B24">
        <w:rPr>
          <w:sz w:val="20"/>
        </w:rPr>
        <w:t xml:space="preserve">: </w:t>
      </w:r>
    </w:p>
    <w:p w14:paraId="5B247B67" w14:textId="77777777" w:rsidR="00F3224D" w:rsidRPr="00AE6B24" w:rsidRDefault="00F3224D" w:rsidP="00A42B77">
      <w:pPr>
        <w:pStyle w:val="ListParagraph"/>
        <w:numPr>
          <w:ilvl w:val="0"/>
          <w:numId w:val="18"/>
        </w:numPr>
        <w:spacing w:after="60" w:line="240" w:lineRule="auto"/>
        <w:contextualSpacing w:val="0"/>
        <w:rPr>
          <w:sz w:val="20"/>
          <w:lang w:val="en-NZ"/>
        </w:rPr>
      </w:pPr>
      <w:r w:rsidRPr="00AE6B24">
        <w:rPr>
          <w:sz w:val="20"/>
          <w:lang w:val="en-NZ"/>
        </w:rPr>
        <w:t xml:space="preserve">harm prevention and minimisation (section 313); </w:t>
      </w:r>
    </w:p>
    <w:p w14:paraId="219EF5B6" w14:textId="77777777" w:rsidR="00F3224D" w:rsidRPr="00AE6B24" w:rsidRDefault="00F3224D" w:rsidP="00A42B77">
      <w:pPr>
        <w:pStyle w:val="ListParagraph"/>
        <w:numPr>
          <w:ilvl w:val="0"/>
          <w:numId w:val="18"/>
        </w:numPr>
        <w:spacing w:after="60" w:line="240" w:lineRule="auto"/>
        <w:contextualSpacing w:val="0"/>
        <w:rPr>
          <w:sz w:val="20"/>
          <w:lang w:val="en-NZ"/>
        </w:rPr>
      </w:pPr>
      <w:r w:rsidRPr="00AE6B24">
        <w:rPr>
          <w:sz w:val="20"/>
          <w:lang w:val="en-NZ"/>
        </w:rPr>
        <w:t xml:space="preserve">gaming machines (section 314); </w:t>
      </w:r>
    </w:p>
    <w:p w14:paraId="6A45120B" w14:textId="77777777" w:rsidR="00F3224D" w:rsidRPr="00AE6B24" w:rsidRDefault="00F3224D" w:rsidP="00A42B77">
      <w:pPr>
        <w:pStyle w:val="ListParagraph"/>
        <w:numPr>
          <w:ilvl w:val="0"/>
          <w:numId w:val="18"/>
        </w:numPr>
        <w:spacing w:after="60" w:line="240" w:lineRule="auto"/>
        <w:contextualSpacing w:val="0"/>
        <w:rPr>
          <w:sz w:val="20"/>
          <w:lang w:val="en-NZ"/>
        </w:rPr>
      </w:pPr>
      <w:r w:rsidRPr="00AE6B24">
        <w:rPr>
          <w:sz w:val="20"/>
          <w:lang w:val="en-NZ"/>
        </w:rPr>
        <w:t xml:space="preserve">admission to, and exclusion from, gambling venues (section 315); </w:t>
      </w:r>
    </w:p>
    <w:p w14:paraId="76D22269" w14:textId="77777777" w:rsidR="00F3224D" w:rsidRPr="00AE6B24" w:rsidRDefault="00F3224D" w:rsidP="00A42B77">
      <w:pPr>
        <w:pStyle w:val="ListParagraph"/>
        <w:numPr>
          <w:ilvl w:val="0"/>
          <w:numId w:val="18"/>
        </w:numPr>
        <w:spacing w:after="60" w:line="240" w:lineRule="auto"/>
        <w:contextualSpacing w:val="0"/>
        <w:rPr>
          <w:sz w:val="20"/>
          <w:lang w:val="en-NZ"/>
        </w:rPr>
      </w:pPr>
      <w:r w:rsidRPr="00AE6B24">
        <w:rPr>
          <w:sz w:val="20"/>
          <w:lang w:val="en-NZ"/>
        </w:rPr>
        <w:t xml:space="preserve">exclusion of problem gamblers (section 316); and </w:t>
      </w:r>
    </w:p>
    <w:p w14:paraId="767EFDFE" w14:textId="77777777" w:rsidR="00F3224D" w:rsidRPr="00AE6B24" w:rsidRDefault="00F3224D" w:rsidP="00A42B77">
      <w:pPr>
        <w:pStyle w:val="ListParagraph"/>
        <w:numPr>
          <w:ilvl w:val="0"/>
          <w:numId w:val="18"/>
        </w:numPr>
        <w:spacing w:line="240" w:lineRule="auto"/>
        <w:contextualSpacing w:val="0"/>
        <w:rPr>
          <w:sz w:val="20"/>
          <w:lang w:val="en-NZ"/>
        </w:rPr>
      </w:pPr>
      <w:r w:rsidRPr="00AE6B24">
        <w:rPr>
          <w:sz w:val="20"/>
          <w:lang w:val="en-NZ"/>
        </w:rPr>
        <w:t>infringement offences for the breach of any regulations (section 360).</w:t>
      </w:r>
    </w:p>
    <w:p w14:paraId="400952D2" w14:textId="2226A561" w:rsidR="00693D3F" w:rsidRPr="0008276F" w:rsidRDefault="00FF5F25" w:rsidP="00693D3F">
      <w:pPr>
        <w:pStyle w:val="ListParagraph"/>
        <w:numPr>
          <w:ilvl w:val="0"/>
          <w:numId w:val="5"/>
        </w:numPr>
        <w:spacing w:before="120" w:after="120" w:line="240" w:lineRule="auto"/>
        <w:ind w:left="567" w:hanging="567"/>
        <w:contextualSpacing w:val="0"/>
        <w:rPr>
          <w:sz w:val="20"/>
          <w:lang w:val="en-NZ"/>
        </w:rPr>
      </w:pPr>
      <w:r w:rsidRPr="00AE6B24">
        <w:rPr>
          <w:sz w:val="20"/>
        </w:rPr>
        <w:lastRenderedPageBreak/>
        <w:t xml:space="preserve">The range of regulation-making powers provide an opportunity to </w:t>
      </w:r>
      <w:r w:rsidRPr="00AE6B24" w:rsidDel="001216DC">
        <w:rPr>
          <w:sz w:val="20"/>
        </w:rPr>
        <w:t xml:space="preserve">create a stronger harm minimisation approach. </w:t>
      </w:r>
      <w:r w:rsidR="00582441" w:rsidRPr="00AE6B24" w:rsidDel="001216DC">
        <w:rPr>
          <w:sz w:val="20"/>
        </w:rPr>
        <w:t>Government intervention</w:t>
      </w:r>
      <w:r w:rsidR="00582441" w:rsidRPr="000D6133" w:rsidDel="001216DC">
        <w:rPr>
          <w:sz w:val="20"/>
        </w:rPr>
        <w:t>, by way of strengthening</w:t>
      </w:r>
      <w:r w:rsidR="00582441">
        <w:rPr>
          <w:sz w:val="20"/>
        </w:rPr>
        <w:t xml:space="preserve"> </w:t>
      </w:r>
      <w:r w:rsidR="00582441" w:rsidRPr="000D6133">
        <w:rPr>
          <w:sz w:val="20"/>
        </w:rPr>
        <w:t xml:space="preserve">harm minimisation requirements, </w:t>
      </w:r>
      <w:r w:rsidR="00582441">
        <w:rPr>
          <w:sz w:val="20"/>
        </w:rPr>
        <w:t xml:space="preserve">which </w:t>
      </w:r>
      <w:r w:rsidR="00582441" w:rsidRPr="000D6133">
        <w:rPr>
          <w:sz w:val="20"/>
        </w:rPr>
        <w:t>could reduce the harm on individuals and their communities.</w:t>
      </w:r>
      <w:r w:rsidR="00693D3F">
        <w:rPr>
          <w:sz w:val="20"/>
        </w:rPr>
        <w:t xml:space="preserve"> In </w:t>
      </w:r>
      <w:r w:rsidR="00693D3F">
        <w:rPr>
          <w:sz w:val="20"/>
          <w:lang w:val="en-NZ"/>
        </w:rPr>
        <w:t>line with the scope,</w:t>
      </w:r>
      <w:r w:rsidR="00693D3F" w:rsidRPr="0008276F">
        <w:rPr>
          <w:sz w:val="20"/>
          <w:lang w:val="en-NZ"/>
        </w:rPr>
        <w:t xml:space="preserve"> </w:t>
      </w:r>
      <w:r w:rsidR="00693D3F">
        <w:rPr>
          <w:sz w:val="20"/>
          <w:lang w:val="en-NZ"/>
        </w:rPr>
        <w:t>we could</w:t>
      </w:r>
      <w:r w:rsidR="00693D3F" w:rsidRPr="0008276F">
        <w:rPr>
          <w:sz w:val="20"/>
          <w:lang w:val="en-NZ"/>
        </w:rPr>
        <w:t xml:space="preserve">: </w:t>
      </w:r>
    </w:p>
    <w:p w14:paraId="40BB25CB" w14:textId="4678B735" w:rsidR="00693D3F" w:rsidRPr="006F478A" w:rsidRDefault="00693D3F" w:rsidP="00693D3F">
      <w:pPr>
        <w:pStyle w:val="ListParagraph"/>
        <w:numPr>
          <w:ilvl w:val="0"/>
          <w:numId w:val="17"/>
        </w:numPr>
        <w:spacing w:after="60" w:line="240" w:lineRule="auto"/>
        <w:ind w:left="851" w:hanging="284"/>
        <w:contextualSpacing w:val="0"/>
        <w:rPr>
          <w:sz w:val="20"/>
          <w:lang w:val="en-NZ"/>
        </w:rPr>
      </w:pPr>
      <w:r w:rsidRPr="006F478A">
        <w:rPr>
          <w:sz w:val="20"/>
          <w:lang w:val="en-NZ"/>
        </w:rPr>
        <w:t>set more explicit direction for venues and societies</w:t>
      </w:r>
      <w:r>
        <w:rPr>
          <w:sz w:val="20"/>
          <w:lang w:val="en-NZ"/>
        </w:rPr>
        <w:t>;</w:t>
      </w:r>
      <w:r w:rsidRPr="006F478A">
        <w:rPr>
          <w:sz w:val="20"/>
          <w:lang w:val="en-NZ"/>
        </w:rPr>
        <w:t>  </w:t>
      </w:r>
    </w:p>
    <w:p w14:paraId="66A5BEFA" w14:textId="4F50E327" w:rsidR="00693D3F" w:rsidRPr="006F478A" w:rsidRDefault="00693D3F" w:rsidP="00693D3F">
      <w:pPr>
        <w:pStyle w:val="ListParagraph"/>
        <w:numPr>
          <w:ilvl w:val="0"/>
          <w:numId w:val="17"/>
        </w:numPr>
        <w:spacing w:after="60" w:line="240" w:lineRule="auto"/>
        <w:ind w:left="851" w:hanging="284"/>
        <w:contextualSpacing w:val="0"/>
        <w:rPr>
          <w:sz w:val="20"/>
          <w:lang w:val="en-NZ"/>
        </w:rPr>
      </w:pPr>
      <w:r>
        <w:rPr>
          <w:sz w:val="20"/>
          <w:lang w:val="en-NZ"/>
        </w:rPr>
        <w:t xml:space="preserve">providing more player </w:t>
      </w:r>
      <w:r w:rsidRPr="006F478A">
        <w:rPr>
          <w:sz w:val="20"/>
          <w:lang w:val="en-NZ"/>
        </w:rPr>
        <w:t xml:space="preserve">information </w:t>
      </w:r>
      <w:r>
        <w:rPr>
          <w:sz w:val="20"/>
          <w:lang w:val="en-NZ"/>
        </w:rPr>
        <w:t xml:space="preserve">on </w:t>
      </w:r>
      <w:proofErr w:type="spellStart"/>
      <w:r>
        <w:rPr>
          <w:sz w:val="20"/>
          <w:lang w:val="en-NZ"/>
        </w:rPr>
        <w:t>pokie</w:t>
      </w:r>
      <w:proofErr w:type="spellEnd"/>
      <w:r>
        <w:rPr>
          <w:sz w:val="20"/>
          <w:lang w:val="en-NZ"/>
        </w:rPr>
        <w:t xml:space="preserve"> games </w:t>
      </w:r>
      <w:r w:rsidRPr="006F478A">
        <w:rPr>
          <w:sz w:val="20"/>
          <w:lang w:val="en-NZ"/>
        </w:rPr>
        <w:t xml:space="preserve">and </w:t>
      </w:r>
      <w:r>
        <w:rPr>
          <w:sz w:val="20"/>
          <w:lang w:val="en-NZ"/>
        </w:rPr>
        <w:t>make features less addictive; and</w:t>
      </w:r>
    </w:p>
    <w:p w14:paraId="40A97564" w14:textId="0688DB66" w:rsidR="00693D3F" w:rsidRPr="00693D3F" w:rsidRDefault="00693D3F" w:rsidP="00693D3F">
      <w:pPr>
        <w:pStyle w:val="ListParagraph"/>
        <w:numPr>
          <w:ilvl w:val="0"/>
          <w:numId w:val="17"/>
        </w:numPr>
        <w:spacing w:after="120" w:line="240" w:lineRule="auto"/>
        <w:ind w:left="851" w:hanging="284"/>
        <w:contextualSpacing w:val="0"/>
        <w:rPr>
          <w:sz w:val="20"/>
          <w:lang w:val="en-NZ"/>
        </w:rPr>
      </w:pPr>
      <w:r>
        <w:rPr>
          <w:sz w:val="20"/>
          <w:lang w:val="en-NZ"/>
        </w:rPr>
        <w:t xml:space="preserve">providing </w:t>
      </w:r>
      <w:r w:rsidRPr="006F478A">
        <w:rPr>
          <w:sz w:val="20"/>
          <w:lang w:val="en-NZ"/>
        </w:rPr>
        <w:t>supporting offences and penalties</w:t>
      </w:r>
      <w:r>
        <w:rPr>
          <w:sz w:val="20"/>
          <w:lang w:val="en-NZ"/>
        </w:rPr>
        <w:t xml:space="preserve"> for the regulations.</w:t>
      </w:r>
      <w:r w:rsidRPr="006F478A">
        <w:rPr>
          <w:sz w:val="20"/>
          <w:lang w:val="en-NZ"/>
        </w:rPr>
        <w:t> </w:t>
      </w:r>
    </w:p>
    <w:p w14:paraId="00E2F030" w14:textId="77777777" w:rsidR="007037C4" w:rsidRPr="00847E6E" w:rsidRDefault="007037C4" w:rsidP="00D14868">
      <w:pPr>
        <w:pStyle w:val="Heading3"/>
        <w:spacing w:before="360"/>
        <w:rPr>
          <w:lang w:val="en-NZ"/>
        </w:rPr>
      </w:pPr>
      <w:r w:rsidRPr="00A864A5">
        <w:rPr>
          <w:lang w:val="en-NZ"/>
        </w:rPr>
        <w:t xml:space="preserve">What objectives </w:t>
      </w:r>
      <w:r w:rsidR="00CB08AA">
        <w:rPr>
          <w:lang w:val="en-NZ"/>
        </w:rPr>
        <w:t xml:space="preserve">are </w:t>
      </w:r>
      <w:r w:rsidR="00D6670E">
        <w:rPr>
          <w:lang w:val="en-NZ"/>
        </w:rPr>
        <w:t>sought</w:t>
      </w:r>
      <w:r w:rsidRPr="00A864A5">
        <w:rPr>
          <w:lang w:val="en-NZ"/>
        </w:rPr>
        <w:t xml:space="preserve"> in relation to th</w:t>
      </w:r>
      <w:r w:rsidR="0052670F">
        <w:rPr>
          <w:lang w:val="en-NZ"/>
        </w:rPr>
        <w:t>e</w:t>
      </w:r>
      <w:r w:rsidRPr="00A864A5">
        <w:rPr>
          <w:lang w:val="en-NZ"/>
        </w:rPr>
        <w:t xml:space="preserve"> policy problem?</w:t>
      </w:r>
    </w:p>
    <w:bookmarkEnd w:id="5"/>
    <w:bookmarkEnd w:id="6"/>
    <w:bookmarkEnd w:id="7"/>
    <w:bookmarkEnd w:id="8"/>
    <w:bookmarkEnd w:id="9"/>
    <w:p w14:paraId="1D251F1B" w14:textId="3E5869E1" w:rsidR="00D13785" w:rsidRPr="0008276F" w:rsidRDefault="00D13785" w:rsidP="009131AA">
      <w:pPr>
        <w:pStyle w:val="ListParagraph"/>
        <w:numPr>
          <w:ilvl w:val="0"/>
          <w:numId w:val="5"/>
        </w:numPr>
        <w:spacing w:before="120" w:after="60" w:line="240" w:lineRule="auto"/>
        <w:ind w:left="567" w:hanging="567"/>
        <w:contextualSpacing w:val="0"/>
        <w:rPr>
          <w:sz w:val="20"/>
          <w:lang w:val="en-NZ"/>
        </w:rPr>
      </w:pPr>
      <w:r w:rsidRPr="0008276F">
        <w:rPr>
          <w:sz w:val="20"/>
          <w:lang w:val="en-NZ"/>
        </w:rPr>
        <w:t xml:space="preserve">The </w:t>
      </w:r>
      <w:r w:rsidR="00FF5F25">
        <w:rPr>
          <w:sz w:val="20"/>
          <w:lang w:val="en-NZ"/>
        </w:rPr>
        <w:t xml:space="preserve">core </w:t>
      </w:r>
      <w:r w:rsidRPr="0008276F">
        <w:rPr>
          <w:sz w:val="20"/>
          <w:lang w:val="en-NZ"/>
        </w:rPr>
        <w:t xml:space="preserve">objective is to reduce </w:t>
      </w:r>
      <w:r w:rsidR="0008276F" w:rsidRPr="0008276F">
        <w:rPr>
          <w:sz w:val="20"/>
          <w:lang w:val="en-NZ"/>
        </w:rPr>
        <w:t xml:space="preserve">the level of </w:t>
      </w:r>
      <w:r w:rsidR="000E502E">
        <w:rPr>
          <w:sz w:val="20"/>
          <w:lang w:val="en-NZ"/>
        </w:rPr>
        <w:t xml:space="preserve">individual (and, by extension, second-hand) </w:t>
      </w:r>
      <w:r w:rsidRPr="009131AA">
        <w:rPr>
          <w:sz w:val="20"/>
        </w:rPr>
        <w:t>gambling</w:t>
      </w:r>
      <w:r w:rsidRPr="0008276F">
        <w:rPr>
          <w:sz w:val="20"/>
          <w:lang w:val="en-NZ"/>
        </w:rPr>
        <w:t xml:space="preserve"> harm </w:t>
      </w:r>
      <w:r w:rsidR="0008276F" w:rsidRPr="0008276F">
        <w:rPr>
          <w:sz w:val="20"/>
          <w:lang w:val="en-NZ"/>
        </w:rPr>
        <w:t xml:space="preserve">being experienced </w:t>
      </w:r>
      <w:r w:rsidRPr="0008276F">
        <w:rPr>
          <w:sz w:val="20"/>
          <w:lang w:val="en-NZ"/>
        </w:rPr>
        <w:t xml:space="preserve">from pokies in venues. </w:t>
      </w:r>
      <w:r w:rsidR="000D6133" w:rsidRPr="0008276F">
        <w:rPr>
          <w:sz w:val="20"/>
          <w:lang w:val="en-NZ"/>
        </w:rPr>
        <w:t>Our</w:t>
      </w:r>
      <w:r w:rsidRPr="0008276F">
        <w:rPr>
          <w:sz w:val="20"/>
          <w:lang w:val="en-NZ"/>
        </w:rPr>
        <w:t xml:space="preserve"> </w:t>
      </w:r>
      <w:r w:rsidR="00FF5F25">
        <w:rPr>
          <w:sz w:val="20"/>
          <w:lang w:val="en-NZ"/>
        </w:rPr>
        <w:t xml:space="preserve">more </w:t>
      </w:r>
      <w:r w:rsidR="000D6133" w:rsidRPr="0008276F">
        <w:rPr>
          <w:sz w:val="20"/>
          <w:lang w:val="en-NZ"/>
        </w:rPr>
        <w:t xml:space="preserve">specific </w:t>
      </w:r>
      <w:r w:rsidRPr="0008276F">
        <w:rPr>
          <w:sz w:val="20"/>
          <w:lang w:val="en-NZ"/>
        </w:rPr>
        <w:t>objective</w:t>
      </w:r>
      <w:r w:rsidR="000D6133" w:rsidRPr="0008276F">
        <w:rPr>
          <w:sz w:val="20"/>
          <w:lang w:val="en-NZ"/>
        </w:rPr>
        <w:t>s</w:t>
      </w:r>
      <w:r w:rsidR="0008276F">
        <w:rPr>
          <w:sz w:val="20"/>
          <w:lang w:val="en-NZ"/>
        </w:rPr>
        <w:t xml:space="preserve">, in line with the </w:t>
      </w:r>
      <w:r w:rsidR="0004623A">
        <w:rPr>
          <w:sz w:val="20"/>
          <w:lang w:val="en-NZ"/>
        </w:rPr>
        <w:t xml:space="preserve">Minister’s </w:t>
      </w:r>
      <w:r w:rsidR="00FF5F25">
        <w:rPr>
          <w:sz w:val="20"/>
          <w:lang w:val="en-NZ"/>
        </w:rPr>
        <w:t xml:space="preserve">scope </w:t>
      </w:r>
      <w:r w:rsidR="0004623A">
        <w:rPr>
          <w:sz w:val="20"/>
          <w:lang w:val="en-NZ"/>
        </w:rPr>
        <w:t>decision</w:t>
      </w:r>
      <w:r w:rsidR="00FF5F25">
        <w:rPr>
          <w:sz w:val="20"/>
          <w:lang w:val="en-NZ"/>
        </w:rPr>
        <w:t>s</w:t>
      </w:r>
      <w:r w:rsidR="0008276F">
        <w:rPr>
          <w:sz w:val="20"/>
          <w:lang w:val="en-NZ"/>
        </w:rPr>
        <w:t>,</w:t>
      </w:r>
      <w:r w:rsidR="000D6133" w:rsidRPr="0008276F">
        <w:rPr>
          <w:sz w:val="20"/>
          <w:lang w:val="en-NZ"/>
        </w:rPr>
        <w:t xml:space="preserve"> are </w:t>
      </w:r>
      <w:r w:rsidRPr="0008276F">
        <w:rPr>
          <w:sz w:val="20"/>
          <w:lang w:val="en-NZ"/>
        </w:rPr>
        <w:t xml:space="preserve">to: </w:t>
      </w:r>
    </w:p>
    <w:p w14:paraId="5A61073B" w14:textId="4F641D47" w:rsidR="00D13785" w:rsidRPr="006F478A" w:rsidRDefault="00693D3F" w:rsidP="00A42B77">
      <w:pPr>
        <w:pStyle w:val="ListParagraph"/>
        <w:numPr>
          <w:ilvl w:val="0"/>
          <w:numId w:val="17"/>
        </w:numPr>
        <w:spacing w:after="60" w:line="240" w:lineRule="auto"/>
        <w:ind w:left="851" w:hanging="284"/>
        <w:contextualSpacing w:val="0"/>
        <w:rPr>
          <w:sz w:val="20"/>
          <w:lang w:val="en-NZ"/>
        </w:rPr>
      </w:pPr>
      <w:r>
        <w:rPr>
          <w:sz w:val="20"/>
          <w:lang w:val="en-NZ"/>
        </w:rPr>
        <w:t xml:space="preserve">make it easier </w:t>
      </w:r>
      <w:r w:rsidR="00F7639E">
        <w:rPr>
          <w:sz w:val="20"/>
          <w:lang w:val="en-NZ"/>
        </w:rPr>
        <w:t xml:space="preserve">for </w:t>
      </w:r>
      <w:r w:rsidR="00D13785" w:rsidRPr="006F478A">
        <w:rPr>
          <w:sz w:val="20"/>
          <w:lang w:val="en-NZ"/>
        </w:rPr>
        <w:t>venues and societies </w:t>
      </w:r>
      <w:r>
        <w:rPr>
          <w:sz w:val="20"/>
          <w:lang w:val="en-NZ"/>
        </w:rPr>
        <w:t xml:space="preserve">to </w:t>
      </w:r>
      <w:r w:rsidR="00D13785" w:rsidRPr="006F478A">
        <w:rPr>
          <w:sz w:val="20"/>
          <w:lang w:val="en-NZ"/>
        </w:rPr>
        <w:t>reduce harm</w:t>
      </w:r>
      <w:r w:rsidR="006D6782">
        <w:rPr>
          <w:sz w:val="20"/>
          <w:lang w:val="en-NZ"/>
        </w:rPr>
        <w:t>;</w:t>
      </w:r>
      <w:r w:rsidR="00D13785" w:rsidRPr="006F478A">
        <w:rPr>
          <w:sz w:val="20"/>
          <w:lang w:val="en-NZ"/>
        </w:rPr>
        <w:t>  </w:t>
      </w:r>
    </w:p>
    <w:p w14:paraId="575F4BE5" w14:textId="74030F31" w:rsidR="00D13785" w:rsidRPr="006F478A" w:rsidRDefault="00D13785" w:rsidP="00A42B77">
      <w:pPr>
        <w:pStyle w:val="ListParagraph"/>
        <w:numPr>
          <w:ilvl w:val="0"/>
          <w:numId w:val="17"/>
        </w:numPr>
        <w:spacing w:after="60" w:line="240" w:lineRule="auto"/>
        <w:ind w:left="851" w:hanging="284"/>
        <w:contextualSpacing w:val="0"/>
        <w:rPr>
          <w:sz w:val="20"/>
          <w:lang w:val="en-NZ"/>
        </w:rPr>
      </w:pPr>
      <w:r w:rsidRPr="006F478A">
        <w:rPr>
          <w:sz w:val="20"/>
          <w:lang w:val="en-NZ"/>
        </w:rPr>
        <w:t xml:space="preserve">make </w:t>
      </w:r>
      <w:proofErr w:type="spellStart"/>
      <w:r w:rsidRPr="006F478A">
        <w:rPr>
          <w:sz w:val="20"/>
          <w:lang w:val="en-NZ"/>
        </w:rPr>
        <w:t>pokie</w:t>
      </w:r>
      <w:proofErr w:type="spellEnd"/>
      <w:r w:rsidRPr="006F478A">
        <w:rPr>
          <w:sz w:val="20"/>
          <w:lang w:val="en-NZ"/>
        </w:rPr>
        <w:t> machines safer</w:t>
      </w:r>
      <w:r w:rsidR="006D6782">
        <w:rPr>
          <w:sz w:val="20"/>
          <w:lang w:val="en-NZ"/>
        </w:rPr>
        <w:t>; and</w:t>
      </w:r>
    </w:p>
    <w:p w14:paraId="7DEF7019" w14:textId="225F24CC" w:rsidR="00D0680B" w:rsidRPr="00E80BD1" w:rsidRDefault="00693D3F" w:rsidP="00A42B77">
      <w:pPr>
        <w:pStyle w:val="ListParagraph"/>
        <w:numPr>
          <w:ilvl w:val="0"/>
          <w:numId w:val="17"/>
        </w:numPr>
        <w:spacing w:after="120" w:line="240" w:lineRule="auto"/>
        <w:ind w:left="851" w:hanging="284"/>
        <w:contextualSpacing w:val="0"/>
        <w:rPr>
          <w:sz w:val="20"/>
          <w:lang w:val="en-NZ"/>
        </w:rPr>
      </w:pPr>
      <w:r>
        <w:rPr>
          <w:sz w:val="20"/>
          <w:lang w:val="en-NZ"/>
        </w:rPr>
        <w:t xml:space="preserve">creates consequences for breaches of </w:t>
      </w:r>
      <w:r w:rsidR="00F57911">
        <w:rPr>
          <w:sz w:val="20"/>
          <w:lang w:val="en-NZ"/>
        </w:rPr>
        <w:t>the regulations</w:t>
      </w:r>
      <w:r w:rsidR="00D13785">
        <w:rPr>
          <w:sz w:val="20"/>
          <w:lang w:val="en-NZ"/>
        </w:rPr>
        <w:t>.</w:t>
      </w:r>
      <w:r w:rsidR="00D13785" w:rsidRPr="006F478A">
        <w:rPr>
          <w:sz w:val="20"/>
          <w:lang w:val="en-NZ"/>
        </w:rPr>
        <w:t> </w:t>
      </w:r>
    </w:p>
    <w:p w14:paraId="2EFEA590" w14:textId="1F779E62" w:rsidR="00FF5F25" w:rsidRPr="000E502E" w:rsidRDefault="00FF5F25" w:rsidP="00FF5F25">
      <w:pPr>
        <w:pStyle w:val="ListParagraph"/>
        <w:numPr>
          <w:ilvl w:val="0"/>
          <w:numId w:val="5"/>
        </w:numPr>
        <w:spacing w:before="120" w:after="60" w:line="240" w:lineRule="auto"/>
        <w:ind w:left="567" w:hanging="567"/>
        <w:contextualSpacing w:val="0"/>
        <w:rPr>
          <w:sz w:val="20"/>
          <w:lang w:val="en-NZ"/>
        </w:rPr>
      </w:pPr>
      <w:r w:rsidRPr="000E502E">
        <w:rPr>
          <w:sz w:val="20"/>
          <w:lang w:val="en-NZ"/>
        </w:rPr>
        <w:t>The secondary objective</w:t>
      </w:r>
      <w:r w:rsidR="000E502E" w:rsidRPr="000E502E">
        <w:rPr>
          <w:sz w:val="20"/>
          <w:lang w:val="en-NZ"/>
        </w:rPr>
        <w:t xml:space="preserve">, for the next stage of work post-consultation, will be to ensure </w:t>
      </w:r>
      <w:r w:rsidRPr="000E502E">
        <w:rPr>
          <w:sz w:val="20"/>
          <w:lang w:val="en-NZ"/>
        </w:rPr>
        <w:t xml:space="preserve">any proposed regulations are cost effective and not overburdening for </w:t>
      </w:r>
      <w:r w:rsidR="000E502E" w:rsidRPr="000E502E">
        <w:rPr>
          <w:sz w:val="20"/>
          <w:lang w:val="en-NZ"/>
        </w:rPr>
        <w:t xml:space="preserve">the organisations impacted by them (societies, </w:t>
      </w:r>
      <w:r w:rsidRPr="000E502E">
        <w:rPr>
          <w:sz w:val="20"/>
          <w:lang w:val="en-NZ"/>
        </w:rPr>
        <w:t xml:space="preserve">venues and </w:t>
      </w:r>
      <w:r w:rsidR="000E502E" w:rsidRPr="000E502E">
        <w:rPr>
          <w:sz w:val="20"/>
          <w:lang w:val="en-NZ"/>
        </w:rPr>
        <w:t>the Regulator).</w:t>
      </w:r>
    </w:p>
    <w:p w14:paraId="65AC5C1A" w14:textId="77777777" w:rsidR="008A0240" w:rsidRPr="000E502E" w:rsidRDefault="008A0240" w:rsidP="000E502E">
      <w:pPr>
        <w:pStyle w:val="ListParagraph"/>
        <w:numPr>
          <w:ilvl w:val="0"/>
          <w:numId w:val="5"/>
        </w:numPr>
        <w:spacing w:before="120" w:after="60" w:line="240" w:lineRule="auto"/>
        <w:ind w:left="567" w:hanging="567"/>
        <w:contextualSpacing w:val="0"/>
        <w:rPr>
          <w:sz w:val="20"/>
          <w:lang w:val="en-NZ"/>
        </w:rPr>
      </w:pPr>
      <w:r w:rsidRPr="000E502E">
        <w:rPr>
          <w:sz w:val="20"/>
          <w:lang w:val="en-NZ"/>
        </w:rPr>
        <w:br w:type="page"/>
      </w:r>
    </w:p>
    <w:p w14:paraId="20563660" w14:textId="77777777" w:rsidR="008321F8" w:rsidRDefault="00F402DF" w:rsidP="00D14868">
      <w:pPr>
        <w:pStyle w:val="Heading2"/>
        <w:rPr>
          <w:lang w:val="en-NZ"/>
        </w:rPr>
      </w:pPr>
      <w:r w:rsidRPr="00A864A5">
        <w:rPr>
          <w:lang w:val="en-NZ"/>
        </w:rPr>
        <w:lastRenderedPageBreak/>
        <w:t xml:space="preserve">Section 2: </w:t>
      </w:r>
      <w:r w:rsidR="001C4A82">
        <w:rPr>
          <w:lang w:val="en-NZ"/>
        </w:rPr>
        <w:t xml:space="preserve">Deciding </w:t>
      </w:r>
      <w:r w:rsidR="005275ED">
        <w:rPr>
          <w:lang w:val="en-NZ"/>
        </w:rPr>
        <w:t>upon an option</w:t>
      </w:r>
      <w:r w:rsidR="007336C9">
        <w:rPr>
          <w:lang w:val="en-NZ"/>
        </w:rPr>
        <w:t xml:space="preserve"> </w:t>
      </w:r>
      <w:r w:rsidR="005C38A2">
        <w:rPr>
          <w:lang w:val="en-NZ"/>
        </w:rPr>
        <w:t>to address the policy problem</w:t>
      </w:r>
    </w:p>
    <w:p w14:paraId="2670CE0E" w14:textId="77777777" w:rsidR="008321F8" w:rsidRPr="00AE6B24" w:rsidRDefault="008321F8" w:rsidP="00D14868">
      <w:pPr>
        <w:pStyle w:val="Heading3"/>
        <w:rPr>
          <w:lang w:val="en-NZ"/>
        </w:rPr>
      </w:pPr>
      <w:r w:rsidRPr="00A864A5">
        <w:rPr>
          <w:lang w:val="en-NZ"/>
        </w:rPr>
        <w:t xml:space="preserve">What </w:t>
      </w:r>
      <w:r w:rsidRPr="00AE6B24">
        <w:rPr>
          <w:lang w:val="en-NZ"/>
        </w:rPr>
        <w:t xml:space="preserve">criteria will </w:t>
      </w:r>
      <w:r w:rsidR="007336C9" w:rsidRPr="00AE6B24">
        <w:rPr>
          <w:lang w:val="en-NZ"/>
        </w:rPr>
        <w:t>be used</w:t>
      </w:r>
      <w:r w:rsidR="003A6757" w:rsidRPr="00AE6B24">
        <w:rPr>
          <w:lang w:val="en-NZ"/>
        </w:rPr>
        <w:t xml:space="preserve"> to</w:t>
      </w:r>
      <w:r w:rsidRPr="00AE6B24">
        <w:rPr>
          <w:lang w:val="en-NZ"/>
        </w:rPr>
        <w:t xml:space="preserve"> </w:t>
      </w:r>
      <w:r w:rsidR="003A6757" w:rsidRPr="00AE6B24">
        <w:rPr>
          <w:lang w:val="en-NZ"/>
        </w:rPr>
        <w:t>compare</w:t>
      </w:r>
      <w:r w:rsidRPr="00AE6B24">
        <w:rPr>
          <w:lang w:val="en-NZ"/>
        </w:rPr>
        <w:t xml:space="preserve"> options </w:t>
      </w:r>
      <w:r w:rsidR="003A6757" w:rsidRPr="00AE6B24">
        <w:rPr>
          <w:lang w:val="en-NZ"/>
        </w:rPr>
        <w:t>to</w:t>
      </w:r>
      <w:r w:rsidRPr="00AE6B24">
        <w:rPr>
          <w:lang w:val="en-NZ"/>
        </w:rPr>
        <w:t xml:space="preserve"> the </w:t>
      </w:r>
      <w:r w:rsidR="0055694C" w:rsidRPr="00AE6B24">
        <w:rPr>
          <w:lang w:val="en-NZ"/>
        </w:rPr>
        <w:t>Counterfactual</w:t>
      </w:r>
      <w:r w:rsidRPr="00AE6B24">
        <w:rPr>
          <w:lang w:val="en-NZ"/>
        </w:rPr>
        <w:t>?</w:t>
      </w:r>
    </w:p>
    <w:p w14:paraId="509DA602" w14:textId="25AF4FFC" w:rsidR="002479A4" w:rsidRPr="00AE6B24" w:rsidRDefault="0004623A" w:rsidP="00A42B77">
      <w:pPr>
        <w:pStyle w:val="ListParagraph"/>
        <w:numPr>
          <w:ilvl w:val="0"/>
          <w:numId w:val="5"/>
        </w:numPr>
        <w:spacing w:before="120" w:after="60" w:line="240" w:lineRule="auto"/>
        <w:ind w:left="567" w:hanging="567"/>
        <w:contextualSpacing w:val="0"/>
        <w:rPr>
          <w:sz w:val="20"/>
          <w:lang w:val="en-NZ"/>
        </w:rPr>
      </w:pPr>
      <w:r w:rsidRPr="00AE6B24">
        <w:rPr>
          <w:sz w:val="20"/>
          <w:lang w:val="en-NZ"/>
        </w:rPr>
        <w:t xml:space="preserve">We </w:t>
      </w:r>
      <w:r w:rsidR="00EA10C6" w:rsidRPr="00AE6B24">
        <w:rPr>
          <w:sz w:val="20"/>
          <w:lang w:val="en-NZ"/>
        </w:rPr>
        <w:t xml:space="preserve">developed a set of criteria to select </w:t>
      </w:r>
      <w:r w:rsidR="006F478A" w:rsidRPr="00AE6B24">
        <w:rPr>
          <w:sz w:val="20"/>
          <w:lang w:val="en-NZ"/>
        </w:rPr>
        <w:t xml:space="preserve">proposals </w:t>
      </w:r>
      <w:r w:rsidR="002479A4" w:rsidRPr="00AE6B24">
        <w:rPr>
          <w:sz w:val="20"/>
          <w:lang w:val="en-NZ"/>
        </w:rPr>
        <w:t xml:space="preserve">for inclusion in the </w:t>
      </w:r>
      <w:r w:rsidR="006F478A" w:rsidRPr="00AE6B24">
        <w:rPr>
          <w:sz w:val="20"/>
          <w:lang w:val="en-NZ"/>
        </w:rPr>
        <w:t>discussion document</w:t>
      </w:r>
      <w:r w:rsidR="00EA10C6" w:rsidRPr="00AE6B24">
        <w:rPr>
          <w:sz w:val="20"/>
          <w:lang w:val="en-NZ"/>
        </w:rPr>
        <w:t xml:space="preserve">. The interim criteria </w:t>
      </w:r>
      <w:r w:rsidR="008D26D6" w:rsidRPr="00AE6B24">
        <w:rPr>
          <w:sz w:val="20"/>
          <w:lang w:val="en-NZ"/>
        </w:rPr>
        <w:t>are</w:t>
      </w:r>
      <w:r w:rsidR="002479A4" w:rsidRPr="00AE6B24">
        <w:rPr>
          <w:sz w:val="20"/>
          <w:lang w:val="en-NZ"/>
        </w:rPr>
        <w:t>:</w:t>
      </w:r>
    </w:p>
    <w:p w14:paraId="4AF67A09" w14:textId="77777777" w:rsidR="002479A4" w:rsidRPr="00AE6B24" w:rsidRDefault="002479A4" w:rsidP="00A42B77">
      <w:pPr>
        <w:pStyle w:val="ListParagraph"/>
        <w:numPr>
          <w:ilvl w:val="0"/>
          <w:numId w:val="17"/>
        </w:numPr>
        <w:spacing w:after="60" w:line="240" w:lineRule="auto"/>
        <w:ind w:left="851" w:hanging="284"/>
        <w:contextualSpacing w:val="0"/>
        <w:rPr>
          <w:sz w:val="20"/>
          <w:lang w:val="en-NZ"/>
        </w:rPr>
      </w:pPr>
      <w:r w:rsidRPr="00AE6B24">
        <w:rPr>
          <w:sz w:val="20"/>
          <w:lang w:val="en-NZ"/>
        </w:rPr>
        <w:t>that some evidence (international or local) exists of their ability to reduce harm</w:t>
      </w:r>
      <w:r w:rsidR="003D3CA1" w:rsidRPr="00AE6B24">
        <w:rPr>
          <w:sz w:val="20"/>
          <w:lang w:val="en-NZ"/>
        </w:rPr>
        <w:t>;</w:t>
      </w:r>
      <w:r w:rsidRPr="00AE6B24">
        <w:rPr>
          <w:sz w:val="20"/>
          <w:lang w:val="en-NZ"/>
        </w:rPr>
        <w:t xml:space="preserve"> or</w:t>
      </w:r>
    </w:p>
    <w:p w14:paraId="6CB486E8" w14:textId="77777777" w:rsidR="002479A4" w:rsidRPr="00AE6B24" w:rsidRDefault="002479A4" w:rsidP="00A42B77">
      <w:pPr>
        <w:pStyle w:val="ListParagraph"/>
        <w:numPr>
          <w:ilvl w:val="0"/>
          <w:numId w:val="17"/>
        </w:numPr>
        <w:spacing w:after="60" w:line="240" w:lineRule="auto"/>
        <w:ind w:left="851" w:hanging="284"/>
        <w:contextualSpacing w:val="0"/>
        <w:rPr>
          <w:sz w:val="20"/>
          <w:lang w:val="en-NZ"/>
        </w:rPr>
      </w:pPr>
      <w:r w:rsidRPr="00AE6B24">
        <w:rPr>
          <w:sz w:val="20"/>
          <w:lang w:val="en-NZ"/>
        </w:rPr>
        <w:t>they represent a best practice (international or local) response to reducing gambling harm</w:t>
      </w:r>
      <w:r w:rsidR="003D3CA1" w:rsidRPr="00AE6B24">
        <w:rPr>
          <w:sz w:val="20"/>
          <w:lang w:val="en-NZ"/>
        </w:rPr>
        <w:t>;</w:t>
      </w:r>
      <w:r w:rsidRPr="00AE6B24">
        <w:rPr>
          <w:sz w:val="20"/>
          <w:lang w:val="en-NZ"/>
        </w:rPr>
        <w:t xml:space="preserve"> or</w:t>
      </w:r>
    </w:p>
    <w:p w14:paraId="64A851BD" w14:textId="77777777" w:rsidR="002479A4" w:rsidRPr="00AE6B24" w:rsidRDefault="002479A4" w:rsidP="00A42B77">
      <w:pPr>
        <w:pStyle w:val="ListParagraph"/>
        <w:numPr>
          <w:ilvl w:val="0"/>
          <w:numId w:val="17"/>
        </w:numPr>
        <w:spacing w:after="60" w:line="240" w:lineRule="auto"/>
        <w:ind w:left="851" w:hanging="284"/>
        <w:contextualSpacing w:val="0"/>
        <w:rPr>
          <w:sz w:val="20"/>
          <w:lang w:val="en-NZ"/>
        </w:rPr>
      </w:pPr>
      <w:r w:rsidRPr="00AE6B24">
        <w:rPr>
          <w:sz w:val="20"/>
          <w:lang w:val="en-NZ"/>
        </w:rPr>
        <w:t>they are recommended by the regulator, or harm minimisation providers</w:t>
      </w:r>
      <w:r w:rsidR="003D3CA1" w:rsidRPr="00AE6B24">
        <w:rPr>
          <w:sz w:val="20"/>
          <w:lang w:val="en-NZ"/>
        </w:rPr>
        <w:t>;</w:t>
      </w:r>
    </w:p>
    <w:p w14:paraId="2854A963" w14:textId="77777777" w:rsidR="002479A4" w:rsidRPr="00AE6B24" w:rsidRDefault="002479A4" w:rsidP="00BC61E0">
      <w:pPr>
        <w:pStyle w:val="ListParagraph"/>
        <w:spacing w:after="60" w:line="240" w:lineRule="auto"/>
        <w:ind w:left="851" w:hanging="284"/>
        <w:contextualSpacing w:val="0"/>
        <w:rPr>
          <w:b/>
          <w:sz w:val="20"/>
          <w:lang w:val="en-NZ"/>
        </w:rPr>
      </w:pPr>
      <w:r w:rsidRPr="00AE6B24">
        <w:rPr>
          <w:b/>
          <w:sz w:val="20"/>
          <w:lang w:val="en-NZ"/>
        </w:rPr>
        <w:t>and</w:t>
      </w:r>
    </w:p>
    <w:p w14:paraId="52F2F9C1" w14:textId="77777777" w:rsidR="002479A4" w:rsidRPr="00AE6B24" w:rsidRDefault="002479A4" w:rsidP="00A42B77">
      <w:pPr>
        <w:pStyle w:val="ListParagraph"/>
        <w:numPr>
          <w:ilvl w:val="0"/>
          <w:numId w:val="17"/>
        </w:numPr>
        <w:spacing w:after="60" w:line="240" w:lineRule="auto"/>
        <w:ind w:left="851" w:hanging="284"/>
        <w:contextualSpacing w:val="0"/>
        <w:rPr>
          <w:sz w:val="20"/>
          <w:lang w:val="en-NZ"/>
        </w:rPr>
      </w:pPr>
      <w:r w:rsidRPr="00AE6B24">
        <w:rPr>
          <w:sz w:val="20"/>
          <w:lang w:val="en-NZ"/>
        </w:rPr>
        <w:t xml:space="preserve">they are not </w:t>
      </w:r>
      <w:r w:rsidR="009131AA" w:rsidRPr="00AE6B24">
        <w:rPr>
          <w:sz w:val="20"/>
          <w:lang w:val="en-NZ"/>
        </w:rPr>
        <w:t xml:space="preserve">evidently </w:t>
      </w:r>
      <w:r w:rsidRPr="00AE6B24">
        <w:rPr>
          <w:sz w:val="20"/>
          <w:lang w:val="en-NZ"/>
        </w:rPr>
        <w:t>impractical or unfeasible</w:t>
      </w:r>
      <w:r w:rsidR="003D3CA1" w:rsidRPr="00AE6B24">
        <w:rPr>
          <w:sz w:val="20"/>
          <w:lang w:val="en-NZ"/>
        </w:rPr>
        <w:t>;</w:t>
      </w:r>
      <w:r w:rsidRPr="00AE6B24">
        <w:rPr>
          <w:sz w:val="20"/>
          <w:lang w:val="en-NZ"/>
        </w:rPr>
        <w:t xml:space="preserve"> and </w:t>
      </w:r>
    </w:p>
    <w:p w14:paraId="4E644332" w14:textId="77777777" w:rsidR="00D13785" w:rsidRPr="00AE6B24" w:rsidRDefault="002479A4" w:rsidP="00A42B77">
      <w:pPr>
        <w:pStyle w:val="ListParagraph"/>
        <w:numPr>
          <w:ilvl w:val="0"/>
          <w:numId w:val="17"/>
        </w:numPr>
        <w:spacing w:after="120" w:line="240" w:lineRule="auto"/>
        <w:ind w:left="851" w:hanging="284"/>
        <w:contextualSpacing w:val="0"/>
        <w:rPr>
          <w:sz w:val="20"/>
          <w:lang w:val="en-NZ"/>
        </w:rPr>
      </w:pPr>
      <w:r w:rsidRPr="00AE6B24">
        <w:rPr>
          <w:sz w:val="20"/>
          <w:lang w:val="en-NZ"/>
        </w:rPr>
        <w:t>we have an ability to make the requirement via regulation.</w:t>
      </w:r>
    </w:p>
    <w:p w14:paraId="7772A615" w14:textId="2164A803" w:rsidR="00BF1113" w:rsidRPr="00AE6B24" w:rsidRDefault="0093483E" w:rsidP="005D78CD">
      <w:pPr>
        <w:pStyle w:val="ListParagraph"/>
        <w:numPr>
          <w:ilvl w:val="0"/>
          <w:numId w:val="5"/>
        </w:numPr>
        <w:spacing w:before="200" w:after="60" w:line="240" w:lineRule="auto"/>
        <w:ind w:left="567" w:hanging="567"/>
        <w:contextualSpacing w:val="0"/>
        <w:rPr>
          <w:sz w:val="20"/>
          <w:lang w:val="en-NZ"/>
        </w:rPr>
      </w:pPr>
      <w:r w:rsidRPr="00AE6B24">
        <w:rPr>
          <w:sz w:val="20"/>
          <w:lang w:val="en-NZ"/>
        </w:rPr>
        <w:t xml:space="preserve">All proposals in the discussion document meet the above </w:t>
      </w:r>
      <w:r w:rsidR="00160B76" w:rsidRPr="00AE6B24">
        <w:rPr>
          <w:sz w:val="20"/>
          <w:lang w:val="en-NZ"/>
        </w:rPr>
        <w:t>interim criteria</w:t>
      </w:r>
      <w:r w:rsidRPr="00AE6B24">
        <w:rPr>
          <w:sz w:val="20"/>
          <w:lang w:val="en-NZ"/>
        </w:rPr>
        <w:t>. However, i</w:t>
      </w:r>
      <w:r w:rsidR="00BF1113" w:rsidRPr="00AE6B24">
        <w:rPr>
          <w:sz w:val="20"/>
          <w:lang w:val="en-NZ"/>
        </w:rPr>
        <w:t>n the discussion document, the initial thinking for each of the three sets of proposals have been annotated with our initial perceptions of:</w:t>
      </w:r>
    </w:p>
    <w:p w14:paraId="045A7A6E" w14:textId="77777777" w:rsidR="00BF1113" w:rsidRPr="00AE6B24" w:rsidRDefault="00BF1113" w:rsidP="00A42B77">
      <w:pPr>
        <w:pStyle w:val="ListParagraph"/>
        <w:numPr>
          <w:ilvl w:val="0"/>
          <w:numId w:val="17"/>
        </w:numPr>
        <w:spacing w:after="60" w:line="240" w:lineRule="auto"/>
        <w:ind w:left="851" w:hanging="284"/>
        <w:contextualSpacing w:val="0"/>
        <w:rPr>
          <w:sz w:val="20"/>
          <w:lang w:val="en-NZ"/>
        </w:rPr>
      </w:pPr>
      <w:r w:rsidRPr="00AE6B24">
        <w:rPr>
          <w:sz w:val="20"/>
          <w:lang w:val="en-NZ"/>
        </w:rPr>
        <w:t>the overall effectiveness in decreasing harmful gambling</w:t>
      </w:r>
      <w:r w:rsidR="003D3CA1" w:rsidRPr="00AE6B24">
        <w:rPr>
          <w:sz w:val="20"/>
          <w:lang w:val="en-NZ"/>
        </w:rPr>
        <w:t>;</w:t>
      </w:r>
    </w:p>
    <w:p w14:paraId="1E1778BF" w14:textId="77777777" w:rsidR="00BF1113" w:rsidRPr="00AE6B24" w:rsidRDefault="00BF1113" w:rsidP="00A42B77">
      <w:pPr>
        <w:pStyle w:val="ListParagraph"/>
        <w:numPr>
          <w:ilvl w:val="0"/>
          <w:numId w:val="17"/>
        </w:numPr>
        <w:spacing w:after="60" w:line="240" w:lineRule="auto"/>
        <w:ind w:left="851" w:hanging="284"/>
        <w:contextualSpacing w:val="0"/>
        <w:rPr>
          <w:sz w:val="20"/>
          <w:lang w:val="en-NZ"/>
        </w:rPr>
      </w:pPr>
      <w:r w:rsidRPr="00AE6B24">
        <w:rPr>
          <w:sz w:val="20"/>
          <w:lang w:val="en-NZ"/>
        </w:rPr>
        <w:t>the feasibility and practicality of the proposals</w:t>
      </w:r>
      <w:r w:rsidR="003D3CA1" w:rsidRPr="00AE6B24">
        <w:rPr>
          <w:sz w:val="20"/>
          <w:lang w:val="en-NZ"/>
        </w:rPr>
        <w:t>;</w:t>
      </w:r>
    </w:p>
    <w:p w14:paraId="0580065D" w14:textId="77777777" w:rsidR="00BF1113" w:rsidRPr="00AE6B24" w:rsidRDefault="00BF1113" w:rsidP="00A42B77">
      <w:pPr>
        <w:pStyle w:val="ListParagraph"/>
        <w:numPr>
          <w:ilvl w:val="0"/>
          <w:numId w:val="17"/>
        </w:numPr>
        <w:spacing w:after="60" w:line="240" w:lineRule="auto"/>
        <w:ind w:left="851" w:hanging="284"/>
        <w:contextualSpacing w:val="0"/>
        <w:rPr>
          <w:sz w:val="20"/>
          <w:lang w:val="en-NZ"/>
        </w:rPr>
      </w:pPr>
      <w:r w:rsidRPr="00AE6B24">
        <w:rPr>
          <w:sz w:val="20"/>
          <w:lang w:val="en-NZ"/>
        </w:rPr>
        <w:t>an indication of the financial costs</w:t>
      </w:r>
      <w:r w:rsidR="003D3CA1" w:rsidRPr="00AE6B24">
        <w:rPr>
          <w:sz w:val="20"/>
          <w:lang w:val="en-NZ"/>
        </w:rPr>
        <w:t>; and</w:t>
      </w:r>
    </w:p>
    <w:p w14:paraId="1B80E27F" w14:textId="77777777" w:rsidR="00BF1113" w:rsidRPr="00AE6B24" w:rsidRDefault="00BF1113" w:rsidP="00A42B77">
      <w:pPr>
        <w:pStyle w:val="ListParagraph"/>
        <w:numPr>
          <w:ilvl w:val="0"/>
          <w:numId w:val="17"/>
        </w:numPr>
        <w:spacing w:after="60" w:line="240" w:lineRule="auto"/>
        <w:ind w:left="851" w:hanging="284"/>
        <w:contextualSpacing w:val="0"/>
        <w:rPr>
          <w:sz w:val="20"/>
          <w:lang w:val="en-NZ"/>
        </w:rPr>
      </w:pPr>
      <w:r w:rsidRPr="00AE6B24">
        <w:rPr>
          <w:sz w:val="20"/>
          <w:lang w:val="en-NZ"/>
        </w:rPr>
        <w:t>any initial assumptions and uncertainties with the proposals.</w:t>
      </w:r>
    </w:p>
    <w:p w14:paraId="3A7DEB44" w14:textId="1E1C699B" w:rsidR="00D13785" w:rsidRPr="00AE6B24" w:rsidRDefault="006F478A" w:rsidP="00E26750">
      <w:pPr>
        <w:pStyle w:val="ListParagraph"/>
        <w:numPr>
          <w:ilvl w:val="0"/>
          <w:numId w:val="5"/>
        </w:numPr>
        <w:spacing w:before="200" w:after="60" w:line="240" w:lineRule="auto"/>
        <w:ind w:left="567" w:hanging="567"/>
        <w:contextualSpacing w:val="0"/>
        <w:rPr>
          <w:sz w:val="20"/>
          <w:lang w:val="en-NZ"/>
        </w:rPr>
      </w:pPr>
      <w:r w:rsidRPr="00AE6B24">
        <w:rPr>
          <w:sz w:val="20"/>
          <w:lang w:val="en-NZ"/>
        </w:rPr>
        <w:t xml:space="preserve">The </w:t>
      </w:r>
      <w:r w:rsidR="00FE2074" w:rsidRPr="00AE6B24">
        <w:rPr>
          <w:sz w:val="20"/>
          <w:lang w:val="en-NZ"/>
        </w:rPr>
        <w:t xml:space="preserve">final RIS </w:t>
      </w:r>
      <w:r w:rsidRPr="00AE6B24">
        <w:rPr>
          <w:sz w:val="20"/>
          <w:lang w:val="en-NZ"/>
        </w:rPr>
        <w:t xml:space="preserve">criteria </w:t>
      </w:r>
      <w:r w:rsidR="00FE2074" w:rsidRPr="00AE6B24">
        <w:rPr>
          <w:sz w:val="20"/>
          <w:lang w:val="en-NZ"/>
        </w:rPr>
        <w:t>(</w:t>
      </w:r>
      <w:r w:rsidRPr="00AE6B24">
        <w:rPr>
          <w:sz w:val="20"/>
          <w:lang w:val="en-NZ"/>
        </w:rPr>
        <w:t>for the next stage of decision making</w:t>
      </w:r>
      <w:r w:rsidR="00FE2074" w:rsidRPr="00AE6B24">
        <w:rPr>
          <w:sz w:val="20"/>
          <w:lang w:val="en-NZ"/>
        </w:rPr>
        <w:t xml:space="preserve"> - for </w:t>
      </w:r>
      <w:r w:rsidR="009131AA" w:rsidRPr="00AE6B24">
        <w:rPr>
          <w:sz w:val="20"/>
          <w:lang w:val="en-NZ"/>
        </w:rPr>
        <w:t xml:space="preserve">reporting back to Cabinet with </w:t>
      </w:r>
      <w:r w:rsidRPr="00AE6B24">
        <w:rPr>
          <w:sz w:val="20"/>
          <w:lang w:val="en-NZ"/>
        </w:rPr>
        <w:t xml:space="preserve">developed </w:t>
      </w:r>
      <w:r w:rsidR="00D13785" w:rsidRPr="00AE6B24">
        <w:rPr>
          <w:sz w:val="20"/>
          <w:lang w:val="en-NZ"/>
        </w:rPr>
        <w:t xml:space="preserve">options </w:t>
      </w:r>
      <w:r w:rsidRPr="00AE6B24">
        <w:rPr>
          <w:sz w:val="20"/>
          <w:lang w:val="en-NZ"/>
        </w:rPr>
        <w:t xml:space="preserve">for policy approval) will </w:t>
      </w:r>
      <w:r w:rsidR="00D13785" w:rsidRPr="00AE6B24">
        <w:rPr>
          <w:sz w:val="20"/>
          <w:lang w:val="en-NZ"/>
        </w:rPr>
        <w:t>likely include:</w:t>
      </w:r>
    </w:p>
    <w:p w14:paraId="17F6B88C" w14:textId="77777777" w:rsidR="00D0680B" w:rsidRPr="00AE6B24" w:rsidRDefault="009131AA" w:rsidP="00A42B77">
      <w:pPr>
        <w:pStyle w:val="ListParagraph"/>
        <w:numPr>
          <w:ilvl w:val="0"/>
          <w:numId w:val="17"/>
        </w:numPr>
        <w:spacing w:after="60" w:line="240" w:lineRule="auto"/>
        <w:ind w:left="851" w:hanging="284"/>
        <w:contextualSpacing w:val="0"/>
        <w:rPr>
          <w:sz w:val="20"/>
          <w:lang w:val="en-NZ"/>
        </w:rPr>
      </w:pPr>
      <w:r w:rsidRPr="00AE6B24">
        <w:rPr>
          <w:sz w:val="20"/>
          <w:lang w:val="en-NZ"/>
        </w:rPr>
        <w:t>e</w:t>
      </w:r>
      <w:r w:rsidR="00D0680B" w:rsidRPr="00AE6B24">
        <w:rPr>
          <w:sz w:val="20"/>
          <w:lang w:val="en-NZ"/>
        </w:rPr>
        <w:t xml:space="preserve">ffectiveness – </w:t>
      </w:r>
      <w:r w:rsidR="0004623A" w:rsidRPr="00AE6B24">
        <w:rPr>
          <w:sz w:val="20"/>
          <w:lang w:val="en-NZ"/>
        </w:rPr>
        <w:t>whether the intervention is likely to be effective at reducing harm</w:t>
      </w:r>
      <w:r w:rsidR="003D3CA1" w:rsidRPr="00AE6B24">
        <w:rPr>
          <w:sz w:val="20"/>
          <w:lang w:val="en-NZ"/>
        </w:rPr>
        <w:t>;</w:t>
      </w:r>
    </w:p>
    <w:p w14:paraId="6F129A43" w14:textId="77777777" w:rsidR="00D0680B" w:rsidRPr="00AE6B24" w:rsidRDefault="009131AA" w:rsidP="00A42B77">
      <w:pPr>
        <w:pStyle w:val="ListParagraph"/>
        <w:numPr>
          <w:ilvl w:val="0"/>
          <w:numId w:val="17"/>
        </w:numPr>
        <w:spacing w:after="60" w:line="240" w:lineRule="auto"/>
        <w:ind w:left="851" w:hanging="284"/>
        <w:contextualSpacing w:val="0"/>
        <w:rPr>
          <w:sz w:val="20"/>
          <w:lang w:val="en-NZ"/>
        </w:rPr>
      </w:pPr>
      <w:r w:rsidRPr="00AE6B24">
        <w:rPr>
          <w:sz w:val="20"/>
          <w:lang w:val="en-NZ"/>
        </w:rPr>
        <w:t>e</w:t>
      </w:r>
      <w:r w:rsidR="00D0680B" w:rsidRPr="00AE6B24">
        <w:rPr>
          <w:sz w:val="20"/>
          <w:lang w:val="en-NZ"/>
        </w:rPr>
        <w:t xml:space="preserve">fficiency – </w:t>
      </w:r>
      <w:r w:rsidR="0004623A" w:rsidRPr="00AE6B24">
        <w:rPr>
          <w:sz w:val="20"/>
          <w:lang w:val="en-NZ"/>
        </w:rPr>
        <w:t>resourcing</w:t>
      </w:r>
      <w:r w:rsidR="00D0680B" w:rsidRPr="00AE6B24">
        <w:rPr>
          <w:sz w:val="20"/>
          <w:lang w:val="en-NZ"/>
        </w:rPr>
        <w:t xml:space="preserve"> implications</w:t>
      </w:r>
      <w:r w:rsidR="003D3CA1" w:rsidRPr="00AE6B24">
        <w:rPr>
          <w:sz w:val="20"/>
          <w:lang w:val="en-NZ"/>
        </w:rPr>
        <w:t>;</w:t>
      </w:r>
    </w:p>
    <w:p w14:paraId="37B50084" w14:textId="77777777" w:rsidR="0004623A" w:rsidRPr="00AE6B24" w:rsidRDefault="00851B6F" w:rsidP="00A42B77">
      <w:pPr>
        <w:pStyle w:val="ListParagraph"/>
        <w:numPr>
          <w:ilvl w:val="0"/>
          <w:numId w:val="17"/>
        </w:numPr>
        <w:spacing w:after="60" w:line="240" w:lineRule="auto"/>
        <w:ind w:left="851" w:hanging="284"/>
        <w:contextualSpacing w:val="0"/>
        <w:rPr>
          <w:sz w:val="20"/>
          <w:lang w:val="en-NZ"/>
        </w:rPr>
      </w:pPr>
      <w:r w:rsidRPr="00AE6B24">
        <w:rPr>
          <w:sz w:val="20"/>
          <w:lang w:val="en-NZ"/>
        </w:rPr>
        <w:t>f</w:t>
      </w:r>
      <w:r w:rsidR="00D0680B" w:rsidRPr="00AE6B24">
        <w:rPr>
          <w:sz w:val="20"/>
          <w:lang w:val="en-NZ"/>
        </w:rPr>
        <w:t>easibility</w:t>
      </w:r>
      <w:r w:rsidRPr="00AE6B24">
        <w:rPr>
          <w:sz w:val="20"/>
          <w:lang w:val="en-NZ"/>
        </w:rPr>
        <w:t xml:space="preserve"> - </w:t>
      </w:r>
      <w:r w:rsidR="0004623A" w:rsidRPr="00AE6B24">
        <w:rPr>
          <w:sz w:val="20"/>
          <w:lang w:val="en-NZ"/>
        </w:rPr>
        <w:t>including:</w:t>
      </w:r>
      <w:r w:rsidR="00D0680B" w:rsidRPr="00AE6B24">
        <w:rPr>
          <w:sz w:val="20"/>
          <w:lang w:val="en-NZ"/>
        </w:rPr>
        <w:t xml:space="preserve"> </w:t>
      </w:r>
    </w:p>
    <w:p w14:paraId="35E18B51" w14:textId="77777777" w:rsidR="00D0680B" w:rsidRPr="00AE6B24" w:rsidRDefault="00D0680B" w:rsidP="00851B6F">
      <w:pPr>
        <w:pStyle w:val="ListParagraph"/>
        <w:numPr>
          <w:ilvl w:val="1"/>
          <w:numId w:val="17"/>
        </w:numPr>
        <w:spacing w:after="60" w:line="240" w:lineRule="auto"/>
        <w:contextualSpacing w:val="0"/>
        <w:rPr>
          <w:sz w:val="20"/>
          <w:lang w:val="en-NZ"/>
        </w:rPr>
      </w:pPr>
      <w:r w:rsidRPr="00AE6B24">
        <w:rPr>
          <w:sz w:val="20"/>
          <w:lang w:val="en-NZ"/>
        </w:rPr>
        <w:t>ease and ability to change</w:t>
      </w:r>
      <w:r w:rsidR="003D3CA1" w:rsidRPr="00AE6B24">
        <w:rPr>
          <w:sz w:val="20"/>
          <w:lang w:val="en-NZ"/>
        </w:rPr>
        <w:t>;</w:t>
      </w:r>
    </w:p>
    <w:p w14:paraId="28AA6138" w14:textId="77777777" w:rsidR="0004623A" w:rsidRPr="00AE6B24" w:rsidRDefault="00851B6F" w:rsidP="00851B6F">
      <w:pPr>
        <w:pStyle w:val="ListParagraph"/>
        <w:numPr>
          <w:ilvl w:val="1"/>
          <w:numId w:val="17"/>
        </w:numPr>
        <w:spacing w:after="60" w:line="240" w:lineRule="auto"/>
        <w:contextualSpacing w:val="0"/>
        <w:rPr>
          <w:sz w:val="20"/>
          <w:lang w:val="en-NZ"/>
        </w:rPr>
      </w:pPr>
      <w:r w:rsidRPr="00AE6B24">
        <w:rPr>
          <w:sz w:val="20"/>
          <w:lang w:val="en-NZ"/>
        </w:rPr>
        <w:t>f</w:t>
      </w:r>
      <w:r w:rsidR="0004623A" w:rsidRPr="00AE6B24">
        <w:rPr>
          <w:sz w:val="20"/>
          <w:lang w:val="en-NZ"/>
        </w:rPr>
        <w:t>iscal cost to the regulator and the sector</w:t>
      </w:r>
    </w:p>
    <w:p w14:paraId="12C4CDBB" w14:textId="6028C446" w:rsidR="00720E85" w:rsidRPr="00AE6B24" w:rsidRDefault="00720E85" w:rsidP="00720E85">
      <w:pPr>
        <w:pStyle w:val="ListParagraph"/>
        <w:numPr>
          <w:ilvl w:val="0"/>
          <w:numId w:val="17"/>
        </w:numPr>
        <w:spacing w:after="60" w:line="240" w:lineRule="auto"/>
        <w:ind w:left="851" w:hanging="284"/>
        <w:contextualSpacing w:val="0"/>
        <w:rPr>
          <w:sz w:val="20"/>
          <w:lang w:val="en-NZ"/>
        </w:rPr>
      </w:pPr>
      <w:r w:rsidRPr="00AE6B24">
        <w:rPr>
          <w:sz w:val="20"/>
          <w:lang w:val="en-NZ"/>
        </w:rPr>
        <w:t>viability of using operational settings, rather than regulations</w:t>
      </w:r>
    </w:p>
    <w:p w14:paraId="2B605D10" w14:textId="4743E569" w:rsidR="00D0680B" w:rsidRPr="00AE6B24" w:rsidRDefault="004D3BD1" w:rsidP="00720E85">
      <w:pPr>
        <w:pStyle w:val="ListParagraph"/>
        <w:numPr>
          <w:ilvl w:val="0"/>
          <w:numId w:val="17"/>
        </w:numPr>
        <w:spacing w:after="240" w:line="240" w:lineRule="auto"/>
        <w:ind w:left="851" w:hanging="284"/>
        <w:contextualSpacing w:val="0"/>
        <w:rPr>
          <w:sz w:val="20"/>
          <w:lang w:val="en-NZ"/>
        </w:rPr>
      </w:pPr>
      <w:r w:rsidRPr="00AE6B24">
        <w:rPr>
          <w:sz w:val="20"/>
          <w:lang w:val="en-NZ"/>
        </w:rPr>
        <w:t>s</w:t>
      </w:r>
      <w:r w:rsidR="00D0680B" w:rsidRPr="00AE6B24">
        <w:rPr>
          <w:sz w:val="20"/>
          <w:lang w:val="en-NZ"/>
        </w:rPr>
        <w:t xml:space="preserve">ocial </w:t>
      </w:r>
      <w:r w:rsidR="006D6782" w:rsidRPr="00AE6B24">
        <w:rPr>
          <w:sz w:val="20"/>
          <w:lang w:val="en-NZ"/>
        </w:rPr>
        <w:t>a</w:t>
      </w:r>
      <w:r w:rsidR="00D0680B" w:rsidRPr="00AE6B24">
        <w:rPr>
          <w:sz w:val="20"/>
          <w:lang w:val="en-NZ"/>
        </w:rPr>
        <w:t>cceptability</w:t>
      </w:r>
      <w:r w:rsidR="00844F84" w:rsidRPr="00AE6B24">
        <w:rPr>
          <w:sz w:val="20"/>
          <w:lang w:val="en-NZ"/>
        </w:rPr>
        <w:t xml:space="preserve"> (i.e. to the </w:t>
      </w:r>
      <w:proofErr w:type="gramStart"/>
      <w:r w:rsidR="00844F84" w:rsidRPr="00AE6B24">
        <w:rPr>
          <w:sz w:val="20"/>
          <w:lang w:val="en-NZ"/>
        </w:rPr>
        <w:t>general p</w:t>
      </w:r>
      <w:r w:rsidR="0004623A" w:rsidRPr="00AE6B24">
        <w:rPr>
          <w:sz w:val="20"/>
          <w:lang w:val="en-NZ"/>
        </w:rPr>
        <w:t>ub</w:t>
      </w:r>
      <w:r w:rsidR="00844F84" w:rsidRPr="00AE6B24">
        <w:rPr>
          <w:sz w:val="20"/>
          <w:lang w:val="en-NZ"/>
        </w:rPr>
        <w:t>lic</w:t>
      </w:r>
      <w:proofErr w:type="gramEnd"/>
      <w:r w:rsidR="00844F84" w:rsidRPr="00AE6B24">
        <w:rPr>
          <w:sz w:val="20"/>
          <w:lang w:val="en-NZ"/>
        </w:rPr>
        <w:t>)</w:t>
      </w:r>
      <w:r w:rsidR="00D13785" w:rsidRPr="00AE6B24">
        <w:rPr>
          <w:sz w:val="20"/>
          <w:lang w:val="en-NZ"/>
        </w:rPr>
        <w:t>.</w:t>
      </w:r>
    </w:p>
    <w:p w14:paraId="2ADEFFBD" w14:textId="77777777" w:rsidR="00E52B84" w:rsidRPr="00AE6B24" w:rsidRDefault="007D78A1" w:rsidP="00D14868">
      <w:pPr>
        <w:pStyle w:val="Heading3"/>
        <w:rPr>
          <w:lang w:val="en-NZ"/>
        </w:rPr>
      </w:pPr>
      <w:r w:rsidRPr="00AE6B24">
        <w:rPr>
          <w:lang w:val="en-NZ"/>
        </w:rPr>
        <w:t xml:space="preserve">What scope </w:t>
      </w:r>
      <w:r w:rsidR="003A6757" w:rsidRPr="00AE6B24">
        <w:rPr>
          <w:lang w:val="en-NZ"/>
        </w:rPr>
        <w:t>will</w:t>
      </w:r>
      <w:r w:rsidRPr="00AE6B24">
        <w:rPr>
          <w:lang w:val="en-NZ"/>
        </w:rPr>
        <w:t xml:space="preserve"> </w:t>
      </w:r>
      <w:r w:rsidR="007336C9" w:rsidRPr="00AE6B24">
        <w:rPr>
          <w:lang w:val="en-NZ"/>
        </w:rPr>
        <w:t>options be considered</w:t>
      </w:r>
      <w:r w:rsidRPr="00AE6B24">
        <w:rPr>
          <w:lang w:val="en-NZ"/>
        </w:rPr>
        <w:t xml:space="preserve"> within?</w:t>
      </w:r>
    </w:p>
    <w:p w14:paraId="4805AFBB" w14:textId="77777777" w:rsidR="000D6133" w:rsidRPr="00AE6B24" w:rsidRDefault="000D6133" w:rsidP="00A42B77">
      <w:pPr>
        <w:pStyle w:val="ListParagraph"/>
        <w:numPr>
          <w:ilvl w:val="0"/>
          <w:numId w:val="5"/>
        </w:numPr>
        <w:spacing w:before="120" w:after="60" w:line="240" w:lineRule="auto"/>
        <w:ind w:left="567" w:hanging="567"/>
        <w:contextualSpacing w:val="0"/>
        <w:rPr>
          <w:iCs/>
          <w:color w:val="000000"/>
          <w:sz w:val="20"/>
          <w:lang w:val="en-NZ"/>
        </w:rPr>
      </w:pPr>
      <w:r w:rsidRPr="00AE6B24">
        <w:rPr>
          <w:iCs/>
          <w:color w:val="000000"/>
          <w:sz w:val="20"/>
          <w:lang w:val="en-NZ"/>
        </w:rPr>
        <w:t xml:space="preserve">In defining the scope </w:t>
      </w:r>
      <w:r w:rsidRPr="00AE6B24">
        <w:rPr>
          <w:sz w:val="20"/>
          <w:lang w:val="en-NZ"/>
        </w:rPr>
        <w:t>as ‘options to reduce harm in pokies venues using regulatory powers</w:t>
      </w:r>
      <w:r w:rsidR="009514BC" w:rsidRPr="00AE6B24">
        <w:rPr>
          <w:sz w:val="20"/>
          <w:lang w:val="en-NZ"/>
        </w:rPr>
        <w:t>’</w:t>
      </w:r>
      <w:r w:rsidRPr="00AE6B24">
        <w:rPr>
          <w:iCs/>
          <w:color w:val="000000"/>
          <w:sz w:val="20"/>
          <w:lang w:val="en-NZ"/>
        </w:rPr>
        <w:t>:</w:t>
      </w:r>
    </w:p>
    <w:p w14:paraId="1D336A02" w14:textId="77777777" w:rsidR="000D6133" w:rsidRPr="00D14868" w:rsidRDefault="00E32DE4" w:rsidP="00A42B77">
      <w:pPr>
        <w:pStyle w:val="ListParagraph"/>
        <w:numPr>
          <w:ilvl w:val="0"/>
          <w:numId w:val="17"/>
        </w:numPr>
        <w:spacing w:after="60" w:line="240" w:lineRule="auto"/>
        <w:ind w:left="851" w:hanging="284"/>
        <w:contextualSpacing w:val="0"/>
        <w:rPr>
          <w:iCs/>
          <w:color w:val="000000"/>
          <w:sz w:val="20"/>
          <w:lang w:val="en-NZ"/>
        </w:rPr>
      </w:pPr>
      <w:r w:rsidRPr="00AE6B24">
        <w:rPr>
          <w:i/>
          <w:iCs/>
          <w:color w:val="000000"/>
          <w:sz w:val="20"/>
          <w:lang w:val="en-NZ"/>
        </w:rPr>
        <w:t xml:space="preserve">the </w:t>
      </w:r>
      <w:r w:rsidR="000D6133" w:rsidRPr="00AE6B24">
        <w:rPr>
          <w:i/>
          <w:iCs/>
          <w:color w:val="000000"/>
          <w:sz w:val="20"/>
          <w:lang w:val="en-NZ"/>
        </w:rPr>
        <w:t xml:space="preserve">problem definition has </w:t>
      </w:r>
      <w:r w:rsidR="000D6133" w:rsidRPr="00AE6B24">
        <w:rPr>
          <w:rFonts w:cs="Arial"/>
          <w:i/>
          <w:sz w:val="20"/>
        </w:rPr>
        <w:t>been</w:t>
      </w:r>
      <w:r w:rsidR="000D6133" w:rsidRPr="00AE6B24">
        <w:rPr>
          <w:i/>
          <w:iCs/>
          <w:color w:val="000000"/>
          <w:sz w:val="20"/>
          <w:lang w:val="en-NZ"/>
        </w:rPr>
        <w:t xml:space="preserve"> restricted</w:t>
      </w:r>
      <w:r w:rsidR="000D6133" w:rsidRPr="00AE6B24">
        <w:rPr>
          <w:iCs/>
          <w:color w:val="000000"/>
          <w:sz w:val="20"/>
          <w:lang w:val="en-NZ"/>
        </w:rPr>
        <w:t xml:space="preserve"> to </w:t>
      </w:r>
      <w:r w:rsidR="000D6133" w:rsidRPr="00AE6B24">
        <w:rPr>
          <w:sz w:val="20"/>
          <w:lang w:val="en-NZ"/>
        </w:rPr>
        <w:t>pokies</w:t>
      </w:r>
      <w:r w:rsidR="000D6133">
        <w:rPr>
          <w:iCs/>
          <w:color w:val="000000"/>
          <w:sz w:val="20"/>
          <w:lang w:val="en-NZ"/>
        </w:rPr>
        <w:t xml:space="preserve"> </w:t>
      </w:r>
      <w:r w:rsidR="000D6133" w:rsidRPr="00D14868">
        <w:rPr>
          <w:iCs/>
          <w:color w:val="000000"/>
          <w:sz w:val="20"/>
          <w:lang w:val="en-NZ"/>
        </w:rPr>
        <w:t xml:space="preserve">harm in </w:t>
      </w:r>
      <w:r w:rsidR="000D6133">
        <w:rPr>
          <w:iCs/>
          <w:color w:val="000000"/>
          <w:sz w:val="20"/>
          <w:lang w:val="en-NZ"/>
        </w:rPr>
        <w:t>pubs and clubs</w:t>
      </w:r>
      <w:r w:rsidR="003D3CA1">
        <w:rPr>
          <w:iCs/>
          <w:color w:val="000000"/>
          <w:sz w:val="20"/>
          <w:lang w:val="en-NZ"/>
        </w:rPr>
        <w:t>;</w:t>
      </w:r>
      <w:r w:rsidR="000D6133" w:rsidRPr="00D14868">
        <w:rPr>
          <w:iCs/>
          <w:color w:val="000000"/>
          <w:sz w:val="20"/>
          <w:lang w:val="en-NZ"/>
        </w:rPr>
        <w:t xml:space="preserve"> and </w:t>
      </w:r>
    </w:p>
    <w:p w14:paraId="587696BB" w14:textId="77777777" w:rsidR="000D6133" w:rsidRPr="00D14868" w:rsidRDefault="00E32DE4" w:rsidP="00A42B77">
      <w:pPr>
        <w:pStyle w:val="ListParagraph"/>
        <w:numPr>
          <w:ilvl w:val="0"/>
          <w:numId w:val="17"/>
        </w:numPr>
        <w:spacing w:after="60" w:line="240" w:lineRule="auto"/>
        <w:ind w:left="851" w:hanging="284"/>
        <w:contextualSpacing w:val="0"/>
        <w:rPr>
          <w:iCs/>
          <w:color w:val="000000"/>
          <w:sz w:val="20"/>
          <w:lang w:val="en-NZ"/>
        </w:rPr>
      </w:pPr>
      <w:r w:rsidRPr="00E26750">
        <w:rPr>
          <w:i/>
          <w:iCs/>
          <w:color w:val="000000"/>
          <w:sz w:val="20"/>
          <w:lang w:val="en-NZ"/>
        </w:rPr>
        <w:t xml:space="preserve">the available </w:t>
      </w:r>
      <w:r w:rsidR="000D6133" w:rsidRPr="00E26750">
        <w:rPr>
          <w:i/>
          <w:iCs/>
          <w:color w:val="000000"/>
          <w:sz w:val="20"/>
          <w:lang w:val="en-NZ"/>
        </w:rPr>
        <w:t xml:space="preserve">options </w:t>
      </w:r>
      <w:r w:rsidR="000D6133" w:rsidRPr="00E26750">
        <w:rPr>
          <w:rFonts w:cs="Arial"/>
          <w:i/>
          <w:sz w:val="20"/>
        </w:rPr>
        <w:t>have</w:t>
      </w:r>
      <w:r w:rsidR="000D6133" w:rsidRPr="00E26750">
        <w:rPr>
          <w:i/>
          <w:iCs/>
          <w:color w:val="000000"/>
          <w:sz w:val="20"/>
          <w:lang w:val="en-NZ"/>
        </w:rPr>
        <w:t xml:space="preserve"> been restricted</w:t>
      </w:r>
      <w:r w:rsidR="000D6133" w:rsidRPr="00D14868">
        <w:rPr>
          <w:iCs/>
          <w:color w:val="000000"/>
          <w:sz w:val="20"/>
          <w:lang w:val="en-NZ"/>
        </w:rPr>
        <w:t xml:space="preserve"> </w:t>
      </w:r>
      <w:r w:rsidR="000D6133">
        <w:rPr>
          <w:iCs/>
          <w:color w:val="000000"/>
          <w:sz w:val="20"/>
          <w:lang w:val="en-NZ"/>
        </w:rPr>
        <w:t xml:space="preserve">to existing </w:t>
      </w:r>
      <w:r w:rsidR="000D6133" w:rsidRPr="00D14868">
        <w:rPr>
          <w:iCs/>
          <w:color w:val="000000"/>
          <w:sz w:val="20"/>
          <w:lang w:val="en-NZ"/>
        </w:rPr>
        <w:t xml:space="preserve">regulation </w:t>
      </w:r>
      <w:r w:rsidR="000D6133" w:rsidRPr="000D6133">
        <w:rPr>
          <w:sz w:val="20"/>
          <w:lang w:val="en-NZ"/>
        </w:rPr>
        <w:t>making</w:t>
      </w:r>
      <w:r w:rsidR="000D6133" w:rsidRPr="00D14868">
        <w:rPr>
          <w:iCs/>
          <w:color w:val="000000"/>
          <w:sz w:val="20"/>
          <w:lang w:val="en-NZ"/>
        </w:rPr>
        <w:t xml:space="preserve"> powers</w:t>
      </w:r>
      <w:r w:rsidR="00E26750">
        <w:rPr>
          <w:iCs/>
          <w:color w:val="000000"/>
          <w:sz w:val="20"/>
          <w:lang w:val="en-NZ"/>
        </w:rPr>
        <w:t>,</w:t>
      </w:r>
      <w:r w:rsidR="000D6133" w:rsidRPr="00D14868">
        <w:rPr>
          <w:iCs/>
          <w:color w:val="000000"/>
          <w:sz w:val="20"/>
          <w:lang w:val="en-NZ"/>
        </w:rPr>
        <w:t xml:space="preserve"> limited to: </w:t>
      </w:r>
    </w:p>
    <w:p w14:paraId="58817320" w14:textId="77777777" w:rsidR="000D6133" w:rsidRPr="00D14868" w:rsidRDefault="000D6133" w:rsidP="00A42B77">
      <w:pPr>
        <w:pStyle w:val="ListParagraph"/>
        <w:numPr>
          <w:ilvl w:val="1"/>
          <w:numId w:val="8"/>
        </w:numPr>
        <w:spacing w:after="60" w:line="240" w:lineRule="auto"/>
        <w:ind w:left="1021" w:hanging="283"/>
        <w:contextualSpacing w:val="0"/>
        <w:rPr>
          <w:rFonts w:cs="Arial"/>
          <w:sz w:val="20"/>
        </w:rPr>
      </w:pPr>
      <w:r w:rsidRPr="00D14868">
        <w:rPr>
          <w:rFonts w:cs="Arial"/>
          <w:sz w:val="20"/>
        </w:rPr>
        <w:t xml:space="preserve">harm prevention and minimisation (section 313); </w:t>
      </w:r>
    </w:p>
    <w:p w14:paraId="792A81BE" w14:textId="77777777" w:rsidR="000D6133" w:rsidRPr="00D14868" w:rsidRDefault="000D6133" w:rsidP="00A42B77">
      <w:pPr>
        <w:pStyle w:val="ListParagraph"/>
        <w:numPr>
          <w:ilvl w:val="1"/>
          <w:numId w:val="8"/>
        </w:numPr>
        <w:spacing w:after="60" w:line="240" w:lineRule="auto"/>
        <w:ind w:left="1021" w:hanging="283"/>
        <w:contextualSpacing w:val="0"/>
        <w:rPr>
          <w:rFonts w:cs="Arial"/>
          <w:sz w:val="20"/>
        </w:rPr>
      </w:pPr>
      <w:r w:rsidRPr="00D14868">
        <w:rPr>
          <w:rFonts w:cs="Arial"/>
          <w:sz w:val="20"/>
        </w:rPr>
        <w:t xml:space="preserve">gaming machines (section 314); </w:t>
      </w:r>
    </w:p>
    <w:p w14:paraId="6EC03E2C" w14:textId="77777777" w:rsidR="000D6133" w:rsidRPr="00D14868" w:rsidRDefault="000D6133" w:rsidP="00A42B77">
      <w:pPr>
        <w:pStyle w:val="ListParagraph"/>
        <w:numPr>
          <w:ilvl w:val="1"/>
          <w:numId w:val="8"/>
        </w:numPr>
        <w:spacing w:after="60" w:line="240" w:lineRule="auto"/>
        <w:ind w:left="1021" w:hanging="283"/>
        <w:contextualSpacing w:val="0"/>
        <w:rPr>
          <w:rFonts w:cs="Arial"/>
          <w:sz w:val="20"/>
        </w:rPr>
      </w:pPr>
      <w:r w:rsidRPr="00D14868">
        <w:rPr>
          <w:rFonts w:cs="Arial"/>
          <w:sz w:val="20"/>
        </w:rPr>
        <w:t xml:space="preserve">admission to, and exclusion from, gambling venues (section 315); </w:t>
      </w:r>
    </w:p>
    <w:p w14:paraId="601E0A67" w14:textId="77777777" w:rsidR="000D6133" w:rsidRPr="00D14868" w:rsidRDefault="000D6133" w:rsidP="00A42B77">
      <w:pPr>
        <w:pStyle w:val="ListParagraph"/>
        <w:numPr>
          <w:ilvl w:val="1"/>
          <w:numId w:val="8"/>
        </w:numPr>
        <w:spacing w:after="60" w:line="240" w:lineRule="auto"/>
        <w:ind w:left="1021" w:hanging="283"/>
        <w:contextualSpacing w:val="0"/>
        <w:rPr>
          <w:rFonts w:cs="Arial"/>
          <w:sz w:val="20"/>
        </w:rPr>
      </w:pPr>
      <w:r w:rsidRPr="00D14868">
        <w:rPr>
          <w:rFonts w:cs="Arial"/>
          <w:sz w:val="20"/>
        </w:rPr>
        <w:t xml:space="preserve">exclusion of problem gamblers (section 316); and </w:t>
      </w:r>
    </w:p>
    <w:p w14:paraId="7B820B53" w14:textId="77777777" w:rsidR="000D6133" w:rsidRPr="00D14868" w:rsidRDefault="000D6133" w:rsidP="00A42B77">
      <w:pPr>
        <w:pStyle w:val="ListParagraph"/>
        <w:numPr>
          <w:ilvl w:val="1"/>
          <w:numId w:val="8"/>
        </w:numPr>
        <w:spacing w:after="240" w:line="240" w:lineRule="auto"/>
        <w:ind w:left="1021" w:hanging="283"/>
        <w:contextualSpacing w:val="0"/>
        <w:rPr>
          <w:rFonts w:cs="Arial"/>
          <w:sz w:val="20"/>
        </w:rPr>
      </w:pPr>
      <w:r w:rsidRPr="00D14868">
        <w:rPr>
          <w:rFonts w:cs="Arial"/>
          <w:sz w:val="20"/>
        </w:rPr>
        <w:t>infringement offences for the breach of any regulations (section 360).</w:t>
      </w:r>
    </w:p>
    <w:p w14:paraId="46F95D4C" w14:textId="77777777" w:rsidR="000D6133" w:rsidRPr="000D6133" w:rsidRDefault="000D6133" w:rsidP="00A42B77">
      <w:pPr>
        <w:pStyle w:val="ListParagraph"/>
        <w:numPr>
          <w:ilvl w:val="0"/>
          <w:numId w:val="5"/>
        </w:numPr>
        <w:spacing w:before="120" w:after="60" w:line="240" w:lineRule="auto"/>
        <w:ind w:left="567" w:hanging="567"/>
        <w:contextualSpacing w:val="0"/>
        <w:rPr>
          <w:sz w:val="20"/>
          <w:lang w:val="en-NZ"/>
        </w:rPr>
      </w:pPr>
      <w:r w:rsidRPr="000D6133">
        <w:rPr>
          <w:sz w:val="20"/>
          <w:lang w:val="en-NZ"/>
        </w:rPr>
        <w:t>Within the scope, and to meet the specific objectives of the work, proposals can be considered within the three focus areas summarised below</w:t>
      </w:r>
      <w:r w:rsidR="003D3CA1">
        <w:rPr>
          <w:sz w:val="20"/>
          <w:lang w:val="en-NZ"/>
        </w:rPr>
        <w:t>:</w:t>
      </w:r>
      <w:r w:rsidRPr="000D6133">
        <w:rPr>
          <w:sz w:val="20"/>
          <w:lang w:val="en-NZ"/>
        </w:rPr>
        <w:t xml:space="preserve"> </w:t>
      </w:r>
    </w:p>
    <w:p w14:paraId="677D070C" w14:textId="77777777" w:rsidR="000D6133" w:rsidRPr="000E4E12" w:rsidRDefault="004D3BD1" w:rsidP="00A42B77">
      <w:pPr>
        <w:pStyle w:val="ListParagraph"/>
        <w:numPr>
          <w:ilvl w:val="0"/>
          <w:numId w:val="17"/>
        </w:numPr>
        <w:spacing w:after="60" w:line="240" w:lineRule="auto"/>
        <w:ind w:left="851" w:hanging="284"/>
        <w:contextualSpacing w:val="0"/>
        <w:rPr>
          <w:iCs/>
          <w:color w:val="000000"/>
          <w:sz w:val="20"/>
          <w:lang w:val="en-NZ"/>
        </w:rPr>
      </w:pPr>
      <w:r>
        <w:rPr>
          <w:iCs/>
          <w:color w:val="000000"/>
          <w:sz w:val="20"/>
          <w:lang w:val="en-NZ"/>
        </w:rPr>
        <w:t>t</w:t>
      </w:r>
      <w:r w:rsidR="000D6133" w:rsidRPr="000E4E12">
        <w:rPr>
          <w:iCs/>
          <w:color w:val="000000"/>
          <w:sz w:val="20"/>
          <w:lang w:val="en-NZ"/>
        </w:rPr>
        <w:t>he venue</w:t>
      </w:r>
      <w:r w:rsidR="00B315E6" w:rsidRPr="000E4E12">
        <w:rPr>
          <w:iCs/>
          <w:color w:val="000000"/>
          <w:sz w:val="20"/>
          <w:lang w:val="en-NZ"/>
        </w:rPr>
        <w:t xml:space="preserve"> - society and venue manager requirements</w:t>
      </w:r>
      <w:r w:rsidR="003D3CA1">
        <w:rPr>
          <w:iCs/>
          <w:color w:val="000000"/>
          <w:sz w:val="20"/>
          <w:lang w:val="en-NZ"/>
        </w:rPr>
        <w:t>;</w:t>
      </w:r>
      <w:r w:rsidR="000D6133" w:rsidRPr="000E4E12">
        <w:rPr>
          <w:iCs/>
          <w:color w:val="000000"/>
          <w:sz w:val="20"/>
          <w:lang w:val="en-NZ"/>
        </w:rPr>
        <w:t xml:space="preserve"> </w:t>
      </w:r>
    </w:p>
    <w:p w14:paraId="42843A6A" w14:textId="77777777" w:rsidR="000D6133" w:rsidRPr="000E4E12" w:rsidRDefault="004D3BD1" w:rsidP="00A42B77">
      <w:pPr>
        <w:pStyle w:val="ListParagraph"/>
        <w:numPr>
          <w:ilvl w:val="0"/>
          <w:numId w:val="17"/>
        </w:numPr>
        <w:spacing w:after="60" w:line="240" w:lineRule="auto"/>
        <w:ind w:left="851" w:hanging="284"/>
        <w:contextualSpacing w:val="0"/>
        <w:rPr>
          <w:iCs/>
          <w:color w:val="000000"/>
          <w:sz w:val="20"/>
          <w:lang w:val="en-NZ"/>
        </w:rPr>
      </w:pPr>
      <w:r>
        <w:rPr>
          <w:iCs/>
          <w:color w:val="000000"/>
          <w:sz w:val="20"/>
          <w:lang w:val="en-NZ"/>
        </w:rPr>
        <w:t>t</w:t>
      </w:r>
      <w:r w:rsidR="000D6133" w:rsidRPr="000E4E12">
        <w:rPr>
          <w:iCs/>
          <w:color w:val="000000"/>
          <w:sz w:val="20"/>
          <w:lang w:val="en-NZ"/>
        </w:rPr>
        <w:t>he machines</w:t>
      </w:r>
      <w:r w:rsidR="000E4E12" w:rsidRPr="000E4E12">
        <w:rPr>
          <w:iCs/>
          <w:color w:val="000000"/>
          <w:sz w:val="20"/>
          <w:lang w:val="en-NZ"/>
        </w:rPr>
        <w:t xml:space="preserve"> - </w:t>
      </w:r>
      <w:r w:rsidR="000D6133" w:rsidRPr="000E4E12">
        <w:rPr>
          <w:iCs/>
          <w:color w:val="000000"/>
          <w:sz w:val="20"/>
          <w:lang w:val="en-NZ"/>
        </w:rPr>
        <w:t>game features and jackpot branding</w:t>
      </w:r>
      <w:r w:rsidR="003D3CA1">
        <w:rPr>
          <w:iCs/>
          <w:color w:val="000000"/>
          <w:sz w:val="20"/>
          <w:lang w:val="en-NZ"/>
        </w:rPr>
        <w:t>; and</w:t>
      </w:r>
    </w:p>
    <w:p w14:paraId="65C1D34A" w14:textId="77777777" w:rsidR="000E4E12" w:rsidRPr="00CE0F3C" w:rsidRDefault="004D3BD1" w:rsidP="00A42B77">
      <w:pPr>
        <w:pStyle w:val="ListParagraph"/>
        <w:numPr>
          <w:ilvl w:val="0"/>
          <w:numId w:val="17"/>
        </w:numPr>
        <w:spacing w:after="60" w:line="240" w:lineRule="auto"/>
        <w:ind w:left="851" w:hanging="284"/>
        <w:contextualSpacing w:val="0"/>
        <w:rPr>
          <w:iCs/>
          <w:color w:val="000000"/>
          <w:sz w:val="20"/>
          <w:lang w:val="en-NZ"/>
        </w:rPr>
      </w:pPr>
      <w:r>
        <w:rPr>
          <w:iCs/>
          <w:color w:val="000000"/>
          <w:sz w:val="20"/>
          <w:lang w:val="en-NZ"/>
        </w:rPr>
        <w:t>e</w:t>
      </w:r>
      <w:r w:rsidR="000D6133" w:rsidRPr="000E4E12">
        <w:rPr>
          <w:iCs/>
          <w:color w:val="000000"/>
          <w:sz w:val="20"/>
          <w:lang w:val="en-NZ"/>
        </w:rPr>
        <w:t>nforcement</w:t>
      </w:r>
      <w:r w:rsidR="000E4E12" w:rsidRPr="000E4E12">
        <w:rPr>
          <w:iCs/>
          <w:color w:val="000000"/>
          <w:sz w:val="20"/>
          <w:lang w:val="en-NZ"/>
        </w:rPr>
        <w:t xml:space="preserve"> </w:t>
      </w:r>
      <w:r w:rsidR="00C7373D">
        <w:rPr>
          <w:iCs/>
          <w:color w:val="000000"/>
          <w:sz w:val="20"/>
          <w:lang w:val="en-NZ"/>
        </w:rPr>
        <w:t xml:space="preserve">tools </w:t>
      </w:r>
      <w:r w:rsidR="000E4E12" w:rsidRPr="000E4E12">
        <w:rPr>
          <w:iCs/>
          <w:color w:val="000000"/>
          <w:sz w:val="20"/>
          <w:lang w:val="en-NZ"/>
        </w:rPr>
        <w:t xml:space="preserve">- </w:t>
      </w:r>
      <w:r w:rsidR="00C7373D">
        <w:rPr>
          <w:iCs/>
          <w:color w:val="000000"/>
          <w:sz w:val="20"/>
          <w:lang w:val="en-NZ"/>
        </w:rPr>
        <w:t xml:space="preserve">offences and infringement fees for </w:t>
      </w:r>
      <w:r w:rsidR="000D6133" w:rsidRPr="000E4E12">
        <w:rPr>
          <w:iCs/>
          <w:color w:val="000000"/>
          <w:sz w:val="20"/>
          <w:lang w:val="en-NZ"/>
        </w:rPr>
        <w:t xml:space="preserve">breaches of the current regulations. </w:t>
      </w:r>
    </w:p>
    <w:p w14:paraId="57D3B578" w14:textId="77777777" w:rsidR="00E26750" w:rsidRDefault="00E26750">
      <w:pPr>
        <w:spacing w:after="0" w:line="240" w:lineRule="auto"/>
        <w:rPr>
          <w:rFonts w:ascii="Arial Bold" w:hAnsi="Arial Bold"/>
          <w:b/>
          <w:color w:val="0082AB"/>
          <w:spacing w:val="20"/>
          <w:w w:val="90"/>
          <w:sz w:val="24"/>
          <w:szCs w:val="22"/>
          <w:lang w:val="en-NZ"/>
        </w:rPr>
      </w:pPr>
      <w:r>
        <w:rPr>
          <w:lang w:val="en-NZ"/>
        </w:rPr>
        <w:br w:type="page"/>
      </w:r>
    </w:p>
    <w:p w14:paraId="6FE59289" w14:textId="77777777" w:rsidR="001F7F23" w:rsidRPr="00D0628B" w:rsidRDefault="00373851" w:rsidP="00F9682F">
      <w:pPr>
        <w:pStyle w:val="Heading3"/>
        <w:rPr>
          <w:rFonts w:ascii="Arial" w:hAnsi="Arial"/>
          <w:b w:val="0"/>
          <w:color w:val="FF0000"/>
          <w:spacing w:val="0"/>
          <w:w w:val="100"/>
          <w:sz w:val="20"/>
          <w:szCs w:val="20"/>
          <w:lang w:val="en-NZ"/>
        </w:rPr>
      </w:pPr>
      <w:r>
        <w:rPr>
          <w:lang w:val="en-NZ"/>
        </w:rPr>
        <w:lastRenderedPageBreak/>
        <w:t xml:space="preserve">What options </w:t>
      </w:r>
      <w:r w:rsidR="003A6757">
        <w:rPr>
          <w:lang w:val="en-NZ"/>
        </w:rPr>
        <w:t xml:space="preserve">are </w:t>
      </w:r>
      <w:r w:rsidR="007336C9">
        <w:rPr>
          <w:lang w:val="en-NZ"/>
        </w:rPr>
        <w:t>being considered</w:t>
      </w:r>
      <w:r>
        <w:rPr>
          <w:lang w:val="en-NZ"/>
        </w:rPr>
        <w:t>?</w:t>
      </w:r>
    </w:p>
    <w:p w14:paraId="553378B8" w14:textId="77777777" w:rsidR="00294646" w:rsidRPr="0099236C" w:rsidRDefault="00FA2AF4" w:rsidP="00D14868">
      <w:pPr>
        <w:pStyle w:val="Heading4"/>
        <w:rPr>
          <w:color w:val="auto"/>
          <w:lang w:val="en-NZ"/>
        </w:rPr>
      </w:pPr>
      <w:r w:rsidRPr="0099236C">
        <w:rPr>
          <w:color w:val="auto"/>
          <w:lang w:val="en-NZ"/>
        </w:rPr>
        <w:t xml:space="preserve">The </w:t>
      </w:r>
      <w:r w:rsidR="0055694C" w:rsidRPr="0099236C">
        <w:rPr>
          <w:iCs/>
          <w:color w:val="auto"/>
          <w:lang w:val="en-NZ"/>
        </w:rPr>
        <w:t>Counterfactual</w:t>
      </w:r>
    </w:p>
    <w:p w14:paraId="693258F7" w14:textId="4F8E724D" w:rsidR="00FA2AF4" w:rsidRPr="00AE6B24" w:rsidRDefault="00FA2AF4" w:rsidP="00A42B77">
      <w:pPr>
        <w:pStyle w:val="ListParagraph"/>
        <w:numPr>
          <w:ilvl w:val="0"/>
          <w:numId w:val="5"/>
        </w:numPr>
        <w:spacing w:before="240" w:after="120" w:line="240" w:lineRule="auto"/>
        <w:ind w:left="567" w:hanging="567"/>
        <w:contextualSpacing w:val="0"/>
        <w:rPr>
          <w:sz w:val="20"/>
        </w:rPr>
      </w:pPr>
      <w:r>
        <w:rPr>
          <w:sz w:val="20"/>
        </w:rPr>
        <w:t xml:space="preserve">The current legislative </w:t>
      </w:r>
      <w:r w:rsidRPr="00AE6B24">
        <w:rPr>
          <w:sz w:val="20"/>
        </w:rPr>
        <w:t xml:space="preserve">environment presents the circumstances summarised below. </w:t>
      </w:r>
      <w:r w:rsidR="005E1B08" w:rsidRPr="00AE6B24">
        <w:rPr>
          <w:sz w:val="20"/>
        </w:rPr>
        <w:t>O</w:t>
      </w:r>
      <w:r w:rsidR="00720E85" w:rsidRPr="00AE6B24">
        <w:rPr>
          <w:sz w:val="20"/>
        </w:rPr>
        <w:t>perational changes to support better harm minimisation practices are also being considered</w:t>
      </w:r>
      <w:r w:rsidR="005E1B08" w:rsidRPr="00AE6B24">
        <w:rPr>
          <w:sz w:val="20"/>
        </w:rPr>
        <w:t>, but the work is still in the scoping and development stage (will commence after the discussion document consultation process)</w:t>
      </w:r>
      <w:r w:rsidR="00720E85" w:rsidRPr="00AE6B24">
        <w:rPr>
          <w:sz w:val="20"/>
        </w:rPr>
        <w:t xml:space="preserve">. </w:t>
      </w:r>
    </w:p>
    <w:tbl>
      <w:tblPr>
        <w:tblStyle w:val="DIATable"/>
        <w:tblpPr w:leftFromText="180" w:rightFromText="180" w:vertAnchor="text" w:tblpX="567" w:tblpY="1"/>
        <w:tblOverlap w:val="never"/>
        <w:tblW w:w="0" w:type="auto"/>
        <w:tblInd w:w="0" w:type="dxa"/>
        <w:tblLook w:val="04A0" w:firstRow="1" w:lastRow="0" w:firstColumn="1" w:lastColumn="0" w:noHBand="0" w:noVBand="1"/>
      </w:tblPr>
      <w:tblGrid>
        <w:gridCol w:w="1696"/>
        <w:gridCol w:w="6797"/>
      </w:tblGrid>
      <w:tr w:rsidR="00FA2AF4" w:rsidRPr="002F2CD3" w14:paraId="37E3BF66" w14:textId="77777777" w:rsidTr="00BC61E0">
        <w:trPr>
          <w:cnfStyle w:val="100000000000" w:firstRow="1" w:lastRow="0" w:firstColumn="0" w:lastColumn="0" w:oddVBand="0" w:evenVBand="0" w:oddHBand="0" w:evenHBand="0" w:firstRowFirstColumn="0" w:firstRowLastColumn="0" w:lastRowFirstColumn="0" w:lastRowLastColumn="0"/>
          <w:cantSplit w:val="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B8BDCE9" w14:textId="77777777" w:rsidR="00FA2AF4" w:rsidRPr="002F2CD3" w:rsidRDefault="00FA2AF4" w:rsidP="00F42A7F">
            <w:pPr>
              <w:spacing w:after="60" w:line="240" w:lineRule="auto"/>
              <w:rPr>
                <w:color w:val="000000" w:themeColor="text1"/>
                <w:sz w:val="20"/>
                <w:szCs w:val="20"/>
              </w:rPr>
            </w:pPr>
            <w:r w:rsidRPr="002F2CD3">
              <w:rPr>
                <w:color w:val="000000" w:themeColor="text1"/>
                <w:sz w:val="20"/>
                <w:szCs w:val="20"/>
              </w:rPr>
              <w:t xml:space="preserve">Societies and venues: </w:t>
            </w:r>
          </w:p>
          <w:p w14:paraId="4FA6C709" w14:textId="77777777" w:rsidR="00FA2AF4" w:rsidRPr="002F2CD3" w:rsidRDefault="00FA2AF4" w:rsidP="00F42A7F">
            <w:pPr>
              <w:spacing w:after="60" w:line="240" w:lineRule="auto"/>
              <w:rPr>
                <w:color w:val="000000" w:themeColor="text1"/>
                <w:sz w:val="20"/>
                <w:szCs w:val="20"/>
              </w:rPr>
            </w:pPr>
          </w:p>
        </w:tc>
        <w:tc>
          <w:tcPr>
            <w:tcW w:w="6797" w:type="dxa"/>
            <w:tcBorders>
              <w:top w:val="single" w:sz="4" w:space="0" w:color="auto"/>
              <w:left w:val="single" w:sz="4" w:space="0" w:color="auto"/>
              <w:bottom w:val="single" w:sz="4" w:space="0" w:color="auto"/>
              <w:right w:val="single" w:sz="4" w:space="0" w:color="auto"/>
            </w:tcBorders>
            <w:shd w:val="clear" w:color="auto" w:fill="auto"/>
          </w:tcPr>
          <w:p w14:paraId="4C2E8FCB" w14:textId="77777777" w:rsidR="00FA2AF4" w:rsidRPr="002F2CD3" w:rsidRDefault="00A51549"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Problem gamblers are not always identified or approached</w:t>
            </w:r>
            <w:r w:rsidR="00392891">
              <w:rPr>
                <w:b w:val="0"/>
                <w:color w:val="000000" w:themeColor="text1"/>
                <w:sz w:val="20"/>
                <w:szCs w:val="20"/>
              </w:rPr>
              <w:t xml:space="preserve"> by venue staff</w:t>
            </w:r>
            <w:r w:rsidRPr="002F2CD3">
              <w:rPr>
                <w:b w:val="0"/>
                <w:color w:val="000000" w:themeColor="text1"/>
                <w:sz w:val="20"/>
                <w:szCs w:val="20"/>
              </w:rPr>
              <w:t xml:space="preserve">, as </w:t>
            </w:r>
            <w:r w:rsidR="00392891">
              <w:rPr>
                <w:b w:val="0"/>
                <w:color w:val="000000" w:themeColor="text1"/>
                <w:sz w:val="20"/>
                <w:szCs w:val="20"/>
              </w:rPr>
              <w:t>they</w:t>
            </w:r>
            <w:r w:rsidR="00392891" w:rsidRPr="002F2CD3">
              <w:rPr>
                <w:b w:val="0"/>
                <w:color w:val="000000" w:themeColor="text1"/>
                <w:sz w:val="20"/>
                <w:szCs w:val="20"/>
              </w:rPr>
              <w:t xml:space="preserve"> </w:t>
            </w:r>
            <w:r w:rsidRPr="002F2CD3">
              <w:rPr>
                <w:b w:val="0"/>
                <w:color w:val="000000" w:themeColor="text1"/>
                <w:sz w:val="20"/>
                <w:szCs w:val="20"/>
              </w:rPr>
              <w:t xml:space="preserve">often </w:t>
            </w:r>
            <w:proofErr w:type="gramStart"/>
            <w:r w:rsidR="00FA2AF4" w:rsidRPr="002F2CD3">
              <w:rPr>
                <w:b w:val="0"/>
                <w:color w:val="000000" w:themeColor="text1"/>
                <w:sz w:val="20"/>
                <w:szCs w:val="20"/>
              </w:rPr>
              <w:t>have to</w:t>
            </w:r>
            <w:proofErr w:type="gramEnd"/>
            <w:r w:rsidR="00FA2AF4" w:rsidRPr="002F2CD3">
              <w:rPr>
                <w:b w:val="0"/>
                <w:color w:val="000000" w:themeColor="text1"/>
                <w:sz w:val="20"/>
                <w:szCs w:val="20"/>
              </w:rPr>
              <w:t xml:space="preserve"> make their own judgements about:</w:t>
            </w:r>
          </w:p>
          <w:p w14:paraId="314F2B53" w14:textId="77777777" w:rsidR="00FA2AF4" w:rsidRPr="002F2CD3" w:rsidRDefault="00FA2AF4" w:rsidP="00A42B77">
            <w:pPr>
              <w:pStyle w:val="ListParagraph"/>
              <w:keepLines/>
              <w:numPr>
                <w:ilvl w:val="0"/>
                <w:numId w:val="22"/>
              </w:numPr>
              <w:spacing w:after="60" w:line="240" w:lineRule="auto"/>
              <w:contextualSpacing w:val="0"/>
              <w:rPr>
                <w:rFonts w:cs="Calibri"/>
                <w:b w:val="0"/>
                <w:color w:val="auto"/>
                <w:sz w:val="20"/>
                <w:szCs w:val="20"/>
              </w:rPr>
            </w:pPr>
            <w:r w:rsidRPr="002F2CD3">
              <w:rPr>
                <w:rFonts w:cs="Calibri"/>
                <w:b w:val="0"/>
                <w:color w:val="auto"/>
                <w:sz w:val="20"/>
                <w:szCs w:val="20"/>
              </w:rPr>
              <w:t>how long is too long to be sitting</w:t>
            </w:r>
            <w:r w:rsidRPr="002F2CD3">
              <w:rPr>
                <w:b w:val="0"/>
                <w:color w:val="auto"/>
                <w:sz w:val="20"/>
                <w:szCs w:val="20"/>
              </w:rPr>
              <w:t xml:space="preserve"> </w:t>
            </w:r>
            <w:r w:rsidRPr="002F2CD3">
              <w:rPr>
                <w:rFonts w:cs="Calibri"/>
                <w:b w:val="0"/>
                <w:color w:val="auto"/>
                <w:sz w:val="20"/>
                <w:szCs w:val="20"/>
              </w:rPr>
              <w:t xml:space="preserve">uninterrupted at a </w:t>
            </w:r>
            <w:proofErr w:type="spellStart"/>
            <w:r w:rsidRPr="002F2CD3">
              <w:rPr>
                <w:rFonts w:cs="Calibri"/>
                <w:b w:val="0"/>
                <w:color w:val="auto"/>
                <w:sz w:val="20"/>
                <w:szCs w:val="20"/>
              </w:rPr>
              <w:t>pokie</w:t>
            </w:r>
            <w:proofErr w:type="spellEnd"/>
            <w:r w:rsidRPr="002F2CD3">
              <w:rPr>
                <w:rFonts w:cs="Calibri"/>
                <w:b w:val="0"/>
                <w:color w:val="auto"/>
                <w:sz w:val="20"/>
                <w:szCs w:val="20"/>
              </w:rPr>
              <w:t xml:space="preserve"> machine </w:t>
            </w:r>
          </w:p>
          <w:p w14:paraId="453DDB0E" w14:textId="77777777" w:rsidR="00FA2AF4" w:rsidRPr="002F2CD3" w:rsidRDefault="00FA2AF4" w:rsidP="00A42B77">
            <w:pPr>
              <w:numPr>
                <w:ilvl w:val="0"/>
                <w:numId w:val="22"/>
              </w:numPr>
              <w:spacing w:after="60" w:line="240" w:lineRule="auto"/>
              <w:rPr>
                <w:rFonts w:cs="Calibri"/>
                <w:b w:val="0"/>
                <w:color w:val="auto"/>
                <w:sz w:val="20"/>
                <w:szCs w:val="20"/>
              </w:rPr>
            </w:pPr>
            <w:r w:rsidRPr="002F2CD3">
              <w:rPr>
                <w:rFonts w:cs="Calibri"/>
                <w:b w:val="0"/>
                <w:color w:val="auto"/>
                <w:sz w:val="20"/>
                <w:szCs w:val="20"/>
              </w:rPr>
              <w:t>how many ATM or EFTPOS withdrawals a patron can safely make</w:t>
            </w:r>
          </w:p>
          <w:p w14:paraId="710981FF" w14:textId="77777777" w:rsidR="00FA2AF4" w:rsidRPr="002F2CD3" w:rsidRDefault="00FA2AF4" w:rsidP="00A42B77">
            <w:pPr>
              <w:numPr>
                <w:ilvl w:val="0"/>
                <w:numId w:val="22"/>
              </w:numPr>
              <w:spacing w:after="60" w:line="240" w:lineRule="auto"/>
              <w:rPr>
                <w:rFonts w:cs="Calibri"/>
                <w:b w:val="0"/>
                <w:color w:val="auto"/>
                <w:sz w:val="20"/>
                <w:szCs w:val="20"/>
              </w:rPr>
            </w:pPr>
            <w:r w:rsidRPr="002F2CD3">
              <w:rPr>
                <w:rFonts w:cs="Calibri"/>
                <w:b w:val="0"/>
                <w:color w:val="auto"/>
                <w:sz w:val="20"/>
                <w:szCs w:val="20"/>
              </w:rPr>
              <w:t>how they keep track of patrons’ ATM withdrawals at a venue</w:t>
            </w:r>
          </w:p>
          <w:p w14:paraId="14CD12A5" w14:textId="77777777" w:rsidR="00FA2AF4" w:rsidRPr="002F2CD3" w:rsidRDefault="00FA2AF4" w:rsidP="00A42B77">
            <w:pPr>
              <w:numPr>
                <w:ilvl w:val="0"/>
                <w:numId w:val="22"/>
              </w:numPr>
              <w:spacing w:after="60" w:line="240" w:lineRule="auto"/>
              <w:rPr>
                <w:rFonts w:cs="Calibri"/>
                <w:b w:val="0"/>
                <w:color w:val="auto"/>
                <w:sz w:val="20"/>
                <w:szCs w:val="20"/>
              </w:rPr>
            </w:pPr>
            <w:r w:rsidRPr="002F2CD3">
              <w:rPr>
                <w:rFonts w:cs="Calibri"/>
                <w:b w:val="0"/>
                <w:color w:val="auto"/>
                <w:sz w:val="20"/>
                <w:szCs w:val="20"/>
              </w:rPr>
              <w:t xml:space="preserve">the intensity of the gambler’s </w:t>
            </w:r>
            <w:proofErr w:type="spellStart"/>
            <w:r w:rsidRPr="002F2CD3">
              <w:rPr>
                <w:rFonts w:cs="Calibri"/>
                <w:b w:val="0"/>
                <w:color w:val="auto"/>
                <w:sz w:val="20"/>
                <w:szCs w:val="20"/>
              </w:rPr>
              <w:t>pokie</w:t>
            </w:r>
            <w:proofErr w:type="spellEnd"/>
            <w:r w:rsidRPr="002F2CD3">
              <w:rPr>
                <w:rFonts w:cs="Calibri"/>
                <w:b w:val="0"/>
                <w:color w:val="auto"/>
                <w:sz w:val="20"/>
                <w:szCs w:val="20"/>
              </w:rPr>
              <w:t xml:space="preserve"> use</w:t>
            </w:r>
          </w:p>
          <w:p w14:paraId="1A50F2ED" w14:textId="77777777" w:rsidR="00FA2AF4" w:rsidRPr="002F2CD3" w:rsidRDefault="00FA2AF4" w:rsidP="00A42B77">
            <w:pPr>
              <w:numPr>
                <w:ilvl w:val="0"/>
                <w:numId w:val="22"/>
              </w:numPr>
              <w:spacing w:after="60" w:line="240" w:lineRule="auto"/>
              <w:rPr>
                <w:rFonts w:cs="Calibri"/>
                <w:b w:val="0"/>
                <w:color w:val="auto"/>
                <w:sz w:val="20"/>
                <w:szCs w:val="20"/>
              </w:rPr>
            </w:pPr>
            <w:r w:rsidRPr="002F2CD3">
              <w:rPr>
                <w:rFonts w:cs="Calibri"/>
                <w:b w:val="0"/>
                <w:color w:val="auto"/>
                <w:sz w:val="20"/>
                <w:szCs w:val="20"/>
              </w:rPr>
              <w:t>what behaviour or events to note in the venue’s records</w:t>
            </w:r>
          </w:p>
          <w:p w14:paraId="2E841D4E" w14:textId="77777777" w:rsidR="0098138D" w:rsidRPr="002F2CD3" w:rsidRDefault="00FA2AF4" w:rsidP="00A42B77">
            <w:pPr>
              <w:numPr>
                <w:ilvl w:val="0"/>
                <w:numId w:val="22"/>
              </w:numPr>
              <w:spacing w:after="60" w:line="240" w:lineRule="auto"/>
              <w:rPr>
                <w:rFonts w:cs="Calibri"/>
                <w:b w:val="0"/>
                <w:color w:val="auto"/>
                <w:sz w:val="20"/>
                <w:szCs w:val="20"/>
              </w:rPr>
            </w:pPr>
            <w:r w:rsidRPr="002F2CD3">
              <w:rPr>
                <w:rFonts w:cs="Calibri"/>
                <w:b w:val="0"/>
                <w:color w:val="auto"/>
                <w:sz w:val="20"/>
                <w:szCs w:val="20"/>
              </w:rPr>
              <w:t>when to involve a manager at the venue</w:t>
            </w:r>
          </w:p>
          <w:p w14:paraId="1D64FD73" w14:textId="002DA1FE" w:rsidR="00FA2AF4" w:rsidRPr="002F2CD3" w:rsidRDefault="0098138D" w:rsidP="00A42B77">
            <w:pPr>
              <w:numPr>
                <w:ilvl w:val="0"/>
                <w:numId w:val="22"/>
              </w:numPr>
              <w:spacing w:after="60" w:line="240" w:lineRule="auto"/>
              <w:rPr>
                <w:rFonts w:cs="Calibri"/>
                <w:b w:val="0"/>
                <w:color w:val="auto"/>
                <w:sz w:val="20"/>
                <w:szCs w:val="20"/>
              </w:rPr>
            </w:pPr>
            <w:r w:rsidRPr="002F2CD3">
              <w:rPr>
                <w:rFonts w:cs="Calibri"/>
                <w:b w:val="0"/>
                <w:color w:val="auto"/>
                <w:sz w:val="20"/>
                <w:szCs w:val="20"/>
              </w:rPr>
              <w:t>h</w:t>
            </w:r>
            <w:r w:rsidR="00FA2AF4" w:rsidRPr="002F2CD3">
              <w:rPr>
                <w:rFonts w:cs="Calibri"/>
                <w:b w:val="0"/>
                <w:color w:val="auto"/>
                <w:sz w:val="20"/>
                <w:szCs w:val="20"/>
              </w:rPr>
              <w:t>ow to intervene, such as the type of questions to ask a person about their gambling</w:t>
            </w:r>
            <w:r w:rsidRPr="002F2CD3">
              <w:rPr>
                <w:rFonts w:cs="Calibri"/>
                <w:b w:val="0"/>
                <w:color w:val="auto"/>
                <w:sz w:val="20"/>
                <w:szCs w:val="20"/>
              </w:rPr>
              <w:t>.</w:t>
            </w:r>
          </w:p>
          <w:p w14:paraId="465BDC86" w14:textId="77777777" w:rsidR="0098138D" w:rsidRPr="002F2CD3" w:rsidRDefault="0098138D"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Venues can provide ATMs on site, just not in the gaming room.</w:t>
            </w:r>
          </w:p>
          <w:p w14:paraId="4D27DFEA" w14:textId="77777777" w:rsidR="00C51D36" w:rsidRPr="002F2CD3" w:rsidRDefault="00C51D36"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Previously excluded gamblers can re-enter once</w:t>
            </w:r>
            <w:r w:rsidR="00392891">
              <w:rPr>
                <w:b w:val="0"/>
                <w:color w:val="000000" w:themeColor="text1"/>
                <w:sz w:val="20"/>
                <w:szCs w:val="20"/>
              </w:rPr>
              <w:t xml:space="preserve"> their stipulated</w:t>
            </w:r>
            <w:r w:rsidRPr="002F2CD3">
              <w:rPr>
                <w:b w:val="0"/>
                <w:color w:val="000000" w:themeColor="text1"/>
                <w:sz w:val="20"/>
                <w:szCs w:val="20"/>
              </w:rPr>
              <w:t xml:space="preserve"> time expires, regardless of whether they have sought help.</w:t>
            </w:r>
          </w:p>
          <w:p w14:paraId="0DC5E8AE" w14:textId="77777777" w:rsidR="00F42A7F" w:rsidRPr="002F2CD3" w:rsidRDefault="00F42A7F"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Gambling rooms are normally private, with dim lighting and comfortable seating (</w:t>
            </w:r>
            <w:r w:rsidR="00844F84">
              <w:rPr>
                <w:b w:val="0"/>
                <w:color w:val="000000" w:themeColor="text1"/>
                <w:sz w:val="20"/>
                <w:szCs w:val="20"/>
              </w:rPr>
              <w:t xml:space="preserve">the ideal </w:t>
            </w:r>
            <w:r w:rsidRPr="002F2CD3">
              <w:rPr>
                <w:b w:val="0"/>
                <w:color w:val="000000" w:themeColor="text1"/>
                <w:sz w:val="20"/>
                <w:szCs w:val="20"/>
              </w:rPr>
              <w:t xml:space="preserve">environment for </w:t>
            </w:r>
            <w:r w:rsidR="00844F84">
              <w:rPr>
                <w:b w:val="0"/>
                <w:color w:val="000000" w:themeColor="text1"/>
                <w:sz w:val="20"/>
                <w:szCs w:val="20"/>
              </w:rPr>
              <w:t xml:space="preserve">gamblers to </w:t>
            </w:r>
            <w:r w:rsidRPr="002F2CD3">
              <w:rPr>
                <w:b w:val="0"/>
                <w:color w:val="000000" w:themeColor="text1"/>
                <w:sz w:val="20"/>
                <w:szCs w:val="20"/>
              </w:rPr>
              <w:t xml:space="preserve">get in “the </w:t>
            </w:r>
            <w:r w:rsidR="00851B6F">
              <w:rPr>
                <w:b w:val="0"/>
                <w:color w:val="000000" w:themeColor="text1"/>
                <w:sz w:val="20"/>
                <w:szCs w:val="20"/>
              </w:rPr>
              <w:t xml:space="preserve">gaming </w:t>
            </w:r>
            <w:r w:rsidRPr="002F2CD3">
              <w:rPr>
                <w:b w:val="0"/>
                <w:color w:val="000000" w:themeColor="text1"/>
                <w:sz w:val="20"/>
                <w:szCs w:val="20"/>
              </w:rPr>
              <w:t>zone” and continu</w:t>
            </w:r>
            <w:r w:rsidR="00392891">
              <w:rPr>
                <w:b w:val="0"/>
                <w:color w:val="000000" w:themeColor="text1"/>
                <w:sz w:val="20"/>
                <w:szCs w:val="20"/>
              </w:rPr>
              <w:t>e</w:t>
            </w:r>
            <w:r w:rsidRPr="002F2CD3">
              <w:rPr>
                <w:b w:val="0"/>
                <w:color w:val="000000" w:themeColor="text1"/>
                <w:sz w:val="20"/>
                <w:szCs w:val="20"/>
              </w:rPr>
              <w:t xml:space="preserve"> to play).</w:t>
            </w:r>
          </w:p>
          <w:p w14:paraId="7C7C186D" w14:textId="77777777" w:rsidR="00F42A7F" w:rsidRPr="002F2CD3" w:rsidRDefault="00F42A7F"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Gamblers can play without considering how much they want to spend.</w:t>
            </w:r>
          </w:p>
          <w:p w14:paraId="3FC1F6CC" w14:textId="700A8E15" w:rsidR="00FA2AF4" w:rsidRPr="002F2CD3" w:rsidRDefault="0098138D"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 xml:space="preserve">Training is varied as societies can devise </w:t>
            </w:r>
            <w:r w:rsidR="00C51D36" w:rsidRPr="002F2CD3">
              <w:rPr>
                <w:b w:val="0"/>
                <w:color w:val="000000" w:themeColor="text1"/>
                <w:sz w:val="20"/>
                <w:szCs w:val="20"/>
              </w:rPr>
              <w:t xml:space="preserve">the problem gambling </w:t>
            </w:r>
            <w:r w:rsidRPr="002F2CD3">
              <w:rPr>
                <w:b w:val="0"/>
                <w:color w:val="000000" w:themeColor="text1"/>
                <w:sz w:val="20"/>
                <w:szCs w:val="20"/>
              </w:rPr>
              <w:t>training themselves</w:t>
            </w:r>
            <w:r w:rsidR="00C51D36" w:rsidRPr="002F2CD3">
              <w:rPr>
                <w:b w:val="0"/>
                <w:color w:val="000000" w:themeColor="text1"/>
                <w:sz w:val="20"/>
                <w:szCs w:val="20"/>
              </w:rPr>
              <w:t xml:space="preserve">, </w:t>
            </w:r>
            <w:r w:rsidR="008D26D6" w:rsidRPr="002F2CD3">
              <w:rPr>
                <w:b w:val="0"/>
                <w:color w:val="000000" w:themeColor="text1"/>
                <w:sz w:val="20"/>
                <w:szCs w:val="20"/>
              </w:rPr>
              <w:t>if</w:t>
            </w:r>
            <w:r w:rsidR="00C51D36" w:rsidRPr="002F2CD3">
              <w:rPr>
                <w:b w:val="0"/>
                <w:color w:val="000000" w:themeColor="text1"/>
                <w:sz w:val="20"/>
                <w:szCs w:val="20"/>
              </w:rPr>
              <w:t xml:space="preserve"> they meet minimum content requirements</w:t>
            </w:r>
            <w:r w:rsidRPr="002F2CD3">
              <w:rPr>
                <w:b w:val="0"/>
                <w:color w:val="000000" w:themeColor="text1"/>
                <w:sz w:val="20"/>
                <w:szCs w:val="20"/>
              </w:rPr>
              <w:t>.</w:t>
            </w:r>
          </w:p>
          <w:p w14:paraId="0F25CADA" w14:textId="77777777" w:rsidR="00FA2AF4" w:rsidRPr="002F2CD3" w:rsidRDefault="0098138D" w:rsidP="00A42B77">
            <w:pPr>
              <w:pStyle w:val="ListParagraph"/>
              <w:numPr>
                <w:ilvl w:val="0"/>
                <w:numId w:val="14"/>
              </w:numPr>
              <w:spacing w:after="60" w:line="240" w:lineRule="auto"/>
              <w:ind w:left="324" w:hanging="284"/>
              <w:contextualSpacing w:val="0"/>
              <w:rPr>
                <w:b w:val="0"/>
                <w:color w:val="000000" w:themeColor="text1"/>
                <w:sz w:val="20"/>
                <w:szCs w:val="20"/>
              </w:rPr>
            </w:pPr>
            <w:r w:rsidRPr="002F2CD3">
              <w:rPr>
                <w:b w:val="0"/>
                <w:color w:val="000000" w:themeColor="text1"/>
                <w:sz w:val="20"/>
                <w:szCs w:val="20"/>
              </w:rPr>
              <w:t xml:space="preserve">Only one person is required to </w:t>
            </w:r>
            <w:r w:rsidR="00F42A7F" w:rsidRPr="002F2CD3">
              <w:rPr>
                <w:b w:val="0"/>
                <w:color w:val="000000" w:themeColor="text1"/>
                <w:sz w:val="20"/>
                <w:szCs w:val="20"/>
              </w:rPr>
              <w:t>be trained</w:t>
            </w:r>
            <w:r w:rsidRPr="002F2CD3">
              <w:rPr>
                <w:b w:val="0"/>
                <w:color w:val="000000" w:themeColor="text1"/>
                <w:sz w:val="20"/>
                <w:szCs w:val="20"/>
              </w:rPr>
              <w:t xml:space="preserve">, </w:t>
            </w:r>
            <w:r w:rsidR="00F42A7F" w:rsidRPr="002F2CD3">
              <w:rPr>
                <w:b w:val="0"/>
                <w:color w:val="000000" w:themeColor="text1"/>
                <w:sz w:val="20"/>
                <w:szCs w:val="20"/>
              </w:rPr>
              <w:t xml:space="preserve">but </w:t>
            </w:r>
            <w:r w:rsidRPr="002F2CD3">
              <w:rPr>
                <w:b w:val="0"/>
                <w:color w:val="000000" w:themeColor="text1"/>
                <w:sz w:val="20"/>
                <w:szCs w:val="20"/>
              </w:rPr>
              <w:t>the responsibilities for supervising the gaming room are often shared by many staff.</w:t>
            </w:r>
            <w:r w:rsidRPr="002F2CD3">
              <w:rPr>
                <w:rFonts w:cs="Calibri"/>
                <w:b w:val="0"/>
                <w:color w:val="000000" w:themeColor="text1"/>
                <w:sz w:val="20"/>
                <w:szCs w:val="20"/>
              </w:rPr>
              <w:t xml:space="preserve"> </w:t>
            </w:r>
          </w:p>
        </w:tc>
      </w:tr>
      <w:tr w:rsidR="00FA2AF4" w:rsidRPr="002F2CD3" w14:paraId="2B89F290" w14:textId="77777777" w:rsidTr="00BC61E0">
        <w:trPr>
          <w:cantSplit w:val="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7327A5B" w14:textId="77777777" w:rsidR="00FA2AF4" w:rsidRPr="002F2CD3" w:rsidRDefault="00FA2AF4" w:rsidP="00F42A7F">
            <w:pPr>
              <w:keepNext/>
              <w:spacing w:before="60" w:after="60" w:line="240" w:lineRule="auto"/>
              <w:rPr>
                <w:b/>
                <w:color w:val="000000" w:themeColor="text1"/>
                <w:sz w:val="20"/>
                <w:szCs w:val="20"/>
              </w:rPr>
            </w:pPr>
            <w:r w:rsidRPr="002F2CD3">
              <w:rPr>
                <w:b/>
                <w:color w:val="000000" w:themeColor="text1"/>
                <w:sz w:val="20"/>
                <w:szCs w:val="20"/>
              </w:rPr>
              <w:t>Machines and Jackpots:</w:t>
            </w:r>
          </w:p>
          <w:p w14:paraId="268CC7C8" w14:textId="77777777" w:rsidR="00FA2AF4" w:rsidRPr="002F2CD3" w:rsidRDefault="00FA2AF4" w:rsidP="00F42A7F">
            <w:pPr>
              <w:keepNext/>
              <w:spacing w:before="60" w:after="60" w:line="240" w:lineRule="auto"/>
              <w:rPr>
                <w:b/>
                <w:color w:val="000000" w:themeColor="text1"/>
                <w:sz w:val="20"/>
                <w:szCs w:val="20"/>
              </w:rPr>
            </w:pPr>
          </w:p>
        </w:tc>
        <w:tc>
          <w:tcPr>
            <w:tcW w:w="6797" w:type="dxa"/>
            <w:tcBorders>
              <w:top w:val="single" w:sz="4" w:space="0" w:color="auto"/>
              <w:left w:val="single" w:sz="4" w:space="0" w:color="auto"/>
              <w:bottom w:val="single" w:sz="4" w:space="0" w:color="auto"/>
              <w:right w:val="single" w:sz="4" w:space="0" w:color="auto"/>
            </w:tcBorders>
            <w:shd w:val="clear" w:color="auto" w:fill="auto"/>
          </w:tcPr>
          <w:p w14:paraId="01D90B84" w14:textId="77777777" w:rsidR="00FA3CED" w:rsidRPr="002F2CD3" w:rsidRDefault="00FA3CED" w:rsidP="00A42B77">
            <w:pPr>
              <w:pStyle w:val="ListParagraph"/>
              <w:numPr>
                <w:ilvl w:val="0"/>
                <w:numId w:val="14"/>
              </w:numPr>
              <w:spacing w:before="60" w:after="60" w:line="240" w:lineRule="auto"/>
              <w:ind w:left="324" w:hanging="284"/>
              <w:contextualSpacing w:val="0"/>
              <w:rPr>
                <w:color w:val="000000" w:themeColor="text1"/>
                <w:sz w:val="20"/>
                <w:szCs w:val="20"/>
              </w:rPr>
            </w:pPr>
            <w:r w:rsidRPr="002F2CD3">
              <w:rPr>
                <w:color w:val="000000" w:themeColor="text1"/>
                <w:sz w:val="20"/>
                <w:szCs w:val="20"/>
              </w:rPr>
              <w:t>Much of the harm-focused ‘player information’ is only displayed if the player elects to see it.</w:t>
            </w:r>
          </w:p>
          <w:p w14:paraId="7E9B81D8" w14:textId="77777777" w:rsidR="00A51549" w:rsidRPr="002F2CD3" w:rsidRDefault="00A51549" w:rsidP="00A42B77">
            <w:pPr>
              <w:pStyle w:val="ListParagraph"/>
              <w:numPr>
                <w:ilvl w:val="0"/>
                <w:numId w:val="14"/>
              </w:numPr>
              <w:spacing w:before="60" w:after="60" w:line="240" w:lineRule="auto"/>
              <w:ind w:left="324" w:hanging="284"/>
              <w:contextualSpacing w:val="0"/>
              <w:rPr>
                <w:color w:val="000000" w:themeColor="text1"/>
                <w:sz w:val="20"/>
                <w:szCs w:val="20"/>
              </w:rPr>
            </w:pPr>
            <w:r w:rsidRPr="002F2CD3">
              <w:rPr>
                <w:color w:val="000000" w:themeColor="text1"/>
                <w:sz w:val="20"/>
                <w:szCs w:val="20"/>
              </w:rPr>
              <w:t>EGMs display a loss as a win</w:t>
            </w:r>
            <w:r w:rsidR="00486133">
              <w:rPr>
                <w:color w:val="000000" w:themeColor="text1"/>
                <w:sz w:val="20"/>
                <w:szCs w:val="20"/>
              </w:rPr>
              <w:t>.</w:t>
            </w:r>
            <w:r w:rsidRPr="002F2CD3">
              <w:rPr>
                <w:color w:val="000000" w:themeColor="text1"/>
                <w:sz w:val="20"/>
                <w:szCs w:val="20"/>
              </w:rPr>
              <w:t xml:space="preserve"> </w:t>
            </w:r>
          </w:p>
          <w:p w14:paraId="2ED132D5" w14:textId="63B650E3" w:rsidR="00A51549" w:rsidRPr="002F2CD3" w:rsidRDefault="008D26D6" w:rsidP="00A42B77">
            <w:pPr>
              <w:pStyle w:val="ListParagraph"/>
              <w:numPr>
                <w:ilvl w:val="0"/>
                <w:numId w:val="14"/>
              </w:numPr>
              <w:spacing w:before="60" w:after="60" w:line="240" w:lineRule="auto"/>
              <w:ind w:left="324" w:hanging="284"/>
              <w:contextualSpacing w:val="0"/>
              <w:rPr>
                <w:color w:val="000000" w:themeColor="text1"/>
                <w:sz w:val="20"/>
                <w:szCs w:val="20"/>
              </w:rPr>
            </w:pPr>
            <w:r>
              <w:rPr>
                <w:color w:val="000000" w:themeColor="text1"/>
                <w:sz w:val="20"/>
                <w:szCs w:val="20"/>
              </w:rPr>
              <w:t>Many</w:t>
            </w:r>
            <w:r w:rsidR="00A51549" w:rsidRPr="002F2CD3">
              <w:rPr>
                <w:color w:val="000000" w:themeColor="text1"/>
                <w:sz w:val="20"/>
                <w:szCs w:val="20"/>
              </w:rPr>
              <w:t xml:space="preserve"> features included in the EGM games are known to cause harmful gambling or gambling addiction (e.g. free-spins, multi-bets).</w:t>
            </w:r>
          </w:p>
          <w:p w14:paraId="2A97ED6C" w14:textId="77777777" w:rsidR="00A51549" w:rsidRPr="002F2CD3" w:rsidRDefault="00A51549" w:rsidP="00A42B77">
            <w:pPr>
              <w:pStyle w:val="ListParagraph"/>
              <w:numPr>
                <w:ilvl w:val="0"/>
                <w:numId w:val="14"/>
              </w:numPr>
              <w:spacing w:before="60" w:after="60" w:line="240" w:lineRule="auto"/>
              <w:ind w:left="324" w:hanging="284"/>
              <w:contextualSpacing w:val="0"/>
              <w:rPr>
                <w:color w:val="000000" w:themeColor="text1"/>
                <w:sz w:val="20"/>
                <w:szCs w:val="20"/>
              </w:rPr>
            </w:pPr>
            <w:r w:rsidRPr="002F2CD3">
              <w:rPr>
                <w:color w:val="000000" w:themeColor="text1"/>
                <w:sz w:val="20"/>
                <w:szCs w:val="20"/>
              </w:rPr>
              <w:t>The current play-interruption feature, after 30 minutes, still allows the player to continue.</w:t>
            </w:r>
          </w:p>
          <w:p w14:paraId="217C0C1F" w14:textId="77777777" w:rsidR="0087323B" w:rsidRDefault="00FA3CED" w:rsidP="00A42B77">
            <w:pPr>
              <w:pStyle w:val="ListParagraph"/>
              <w:numPr>
                <w:ilvl w:val="0"/>
                <w:numId w:val="14"/>
              </w:numPr>
              <w:spacing w:before="60" w:after="60" w:line="240" w:lineRule="auto"/>
              <w:ind w:left="324" w:hanging="284"/>
              <w:contextualSpacing w:val="0"/>
              <w:rPr>
                <w:color w:val="000000" w:themeColor="text1"/>
                <w:sz w:val="20"/>
                <w:szCs w:val="20"/>
              </w:rPr>
            </w:pPr>
            <w:r w:rsidRPr="002F2CD3">
              <w:rPr>
                <w:color w:val="000000" w:themeColor="text1"/>
                <w:sz w:val="20"/>
                <w:szCs w:val="20"/>
              </w:rPr>
              <w:t xml:space="preserve">Jackpots </w:t>
            </w:r>
            <w:r w:rsidR="00A51549" w:rsidRPr="002F2CD3">
              <w:rPr>
                <w:color w:val="000000" w:themeColor="text1"/>
                <w:sz w:val="20"/>
                <w:szCs w:val="20"/>
              </w:rPr>
              <w:t>can be advertised within the venue</w:t>
            </w:r>
            <w:r w:rsidR="0087323B">
              <w:rPr>
                <w:color w:val="000000" w:themeColor="text1"/>
                <w:sz w:val="20"/>
                <w:szCs w:val="20"/>
              </w:rPr>
              <w:t>.</w:t>
            </w:r>
          </w:p>
          <w:p w14:paraId="2EE9CA78" w14:textId="77777777" w:rsidR="00A51549" w:rsidRPr="002F2CD3" w:rsidRDefault="0087323B" w:rsidP="00A42B77">
            <w:pPr>
              <w:pStyle w:val="ListParagraph"/>
              <w:numPr>
                <w:ilvl w:val="0"/>
                <w:numId w:val="14"/>
              </w:numPr>
              <w:spacing w:before="60" w:after="60" w:line="240" w:lineRule="auto"/>
              <w:ind w:left="324" w:hanging="284"/>
              <w:contextualSpacing w:val="0"/>
              <w:rPr>
                <w:color w:val="000000" w:themeColor="text1"/>
                <w:sz w:val="20"/>
                <w:szCs w:val="20"/>
              </w:rPr>
            </w:pPr>
            <w:r>
              <w:rPr>
                <w:color w:val="000000" w:themeColor="text1"/>
                <w:sz w:val="20"/>
                <w:szCs w:val="20"/>
              </w:rPr>
              <w:t xml:space="preserve">Jackpots </w:t>
            </w:r>
            <w:r w:rsidR="00FB0714">
              <w:rPr>
                <w:color w:val="000000" w:themeColor="text1"/>
                <w:sz w:val="20"/>
                <w:szCs w:val="20"/>
              </w:rPr>
              <w:t>are creating some adverse and aggressive behaviours</w:t>
            </w:r>
            <w:r w:rsidR="00A51549" w:rsidRPr="002F2CD3">
              <w:rPr>
                <w:color w:val="000000" w:themeColor="text1"/>
                <w:sz w:val="20"/>
                <w:szCs w:val="20"/>
              </w:rPr>
              <w:t xml:space="preserve">. </w:t>
            </w:r>
          </w:p>
          <w:p w14:paraId="5A0922D4" w14:textId="77777777" w:rsidR="00A51549" w:rsidRPr="002F2CD3" w:rsidRDefault="00A51549" w:rsidP="00A42B77">
            <w:pPr>
              <w:pStyle w:val="ListParagraph"/>
              <w:numPr>
                <w:ilvl w:val="0"/>
                <w:numId w:val="14"/>
              </w:numPr>
              <w:spacing w:before="60" w:after="60" w:line="240" w:lineRule="auto"/>
              <w:ind w:left="324" w:hanging="284"/>
              <w:contextualSpacing w:val="0"/>
              <w:rPr>
                <w:color w:val="000000" w:themeColor="text1"/>
                <w:sz w:val="20"/>
                <w:szCs w:val="20"/>
              </w:rPr>
            </w:pPr>
            <w:r w:rsidRPr="002F2CD3">
              <w:rPr>
                <w:color w:val="000000" w:themeColor="text1"/>
                <w:sz w:val="20"/>
                <w:szCs w:val="20"/>
              </w:rPr>
              <w:t xml:space="preserve">Jackpots are a significant drawcard, as the prize is </w:t>
            </w:r>
            <w:r w:rsidRPr="002F2CD3">
              <w:rPr>
                <w:sz w:val="20"/>
                <w:szCs w:val="20"/>
              </w:rPr>
              <w:t>twice the amount that can be won from an EGM game. But there is no relationship between the EGM being played and the jackpot.</w:t>
            </w:r>
          </w:p>
        </w:tc>
      </w:tr>
      <w:tr w:rsidR="00FA2AF4" w:rsidRPr="002F2CD3" w14:paraId="45C0DED8" w14:textId="77777777" w:rsidTr="00BC61E0">
        <w:trPr>
          <w:cantSplit w:val="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62B4618" w14:textId="77777777" w:rsidR="00FA2AF4" w:rsidRPr="002F2CD3" w:rsidRDefault="00FA2AF4" w:rsidP="00F42A7F">
            <w:pPr>
              <w:keepNext/>
              <w:spacing w:before="60" w:after="60" w:line="240" w:lineRule="auto"/>
              <w:rPr>
                <w:b/>
                <w:color w:val="000000" w:themeColor="text1"/>
                <w:sz w:val="20"/>
                <w:szCs w:val="20"/>
              </w:rPr>
            </w:pPr>
            <w:r w:rsidRPr="002F2CD3">
              <w:rPr>
                <w:b/>
                <w:color w:val="000000" w:themeColor="text1"/>
                <w:sz w:val="20"/>
                <w:szCs w:val="20"/>
              </w:rPr>
              <w:t>Enforcement:</w:t>
            </w:r>
          </w:p>
        </w:tc>
        <w:tc>
          <w:tcPr>
            <w:tcW w:w="6797" w:type="dxa"/>
            <w:tcBorders>
              <w:top w:val="single" w:sz="4" w:space="0" w:color="auto"/>
              <w:left w:val="single" w:sz="4" w:space="0" w:color="auto"/>
              <w:bottom w:val="single" w:sz="4" w:space="0" w:color="auto"/>
              <w:right w:val="single" w:sz="4" w:space="0" w:color="auto"/>
            </w:tcBorders>
            <w:shd w:val="clear" w:color="auto" w:fill="auto"/>
          </w:tcPr>
          <w:p w14:paraId="252CE102" w14:textId="77777777" w:rsidR="00FA2AF4" w:rsidRPr="002F2CD3" w:rsidRDefault="00A51549" w:rsidP="00A42B77">
            <w:pPr>
              <w:pStyle w:val="ListParagraph"/>
              <w:numPr>
                <w:ilvl w:val="0"/>
                <w:numId w:val="14"/>
              </w:numPr>
              <w:spacing w:before="60" w:after="60" w:line="240" w:lineRule="auto"/>
              <w:ind w:left="324" w:hanging="284"/>
              <w:contextualSpacing w:val="0"/>
              <w:rPr>
                <w:b/>
                <w:color w:val="000000" w:themeColor="text1"/>
                <w:sz w:val="20"/>
                <w:szCs w:val="20"/>
              </w:rPr>
            </w:pPr>
            <w:r w:rsidRPr="002F2CD3">
              <w:rPr>
                <w:color w:val="000000" w:themeColor="text1"/>
                <w:sz w:val="20"/>
                <w:szCs w:val="20"/>
              </w:rPr>
              <w:t xml:space="preserve">There are </w:t>
            </w:r>
            <w:r w:rsidRPr="004B509E">
              <w:rPr>
                <w:color w:val="000000" w:themeColor="text1"/>
                <w:sz w:val="20"/>
              </w:rPr>
              <w:t>no</w:t>
            </w:r>
            <w:r w:rsidRPr="002F2CD3">
              <w:rPr>
                <w:color w:val="000000" w:themeColor="text1"/>
                <w:sz w:val="20"/>
                <w:szCs w:val="20"/>
              </w:rPr>
              <w:t xml:space="preserve"> offences and infringement fees that relate to the requirements in the current harm minimisation regulations.</w:t>
            </w:r>
          </w:p>
        </w:tc>
      </w:tr>
    </w:tbl>
    <w:p w14:paraId="1331EB80" w14:textId="77777777" w:rsidR="00FA2AF4" w:rsidRPr="004821DB" w:rsidRDefault="00FA2AF4" w:rsidP="00FA2AF4">
      <w:pPr>
        <w:pStyle w:val="ListParagraph"/>
        <w:spacing w:before="240" w:after="60" w:line="240" w:lineRule="auto"/>
        <w:contextualSpacing w:val="0"/>
        <w:rPr>
          <w:sz w:val="20"/>
        </w:rPr>
      </w:pPr>
    </w:p>
    <w:p w14:paraId="7D24379B" w14:textId="77777777" w:rsidR="00570E3F" w:rsidRPr="0099236C" w:rsidRDefault="00A532CF" w:rsidP="00D14868">
      <w:pPr>
        <w:pStyle w:val="Heading4"/>
        <w:rPr>
          <w:color w:val="auto"/>
          <w:lang w:val="en-NZ"/>
        </w:rPr>
      </w:pPr>
      <w:r>
        <w:rPr>
          <w:color w:val="auto"/>
          <w:lang w:val="en-NZ"/>
        </w:rPr>
        <w:t>We have o</w:t>
      </w:r>
      <w:r w:rsidR="00570E3F" w:rsidRPr="0099236C">
        <w:rPr>
          <w:color w:val="auto"/>
          <w:lang w:val="en-NZ"/>
        </w:rPr>
        <w:t>ption</w:t>
      </w:r>
      <w:r>
        <w:rPr>
          <w:color w:val="auto"/>
          <w:lang w:val="en-NZ"/>
        </w:rPr>
        <w:t>s</w:t>
      </w:r>
      <w:r w:rsidR="00570E3F" w:rsidRPr="0099236C">
        <w:rPr>
          <w:color w:val="auto"/>
          <w:lang w:val="en-NZ"/>
        </w:rPr>
        <w:t xml:space="preserve"> </w:t>
      </w:r>
      <w:r>
        <w:rPr>
          <w:color w:val="auto"/>
          <w:lang w:val="en-NZ"/>
        </w:rPr>
        <w:t>to s</w:t>
      </w:r>
      <w:r w:rsidR="00245D7A" w:rsidRPr="0099236C">
        <w:rPr>
          <w:color w:val="auto"/>
          <w:lang w:val="en-NZ"/>
        </w:rPr>
        <w:t xml:space="preserve">trengthen regulatory requirements </w:t>
      </w:r>
    </w:p>
    <w:p w14:paraId="717638A8" w14:textId="77777777" w:rsidR="00A532CF" w:rsidRDefault="00A532CF" w:rsidP="00A42B77">
      <w:pPr>
        <w:pStyle w:val="ListParagraph"/>
        <w:numPr>
          <w:ilvl w:val="0"/>
          <w:numId w:val="5"/>
        </w:numPr>
        <w:spacing w:before="120" w:after="60" w:line="240" w:lineRule="auto"/>
        <w:ind w:left="567" w:hanging="567"/>
        <w:contextualSpacing w:val="0"/>
        <w:rPr>
          <w:sz w:val="20"/>
          <w:lang w:val="en-NZ"/>
        </w:rPr>
      </w:pPr>
      <w:r>
        <w:rPr>
          <w:sz w:val="20"/>
          <w:lang w:val="en-NZ"/>
        </w:rPr>
        <w:t>One harm minimisation intervention is not enough to reduce harm, a combination of measures is needed across complementary areas.</w:t>
      </w:r>
    </w:p>
    <w:p w14:paraId="5F686EE7" w14:textId="77777777" w:rsidR="008A0240" w:rsidRDefault="00C90218" w:rsidP="007718BE">
      <w:pPr>
        <w:pStyle w:val="ListParagraph"/>
        <w:numPr>
          <w:ilvl w:val="0"/>
          <w:numId w:val="5"/>
        </w:numPr>
        <w:spacing w:before="120" w:after="60" w:line="240" w:lineRule="auto"/>
        <w:ind w:left="567" w:hanging="567"/>
        <w:contextualSpacing w:val="0"/>
        <w:rPr>
          <w:sz w:val="20"/>
          <w:lang w:val="en-NZ"/>
        </w:rPr>
      </w:pPr>
      <w:r w:rsidRPr="008A0240">
        <w:rPr>
          <w:sz w:val="20"/>
          <w:lang w:val="en-NZ"/>
        </w:rPr>
        <w:t xml:space="preserve">A suite of proposals, </w:t>
      </w:r>
      <w:r w:rsidRPr="008A0240">
        <w:rPr>
          <w:sz w:val="20"/>
        </w:rPr>
        <w:t>spanning</w:t>
      </w:r>
      <w:r w:rsidRPr="008A0240">
        <w:rPr>
          <w:sz w:val="20"/>
          <w:lang w:val="en-NZ"/>
        </w:rPr>
        <w:t xml:space="preserve"> three focus areas (venue, machines and enforcement</w:t>
      </w:r>
      <w:r w:rsidR="00C7373D">
        <w:rPr>
          <w:sz w:val="20"/>
          <w:lang w:val="en-NZ"/>
        </w:rPr>
        <w:t xml:space="preserve"> tools</w:t>
      </w:r>
      <w:r w:rsidRPr="008A0240">
        <w:rPr>
          <w:sz w:val="20"/>
          <w:lang w:val="en-NZ"/>
        </w:rPr>
        <w:t>) has been created.</w:t>
      </w:r>
      <w:r w:rsidR="008A0240" w:rsidRPr="008A0240">
        <w:rPr>
          <w:sz w:val="20"/>
          <w:lang w:val="en-NZ"/>
        </w:rPr>
        <w:t xml:space="preserve"> The key information being sought through the discussion document is</w:t>
      </w:r>
      <w:r w:rsidR="008A0240">
        <w:rPr>
          <w:sz w:val="20"/>
          <w:lang w:val="en-NZ"/>
        </w:rPr>
        <w:t>:</w:t>
      </w:r>
      <w:r w:rsidR="008A0240" w:rsidRPr="008A0240">
        <w:rPr>
          <w:sz w:val="20"/>
          <w:lang w:val="en-NZ"/>
        </w:rPr>
        <w:t xml:space="preserve"> </w:t>
      </w:r>
    </w:p>
    <w:p w14:paraId="44738715" w14:textId="77777777" w:rsidR="008A0240" w:rsidRDefault="008A0240" w:rsidP="00A42B77">
      <w:pPr>
        <w:pStyle w:val="ListParagraph"/>
        <w:numPr>
          <w:ilvl w:val="0"/>
          <w:numId w:val="17"/>
        </w:numPr>
        <w:spacing w:after="60" w:line="240" w:lineRule="auto"/>
        <w:ind w:left="851" w:hanging="284"/>
        <w:contextualSpacing w:val="0"/>
        <w:rPr>
          <w:sz w:val="20"/>
          <w:lang w:val="en-NZ"/>
        </w:rPr>
      </w:pPr>
      <w:r w:rsidRPr="008A0240">
        <w:rPr>
          <w:sz w:val="20"/>
          <w:lang w:val="en-NZ"/>
        </w:rPr>
        <w:t>the potential impacts of the proposals, or any alternatives offered, on reducing an individual’s harm from pokies</w:t>
      </w:r>
      <w:r w:rsidR="00F9552A">
        <w:rPr>
          <w:sz w:val="20"/>
          <w:lang w:val="en-NZ"/>
        </w:rPr>
        <w:t xml:space="preserve"> whilst they are in a venue</w:t>
      </w:r>
      <w:r w:rsidR="004F5419">
        <w:rPr>
          <w:sz w:val="20"/>
          <w:lang w:val="en-NZ"/>
        </w:rPr>
        <w:t>;</w:t>
      </w:r>
    </w:p>
    <w:p w14:paraId="1F121170" w14:textId="77777777" w:rsidR="008A0240" w:rsidRDefault="008A0240" w:rsidP="00A42B77">
      <w:pPr>
        <w:pStyle w:val="ListParagraph"/>
        <w:numPr>
          <w:ilvl w:val="0"/>
          <w:numId w:val="17"/>
        </w:numPr>
        <w:spacing w:after="60" w:line="240" w:lineRule="auto"/>
        <w:ind w:left="851" w:hanging="284"/>
        <w:contextualSpacing w:val="0"/>
        <w:rPr>
          <w:sz w:val="20"/>
          <w:lang w:val="en-NZ"/>
        </w:rPr>
      </w:pPr>
      <w:r w:rsidRPr="008A0240">
        <w:rPr>
          <w:sz w:val="20"/>
          <w:lang w:val="en-NZ"/>
        </w:rPr>
        <w:lastRenderedPageBreak/>
        <w:t>the nature of any impacts on different population groups</w:t>
      </w:r>
      <w:r w:rsidR="004F5419">
        <w:rPr>
          <w:sz w:val="20"/>
          <w:lang w:val="en-NZ"/>
        </w:rPr>
        <w:t>;</w:t>
      </w:r>
      <w:r>
        <w:rPr>
          <w:sz w:val="20"/>
          <w:lang w:val="en-NZ"/>
        </w:rPr>
        <w:t xml:space="preserve"> and </w:t>
      </w:r>
    </w:p>
    <w:p w14:paraId="1333C33E" w14:textId="77777777" w:rsidR="008A0240" w:rsidRPr="008A0240" w:rsidRDefault="008A0240" w:rsidP="00A42B77">
      <w:pPr>
        <w:pStyle w:val="ListParagraph"/>
        <w:numPr>
          <w:ilvl w:val="0"/>
          <w:numId w:val="17"/>
        </w:numPr>
        <w:spacing w:after="60" w:line="240" w:lineRule="auto"/>
        <w:ind w:left="851" w:hanging="284"/>
        <w:contextualSpacing w:val="0"/>
        <w:rPr>
          <w:sz w:val="20"/>
          <w:lang w:val="en-NZ"/>
        </w:rPr>
      </w:pPr>
      <w:r>
        <w:rPr>
          <w:sz w:val="20"/>
          <w:lang w:val="en-NZ"/>
        </w:rPr>
        <w:t xml:space="preserve">the </w:t>
      </w:r>
      <w:r w:rsidRPr="008A0240">
        <w:rPr>
          <w:sz w:val="20"/>
          <w:lang w:val="en-NZ"/>
        </w:rPr>
        <w:t>level and type of operational implications for societies and venues.</w:t>
      </w:r>
    </w:p>
    <w:p w14:paraId="43D5D4ED" w14:textId="77777777" w:rsidR="007718BE" w:rsidRPr="007718BE" w:rsidRDefault="007718BE" w:rsidP="007718BE">
      <w:pPr>
        <w:pStyle w:val="ListParagraph"/>
        <w:numPr>
          <w:ilvl w:val="0"/>
          <w:numId w:val="5"/>
        </w:numPr>
        <w:spacing w:before="120" w:after="60" w:line="240" w:lineRule="auto"/>
        <w:ind w:left="567" w:hanging="567"/>
        <w:contextualSpacing w:val="0"/>
        <w:rPr>
          <w:sz w:val="20"/>
          <w:lang w:val="en-NZ"/>
        </w:rPr>
      </w:pPr>
      <w:r>
        <w:rPr>
          <w:sz w:val="20"/>
          <w:lang w:val="en-NZ"/>
        </w:rPr>
        <w:t xml:space="preserve">We are particularly interested in feedback and information on: </w:t>
      </w:r>
    </w:p>
    <w:p w14:paraId="7D5652CC" w14:textId="77777777" w:rsidR="007718BE" w:rsidRPr="007718BE" w:rsidRDefault="007718BE" w:rsidP="007718BE">
      <w:pPr>
        <w:pStyle w:val="ListParagraph"/>
        <w:numPr>
          <w:ilvl w:val="0"/>
          <w:numId w:val="17"/>
        </w:numPr>
        <w:spacing w:after="60" w:line="240" w:lineRule="auto"/>
        <w:ind w:left="851" w:hanging="284"/>
        <w:contextualSpacing w:val="0"/>
        <w:rPr>
          <w:sz w:val="20"/>
          <w:lang w:val="en-NZ"/>
        </w:rPr>
      </w:pPr>
      <w:r w:rsidRPr="007718BE">
        <w:rPr>
          <w:sz w:val="20"/>
          <w:lang w:val="en-NZ"/>
        </w:rPr>
        <w:t>what proposals are most important or effective</w:t>
      </w:r>
      <w:r w:rsidR="004F5419">
        <w:rPr>
          <w:sz w:val="20"/>
          <w:lang w:val="en-NZ"/>
        </w:rPr>
        <w:t>;</w:t>
      </w:r>
    </w:p>
    <w:p w14:paraId="73B35FFB" w14:textId="77777777" w:rsidR="007718BE" w:rsidRPr="007718BE" w:rsidRDefault="007718BE" w:rsidP="007718BE">
      <w:pPr>
        <w:pStyle w:val="ListParagraph"/>
        <w:numPr>
          <w:ilvl w:val="0"/>
          <w:numId w:val="17"/>
        </w:numPr>
        <w:spacing w:after="60" w:line="240" w:lineRule="auto"/>
        <w:ind w:left="851" w:hanging="284"/>
        <w:contextualSpacing w:val="0"/>
        <w:rPr>
          <w:sz w:val="20"/>
          <w:lang w:val="en-NZ"/>
        </w:rPr>
      </w:pPr>
      <w:r w:rsidRPr="007718BE">
        <w:rPr>
          <w:sz w:val="20"/>
          <w:lang w:val="en-NZ"/>
        </w:rPr>
        <w:t>any alternative or operational solutions</w:t>
      </w:r>
      <w:r w:rsidR="004F5419">
        <w:rPr>
          <w:sz w:val="20"/>
          <w:lang w:val="en-NZ"/>
        </w:rPr>
        <w:t>;</w:t>
      </w:r>
      <w:r w:rsidRPr="007718BE">
        <w:rPr>
          <w:sz w:val="20"/>
          <w:lang w:val="en-NZ"/>
        </w:rPr>
        <w:t xml:space="preserve"> </w:t>
      </w:r>
    </w:p>
    <w:p w14:paraId="43761466" w14:textId="77777777" w:rsidR="007718BE" w:rsidRPr="007718BE" w:rsidRDefault="007718BE" w:rsidP="007718BE">
      <w:pPr>
        <w:pStyle w:val="ListParagraph"/>
        <w:numPr>
          <w:ilvl w:val="0"/>
          <w:numId w:val="17"/>
        </w:numPr>
        <w:spacing w:after="60" w:line="240" w:lineRule="auto"/>
        <w:ind w:left="851" w:hanging="284"/>
        <w:contextualSpacing w:val="0"/>
        <w:rPr>
          <w:sz w:val="20"/>
          <w:lang w:val="en-NZ"/>
        </w:rPr>
      </w:pPr>
      <w:r w:rsidRPr="007718BE">
        <w:rPr>
          <w:sz w:val="20"/>
          <w:lang w:val="en-NZ"/>
        </w:rPr>
        <w:t>potential implementation issues</w:t>
      </w:r>
      <w:r w:rsidR="004F5419">
        <w:rPr>
          <w:sz w:val="20"/>
          <w:lang w:val="en-NZ"/>
        </w:rPr>
        <w:t>;</w:t>
      </w:r>
    </w:p>
    <w:p w14:paraId="23F95C68" w14:textId="77777777" w:rsidR="007718BE" w:rsidRPr="007718BE" w:rsidRDefault="007718BE" w:rsidP="007718BE">
      <w:pPr>
        <w:pStyle w:val="ListParagraph"/>
        <w:numPr>
          <w:ilvl w:val="0"/>
          <w:numId w:val="17"/>
        </w:numPr>
        <w:spacing w:after="60" w:line="240" w:lineRule="auto"/>
        <w:ind w:left="851" w:hanging="284"/>
        <w:contextualSpacing w:val="0"/>
        <w:rPr>
          <w:sz w:val="20"/>
          <w:lang w:val="en-NZ"/>
        </w:rPr>
      </w:pPr>
      <w:r w:rsidRPr="007718BE">
        <w:rPr>
          <w:sz w:val="20"/>
          <w:lang w:val="en-NZ"/>
        </w:rPr>
        <w:t>unintended consequences</w:t>
      </w:r>
      <w:r w:rsidR="004F5419">
        <w:rPr>
          <w:sz w:val="20"/>
          <w:lang w:val="en-NZ"/>
        </w:rPr>
        <w:t>; and</w:t>
      </w:r>
    </w:p>
    <w:p w14:paraId="305AC2F8" w14:textId="77777777" w:rsidR="007718BE" w:rsidRPr="007718BE" w:rsidRDefault="007718BE" w:rsidP="007718BE">
      <w:pPr>
        <w:pStyle w:val="ListParagraph"/>
        <w:numPr>
          <w:ilvl w:val="0"/>
          <w:numId w:val="17"/>
        </w:numPr>
        <w:spacing w:after="60" w:line="240" w:lineRule="auto"/>
        <w:ind w:left="851" w:hanging="284"/>
        <w:contextualSpacing w:val="0"/>
        <w:rPr>
          <w:sz w:val="20"/>
          <w:lang w:val="en-NZ"/>
        </w:rPr>
      </w:pPr>
      <w:r w:rsidRPr="007718BE">
        <w:rPr>
          <w:sz w:val="20"/>
          <w:lang w:val="en-NZ"/>
        </w:rPr>
        <w:t>acceptability to the industry and to gamblers.</w:t>
      </w:r>
    </w:p>
    <w:p w14:paraId="24F67EFC" w14:textId="77777777" w:rsidR="00C90218" w:rsidRPr="00C90218" w:rsidRDefault="00C90218" w:rsidP="008A0240">
      <w:pPr>
        <w:spacing w:before="240" w:after="60" w:line="240" w:lineRule="auto"/>
        <w:rPr>
          <w:b/>
          <w:sz w:val="20"/>
          <w:lang w:val="en-NZ"/>
        </w:rPr>
      </w:pPr>
      <w:r w:rsidRPr="00C90218">
        <w:rPr>
          <w:b/>
          <w:sz w:val="20"/>
          <w:lang w:val="en-NZ"/>
        </w:rPr>
        <w:t>Part A</w:t>
      </w:r>
      <w:r w:rsidR="0099236C">
        <w:rPr>
          <w:b/>
          <w:sz w:val="20"/>
          <w:lang w:val="en-NZ"/>
        </w:rPr>
        <w:t xml:space="preserve"> – The Venue</w:t>
      </w:r>
    </w:p>
    <w:p w14:paraId="1F7249B0" w14:textId="77777777" w:rsidR="00C90218" w:rsidRPr="00C90218" w:rsidRDefault="00DB65C9" w:rsidP="00A42B77">
      <w:pPr>
        <w:pStyle w:val="ListParagraph"/>
        <w:numPr>
          <w:ilvl w:val="0"/>
          <w:numId w:val="5"/>
        </w:numPr>
        <w:spacing w:before="120" w:after="120" w:line="240" w:lineRule="auto"/>
        <w:ind w:left="567" w:hanging="567"/>
        <w:contextualSpacing w:val="0"/>
        <w:rPr>
          <w:sz w:val="20"/>
          <w:lang w:val="en-NZ"/>
        </w:rPr>
      </w:pPr>
      <w:r>
        <w:rPr>
          <w:sz w:val="20"/>
          <w:lang w:val="en-NZ"/>
        </w:rPr>
        <w:t xml:space="preserve">Part A </w:t>
      </w:r>
      <w:r w:rsidR="00EB7975">
        <w:rPr>
          <w:sz w:val="20"/>
          <w:lang w:val="en-NZ"/>
        </w:rPr>
        <w:t xml:space="preserve">considers </w:t>
      </w:r>
      <w:r w:rsidR="00C90218">
        <w:rPr>
          <w:sz w:val="20"/>
          <w:lang w:val="en-NZ"/>
        </w:rPr>
        <w:t>ways to strengthen harm minimisation practice</w:t>
      </w:r>
      <w:r w:rsidR="00F9552A">
        <w:rPr>
          <w:sz w:val="20"/>
          <w:lang w:val="en-NZ"/>
        </w:rPr>
        <w:t>s</w:t>
      </w:r>
      <w:r w:rsidR="00C90218">
        <w:rPr>
          <w:sz w:val="20"/>
          <w:lang w:val="en-NZ"/>
        </w:rPr>
        <w:t xml:space="preserve"> </w:t>
      </w:r>
      <w:r w:rsidR="00C90218" w:rsidRPr="00C90218">
        <w:rPr>
          <w:sz w:val="20"/>
          <w:lang w:val="en-NZ"/>
        </w:rPr>
        <w:t xml:space="preserve">by being more explicit about required </w:t>
      </w:r>
      <w:r w:rsidR="00C90218" w:rsidRPr="00BC61E0">
        <w:rPr>
          <w:sz w:val="20"/>
          <w:lang w:val="en-NZ"/>
        </w:rPr>
        <w:t>procedures, actions and environments.</w:t>
      </w:r>
    </w:p>
    <w:p w14:paraId="7E81AAFE" w14:textId="77777777" w:rsidR="00EB7975" w:rsidRDefault="00EB7975" w:rsidP="00A42B77">
      <w:pPr>
        <w:pStyle w:val="ListParagraph"/>
        <w:numPr>
          <w:ilvl w:val="0"/>
          <w:numId w:val="5"/>
        </w:numPr>
        <w:spacing w:before="120" w:after="120" w:line="240" w:lineRule="auto"/>
        <w:ind w:left="567" w:hanging="567"/>
        <w:contextualSpacing w:val="0"/>
        <w:rPr>
          <w:sz w:val="20"/>
          <w:lang w:val="en-NZ"/>
        </w:rPr>
      </w:pPr>
      <w:r>
        <w:rPr>
          <w:sz w:val="20"/>
          <w:lang w:val="en-NZ"/>
        </w:rPr>
        <w:t xml:space="preserve">The proposals selected for Part A of the discussion document may </w:t>
      </w:r>
      <w:r w:rsidRPr="00DB65C9">
        <w:rPr>
          <w:sz w:val="20"/>
          <w:lang w:val="en-NZ"/>
        </w:rPr>
        <w:t xml:space="preserve">help improve </w:t>
      </w:r>
      <w:r w:rsidR="00C90218">
        <w:rPr>
          <w:sz w:val="20"/>
          <w:lang w:val="en-NZ"/>
        </w:rPr>
        <w:t xml:space="preserve">identification of harmful gambling, through: </w:t>
      </w:r>
      <w:r w:rsidR="00C90218" w:rsidRPr="00DB65C9">
        <w:rPr>
          <w:sz w:val="20"/>
          <w:lang w:val="en-NZ"/>
        </w:rPr>
        <w:t>increased monitoring of the gaming room, record-keeping of a specified range of signs of potential harm, and standardised content for training of staff</w:t>
      </w:r>
      <w:r w:rsidRPr="00DB65C9">
        <w:rPr>
          <w:sz w:val="20"/>
          <w:lang w:val="en-NZ"/>
        </w:rPr>
        <w:t xml:space="preserve">. </w:t>
      </w:r>
    </w:p>
    <w:p w14:paraId="4F89CC1B" w14:textId="77777777" w:rsidR="005071CD" w:rsidRPr="005071CD" w:rsidRDefault="005071CD" w:rsidP="00A42B77">
      <w:pPr>
        <w:pStyle w:val="ListParagraph"/>
        <w:numPr>
          <w:ilvl w:val="0"/>
          <w:numId w:val="5"/>
        </w:numPr>
        <w:spacing w:before="120" w:after="120" w:line="240" w:lineRule="auto"/>
        <w:ind w:left="567" w:hanging="567"/>
        <w:contextualSpacing w:val="0"/>
        <w:rPr>
          <w:sz w:val="20"/>
          <w:lang w:val="en-NZ"/>
        </w:rPr>
      </w:pPr>
      <w:r>
        <w:rPr>
          <w:sz w:val="20"/>
          <w:lang w:val="en-NZ"/>
        </w:rPr>
        <w:t xml:space="preserve">The proposals are </w:t>
      </w:r>
      <w:r w:rsidR="002F2CD3">
        <w:rPr>
          <w:sz w:val="20"/>
          <w:lang w:val="en-NZ"/>
        </w:rPr>
        <w:t xml:space="preserve">largely </w:t>
      </w:r>
      <w:r>
        <w:rPr>
          <w:sz w:val="20"/>
          <w:lang w:val="en-NZ"/>
        </w:rPr>
        <w:t xml:space="preserve">based on </w:t>
      </w:r>
      <w:r w:rsidR="002F2CD3">
        <w:rPr>
          <w:sz w:val="20"/>
          <w:lang w:val="en-NZ"/>
        </w:rPr>
        <w:t>research and best practice guidelines</w:t>
      </w:r>
      <w:r w:rsidR="00CD31DD">
        <w:rPr>
          <w:sz w:val="20"/>
          <w:lang w:val="en-NZ"/>
        </w:rPr>
        <w:t xml:space="preserve"> and so </w:t>
      </w:r>
      <w:r w:rsidR="00CD31DD" w:rsidRPr="00CD31DD">
        <w:rPr>
          <w:sz w:val="20"/>
          <w:lang w:val="en-NZ"/>
        </w:rPr>
        <w:t>directly target some of the known issues in identifying and approaching at-risk or problem gamblers</w:t>
      </w:r>
      <w:r w:rsidR="002F2CD3">
        <w:rPr>
          <w:sz w:val="20"/>
          <w:lang w:val="en-NZ"/>
        </w:rPr>
        <w:t xml:space="preserve">. </w:t>
      </w:r>
    </w:p>
    <w:tbl>
      <w:tblPr>
        <w:tblStyle w:val="DIATable"/>
        <w:tblW w:w="8505" w:type="dxa"/>
        <w:tblInd w:w="5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94"/>
        <w:gridCol w:w="5811"/>
      </w:tblGrid>
      <w:tr w:rsidR="00435038" w:rsidRPr="00635830" w14:paraId="0711DAAF" w14:textId="77777777" w:rsidTr="005271B2">
        <w:trPr>
          <w:cnfStyle w:val="100000000000" w:firstRow="1" w:lastRow="0" w:firstColumn="0" w:lastColumn="0" w:oddVBand="0" w:evenVBand="0" w:oddHBand="0" w:evenHBand="0" w:firstRowFirstColumn="0" w:firstRowLastColumn="0" w:lastRowFirstColumn="0" w:lastRowLastColumn="0"/>
        </w:trPr>
        <w:tc>
          <w:tcPr>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680F22" w14:textId="77777777" w:rsidR="00435038" w:rsidRPr="00635830" w:rsidRDefault="00435038" w:rsidP="00EB7975">
            <w:pPr>
              <w:spacing w:before="40" w:after="40" w:line="240" w:lineRule="auto"/>
              <w:rPr>
                <w:sz w:val="20"/>
                <w:szCs w:val="20"/>
              </w:rPr>
            </w:pPr>
            <w:r w:rsidRPr="00635830">
              <w:rPr>
                <w:sz w:val="20"/>
                <w:szCs w:val="20"/>
              </w:rPr>
              <w:t>Options</w:t>
            </w:r>
          </w:p>
        </w:tc>
        <w:tc>
          <w:tcPr>
            <w:tcW w:w="58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1977B2" w14:textId="77777777" w:rsidR="00435038" w:rsidRPr="00822080" w:rsidRDefault="00822080" w:rsidP="00EB7975">
            <w:pPr>
              <w:spacing w:before="40" w:after="40" w:line="240" w:lineRule="auto"/>
              <w:rPr>
                <w:sz w:val="20"/>
                <w:szCs w:val="20"/>
              </w:rPr>
            </w:pPr>
            <w:r w:rsidRPr="00822080">
              <w:rPr>
                <w:sz w:val="20"/>
                <w:szCs w:val="20"/>
              </w:rPr>
              <w:t>Description and discussion</w:t>
            </w:r>
          </w:p>
        </w:tc>
      </w:tr>
      <w:tr w:rsidR="00FA2AF4" w:rsidRPr="00635830" w14:paraId="4668DBFF" w14:textId="77777777" w:rsidTr="005271B2">
        <w:tc>
          <w:tcPr>
            <w:tcW w:w="2694" w:type="dxa"/>
            <w:shd w:val="clear" w:color="auto" w:fill="E3E8ED"/>
          </w:tcPr>
          <w:p w14:paraId="52FF1815"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 xml:space="preserve">Regular sweeps of gambling room </w:t>
            </w:r>
          </w:p>
        </w:tc>
        <w:tc>
          <w:tcPr>
            <w:tcW w:w="5811" w:type="dxa"/>
          </w:tcPr>
          <w:p w14:paraId="1F4BB36D" w14:textId="77777777" w:rsidR="00F10653" w:rsidRDefault="00FA2AF4" w:rsidP="00FA2AF4">
            <w:pPr>
              <w:spacing w:before="40" w:after="40" w:line="240" w:lineRule="auto"/>
              <w:rPr>
                <w:sz w:val="20"/>
                <w:szCs w:val="20"/>
              </w:rPr>
            </w:pPr>
            <w:r w:rsidRPr="00635830">
              <w:rPr>
                <w:sz w:val="20"/>
                <w:szCs w:val="20"/>
              </w:rPr>
              <w:t>Venues could be required to monitor the gambling area at set intervals (regular sweeps) to ensure patrons are not displaying signs of gambling harm</w:t>
            </w:r>
            <w:r w:rsidR="00B70802">
              <w:rPr>
                <w:sz w:val="20"/>
                <w:szCs w:val="20"/>
              </w:rPr>
              <w:t>.</w:t>
            </w:r>
            <w:r w:rsidR="00F10653">
              <w:rPr>
                <w:sz w:val="20"/>
                <w:szCs w:val="20"/>
              </w:rPr>
              <w:t xml:space="preserve"> This would also enable</w:t>
            </w:r>
            <w:r w:rsidR="00F9552A">
              <w:rPr>
                <w:sz w:val="20"/>
                <w:szCs w:val="20"/>
              </w:rPr>
              <w:t xml:space="preserve"> staff</w:t>
            </w:r>
            <w:r w:rsidR="00F10653">
              <w:rPr>
                <w:sz w:val="20"/>
                <w:szCs w:val="20"/>
              </w:rPr>
              <w:t xml:space="preserve"> to notice and record the duration of gamblers play, supporting option 3</w:t>
            </w:r>
            <w:r w:rsidR="00A532CF">
              <w:rPr>
                <w:sz w:val="20"/>
                <w:szCs w:val="20"/>
              </w:rPr>
              <w:t xml:space="preserve"> below</w:t>
            </w:r>
            <w:r w:rsidR="00F10653">
              <w:rPr>
                <w:sz w:val="20"/>
                <w:szCs w:val="20"/>
              </w:rPr>
              <w:t>.</w:t>
            </w:r>
          </w:p>
          <w:p w14:paraId="362F0F40" w14:textId="00141362" w:rsidR="00F10653" w:rsidRPr="00635830" w:rsidRDefault="007718BE" w:rsidP="00FA2AF4">
            <w:pPr>
              <w:spacing w:before="40" w:after="40" w:line="240" w:lineRule="auto"/>
              <w:rPr>
                <w:sz w:val="20"/>
                <w:szCs w:val="20"/>
              </w:rPr>
            </w:pPr>
            <w:r>
              <w:rPr>
                <w:sz w:val="20"/>
                <w:szCs w:val="20"/>
              </w:rPr>
              <w:t xml:space="preserve">Feedback on </w:t>
            </w:r>
            <w:r w:rsidR="00F9552A">
              <w:rPr>
                <w:sz w:val="20"/>
                <w:szCs w:val="20"/>
              </w:rPr>
              <w:t xml:space="preserve">how </w:t>
            </w:r>
            <w:r w:rsidR="00A87BFA">
              <w:rPr>
                <w:sz w:val="20"/>
                <w:szCs w:val="20"/>
              </w:rPr>
              <w:t>often</w:t>
            </w:r>
            <w:r w:rsidR="00F9552A">
              <w:rPr>
                <w:sz w:val="20"/>
                <w:szCs w:val="20"/>
              </w:rPr>
              <w:t xml:space="preserve"> these sweeps should be </w:t>
            </w:r>
            <w:r>
              <w:rPr>
                <w:sz w:val="20"/>
                <w:szCs w:val="20"/>
              </w:rPr>
              <w:t>will be useful.</w:t>
            </w:r>
          </w:p>
        </w:tc>
      </w:tr>
      <w:tr w:rsidR="00FA2AF4" w:rsidRPr="00635830" w14:paraId="572ED226" w14:textId="77777777" w:rsidTr="005271B2">
        <w:tc>
          <w:tcPr>
            <w:tcW w:w="2694" w:type="dxa"/>
            <w:shd w:val="clear" w:color="auto" w:fill="E3E8ED"/>
          </w:tcPr>
          <w:p w14:paraId="3FCCA5FF"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Approach person who exceeds a specified period of gambling</w:t>
            </w:r>
          </w:p>
        </w:tc>
        <w:tc>
          <w:tcPr>
            <w:tcW w:w="5811" w:type="dxa"/>
          </w:tcPr>
          <w:p w14:paraId="2908F1BE" w14:textId="6449F1E6" w:rsidR="00FA2AF4" w:rsidRPr="00635830" w:rsidRDefault="00FA2AF4" w:rsidP="00FA2AF4">
            <w:pPr>
              <w:spacing w:before="40" w:after="40" w:line="240" w:lineRule="auto"/>
              <w:rPr>
                <w:sz w:val="20"/>
                <w:szCs w:val="20"/>
              </w:rPr>
            </w:pPr>
            <w:r w:rsidRPr="00635830">
              <w:rPr>
                <w:sz w:val="20"/>
                <w:szCs w:val="20"/>
              </w:rPr>
              <w:t>Venue staff could be required to talk to a person who has been gambling for a specified period (e.g. two hours)</w:t>
            </w:r>
            <w:r w:rsidR="00F10653">
              <w:rPr>
                <w:sz w:val="20"/>
                <w:szCs w:val="20"/>
              </w:rPr>
              <w:t>.</w:t>
            </w:r>
            <w:r w:rsidR="008B0600">
              <w:rPr>
                <w:sz w:val="20"/>
                <w:szCs w:val="20"/>
              </w:rPr>
              <w:t xml:space="preserve"> Feedback on the </w:t>
            </w:r>
            <w:r w:rsidR="001A7A50">
              <w:rPr>
                <w:sz w:val="20"/>
                <w:szCs w:val="20"/>
              </w:rPr>
              <w:t xml:space="preserve">frequency and </w:t>
            </w:r>
            <w:r w:rsidR="008B0600">
              <w:rPr>
                <w:sz w:val="20"/>
                <w:szCs w:val="20"/>
              </w:rPr>
              <w:t xml:space="preserve">type of interaction </w:t>
            </w:r>
            <w:r w:rsidR="00A532CF">
              <w:rPr>
                <w:sz w:val="20"/>
                <w:szCs w:val="20"/>
              </w:rPr>
              <w:t xml:space="preserve">prescribed </w:t>
            </w:r>
            <w:r w:rsidR="008B0600">
              <w:rPr>
                <w:sz w:val="20"/>
                <w:szCs w:val="20"/>
              </w:rPr>
              <w:t>will be useful.</w:t>
            </w:r>
          </w:p>
        </w:tc>
      </w:tr>
      <w:tr w:rsidR="00FA2AF4" w:rsidRPr="00635830" w14:paraId="0ED1089A" w14:textId="77777777" w:rsidTr="005271B2">
        <w:tc>
          <w:tcPr>
            <w:tcW w:w="2694" w:type="dxa"/>
            <w:shd w:val="clear" w:color="auto" w:fill="E3E8ED"/>
          </w:tcPr>
          <w:p w14:paraId="3A40EAA0"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Recording specified events and signs</w:t>
            </w:r>
          </w:p>
        </w:tc>
        <w:tc>
          <w:tcPr>
            <w:tcW w:w="5811" w:type="dxa"/>
          </w:tcPr>
          <w:p w14:paraId="6775C866" w14:textId="77777777" w:rsidR="008B0600" w:rsidRDefault="00FA2AF4" w:rsidP="00FA2AF4">
            <w:pPr>
              <w:spacing w:before="40" w:after="40" w:line="240" w:lineRule="auto"/>
              <w:rPr>
                <w:sz w:val="20"/>
                <w:szCs w:val="20"/>
              </w:rPr>
            </w:pPr>
            <w:r w:rsidRPr="00635830">
              <w:rPr>
                <w:sz w:val="20"/>
                <w:szCs w:val="20"/>
              </w:rPr>
              <w:t>Class 4 venues could be required to record a specified range of harm-related events and signs</w:t>
            </w:r>
            <w:r w:rsidR="00F10653">
              <w:rPr>
                <w:sz w:val="20"/>
                <w:szCs w:val="20"/>
              </w:rPr>
              <w:t xml:space="preserve">. </w:t>
            </w:r>
          </w:p>
          <w:p w14:paraId="2C95EDD0" w14:textId="77777777" w:rsidR="00FA2AF4" w:rsidRPr="00635830" w:rsidRDefault="00F10653" w:rsidP="00FA2AF4">
            <w:pPr>
              <w:spacing w:before="40" w:after="40" w:line="240" w:lineRule="auto"/>
              <w:rPr>
                <w:sz w:val="20"/>
                <w:szCs w:val="20"/>
              </w:rPr>
            </w:pPr>
            <w:r>
              <w:rPr>
                <w:sz w:val="20"/>
                <w:szCs w:val="20"/>
              </w:rPr>
              <w:t>This would work well in conjunction with option 1, regular sweeps of the gaming room.</w:t>
            </w:r>
          </w:p>
        </w:tc>
      </w:tr>
      <w:tr w:rsidR="00FA2AF4" w:rsidRPr="00635830" w14:paraId="2C0CB096" w14:textId="77777777" w:rsidTr="005271B2">
        <w:tc>
          <w:tcPr>
            <w:tcW w:w="2694" w:type="dxa"/>
            <w:shd w:val="clear" w:color="auto" w:fill="E3E8ED"/>
          </w:tcPr>
          <w:p w14:paraId="0443ACBA"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Records required for use of Management Service Providers (MSPs)</w:t>
            </w:r>
          </w:p>
        </w:tc>
        <w:tc>
          <w:tcPr>
            <w:tcW w:w="5811" w:type="dxa"/>
          </w:tcPr>
          <w:p w14:paraId="33461890" w14:textId="77777777" w:rsidR="00071EF5" w:rsidRDefault="001A7A50" w:rsidP="00FA2AF4">
            <w:pPr>
              <w:spacing w:before="40" w:after="40" w:line="240" w:lineRule="auto"/>
              <w:rPr>
                <w:sz w:val="20"/>
                <w:szCs w:val="20"/>
              </w:rPr>
            </w:pPr>
            <w:r>
              <w:rPr>
                <w:sz w:val="20"/>
                <w:szCs w:val="20"/>
              </w:rPr>
              <w:t>Societies could be required to keep records on their use of contracting MSPs to deliver services to venues on behalf of the society</w:t>
            </w:r>
            <w:r w:rsidR="00071EF5">
              <w:rPr>
                <w:sz w:val="20"/>
                <w:szCs w:val="20"/>
              </w:rPr>
              <w:t>.</w:t>
            </w:r>
            <w:r>
              <w:rPr>
                <w:sz w:val="20"/>
                <w:szCs w:val="20"/>
              </w:rPr>
              <w:t xml:space="preserve"> </w:t>
            </w:r>
          </w:p>
          <w:p w14:paraId="2329209C" w14:textId="77777777" w:rsidR="00071EF5" w:rsidRPr="00071EF5" w:rsidRDefault="00071EF5" w:rsidP="00071EF5">
            <w:pPr>
              <w:spacing w:before="40" w:after="40" w:line="240" w:lineRule="auto"/>
              <w:rPr>
                <w:sz w:val="20"/>
                <w:szCs w:val="20"/>
              </w:rPr>
            </w:pPr>
            <w:r w:rsidRPr="00071EF5">
              <w:rPr>
                <w:sz w:val="20"/>
                <w:szCs w:val="20"/>
              </w:rPr>
              <w:t xml:space="preserve">It is common for societies to use a MSP to discharge a range of the society’s obligations, including services related to harm minimisation, particularly harm minimisation training for venue staff and compliance checks of venue performance, including venue harm minimisation performance. </w:t>
            </w:r>
          </w:p>
          <w:p w14:paraId="7BD4C168" w14:textId="77777777" w:rsidR="00E10E11" w:rsidRPr="00635830" w:rsidRDefault="00071EF5" w:rsidP="00FA2AF4">
            <w:pPr>
              <w:spacing w:before="40" w:after="40" w:line="240" w:lineRule="auto"/>
              <w:rPr>
                <w:sz w:val="20"/>
                <w:szCs w:val="20"/>
              </w:rPr>
            </w:pPr>
            <w:r w:rsidRPr="00071EF5">
              <w:rPr>
                <w:sz w:val="20"/>
                <w:szCs w:val="20"/>
              </w:rPr>
              <w:t xml:space="preserve">Societies’ record keeping of their use of MSPs could provide for a more consistent oversight of harm minimisation activities. </w:t>
            </w:r>
          </w:p>
        </w:tc>
      </w:tr>
      <w:tr w:rsidR="00FA2AF4" w:rsidRPr="00635830" w14:paraId="78B1FE12" w14:textId="77777777" w:rsidTr="005271B2">
        <w:tc>
          <w:tcPr>
            <w:tcW w:w="2694" w:type="dxa"/>
            <w:shd w:val="clear" w:color="auto" w:fill="E3E8ED"/>
          </w:tcPr>
          <w:p w14:paraId="7DDF436E"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No ATMs inside premises with a gambling venue</w:t>
            </w:r>
          </w:p>
        </w:tc>
        <w:tc>
          <w:tcPr>
            <w:tcW w:w="5811" w:type="dxa"/>
          </w:tcPr>
          <w:p w14:paraId="792AC419" w14:textId="77777777" w:rsidR="00FA2AF4" w:rsidRPr="00635830" w:rsidRDefault="00FA2AF4" w:rsidP="00FA2AF4">
            <w:pPr>
              <w:spacing w:before="40" w:after="40" w:line="240" w:lineRule="auto"/>
              <w:rPr>
                <w:sz w:val="20"/>
                <w:szCs w:val="20"/>
              </w:rPr>
            </w:pPr>
            <w:r w:rsidRPr="00635830">
              <w:rPr>
                <w:sz w:val="20"/>
                <w:szCs w:val="20"/>
              </w:rPr>
              <w:t>There could be no access to ATMs from inside a venue, only from outside</w:t>
            </w:r>
            <w:r w:rsidR="00A532CF">
              <w:rPr>
                <w:sz w:val="20"/>
                <w:szCs w:val="20"/>
              </w:rPr>
              <w:t>.</w:t>
            </w:r>
          </w:p>
        </w:tc>
      </w:tr>
      <w:tr w:rsidR="00FA2AF4" w:rsidRPr="00635830" w14:paraId="72196AFC" w14:textId="77777777" w:rsidTr="005271B2">
        <w:tc>
          <w:tcPr>
            <w:tcW w:w="2694" w:type="dxa"/>
            <w:shd w:val="clear" w:color="auto" w:fill="E3E8ED"/>
          </w:tcPr>
          <w:p w14:paraId="5F6CF6A4" w14:textId="77777777" w:rsidR="00FA2AF4" w:rsidRPr="00BF6735" w:rsidRDefault="00877711" w:rsidP="00366E1D">
            <w:pPr>
              <w:pStyle w:val="ListParagraph"/>
              <w:numPr>
                <w:ilvl w:val="0"/>
                <w:numId w:val="27"/>
              </w:numPr>
              <w:spacing w:before="40" w:after="40" w:line="240" w:lineRule="auto"/>
              <w:ind w:left="329" w:hanging="284"/>
              <w:rPr>
                <w:sz w:val="20"/>
              </w:rPr>
            </w:pPr>
            <w:r>
              <w:rPr>
                <w:sz w:val="20"/>
              </w:rPr>
              <w:t>Requirements for e</w:t>
            </w:r>
            <w:r w:rsidR="00FA2AF4" w:rsidRPr="00BF6735">
              <w:rPr>
                <w:sz w:val="20"/>
              </w:rPr>
              <w:t>xcluded gamblers to complete before they can return to a venue</w:t>
            </w:r>
          </w:p>
        </w:tc>
        <w:tc>
          <w:tcPr>
            <w:tcW w:w="5811" w:type="dxa"/>
          </w:tcPr>
          <w:p w14:paraId="723EE663" w14:textId="632E9DEB" w:rsidR="00FA2AF4" w:rsidRPr="00635830" w:rsidRDefault="00FA2AF4" w:rsidP="00FA2AF4">
            <w:pPr>
              <w:spacing w:before="40" w:after="40" w:line="240" w:lineRule="auto"/>
              <w:rPr>
                <w:sz w:val="20"/>
                <w:szCs w:val="20"/>
              </w:rPr>
            </w:pPr>
            <w:r w:rsidRPr="00635830">
              <w:rPr>
                <w:sz w:val="20"/>
                <w:szCs w:val="20"/>
              </w:rPr>
              <w:t xml:space="preserve">Excluded gamblers could be required to </w:t>
            </w:r>
            <w:r w:rsidR="001A7A50">
              <w:rPr>
                <w:sz w:val="20"/>
                <w:szCs w:val="20"/>
              </w:rPr>
              <w:t>seek help</w:t>
            </w:r>
            <w:r w:rsidRPr="00635830">
              <w:rPr>
                <w:sz w:val="20"/>
                <w:szCs w:val="20"/>
              </w:rPr>
              <w:t xml:space="preserve"> before they can return to a venue</w:t>
            </w:r>
            <w:r w:rsidR="00A532CF">
              <w:rPr>
                <w:sz w:val="20"/>
                <w:szCs w:val="20"/>
              </w:rPr>
              <w:t>.</w:t>
            </w:r>
          </w:p>
        </w:tc>
      </w:tr>
      <w:tr w:rsidR="00FA2AF4" w:rsidRPr="00635830" w14:paraId="7147FBD3" w14:textId="77777777" w:rsidTr="005271B2">
        <w:tc>
          <w:tcPr>
            <w:tcW w:w="2694" w:type="dxa"/>
            <w:shd w:val="clear" w:color="auto" w:fill="E3E8ED"/>
          </w:tcPr>
          <w:p w14:paraId="542A2BAC"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Venue design requirements</w:t>
            </w:r>
          </w:p>
        </w:tc>
        <w:tc>
          <w:tcPr>
            <w:tcW w:w="5811" w:type="dxa"/>
          </w:tcPr>
          <w:p w14:paraId="70DA5580" w14:textId="77777777" w:rsidR="00FA2AF4" w:rsidRDefault="00FA2AF4" w:rsidP="00FA2AF4">
            <w:pPr>
              <w:spacing w:before="40" w:after="40" w:line="240" w:lineRule="auto"/>
              <w:rPr>
                <w:sz w:val="20"/>
                <w:szCs w:val="20"/>
              </w:rPr>
            </w:pPr>
            <w:r w:rsidRPr="00635830">
              <w:rPr>
                <w:sz w:val="20"/>
                <w:szCs w:val="20"/>
              </w:rPr>
              <w:t>Venue design could be considered in how gambling harm could be prevented or minimised</w:t>
            </w:r>
            <w:r>
              <w:rPr>
                <w:sz w:val="20"/>
                <w:szCs w:val="20"/>
              </w:rPr>
              <w:t xml:space="preserve">. </w:t>
            </w:r>
            <w:r w:rsidR="0059151F">
              <w:rPr>
                <w:sz w:val="20"/>
                <w:szCs w:val="20"/>
              </w:rPr>
              <w:t>This relates to c</w:t>
            </w:r>
            <w:r>
              <w:rPr>
                <w:sz w:val="20"/>
                <w:szCs w:val="20"/>
              </w:rPr>
              <w:t>hanges to reduce the opaque nature of the gambling room</w:t>
            </w:r>
            <w:r w:rsidR="00A532CF">
              <w:rPr>
                <w:sz w:val="20"/>
                <w:szCs w:val="20"/>
              </w:rPr>
              <w:t xml:space="preserve"> and its </w:t>
            </w:r>
            <w:r w:rsidR="0059151F">
              <w:rPr>
                <w:sz w:val="20"/>
                <w:szCs w:val="20"/>
              </w:rPr>
              <w:t>‘cosiness’</w:t>
            </w:r>
            <w:r w:rsidR="00A532CF">
              <w:rPr>
                <w:sz w:val="20"/>
                <w:szCs w:val="20"/>
              </w:rPr>
              <w:t xml:space="preserve">, to </w:t>
            </w:r>
            <w:r>
              <w:rPr>
                <w:sz w:val="20"/>
                <w:szCs w:val="20"/>
              </w:rPr>
              <w:t>reduce factors that support being ‘in the zone’.</w:t>
            </w:r>
          </w:p>
          <w:p w14:paraId="030EFE8C" w14:textId="563CE433" w:rsidR="00FA2AF4" w:rsidRPr="00635830" w:rsidRDefault="0059151F" w:rsidP="0059151F">
            <w:pPr>
              <w:spacing w:before="40" w:after="40" w:line="240" w:lineRule="auto"/>
              <w:rPr>
                <w:sz w:val="20"/>
                <w:szCs w:val="20"/>
              </w:rPr>
            </w:pPr>
            <w:r>
              <w:rPr>
                <w:sz w:val="20"/>
                <w:szCs w:val="20"/>
              </w:rPr>
              <w:t xml:space="preserve">For example, requirements could cover the level of light required in the room, the maximum sound level for the machines, having </w:t>
            </w:r>
            <w:r w:rsidR="004D14E1">
              <w:rPr>
                <w:sz w:val="20"/>
                <w:szCs w:val="20"/>
              </w:rPr>
              <w:t>‘</w:t>
            </w:r>
            <w:r>
              <w:rPr>
                <w:sz w:val="20"/>
                <w:szCs w:val="20"/>
              </w:rPr>
              <w:t>stand</w:t>
            </w:r>
            <w:r w:rsidR="004D14E1">
              <w:rPr>
                <w:sz w:val="20"/>
                <w:szCs w:val="20"/>
              </w:rPr>
              <w:t xml:space="preserve"> at’</w:t>
            </w:r>
            <w:r>
              <w:rPr>
                <w:sz w:val="20"/>
                <w:szCs w:val="20"/>
              </w:rPr>
              <w:t xml:space="preserve"> machines</w:t>
            </w:r>
            <w:r w:rsidR="004D14E1">
              <w:rPr>
                <w:sz w:val="20"/>
                <w:szCs w:val="20"/>
              </w:rPr>
              <w:t xml:space="preserve"> instead of seated</w:t>
            </w:r>
            <w:r>
              <w:rPr>
                <w:sz w:val="20"/>
                <w:szCs w:val="20"/>
              </w:rPr>
              <w:t>, etc.</w:t>
            </w:r>
          </w:p>
        </w:tc>
      </w:tr>
      <w:tr w:rsidR="00FA2AF4" w:rsidRPr="00635830" w14:paraId="18AFCA15" w14:textId="77777777" w:rsidTr="005271B2">
        <w:tc>
          <w:tcPr>
            <w:tcW w:w="2694" w:type="dxa"/>
            <w:shd w:val="clear" w:color="auto" w:fill="E3E8ED"/>
          </w:tcPr>
          <w:p w14:paraId="7194CBFB"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lastRenderedPageBreak/>
              <w:t>Mandatory pre-commitment on machines</w:t>
            </w:r>
          </w:p>
          <w:p w14:paraId="7462568A" w14:textId="77777777" w:rsidR="00FA2AF4" w:rsidRPr="00BF6735" w:rsidRDefault="00FA2AF4" w:rsidP="00366E1D">
            <w:pPr>
              <w:spacing w:before="40" w:after="40" w:line="240" w:lineRule="auto"/>
              <w:ind w:left="329" w:hanging="284"/>
              <w:rPr>
                <w:sz w:val="20"/>
                <w:szCs w:val="20"/>
              </w:rPr>
            </w:pPr>
          </w:p>
        </w:tc>
        <w:tc>
          <w:tcPr>
            <w:tcW w:w="5811" w:type="dxa"/>
          </w:tcPr>
          <w:p w14:paraId="7B9EDDCC" w14:textId="77777777" w:rsidR="00FA2AF4" w:rsidRPr="00635830" w:rsidRDefault="00FA2AF4" w:rsidP="00FA2AF4">
            <w:pPr>
              <w:spacing w:before="40" w:after="40" w:line="240" w:lineRule="auto"/>
              <w:rPr>
                <w:sz w:val="20"/>
                <w:szCs w:val="20"/>
              </w:rPr>
            </w:pPr>
            <w:r w:rsidRPr="00635830">
              <w:rPr>
                <w:sz w:val="20"/>
                <w:szCs w:val="20"/>
              </w:rPr>
              <w:t>All gamblers could be required to pre-commit to the amount of money or time they intend to spend prior to gambling</w:t>
            </w:r>
            <w:r w:rsidR="0059151F">
              <w:rPr>
                <w:sz w:val="20"/>
                <w:szCs w:val="20"/>
              </w:rPr>
              <w:t>.</w:t>
            </w:r>
          </w:p>
        </w:tc>
      </w:tr>
      <w:tr w:rsidR="00FA2AF4" w:rsidRPr="00635830" w14:paraId="2F995F6B" w14:textId="77777777" w:rsidTr="005271B2">
        <w:tc>
          <w:tcPr>
            <w:tcW w:w="2694" w:type="dxa"/>
            <w:shd w:val="clear" w:color="auto" w:fill="E3E8ED"/>
          </w:tcPr>
          <w:p w14:paraId="2AE83B8E" w14:textId="77777777" w:rsidR="00FA2AF4" w:rsidRPr="00BF6735" w:rsidRDefault="00FA2AF4" w:rsidP="00366E1D">
            <w:pPr>
              <w:pStyle w:val="ListParagraph"/>
              <w:numPr>
                <w:ilvl w:val="0"/>
                <w:numId w:val="27"/>
              </w:numPr>
              <w:spacing w:before="40" w:after="40" w:line="240" w:lineRule="auto"/>
              <w:ind w:left="329" w:hanging="284"/>
              <w:rPr>
                <w:sz w:val="20"/>
              </w:rPr>
            </w:pPr>
            <w:r w:rsidRPr="00BF6735">
              <w:rPr>
                <w:sz w:val="20"/>
              </w:rPr>
              <w:t xml:space="preserve">Standardised content for harmful gambling awareness training </w:t>
            </w:r>
          </w:p>
        </w:tc>
        <w:tc>
          <w:tcPr>
            <w:tcW w:w="5811" w:type="dxa"/>
          </w:tcPr>
          <w:p w14:paraId="2A418BB5" w14:textId="77777777" w:rsidR="00FA2AF4" w:rsidRPr="00635830" w:rsidRDefault="00FA2AF4" w:rsidP="00FA2AF4">
            <w:pPr>
              <w:spacing w:before="40" w:after="40" w:line="240" w:lineRule="auto"/>
              <w:rPr>
                <w:sz w:val="20"/>
                <w:szCs w:val="20"/>
              </w:rPr>
            </w:pPr>
            <w:r w:rsidRPr="00635830">
              <w:rPr>
                <w:sz w:val="20"/>
                <w:szCs w:val="20"/>
              </w:rPr>
              <w:t>Standardised content for harmful gambling awareness training could be established</w:t>
            </w:r>
            <w:r w:rsidR="00A532CF">
              <w:rPr>
                <w:sz w:val="20"/>
                <w:szCs w:val="20"/>
              </w:rPr>
              <w:t>.</w:t>
            </w:r>
          </w:p>
        </w:tc>
      </w:tr>
      <w:tr w:rsidR="00FA2AF4" w:rsidRPr="00635830" w14:paraId="5B821270" w14:textId="77777777" w:rsidTr="005271B2">
        <w:tc>
          <w:tcPr>
            <w:tcW w:w="2694" w:type="dxa"/>
            <w:shd w:val="clear" w:color="auto" w:fill="E3E8ED"/>
          </w:tcPr>
          <w:p w14:paraId="29EE5C59" w14:textId="77777777" w:rsidR="00FA2AF4" w:rsidRPr="00BF6735" w:rsidRDefault="00FA2AF4" w:rsidP="00366E1D">
            <w:pPr>
              <w:pStyle w:val="ListParagraph"/>
              <w:numPr>
                <w:ilvl w:val="0"/>
                <w:numId w:val="27"/>
              </w:numPr>
              <w:spacing w:before="40" w:after="40" w:line="240" w:lineRule="auto"/>
              <w:ind w:left="323" w:hanging="323"/>
              <w:rPr>
                <w:sz w:val="20"/>
              </w:rPr>
            </w:pPr>
            <w:r w:rsidRPr="00BF6735">
              <w:rPr>
                <w:sz w:val="20"/>
              </w:rPr>
              <w:t>All staff supervising gambling must be trained</w:t>
            </w:r>
          </w:p>
        </w:tc>
        <w:tc>
          <w:tcPr>
            <w:tcW w:w="5811" w:type="dxa"/>
          </w:tcPr>
          <w:p w14:paraId="385978F5" w14:textId="77777777" w:rsidR="00FA2AF4" w:rsidRPr="00635830" w:rsidRDefault="00FA2AF4" w:rsidP="00FA2AF4">
            <w:pPr>
              <w:spacing w:before="40" w:after="40" w:line="240" w:lineRule="auto"/>
              <w:rPr>
                <w:sz w:val="20"/>
                <w:szCs w:val="20"/>
              </w:rPr>
            </w:pPr>
            <w:r w:rsidRPr="00635830">
              <w:rPr>
                <w:sz w:val="20"/>
                <w:szCs w:val="20"/>
              </w:rPr>
              <w:t xml:space="preserve">All staff who </w:t>
            </w:r>
            <w:r w:rsidR="0059151F">
              <w:rPr>
                <w:sz w:val="20"/>
                <w:szCs w:val="20"/>
              </w:rPr>
              <w:t xml:space="preserve">have a role in supervising the </w:t>
            </w:r>
            <w:r w:rsidRPr="00635830">
              <w:rPr>
                <w:sz w:val="20"/>
                <w:szCs w:val="20"/>
              </w:rPr>
              <w:t xml:space="preserve">gambling </w:t>
            </w:r>
            <w:r w:rsidR="0059151F">
              <w:rPr>
                <w:sz w:val="20"/>
                <w:szCs w:val="20"/>
              </w:rPr>
              <w:t xml:space="preserve">room </w:t>
            </w:r>
            <w:r w:rsidRPr="00635830">
              <w:rPr>
                <w:sz w:val="20"/>
                <w:szCs w:val="20"/>
              </w:rPr>
              <w:t>could be required to be trained</w:t>
            </w:r>
            <w:r w:rsidR="0059151F">
              <w:rPr>
                <w:sz w:val="20"/>
                <w:szCs w:val="20"/>
              </w:rPr>
              <w:t>.</w:t>
            </w:r>
          </w:p>
        </w:tc>
      </w:tr>
    </w:tbl>
    <w:p w14:paraId="280A3ED0" w14:textId="5B140041" w:rsidR="00BE706B" w:rsidRDefault="00F96D4F" w:rsidP="00BF6735">
      <w:pPr>
        <w:pStyle w:val="ListParagraph"/>
        <w:numPr>
          <w:ilvl w:val="0"/>
          <w:numId w:val="5"/>
        </w:numPr>
        <w:spacing w:before="200" w:after="120" w:line="240" w:lineRule="auto"/>
        <w:ind w:left="567" w:hanging="567"/>
        <w:contextualSpacing w:val="0"/>
        <w:rPr>
          <w:sz w:val="20"/>
          <w:lang w:val="en-NZ"/>
        </w:rPr>
      </w:pPr>
      <w:r>
        <w:rPr>
          <w:sz w:val="20"/>
          <w:lang w:val="en-NZ"/>
        </w:rPr>
        <w:t xml:space="preserve">Some of our </w:t>
      </w:r>
      <w:r w:rsidR="00BE706B">
        <w:rPr>
          <w:sz w:val="20"/>
          <w:lang w:val="en-NZ"/>
        </w:rPr>
        <w:t>initial thinking</w:t>
      </w:r>
      <w:r w:rsidR="00BE706B" w:rsidRPr="00BE706B">
        <w:rPr>
          <w:sz w:val="20"/>
          <w:lang w:val="en-NZ"/>
        </w:rPr>
        <w:t xml:space="preserve"> </w:t>
      </w:r>
      <w:r w:rsidR="00BE706B">
        <w:rPr>
          <w:sz w:val="20"/>
          <w:lang w:val="en-NZ"/>
        </w:rPr>
        <w:t xml:space="preserve">on the Part A proposals, </w:t>
      </w:r>
      <w:r>
        <w:rPr>
          <w:sz w:val="20"/>
          <w:lang w:val="en-NZ"/>
        </w:rPr>
        <w:t xml:space="preserve">below, </w:t>
      </w:r>
      <w:r w:rsidR="00BE706B">
        <w:rPr>
          <w:sz w:val="20"/>
          <w:lang w:val="en-NZ"/>
        </w:rPr>
        <w:t>has been provided in the discussion document for validation or feedback</w:t>
      </w:r>
      <w:r>
        <w:rPr>
          <w:sz w:val="20"/>
          <w:lang w:val="en-NZ"/>
        </w:rPr>
        <w:t>:</w:t>
      </w:r>
    </w:p>
    <w:p w14:paraId="3F871B31" w14:textId="77777777" w:rsidR="00FA3F77" w:rsidRPr="00FA3F77" w:rsidRDefault="00FA3F77" w:rsidP="000A4041">
      <w:pPr>
        <w:pStyle w:val="Bullet-list"/>
        <w:ind w:left="851" w:hanging="284"/>
        <w:rPr>
          <w:lang w:val="en-NZ"/>
        </w:rPr>
      </w:pPr>
      <w:r w:rsidRPr="00A532CF">
        <w:t>The options directly target some of the key known issues in identifying and approaching at-risk or problem gamblers.</w:t>
      </w:r>
    </w:p>
    <w:p w14:paraId="3D2B03B6" w14:textId="77777777" w:rsidR="00FA3F77" w:rsidRPr="00FA3F77" w:rsidRDefault="00FA3F77" w:rsidP="000A4041">
      <w:pPr>
        <w:pStyle w:val="Bullet-list"/>
        <w:ind w:left="851" w:hanging="284"/>
        <w:rPr>
          <w:lang w:val="en-NZ"/>
        </w:rPr>
      </w:pPr>
      <w:r w:rsidRPr="00A532CF">
        <w:t>Split duties of staff in venues (i.e. monitoring gaming machines and selling and serving food and alcohol) and high turnover of staff working in hospitality industry may have an impact on implementation.</w:t>
      </w:r>
    </w:p>
    <w:p w14:paraId="363A3FF3" w14:textId="77777777" w:rsidR="00FA3F77" w:rsidRPr="00675528" w:rsidRDefault="00FA3F77" w:rsidP="000A4041">
      <w:pPr>
        <w:pStyle w:val="Bullet-list"/>
        <w:ind w:left="851" w:hanging="284"/>
      </w:pPr>
      <w:r w:rsidRPr="00D04115">
        <w:t>Some monetary cost to Class 4 sector to implement (i.e. training and ongoing time requirements for observing and recording)</w:t>
      </w:r>
      <w:r w:rsidRPr="00675528">
        <w:t xml:space="preserve">. </w:t>
      </w:r>
    </w:p>
    <w:p w14:paraId="73B41727" w14:textId="77777777" w:rsidR="00FA3F77" w:rsidRPr="00675528" w:rsidRDefault="00FA3F77" w:rsidP="000A4041">
      <w:pPr>
        <w:pStyle w:val="Bullet-list"/>
        <w:ind w:left="851" w:hanging="284"/>
      </w:pPr>
      <w:r w:rsidRPr="00B134C7">
        <w:t>Some operational updating of systems and practices required by the regulator to determine new internal regulatory criteria, communication to sector and business implementation</w:t>
      </w:r>
      <w:r w:rsidRPr="00675528">
        <w:t>.</w:t>
      </w:r>
    </w:p>
    <w:p w14:paraId="5EE9371D" w14:textId="77777777" w:rsidR="00FA3F77" w:rsidRPr="00675528" w:rsidRDefault="00FA3F77" w:rsidP="000A4041">
      <w:pPr>
        <w:pStyle w:val="Bullet-list"/>
        <w:ind w:left="851" w:hanging="284"/>
      </w:pPr>
      <w:r w:rsidRPr="00B134C7">
        <w:t>What happens at one venue may only be part of a person’s overall gambling activity</w:t>
      </w:r>
      <w:r w:rsidRPr="00675528">
        <w:t xml:space="preserve">. </w:t>
      </w:r>
    </w:p>
    <w:p w14:paraId="33F44ECB" w14:textId="77777777" w:rsidR="00FA3F77" w:rsidRPr="00675528" w:rsidRDefault="00FA3F77" w:rsidP="000A4041">
      <w:pPr>
        <w:pStyle w:val="Bullet-list"/>
        <w:ind w:left="851" w:hanging="284"/>
      </w:pPr>
      <w:r w:rsidRPr="00B134C7">
        <w:t>Greater prescription in identifying harmful gambling behaviour and consistent/improved record keeping, should largely look the same across all venues</w:t>
      </w:r>
      <w:r w:rsidRPr="00675528">
        <w:t>.</w:t>
      </w:r>
    </w:p>
    <w:p w14:paraId="3E7F93DE" w14:textId="77777777" w:rsidR="00FA3F77" w:rsidRPr="00675528" w:rsidRDefault="00FA3F77" w:rsidP="000A4041">
      <w:pPr>
        <w:pStyle w:val="Bullet-list"/>
        <w:ind w:left="851" w:hanging="284"/>
      </w:pPr>
      <w:r w:rsidRPr="00B134C7">
        <w:t>Gambling host responsibility should more closely resemble alcohol host responsibility</w:t>
      </w:r>
      <w:r w:rsidRPr="00675528">
        <w:t>.</w:t>
      </w:r>
    </w:p>
    <w:p w14:paraId="3F58887C" w14:textId="74F38A36" w:rsidR="00FA3F77" w:rsidRPr="00675528" w:rsidRDefault="00C70BB8" w:rsidP="000A4041">
      <w:pPr>
        <w:pStyle w:val="Bullet-list"/>
        <w:ind w:left="851" w:hanging="284"/>
      </w:pPr>
      <w:r>
        <w:t>Proposals s</w:t>
      </w:r>
      <w:r w:rsidR="00FA3F77" w:rsidRPr="00B134C7">
        <w:t>till rel</w:t>
      </w:r>
      <w:r>
        <w:t>y</w:t>
      </w:r>
      <w:r w:rsidR="00FA3F77" w:rsidRPr="00B134C7">
        <w:t xml:space="preserve"> heavily on human intervention, so some variation possible in implementation.</w:t>
      </w:r>
    </w:p>
    <w:p w14:paraId="4278D8E9" w14:textId="77777777" w:rsidR="00BE706B" w:rsidRPr="00491F37" w:rsidRDefault="00BE706B" w:rsidP="00FA3F77">
      <w:pPr>
        <w:spacing w:before="120" w:after="120" w:line="240" w:lineRule="auto"/>
        <w:rPr>
          <w:sz w:val="2"/>
          <w:szCs w:val="2"/>
          <w:lang w:val="en-NZ"/>
        </w:rPr>
      </w:pPr>
    </w:p>
    <w:p w14:paraId="312630A5" w14:textId="77777777" w:rsidR="00C90218" w:rsidRPr="00C90218" w:rsidRDefault="00C90218" w:rsidP="00C90218">
      <w:pPr>
        <w:spacing w:before="120" w:after="120" w:line="240" w:lineRule="auto"/>
        <w:rPr>
          <w:b/>
          <w:sz w:val="20"/>
          <w:lang w:val="en-NZ"/>
        </w:rPr>
      </w:pPr>
      <w:r w:rsidRPr="00C90218">
        <w:rPr>
          <w:b/>
          <w:sz w:val="20"/>
          <w:lang w:val="en-NZ"/>
        </w:rPr>
        <w:t xml:space="preserve">Part B </w:t>
      </w:r>
      <w:r w:rsidR="0099236C">
        <w:rPr>
          <w:b/>
          <w:sz w:val="20"/>
          <w:lang w:val="en-NZ"/>
        </w:rPr>
        <w:t>– Game features</w:t>
      </w:r>
    </w:p>
    <w:p w14:paraId="21250728" w14:textId="77777777" w:rsidR="00481CED" w:rsidRPr="00DB65C9" w:rsidRDefault="00481CED" w:rsidP="00A42B77">
      <w:pPr>
        <w:pStyle w:val="ListParagraph"/>
        <w:numPr>
          <w:ilvl w:val="0"/>
          <w:numId w:val="5"/>
        </w:numPr>
        <w:spacing w:before="120" w:after="120" w:line="240" w:lineRule="auto"/>
        <w:ind w:left="567" w:hanging="567"/>
        <w:contextualSpacing w:val="0"/>
        <w:rPr>
          <w:sz w:val="20"/>
          <w:lang w:val="en-NZ"/>
        </w:rPr>
      </w:pPr>
      <w:r w:rsidRPr="00DB65C9">
        <w:rPr>
          <w:sz w:val="20"/>
          <w:lang w:val="en-NZ"/>
        </w:rPr>
        <w:t>Part</w:t>
      </w:r>
      <w:r w:rsidR="00822080">
        <w:rPr>
          <w:sz w:val="20"/>
          <w:lang w:val="en-NZ"/>
        </w:rPr>
        <w:t xml:space="preserve"> B considers </w:t>
      </w:r>
      <w:r w:rsidRPr="00DB65C9">
        <w:rPr>
          <w:sz w:val="20"/>
          <w:lang w:val="en-NZ"/>
        </w:rPr>
        <w:t>how gambling harm can be reduced at its source, by reducing harm associated with the gaming machine experience.</w:t>
      </w:r>
    </w:p>
    <w:p w14:paraId="24903B83" w14:textId="77777777" w:rsidR="00572954" w:rsidRDefault="00822080" w:rsidP="00A42B77">
      <w:pPr>
        <w:pStyle w:val="ListParagraph"/>
        <w:numPr>
          <w:ilvl w:val="0"/>
          <w:numId w:val="5"/>
        </w:numPr>
        <w:spacing w:before="120" w:after="120" w:line="240" w:lineRule="auto"/>
        <w:ind w:left="567" w:hanging="567"/>
        <w:contextualSpacing w:val="0"/>
        <w:rPr>
          <w:sz w:val="20"/>
          <w:lang w:val="en-NZ"/>
        </w:rPr>
      </w:pPr>
      <w:r>
        <w:rPr>
          <w:sz w:val="20"/>
          <w:lang w:val="en-NZ"/>
        </w:rPr>
        <w:t xml:space="preserve">The proposals selected for </w:t>
      </w:r>
      <w:r w:rsidR="00EB7975">
        <w:rPr>
          <w:sz w:val="20"/>
          <w:lang w:val="en-NZ"/>
        </w:rPr>
        <w:t xml:space="preserve">Part B of </w:t>
      </w:r>
      <w:r>
        <w:rPr>
          <w:sz w:val="20"/>
          <w:lang w:val="en-NZ"/>
        </w:rPr>
        <w:t xml:space="preserve">the discussion document may </w:t>
      </w:r>
      <w:r w:rsidR="00481CED" w:rsidRPr="00DB65C9">
        <w:rPr>
          <w:sz w:val="20"/>
          <w:lang w:val="en-NZ"/>
        </w:rPr>
        <w:t>help improve at-risk users’ ability to control their gambling, reduce spending and time spent gambling</w:t>
      </w:r>
      <w:r w:rsidR="00DB65C9" w:rsidRPr="00DB65C9">
        <w:rPr>
          <w:sz w:val="20"/>
          <w:lang w:val="en-NZ"/>
        </w:rPr>
        <w:t>.</w:t>
      </w:r>
      <w:r w:rsidR="00481CED" w:rsidRPr="00DB65C9">
        <w:rPr>
          <w:sz w:val="20"/>
          <w:lang w:val="en-NZ"/>
        </w:rPr>
        <w:t xml:space="preserve"> </w:t>
      </w:r>
    </w:p>
    <w:p w14:paraId="4C47C9FC" w14:textId="44BA4FCF" w:rsidR="00481CED" w:rsidRPr="00DB65C9" w:rsidRDefault="00C018E1" w:rsidP="00A42B77">
      <w:pPr>
        <w:pStyle w:val="ListParagraph"/>
        <w:numPr>
          <w:ilvl w:val="0"/>
          <w:numId w:val="5"/>
        </w:numPr>
        <w:spacing w:before="120" w:after="120" w:line="240" w:lineRule="auto"/>
        <w:ind w:left="567" w:hanging="567"/>
        <w:contextualSpacing w:val="0"/>
        <w:rPr>
          <w:sz w:val="20"/>
          <w:lang w:val="en-NZ"/>
        </w:rPr>
      </w:pPr>
      <w:r>
        <w:rPr>
          <w:sz w:val="20"/>
          <w:lang w:val="en-NZ"/>
        </w:rPr>
        <w:t>The</w:t>
      </w:r>
      <w:r w:rsidR="00572954">
        <w:rPr>
          <w:sz w:val="20"/>
          <w:lang w:val="en-NZ"/>
        </w:rPr>
        <w:t xml:space="preserve"> proposals </w:t>
      </w:r>
      <w:r>
        <w:rPr>
          <w:sz w:val="20"/>
          <w:lang w:val="en-NZ"/>
        </w:rPr>
        <w:t xml:space="preserve">are based on </w:t>
      </w:r>
      <w:r w:rsidR="00572954">
        <w:rPr>
          <w:sz w:val="20"/>
          <w:lang w:val="en-NZ"/>
        </w:rPr>
        <w:t xml:space="preserve">(a) information to address </w:t>
      </w:r>
      <w:r w:rsidR="006F31A9">
        <w:rPr>
          <w:sz w:val="20"/>
          <w:lang w:val="en-NZ"/>
        </w:rPr>
        <w:t xml:space="preserve">the </w:t>
      </w:r>
      <w:r w:rsidR="00572954">
        <w:rPr>
          <w:sz w:val="20"/>
          <w:lang w:val="en-NZ"/>
        </w:rPr>
        <w:t xml:space="preserve">fallacy of having any ‘control’ in the game, and (b) removing some of the </w:t>
      </w:r>
      <w:r>
        <w:rPr>
          <w:sz w:val="20"/>
          <w:lang w:val="en-NZ"/>
        </w:rPr>
        <w:t xml:space="preserve">key </w:t>
      </w:r>
      <w:r w:rsidR="00572954">
        <w:rPr>
          <w:sz w:val="20"/>
          <w:lang w:val="en-NZ"/>
        </w:rPr>
        <w:t>‘reinforcing’ features that keep people gambling.</w:t>
      </w:r>
    </w:p>
    <w:tbl>
      <w:tblPr>
        <w:tblStyle w:val="DIATable"/>
        <w:tblW w:w="0" w:type="auto"/>
        <w:tblInd w:w="5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46"/>
        <w:gridCol w:w="5842"/>
      </w:tblGrid>
      <w:tr w:rsidR="00481CED" w:rsidRPr="00DB65C9" w14:paraId="4F5117F3" w14:textId="77777777" w:rsidTr="005271B2">
        <w:trPr>
          <w:cnfStyle w:val="100000000000" w:firstRow="1" w:lastRow="0" w:firstColumn="0" w:lastColumn="0" w:oddVBand="0" w:evenVBand="0" w:oddHBand="0" w:evenHBand="0" w:firstRowFirstColumn="0" w:firstRowLastColumn="0" w:lastRowFirstColumn="0" w:lastRowLastColumn="0"/>
          <w:cantSplit w:val="0"/>
        </w:trPr>
        <w:tc>
          <w:tcPr>
            <w:tcW w:w="26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1CA7A1" w14:textId="77777777" w:rsidR="00481CED" w:rsidRPr="00DB65C9" w:rsidRDefault="00481CED" w:rsidP="00EB7975">
            <w:pPr>
              <w:spacing w:before="40" w:after="40" w:line="240" w:lineRule="auto"/>
              <w:rPr>
                <w:b w:val="0"/>
                <w:sz w:val="20"/>
                <w:szCs w:val="20"/>
              </w:rPr>
            </w:pPr>
            <w:r w:rsidRPr="00DB65C9">
              <w:rPr>
                <w:sz w:val="20"/>
                <w:szCs w:val="20"/>
              </w:rPr>
              <w:t>Option</w:t>
            </w:r>
            <w:r w:rsidR="00D0680B" w:rsidRPr="00DB65C9">
              <w:rPr>
                <w:sz w:val="20"/>
                <w:szCs w:val="20"/>
              </w:rPr>
              <w:t>s</w:t>
            </w:r>
          </w:p>
        </w:tc>
        <w:tc>
          <w:tcPr>
            <w:tcW w:w="58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57B895" w14:textId="77777777" w:rsidR="00481CED" w:rsidRPr="00822080" w:rsidRDefault="00481CED" w:rsidP="00EB7975">
            <w:pPr>
              <w:spacing w:before="40" w:after="40" w:line="240" w:lineRule="auto"/>
              <w:rPr>
                <w:sz w:val="20"/>
                <w:szCs w:val="20"/>
              </w:rPr>
            </w:pPr>
            <w:r w:rsidRPr="00822080">
              <w:rPr>
                <w:sz w:val="20"/>
                <w:szCs w:val="20"/>
              </w:rPr>
              <w:t>Description and discussion</w:t>
            </w:r>
          </w:p>
        </w:tc>
      </w:tr>
      <w:tr w:rsidR="00481CED" w:rsidRPr="00DB65C9" w14:paraId="2BFC43F4" w14:textId="77777777" w:rsidTr="005271B2">
        <w:trPr>
          <w:cantSplit w:val="0"/>
        </w:trPr>
        <w:tc>
          <w:tcPr>
            <w:tcW w:w="2646" w:type="dxa"/>
            <w:shd w:val="clear" w:color="auto" w:fill="E3E8ED"/>
          </w:tcPr>
          <w:p w14:paraId="7510ADB9" w14:textId="77777777" w:rsidR="00481CED" w:rsidRPr="00BF6735" w:rsidRDefault="00481CED" w:rsidP="00BF6735">
            <w:pPr>
              <w:pStyle w:val="ListParagraph"/>
              <w:numPr>
                <w:ilvl w:val="0"/>
                <w:numId w:val="27"/>
              </w:numPr>
              <w:spacing w:before="40" w:after="40" w:line="240" w:lineRule="auto"/>
              <w:ind w:left="323" w:hanging="323"/>
              <w:rPr>
                <w:sz w:val="20"/>
              </w:rPr>
            </w:pPr>
            <w:r w:rsidRPr="00BF6735">
              <w:rPr>
                <w:sz w:val="20"/>
              </w:rPr>
              <w:t>Pokies machines could be required to display more information (such as: return to player; volatility of games; harm minimisation messages).</w:t>
            </w:r>
          </w:p>
        </w:tc>
        <w:tc>
          <w:tcPr>
            <w:tcW w:w="5842" w:type="dxa"/>
          </w:tcPr>
          <w:p w14:paraId="1BE59A5B" w14:textId="77777777" w:rsidR="00481CED" w:rsidRPr="00DB65C9" w:rsidRDefault="00481CED" w:rsidP="00EB7975">
            <w:pPr>
              <w:spacing w:before="40" w:after="40" w:line="240" w:lineRule="auto"/>
              <w:rPr>
                <w:b/>
                <w:sz w:val="20"/>
                <w:szCs w:val="20"/>
              </w:rPr>
            </w:pPr>
            <w:r w:rsidRPr="00DB65C9">
              <w:rPr>
                <w:b/>
                <w:sz w:val="20"/>
                <w:szCs w:val="20"/>
              </w:rPr>
              <w:t xml:space="preserve">RTP (return to player) ratio of games </w:t>
            </w:r>
          </w:p>
          <w:p w14:paraId="525F4A2F" w14:textId="77777777" w:rsidR="0059151F" w:rsidRDefault="00481CED" w:rsidP="00EB7975">
            <w:pPr>
              <w:spacing w:before="40" w:after="40" w:line="240" w:lineRule="auto"/>
              <w:rPr>
                <w:sz w:val="20"/>
                <w:szCs w:val="20"/>
              </w:rPr>
            </w:pPr>
            <w:r w:rsidRPr="00DB65C9">
              <w:rPr>
                <w:sz w:val="20"/>
                <w:szCs w:val="20"/>
              </w:rPr>
              <w:t xml:space="preserve">The ratio refers to the level of loss a player should expect on average when playing a </w:t>
            </w:r>
            <w:proofErr w:type="gramStart"/>
            <w:r w:rsidRPr="00DB65C9">
              <w:rPr>
                <w:sz w:val="20"/>
                <w:szCs w:val="20"/>
              </w:rPr>
              <w:t>particular game</w:t>
            </w:r>
            <w:proofErr w:type="gramEnd"/>
            <w:r w:rsidRPr="00DB65C9">
              <w:rPr>
                <w:sz w:val="20"/>
                <w:szCs w:val="20"/>
              </w:rPr>
              <w:t xml:space="preserve">. Most games </w:t>
            </w:r>
            <w:r w:rsidR="000121E6">
              <w:rPr>
                <w:sz w:val="20"/>
                <w:szCs w:val="20"/>
              </w:rPr>
              <w:t xml:space="preserve">in NZ </w:t>
            </w:r>
            <w:r w:rsidRPr="00DB65C9">
              <w:rPr>
                <w:sz w:val="20"/>
                <w:szCs w:val="20"/>
              </w:rPr>
              <w:t xml:space="preserve">are set at the higher end </w:t>
            </w:r>
            <w:r w:rsidR="000121E6">
              <w:rPr>
                <w:sz w:val="20"/>
                <w:szCs w:val="20"/>
              </w:rPr>
              <w:t xml:space="preserve">of the 78% to 92% requirements </w:t>
            </w:r>
            <w:r w:rsidRPr="00DB65C9">
              <w:rPr>
                <w:sz w:val="20"/>
                <w:szCs w:val="20"/>
              </w:rPr>
              <w:t xml:space="preserve">(e.g. near 92%, or $0.08 lost for a single game </w:t>
            </w:r>
            <w:r w:rsidR="0059151F">
              <w:rPr>
                <w:sz w:val="20"/>
                <w:szCs w:val="20"/>
              </w:rPr>
              <w:t xml:space="preserve">bet of </w:t>
            </w:r>
            <w:r w:rsidRPr="00DB65C9">
              <w:rPr>
                <w:sz w:val="20"/>
                <w:szCs w:val="20"/>
              </w:rPr>
              <w:t xml:space="preserve">$1). </w:t>
            </w:r>
          </w:p>
          <w:p w14:paraId="2CADBE99" w14:textId="77777777" w:rsidR="00481CED" w:rsidRPr="00DB65C9" w:rsidRDefault="00481CED" w:rsidP="00EB7975">
            <w:pPr>
              <w:spacing w:before="40" w:after="40" w:line="240" w:lineRule="auto"/>
              <w:rPr>
                <w:sz w:val="20"/>
                <w:szCs w:val="20"/>
              </w:rPr>
            </w:pPr>
            <w:r w:rsidRPr="00DB65C9">
              <w:rPr>
                <w:sz w:val="20"/>
                <w:szCs w:val="20"/>
              </w:rPr>
              <w:t xml:space="preserve">Providing information on this aspect of the game </w:t>
            </w:r>
            <w:r w:rsidR="00D04115">
              <w:rPr>
                <w:sz w:val="20"/>
                <w:szCs w:val="20"/>
              </w:rPr>
              <w:t>is</w:t>
            </w:r>
            <w:r w:rsidR="00D04115" w:rsidRPr="00DB65C9">
              <w:rPr>
                <w:sz w:val="20"/>
                <w:szCs w:val="20"/>
              </w:rPr>
              <w:t xml:space="preserve"> </w:t>
            </w:r>
            <w:r w:rsidRPr="00DB65C9">
              <w:rPr>
                <w:sz w:val="20"/>
                <w:szCs w:val="20"/>
              </w:rPr>
              <w:t xml:space="preserve">not likely </w:t>
            </w:r>
            <w:r w:rsidR="00D04115">
              <w:rPr>
                <w:sz w:val="20"/>
                <w:szCs w:val="20"/>
              </w:rPr>
              <w:t xml:space="preserve">to </w:t>
            </w:r>
            <w:r w:rsidRPr="00DB65C9">
              <w:rPr>
                <w:sz w:val="20"/>
                <w:szCs w:val="20"/>
              </w:rPr>
              <w:t xml:space="preserve">assist players when choosing between different games or machines. However, being informed (and reminded) of the level of loss they should expect </w:t>
            </w:r>
            <w:r w:rsidR="00D04115">
              <w:rPr>
                <w:sz w:val="20"/>
                <w:szCs w:val="20"/>
              </w:rPr>
              <w:t>when</w:t>
            </w:r>
            <w:r w:rsidRPr="00DB65C9">
              <w:rPr>
                <w:sz w:val="20"/>
                <w:szCs w:val="20"/>
              </w:rPr>
              <w:t xml:space="preserve"> they gamble on a machine could assist with better decision-making, for those that struggle to control their gambling. </w:t>
            </w:r>
          </w:p>
          <w:p w14:paraId="2075BF09" w14:textId="77777777" w:rsidR="00481CED" w:rsidRPr="00DB65C9" w:rsidRDefault="00481CED" w:rsidP="00EB7975">
            <w:pPr>
              <w:spacing w:before="40" w:after="40" w:line="240" w:lineRule="auto"/>
              <w:rPr>
                <w:b/>
                <w:sz w:val="20"/>
                <w:szCs w:val="20"/>
              </w:rPr>
            </w:pPr>
            <w:r w:rsidRPr="00DB65C9">
              <w:rPr>
                <w:b/>
                <w:sz w:val="20"/>
                <w:szCs w:val="20"/>
              </w:rPr>
              <w:t>Volatility of games</w:t>
            </w:r>
          </w:p>
          <w:p w14:paraId="602E92BC" w14:textId="77777777" w:rsidR="00481CED" w:rsidRPr="00DB65C9" w:rsidRDefault="0059151F" w:rsidP="00EB7975">
            <w:pPr>
              <w:spacing w:before="40" w:after="40" w:line="240" w:lineRule="auto"/>
              <w:rPr>
                <w:sz w:val="20"/>
                <w:szCs w:val="20"/>
              </w:rPr>
            </w:pPr>
            <w:r>
              <w:rPr>
                <w:sz w:val="20"/>
                <w:szCs w:val="20"/>
              </w:rPr>
              <w:t>T</w:t>
            </w:r>
            <w:r w:rsidR="00481CED" w:rsidRPr="00DB65C9">
              <w:rPr>
                <w:sz w:val="20"/>
                <w:szCs w:val="20"/>
              </w:rPr>
              <w:t xml:space="preserve">he likelihood of winning as well as the likely size of wins.  A highly volatile game gives a low chance of winning, but wins are likely to be large. A low volatility game gives a high chance of winning, but wins are likely to be low.  </w:t>
            </w:r>
          </w:p>
          <w:p w14:paraId="75C027A9" w14:textId="77777777" w:rsidR="00481CED" w:rsidRPr="00DB65C9" w:rsidRDefault="00481CED" w:rsidP="00EB7975">
            <w:pPr>
              <w:spacing w:before="40" w:after="40" w:line="240" w:lineRule="auto"/>
              <w:rPr>
                <w:sz w:val="20"/>
                <w:szCs w:val="20"/>
              </w:rPr>
            </w:pPr>
            <w:r w:rsidRPr="00DB65C9">
              <w:rPr>
                <w:sz w:val="20"/>
                <w:szCs w:val="20"/>
              </w:rPr>
              <w:lastRenderedPageBreak/>
              <w:t xml:space="preserve">Being informed about volatility of games may help at-risk players make decisions, especially those who are chasing losses, and assessing the likelihood of regaining those losses. </w:t>
            </w:r>
          </w:p>
          <w:p w14:paraId="67BE77C7" w14:textId="77777777" w:rsidR="00610B8B" w:rsidRPr="00DB65C9" w:rsidRDefault="008646B5" w:rsidP="00EB7975">
            <w:pPr>
              <w:spacing w:before="40" w:after="40" w:line="240" w:lineRule="auto"/>
              <w:rPr>
                <w:sz w:val="20"/>
                <w:szCs w:val="20"/>
              </w:rPr>
            </w:pPr>
            <w:r w:rsidRPr="00DB65C9">
              <w:rPr>
                <w:b/>
                <w:sz w:val="20"/>
                <w:szCs w:val="20"/>
              </w:rPr>
              <w:t>Harm minimisation messaging</w:t>
            </w:r>
            <w:r w:rsidRPr="00DB65C9">
              <w:rPr>
                <w:sz w:val="20"/>
                <w:szCs w:val="20"/>
              </w:rPr>
              <w:t xml:space="preserve"> </w:t>
            </w:r>
          </w:p>
          <w:p w14:paraId="1105F107" w14:textId="77777777" w:rsidR="00481CED" w:rsidRPr="00DB65C9" w:rsidRDefault="00610B8B" w:rsidP="00EB7975">
            <w:pPr>
              <w:spacing w:before="40" w:after="40" w:line="240" w:lineRule="auto"/>
              <w:rPr>
                <w:sz w:val="20"/>
                <w:szCs w:val="20"/>
                <w:highlight w:val="green"/>
              </w:rPr>
            </w:pPr>
            <w:r w:rsidRPr="00DB65C9">
              <w:rPr>
                <w:sz w:val="20"/>
                <w:szCs w:val="20"/>
              </w:rPr>
              <w:t>Currently gaming machines are required to periodically provide information about how much money has been gambled and how much has been lost. This provides potentially useful information to the person using the machine, but also a break. Stronger messaging suggesting a break (or even offering to stop the game for a period) could be used.  Messaging could also be made more prominent.</w:t>
            </w:r>
            <w:r w:rsidRPr="00DB65C9">
              <w:rPr>
                <w:sz w:val="20"/>
                <w:szCs w:val="20"/>
                <w:highlight w:val="green"/>
              </w:rPr>
              <w:t xml:space="preserve"> </w:t>
            </w:r>
          </w:p>
        </w:tc>
      </w:tr>
      <w:tr w:rsidR="00481CED" w:rsidRPr="00DB65C9" w14:paraId="05666723" w14:textId="77777777" w:rsidTr="005271B2">
        <w:trPr>
          <w:cantSplit w:val="0"/>
        </w:trPr>
        <w:tc>
          <w:tcPr>
            <w:tcW w:w="2646" w:type="dxa"/>
            <w:shd w:val="clear" w:color="auto" w:fill="E3E8ED"/>
          </w:tcPr>
          <w:p w14:paraId="07C7BA24" w14:textId="77777777" w:rsidR="00481CED" w:rsidRPr="00BF6735" w:rsidRDefault="0059151F" w:rsidP="00BF6735">
            <w:pPr>
              <w:pStyle w:val="ListParagraph"/>
              <w:numPr>
                <w:ilvl w:val="0"/>
                <w:numId w:val="27"/>
              </w:numPr>
              <w:spacing w:before="40" w:after="40" w:line="240" w:lineRule="auto"/>
              <w:ind w:left="323" w:hanging="323"/>
              <w:rPr>
                <w:sz w:val="20"/>
              </w:rPr>
            </w:pPr>
            <w:r w:rsidRPr="00BF6735">
              <w:rPr>
                <w:sz w:val="20"/>
              </w:rPr>
              <w:lastRenderedPageBreak/>
              <w:t>Display losses as losses</w:t>
            </w:r>
          </w:p>
        </w:tc>
        <w:tc>
          <w:tcPr>
            <w:tcW w:w="5842" w:type="dxa"/>
          </w:tcPr>
          <w:p w14:paraId="143CAA08" w14:textId="77777777" w:rsidR="00481CED" w:rsidRPr="00DB65C9" w:rsidRDefault="00481CED" w:rsidP="00EB7975">
            <w:pPr>
              <w:spacing w:before="40" w:after="40" w:line="240" w:lineRule="auto"/>
              <w:rPr>
                <w:sz w:val="20"/>
                <w:szCs w:val="20"/>
              </w:rPr>
            </w:pPr>
            <w:r w:rsidRPr="00071EF5">
              <w:rPr>
                <w:sz w:val="20"/>
                <w:szCs w:val="20"/>
              </w:rPr>
              <w:t>Stop partial losses being presented as wins</w:t>
            </w:r>
            <w:r w:rsidR="00783B89">
              <w:rPr>
                <w:sz w:val="20"/>
                <w:szCs w:val="20"/>
              </w:rPr>
              <w:t>. That is, a</w:t>
            </w:r>
            <w:r w:rsidRPr="00DB65C9">
              <w:rPr>
                <w:sz w:val="20"/>
                <w:szCs w:val="20"/>
              </w:rPr>
              <w:t xml:space="preserve"> user might gamble $2.50 on a single game and have a return of $0.50</w:t>
            </w:r>
            <w:r w:rsidR="00783B89">
              <w:rPr>
                <w:sz w:val="20"/>
                <w:szCs w:val="20"/>
              </w:rPr>
              <w:t xml:space="preserve"> – but t</w:t>
            </w:r>
            <w:r w:rsidRPr="00DB65C9">
              <w:rPr>
                <w:sz w:val="20"/>
                <w:szCs w:val="20"/>
              </w:rPr>
              <w:t>his will usually be presented as a $0.50 win, even though the user has lost $2.</w:t>
            </w:r>
          </w:p>
          <w:p w14:paraId="7653BC29" w14:textId="77777777" w:rsidR="00481CED" w:rsidRPr="00DB65C9" w:rsidRDefault="00481CED" w:rsidP="0059151F">
            <w:pPr>
              <w:spacing w:before="40" w:after="40" w:line="240" w:lineRule="auto"/>
              <w:rPr>
                <w:sz w:val="20"/>
                <w:szCs w:val="20"/>
              </w:rPr>
            </w:pPr>
            <w:r w:rsidRPr="00DB65C9">
              <w:rPr>
                <w:sz w:val="20"/>
                <w:szCs w:val="20"/>
              </w:rPr>
              <w:t>Providing information about the amount that was lost, instead of presenting the amount of the user’s own money they didn’t lose on a gamble as a win, could help at-risk users understand and better assess thei</w:t>
            </w:r>
            <w:r w:rsidR="0059151F">
              <w:rPr>
                <w:sz w:val="20"/>
                <w:szCs w:val="20"/>
              </w:rPr>
              <w:t>r chances of winning or losing.</w:t>
            </w:r>
          </w:p>
        </w:tc>
      </w:tr>
      <w:tr w:rsidR="00481CED" w:rsidRPr="00DB65C9" w14:paraId="5D206F70" w14:textId="77777777" w:rsidTr="005271B2">
        <w:trPr>
          <w:cantSplit w:val="0"/>
        </w:trPr>
        <w:tc>
          <w:tcPr>
            <w:tcW w:w="2646" w:type="dxa"/>
            <w:shd w:val="clear" w:color="auto" w:fill="E3E8ED"/>
          </w:tcPr>
          <w:p w14:paraId="448F4F1B" w14:textId="77777777" w:rsidR="00481CED" w:rsidRPr="00BF6735" w:rsidRDefault="00481CED" w:rsidP="00BF6735">
            <w:pPr>
              <w:pStyle w:val="ListParagraph"/>
              <w:numPr>
                <w:ilvl w:val="0"/>
                <w:numId w:val="27"/>
              </w:numPr>
              <w:spacing w:before="40" w:after="40" w:line="240" w:lineRule="auto"/>
              <w:ind w:left="323" w:hanging="323"/>
              <w:rPr>
                <w:sz w:val="20"/>
              </w:rPr>
            </w:pPr>
            <w:r w:rsidRPr="00BF6735">
              <w:rPr>
                <w:sz w:val="20"/>
              </w:rPr>
              <w:t>Prevent the ability to make multi-row bets</w:t>
            </w:r>
          </w:p>
        </w:tc>
        <w:tc>
          <w:tcPr>
            <w:tcW w:w="5842" w:type="dxa"/>
          </w:tcPr>
          <w:p w14:paraId="48DA8AC9" w14:textId="77777777" w:rsidR="00481CED" w:rsidRPr="00B134C7" w:rsidRDefault="000121E6" w:rsidP="000121E6">
            <w:pPr>
              <w:spacing w:before="40" w:after="40" w:line="240" w:lineRule="auto"/>
              <w:rPr>
                <w:sz w:val="20"/>
                <w:szCs w:val="20"/>
              </w:rPr>
            </w:pPr>
            <w:r w:rsidRPr="00B134C7">
              <w:rPr>
                <w:sz w:val="20"/>
              </w:rPr>
              <w:t>Multiple lines operate together to disguise losses as wins.</w:t>
            </w:r>
          </w:p>
          <w:p w14:paraId="030B21E8" w14:textId="0218C8F2" w:rsidR="000121E6" w:rsidRPr="00DB65C9" w:rsidRDefault="000121E6" w:rsidP="000121E6">
            <w:pPr>
              <w:spacing w:before="40" w:after="40" w:line="240" w:lineRule="auto"/>
              <w:rPr>
                <w:sz w:val="20"/>
                <w:szCs w:val="20"/>
              </w:rPr>
            </w:pPr>
            <w:r w:rsidRPr="00B134C7">
              <w:rPr>
                <w:sz w:val="20"/>
              </w:rPr>
              <w:t xml:space="preserve">Preventing multi-row bets could reduce harm by not disguising losses and might make EGMs </w:t>
            </w:r>
            <w:r w:rsidR="00D04115">
              <w:rPr>
                <w:sz w:val="20"/>
                <w:szCs w:val="20"/>
              </w:rPr>
              <w:t>less</w:t>
            </w:r>
            <w:r w:rsidR="00D04115" w:rsidRPr="00B134C7">
              <w:rPr>
                <w:sz w:val="20"/>
              </w:rPr>
              <w:t xml:space="preserve"> </w:t>
            </w:r>
            <w:r w:rsidRPr="00B134C7">
              <w:rPr>
                <w:sz w:val="20"/>
              </w:rPr>
              <w:t>attractive</w:t>
            </w:r>
            <w:r w:rsidR="00E10E11">
              <w:rPr>
                <w:sz w:val="20"/>
              </w:rPr>
              <w:t xml:space="preserve"> and reduce the speed at which money is spent</w:t>
            </w:r>
            <w:r w:rsidRPr="00B134C7">
              <w:rPr>
                <w:sz w:val="20"/>
              </w:rPr>
              <w:t>.</w:t>
            </w:r>
            <w:r>
              <w:rPr>
                <w:rFonts w:cs="Times New Roman"/>
              </w:rPr>
              <w:t xml:space="preserve"> </w:t>
            </w:r>
          </w:p>
        </w:tc>
      </w:tr>
      <w:tr w:rsidR="00610B8B" w:rsidRPr="00DB65C9" w14:paraId="47E2F051" w14:textId="77777777" w:rsidTr="005271B2">
        <w:trPr>
          <w:cantSplit w:val="0"/>
        </w:trPr>
        <w:tc>
          <w:tcPr>
            <w:tcW w:w="2646" w:type="dxa"/>
            <w:shd w:val="clear" w:color="auto" w:fill="E3E8ED"/>
          </w:tcPr>
          <w:p w14:paraId="405FF155" w14:textId="77777777" w:rsidR="00610B8B" w:rsidRPr="00BF6735" w:rsidRDefault="00610B8B" w:rsidP="00BF6735">
            <w:pPr>
              <w:pStyle w:val="ListParagraph"/>
              <w:numPr>
                <w:ilvl w:val="0"/>
                <w:numId w:val="27"/>
              </w:numPr>
              <w:spacing w:before="40" w:after="40" w:line="240" w:lineRule="auto"/>
              <w:ind w:left="323" w:hanging="323"/>
              <w:rPr>
                <w:sz w:val="20"/>
              </w:rPr>
            </w:pPr>
            <w:r w:rsidRPr="00BF6735">
              <w:rPr>
                <w:sz w:val="20"/>
              </w:rPr>
              <w:t>Reduce maximum stake of $2.50</w:t>
            </w:r>
          </w:p>
        </w:tc>
        <w:tc>
          <w:tcPr>
            <w:tcW w:w="5842" w:type="dxa"/>
          </w:tcPr>
          <w:p w14:paraId="3BBA2BF6" w14:textId="77777777" w:rsidR="0059151F" w:rsidRDefault="00610B8B" w:rsidP="00EB7975">
            <w:pPr>
              <w:spacing w:before="40" w:after="40" w:line="240" w:lineRule="auto"/>
              <w:rPr>
                <w:sz w:val="20"/>
                <w:szCs w:val="20"/>
              </w:rPr>
            </w:pPr>
            <w:r w:rsidRPr="00DB65C9">
              <w:rPr>
                <w:sz w:val="20"/>
                <w:szCs w:val="20"/>
              </w:rPr>
              <w:t>The current maximum stake of $2.50 is relatively low compared to some other jurisdictions</w:t>
            </w:r>
            <w:r w:rsidR="0059151F">
              <w:rPr>
                <w:sz w:val="20"/>
                <w:szCs w:val="20"/>
              </w:rPr>
              <w:t xml:space="preserve"> but c</w:t>
            </w:r>
            <w:r w:rsidRPr="00DB65C9">
              <w:rPr>
                <w:sz w:val="20"/>
                <w:szCs w:val="20"/>
              </w:rPr>
              <w:t xml:space="preserve">onsideration could be given to reducing the maximum stake – for instance $2, $1.50, or $1. </w:t>
            </w:r>
          </w:p>
          <w:p w14:paraId="70354D4A" w14:textId="77777777" w:rsidR="00610B8B" w:rsidRPr="00DB65C9" w:rsidRDefault="00610B8B" w:rsidP="00EB7975">
            <w:pPr>
              <w:spacing w:before="40" w:after="40" w:line="240" w:lineRule="auto"/>
              <w:rPr>
                <w:sz w:val="20"/>
                <w:szCs w:val="20"/>
              </w:rPr>
            </w:pPr>
            <w:r w:rsidRPr="00DB65C9">
              <w:rPr>
                <w:sz w:val="20"/>
                <w:szCs w:val="20"/>
              </w:rPr>
              <w:t>This would likely reduce the level of harmful gambling but could impact on people who currently gamble without harm, making gaming machines gambling less attractive for that group.</w:t>
            </w:r>
          </w:p>
        </w:tc>
      </w:tr>
      <w:tr w:rsidR="00610B8B" w:rsidRPr="00DB65C9" w14:paraId="52D4E668" w14:textId="77777777" w:rsidTr="005271B2">
        <w:trPr>
          <w:cantSplit w:val="0"/>
        </w:trPr>
        <w:tc>
          <w:tcPr>
            <w:tcW w:w="2646" w:type="dxa"/>
            <w:shd w:val="clear" w:color="auto" w:fill="D5DCE4" w:themeFill="text2" w:themeFillTint="33"/>
          </w:tcPr>
          <w:p w14:paraId="682A2492" w14:textId="77777777" w:rsidR="00610B8B" w:rsidRPr="00BF6735" w:rsidRDefault="00610B8B" w:rsidP="00BF6735">
            <w:pPr>
              <w:pStyle w:val="ListParagraph"/>
              <w:numPr>
                <w:ilvl w:val="0"/>
                <w:numId w:val="27"/>
              </w:numPr>
              <w:spacing w:before="40" w:after="40" w:line="240" w:lineRule="auto"/>
              <w:ind w:left="323" w:hanging="323"/>
              <w:rPr>
                <w:sz w:val="20"/>
              </w:rPr>
            </w:pPr>
            <w:r w:rsidRPr="00BF6735">
              <w:rPr>
                <w:sz w:val="20"/>
              </w:rPr>
              <w:t>Prevent or limit the number of “free spins”</w:t>
            </w:r>
          </w:p>
        </w:tc>
        <w:tc>
          <w:tcPr>
            <w:tcW w:w="5842" w:type="dxa"/>
          </w:tcPr>
          <w:p w14:paraId="33C9EA61" w14:textId="77777777" w:rsidR="00610B8B" w:rsidRDefault="00B95259" w:rsidP="00341104">
            <w:pPr>
              <w:spacing w:before="40" w:after="40" w:line="240" w:lineRule="auto"/>
              <w:rPr>
                <w:sz w:val="20"/>
                <w:szCs w:val="20"/>
              </w:rPr>
            </w:pPr>
            <w:r w:rsidRPr="000121E6">
              <w:rPr>
                <w:sz w:val="20"/>
                <w:szCs w:val="20"/>
              </w:rPr>
              <w:t xml:space="preserve">Research shows that gamblers prefer to play EGMs with free spins. </w:t>
            </w:r>
            <w:r w:rsidR="00341104" w:rsidRPr="000121E6">
              <w:rPr>
                <w:sz w:val="20"/>
                <w:szCs w:val="20"/>
              </w:rPr>
              <w:t>Free spins have been associated with loss of control over time and money spent gambling. Free spins have also been explicitly linked to the notion of getting ‘value for money’ which was attractive both to social and problem gamblers.</w:t>
            </w:r>
          </w:p>
          <w:p w14:paraId="64314FF2" w14:textId="77777777" w:rsidR="000121E6" w:rsidRPr="000121E6" w:rsidRDefault="000121E6" w:rsidP="00341104">
            <w:pPr>
              <w:spacing w:before="40" w:after="40" w:line="240" w:lineRule="auto"/>
              <w:rPr>
                <w:sz w:val="20"/>
                <w:szCs w:val="20"/>
              </w:rPr>
            </w:pPr>
            <w:r>
              <w:rPr>
                <w:sz w:val="20"/>
                <w:szCs w:val="20"/>
              </w:rPr>
              <w:t xml:space="preserve">Preventing </w:t>
            </w:r>
            <w:r w:rsidR="00B134C7">
              <w:rPr>
                <w:sz w:val="20"/>
                <w:szCs w:val="20"/>
              </w:rPr>
              <w:t xml:space="preserve">or limiting </w:t>
            </w:r>
            <w:r>
              <w:rPr>
                <w:sz w:val="20"/>
                <w:szCs w:val="20"/>
              </w:rPr>
              <w:t xml:space="preserve">free spins may reduce the attractiveness of the EGM to problem gamblers, as well as others. </w:t>
            </w:r>
          </w:p>
        </w:tc>
      </w:tr>
      <w:tr w:rsidR="00610B8B" w:rsidRPr="00DB65C9" w14:paraId="0BA5A1F9" w14:textId="77777777" w:rsidTr="00B134C7">
        <w:trPr>
          <w:cantSplit w:val="0"/>
          <w:trHeight w:val="700"/>
        </w:trPr>
        <w:tc>
          <w:tcPr>
            <w:tcW w:w="2646" w:type="dxa"/>
            <w:shd w:val="clear" w:color="auto" w:fill="D5DCE4" w:themeFill="text2" w:themeFillTint="33"/>
          </w:tcPr>
          <w:p w14:paraId="4C980869" w14:textId="77777777" w:rsidR="00610B8B" w:rsidRPr="00BF6735" w:rsidRDefault="00E10E11" w:rsidP="00BF6735">
            <w:pPr>
              <w:pStyle w:val="ListParagraph"/>
              <w:numPr>
                <w:ilvl w:val="0"/>
                <w:numId w:val="27"/>
              </w:numPr>
              <w:spacing w:before="40" w:after="40" w:line="240" w:lineRule="auto"/>
              <w:ind w:left="323" w:hanging="323"/>
              <w:rPr>
                <w:sz w:val="20"/>
              </w:rPr>
            </w:pPr>
            <w:r>
              <w:rPr>
                <w:sz w:val="20"/>
              </w:rPr>
              <w:t xml:space="preserve">Maximum </w:t>
            </w:r>
            <w:r w:rsidR="00610B8B" w:rsidRPr="00BF6735">
              <w:rPr>
                <w:sz w:val="20"/>
              </w:rPr>
              <w:t>number of games in an hour</w:t>
            </w:r>
          </w:p>
        </w:tc>
        <w:tc>
          <w:tcPr>
            <w:tcW w:w="5842" w:type="dxa"/>
          </w:tcPr>
          <w:p w14:paraId="7F877BCF" w14:textId="77777777" w:rsidR="00610B8B" w:rsidRPr="00DB65C9" w:rsidRDefault="00E10E11" w:rsidP="00EB7975">
            <w:pPr>
              <w:spacing w:before="40" w:after="40" w:line="240" w:lineRule="auto"/>
              <w:rPr>
                <w:sz w:val="20"/>
                <w:szCs w:val="20"/>
              </w:rPr>
            </w:pPr>
            <w:r w:rsidRPr="00BF6735">
              <w:rPr>
                <w:sz w:val="20"/>
              </w:rPr>
              <w:t>Pokies machines have a maximum number of games that could be played in an hour</w:t>
            </w:r>
            <w:r>
              <w:rPr>
                <w:sz w:val="20"/>
              </w:rPr>
              <w:t xml:space="preserve">. </w:t>
            </w:r>
            <w:r w:rsidR="00B134C7">
              <w:rPr>
                <w:sz w:val="20"/>
              </w:rPr>
              <w:t>This could lead players to take a break from playing.</w:t>
            </w:r>
          </w:p>
        </w:tc>
      </w:tr>
      <w:tr w:rsidR="00610B8B" w:rsidRPr="00DB65C9" w14:paraId="0FA1089E" w14:textId="77777777" w:rsidTr="005271B2">
        <w:trPr>
          <w:cantSplit w:val="0"/>
        </w:trPr>
        <w:tc>
          <w:tcPr>
            <w:tcW w:w="2646" w:type="dxa"/>
            <w:shd w:val="clear" w:color="auto" w:fill="D5DCE4" w:themeFill="text2" w:themeFillTint="33"/>
          </w:tcPr>
          <w:p w14:paraId="6C4384FA" w14:textId="77777777" w:rsidR="00610B8B" w:rsidRPr="00BF6735" w:rsidRDefault="00610B8B" w:rsidP="00BF6735">
            <w:pPr>
              <w:pStyle w:val="ListParagraph"/>
              <w:numPr>
                <w:ilvl w:val="0"/>
                <w:numId w:val="27"/>
              </w:numPr>
              <w:spacing w:before="40" w:after="40" w:line="240" w:lineRule="auto"/>
              <w:ind w:left="323" w:hanging="323"/>
              <w:rPr>
                <w:sz w:val="20"/>
              </w:rPr>
            </w:pPr>
            <w:r w:rsidRPr="00BF6735">
              <w:rPr>
                <w:sz w:val="20"/>
              </w:rPr>
              <w:t xml:space="preserve">More information and restrictions on jackpots </w:t>
            </w:r>
          </w:p>
        </w:tc>
        <w:tc>
          <w:tcPr>
            <w:tcW w:w="5842" w:type="dxa"/>
          </w:tcPr>
          <w:p w14:paraId="75515B82" w14:textId="77777777" w:rsidR="00610B8B" w:rsidRPr="00DB65C9" w:rsidRDefault="00610B8B" w:rsidP="00EB7975">
            <w:pPr>
              <w:spacing w:before="40" w:after="40" w:line="240" w:lineRule="auto"/>
              <w:rPr>
                <w:sz w:val="20"/>
                <w:szCs w:val="20"/>
              </w:rPr>
            </w:pPr>
            <w:proofErr w:type="spellStart"/>
            <w:r w:rsidRPr="00DB65C9">
              <w:rPr>
                <w:sz w:val="20"/>
                <w:szCs w:val="20"/>
              </w:rPr>
              <w:t>Pokie</w:t>
            </w:r>
            <w:proofErr w:type="spellEnd"/>
            <w:r w:rsidRPr="00DB65C9">
              <w:rPr>
                <w:sz w:val="20"/>
                <w:szCs w:val="20"/>
              </w:rPr>
              <w:t xml:space="preserve"> machines could be required to provide information about how much of any stake is being used for jackpots</w:t>
            </w:r>
            <w:r w:rsidR="00B134C7">
              <w:rPr>
                <w:sz w:val="20"/>
                <w:szCs w:val="20"/>
              </w:rPr>
              <w:t>.</w:t>
            </w:r>
          </w:p>
          <w:p w14:paraId="4D30919F" w14:textId="77777777" w:rsidR="00610B8B" w:rsidRPr="00DB65C9" w:rsidRDefault="00610B8B" w:rsidP="00EB7975">
            <w:pPr>
              <w:spacing w:before="40" w:after="40" w:line="240" w:lineRule="auto"/>
              <w:rPr>
                <w:sz w:val="20"/>
                <w:szCs w:val="20"/>
              </w:rPr>
            </w:pPr>
            <w:r w:rsidRPr="00DB65C9">
              <w:rPr>
                <w:sz w:val="20"/>
                <w:szCs w:val="20"/>
              </w:rPr>
              <w:t>Maximum jackpot size could be reduced</w:t>
            </w:r>
            <w:r w:rsidR="00B134C7">
              <w:rPr>
                <w:sz w:val="20"/>
                <w:szCs w:val="20"/>
              </w:rPr>
              <w:t>.</w:t>
            </w:r>
          </w:p>
          <w:p w14:paraId="5B4F634B" w14:textId="77777777" w:rsidR="00610B8B" w:rsidRPr="00DB65C9" w:rsidRDefault="00610B8B" w:rsidP="00EB7975">
            <w:pPr>
              <w:spacing w:before="40" w:after="40" w:line="240" w:lineRule="auto"/>
              <w:rPr>
                <w:sz w:val="20"/>
                <w:szCs w:val="20"/>
              </w:rPr>
            </w:pPr>
            <w:r w:rsidRPr="00DB65C9">
              <w:rPr>
                <w:sz w:val="20"/>
                <w:szCs w:val="20"/>
              </w:rPr>
              <w:t>Signage showing jackpot levels could be prohibited</w:t>
            </w:r>
            <w:r w:rsidR="00B134C7">
              <w:rPr>
                <w:sz w:val="20"/>
                <w:szCs w:val="20"/>
              </w:rPr>
              <w:t>.</w:t>
            </w:r>
          </w:p>
        </w:tc>
      </w:tr>
    </w:tbl>
    <w:p w14:paraId="2FD45D1B" w14:textId="71604023" w:rsidR="00977A1B" w:rsidRDefault="00F96D4F" w:rsidP="00BF6735">
      <w:pPr>
        <w:pStyle w:val="ListParagraph"/>
        <w:numPr>
          <w:ilvl w:val="0"/>
          <w:numId w:val="5"/>
        </w:numPr>
        <w:spacing w:before="200" w:after="120" w:line="240" w:lineRule="auto"/>
        <w:ind w:left="567" w:hanging="567"/>
        <w:contextualSpacing w:val="0"/>
        <w:rPr>
          <w:sz w:val="20"/>
          <w:lang w:val="en-NZ"/>
        </w:rPr>
      </w:pPr>
      <w:r>
        <w:rPr>
          <w:sz w:val="20"/>
          <w:lang w:val="en-NZ"/>
        </w:rPr>
        <w:t xml:space="preserve">Some of our </w:t>
      </w:r>
      <w:r w:rsidR="00977A1B">
        <w:rPr>
          <w:sz w:val="20"/>
          <w:lang w:val="en-NZ"/>
        </w:rPr>
        <w:t>initial thinking</w:t>
      </w:r>
      <w:r w:rsidR="00977A1B" w:rsidRPr="00BE706B">
        <w:rPr>
          <w:sz w:val="20"/>
          <w:lang w:val="en-NZ"/>
        </w:rPr>
        <w:t xml:space="preserve"> </w:t>
      </w:r>
      <w:r w:rsidR="00977A1B">
        <w:rPr>
          <w:sz w:val="20"/>
          <w:lang w:val="en-NZ"/>
        </w:rPr>
        <w:t xml:space="preserve">on the Part B proposals, </w:t>
      </w:r>
      <w:r>
        <w:rPr>
          <w:sz w:val="20"/>
          <w:lang w:val="en-NZ"/>
        </w:rPr>
        <w:t xml:space="preserve">below, </w:t>
      </w:r>
      <w:r w:rsidR="00977A1B">
        <w:rPr>
          <w:sz w:val="20"/>
          <w:lang w:val="en-NZ"/>
        </w:rPr>
        <w:t>has been provided in the discussion document for validation or feedback</w:t>
      </w:r>
      <w:r>
        <w:rPr>
          <w:sz w:val="20"/>
          <w:lang w:val="en-NZ"/>
        </w:rPr>
        <w:t>:</w:t>
      </w:r>
    </w:p>
    <w:p w14:paraId="2AB2D33B" w14:textId="77777777" w:rsidR="00977A1B" w:rsidRPr="00977A1B" w:rsidRDefault="00977A1B" w:rsidP="00977A1B">
      <w:pPr>
        <w:pStyle w:val="ListParagraph"/>
        <w:numPr>
          <w:ilvl w:val="0"/>
          <w:numId w:val="17"/>
        </w:numPr>
        <w:spacing w:after="60" w:line="240" w:lineRule="auto"/>
        <w:ind w:left="851" w:hanging="284"/>
        <w:contextualSpacing w:val="0"/>
        <w:rPr>
          <w:sz w:val="20"/>
          <w:lang w:val="en-NZ"/>
        </w:rPr>
      </w:pPr>
      <w:r w:rsidRPr="00977A1B">
        <w:rPr>
          <w:sz w:val="20"/>
          <w:lang w:val="en-NZ"/>
        </w:rPr>
        <w:t xml:space="preserve">These options could lead to reductions in time/money spent gambling and/or breaks in play, so gamblers get out of the </w:t>
      </w:r>
      <w:r w:rsidR="00D04115">
        <w:rPr>
          <w:sz w:val="20"/>
          <w:lang w:val="en-NZ"/>
        </w:rPr>
        <w:t>‘</w:t>
      </w:r>
      <w:r w:rsidRPr="00977A1B">
        <w:rPr>
          <w:sz w:val="20"/>
          <w:lang w:val="en-NZ"/>
        </w:rPr>
        <w:t>gambling zone’.</w:t>
      </w:r>
    </w:p>
    <w:p w14:paraId="295E3EBA" w14:textId="1314B548" w:rsidR="00977A1B" w:rsidRPr="00977A1B" w:rsidRDefault="00977A1B" w:rsidP="00977A1B">
      <w:pPr>
        <w:pStyle w:val="ListParagraph"/>
        <w:numPr>
          <w:ilvl w:val="0"/>
          <w:numId w:val="17"/>
        </w:numPr>
        <w:spacing w:after="60" w:line="240" w:lineRule="auto"/>
        <w:ind w:left="851" w:hanging="284"/>
        <w:contextualSpacing w:val="0"/>
        <w:rPr>
          <w:sz w:val="20"/>
          <w:lang w:val="en-NZ"/>
        </w:rPr>
      </w:pPr>
      <w:r w:rsidRPr="00977A1B">
        <w:rPr>
          <w:sz w:val="20"/>
          <w:lang w:val="en-NZ"/>
        </w:rPr>
        <w:t xml:space="preserve">Some changes could take longer to implement depending on the complexity (e.g. whether both current and new machines </w:t>
      </w:r>
      <w:r w:rsidR="008D26D6">
        <w:rPr>
          <w:sz w:val="20"/>
          <w:lang w:val="en-NZ"/>
        </w:rPr>
        <w:t xml:space="preserve">must </w:t>
      </w:r>
      <w:r w:rsidRPr="00977A1B">
        <w:rPr>
          <w:sz w:val="20"/>
          <w:lang w:val="en-NZ"/>
        </w:rPr>
        <w:t>comply with the new regulations, or just new machines).</w:t>
      </w:r>
    </w:p>
    <w:p w14:paraId="1F991EB5" w14:textId="77777777" w:rsidR="00977A1B" w:rsidRPr="00977A1B" w:rsidRDefault="00977A1B" w:rsidP="00977A1B">
      <w:pPr>
        <w:pStyle w:val="ListParagraph"/>
        <w:numPr>
          <w:ilvl w:val="0"/>
          <w:numId w:val="17"/>
        </w:numPr>
        <w:spacing w:after="60" w:line="240" w:lineRule="auto"/>
        <w:ind w:left="851" w:hanging="284"/>
        <w:contextualSpacing w:val="0"/>
        <w:rPr>
          <w:sz w:val="20"/>
          <w:lang w:val="en-NZ"/>
        </w:rPr>
      </w:pPr>
      <w:r w:rsidRPr="00977A1B">
        <w:rPr>
          <w:sz w:val="20"/>
          <w:lang w:val="en-NZ"/>
        </w:rPr>
        <w:t>Any software changes would need to consider</w:t>
      </w:r>
      <w:r w:rsidR="00D04115">
        <w:rPr>
          <w:sz w:val="20"/>
          <w:lang w:val="en-NZ"/>
        </w:rPr>
        <w:t xml:space="preserve"> and </w:t>
      </w:r>
      <w:r w:rsidRPr="00977A1B">
        <w:rPr>
          <w:sz w:val="20"/>
          <w:lang w:val="en-NZ"/>
        </w:rPr>
        <w:t>be consistent with international gaming machine standards.</w:t>
      </w:r>
    </w:p>
    <w:p w14:paraId="503BB944" w14:textId="77777777" w:rsidR="00977A1B" w:rsidRPr="00977A1B" w:rsidRDefault="00977A1B" w:rsidP="00977A1B">
      <w:pPr>
        <w:pStyle w:val="ListParagraph"/>
        <w:numPr>
          <w:ilvl w:val="0"/>
          <w:numId w:val="17"/>
        </w:numPr>
        <w:spacing w:after="60" w:line="240" w:lineRule="auto"/>
        <w:ind w:left="851" w:hanging="284"/>
        <w:contextualSpacing w:val="0"/>
        <w:rPr>
          <w:sz w:val="20"/>
          <w:lang w:val="en-NZ"/>
        </w:rPr>
      </w:pPr>
      <w:r w:rsidRPr="00977A1B">
        <w:rPr>
          <w:sz w:val="20"/>
          <w:lang w:val="en-NZ"/>
        </w:rPr>
        <w:t xml:space="preserve">Cost is dependent on specific changes. Changes to machine features will incur software costs – which will vary depending on </w:t>
      </w:r>
      <w:r w:rsidR="00D04115">
        <w:rPr>
          <w:sz w:val="20"/>
          <w:lang w:val="en-NZ"/>
        </w:rPr>
        <w:t xml:space="preserve">the </w:t>
      </w:r>
      <w:r w:rsidRPr="00977A1B">
        <w:rPr>
          <w:sz w:val="20"/>
          <w:lang w:val="en-NZ"/>
        </w:rPr>
        <w:t xml:space="preserve">option and rollout requirements.  </w:t>
      </w:r>
    </w:p>
    <w:p w14:paraId="1E3F4E0B" w14:textId="77777777" w:rsidR="00977A1B" w:rsidRPr="00977A1B" w:rsidRDefault="00977A1B" w:rsidP="00977A1B">
      <w:pPr>
        <w:pStyle w:val="ListParagraph"/>
        <w:numPr>
          <w:ilvl w:val="0"/>
          <w:numId w:val="17"/>
        </w:numPr>
        <w:spacing w:after="60" w:line="240" w:lineRule="auto"/>
        <w:ind w:left="851" w:hanging="284"/>
        <w:contextualSpacing w:val="0"/>
        <w:rPr>
          <w:sz w:val="20"/>
          <w:lang w:val="en-NZ"/>
        </w:rPr>
      </w:pPr>
      <w:proofErr w:type="spellStart"/>
      <w:r w:rsidRPr="00977A1B">
        <w:rPr>
          <w:sz w:val="20"/>
          <w:lang w:val="en-NZ"/>
        </w:rPr>
        <w:t>Pokie</w:t>
      </w:r>
      <w:proofErr w:type="spellEnd"/>
      <w:r w:rsidRPr="00977A1B">
        <w:rPr>
          <w:sz w:val="20"/>
          <w:lang w:val="en-NZ"/>
        </w:rPr>
        <w:t xml:space="preserve"> machines are becoming increasingly addictive due to technological developments and game features will become ever more sophisticated. </w:t>
      </w:r>
    </w:p>
    <w:p w14:paraId="7DA1C02D" w14:textId="77777777" w:rsidR="00977A1B" w:rsidRPr="00977A1B" w:rsidRDefault="00977A1B" w:rsidP="00977A1B">
      <w:pPr>
        <w:pStyle w:val="ListParagraph"/>
        <w:numPr>
          <w:ilvl w:val="0"/>
          <w:numId w:val="17"/>
        </w:numPr>
        <w:spacing w:after="60" w:line="240" w:lineRule="auto"/>
        <w:ind w:left="851" w:hanging="284"/>
        <w:contextualSpacing w:val="0"/>
        <w:rPr>
          <w:sz w:val="20"/>
          <w:lang w:val="en-NZ"/>
        </w:rPr>
      </w:pPr>
      <w:r w:rsidRPr="00977A1B">
        <w:rPr>
          <w:sz w:val="20"/>
          <w:lang w:val="en-NZ"/>
        </w:rPr>
        <w:lastRenderedPageBreak/>
        <w:t xml:space="preserve">Changes to game features will have an impact on reducing gambling harm, but the size of the impact is uncertain. </w:t>
      </w:r>
    </w:p>
    <w:p w14:paraId="415689CA" w14:textId="77777777" w:rsidR="00977A1B" w:rsidRDefault="00977A1B" w:rsidP="00977A1B">
      <w:pPr>
        <w:pStyle w:val="ListParagraph"/>
        <w:numPr>
          <w:ilvl w:val="0"/>
          <w:numId w:val="17"/>
        </w:numPr>
        <w:spacing w:after="60" w:line="240" w:lineRule="auto"/>
        <w:ind w:left="851" w:hanging="284"/>
        <w:contextualSpacing w:val="0"/>
        <w:rPr>
          <w:sz w:val="20"/>
          <w:lang w:val="en-NZ"/>
        </w:rPr>
      </w:pPr>
      <w:r w:rsidRPr="00977A1B">
        <w:rPr>
          <w:sz w:val="20"/>
          <w:lang w:val="en-NZ"/>
        </w:rPr>
        <w:t>Some people engage with technical information such as odds / volatility more than others.</w:t>
      </w:r>
    </w:p>
    <w:p w14:paraId="2FF0E592" w14:textId="77777777" w:rsidR="00BE706B" w:rsidRPr="00491F37" w:rsidRDefault="00BE706B" w:rsidP="00C90218">
      <w:pPr>
        <w:spacing w:before="120" w:after="120" w:line="240" w:lineRule="auto"/>
        <w:rPr>
          <w:b/>
          <w:sz w:val="2"/>
          <w:szCs w:val="2"/>
          <w:lang w:val="en-NZ"/>
        </w:rPr>
      </w:pPr>
    </w:p>
    <w:p w14:paraId="47A3EE0D" w14:textId="77777777" w:rsidR="00C90218" w:rsidRPr="00C90218" w:rsidRDefault="00C90218" w:rsidP="00C90218">
      <w:pPr>
        <w:spacing w:before="120" w:after="120" w:line="240" w:lineRule="auto"/>
        <w:rPr>
          <w:b/>
          <w:sz w:val="20"/>
          <w:lang w:val="en-NZ"/>
        </w:rPr>
      </w:pPr>
      <w:r w:rsidRPr="00C90218">
        <w:rPr>
          <w:b/>
          <w:sz w:val="20"/>
          <w:lang w:val="en-NZ"/>
        </w:rPr>
        <w:t xml:space="preserve">Part C </w:t>
      </w:r>
      <w:r w:rsidR="0099236C">
        <w:rPr>
          <w:b/>
          <w:sz w:val="20"/>
          <w:lang w:val="en-NZ"/>
        </w:rPr>
        <w:t>- Enforcement</w:t>
      </w:r>
    </w:p>
    <w:p w14:paraId="76F044A8" w14:textId="77777777" w:rsidR="00572954" w:rsidRDefault="00C90218" w:rsidP="00A42B77">
      <w:pPr>
        <w:pStyle w:val="ListParagraph"/>
        <w:numPr>
          <w:ilvl w:val="0"/>
          <w:numId w:val="5"/>
        </w:numPr>
        <w:spacing w:before="120" w:after="120" w:line="240" w:lineRule="auto"/>
        <w:ind w:left="567" w:hanging="567"/>
        <w:contextualSpacing w:val="0"/>
        <w:rPr>
          <w:sz w:val="20"/>
          <w:lang w:val="en-NZ"/>
        </w:rPr>
      </w:pPr>
      <w:r w:rsidRPr="00C90218">
        <w:rPr>
          <w:sz w:val="20"/>
          <w:lang w:val="en-NZ"/>
        </w:rPr>
        <w:t xml:space="preserve">Part </w:t>
      </w:r>
      <w:r>
        <w:rPr>
          <w:sz w:val="20"/>
          <w:lang w:val="en-NZ"/>
        </w:rPr>
        <w:t>C</w:t>
      </w:r>
      <w:r w:rsidRPr="00C90218">
        <w:rPr>
          <w:sz w:val="20"/>
          <w:lang w:val="en-NZ"/>
        </w:rPr>
        <w:t xml:space="preserve"> considers how </w:t>
      </w:r>
      <w:r w:rsidR="00572954">
        <w:rPr>
          <w:sz w:val="20"/>
          <w:lang w:val="en-NZ"/>
        </w:rPr>
        <w:t xml:space="preserve">society and venue </w:t>
      </w:r>
      <w:r w:rsidRPr="00C90218">
        <w:rPr>
          <w:sz w:val="20"/>
          <w:lang w:val="en-NZ"/>
        </w:rPr>
        <w:t>compliance with gambling harm rules can be increased</w:t>
      </w:r>
      <w:r w:rsidR="00572954">
        <w:rPr>
          <w:sz w:val="20"/>
          <w:lang w:val="en-NZ"/>
        </w:rPr>
        <w:t xml:space="preserve"> through lower-level enforcement</w:t>
      </w:r>
      <w:r w:rsidRPr="00C90218">
        <w:rPr>
          <w:sz w:val="20"/>
          <w:lang w:val="en-NZ"/>
        </w:rPr>
        <w:t xml:space="preserve">. </w:t>
      </w:r>
    </w:p>
    <w:p w14:paraId="7A86DC5C" w14:textId="77777777" w:rsidR="00EB7975" w:rsidRPr="00C90218" w:rsidRDefault="00C90218" w:rsidP="00A42B77">
      <w:pPr>
        <w:pStyle w:val="ListParagraph"/>
        <w:numPr>
          <w:ilvl w:val="0"/>
          <w:numId w:val="5"/>
        </w:numPr>
        <w:spacing w:before="120" w:after="120" w:line="240" w:lineRule="auto"/>
        <w:ind w:left="567" w:hanging="567"/>
        <w:contextualSpacing w:val="0"/>
        <w:rPr>
          <w:sz w:val="20"/>
          <w:lang w:val="en-NZ"/>
        </w:rPr>
      </w:pPr>
      <w:r w:rsidRPr="00C90218">
        <w:rPr>
          <w:sz w:val="20"/>
          <w:lang w:val="en-NZ"/>
        </w:rPr>
        <w:t xml:space="preserve">The proposals selected for Part C of the discussion document are about providing the </w:t>
      </w:r>
      <w:r w:rsidR="00EB7975" w:rsidRPr="00C90218">
        <w:rPr>
          <w:sz w:val="20"/>
          <w:lang w:val="en-NZ"/>
        </w:rPr>
        <w:t>regulator with instant enforcement tool</w:t>
      </w:r>
      <w:r w:rsidR="00D04115">
        <w:rPr>
          <w:sz w:val="20"/>
          <w:lang w:val="en-NZ"/>
        </w:rPr>
        <w:t>s</w:t>
      </w:r>
      <w:r w:rsidR="00EB7975" w:rsidRPr="00C90218">
        <w:rPr>
          <w:sz w:val="20"/>
          <w:lang w:val="en-NZ"/>
        </w:rPr>
        <w:t xml:space="preserve">. This should help to ensure rules are </w:t>
      </w:r>
      <w:r w:rsidR="00D04115">
        <w:rPr>
          <w:sz w:val="20"/>
          <w:lang w:val="en-NZ"/>
        </w:rPr>
        <w:t xml:space="preserve">better </w:t>
      </w:r>
      <w:r w:rsidR="00EB7975" w:rsidRPr="00C90218">
        <w:rPr>
          <w:sz w:val="20"/>
          <w:lang w:val="en-NZ"/>
        </w:rPr>
        <w:t>adhered to by societies and venues.</w:t>
      </w:r>
    </w:p>
    <w:tbl>
      <w:tblPr>
        <w:tblStyle w:val="DIATable"/>
        <w:tblW w:w="8488" w:type="dxa"/>
        <w:tblInd w:w="5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52"/>
        <w:gridCol w:w="5936"/>
      </w:tblGrid>
      <w:tr w:rsidR="00435038" w:rsidRPr="00F464F2" w14:paraId="1569D83F" w14:textId="77777777" w:rsidTr="005271B2">
        <w:trPr>
          <w:cnfStyle w:val="100000000000" w:firstRow="1" w:lastRow="0" w:firstColumn="0" w:lastColumn="0" w:oddVBand="0" w:evenVBand="0" w:oddHBand="0" w:evenHBand="0" w:firstRowFirstColumn="0" w:firstRowLastColumn="0" w:lastRowFirstColumn="0" w:lastRowLastColumn="0"/>
          <w:cantSplit w:val="0"/>
        </w:trPr>
        <w:tc>
          <w:tcPr>
            <w:tcW w:w="2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C0B507" w14:textId="77777777" w:rsidR="00435038" w:rsidRPr="00F464F2" w:rsidRDefault="00435038" w:rsidP="00BE3245">
            <w:pPr>
              <w:spacing w:before="40" w:after="40" w:line="240" w:lineRule="auto"/>
              <w:rPr>
                <w:sz w:val="20"/>
                <w:szCs w:val="20"/>
              </w:rPr>
            </w:pPr>
            <w:r w:rsidRPr="00F464F2">
              <w:rPr>
                <w:sz w:val="20"/>
                <w:szCs w:val="20"/>
              </w:rPr>
              <w:t xml:space="preserve">Options </w:t>
            </w:r>
          </w:p>
        </w:tc>
        <w:tc>
          <w:tcPr>
            <w:tcW w:w="59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ED8DE8" w14:textId="77777777" w:rsidR="00435038" w:rsidRPr="00F464F2" w:rsidRDefault="00C90218" w:rsidP="00BE3245">
            <w:pPr>
              <w:spacing w:before="40" w:after="40" w:line="240" w:lineRule="auto"/>
              <w:rPr>
                <w:sz w:val="20"/>
                <w:szCs w:val="20"/>
              </w:rPr>
            </w:pPr>
            <w:r w:rsidRPr="00F464F2">
              <w:rPr>
                <w:sz w:val="20"/>
                <w:szCs w:val="20"/>
              </w:rPr>
              <w:t>Description and discussion</w:t>
            </w:r>
          </w:p>
        </w:tc>
      </w:tr>
      <w:tr w:rsidR="00435038" w:rsidRPr="00F464F2" w14:paraId="316F65AB" w14:textId="77777777" w:rsidTr="005271B2">
        <w:trPr>
          <w:cantSplit w:val="0"/>
        </w:trPr>
        <w:tc>
          <w:tcPr>
            <w:tcW w:w="2552" w:type="dxa"/>
            <w:shd w:val="clear" w:color="auto" w:fill="E3E8ED"/>
          </w:tcPr>
          <w:p w14:paraId="1899AFFF" w14:textId="77777777" w:rsidR="00435038" w:rsidRPr="00BF6735" w:rsidRDefault="00435038" w:rsidP="00366E1D">
            <w:pPr>
              <w:pStyle w:val="ListParagraph"/>
              <w:numPr>
                <w:ilvl w:val="0"/>
                <w:numId w:val="27"/>
              </w:numPr>
              <w:spacing w:before="40" w:after="40" w:line="240" w:lineRule="auto"/>
              <w:ind w:left="340" w:hanging="340"/>
              <w:rPr>
                <w:sz w:val="20"/>
              </w:rPr>
            </w:pPr>
            <w:r w:rsidRPr="00BF6735">
              <w:rPr>
                <w:sz w:val="20"/>
              </w:rPr>
              <w:t xml:space="preserve">Create </w:t>
            </w:r>
            <w:r w:rsidR="005C514F" w:rsidRPr="00BF6735">
              <w:rPr>
                <w:sz w:val="20"/>
              </w:rPr>
              <w:t xml:space="preserve">offences and </w:t>
            </w:r>
            <w:r w:rsidRPr="00BF6735">
              <w:rPr>
                <w:sz w:val="20"/>
              </w:rPr>
              <w:t xml:space="preserve">infringement fees for </w:t>
            </w:r>
            <w:r w:rsidRPr="00BF6735">
              <w:rPr>
                <w:sz w:val="20"/>
                <w:u w:val="single"/>
              </w:rPr>
              <w:t>existing requirements</w:t>
            </w:r>
            <w:r w:rsidRPr="00BF6735">
              <w:rPr>
                <w:sz w:val="20"/>
              </w:rPr>
              <w:t xml:space="preserve"> in the regulations </w:t>
            </w:r>
          </w:p>
        </w:tc>
        <w:tc>
          <w:tcPr>
            <w:tcW w:w="5936" w:type="dxa"/>
          </w:tcPr>
          <w:p w14:paraId="5B018B93" w14:textId="77777777" w:rsidR="005C514F" w:rsidRPr="00F464F2" w:rsidRDefault="005C514F" w:rsidP="00BE3245">
            <w:pPr>
              <w:spacing w:before="40" w:after="40" w:line="240" w:lineRule="auto"/>
              <w:rPr>
                <w:sz w:val="20"/>
                <w:szCs w:val="20"/>
                <w:highlight w:val="green"/>
              </w:rPr>
            </w:pPr>
            <w:r w:rsidRPr="00F464F2">
              <w:rPr>
                <w:sz w:val="20"/>
                <w:szCs w:val="20"/>
              </w:rPr>
              <w:t>Infringements are a low-cost, simple way of punishing minor offending without, in most cases, recourse to the courts.</w:t>
            </w:r>
          </w:p>
          <w:p w14:paraId="65545A3F" w14:textId="77777777" w:rsidR="00BE3245" w:rsidRPr="00F464F2" w:rsidRDefault="00BE3245" w:rsidP="00BE3245">
            <w:pPr>
              <w:spacing w:before="40" w:after="40" w:line="240" w:lineRule="auto"/>
              <w:rPr>
                <w:sz w:val="20"/>
                <w:szCs w:val="20"/>
                <w:lang w:val="en-NZ"/>
              </w:rPr>
            </w:pPr>
            <w:r w:rsidRPr="00F464F2">
              <w:rPr>
                <w:sz w:val="20"/>
                <w:szCs w:val="20"/>
              </w:rPr>
              <w:t xml:space="preserve">Several of the current regulations have a significant </w:t>
            </w:r>
            <w:r w:rsidR="005C514F" w:rsidRPr="00F464F2">
              <w:rPr>
                <w:sz w:val="20"/>
                <w:szCs w:val="20"/>
              </w:rPr>
              <w:t xml:space="preserve">impact on harm minimisation, but do not have an infringement fee attached to them.  </w:t>
            </w:r>
          </w:p>
          <w:p w14:paraId="7017068A" w14:textId="77777777" w:rsidR="00435038" w:rsidRPr="00F464F2" w:rsidRDefault="00435038" w:rsidP="00A42B77">
            <w:pPr>
              <w:pStyle w:val="ListParagraph"/>
              <w:numPr>
                <w:ilvl w:val="0"/>
                <w:numId w:val="14"/>
              </w:numPr>
              <w:spacing w:before="40" w:after="40" w:line="240" w:lineRule="auto"/>
              <w:ind w:left="313" w:hanging="283"/>
              <w:contextualSpacing w:val="0"/>
              <w:rPr>
                <w:sz w:val="20"/>
                <w:szCs w:val="20"/>
              </w:rPr>
            </w:pPr>
            <w:r w:rsidRPr="00F464F2">
              <w:rPr>
                <w:sz w:val="20"/>
                <w:szCs w:val="20"/>
              </w:rPr>
              <w:t xml:space="preserve">Offence for </w:t>
            </w:r>
            <w:r w:rsidRPr="00F464F2">
              <w:rPr>
                <w:sz w:val="20"/>
                <w:szCs w:val="20"/>
                <w:u w:val="single"/>
              </w:rPr>
              <w:t>societies/venue operators/venue managers</w:t>
            </w:r>
            <w:r w:rsidRPr="00F464F2">
              <w:rPr>
                <w:sz w:val="20"/>
                <w:szCs w:val="20"/>
              </w:rPr>
              <w:t xml:space="preserve"> of “</w:t>
            </w:r>
            <w:r w:rsidRPr="00F464F2">
              <w:rPr>
                <w:i/>
                <w:sz w:val="20"/>
                <w:szCs w:val="20"/>
              </w:rPr>
              <w:t xml:space="preserve">failing to meet requirements </w:t>
            </w:r>
            <w:proofErr w:type="gramStart"/>
            <w:r w:rsidRPr="00F464F2">
              <w:rPr>
                <w:i/>
                <w:sz w:val="20"/>
                <w:szCs w:val="20"/>
              </w:rPr>
              <w:t>in regard to</w:t>
            </w:r>
            <w:proofErr w:type="gramEnd"/>
            <w:r w:rsidRPr="00F464F2">
              <w:rPr>
                <w:i/>
                <w:sz w:val="20"/>
                <w:szCs w:val="20"/>
              </w:rPr>
              <w:t xml:space="preserve"> restrictions on jackpot advertising and/or branding at Class 4 venues”</w:t>
            </w:r>
            <w:r w:rsidRPr="00F464F2">
              <w:rPr>
                <w:sz w:val="20"/>
                <w:szCs w:val="20"/>
              </w:rPr>
              <w:t xml:space="preserve"> (an existing requirement) - with a </w:t>
            </w:r>
            <w:r w:rsidRPr="00F464F2">
              <w:rPr>
                <w:b/>
                <w:sz w:val="20"/>
                <w:szCs w:val="20"/>
              </w:rPr>
              <w:t>new infringement fee of $1,000</w:t>
            </w:r>
            <w:r w:rsidRPr="00F464F2">
              <w:rPr>
                <w:sz w:val="20"/>
                <w:szCs w:val="20"/>
              </w:rPr>
              <w:t xml:space="preserve"> </w:t>
            </w:r>
          </w:p>
          <w:p w14:paraId="3E62CC4D" w14:textId="77777777" w:rsidR="00435038" w:rsidRPr="00F464F2" w:rsidRDefault="00435038" w:rsidP="00A42B77">
            <w:pPr>
              <w:pStyle w:val="ListParagraph"/>
              <w:numPr>
                <w:ilvl w:val="0"/>
                <w:numId w:val="14"/>
              </w:numPr>
              <w:spacing w:before="40" w:after="40" w:line="240" w:lineRule="auto"/>
              <w:ind w:left="313" w:hanging="283"/>
              <w:contextualSpacing w:val="0"/>
              <w:rPr>
                <w:sz w:val="20"/>
                <w:szCs w:val="20"/>
              </w:rPr>
            </w:pPr>
            <w:r w:rsidRPr="00F464F2">
              <w:rPr>
                <w:sz w:val="20"/>
                <w:szCs w:val="20"/>
              </w:rPr>
              <w:t xml:space="preserve">Offence for </w:t>
            </w:r>
            <w:r w:rsidRPr="00F464F2">
              <w:rPr>
                <w:sz w:val="20"/>
                <w:szCs w:val="20"/>
                <w:u w:val="single"/>
              </w:rPr>
              <w:t>societies/venue operators/venue managers</w:t>
            </w:r>
            <w:r w:rsidRPr="00F464F2">
              <w:rPr>
                <w:sz w:val="20"/>
                <w:szCs w:val="20"/>
              </w:rPr>
              <w:t xml:space="preserve"> of “</w:t>
            </w:r>
            <w:r w:rsidRPr="00F464F2">
              <w:rPr>
                <w:i/>
                <w:sz w:val="20"/>
                <w:szCs w:val="20"/>
              </w:rPr>
              <w:t xml:space="preserve">failing to meet requirements </w:t>
            </w:r>
            <w:proofErr w:type="gramStart"/>
            <w:r w:rsidRPr="00F464F2">
              <w:rPr>
                <w:i/>
                <w:sz w:val="20"/>
                <w:szCs w:val="20"/>
              </w:rPr>
              <w:t>in regard to</w:t>
            </w:r>
            <w:proofErr w:type="gramEnd"/>
            <w:r w:rsidRPr="00F464F2">
              <w:rPr>
                <w:i/>
                <w:sz w:val="20"/>
                <w:szCs w:val="20"/>
              </w:rPr>
              <w:t xml:space="preserve"> … providing information about problem gambling to patrons and where to get help”</w:t>
            </w:r>
            <w:r w:rsidRPr="00F464F2">
              <w:rPr>
                <w:sz w:val="20"/>
                <w:szCs w:val="20"/>
              </w:rPr>
              <w:t xml:space="preserve"> (an existing requirement) - with a </w:t>
            </w:r>
            <w:r w:rsidRPr="00F464F2">
              <w:rPr>
                <w:b/>
                <w:sz w:val="20"/>
                <w:szCs w:val="20"/>
              </w:rPr>
              <w:t xml:space="preserve">new infringement fee of $1,000 </w:t>
            </w:r>
          </w:p>
          <w:p w14:paraId="6F447CAA" w14:textId="77777777" w:rsidR="00435038" w:rsidRPr="00F464F2" w:rsidRDefault="00435038" w:rsidP="00A42B77">
            <w:pPr>
              <w:pStyle w:val="ListParagraph"/>
              <w:numPr>
                <w:ilvl w:val="0"/>
                <w:numId w:val="14"/>
              </w:numPr>
              <w:spacing w:before="40" w:after="40" w:line="240" w:lineRule="auto"/>
              <w:ind w:left="313" w:hanging="283"/>
              <w:contextualSpacing w:val="0"/>
              <w:rPr>
                <w:sz w:val="20"/>
                <w:szCs w:val="20"/>
              </w:rPr>
            </w:pPr>
            <w:r w:rsidRPr="00F464F2">
              <w:rPr>
                <w:sz w:val="20"/>
                <w:szCs w:val="20"/>
              </w:rPr>
              <w:t xml:space="preserve">Offence for </w:t>
            </w:r>
            <w:r w:rsidRPr="00F464F2">
              <w:rPr>
                <w:sz w:val="20"/>
                <w:szCs w:val="20"/>
                <w:u w:val="single"/>
              </w:rPr>
              <w:t>societies</w:t>
            </w:r>
            <w:r w:rsidRPr="00F464F2">
              <w:rPr>
                <w:sz w:val="20"/>
                <w:szCs w:val="20"/>
              </w:rPr>
              <w:t xml:space="preserve"> of “</w:t>
            </w:r>
            <w:r w:rsidRPr="00F464F2">
              <w:rPr>
                <w:i/>
                <w:sz w:val="20"/>
                <w:szCs w:val="20"/>
              </w:rPr>
              <w:t xml:space="preserve">failing to meet requirements </w:t>
            </w:r>
            <w:proofErr w:type="gramStart"/>
            <w:r w:rsidRPr="00F464F2">
              <w:rPr>
                <w:i/>
                <w:sz w:val="20"/>
                <w:szCs w:val="20"/>
              </w:rPr>
              <w:t>in regard to</w:t>
            </w:r>
            <w:proofErr w:type="gramEnd"/>
            <w:r w:rsidRPr="00F464F2">
              <w:rPr>
                <w:i/>
                <w:sz w:val="20"/>
                <w:szCs w:val="20"/>
              </w:rPr>
              <w:t xml:space="preserve"> … required components of problem gambling awareness training to staff who supervise gambling” </w:t>
            </w:r>
            <w:r w:rsidRPr="00F464F2">
              <w:rPr>
                <w:sz w:val="20"/>
                <w:szCs w:val="20"/>
              </w:rPr>
              <w:t>(an existing requirement)</w:t>
            </w:r>
            <w:r w:rsidRPr="00F464F2">
              <w:rPr>
                <w:i/>
                <w:sz w:val="20"/>
                <w:szCs w:val="20"/>
              </w:rPr>
              <w:t xml:space="preserve"> </w:t>
            </w:r>
            <w:r w:rsidRPr="00F464F2">
              <w:rPr>
                <w:sz w:val="20"/>
                <w:szCs w:val="20"/>
              </w:rPr>
              <w:t xml:space="preserve">- with a </w:t>
            </w:r>
            <w:r w:rsidRPr="00F464F2">
              <w:rPr>
                <w:b/>
                <w:sz w:val="20"/>
                <w:szCs w:val="20"/>
              </w:rPr>
              <w:t>new infringement fee of $1,000</w:t>
            </w:r>
          </w:p>
        </w:tc>
      </w:tr>
      <w:tr w:rsidR="00435038" w:rsidRPr="00F464F2" w14:paraId="056D7AC7" w14:textId="77777777" w:rsidTr="005271B2">
        <w:trPr>
          <w:cantSplit w:val="0"/>
        </w:trPr>
        <w:tc>
          <w:tcPr>
            <w:tcW w:w="2552" w:type="dxa"/>
            <w:shd w:val="clear" w:color="auto" w:fill="E3E8ED"/>
          </w:tcPr>
          <w:p w14:paraId="199C17C8" w14:textId="77777777" w:rsidR="00435038" w:rsidRPr="00BF6735" w:rsidRDefault="00435038" w:rsidP="00366E1D">
            <w:pPr>
              <w:pStyle w:val="ListParagraph"/>
              <w:numPr>
                <w:ilvl w:val="0"/>
                <w:numId w:val="27"/>
              </w:numPr>
              <w:spacing w:before="40" w:after="40" w:line="240" w:lineRule="auto"/>
              <w:ind w:left="340" w:hanging="340"/>
              <w:rPr>
                <w:sz w:val="20"/>
              </w:rPr>
            </w:pPr>
            <w:r w:rsidRPr="00BF6735">
              <w:rPr>
                <w:sz w:val="20"/>
              </w:rPr>
              <w:t xml:space="preserve">Create offences and infringement fees for proposed </w:t>
            </w:r>
            <w:r w:rsidRPr="00BF6735">
              <w:rPr>
                <w:sz w:val="20"/>
                <w:u w:val="single"/>
              </w:rPr>
              <w:t>new requirements</w:t>
            </w:r>
            <w:r w:rsidRPr="00BF6735">
              <w:rPr>
                <w:sz w:val="20"/>
              </w:rPr>
              <w:t xml:space="preserve"> </w:t>
            </w:r>
          </w:p>
        </w:tc>
        <w:tc>
          <w:tcPr>
            <w:tcW w:w="5936" w:type="dxa"/>
          </w:tcPr>
          <w:p w14:paraId="14491226" w14:textId="77777777" w:rsidR="005C514F" w:rsidRPr="00F464F2" w:rsidRDefault="005C514F" w:rsidP="005C514F">
            <w:pPr>
              <w:spacing w:before="40" w:after="40" w:line="240" w:lineRule="auto"/>
              <w:rPr>
                <w:sz w:val="20"/>
                <w:szCs w:val="20"/>
                <w:highlight w:val="green"/>
              </w:rPr>
            </w:pPr>
            <w:r w:rsidRPr="00F464F2">
              <w:rPr>
                <w:sz w:val="20"/>
                <w:szCs w:val="20"/>
              </w:rPr>
              <w:t>Infringements are a low-cost, simple way of punishing minor offending without, in most cases, recourse to the courts.</w:t>
            </w:r>
          </w:p>
          <w:p w14:paraId="524A0203" w14:textId="77777777" w:rsidR="005C514F" w:rsidRPr="00F464F2" w:rsidRDefault="005C514F" w:rsidP="005C514F">
            <w:pPr>
              <w:spacing w:before="40" w:after="40" w:line="240" w:lineRule="auto"/>
              <w:rPr>
                <w:sz w:val="20"/>
                <w:szCs w:val="20"/>
                <w:lang w:val="en-NZ"/>
              </w:rPr>
            </w:pPr>
            <w:r w:rsidRPr="00F464F2">
              <w:rPr>
                <w:sz w:val="20"/>
                <w:szCs w:val="20"/>
              </w:rPr>
              <w:t xml:space="preserve">Any new proposed regulations should also have an infringement fee attached to them.  </w:t>
            </w:r>
          </w:p>
          <w:p w14:paraId="7C3C0E7E" w14:textId="77777777" w:rsidR="00435038" w:rsidRPr="00F464F2" w:rsidRDefault="00BE3245" w:rsidP="00A42B77">
            <w:pPr>
              <w:pStyle w:val="ListParagraph"/>
              <w:numPr>
                <w:ilvl w:val="0"/>
                <w:numId w:val="23"/>
              </w:numPr>
              <w:spacing w:before="40" w:after="40" w:line="240" w:lineRule="auto"/>
              <w:ind w:left="313" w:hanging="313"/>
              <w:contextualSpacing w:val="0"/>
              <w:rPr>
                <w:sz w:val="20"/>
                <w:szCs w:val="20"/>
              </w:rPr>
            </w:pPr>
            <w:r w:rsidRPr="00F464F2">
              <w:rPr>
                <w:sz w:val="20"/>
                <w:szCs w:val="20"/>
              </w:rPr>
              <w:t>New o</w:t>
            </w:r>
            <w:r w:rsidR="00435038" w:rsidRPr="00F464F2">
              <w:rPr>
                <w:sz w:val="20"/>
                <w:szCs w:val="20"/>
              </w:rPr>
              <w:t xml:space="preserve">ffence for </w:t>
            </w:r>
            <w:r w:rsidR="00435038" w:rsidRPr="00F464F2">
              <w:rPr>
                <w:sz w:val="20"/>
                <w:szCs w:val="20"/>
                <w:u w:val="single"/>
              </w:rPr>
              <w:t>venue operators/venue managers</w:t>
            </w:r>
            <w:r w:rsidR="00435038" w:rsidRPr="00F464F2">
              <w:rPr>
                <w:sz w:val="20"/>
                <w:szCs w:val="20"/>
              </w:rPr>
              <w:t xml:space="preserve"> of “</w:t>
            </w:r>
            <w:r w:rsidR="00435038" w:rsidRPr="00F464F2">
              <w:rPr>
                <w:i/>
                <w:sz w:val="20"/>
                <w:szCs w:val="20"/>
              </w:rPr>
              <w:t xml:space="preserve">failing to meet requirements </w:t>
            </w:r>
            <w:proofErr w:type="gramStart"/>
            <w:r w:rsidR="00435038" w:rsidRPr="00F464F2">
              <w:rPr>
                <w:i/>
                <w:sz w:val="20"/>
                <w:szCs w:val="20"/>
              </w:rPr>
              <w:t>in regard to</w:t>
            </w:r>
            <w:proofErr w:type="gramEnd"/>
            <w:r w:rsidR="00435038" w:rsidRPr="00F464F2">
              <w:rPr>
                <w:i/>
                <w:sz w:val="20"/>
                <w:szCs w:val="20"/>
              </w:rPr>
              <w:t xml:space="preserve"> monitoring and recording harm minimisation actions” </w:t>
            </w:r>
            <w:r w:rsidR="00435038" w:rsidRPr="00F464F2">
              <w:rPr>
                <w:sz w:val="20"/>
                <w:szCs w:val="20"/>
              </w:rPr>
              <w:t xml:space="preserve">(a </w:t>
            </w:r>
            <w:r w:rsidR="00435038" w:rsidRPr="00F464F2">
              <w:rPr>
                <w:sz w:val="20"/>
                <w:szCs w:val="20"/>
                <w:u w:val="single"/>
              </w:rPr>
              <w:t>proposed new</w:t>
            </w:r>
            <w:r w:rsidR="00435038" w:rsidRPr="00F464F2">
              <w:rPr>
                <w:sz w:val="20"/>
                <w:szCs w:val="20"/>
              </w:rPr>
              <w:t xml:space="preserve"> requirement) - with </w:t>
            </w:r>
            <w:r w:rsidR="00435038" w:rsidRPr="00F464F2">
              <w:rPr>
                <w:b/>
                <w:sz w:val="20"/>
                <w:szCs w:val="20"/>
              </w:rPr>
              <w:t>a</w:t>
            </w:r>
            <w:r w:rsidRPr="00F464F2">
              <w:rPr>
                <w:b/>
                <w:sz w:val="20"/>
                <w:szCs w:val="20"/>
              </w:rPr>
              <w:t>n</w:t>
            </w:r>
            <w:r w:rsidR="00435038" w:rsidRPr="00F464F2">
              <w:rPr>
                <w:b/>
                <w:sz w:val="20"/>
                <w:szCs w:val="20"/>
              </w:rPr>
              <w:t xml:space="preserve"> infringement fee of $1,000</w:t>
            </w:r>
          </w:p>
          <w:p w14:paraId="2704FD13" w14:textId="77777777" w:rsidR="00435038" w:rsidRPr="00F464F2" w:rsidRDefault="00435038" w:rsidP="00A42B77">
            <w:pPr>
              <w:pStyle w:val="ListParagraph"/>
              <w:numPr>
                <w:ilvl w:val="0"/>
                <w:numId w:val="23"/>
              </w:numPr>
              <w:spacing w:before="40" w:after="40" w:line="240" w:lineRule="auto"/>
              <w:ind w:left="313" w:hanging="313"/>
              <w:contextualSpacing w:val="0"/>
              <w:rPr>
                <w:sz w:val="20"/>
                <w:szCs w:val="20"/>
              </w:rPr>
            </w:pPr>
            <w:r w:rsidRPr="00F464F2">
              <w:rPr>
                <w:sz w:val="20"/>
                <w:szCs w:val="20"/>
              </w:rPr>
              <w:t xml:space="preserve">Offence for </w:t>
            </w:r>
            <w:r w:rsidRPr="00F464F2">
              <w:rPr>
                <w:sz w:val="20"/>
                <w:szCs w:val="20"/>
                <w:u w:val="single"/>
              </w:rPr>
              <w:t>venue operators/venue managers</w:t>
            </w:r>
            <w:r w:rsidRPr="00F464F2">
              <w:rPr>
                <w:sz w:val="20"/>
                <w:szCs w:val="20"/>
              </w:rPr>
              <w:t xml:space="preserve"> of “</w:t>
            </w:r>
            <w:r w:rsidRPr="00F464F2">
              <w:rPr>
                <w:i/>
                <w:sz w:val="20"/>
                <w:szCs w:val="20"/>
              </w:rPr>
              <w:t xml:space="preserve">failing to meet requirements </w:t>
            </w:r>
            <w:proofErr w:type="gramStart"/>
            <w:r w:rsidRPr="00F464F2">
              <w:rPr>
                <w:i/>
                <w:sz w:val="20"/>
                <w:szCs w:val="20"/>
              </w:rPr>
              <w:t>in regard to</w:t>
            </w:r>
            <w:proofErr w:type="gramEnd"/>
            <w:r w:rsidRPr="00F464F2">
              <w:rPr>
                <w:i/>
                <w:sz w:val="20"/>
                <w:szCs w:val="20"/>
              </w:rPr>
              <w:t xml:space="preserve"> harm minimisation machine features” </w:t>
            </w:r>
            <w:r w:rsidRPr="00F464F2">
              <w:rPr>
                <w:sz w:val="20"/>
                <w:szCs w:val="20"/>
              </w:rPr>
              <w:t>(</w:t>
            </w:r>
            <w:r w:rsidRPr="00F464F2">
              <w:rPr>
                <w:b/>
                <w:sz w:val="20"/>
                <w:szCs w:val="20"/>
              </w:rPr>
              <w:t xml:space="preserve">a </w:t>
            </w:r>
            <w:r w:rsidRPr="00F464F2">
              <w:rPr>
                <w:b/>
                <w:sz w:val="20"/>
                <w:szCs w:val="20"/>
                <w:u w:val="single"/>
              </w:rPr>
              <w:t>proposed new</w:t>
            </w:r>
            <w:r w:rsidRPr="00F464F2">
              <w:rPr>
                <w:b/>
                <w:sz w:val="20"/>
                <w:szCs w:val="20"/>
              </w:rPr>
              <w:t xml:space="preserve"> requirement</w:t>
            </w:r>
            <w:r w:rsidRPr="00F464F2">
              <w:rPr>
                <w:sz w:val="20"/>
                <w:szCs w:val="20"/>
              </w:rPr>
              <w:t xml:space="preserve">) - with </w:t>
            </w:r>
            <w:r w:rsidRPr="00F464F2">
              <w:rPr>
                <w:b/>
                <w:sz w:val="20"/>
                <w:szCs w:val="20"/>
              </w:rPr>
              <w:t>an infringement fee of $1,</w:t>
            </w:r>
            <w:r w:rsidRPr="00B134C7">
              <w:rPr>
                <w:b/>
                <w:sz w:val="20"/>
              </w:rPr>
              <w:t>000</w:t>
            </w:r>
          </w:p>
        </w:tc>
      </w:tr>
    </w:tbl>
    <w:p w14:paraId="540BD299" w14:textId="26123E4A" w:rsidR="00EF5045" w:rsidRDefault="00F96D4F" w:rsidP="00BF6735">
      <w:pPr>
        <w:pStyle w:val="ListParagraph"/>
        <w:numPr>
          <w:ilvl w:val="0"/>
          <w:numId w:val="5"/>
        </w:numPr>
        <w:spacing w:before="200" w:after="120" w:line="240" w:lineRule="auto"/>
        <w:ind w:left="567" w:hanging="567"/>
        <w:contextualSpacing w:val="0"/>
        <w:rPr>
          <w:sz w:val="20"/>
          <w:lang w:val="en-NZ"/>
        </w:rPr>
      </w:pPr>
      <w:r>
        <w:rPr>
          <w:sz w:val="20"/>
          <w:lang w:val="en-NZ"/>
        </w:rPr>
        <w:t xml:space="preserve">Some of our </w:t>
      </w:r>
      <w:r w:rsidR="00EF5045">
        <w:rPr>
          <w:sz w:val="20"/>
          <w:lang w:val="en-NZ"/>
        </w:rPr>
        <w:t>initial thinking</w:t>
      </w:r>
      <w:r w:rsidR="00EF5045" w:rsidRPr="00BE706B">
        <w:rPr>
          <w:sz w:val="20"/>
          <w:lang w:val="en-NZ"/>
        </w:rPr>
        <w:t xml:space="preserve"> </w:t>
      </w:r>
      <w:r w:rsidR="00EF5045">
        <w:rPr>
          <w:sz w:val="20"/>
          <w:lang w:val="en-NZ"/>
        </w:rPr>
        <w:t xml:space="preserve">on the Part C proposals, </w:t>
      </w:r>
      <w:r>
        <w:rPr>
          <w:sz w:val="20"/>
          <w:lang w:val="en-NZ"/>
        </w:rPr>
        <w:t xml:space="preserve">below, </w:t>
      </w:r>
      <w:r w:rsidR="00EF5045">
        <w:rPr>
          <w:sz w:val="20"/>
          <w:lang w:val="en-NZ"/>
        </w:rPr>
        <w:t>has been provided in the discussion document for validation or feedback</w:t>
      </w:r>
      <w:r>
        <w:rPr>
          <w:sz w:val="20"/>
          <w:lang w:val="en-NZ"/>
        </w:rPr>
        <w:t>:</w:t>
      </w:r>
    </w:p>
    <w:p w14:paraId="2D6DDD18" w14:textId="77777777" w:rsidR="00BF6735" w:rsidRPr="00BF6735" w:rsidRDefault="00BF6735" w:rsidP="00BF6735">
      <w:pPr>
        <w:pStyle w:val="ListParagraph"/>
        <w:numPr>
          <w:ilvl w:val="0"/>
          <w:numId w:val="17"/>
        </w:numPr>
        <w:spacing w:after="60" w:line="240" w:lineRule="auto"/>
        <w:ind w:left="851" w:hanging="284"/>
        <w:contextualSpacing w:val="0"/>
        <w:rPr>
          <w:sz w:val="20"/>
          <w:lang w:val="en-NZ"/>
        </w:rPr>
      </w:pPr>
      <w:r w:rsidRPr="00BF6735">
        <w:rPr>
          <w:sz w:val="20"/>
          <w:lang w:val="en-NZ"/>
        </w:rPr>
        <w:t xml:space="preserve">These options could help drive culture change in harm minimisation in pokies venues by making </w:t>
      </w:r>
      <w:r w:rsidR="00D04115">
        <w:rPr>
          <w:sz w:val="20"/>
          <w:lang w:val="en-NZ"/>
        </w:rPr>
        <w:t xml:space="preserve">the </w:t>
      </w:r>
      <w:r w:rsidRPr="00BF6735">
        <w:rPr>
          <w:sz w:val="20"/>
          <w:lang w:val="en-NZ"/>
        </w:rPr>
        <w:t>consequences of breaches clear and incentivising compliance.</w:t>
      </w:r>
    </w:p>
    <w:p w14:paraId="6AC7BC74" w14:textId="77777777" w:rsidR="00BF6735" w:rsidRPr="00BF6735" w:rsidRDefault="00BF6735" w:rsidP="00BF6735">
      <w:pPr>
        <w:pStyle w:val="ListParagraph"/>
        <w:numPr>
          <w:ilvl w:val="0"/>
          <w:numId w:val="17"/>
        </w:numPr>
        <w:spacing w:after="60" w:line="240" w:lineRule="auto"/>
        <w:ind w:left="851" w:hanging="284"/>
        <w:contextualSpacing w:val="0"/>
        <w:rPr>
          <w:sz w:val="20"/>
          <w:lang w:val="en-NZ"/>
        </w:rPr>
      </w:pPr>
      <w:r w:rsidRPr="00BF6735">
        <w:rPr>
          <w:sz w:val="20"/>
          <w:lang w:val="en-NZ"/>
        </w:rPr>
        <w:t xml:space="preserve">Penalties will </w:t>
      </w:r>
      <w:r w:rsidR="00D04115">
        <w:rPr>
          <w:sz w:val="20"/>
          <w:lang w:val="en-NZ"/>
        </w:rPr>
        <w:t>provide a</w:t>
      </w:r>
      <w:r w:rsidRPr="00BF6735">
        <w:rPr>
          <w:sz w:val="20"/>
          <w:lang w:val="en-NZ"/>
        </w:rPr>
        <w:t xml:space="preserve"> wider range </w:t>
      </w:r>
      <w:r w:rsidR="00D04115">
        <w:rPr>
          <w:sz w:val="20"/>
          <w:lang w:val="en-NZ"/>
        </w:rPr>
        <w:t xml:space="preserve">of tools </w:t>
      </w:r>
      <w:r w:rsidRPr="00BF6735">
        <w:rPr>
          <w:sz w:val="20"/>
          <w:lang w:val="en-NZ"/>
        </w:rPr>
        <w:t xml:space="preserve">in </w:t>
      </w:r>
      <w:r w:rsidR="00D04115">
        <w:rPr>
          <w:sz w:val="20"/>
          <w:lang w:val="en-NZ"/>
        </w:rPr>
        <w:t>the</w:t>
      </w:r>
      <w:r w:rsidRPr="00BF6735">
        <w:rPr>
          <w:sz w:val="20"/>
          <w:lang w:val="en-NZ"/>
        </w:rPr>
        <w:t xml:space="preserve"> regulator’s toolbox.</w:t>
      </w:r>
    </w:p>
    <w:p w14:paraId="0B95AD13" w14:textId="77777777" w:rsidR="00BF6735" w:rsidRPr="00BF6735" w:rsidRDefault="00BF6735" w:rsidP="00BF6735">
      <w:pPr>
        <w:pStyle w:val="ListParagraph"/>
        <w:numPr>
          <w:ilvl w:val="0"/>
          <w:numId w:val="17"/>
        </w:numPr>
        <w:spacing w:after="60" w:line="240" w:lineRule="auto"/>
        <w:ind w:left="851" w:hanging="284"/>
        <w:contextualSpacing w:val="0"/>
        <w:rPr>
          <w:sz w:val="20"/>
          <w:lang w:val="en-NZ"/>
        </w:rPr>
      </w:pPr>
      <w:r w:rsidRPr="00BF6735">
        <w:rPr>
          <w:sz w:val="20"/>
          <w:lang w:val="en-NZ"/>
        </w:rPr>
        <w:t>For some venues, the infringement fees may be too low to provide an effective deterrent</w:t>
      </w:r>
      <w:r w:rsidR="00D04115">
        <w:rPr>
          <w:sz w:val="20"/>
          <w:lang w:val="en-NZ"/>
        </w:rPr>
        <w:t>, but</w:t>
      </w:r>
      <w:r w:rsidRPr="00BF6735">
        <w:rPr>
          <w:sz w:val="20"/>
          <w:lang w:val="en-NZ"/>
        </w:rPr>
        <w:t xml:space="preserve"> for others, they may be extremely effective. </w:t>
      </w:r>
    </w:p>
    <w:p w14:paraId="081D59FE" w14:textId="77777777" w:rsidR="0008276F" w:rsidRDefault="00DB51CD" w:rsidP="0008276F">
      <w:pPr>
        <w:pStyle w:val="Heading3"/>
        <w:rPr>
          <w:lang w:val="en-NZ"/>
        </w:rPr>
      </w:pPr>
      <w:r>
        <w:rPr>
          <w:lang w:val="en-NZ"/>
        </w:rPr>
        <w:t xml:space="preserve">How do the options compare to the </w:t>
      </w:r>
      <w:r w:rsidR="0055694C">
        <w:rPr>
          <w:lang w:val="en-NZ"/>
        </w:rPr>
        <w:t>Counterfactual</w:t>
      </w:r>
      <w:r>
        <w:rPr>
          <w:lang w:val="en-NZ"/>
        </w:rPr>
        <w:t>?</w:t>
      </w:r>
    </w:p>
    <w:p w14:paraId="69121F91" w14:textId="77777777" w:rsidR="0087323B" w:rsidRPr="0037693A" w:rsidRDefault="001870AB" w:rsidP="00A42B77">
      <w:pPr>
        <w:pStyle w:val="ListParagraph"/>
        <w:numPr>
          <w:ilvl w:val="0"/>
          <w:numId w:val="5"/>
        </w:numPr>
        <w:spacing w:before="120" w:after="120" w:line="240" w:lineRule="auto"/>
        <w:ind w:left="567" w:hanging="567"/>
        <w:contextualSpacing w:val="0"/>
        <w:rPr>
          <w:sz w:val="20"/>
          <w:lang w:val="en-NZ"/>
        </w:rPr>
      </w:pPr>
      <w:r>
        <w:rPr>
          <w:color w:val="000000"/>
          <w:sz w:val="20"/>
        </w:rPr>
        <w:t xml:space="preserve">As </w:t>
      </w:r>
      <w:r w:rsidR="00D04115">
        <w:rPr>
          <w:color w:val="000000"/>
          <w:sz w:val="20"/>
        </w:rPr>
        <w:t>we have not yet</w:t>
      </w:r>
      <w:r w:rsidR="0087323B">
        <w:rPr>
          <w:color w:val="000000"/>
          <w:sz w:val="20"/>
        </w:rPr>
        <w:t xml:space="preserve"> </w:t>
      </w:r>
      <w:r w:rsidR="0087323B" w:rsidRPr="00451F6D">
        <w:rPr>
          <w:color w:val="000000"/>
          <w:sz w:val="20"/>
        </w:rPr>
        <w:t xml:space="preserve">developed </w:t>
      </w:r>
      <w:r w:rsidR="0087323B">
        <w:rPr>
          <w:color w:val="000000"/>
          <w:sz w:val="20"/>
        </w:rPr>
        <w:t xml:space="preserve">set of final </w:t>
      </w:r>
      <w:r w:rsidR="0087323B" w:rsidRPr="00451F6D">
        <w:rPr>
          <w:color w:val="000000"/>
          <w:sz w:val="20"/>
        </w:rPr>
        <w:t>proposals</w:t>
      </w:r>
      <w:r w:rsidR="00D04115">
        <w:rPr>
          <w:color w:val="000000"/>
          <w:sz w:val="20"/>
        </w:rPr>
        <w:t xml:space="preserve"> (</w:t>
      </w:r>
      <w:r w:rsidR="0087323B">
        <w:rPr>
          <w:color w:val="000000"/>
          <w:sz w:val="20"/>
        </w:rPr>
        <w:t xml:space="preserve">and as </w:t>
      </w:r>
      <w:r w:rsidR="00D04115">
        <w:rPr>
          <w:color w:val="000000"/>
          <w:sz w:val="20"/>
        </w:rPr>
        <w:t xml:space="preserve">this is an </w:t>
      </w:r>
      <w:r w:rsidR="0087323B">
        <w:rPr>
          <w:color w:val="000000"/>
          <w:sz w:val="20"/>
        </w:rPr>
        <w:t xml:space="preserve">Interim RIS </w:t>
      </w:r>
      <w:r w:rsidR="00D04115">
        <w:rPr>
          <w:color w:val="000000"/>
          <w:sz w:val="20"/>
        </w:rPr>
        <w:t>to support the decision to release a discussion document)</w:t>
      </w:r>
      <w:r w:rsidR="0087323B">
        <w:rPr>
          <w:color w:val="000000"/>
          <w:sz w:val="20"/>
        </w:rPr>
        <w:t xml:space="preserve">, </w:t>
      </w:r>
      <w:r w:rsidR="00D04115">
        <w:rPr>
          <w:color w:val="000000"/>
          <w:sz w:val="20"/>
        </w:rPr>
        <w:t>w</w:t>
      </w:r>
      <w:r w:rsidR="0087323B">
        <w:rPr>
          <w:color w:val="000000"/>
          <w:sz w:val="20"/>
        </w:rPr>
        <w:t xml:space="preserve">e have only been able to summarise how the current proposals </w:t>
      </w:r>
      <w:r w:rsidR="0037693A">
        <w:rPr>
          <w:color w:val="000000"/>
          <w:sz w:val="20"/>
        </w:rPr>
        <w:t xml:space="preserve">compare to the Counterfactual. </w:t>
      </w:r>
      <w:r w:rsidR="00D04115">
        <w:rPr>
          <w:color w:val="000000"/>
          <w:sz w:val="20"/>
        </w:rPr>
        <w:t>The RIS w</w:t>
      </w:r>
      <w:r w:rsidR="00BC5361">
        <w:rPr>
          <w:color w:val="000000"/>
          <w:sz w:val="20"/>
        </w:rPr>
        <w:t>h</w:t>
      </w:r>
      <w:r w:rsidR="00D04115">
        <w:rPr>
          <w:color w:val="000000"/>
          <w:sz w:val="20"/>
        </w:rPr>
        <w:t xml:space="preserve">ich will accompany the final proposals will include a more detailed analysis, using the criteria identified in paragraph </w:t>
      </w:r>
      <w:r w:rsidR="00B134C7">
        <w:rPr>
          <w:color w:val="000000"/>
          <w:sz w:val="20"/>
        </w:rPr>
        <w:t>39</w:t>
      </w:r>
      <w:r w:rsidR="00D04115">
        <w:rPr>
          <w:color w:val="000000"/>
          <w:sz w:val="20"/>
        </w:rPr>
        <w:t>.</w:t>
      </w:r>
    </w:p>
    <w:p w14:paraId="7751E3A6" w14:textId="77777777" w:rsidR="0008276F" w:rsidRPr="0037693A" w:rsidRDefault="0037693A" w:rsidP="00A42B77">
      <w:pPr>
        <w:pStyle w:val="ListParagraph"/>
        <w:numPr>
          <w:ilvl w:val="0"/>
          <w:numId w:val="5"/>
        </w:numPr>
        <w:spacing w:before="120" w:after="120" w:line="240" w:lineRule="auto"/>
        <w:ind w:left="567" w:hanging="567"/>
        <w:contextualSpacing w:val="0"/>
        <w:rPr>
          <w:lang w:val="en-NZ"/>
        </w:rPr>
      </w:pPr>
      <w:r w:rsidRPr="0037693A">
        <w:rPr>
          <w:rFonts w:cs="Arial"/>
          <w:color w:val="000000" w:themeColor="text1"/>
          <w:sz w:val="20"/>
          <w:lang w:eastAsia="en-NZ"/>
        </w:rPr>
        <w:lastRenderedPageBreak/>
        <w:t>Parts are summarised separately, but it is expected that as a combined suite of changes the</w:t>
      </w:r>
      <w:r w:rsidR="002F37B0">
        <w:rPr>
          <w:rFonts w:cs="Arial"/>
          <w:color w:val="000000" w:themeColor="text1"/>
          <w:sz w:val="20"/>
          <w:lang w:eastAsia="en-NZ"/>
        </w:rPr>
        <w:t>y</w:t>
      </w:r>
      <w:r w:rsidRPr="0037693A">
        <w:rPr>
          <w:rFonts w:cs="Arial"/>
          <w:color w:val="000000" w:themeColor="text1"/>
          <w:sz w:val="20"/>
          <w:lang w:eastAsia="en-NZ"/>
        </w:rPr>
        <w:t xml:space="preserve"> would be ‘much better’ than the Counterfactual. </w:t>
      </w:r>
    </w:p>
    <w:tbl>
      <w:tblPr>
        <w:tblW w:w="8505" w:type="dxa"/>
        <w:tblInd w:w="56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27"/>
        <w:gridCol w:w="6378"/>
      </w:tblGrid>
      <w:tr w:rsidR="0037693A" w:rsidRPr="0087323B" w14:paraId="3C23A73E" w14:textId="77777777" w:rsidTr="0071572A">
        <w:trPr>
          <w:trHeight w:val="417"/>
        </w:trPr>
        <w:tc>
          <w:tcPr>
            <w:tcW w:w="2127" w:type="dxa"/>
            <w:shd w:val="clear" w:color="auto" w:fill="E3E8ED"/>
            <w:vAlign w:val="center"/>
            <w:hideMark/>
          </w:tcPr>
          <w:p w14:paraId="1B975FAD" w14:textId="77777777" w:rsidR="0037693A" w:rsidRPr="0087323B" w:rsidRDefault="0037693A" w:rsidP="0008276F">
            <w:pPr>
              <w:spacing w:after="0" w:line="240" w:lineRule="auto"/>
              <w:jc w:val="center"/>
              <w:rPr>
                <w:rFonts w:cs="Arial"/>
                <w:b/>
                <w:i/>
                <w:iCs/>
                <w:color w:val="FFFFFF"/>
                <w:sz w:val="20"/>
                <w:lang w:val="en-NZ" w:eastAsia="en-NZ"/>
              </w:rPr>
            </w:pPr>
            <w:r w:rsidRPr="0087323B">
              <w:rPr>
                <w:rFonts w:cs="Arial"/>
                <w:b/>
                <w:iCs/>
                <w:color w:val="000000" w:themeColor="text1"/>
                <w:sz w:val="20"/>
                <w:lang w:val="en-NZ" w:eastAsia="en-NZ"/>
              </w:rPr>
              <w:t>Option</w:t>
            </w:r>
            <w:r w:rsidRPr="0087323B">
              <w:rPr>
                <w:rFonts w:cs="Arial"/>
                <w:b/>
                <w:i/>
                <w:iCs/>
                <w:color w:val="FFFFFF"/>
                <w:sz w:val="20"/>
                <w:lang w:val="en-NZ" w:eastAsia="en-NZ"/>
              </w:rPr>
              <w:t> </w:t>
            </w:r>
          </w:p>
        </w:tc>
        <w:tc>
          <w:tcPr>
            <w:tcW w:w="6378" w:type="dxa"/>
            <w:shd w:val="clear" w:color="auto" w:fill="E3E8ED"/>
            <w:vAlign w:val="center"/>
            <w:hideMark/>
          </w:tcPr>
          <w:p w14:paraId="193E39CE" w14:textId="77777777" w:rsidR="0037693A" w:rsidRPr="0087323B" w:rsidRDefault="0037693A" w:rsidP="0008276F">
            <w:pPr>
              <w:spacing w:after="0" w:line="240" w:lineRule="auto"/>
              <w:jc w:val="center"/>
              <w:rPr>
                <w:rFonts w:cs="Arial"/>
                <w:b/>
                <w:bCs/>
                <w:color w:val="000000"/>
                <w:sz w:val="20"/>
                <w:lang w:val="en-NZ" w:eastAsia="en-NZ"/>
              </w:rPr>
            </w:pPr>
            <w:r w:rsidRPr="0087323B">
              <w:rPr>
                <w:rFonts w:cs="Arial"/>
                <w:b/>
                <w:bCs/>
                <w:color w:val="000000"/>
                <w:sz w:val="20"/>
                <w:lang w:val="en-NZ" w:eastAsia="en-NZ"/>
              </w:rPr>
              <w:t>Overall assessment</w:t>
            </w:r>
          </w:p>
        </w:tc>
      </w:tr>
      <w:tr w:rsidR="0037693A" w:rsidRPr="0087323B" w14:paraId="4E867D13" w14:textId="77777777" w:rsidTr="0071572A">
        <w:trPr>
          <w:trHeight w:val="315"/>
        </w:trPr>
        <w:tc>
          <w:tcPr>
            <w:tcW w:w="2127" w:type="dxa"/>
            <w:shd w:val="clear" w:color="000000" w:fill="F2F2F2"/>
            <w:vAlign w:val="center"/>
            <w:hideMark/>
          </w:tcPr>
          <w:p w14:paraId="3ED3C10E" w14:textId="77777777" w:rsidR="0037693A" w:rsidRPr="0087323B" w:rsidRDefault="0037693A" w:rsidP="00BC61E0">
            <w:pPr>
              <w:spacing w:before="240" w:after="240" w:line="240" w:lineRule="auto"/>
              <w:jc w:val="center"/>
              <w:rPr>
                <w:rFonts w:cs="Arial"/>
                <w:b/>
                <w:bCs/>
                <w:color w:val="000000"/>
                <w:sz w:val="20"/>
                <w:lang w:val="en-NZ" w:eastAsia="en-NZ"/>
              </w:rPr>
            </w:pPr>
            <w:r>
              <w:rPr>
                <w:rFonts w:cs="Arial"/>
                <w:b/>
                <w:bCs/>
                <w:color w:val="000000"/>
                <w:sz w:val="20"/>
                <w:lang w:val="en-NZ" w:eastAsia="en-NZ"/>
              </w:rPr>
              <w:t>C</w:t>
            </w:r>
            <w:r w:rsidRPr="0087323B">
              <w:rPr>
                <w:rFonts w:cs="Arial"/>
                <w:b/>
                <w:bCs/>
                <w:color w:val="000000"/>
                <w:sz w:val="20"/>
                <w:lang w:val="en-NZ" w:eastAsia="en-NZ"/>
              </w:rPr>
              <w:t>ounterfactual</w:t>
            </w:r>
          </w:p>
        </w:tc>
        <w:tc>
          <w:tcPr>
            <w:tcW w:w="6378" w:type="dxa"/>
            <w:shd w:val="clear" w:color="auto" w:fill="auto"/>
            <w:vAlign w:val="center"/>
            <w:hideMark/>
          </w:tcPr>
          <w:p w14:paraId="5CA20429" w14:textId="77777777" w:rsidR="0037693A" w:rsidRPr="0087323B" w:rsidRDefault="0037693A" w:rsidP="00BC61E0">
            <w:pPr>
              <w:spacing w:before="240" w:after="240" w:line="240" w:lineRule="auto"/>
              <w:jc w:val="center"/>
              <w:rPr>
                <w:rFonts w:cs="Arial"/>
                <w:color w:val="000000"/>
                <w:sz w:val="20"/>
                <w:lang w:val="en-NZ" w:eastAsia="en-NZ"/>
              </w:rPr>
            </w:pPr>
            <w:r w:rsidRPr="0087323B">
              <w:rPr>
                <w:rFonts w:cs="Arial"/>
                <w:color w:val="000000"/>
                <w:sz w:val="20"/>
                <w:lang w:val="en-NZ" w:eastAsia="en-NZ"/>
              </w:rPr>
              <w:t xml:space="preserve">Limited cover in regulations </w:t>
            </w:r>
            <w:r w:rsidR="002C3428">
              <w:rPr>
                <w:rFonts w:cs="Arial"/>
                <w:color w:val="000000"/>
                <w:sz w:val="20"/>
                <w:lang w:val="en-NZ" w:eastAsia="en-NZ"/>
              </w:rPr>
              <w:t xml:space="preserve">in </w:t>
            </w:r>
            <w:r w:rsidRPr="0087323B">
              <w:rPr>
                <w:rFonts w:cs="Arial"/>
                <w:color w:val="000000"/>
                <w:sz w:val="20"/>
                <w:lang w:val="en-NZ" w:eastAsia="en-NZ"/>
              </w:rPr>
              <w:t>terms of topics and specificity. </w:t>
            </w:r>
            <w:r w:rsidR="00877711">
              <w:rPr>
                <w:rFonts w:cs="Arial"/>
                <w:color w:val="000000"/>
                <w:sz w:val="20"/>
                <w:lang w:val="en-NZ" w:eastAsia="en-NZ"/>
              </w:rPr>
              <w:br/>
              <w:t>D</w:t>
            </w:r>
            <w:r w:rsidR="00392891">
              <w:rPr>
                <w:rFonts w:cs="Arial"/>
                <w:color w:val="000000"/>
                <w:sz w:val="20"/>
                <w:lang w:val="en-NZ" w:eastAsia="en-NZ"/>
              </w:rPr>
              <w:t>ifficult to enforce compliance in venues.</w:t>
            </w:r>
          </w:p>
        </w:tc>
      </w:tr>
      <w:tr w:rsidR="0037693A" w:rsidRPr="0087323B" w14:paraId="3F6B729F" w14:textId="77777777" w:rsidTr="0071572A">
        <w:trPr>
          <w:trHeight w:val="1540"/>
        </w:trPr>
        <w:tc>
          <w:tcPr>
            <w:tcW w:w="2127" w:type="dxa"/>
            <w:shd w:val="clear" w:color="000000" w:fill="F2F2F2"/>
            <w:vAlign w:val="center"/>
            <w:hideMark/>
          </w:tcPr>
          <w:p w14:paraId="18791620" w14:textId="77777777" w:rsidR="0037693A" w:rsidRPr="0087323B" w:rsidRDefault="0037693A" w:rsidP="0008276F">
            <w:pPr>
              <w:spacing w:after="0" w:line="240" w:lineRule="auto"/>
              <w:jc w:val="center"/>
              <w:rPr>
                <w:rFonts w:cs="Arial"/>
                <w:b/>
                <w:bCs/>
                <w:color w:val="000000"/>
                <w:sz w:val="20"/>
                <w:lang w:val="en-NZ" w:eastAsia="en-NZ"/>
              </w:rPr>
            </w:pPr>
            <w:r w:rsidRPr="0087323B">
              <w:rPr>
                <w:rFonts w:cs="Arial"/>
                <w:b/>
                <w:bCs/>
                <w:color w:val="000000"/>
                <w:sz w:val="20"/>
                <w:lang w:val="en-NZ" w:eastAsia="en-NZ"/>
              </w:rPr>
              <w:t xml:space="preserve">Part A - </w:t>
            </w:r>
            <w:r w:rsidRPr="0087323B">
              <w:rPr>
                <w:rFonts w:cs="Arial"/>
                <w:b/>
                <w:bCs/>
                <w:color w:val="000000"/>
                <w:sz w:val="20"/>
                <w:lang w:val="en-NZ" w:eastAsia="en-NZ"/>
              </w:rPr>
              <w:br/>
              <w:t>The Venue</w:t>
            </w:r>
          </w:p>
        </w:tc>
        <w:tc>
          <w:tcPr>
            <w:tcW w:w="6378" w:type="dxa"/>
            <w:shd w:val="clear" w:color="auto" w:fill="auto"/>
            <w:vAlign w:val="center"/>
            <w:hideMark/>
          </w:tcPr>
          <w:p w14:paraId="78528364" w14:textId="63BEB0B9" w:rsidR="0037693A" w:rsidRPr="00BC5361" w:rsidRDefault="00D514CE" w:rsidP="00FB0714">
            <w:pPr>
              <w:spacing w:after="120" w:line="240" w:lineRule="auto"/>
              <w:jc w:val="center"/>
              <w:rPr>
                <w:rFonts w:cs="Arial"/>
                <w:i/>
                <w:color w:val="000000" w:themeColor="text1"/>
                <w:sz w:val="20"/>
                <w:lang w:eastAsia="en-NZ"/>
              </w:rPr>
            </w:pPr>
            <w:r w:rsidRPr="00BC5361">
              <w:rPr>
                <w:b/>
                <w:color w:val="00B050"/>
                <w:sz w:val="24"/>
                <w:szCs w:val="24"/>
              </w:rPr>
              <w:t>+</w:t>
            </w:r>
            <w:r w:rsidR="00E925D0" w:rsidRPr="00BC5361">
              <w:rPr>
                <w:b/>
                <w:color w:val="00B050"/>
                <w:sz w:val="24"/>
                <w:szCs w:val="24"/>
              </w:rPr>
              <w:t>+</w:t>
            </w:r>
            <w:r w:rsidRPr="00BC5361">
              <w:rPr>
                <w:b/>
                <w:color w:val="00B050"/>
                <w:sz w:val="24"/>
                <w:szCs w:val="24"/>
              </w:rPr>
              <w:t xml:space="preserve"> </w:t>
            </w:r>
            <w:r w:rsidR="0037693A" w:rsidRPr="00BC5361">
              <w:rPr>
                <w:rFonts w:cs="Arial"/>
                <w:i/>
                <w:color w:val="000000" w:themeColor="text1"/>
                <w:sz w:val="20"/>
                <w:lang w:eastAsia="en-NZ"/>
              </w:rPr>
              <w:t>Better than Counterfactual:</w:t>
            </w:r>
          </w:p>
          <w:p w14:paraId="10879542" w14:textId="77777777" w:rsidR="0037693A" w:rsidRPr="0087323B" w:rsidRDefault="0037693A" w:rsidP="0008276F">
            <w:pPr>
              <w:spacing w:after="0" w:line="240" w:lineRule="auto"/>
              <w:jc w:val="center"/>
              <w:rPr>
                <w:rFonts w:cs="Arial"/>
                <w:color w:val="000000" w:themeColor="text1"/>
                <w:sz w:val="20"/>
                <w:lang w:eastAsia="en-NZ"/>
              </w:rPr>
            </w:pPr>
            <w:r w:rsidRPr="0087323B">
              <w:rPr>
                <w:rFonts w:cs="Arial"/>
                <w:color w:val="000000" w:themeColor="text1"/>
                <w:sz w:val="20"/>
                <w:lang w:eastAsia="en-NZ"/>
              </w:rPr>
              <w:t>Clearer, more specific steps.</w:t>
            </w:r>
          </w:p>
          <w:p w14:paraId="3C75B741" w14:textId="77777777" w:rsidR="0037693A" w:rsidRPr="0087323B" w:rsidRDefault="0037693A" w:rsidP="0008276F">
            <w:pPr>
              <w:spacing w:after="0" w:line="240" w:lineRule="auto"/>
              <w:jc w:val="center"/>
              <w:rPr>
                <w:rFonts w:cs="Arial"/>
                <w:color w:val="000000" w:themeColor="text1"/>
                <w:sz w:val="20"/>
                <w:lang w:eastAsia="en-NZ"/>
              </w:rPr>
            </w:pPr>
            <w:r w:rsidRPr="0087323B">
              <w:rPr>
                <w:rFonts w:cs="Arial"/>
                <w:color w:val="000000" w:themeColor="text1"/>
                <w:sz w:val="20"/>
                <w:lang w:eastAsia="en-NZ"/>
              </w:rPr>
              <w:t>Monitoring systems required.</w:t>
            </w:r>
          </w:p>
          <w:p w14:paraId="0B040DE3" w14:textId="77777777" w:rsidR="0037693A" w:rsidRPr="0087323B" w:rsidRDefault="0037693A" w:rsidP="0008276F">
            <w:pPr>
              <w:spacing w:after="0" w:line="240" w:lineRule="auto"/>
              <w:jc w:val="center"/>
              <w:rPr>
                <w:rFonts w:cs="Arial"/>
                <w:color w:val="000000" w:themeColor="text1"/>
                <w:sz w:val="20"/>
                <w:lang w:eastAsia="en-NZ"/>
              </w:rPr>
            </w:pPr>
            <w:r w:rsidRPr="0087323B">
              <w:rPr>
                <w:rFonts w:cs="Arial"/>
                <w:color w:val="000000" w:themeColor="text1"/>
                <w:sz w:val="20"/>
                <w:lang w:eastAsia="en-NZ"/>
              </w:rPr>
              <w:t>Improved and/or wider training.</w:t>
            </w:r>
          </w:p>
          <w:p w14:paraId="359565B4" w14:textId="77777777" w:rsidR="0037693A" w:rsidRPr="0087323B" w:rsidRDefault="0037693A" w:rsidP="0093483E">
            <w:pPr>
              <w:spacing w:after="120" w:line="240" w:lineRule="auto"/>
              <w:jc w:val="center"/>
              <w:rPr>
                <w:rFonts w:cs="Arial"/>
                <w:color w:val="000000"/>
                <w:sz w:val="20"/>
                <w:lang w:val="en-NZ" w:eastAsia="en-NZ"/>
              </w:rPr>
            </w:pPr>
            <w:r w:rsidRPr="0087323B">
              <w:rPr>
                <w:rFonts w:cs="Arial"/>
                <w:color w:val="000000" w:themeColor="text1"/>
                <w:sz w:val="20"/>
                <w:lang w:eastAsia="en-NZ"/>
              </w:rPr>
              <w:t xml:space="preserve">Venue design counteracts harm. </w:t>
            </w:r>
          </w:p>
        </w:tc>
      </w:tr>
      <w:tr w:rsidR="0037693A" w:rsidRPr="0087323B" w14:paraId="735D7DB5" w14:textId="77777777" w:rsidTr="0093483E">
        <w:trPr>
          <w:trHeight w:val="1388"/>
        </w:trPr>
        <w:tc>
          <w:tcPr>
            <w:tcW w:w="2127" w:type="dxa"/>
            <w:shd w:val="clear" w:color="000000" w:fill="F2F2F2"/>
            <w:vAlign w:val="center"/>
            <w:hideMark/>
          </w:tcPr>
          <w:p w14:paraId="18191B80" w14:textId="77777777" w:rsidR="0037693A" w:rsidRPr="0087323B" w:rsidRDefault="0037693A" w:rsidP="0055694C">
            <w:pPr>
              <w:spacing w:after="0" w:line="240" w:lineRule="auto"/>
              <w:jc w:val="center"/>
              <w:rPr>
                <w:rFonts w:cs="Arial"/>
                <w:b/>
                <w:bCs/>
                <w:color w:val="000000"/>
                <w:sz w:val="20"/>
                <w:lang w:val="en-NZ" w:eastAsia="en-NZ"/>
              </w:rPr>
            </w:pPr>
            <w:r w:rsidRPr="0087323B">
              <w:rPr>
                <w:rFonts w:cs="Arial"/>
                <w:b/>
                <w:bCs/>
                <w:color w:val="000000"/>
                <w:sz w:val="20"/>
                <w:lang w:val="en-NZ" w:eastAsia="en-NZ"/>
              </w:rPr>
              <w:t xml:space="preserve">Part B - </w:t>
            </w:r>
            <w:r w:rsidRPr="0087323B">
              <w:rPr>
                <w:rFonts w:cs="Arial"/>
                <w:b/>
                <w:bCs/>
                <w:color w:val="000000"/>
                <w:sz w:val="20"/>
                <w:lang w:val="en-NZ" w:eastAsia="en-NZ"/>
              </w:rPr>
              <w:br/>
              <w:t>The machines</w:t>
            </w:r>
          </w:p>
        </w:tc>
        <w:tc>
          <w:tcPr>
            <w:tcW w:w="6378" w:type="dxa"/>
            <w:shd w:val="clear" w:color="auto" w:fill="auto"/>
            <w:vAlign w:val="center"/>
            <w:hideMark/>
          </w:tcPr>
          <w:p w14:paraId="1640B9E5" w14:textId="2FAB8FF7" w:rsidR="0037693A" w:rsidRPr="00BC5361" w:rsidRDefault="00D514CE" w:rsidP="00FB0714">
            <w:pPr>
              <w:spacing w:after="120" w:line="240" w:lineRule="auto"/>
              <w:jc w:val="center"/>
              <w:rPr>
                <w:rFonts w:cs="Arial"/>
                <w:i/>
                <w:color w:val="000000" w:themeColor="text1"/>
                <w:sz w:val="20"/>
                <w:lang w:eastAsia="en-NZ"/>
              </w:rPr>
            </w:pPr>
            <w:r w:rsidRPr="00BC5361">
              <w:rPr>
                <w:b/>
                <w:color w:val="00B050"/>
                <w:sz w:val="24"/>
                <w:szCs w:val="24"/>
              </w:rPr>
              <w:t>+</w:t>
            </w:r>
            <w:r w:rsidR="00E925D0" w:rsidRPr="00BC5361">
              <w:rPr>
                <w:b/>
                <w:color w:val="00B050"/>
                <w:sz w:val="24"/>
                <w:szCs w:val="24"/>
              </w:rPr>
              <w:t>+</w:t>
            </w:r>
            <w:r>
              <w:rPr>
                <w:b/>
                <w:color w:val="00B050"/>
                <w:sz w:val="16"/>
                <w:szCs w:val="16"/>
              </w:rPr>
              <w:t xml:space="preserve"> </w:t>
            </w:r>
            <w:r w:rsidR="0037693A" w:rsidRPr="00BC5361">
              <w:rPr>
                <w:rFonts w:cs="Arial"/>
                <w:i/>
                <w:color w:val="000000" w:themeColor="text1"/>
                <w:sz w:val="20"/>
                <w:lang w:eastAsia="en-NZ"/>
              </w:rPr>
              <w:t>Better than Counterfactual:</w:t>
            </w:r>
          </w:p>
          <w:p w14:paraId="4C28491A" w14:textId="77777777" w:rsidR="0037693A" w:rsidRPr="0087323B" w:rsidRDefault="0037693A" w:rsidP="00FB0714">
            <w:pPr>
              <w:spacing w:after="0" w:line="240" w:lineRule="auto"/>
              <w:jc w:val="center"/>
              <w:rPr>
                <w:rFonts w:cs="Arial"/>
                <w:color w:val="000000" w:themeColor="text1"/>
                <w:sz w:val="20"/>
                <w:lang w:eastAsia="en-NZ"/>
              </w:rPr>
            </w:pPr>
            <w:r w:rsidRPr="0087323B">
              <w:rPr>
                <w:rFonts w:cs="Arial"/>
                <w:color w:val="000000" w:themeColor="text1"/>
                <w:sz w:val="20"/>
                <w:lang w:eastAsia="en-NZ"/>
              </w:rPr>
              <w:t xml:space="preserve">Information </w:t>
            </w:r>
            <w:r w:rsidRPr="0087323B">
              <w:rPr>
                <w:sz w:val="20"/>
                <w:lang w:val="en-NZ"/>
              </w:rPr>
              <w:t>addresses gambling fallacies.</w:t>
            </w:r>
          </w:p>
          <w:p w14:paraId="40894C27" w14:textId="77777777" w:rsidR="0037693A" w:rsidRPr="0087323B" w:rsidRDefault="0037693A" w:rsidP="00FB0714">
            <w:pPr>
              <w:spacing w:after="0" w:line="240" w:lineRule="auto"/>
              <w:jc w:val="center"/>
              <w:rPr>
                <w:rFonts w:cs="Arial"/>
                <w:color w:val="000000" w:themeColor="text1"/>
                <w:sz w:val="20"/>
                <w:lang w:eastAsia="en-NZ"/>
              </w:rPr>
            </w:pPr>
            <w:r w:rsidRPr="0087323B">
              <w:rPr>
                <w:rFonts w:cs="Arial"/>
                <w:color w:val="000000" w:themeColor="text1"/>
                <w:sz w:val="20"/>
                <w:lang w:eastAsia="en-NZ"/>
              </w:rPr>
              <w:t>Harm driving features reduced.</w:t>
            </w:r>
          </w:p>
          <w:p w14:paraId="6E3B489C" w14:textId="77777777" w:rsidR="0037693A" w:rsidRPr="0087323B" w:rsidRDefault="0037693A" w:rsidP="0093483E">
            <w:pPr>
              <w:spacing w:after="120" w:line="240" w:lineRule="auto"/>
              <w:jc w:val="center"/>
              <w:rPr>
                <w:rFonts w:cs="Arial"/>
                <w:color w:val="000000"/>
                <w:sz w:val="20"/>
                <w:lang w:val="en-NZ" w:eastAsia="en-NZ"/>
              </w:rPr>
            </w:pPr>
            <w:r w:rsidRPr="0087323B">
              <w:rPr>
                <w:rFonts w:cs="Arial"/>
                <w:color w:val="000000" w:themeColor="text1"/>
                <w:sz w:val="20"/>
                <w:lang w:eastAsia="en-NZ"/>
              </w:rPr>
              <w:t>Removal or restriction of Jackpots or branding.</w:t>
            </w:r>
          </w:p>
        </w:tc>
      </w:tr>
      <w:tr w:rsidR="0037693A" w:rsidRPr="0087323B" w14:paraId="1704DDE4" w14:textId="77777777" w:rsidTr="00ED678E">
        <w:trPr>
          <w:trHeight w:val="1110"/>
        </w:trPr>
        <w:tc>
          <w:tcPr>
            <w:tcW w:w="2127" w:type="dxa"/>
            <w:shd w:val="clear" w:color="000000" w:fill="F2F2F2"/>
            <w:vAlign w:val="center"/>
            <w:hideMark/>
          </w:tcPr>
          <w:p w14:paraId="64AC7E77" w14:textId="77777777" w:rsidR="0037693A" w:rsidRPr="0087323B" w:rsidRDefault="0037693A" w:rsidP="0055694C">
            <w:pPr>
              <w:spacing w:after="0" w:line="240" w:lineRule="auto"/>
              <w:jc w:val="center"/>
              <w:rPr>
                <w:rFonts w:cs="Arial"/>
                <w:b/>
                <w:bCs/>
                <w:color w:val="000000"/>
                <w:sz w:val="20"/>
                <w:lang w:val="en-NZ" w:eastAsia="en-NZ"/>
              </w:rPr>
            </w:pPr>
            <w:r w:rsidRPr="0087323B">
              <w:rPr>
                <w:rFonts w:cs="Arial"/>
                <w:b/>
                <w:bCs/>
                <w:color w:val="000000"/>
                <w:sz w:val="20"/>
                <w:lang w:val="en-NZ" w:eastAsia="en-NZ"/>
              </w:rPr>
              <w:t>Part C - Enforcement</w:t>
            </w:r>
          </w:p>
        </w:tc>
        <w:tc>
          <w:tcPr>
            <w:tcW w:w="6378" w:type="dxa"/>
            <w:shd w:val="clear" w:color="auto" w:fill="auto"/>
            <w:vAlign w:val="center"/>
            <w:hideMark/>
          </w:tcPr>
          <w:p w14:paraId="487C82DB" w14:textId="77777777" w:rsidR="0037693A" w:rsidRPr="00BC5361" w:rsidRDefault="00D514CE" w:rsidP="00FB0714">
            <w:pPr>
              <w:spacing w:after="120" w:line="240" w:lineRule="auto"/>
              <w:jc w:val="center"/>
              <w:rPr>
                <w:rFonts w:cs="Arial"/>
                <w:i/>
                <w:color w:val="000000" w:themeColor="text1"/>
                <w:sz w:val="20"/>
                <w:lang w:eastAsia="en-NZ"/>
              </w:rPr>
            </w:pPr>
            <w:r w:rsidRPr="00BC5361">
              <w:rPr>
                <w:b/>
                <w:color w:val="00B050"/>
                <w:sz w:val="24"/>
                <w:szCs w:val="24"/>
              </w:rPr>
              <w:t>+</w:t>
            </w:r>
            <w:r>
              <w:rPr>
                <w:b/>
                <w:color w:val="00B050"/>
                <w:sz w:val="16"/>
                <w:szCs w:val="16"/>
              </w:rPr>
              <w:t xml:space="preserve"> </w:t>
            </w:r>
            <w:r w:rsidR="0037693A" w:rsidRPr="00BC5361">
              <w:rPr>
                <w:rFonts w:cs="Arial"/>
                <w:i/>
                <w:color w:val="000000" w:themeColor="text1"/>
                <w:sz w:val="20"/>
                <w:lang w:eastAsia="en-NZ"/>
              </w:rPr>
              <w:t>Better than Counterfactual:</w:t>
            </w:r>
          </w:p>
          <w:p w14:paraId="6BB4ED6A" w14:textId="77777777" w:rsidR="00B134C7" w:rsidRPr="0087323B" w:rsidRDefault="00B134C7" w:rsidP="00ED678E">
            <w:pPr>
              <w:spacing w:after="120" w:line="240" w:lineRule="auto"/>
              <w:jc w:val="center"/>
              <w:rPr>
                <w:rFonts w:cs="Arial"/>
                <w:color w:val="000000"/>
                <w:sz w:val="20"/>
                <w:lang w:val="en-NZ" w:eastAsia="en-NZ"/>
              </w:rPr>
            </w:pPr>
            <w:r w:rsidDel="00B134C7">
              <w:rPr>
                <w:rFonts w:cs="Arial"/>
                <w:color w:val="000000" w:themeColor="text1"/>
                <w:sz w:val="20"/>
                <w:lang w:eastAsia="en-NZ"/>
              </w:rPr>
              <w:t xml:space="preserve"> </w:t>
            </w:r>
            <w:r>
              <w:rPr>
                <w:rFonts w:cs="Arial"/>
                <w:color w:val="000000"/>
                <w:sz w:val="20"/>
                <w:lang w:val="en-NZ" w:eastAsia="en-NZ"/>
              </w:rPr>
              <w:t>Improvement in compliance by creating enforcement tools.</w:t>
            </w:r>
          </w:p>
        </w:tc>
      </w:tr>
      <w:tr w:rsidR="00B134C7" w:rsidRPr="0087323B" w14:paraId="024EA031" w14:textId="77777777" w:rsidTr="00D514CE">
        <w:trPr>
          <w:trHeight w:val="1262"/>
        </w:trPr>
        <w:tc>
          <w:tcPr>
            <w:tcW w:w="8505" w:type="dxa"/>
            <w:gridSpan w:val="2"/>
            <w:shd w:val="clear" w:color="000000" w:fill="F2F2F2"/>
            <w:vAlign w:val="center"/>
          </w:tcPr>
          <w:p w14:paraId="30C13A56" w14:textId="77777777" w:rsidR="00B134C7" w:rsidRPr="00BC5361" w:rsidRDefault="00B134C7" w:rsidP="00E74AAB">
            <w:pPr>
              <w:spacing w:before="80" w:after="80" w:line="240" w:lineRule="auto"/>
              <w:rPr>
                <w:b/>
                <w:color w:val="000000"/>
                <w:sz w:val="16"/>
                <w:szCs w:val="16"/>
              </w:rPr>
            </w:pPr>
            <w:r w:rsidRPr="00BC5361">
              <w:rPr>
                <w:b/>
                <w:color w:val="000000"/>
                <w:sz w:val="16"/>
                <w:szCs w:val="16"/>
              </w:rPr>
              <w:t xml:space="preserve">Example key for qualitative judgements: </w:t>
            </w:r>
          </w:p>
          <w:p w14:paraId="7FE7CC28" w14:textId="77777777" w:rsidR="00B134C7" w:rsidRDefault="00B134C7" w:rsidP="00B134C7">
            <w:pPr>
              <w:spacing w:before="40" w:after="40" w:line="240" w:lineRule="auto"/>
              <w:ind w:left="460" w:hanging="283"/>
              <w:rPr>
                <w:color w:val="000000"/>
                <w:sz w:val="16"/>
                <w:szCs w:val="16"/>
              </w:rPr>
            </w:pPr>
            <w:r w:rsidRPr="00D514CE">
              <w:rPr>
                <w:b/>
                <w:color w:val="00B050"/>
                <w:sz w:val="16"/>
                <w:szCs w:val="16"/>
              </w:rPr>
              <w:t>++</w:t>
            </w:r>
            <w:r>
              <w:rPr>
                <w:color w:val="000000"/>
                <w:sz w:val="16"/>
                <w:szCs w:val="16"/>
              </w:rPr>
              <w:tab/>
            </w:r>
            <w:r w:rsidRPr="00B134C7">
              <w:rPr>
                <w:color w:val="000000"/>
                <w:sz w:val="16"/>
                <w:szCs w:val="16"/>
              </w:rPr>
              <w:t xml:space="preserve"> much better than doing nothing/the status quo/counterfactual</w:t>
            </w:r>
          </w:p>
          <w:p w14:paraId="7A900F57" w14:textId="77777777" w:rsidR="00B134C7" w:rsidRPr="00B134C7" w:rsidRDefault="00B134C7" w:rsidP="00B134C7">
            <w:pPr>
              <w:spacing w:before="40" w:after="40" w:line="240" w:lineRule="auto"/>
              <w:ind w:left="460" w:hanging="283"/>
              <w:rPr>
                <w:color w:val="000000"/>
                <w:sz w:val="16"/>
                <w:szCs w:val="16"/>
              </w:rPr>
            </w:pPr>
            <w:r w:rsidRPr="00D514CE">
              <w:rPr>
                <w:b/>
                <w:color w:val="00B050"/>
                <w:sz w:val="16"/>
                <w:szCs w:val="16"/>
              </w:rPr>
              <w:t>+</w:t>
            </w:r>
            <w:r w:rsidRPr="00B134C7">
              <w:rPr>
                <w:color w:val="000000"/>
                <w:sz w:val="16"/>
                <w:szCs w:val="16"/>
              </w:rPr>
              <w:t xml:space="preserve"> </w:t>
            </w:r>
            <w:r>
              <w:rPr>
                <w:color w:val="000000"/>
                <w:sz w:val="16"/>
                <w:szCs w:val="16"/>
              </w:rPr>
              <w:tab/>
            </w:r>
            <w:r w:rsidRPr="00B134C7">
              <w:rPr>
                <w:color w:val="000000"/>
                <w:sz w:val="16"/>
                <w:szCs w:val="16"/>
              </w:rPr>
              <w:t xml:space="preserve">better than doing nothing/the status quo/counterfactual </w:t>
            </w:r>
          </w:p>
          <w:p w14:paraId="03A983B5" w14:textId="77777777" w:rsidR="00B134C7" w:rsidRPr="00B134C7" w:rsidRDefault="00B134C7" w:rsidP="00B134C7">
            <w:pPr>
              <w:spacing w:before="40" w:after="40" w:line="240" w:lineRule="auto"/>
              <w:ind w:left="460" w:hanging="283"/>
              <w:rPr>
                <w:color w:val="000000"/>
                <w:sz w:val="16"/>
                <w:szCs w:val="16"/>
              </w:rPr>
            </w:pPr>
            <w:r w:rsidRPr="00B134C7">
              <w:rPr>
                <w:color w:val="000000"/>
                <w:sz w:val="16"/>
                <w:szCs w:val="16"/>
              </w:rPr>
              <w:t xml:space="preserve">0 </w:t>
            </w:r>
            <w:r>
              <w:rPr>
                <w:color w:val="000000"/>
                <w:sz w:val="16"/>
                <w:szCs w:val="16"/>
              </w:rPr>
              <w:tab/>
            </w:r>
            <w:r w:rsidRPr="00B134C7">
              <w:rPr>
                <w:color w:val="000000"/>
                <w:sz w:val="16"/>
                <w:szCs w:val="16"/>
              </w:rPr>
              <w:t xml:space="preserve">about the same as doing nothing/the status quo/counterfactual </w:t>
            </w:r>
          </w:p>
          <w:p w14:paraId="192E570D" w14:textId="77777777" w:rsidR="00B134C7" w:rsidRPr="00B134C7" w:rsidRDefault="00B134C7" w:rsidP="00B134C7">
            <w:pPr>
              <w:spacing w:before="40" w:after="40" w:line="240" w:lineRule="auto"/>
              <w:ind w:left="460" w:hanging="283"/>
              <w:rPr>
                <w:color w:val="000000"/>
                <w:sz w:val="16"/>
                <w:szCs w:val="16"/>
              </w:rPr>
            </w:pPr>
            <w:r w:rsidRPr="00D514CE">
              <w:rPr>
                <w:b/>
                <w:color w:val="FF0000"/>
                <w:sz w:val="16"/>
                <w:szCs w:val="16"/>
              </w:rPr>
              <w:t xml:space="preserve">- </w:t>
            </w:r>
            <w:r>
              <w:rPr>
                <w:color w:val="000000"/>
                <w:sz w:val="16"/>
                <w:szCs w:val="16"/>
              </w:rPr>
              <w:tab/>
            </w:r>
            <w:r w:rsidRPr="00B134C7">
              <w:rPr>
                <w:color w:val="000000"/>
                <w:sz w:val="16"/>
                <w:szCs w:val="16"/>
              </w:rPr>
              <w:t xml:space="preserve">worse than doing nothing/the status quo/counterfactual </w:t>
            </w:r>
          </w:p>
          <w:p w14:paraId="21CE4C37" w14:textId="77777777" w:rsidR="00B134C7" w:rsidRPr="0087323B" w:rsidRDefault="00B134C7" w:rsidP="00E74AAB">
            <w:pPr>
              <w:spacing w:before="40" w:after="80" w:line="240" w:lineRule="auto"/>
              <w:ind w:left="460" w:hanging="284"/>
              <w:rPr>
                <w:rFonts w:cs="Arial"/>
                <w:b/>
                <w:i/>
                <w:color w:val="000000" w:themeColor="text1"/>
                <w:sz w:val="20"/>
                <w:lang w:eastAsia="en-NZ"/>
              </w:rPr>
            </w:pPr>
            <w:r w:rsidRPr="00D514CE">
              <w:rPr>
                <w:b/>
                <w:color w:val="FF0000"/>
                <w:sz w:val="16"/>
                <w:szCs w:val="16"/>
              </w:rPr>
              <w:t xml:space="preserve">- - </w:t>
            </w:r>
            <w:r>
              <w:rPr>
                <w:color w:val="000000"/>
                <w:sz w:val="16"/>
                <w:szCs w:val="16"/>
              </w:rPr>
              <w:tab/>
            </w:r>
            <w:r w:rsidRPr="00B134C7">
              <w:rPr>
                <w:color w:val="000000"/>
                <w:sz w:val="16"/>
                <w:szCs w:val="16"/>
              </w:rPr>
              <w:t>much worse than doing nothing/the status quo/counterfactual</w:t>
            </w:r>
          </w:p>
        </w:tc>
      </w:tr>
    </w:tbl>
    <w:p w14:paraId="19764E84" w14:textId="77777777" w:rsidR="004405A8" w:rsidRDefault="004405A8" w:rsidP="004405A8">
      <w:pPr>
        <w:spacing w:before="120" w:after="120" w:line="240" w:lineRule="auto"/>
        <w:rPr>
          <w:sz w:val="20"/>
          <w:lang w:val="en-NZ"/>
        </w:rPr>
      </w:pPr>
    </w:p>
    <w:p w14:paraId="27FF6768" w14:textId="18D7F13E" w:rsidR="0037693A" w:rsidRDefault="00DB51CD" w:rsidP="0037693A">
      <w:pPr>
        <w:pStyle w:val="Heading3"/>
        <w:rPr>
          <w:lang w:val="en-NZ"/>
        </w:rPr>
      </w:pPr>
      <w:r>
        <w:rPr>
          <w:noProof/>
          <w:lang w:val="en-NZ" w:eastAsia="en-NZ"/>
        </w:rPr>
        <w:t xml:space="preserve">What </w:t>
      </w:r>
      <w:r w:rsidR="007336C9">
        <w:rPr>
          <w:noProof/>
          <w:lang w:val="en-NZ" w:eastAsia="en-NZ"/>
        </w:rPr>
        <w:t>optio</w:t>
      </w:r>
      <w:r w:rsidR="005F41A2">
        <w:rPr>
          <w:noProof/>
          <w:lang w:val="en-NZ" w:eastAsia="en-NZ"/>
        </w:rPr>
        <w:t>n is likely to best address the problem, meet the policy objectives, and deliver the highest net benefits</w:t>
      </w:r>
      <w:r>
        <w:rPr>
          <w:noProof/>
          <w:lang w:val="en-NZ" w:eastAsia="en-NZ"/>
        </w:rPr>
        <w:t>?</w:t>
      </w:r>
    </w:p>
    <w:p w14:paraId="6ED7DC1C" w14:textId="22B4AE74" w:rsidR="007346F0" w:rsidRPr="00AE6B24" w:rsidRDefault="0037693A" w:rsidP="005139C3">
      <w:pPr>
        <w:pStyle w:val="ListParagraph"/>
        <w:numPr>
          <w:ilvl w:val="0"/>
          <w:numId w:val="5"/>
        </w:numPr>
        <w:spacing w:before="120" w:after="120" w:line="240" w:lineRule="auto"/>
        <w:ind w:left="567" w:hanging="567"/>
        <w:contextualSpacing w:val="0"/>
        <w:rPr>
          <w:sz w:val="20"/>
          <w:lang w:val="en-NZ"/>
        </w:rPr>
      </w:pPr>
      <w:r w:rsidRPr="008F0774">
        <w:rPr>
          <w:sz w:val="20"/>
          <w:lang w:val="en-NZ"/>
        </w:rPr>
        <w:t xml:space="preserve">At this stage </w:t>
      </w:r>
      <w:r w:rsidR="003C7630" w:rsidRPr="008F0774">
        <w:rPr>
          <w:sz w:val="20"/>
          <w:lang w:val="en-NZ"/>
        </w:rPr>
        <w:t xml:space="preserve">the Department does not have any </w:t>
      </w:r>
      <w:r w:rsidR="003C7630" w:rsidRPr="00AE6B24">
        <w:rPr>
          <w:sz w:val="20"/>
          <w:lang w:val="en-NZ"/>
        </w:rPr>
        <w:t xml:space="preserve">preference. </w:t>
      </w:r>
      <w:r w:rsidR="004405A8" w:rsidRPr="00AE6B24">
        <w:rPr>
          <w:sz w:val="20"/>
          <w:lang w:val="en-NZ"/>
        </w:rPr>
        <w:t xml:space="preserve">Although we have done some preliminary thinking (see </w:t>
      </w:r>
      <w:r w:rsidR="00ED678E" w:rsidRPr="00AE6B24">
        <w:rPr>
          <w:sz w:val="20"/>
          <w:lang w:val="en-NZ"/>
        </w:rPr>
        <w:t>next section</w:t>
      </w:r>
      <w:r w:rsidR="004405A8" w:rsidRPr="00AE6B24">
        <w:rPr>
          <w:sz w:val="20"/>
          <w:lang w:val="en-NZ"/>
        </w:rPr>
        <w:t>), w</w:t>
      </w:r>
      <w:r w:rsidRPr="00AE6B24">
        <w:rPr>
          <w:sz w:val="20"/>
          <w:lang w:val="en-NZ"/>
        </w:rPr>
        <w:t xml:space="preserve">e </w:t>
      </w:r>
      <w:r w:rsidR="00BC5361" w:rsidRPr="00AE6B24">
        <w:rPr>
          <w:sz w:val="20"/>
          <w:lang w:val="en-NZ"/>
        </w:rPr>
        <w:t xml:space="preserve">have not yet determined </w:t>
      </w:r>
      <w:r w:rsidRPr="00AE6B24">
        <w:rPr>
          <w:sz w:val="20"/>
          <w:lang w:val="en-NZ"/>
        </w:rPr>
        <w:t>which proposals will best address the problem, meet the objectives and deliver the highest benefits</w:t>
      </w:r>
      <w:r w:rsidR="007346F0" w:rsidRPr="00AE6B24">
        <w:rPr>
          <w:sz w:val="20"/>
          <w:lang w:val="en-NZ"/>
        </w:rPr>
        <w:t xml:space="preserve"> </w:t>
      </w:r>
    </w:p>
    <w:p w14:paraId="7B04A8C3" w14:textId="33412800" w:rsidR="0037693A" w:rsidRPr="00AE6B24" w:rsidRDefault="003C7630" w:rsidP="005139C3">
      <w:pPr>
        <w:pStyle w:val="ListParagraph"/>
        <w:numPr>
          <w:ilvl w:val="0"/>
          <w:numId w:val="5"/>
        </w:numPr>
        <w:spacing w:before="120" w:after="120" w:line="240" w:lineRule="auto"/>
        <w:ind w:left="567" w:hanging="567"/>
        <w:contextualSpacing w:val="0"/>
        <w:rPr>
          <w:sz w:val="20"/>
          <w:lang w:val="en-NZ"/>
        </w:rPr>
      </w:pPr>
      <w:r w:rsidRPr="00AE6B24">
        <w:rPr>
          <w:sz w:val="20"/>
          <w:lang w:val="en-NZ"/>
        </w:rPr>
        <w:t>At this stage</w:t>
      </w:r>
      <w:r w:rsidR="001870AB" w:rsidRPr="00AE6B24">
        <w:rPr>
          <w:sz w:val="20"/>
          <w:lang w:val="en-NZ"/>
        </w:rPr>
        <w:t>,</w:t>
      </w:r>
      <w:r w:rsidRPr="00AE6B24">
        <w:rPr>
          <w:sz w:val="20"/>
          <w:lang w:val="en-NZ"/>
        </w:rPr>
        <w:t xml:space="preserve"> we </w:t>
      </w:r>
      <w:r w:rsidR="00BC5361" w:rsidRPr="00AE6B24">
        <w:rPr>
          <w:sz w:val="20"/>
          <w:lang w:val="en-NZ"/>
        </w:rPr>
        <w:t xml:space="preserve">need </w:t>
      </w:r>
      <w:r w:rsidR="00CF4B81">
        <w:rPr>
          <w:sz w:val="20"/>
          <w:lang w:val="en-NZ"/>
        </w:rPr>
        <w:t xml:space="preserve">stakeholder </w:t>
      </w:r>
      <w:r w:rsidR="00BC5361" w:rsidRPr="00AE6B24">
        <w:rPr>
          <w:sz w:val="20"/>
          <w:lang w:val="en-NZ"/>
        </w:rPr>
        <w:t xml:space="preserve">input to determine their workability </w:t>
      </w:r>
      <w:r w:rsidR="007346F0" w:rsidRPr="00AE6B24">
        <w:rPr>
          <w:sz w:val="20"/>
          <w:lang w:val="en-NZ"/>
        </w:rPr>
        <w:t xml:space="preserve">and potential impact </w:t>
      </w:r>
      <w:r w:rsidR="00BC5361" w:rsidRPr="00AE6B24">
        <w:rPr>
          <w:sz w:val="20"/>
          <w:lang w:val="en-NZ"/>
        </w:rPr>
        <w:t xml:space="preserve">in the New Zealand context, and </w:t>
      </w:r>
      <w:r w:rsidRPr="00AE6B24">
        <w:rPr>
          <w:sz w:val="20"/>
          <w:lang w:val="en-NZ"/>
        </w:rPr>
        <w:t xml:space="preserve">cannot identify what </w:t>
      </w:r>
      <w:r w:rsidR="0037693A" w:rsidRPr="00AE6B24">
        <w:rPr>
          <w:sz w:val="20"/>
          <w:lang w:val="en-NZ"/>
        </w:rPr>
        <w:t xml:space="preserve">the </w:t>
      </w:r>
      <w:r w:rsidRPr="00AE6B24">
        <w:rPr>
          <w:sz w:val="20"/>
          <w:lang w:val="en-NZ"/>
        </w:rPr>
        <w:t xml:space="preserve">benefits and </w:t>
      </w:r>
      <w:r w:rsidR="0037693A" w:rsidRPr="00AE6B24">
        <w:rPr>
          <w:sz w:val="20"/>
          <w:lang w:val="en-NZ"/>
        </w:rPr>
        <w:t>costs are for each option.</w:t>
      </w:r>
      <w:r w:rsidRPr="00AE6B24">
        <w:rPr>
          <w:sz w:val="20"/>
          <w:lang w:val="en-NZ"/>
        </w:rPr>
        <w:t xml:space="preserve"> We are also unable to identify any potential unintended consequences.</w:t>
      </w:r>
      <w:r w:rsidR="007346F0" w:rsidRPr="00AE6B24">
        <w:rPr>
          <w:sz w:val="20"/>
          <w:lang w:val="en-NZ"/>
        </w:rPr>
        <w:t xml:space="preserve"> The potential benefits go well beyond savings in expenditure on harm prevention, minimisation and treatment, given that some are fundamentally not monetary in nature. It may also be that the type of changes being tested may increase help-seeking and uptake of clinical services (a positive outcome), and there may be no fiscal savings. </w:t>
      </w:r>
    </w:p>
    <w:p w14:paraId="7FBCE801" w14:textId="77777777" w:rsidR="0037693A" w:rsidRPr="00AE6B24" w:rsidRDefault="00BC61E0" w:rsidP="00A42B77">
      <w:pPr>
        <w:pStyle w:val="ListParagraph"/>
        <w:numPr>
          <w:ilvl w:val="0"/>
          <w:numId w:val="5"/>
        </w:numPr>
        <w:spacing w:before="120" w:after="120" w:line="240" w:lineRule="auto"/>
        <w:ind w:left="567" w:hanging="567"/>
        <w:contextualSpacing w:val="0"/>
        <w:rPr>
          <w:sz w:val="20"/>
          <w:lang w:val="en-NZ"/>
        </w:rPr>
      </w:pPr>
      <w:r w:rsidRPr="00AE6B24">
        <w:rPr>
          <w:sz w:val="20"/>
          <w:lang w:val="en-NZ"/>
        </w:rPr>
        <w:t xml:space="preserve">Key information being sought </w:t>
      </w:r>
      <w:r w:rsidR="0037693A" w:rsidRPr="00AE6B24">
        <w:rPr>
          <w:sz w:val="20"/>
          <w:lang w:val="en-NZ"/>
        </w:rPr>
        <w:t xml:space="preserve">through the discussion document </w:t>
      </w:r>
      <w:r w:rsidRPr="00AE6B24">
        <w:rPr>
          <w:sz w:val="20"/>
          <w:lang w:val="en-NZ"/>
        </w:rPr>
        <w:t xml:space="preserve">is the potential impacts of the proposals, or any alternatives offered, on reducing an individual’s harm from pokies </w:t>
      </w:r>
      <w:r w:rsidR="0037693A" w:rsidRPr="00AE6B24">
        <w:rPr>
          <w:sz w:val="20"/>
          <w:lang w:val="en-NZ"/>
        </w:rPr>
        <w:t xml:space="preserve">(as well as the </w:t>
      </w:r>
      <w:r w:rsidRPr="00AE6B24">
        <w:rPr>
          <w:sz w:val="20"/>
          <w:lang w:val="en-NZ"/>
        </w:rPr>
        <w:t>nature of any impacts on different population groups</w:t>
      </w:r>
      <w:r w:rsidR="0037693A" w:rsidRPr="00AE6B24">
        <w:rPr>
          <w:sz w:val="20"/>
          <w:lang w:val="en-NZ"/>
        </w:rPr>
        <w:t>)</w:t>
      </w:r>
      <w:r w:rsidR="001870AB" w:rsidRPr="00AE6B24">
        <w:rPr>
          <w:sz w:val="20"/>
          <w:lang w:val="en-NZ"/>
        </w:rPr>
        <w:t>,</w:t>
      </w:r>
      <w:r w:rsidR="0037693A" w:rsidRPr="00AE6B24">
        <w:rPr>
          <w:sz w:val="20"/>
          <w:lang w:val="en-NZ"/>
        </w:rPr>
        <w:t xml:space="preserve"> and level and type of operational implications for societies and venues.</w:t>
      </w:r>
    </w:p>
    <w:p w14:paraId="0D1D6281" w14:textId="2E9757B5" w:rsidR="00851ECE" w:rsidRPr="00AE6B24" w:rsidRDefault="0037693A" w:rsidP="00A42B77">
      <w:pPr>
        <w:pStyle w:val="ListParagraph"/>
        <w:numPr>
          <w:ilvl w:val="0"/>
          <w:numId w:val="5"/>
        </w:numPr>
        <w:spacing w:before="120" w:after="120" w:line="240" w:lineRule="auto"/>
        <w:ind w:left="567" w:hanging="567"/>
        <w:contextualSpacing w:val="0"/>
        <w:rPr>
          <w:sz w:val="20"/>
          <w:lang w:val="en-NZ"/>
        </w:rPr>
      </w:pPr>
      <w:r>
        <w:rPr>
          <w:sz w:val="20"/>
          <w:lang w:val="en-NZ"/>
        </w:rPr>
        <w:t xml:space="preserve">This information will </w:t>
      </w:r>
      <w:r w:rsidR="0087602F">
        <w:rPr>
          <w:sz w:val="20"/>
          <w:lang w:val="en-NZ"/>
        </w:rPr>
        <w:t>improve our understanding of the costs and</w:t>
      </w:r>
      <w:r>
        <w:rPr>
          <w:sz w:val="20"/>
          <w:lang w:val="en-NZ"/>
        </w:rPr>
        <w:t xml:space="preserve"> benefits of these proposals or any alternatives suggested.</w:t>
      </w:r>
      <w:r w:rsidR="003C7630">
        <w:rPr>
          <w:sz w:val="20"/>
          <w:lang w:val="en-NZ"/>
        </w:rPr>
        <w:t xml:space="preserve"> The Department will then be able to undertake full options development and </w:t>
      </w:r>
      <w:r w:rsidR="003C7630" w:rsidRPr="00AE6B24">
        <w:rPr>
          <w:sz w:val="20"/>
          <w:lang w:val="en-NZ"/>
        </w:rPr>
        <w:t>analysis - and indicate our preferred options.</w:t>
      </w:r>
    </w:p>
    <w:p w14:paraId="72A7B0FD" w14:textId="77777777" w:rsidR="00ED678E" w:rsidRPr="00AE6B24" w:rsidRDefault="00ED678E" w:rsidP="00ED678E">
      <w:pPr>
        <w:pStyle w:val="Heading3"/>
        <w:rPr>
          <w:noProof/>
          <w:lang w:val="en-NZ" w:eastAsia="en-NZ"/>
        </w:rPr>
      </w:pPr>
      <w:r w:rsidRPr="00AE6B24">
        <w:rPr>
          <w:noProof/>
          <w:lang w:val="en-NZ" w:eastAsia="en-NZ"/>
        </w:rPr>
        <w:t>What are the marginal costs and benefits of the option?</w:t>
      </w:r>
    </w:p>
    <w:p w14:paraId="5CAFAEBC" w14:textId="77777777" w:rsidR="00B73129" w:rsidRDefault="000E3F9E" w:rsidP="00710E6D">
      <w:pPr>
        <w:pStyle w:val="ListParagraph"/>
        <w:numPr>
          <w:ilvl w:val="0"/>
          <w:numId w:val="5"/>
        </w:numPr>
        <w:spacing w:before="240" w:after="0" w:line="240" w:lineRule="auto"/>
        <w:ind w:left="567" w:hanging="567"/>
        <w:contextualSpacing w:val="0"/>
        <w:rPr>
          <w:sz w:val="20"/>
          <w:lang w:val="en-NZ"/>
        </w:rPr>
      </w:pPr>
      <w:r w:rsidRPr="00AE6B24">
        <w:rPr>
          <w:sz w:val="20"/>
          <w:lang w:val="en-NZ"/>
        </w:rPr>
        <w:t>The table</w:t>
      </w:r>
      <w:r w:rsidR="00957CE1" w:rsidRPr="00AE6B24">
        <w:rPr>
          <w:sz w:val="20"/>
          <w:lang w:val="en-NZ"/>
        </w:rPr>
        <w:t>s</w:t>
      </w:r>
      <w:r w:rsidRPr="00AE6B24">
        <w:rPr>
          <w:sz w:val="20"/>
          <w:lang w:val="en-NZ"/>
        </w:rPr>
        <w:t xml:space="preserve"> below provide </w:t>
      </w:r>
      <w:r w:rsidR="004405A8" w:rsidRPr="00AE6B24">
        <w:rPr>
          <w:sz w:val="20"/>
          <w:lang w:val="en-NZ"/>
        </w:rPr>
        <w:t xml:space="preserve">preliminary </w:t>
      </w:r>
      <w:r w:rsidR="001255A6" w:rsidRPr="00AE6B24">
        <w:rPr>
          <w:sz w:val="20"/>
          <w:lang w:val="en-NZ"/>
        </w:rPr>
        <w:t xml:space="preserve">indication of the types of </w:t>
      </w:r>
      <w:r w:rsidRPr="00AE6B24">
        <w:rPr>
          <w:sz w:val="20"/>
          <w:lang w:val="en-NZ"/>
        </w:rPr>
        <w:t>costs and benefits of the proposals</w:t>
      </w:r>
      <w:r w:rsidR="00D770EE" w:rsidRPr="00AE6B24">
        <w:rPr>
          <w:sz w:val="20"/>
          <w:lang w:val="en-NZ"/>
        </w:rPr>
        <w:t xml:space="preserve"> in each of the 3 Parts</w:t>
      </w:r>
      <w:r w:rsidRPr="00AE6B24">
        <w:rPr>
          <w:sz w:val="20"/>
          <w:lang w:val="en-NZ"/>
        </w:rPr>
        <w:t>.</w:t>
      </w:r>
      <w:r w:rsidR="00706E1E">
        <w:rPr>
          <w:sz w:val="20"/>
          <w:lang w:val="en-NZ"/>
        </w:rPr>
        <w:t xml:space="preserve"> </w:t>
      </w:r>
    </w:p>
    <w:p w14:paraId="59DA1270" w14:textId="3D721580" w:rsidR="002656BE" w:rsidRPr="00AE6B24" w:rsidRDefault="00706E1E" w:rsidP="00710E6D">
      <w:pPr>
        <w:pStyle w:val="ListParagraph"/>
        <w:numPr>
          <w:ilvl w:val="0"/>
          <w:numId w:val="5"/>
        </w:numPr>
        <w:spacing w:before="240" w:after="0" w:line="240" w:lineRule="auto"/>
        <w:ind w:left="567" w:hanging="567"/>
        <w:contextualSpacing w:val="0"/>
        <w:rPr>
          <w:sz w:val="20"/>
          <w:lang w:val="en-NZ"/>
        </w:rPr>
      </w:pPr>
      <w:r>
        <w:rPr>
          <w:sz w:val="20"/>
          <w:lang w:val="en-NZ"/>
        </w:rPr>
        <w:lastRenderedPageBreak/>
        <w:t xml:space="preserve">Final costs and benefits will be informed by industry feedback through the discussion document. </w:t>
      </w:r>
      <w:r w:rsidR="000E3029" w:rsidRPr="00AE6B24">
        <w:rPr>
          <w:sz w:val="20"/>
          <w:lang w:val="en-NZ"/>
        </w:rPr>
        <w:t xml:space="preserve">The final proposals may, depending on their impact, </w:t>
      </w:r>
      <w:r w:rsidR="008D26D6" w:rsidRPr="00AE6B24">
        <w:rPr>
          <w:sz w:val="20"/>
          <w:lang w:val="en-NZ"/>
        </w:rPr>
        <w:t>influence</w:t>
      </w:r>
      <w:r w:rsidR="000E3029" w:rsidRPr="00AE6B24">
        <w:rPr>
          <w:sz w:val="20"/>
          <w:lang w:val="en-NZ"/>
        </w:rPr>
        <w:t xml:space="preserve"> the duty and levy paid by societies.</w:t>
      </w:r>
    </w:p>
    <w:tbl>
      <w:tblPr>
        <w:tblpPr w:leftFromText="180" w:rightFromText="180" w:vertAnchor="text" w:horzAnchor="margin" w:tblpY="12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402"/>
        <w:gridCol w:w="1985"/>
        <w:gridCol w:w="1843"/>
      </w:tblGrid>
      <w:tr w:rsidR="00D770EE" w:rsidRPr="00047B2C" w14:paraId="4561C2C5" w14:textId="77777777" w:rsidTr="00F17D31">
        <w:trPr>
          <w:trHeight w:val="271"/>
        </w:trPr>
        <w:tc>
          <w:tcPr>
            <w:tcW w:w="9493" w:type="dxa"/>
            <w:gridSpan w:val="4"/>
            <w:shd w:val="clear" w:color="auto" w:fill="000000" w:themeFill="text1"/>
          </w:tcPr>
          <w:p w14:paraId="4DEAD7B3" w14:textId="17EC7E71" w:rsidR="00D770EE" w:rsidRPr="00047B2C" w:rsidRDefault="00D770EE" w:rsidP="00D770EE">
            <w:pPr>
              <w:pStyle w:val="TableText"/>
              <w:keepNext/>
              <w:rPr>
                <w:rFonts w:eastAsia="Calibri"/>
                <w:b/>
                <w:color w:val="000000"/>
                <w:sz w:val="18"/>
                <w:szCs w:val="18"/>
                <w:lang w:val="en-NZ"/>
              </w:rPr>
            </w:pPr>
            <w:r w:rsidRPr="00AE6B24">
              <w:rPr>
                <w:rFonts w:cstheme="minorBidi"/>
                <w:b/>
                <w:sz w:val="18"/>
                <w:szCs w:val="18"/>
                <w:lang w:val="en-NZ"/>
              </w:rPr>
              <w:t>Part A – The Venue</w:t>
            </w:r>
          </w:p>
        </w:tc>
      </w:tr>
      <w:tr w:rsidR="00D770EE" w:rsidRPr="00047B2C" w14:paraId="033F2022" w14:textId="77777777" w:rsidTr="00D770EE">
        <w:trPr>
          <w:trHeight w:val="762"/>
        </w:trPr>
        <w:tc>
          <w:tcPr>
            <w:tcW w:w="9493" w:type="dxa"/>
            <w:gridSpan w:val="4"/>
            <w:shd w:val="clear" w:color="auto" w:fill="FFFFFF" w:themeFill="background1"/>
          </w:tcPr>
          <w:p w14:paraId="65DF738F" w14:textId="77777777" w:rsidR="00D770EE" w:rsidRPr="005139C3" w:rsidRDefault="00D770EE" w:rsidP="00710E6D">
            <w:pPr>
              <w:pStyle w:val="TableText"/>
              <w:keepNext/>
              <w:spacing w:before="40" w:after="20" w:line="240" w:lineRule="auto"/>
              <w:ind w:left="312" w:hanging="312"/>
              <w:rPr>
                <w:rFonts w:eastAsia="Calibri"/>
                <w:sz w:val="18"/>
                <w:szCs w:val="18"/>
                <w:lang w:val="en-NZ"/>
              </w:rPr>
            </w:pPr>
            <w:r w:rsidRPr="005139C3">
              <w:rPr>
                <w:rFonts w:eastAsia="Calibri"/>
                <w:sz w:val="18"/>
                <w:szCs w:val="18"/>
                <w:lang w:val="en-NZ"/>
              </w:rPr>
              <w:t>1.</w:t>
            </w:r>
            <w:r w:rsidRPr="005139C3">
              <w:rPr>
                <w:rFonts w:eastAsia="Calibri"/>
                <w:sz w:val="18"/>
                <w:szCs w:val="18"/>
                <w:lang w:val="en-NZ"/>
              </w:rPr>
              <w:tab/>
              <w:t>Regular sweeps of gambling room</w:t>
            </w:r>
          </w:p>
          <w:p w14:paraId="48612F3B" w14:textId="77777777"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2.</w:t>
            </w:r>
            <w:r w:rsidRPr="005139C3">
              <w:rPr>
                <w:rFonts w:eastAsia="Calibri"/>
                <w:sz w:val="18"/>
                <w:szCs w:val="18"/>
                <w:lang w:val="en-NZ"/>
              </w:rPr>
              <w:tab/>
              <w:t>Approach person who exceeds a specified period of gambling</w:t>
            </w:r>
          </w:p>
          <w:p w14:paraId="535DD50E" w14:textId="77777777"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3.</w:t>
            </w:r>
            <w:r w:rsidRPr="005139C3">
              <w:rPr>
                <w:rFonts w:eastAsia="Calibri"/>
                <w:sz w:val="18"/>
                <w:szCs w:val="18"/>
                <w:lang w:val="en-NZ"/>
              </w:rPr>
              <w:tab/>
              <w:t>Recording specified events and signs</w:t>
            </w:r>
          </w:p>
          <w:p w14:paraId="51C36622" w14:textId="77777777"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4.</w:t>
            </w:r>
            <w:r w:rsidRPr="005139C3">
              <w:rPr>
                <w:rFonts w:eastAsia="Calibri"/>
                <w:sz w:val="18"/>
                <w:szCs w:val="18"/>
                <w:lang w:val="en-NZ"/>
              </w:rPr>
              <w:tab/>
              <w:t xml:space="preserve">Records required for use of Management Service Providers </w:t>
            </w:r>
          </w:p>
          <w:p w14:paraId="5031FD58" w14:textId="77777777"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5.</w:t>
            </w:r>
            <w:r w:rsidRPr="005139C3">
              <w:rPr>
                <w:rFonts w:eastAsia="Calibri"/>
                <w:sz w:val="18"/>
                <w:szCs w:val="18"/>
                <w:lang w:val="en-NZ"/>
              </w:rPr>
              <w:tab/>
              <w:t>No ATMs inside premises with a gambling venue</w:t>
            </w:r>
          </w:p>
          <w:p w14:paraId="28D0EE64" w14:textId="2803D4AC"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6.</w:t>
            </w:r>
            <w:r w:rsidRPr="005139C3">
              <w:rPr>
                <w:rFonts w:eastAsia="Calibri"/>
                <w:sz w:val="18"/>
                <w:szCs w:val="18"/>
                <w:lang w:val="en-NZ"/>
              </w:rPr>
              <w:tab/>
              <w:t xml:space="preserve">Requirements for excluded gamblers to complete </w:t>
            </w:r>
            <w:r w:rsidR="000008AD">
              <w:rPr>
                <w:rFonts w:eastAsia="Calibri"/>
                <w:sz w:val="18"/>
                <w:szCs w:val="18"/>
                <w:lang w:val="en-NZ"/>
              </w:rPr>
              <w:t xml:space="preserve">treatment </w:t>
            </w:r>
            <w:r w:rsidRPr="005139C3">
              <w:rPr>
                <w:rFonts w:eastAsia="Calibri"/>
                <w:sz w:val="18"/>
                <w:szCs w:val="18"/>
                <w:lang w:val="en-NZ"/>
              </w:rPr>
              <w:t>before they can return to a venue</w:t>
            </w:r>
          </w:p>
          <w:p w14:paraId="72562880" w14:textId="77777777"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7.</w:t>
            </w:r>
            <w:r w:rsidRPr="005139C3">
              <w:rPr>
                <w:rFonts w:eastAsia="Calibri"/>
                <w:sz w:val="18"/>
                <w:szCs w:val="18"/>
                <w:lang w:val="en-NZ"/>
              </w:rPr>
              <w:tab/>
              <w:t>Venue design requirements</w:t>
            </w:r>
          </w:p>
          <w:p w14:paraId="6E5C9CD9" w14:textId="77777777" w:rsidR="00D770EE" w:rsidRPr="005139C3" w:rsidRDefault="00D770EE" w:rsidP="00710E6D">
            <w:pPr>
              <w:pStyle w:val="TableText"/>
              <w:keepNext/>
              <w:spacing w:before="20" w:after="20" w:line="240" w:lineRule="auto"/>
              <w:ind w:left="312" w:hanging="312"/>
              <w:rPr>
                <w:rFonts w:eastAsia="Calibri"/>
                <w:sz w:val="18"/>
                <w:szCs w:val="18"/>
                <w:lang w:val="en-NZ"/>
              </w:rPr>
            </w:pPr>
            <w:r w:rsidRPr="005139C3">
              <w:rPr>
                <w:rFonts w:eastAsia="Calibri"/>
                <w:sz w:val="18"/>
                <w:szCs w:val="18"/>
                <w:lang w:val="en-NZ"/>
              </w:rPr>
              <w:t>8.</w:t>
            </w:r>
            <w:r w:rsidRPr="005139C3">
              <w:rPr>
                <w:rFonts w:eastAsia="Calibri"/>
                <w:sz w:val="18"/>
                <w:szCs w:val="18"/>
                <w:lang w:val="en-NZ"/>
              </w:rPr>
              <w:tab/>
              <w:t xml:space="preserve">Standardised content for harmful gambling awareness training </w:t>
            </w:r>
          </w:p>
          <w:p w14:paraId="69873668" w14:textId="6EB987C1" w:rsidR="00D770EE" w:rsidRPr="00D770EE" w:rsidRDefault="00D770EE" w:rsidP="00710E6D">
            <w:pPr>
              <w:pStyle w:val="TableText"/>
              <w:keepNext/>
              <w:spacing w:before="20" w:after="40" w:line="240" w:lineRule="auto"/>
              <w:ind w:left="312" w:hanging="312"/>
              <w:rPr>
                <w:rFonts w:eastAsia="Calibri"/>
                <w:color w:val="000000"/>
                <w:sz w:val="18"/>
                <w:szCs w:val="18"/>
                <w:lang w:val="en-NZ"/>
              </w:rPr>
            </w:pPr>
            <w:r w:rsidRPr="005139C3">
              <w:rPr>
                <w:rFonts w:eastAsia="Calibri"/>
                <w:sz w:val="18"/>
                <w:szCs w:val="18"/>
                <w:lang w:val="en-NZ"/>
              </w:rPr>
              <w:t>9.</w:t>
            </w:r>
            <w:r w:rsidRPr="005139C3">
              <w:rPr>
                <w:rFonts w:eastAsia="Calibri"/>
                <w:sz w:val="18"/>
                <w:szCs w:val="18"/>
                <w:lang w:val="en-NZ"/>
              </w:rPr>
              <w:tab/>
              <w:t>All staff supervising gambling must be trained</w:t>
            </w:r>
          </w:p>
        </w:tc>
      </w:tr>
      <w:tr w:rsidR="005B51F5" w:rsidRPr="00047B2C" w14:paraId="42B4EE0F" w14:textId="77777777" w:rsidTr="0016637D">
        <w:trPr>
          <w:trHeight w:val="324"/>
        </w:trPr>
        <w:tc>
          <w:tcPr>
            <w:tcW w:w="2263" w:type="dxa"/>
            <w:shd w:val="clear" w:color="auto" w:fill="D9D9D9" w:themeFill="background1" w:themeFillShade="D9"/>
          </w:tcPr>
          <w:p w14:paraId="0F9159FB" w14:textId="07AE85CE" w:rsidR="005B51F5" w:rsidRPr="00047B2C" w:rsidRDefault="005B51F5" w:rsidP="005139C3">
            <w:pPr>
              <w:pStyle w:val="TableText"/>
              <w:keepNext/>
              <w:rPr>
                <w:rFonts w:eastAsia="Calibri"/>
                <w:color w:val="000000"/>
                <w:sz w:val="18"/>
                <w:szCs w:val="18"/>
                <w:lang w:val="en-NZ"/>
              </w:rPr>
            </w:pPr>
            <w:r w:rsidRPr="00047B2C">
              <w:rPr>
                <w:rFonts w:eastAsia="Calibri"/>
                <w:b/>
                <w:color w:val="000000"/>
                <w:sz w:val="18"/>
                <w:szCs w:val="18"/>
                <w:lang w:val="en-NZ"/>
              </w:rPr>
              <w:t>Affected groups</w:t>
            </w:r>
          </w:p>
        </w:tc>
        <w:tc>
          <w:tcPr>
            <w:tcW w:w="3402" w:type="dxa"/>
            <w:shd w:val="clear" w:color="auto" w:fill="D9D9D9" w:themeFill="background1" w:themeFillShade="D9"/>
          </w:tcPr>
          <w:p w14:paraId="56359F11" w14:textId="0DA8ECD0" w:rsidR="005B51F5" w:rsidRPr="00047B2C" w:rsidRDefault="005B51F5" w:rsidP="005139C3">
            <w:pPr>
              <w:pStyle w:val="TableText"/>
              <w:keepNext/>
              <w:rPr>
                <w:rFonts w:eastAsia="Calibri"/>
                <w:b/>
                <w:color w:val="000000"/>
                <w:sz w:val="18"/>
                <w:szCs w:val="18"/>
                <w:lang w:val="en-NZ"/>
              </w:rPr>
            </w:pPr>
            <w:r w:rsidRPr="00047B2C">
              <w:rPr>
                <w:rFonts w:eastAsia="Calibri"/>
                <w:b/>
                <w:color w:val="000000"/>
                <w:sz w:val="18"/>
                <w:szCs w:val="18"/>
                <w:lang w:val="en-NZ"/>
              </w:rPr>
              <w:t>Comment</w:t>
            </w:r>
          </w:p>
        </w:tc>
        <w:tc>
          <w:tcPr>
            <w:tcW w:w="1985" w:type="dxa"/>
            <w:shd w:val="clear" w:color="auto" w:fill="D9D9D9" w:themeFill="background1" w:themeFillShade="D9"/>
          </w:tcPr>
          <w:p w14:paraId="62242172" w14:textId="1541834F" w:rsidR="005B51F5" w:rsidRPr="00047B2C" w:rsidRDefault="00F17D31" w:rsidP="005139C3">
            <w:pPr>
              <w:pStyle w:val="TableText"/>
              <w:keepNext/>
              <w:rPr>
                <w:rFonts w:eastAsia="Calibri"/>
                <w:b/>
                <w:color w:val="000000"/>
                <w:sz w:val="18"/>
                <w:szCs w:val="18"/>
                <w:lang w:val="en-NZ"/>
              </w:rPr>
            </w:pPr>
            <w:r>
              <w:rPr>
                <w:rFonts w:eastAsia="Calibri"/>
                <w:b/>
                <w:color w:val="000000"/>
                <w:sz w:val="18"/>
                <w:szCs w:val="18"/>
                <w:lang w:val="en-NZ"/>
              </w:rPr>
              <w:t>Impact</w:t>
            </w:r>
          </w:p>
        </w:tc>
        <w:tc>
          <w:tcPr>
            <w:tcW w:w="1843" w:type="dxa"/>
            <w:shd w:val="clear" w:color="auto" w:fill="D9D9D9" w:themeFill="background1" w:themeFillShade="D9"/>
          </w:tcPr>
          <w:p w14:paraId="1F23FD30" w14:textId="5B046D5B" w:rsidR="005B51F5" w:rsidRPr="00047B2C" w:rsidRDefault="005B51F5" w:rsidP="005139C3">
            <w:pPr>
              <w:pStyle w:val="TableText"/>
              <w:keepNext/>
              <w:rPr>
                <w:rFonts w:eastAsia="Calibri"/>
                <w:bCs/>
                <w:i/>
                <w:iCs/>
                <w:color w:val="000000"/>
                <w:sz w:val="18"/>
                <w:szCs w:val="18"/>
                <w:lang w:val="en-NZ"/>
              </w:rPr>
            </w:pPr>
            <w:r w:rsidRPr="00047B2C">
              <w:rPr>
                <w:rFonts w:eastAsia="Calibri"/>
                <w:b/>
                <w:color w:val="000000"/>
                <w:sz w:val="18"/>
                <w:szCs w:val="18"/>
                <w:lang w:val="en-NZ"/>
              </w:rPr>
              <w:t>Evidence Certa</w:t>
            </w:r>
            <w:r w:rsidR="00F17D31">
              <w:rPr>
                <w:rFonts w:eastAsia="Calibri"/>
                <w:b/>
                <w:color w:val="000000"/>
                <w:sz w:val="18"/>
                <w:szCs w:val="18"/>
                <w:lang w:val="en-NZ"/>
              </w:rPr>
              <w:t>inty</w:t>
            </w:r>
          </w:p>
        </w:tc>
      </w:tr>
      <w:tr w:rsidR="005B51F5" w:rsidRPr="00047B2C" w14:paraId="31656EB2" w14:textId="77777777" w:rsidTr="00710E6D">
        <w:trPr>
          <w:trHeight w:val="109"/>
        </w:trPr>
        <w:tc>
          <w:tcPr>
            <w:tcW w:w="9493" w:type="dxa"/>
            <w:gridSpan w:val="4"/>
            <w:shd w:val="clear" w:color="auto" w:fill="F2F2F2" w:themeFill="background1" w:themeFillShade="F2"/>
            <w:vAlign w:val="center"/>
          </w:tcPr>
          <w:p w14:paraId="321D8433" w14:textId="6E12ECBF" w:rsidR="005B51F5" w:rsidRPr="00047B2C" w:rsidRDefault="005B51F5" w:rsidP="00710E6D">
            <w:pPr>
              <w:keepNext/>
              <w:spacing w:before="20" w:after="20" w:line="240" w:lineRule="auto"/>
              <w:jc w:val="center"/>
              <w:rPr>
                <w:rFonts w:eastAsia="Calibri"/>
                <w:b/>
                <w:bCs/>
                <w:color w:val="000000"/>
                <w:sz w:val="18"/>
                <w:szCs w:val="18"/>
                <w:lang w:val="en-NZ"/>
              </w:rPr>
            </w:pPr>
            <w:r w:rsidRPr="00047B2C">
              <w:rPr>
                <w:rFonts w:eastAsia="Calibri"/>
                <w:b/>
                <w:bCs/>
                <w:color w:val="000000"/>
                <w:sz w:val="18"/>
                <w:szCs w:val="18"/>
                <w:lang w:val="en-NZ"/>
              </w:rPr>
              <w:t xml:space="preserve">Additional </w:t>
            </w:r>
            <w:r w:rsidR="00D770EE" w:rsidRPr="00047B2C">
              <w:rPr>
                <w:rFonts w:eastAsia="Calibri"/>
                <w:b/>
                <w:bCs/>
                <w:color w:val="000000"/>
                <w:sz w:val="18"/>
                <w:szCs w:val="18"/>
                <w:lang w:val="en-NZ"/>
              </w:rPr>
              <w:t xml:space="preserve">COSTS </w:t>
            </w:r>
            <w:r w:rsidRPr="00047B2C">
              <w:rPr>
                <w:rFonts w:eastAsia="Calibri"/>
                <w:b/>
                <w:bCs/>
                <w:color w:val="000000"/>
                <w:sz w:val="18"/>
                <w:szCs w:val="18"/>
                <w:lang w:val="en-NZ"/>
              </w:rPr>
              <w:t>of the preferred option compared to taking no action</w:t>
            </w:r>
          </w:p>
        </w:tc>
      </w:tr>
      <w:tr w:rsidR="002656BE" w:rsidRPr="00047B2C" w14:paraId="56950F9D" w14:textId="77777777" w:rsidTr="0016637D">
        <w:trPr>
          <w:trHeight w:val="380"/>
        </w:trPr>
        <w:tc>
          <w:tcPr>
            <w:tcW w:w="2263" w:type="dxa"/>
            <w:vMerge w:val="restart"/>
            <w:shd w:val="clear" w:color="auto" w:fill="FFEEE7"/>
          </w:tcPr>
          <w:p w14:paraId="1B547829" w14:textId="71C964FE" w:rsidR="002656BE" w:rsidRPr="00047B2C" w:rsidRDefault="002656BE" w:rsidP="005139C3">
            <w:pPr>
              <w:pStyle w:val="TableText"/>
              <w:keepNext/>
              <w:rPr>
                <w:rFonts w:eastAsia="Calibri"/>
                <w:sz w:val="18"/>
                <w:szCs w:val="18"/>
                <w:lang w:val="en-NZ"/>
              </w:rPr>
            </w:pPr>
            <w:r w:rsidRPr="00047B2C">
              <w:rPr>
                <w:rFonts w:eastAsia="Calibri"/>
                <w:sz w:val="18"/>
                <w:szCs w:val="18"/>
                <w:lang w:val="en-NZ"/>
              </w:rPr>
              <w:t>Regulated groups</w:t>
            </w:r>
            <w:r>
              <w:rPr>
                <w:rFonts w:eastAsia="Calibri"/>
                <w:sz w:val="18"/>
                <w:szCs w:val="18"/>
                <w:lang w:val="en-NZ"/>
              </w:rPr>
              <w:t xml:space="preserve"> (Societies, venues)</w:t>
            </w:r>
          </w:p>
        </w:tc>
        <w:tc>
          <w:tcPr>
            <w:tcW w:w="3402" w:type="dxa"/>
            <w:shd w:val="clear" w:color="auto" w:fill="FFEEE7"/>
          </w:tcPr>
          <w:p w14:paraId="12927A0A" w14:textId="573EAFCD" w:rsidR="002656BE" w:rsidRPr="00047B2C" w:rsidRDefault="002656BE" w:rsidP="002C6886">
            <w:pPr>
              <w:pStyle w:val="TableText"/>
              <w:keepNext/>
              <w:rPr>
                <w:rFonts w:eastAsia="Calibri"/>
                <w:sz w:val="18"/>
                <w:szCs w:val="18"/>
                <w:lang w:val="en-NZ"/>
              </w:rPr>
            </w:pPr>
            <w:r>
              <w:rPr>
                <w:rFonts w:eastAsia="Calibri"/>
                <w:sz w:val="18"/>
                <w:szCs w:val="18"/>
                <w:lang w:val="en-NZ"/>
              </w:rPr>
              <w:t>FTE impacts from increased tasks (ongoing for training and duties) [1, 2, 3, 4, 6, 8 and 9]</w:t>
            </w:r>
          </w:p>
        </w:tc>
        <w:tc>
          <w:tcPr>
            <w:tcW w:w="1985" w:type="dxa"/>
            <w:shd w:val="clear" w:color="auto" w:fill="FFEEE7"/>
          </w:tcPr>
          <w:p w14:paraId="18608D81" w14:textId="08E7DE9A" w:rsidR="002656BE" w:rsidRPr="00047B2C" w:rsidRDefault="00957CE1" w:rsidP="002C6886">
            <w:pPr>
              <w:pStyle w:val="TableText"/>
              <w:keepNext/>
              <w:rPr>
                <w:rFonts w:eastAsia="Calibri"/>
                <w:sz w:val="18"/>
                <w:szCs w:val="18"/>
                <w:lang w:val="en-NZ"/>
              </w:rPr>
            </w:pPr>
            <w:r>
              <w:rPr>
                <w:rFonts w:eastAsia="Calibri"/>
                <w:sz w:val="18"/>
                <w:szCs w:val="18"/>
                <w:lang w:val="en-NZ"/>
              </w:rPr>
              <w:t>TBD</w:t>
            </w:r>
            <w:r w:rsidR="002656BE">
              <w:rPr>
                <w:rFonts w:eastAsia="Calibri"/>
                <w:sz w:val="18"/>
                <w:szCs w:val="18"/>
                <w:lang w:val="en-NZ"/>
              </w:rPr>
              <w:t xml:space="preserve"> </w:t>
            </w:r>
          </w:p>
        </w:tc>
        <w:tc>
          <w:tcPr>
            <w:tcW w:w="1843" w:type="dxa"/>
            <w:shd w:val="clear" w:color="auto" w:fill="FFEEE7"/>
          </w:tcPr>
          <w:p w14:paraId="4B21465C" w14:textId="0CE00D08" w:rsidR="002656BE" w:rsidRPr="00047B2C" w:rsidRDefault="000E502E" w:rsidP="000E502E">
            <w:pPr>
              <w:pStyle w:val="TableText"/>
              <w:keepNext/>
              <w:rPr>
                <w:rFonts w:eastAsia="Calibri"/>
                <w:sz w:val="18"/>
                <w:szCs w:val="18"/>
                <w:lang w:val="en-NZ"/>
              </w:rPr>
            </w:pPr>
            <w:r>
              <w:rPr>
                <w:rFonts w:eastAsia="Calibri"/>
                <w:sz w:val="18"/>
                <w:szCs w:val="18"/>
                <w:lang w:val="en-NZ"/>
              </w:rPr>
              <w:t>Medium</w:t>
            </w:r>
          </w:p>
        </w:tc>
      </w:tr>
      <w:tr w:rsidR="002656BE" w:rsidRPr="00047B2C" w14:paraId="65B0EF63" w14:textId="77777777" w:rsidTr="0016637D">
        <w:trPr>
          <w:trHeight w:val="380"/>
        </w:trPr>
        <w:tc>
          <w:tcPr>
            <w:tcW w:w="2263" w:type="dxa"/>
            <w:vMerge/>
            <w:shd w:val="clear" w:color="auto" w:fill="FFEEE7"/>
          </w:tcPr>
          <w:p w14:paraId="2C7C1742" w14:textId="77777777" w:rsidR="002656BE" w:rsidRPr="00047B2C" w:rsidRDefault="002656BE" w:rsidP="005139C3">
            <w:pPr>
              <w:pStyle w:val="TableText"/>
              <w:keepNext/>
              <w:rPr>
                <w:rFonts w:eastAsia="Calibri"/>
                <w:sz w:val="18"/>
                <w:szCs w:val="18"/>
                <w:lang w:val="en-NZ"/>
              </w:rPr>
            </w:pPr>
          </w:p>
        </w:tc>
        <w:tc>
          <w:tcPr>
            <w:tcW w:w="3402" w:type="dxa"/>
            <w:shd w:val="clear" w:color="auto" w:fill="FFEEE7"/>
          </w:tcPr>
          <w:p w14:paraId="2F94FB25" w14:textId="2EBE1706" w:rsidR="002656BE" w:rsidRDefault="002656BE" w:rsidP="005139C3">
            <w:pPr>
              <w:pStyle w:val="TableText"/>
              <w:keepNext/>
              <w:rPr>
                <w:rFonts w:eastAsia="Calibri"/>
                <w:sz w:val="18"/>
                <w:szCs w:val="18"/>
                <w:lang w:val="en-NZ"/>
              </w:rPr>
            </w:pPr>
            <w:r>
              <w:rPr>
                <w:rFonts w:eastAsia="Calibri"/>
                <w:sz w:val="18"/>
                <w:szCs w:val="18"/>
                <w:lang w:val="en-NZ"/>
              </w:rPr>
              <w:t>Implementation costs of new policies and processes [1, 2, 3, 4, 6, 8 and 9]</w:t>
            </w:r>
          </w:p>
        </w:tc>
        <w:tc>
          <w:tcPr>
            <w:tcW w:w="1985" w:type="dxa"/>
            <w:shd w:val="clear" w:color="auto" w:fill="FFEEE7"/>
          </w:tcPr>
          <w:p w14:paraId="01738ED1" w14:textId="549152F7" w:rsidR="002656BE" w:rsidRDefault="00957CE1" w:rsidP="005139C3">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493A8945" w14:textId="1B7562D2" w:rsidR="002656BE" w:rsidRDefault="000E502E" w:rsidP="005139C3">
            <w:pPr>
              <w:pStyle w:val="TableText"/>
              <w:keepNext/>
              <w:rPr>
                <w:rFonts w:eastAsia="Calibri"/>
                <w:sz w:val="18"/>
                <w:szCs w:val="18"/>
                <w:lang w:val="en-NZ"/>
              </w:rPr>
            </w:pPr>
            <w:r>
              <w:rPr>
                <w:rFonts w:eastAsia="Calibri"/>
                <w:sz w:val="18"/>
                <w:szCs w:val="18"/>
                <w:lang w:val="en-NZ"/>
              </w:rPr>
              <w:t>Medium</w:t>
            </w:r>
          </w:p>
        </w:tc>
      </w:tr>
      <w:tr w:rsidR="00F17D31" w:rsidRPr="00047B2C" w14:paraId="3508F954" w14:textId="77777777" w:rsidTr="0016637D">
        <w:trPr>
          <w:trHeight w:val="380"/>
        </w:trPr>
        <w:tc>
          <w:tcPr>
            <w:tcW w:w="2263" w:type="dxa"/>
            <w:vMerge/>
            <w:shd w:val="clear" w:color="auto" w:fill="FFEEE7"/>
          </w:tcPr>
          <w:p w14:paraId="143E8D6B" w14:textId="77777777" w:rsidR="00F17D31" w:rsidRPr="00047B2C" w:rsidRDefault="00F17D31" w:rsidP="00F17D31">
            <w:pPr>
              <w:pStyle w:val="TableText"/>
              <w:keepNext/>
              <w:rPr>
                <w:rFonts w:eastAsia="Calibri"/>
                <w:sz w:val="18"/>
                <w:szCs w:val="18"/>
                <w:lang w:val="en-NZ"/>
              </w:rPr>
            </w:pPr>
          </w:p>
        </w:tc>
        <w:tc>
          <w:tcPr>
            <w:tcW w:w="3402" w:type="dxa"/>
            <w:shd w:val="clear" w:color="auto" w:fill="FFEEE7"/>
          </w:tcPr>
          <w:p w14:paraId="3EC3ED8E" w14:textId="3E61F0D0" w:rsidR="00F17D31" w:rsidRDefault="00F17D31" w:rsidP="00F17D31">
            <w:pPr>
              <w:pStyle w:val="TableText"/>
              <w:keepNext/>
              <w:rPr>
                <w:rFonts w:eastAsia="Calibri"/>
                <w:sz w:val="18"/>
                <w:szCs w:val="18"/>
                <w:lang w:val="en-NZ"/>
              </w:rPr>
            </w:pPr>
            <w:r>
              <w:rPr>
                <w:rFonts w:eastAsia="Calibri"/>
                <w:sz w:val="18"/>
                <w:szCs w:val="18"/>
                <w:lang w:val="en-NZ"/>
              </w:rPr>
              <w:t>Some minor refurbishment costs [5 and 7]</w:t>
            </w:r>
          </w:p>
        </w:tc>
        <w:tc>
          <w:tcPr>
            <w:tcW w:w="1985" w:type="dxa"/>
            <w:shd w:val="clear" w:color="auto" w:fill="FFEEE7"/>
          </w:tcPr>
          <w:p w14:paraId="7D7D3673" w14:textId="44BF0F06" w:rsidR="00F17D31" w:rsidRDefault="00957CE1" w:rsidP="00F17D31">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479EE020" w14:textId="61B983BE" w:rsidR="00F17D31" w:rsidRDefault="000E502E" w:rsidP="00F17D31">
            <w:pPr>
              <w:pStyle w:val="TableText"/>
              <w:keepNext/>
              <w:rPr>
                <w:rFonts w:eastAsia="Calibri"/>
                <w:sz w:val="18"/>
                <w:szCs w:val="18"/>
                <w:lang w:val="en-NZ"/>
              </w:rPr>
            </w:pPr>
            <w:r>
              <w:rPr>
                <w:rFonts w:eastAsia="Calibri"/>
                <w:sz w:val="18"/>
                <w:szCs w:val="18"/>
                <w:lang w:val="en-NZ"/>
              </w:rPr>
              <w:t>Medium</w:t>
            </w:r>
          </w:p>
        </w:tc>
      </w:tr>
      <w:tr w:rsidR="00F17D31" w:rsidRPr="00047B2C" w14:paraId="78773F41" w14:textId="77777777" w:rsidTr="0016637D">
        <w:trPr>
          <w:trHeight w:val="380"/>
        </w:trPr>
        <w:tc>
          <w:tcPr>
            <w:tcW w:w="2263" w:type="dxa"/>
            <w:vMerge/>
            <w:shd w:val="clear" w:color="auto" w:fill="FFEEE7"/>
          </w:tcPr>
          <w:p w14:paraId="6C629525" w14:textId="77777777" w:rsidR="00F17D31" w:rsidRPr="00047B2C" w:rsidRDefault="00F17D31" w:rsidP="00F17D31">
            <w:pPr>
              <w:pStyle w:val="TableText"/>
              <w:keepNext/>
              <w:rPr>
                <w:rFonts w:eastAsia="Calibri"/>
                <w:sz w:val="18"/>
                <w:szCs w:val="18"/>
                <w:lang w:val="en-NZ"/>
              </w:rPr>
            </w:pPr>
          </w:p>
        </w:tc>
        <w:tc>
          <w:tcPr>
            <w:tcW w:w="3402" w:type="dxa"/>
            <w:shd w:val="clear" w:color="auto" w:fill="FFEEE7"/>
          </w:tcPr>
          <w:p w14:paraId="1D009006" w14:textId="3E19196D" w:rsidR="00F17D31" w:rsidRDefault="00957CE1" w:rsidP="00F17D31">
            <w:pPr>
              <w:pStyle w:val="TableText"/>
              <w:keepNext/>
              <w:rPr>
                <w:rFonts w:eastAsia="Calibri"/>
                <w:sz w:val="18"/>
                <w:szCs w:val="18"/>
                <w:lang w:val="en-NZ"/>
              </w:rPr>
            </w:pPr>
            <w:r>
              <w:rPr>
                <w:rFonts w:eastAsia="Calibri"/>
                <w:sz w:val="18"/>
                <w:szCs w:val="18"/>
                <w:lang w:val="en-NZ"/>
              </w:rPr>
              <w:t>I</w:t>
            </w:r>
            <w:r w:rsidR="00F17D31">
              <w:rPr>
                <w:rFonts w:eastAsia="Calibri"/>
                <w:sz w:val="18"/>
                <w:szCs w:val="18"/>
                <w:lang w:val="en-NZ"/>
              </w:rPr>
              <w:t>ncrease in training costs [8, 9]</w:t>
            </w:r>
          </w:p>
        </w:tc>
        <w:tc>
          <w:tcPr>
            <w:tcW w:w="1985" w:type="dxa"/>
            <w:shd w:val="clear" w:color="auto" w:fill="FFEEE7"/>
          </w:tcPr>
          <w:p w14:paraId="39A1F917" w14:textId="33D5AAA7" w:rsidR="00F17D31" w:rsidRDefault="00957CE1" w:rsidP="00F17D31">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15DDC911" w14:textId="087F4324" w:rsidR="00F17D31" w:rsidRDefault="000E502E" w:rsidP="00F17D31">
            <w:pPr>
              <w:pStyle w:val="TableText"/>
              <w:keepNext/>
              <w:rPr>
                <w:rFonts w:eastAsia="Calibri"/>
                <w:sz w:val="18"/>
                <w:szCs w:val="18"/>
                <w:lang w:val="en-NZ"/>
              </w:rPr>
            </w:pPr>
            <w:r>
              <w:rPr>
                <w:rFonts w:eastAsia="Calibri"/>
                <w:sz w:val="18"/>
                <w:szCs w:val="18"/>
                <w:lang w:val="en-NZ"/>
              </w:rPr>
              <w:t>Medium</w:t>
            </w:r>
          </w:p>
        </w:tc>
      </w:tr>
      <w:tr w:rsidR="00F17D31" w:rsidRPr="00047B2C" w14:paraId="03CA6418" w14:textId="77777777" w:rsidTr="0016637D">
        <w:trPr>
          <w:trHeight w:val="380"/>
        </w:trPr>
        <w:tc>
          <w:tcPr>
            <w:tcW w:w="2263" w:type="dxa"/>
            <w:shd w:val="clear" w:color="auto" w:fill="FFEEE7"/>
          </w:tcPr>
          <w:p w14:paraId="2F84CBDC" w14:textId="5C940BAC" w:rsidR="00F17D31" w:rsidRPr="00047B2C" w:rsidRDefault="00F17D31" w:rsidP="00F17D31">
            <w:pPr>
              <w:pStyle w:val="TableText"/>
              <w:keepNext/>
              <w:rPr>
                <w:rFonts w:eastAsia="Calibri"/>
                <w:sz w:val="18"/>
                <w:szCs w:val="18"/>
                <w:lang w:val="en-NZ"/>
              </w:rPr>
            </w:pPr>
            <w:r w:rsidRPr="00047B2C">
              <w:rPr>
                <w:rFonts w:eastAsia="Calibri"/>
                <w:sz w:val="18"/>
                <w:szCs w:val="18"/>
                <w:lang w:val="en-NZ"/>
              </w:rPr>
              <w:t>Regulators</w:t>
            </w:r>
            <w:r>
              <w:rPr>
                <w:rFonts w:eastAsia="Calibri"/>
                <w:sz w:val="18"/>
                <w:szCs w:val="18"/>
                <w:lang w:val="en-NZ"/>
              </w:rPr>
              <w:t xml:space="preserve"> (DIA)</w:t>
            </w:r>
          </w:p>
        </w:tc>
        <w:tc>
          <w:tcPr>
            <w:tcW w:w="3402" w:type="dxa"/>
            <w:shd w:val="clear" w:color="auto" w:fill="FFEEE7"/>
          </w:tcPr>
          <w:p w14:paraId="148D77E3" w14:textId="42CC28AE" w:rsidR="00F17D31" w:rsidRPr="00047B2C" w:rsidRDefault="00F17D31" w:rsidP="00F17D31">
            <w:pPr>
              <w:pStyle w:val="TableText"/>
              <w:keepNext/>
              <w:rPr>
                <w:rFonts w:eastAsia="Calibri"/>
                <w:sz w:val="18"/>
                <w:szCs w:val="18"/>
                <w:lang w:val="en-NZ"/>
              </w:rPr>
            </w:pPr>
            <w:r>
              <w:rPr>
                <w:rFonts w:eastAsia="Calibri"/>
                <w:sz w:val="18"/>
                <w:szCs w:val="18"/>
                <w:lang w:val="en-NZ"/>
              </w:rPr>
              <w:t>FTE impacts from increased compliance tasks (ongoing monitoring) [1 - 9]</w:t>
            </w:r>
          </w:p>
        </w:tc>
        <w:tc>
          <w:tcPr>
            <w:tcW w:w="1985" w:type="dxa"/>
            <w:shd w:val="clear" w:color="auto" w:fill="FFEEE7"/>
          </w:tcPr>
          <w:p w14:paraId="123D0573" w14:textId="5B818843" w:rsidR="00F17D31" w:rsidRPr="00047B2C" w:rsidRDefault="00957CE1" w:rsidP="00F17D31">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4A06D947" w14:textId="3DDB29EE" w:rsidR="00F17D31" w:rsidRPr="00047B2C" w:rsidRDefault="000E502E" w:rsidP="00F17D31">
            <w:pPr>
              <w:pStyle w:val="TableText"/>
              <w:keepNext/>
              <w:rPr>
                <w:rFonts w:eastAsia="Calibri"/>
                <w:sz w:val="18"/>
                <w:szCs w:val="18"/>
                <w:lang w:val="en-NZ"/>
              </w:rPr>
            </w:pPr>
            <w:r>
              <w:rPr>
                <w:rFonts w:eastAsia="Calibri"/>
                <w:sz w:val="18"/>
                <w:szCs w:val="18"/>
                <w:lang w:val="en-NZ"/>
              </w:rPr>
              <w:t>Medium</w:t>
            </w:r>
          </w:p>
        </w:tc>
      </w:tr>
      <w:tr w:rsidR="00F17D31" w:rsidRPr="00047B2C" w14:paraId="1474D7A5" w14:textId="77777777" w:rsidTr="0016637D">
        <w:trPr>
          <w:trHeight w:val="263"/>
        </w:trPr>
        <w:tc>
          <w:tcPr>
            <w:tcW w:w="2263" w:type="dxa"/>
            <w:shd w:val="clear" w:color="auto" w:fill="FFEEE7"/>
          </w:tcPr>
          <w:p w14:paraId="5D26FDF9" w14:textId="3883AE58" w:rsidR="00F17D31" w:rsidRPr="00047B2C" w:rsidRDefault="00F17D31" w:rsidP="00F17D31">
            <w:pPr>
              <w:pStyle w:val="TableText"/>
              <w:keepNext/>
              <w:rPr>
                <w:rFonts w:eastAsia="Calibri"/>
                <w:color w:val="000000"/>
                <w:sz w:val="18"/>
                <w:szCs w:val="18"/>
                <w:lang w:val="en-NZ"/>
              </w:rPr>
            </w:pPr>
            <w:r>
              <w:rPr>
                <w:rFonts w:eastAsia="Calibri"/>
                <w:color w:val="000000"/>
                <w:sz w:val="18"/>
                <w:szCs w:val="18"/>
                <w:lang w:val="en-NZ"/>
              </w:rPr>
              <w:t>Harm groups (</w:t>
            </w:r>
            <w:proofErr w:type="spellStart"/>
            <w:r>
              <w:rPr>
                <w:rFonts w:eastAsia="Calibri"/>
                <w:color w:val="000000"/>
                <w:sz w:val="18"/>
                <w:szCs w:val="18"/>
                <w:lang w:val="en-NZ"/>
              </w:rPr>
              <w:t>MoH</w:t>
            </w:r>
            <w:proofErr w:type="spellEnd"/>
            <w:r>
              <w:rPr>
                <w:rFonts w:eastAsia="Calibri"/>
                <w:color w:val="000000"/>
                <w:sz w:val="18"/>
                <w:szCs w:val="18"/>
                <w:lang w:val="en-NZ"/>
              </w:rPr>
              <w:t>, HPA, service providers)</w:t>
            </w:r>
          </w:p>
        </w:tc>
        <w:tc>
          <w:tcPr>
            <w:tcW w:w="3402" w:type="dxa"/>
            <w:shd w:val="clear" w:color="auto" w:fill="FFEEE7"/>
          </w:tcPr>
          <w:p w14:paraId="3BEA1791" w14:textId="13524C1D" w:rsidR="00F17D31" w:rsidRPr="00047B2C" w:rsidRDefault="00957CE1" w:rsidP="00F17D31">
            <w:pPr>
              <w:pStyle w:val="TableText"/>
              <w:keepNext/>
              <w:rPr>
                <w:rFonts w:eastAsia="Calibri"/>
                <w:sz w:val="18"/>
                <w:szCs w:val="18"/>
                <w:lang w:val="en-NZ"/>
              </w:rPr>
            </w:pPr>
            <w:r>
              <w:rPr>
                <w:rFonts w:eastAsia="Calibri"/>
                <w:sz w:val="18"/>
                <w:szCs w:val="18"/>
                <w:lang w:val="en-NZ"/>
              </w:rPr>
              <w:t>I</w:t>
            </w:r>
            <w:r w:rsidR="00F17D31">
              <w:rPr>
                <w:rFonts w:eastAsia="Calibri"/>
                <w:sz w:val="18"/>
                <w:szCs w:val="18"/>
                <w:lang w:val="en-NZ"/>
              </w:rPr>
              <w:t>ncrease in treatment placements [6]</w:t>
            </w:r>
          </w:p>
        </w:tc>
        <w:tc>
          <w:tcPr>
            <w:tcW w:w="1985" w:type="dxa"/>
            <w:shd w:val="clear" w:color="auto" w:fill="FFEEE7"/>
          </w:tcPr>
          <w:p w14:paraId="1E96F4E9" w14:textId="6F96717E" w:rsidR="00F17D31" w:rsidRPr="00047B2C" w:rsidRDefault="00957CE1" w:rsidP="00F17D31">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203E6351" w14:textId="24F8FD06" w:rsidR="00F17D31" w:rsidRPr="00047B2C" w:rsidRDefault="000E502E" w:rsidP="00F17D31">
            <w:pPr>
              <w:pStyle w:val="TableText"/>
              <w:keepNext/>
              <w:rPr>
                <w:rFonts w:eastAsia="Calibri"/>
                <w:sz w:val="18"/>
                <w:szCs w:val="18"/>
                <w:lang w:val="en-NZ"/>
              </w:rPr>
            </w:pPr>
            <w:r>
              <w:rPr>
                <w:rFonts w:eastAsia="Calibri"/>
                <w:sz w:val="18"/>
                <w:szCs w:val="18"/>
                <w:lang w:val="en-NZ"/>
              </w:rPr>
              <w:t>Medium</w:t>
            </w:r>
          </w:p>
        </w:tc>
      </w:tr>
      <w:tr w:rsidR="00B97F0E" w:rsidRPr="00047B2C" w14:paraId="746B7A82" w14:textId="77777777" w:rsidTr="0016637D">
        <w:trPr>
          <w:trHeight w:val="263"/>
        </w:trPr>
        <w:tc>
          <w:tcPr>
            <w:tcW w:w="2263" w:type="dxa"/>
            <w:shd w:val="clear" w:color="auto" w:fill="FFEEE7"/>
          </w:tcPr>
          <w:p w14:paraId="33E7C173" w14:textId="47F2DB58" w:rsidR="00B97F0E" w:rsidRPr="00047B2C" w:rsidRDefault="00B97F0E" w:rsidP="00B97F0E">
            <w:pPr>
              <w:pStyle w:val="TableText"/>
              <w:keepNext/>
              <w:rPr>
                <w:rFonts w:eastAsia="Calibri"/>
                <w:color w:val="000000"/>
                <w:sz w:val="18"/>
                <w:szCs w:val="18"/>
                <w:lang w:val="en-NZ"/>
              </w:rPr>
            </w:pPr>
            <w:r>
              <w:rPr>
                <w:rFonts w:eastAsia="Calibri"/>
                <w:color w:val="000000"/>
                <w:sz w:val="18"/>
                <w:szCs w:val="18"/>
                <w:lang w:val="en-NZ"/>
              </w:rPr>
              <w:t>Gamblers</w:t>
            </w:r>
          </w:p>
        </w:tc>
        <w:tc>
          <w:tcPr>
            <w:tcW w:w="3402" w:type="dxa"/>
            <w:shd w:val="clear" w:color="auto" w:fill="FFEEE7"/>
          </w:tcPr>
          <w:p w14:paraId="5CF5334A" w14:textId="48E0B93F" w:rsidR="00B97F0E" w:rsidRPr="00047B2C" w:rsidRDefault="00B97F0E" w:rsidP="00B97F0E">
            <w:pPr>
              <w:pStyle w:val="TableText"/>
              <w:keepNext/>
              <w:rPr>
                <w:rFonts w:eastAsia="Calibri"/>
                <w:sz w:val="18"/>
                <w:szCs w:val="18"/>
                <w:lang w:val="en-NZ"/>
              </w:rPr>
            </w:pPr>
            <w:r w:rsidRPr="00393B55">
              <w:rPr>
                <w:rFonts w:eastAsia="Calibri"/>
                <w:sz w:val="18"/>
                <w:szCs w:val="18"/>
                <w:lang w:val="en-NZ"/>
              </w:rPr>
              <w:t>-</w:t>
            </w:r>
          </w:p>
        </w:tc>
        <w:tc>
          <w:tcPr>
            <w:tcW w:w="1985" w:type="dxa"/>
            <w:shd w:val="clear" w:color="auto" w:fill="FFEEE7"/>
          </w:tcPr>
          <w:p w14:paraId="45BD87E8" w14:textId="69A86FB7" w:rsidR="00B97F0E" w:rsidRPr="00047B2C" w:rsidRDefault="00B97F0E" w:rsidP="00B97F0E">
            <w:pPr>
              <w:pStyle w:val="TableText"/>
              <w:keepNext/>
              <w:rPr>
                <w:rFonts w:eastAsia="Calibri"/>
                <w:sz w:val="18"/>
                <w:szCs w:val="18"/>
                <w:lang w:val="en-NZ"/>
              </w:rPr>
            </w:pPr>
            <w:r w:rsidRPr="00393B55">
              <w:rPr>
                <w:rFonts w:eastAsia="Calibri"/>
                <w:sz w:val="18"/>
                <w:szCs w:val="18"/>
                <w:lang w:val="en-NZ"/>
              </w:rPr>
              <w:t>-</w:t>
            </w:r>
          </w:p>
        </w:tc>
        <w:tc>
          <w:tcPr>
            <w:tcW w:w="1843" w:type="dxa"/>
            <w:shd w:val="clear" w:color="auto" w:fill="FFEEE7"/>
          </w:tcPr>
          <w:p w14:paraId="1313A9F3" w14:textId="2D36BC71" w:rsidR="00B97F0E" w:rsidRPr="00047B2C" w:rsidRDefault="00957CE1" w:rsidP="00F17D31">
            <w:pPr>
              <w:pStyle w:val="TableText"/>
              <w:keepNext/>
              <w:rPr>
                <w:rFonts w:eastAsia="Calibri"/>
                <w:sz w:val="18"/>
                <w:szCs w:val="18"/>
                <w:lang w:val="en-NZ"/>
              </w:rPr>
            </w:pPr>
            <w:r>
              <w:rPr>
                <w:rFonts w:eastAsia="Calibri"/>
                <w:sz w:val="18"/>
                <w:szCs w:val="18"/>
                <w:lang w:val="en-NZ"/>
              </w:rPr>
              <w:t>-</w:t>
            </w:r>
          </w:p>
        </w:tc>
      </w:tr>
      <w:tr w:rsidR="005139C3" w:rsidRPr="00047B2C" w14:paraId="2588522F" w14:textId="77777777" w:rsidTr="0016637D">
        <w:trPr>
          <w:trHeight w:val="263"/>
        </w:trPr>
        <w:tc>
          <w:tcPr>
            <w:tcW w:w="2263" w:type="dxa"/>
            <w:shd w:val="clear" w:color="auto" w:fill="FFEEE7"/>
          </w:tcPr>
          <w:p w14:paraId="066EA465" w14:textId="77615E45" w:rsidR="005139C3" w:rsidRPr="00047B2C" w:rsidRDefault="005139C3" w:rsidP="005139C3">
            <w:pPr>
              <w:pStyle w:val="TableText"/>
              <w:keepNext/>
              <w:rPr>
                <w:rFonts w:eastAsia="Calibri" w:cs="Arial"/>
                <w:color w:val="000000"/>
                <w:sz w:val="18"/>
                <w:szCs w:val="18"/>
                <w:lang w:val="en-NZ"/>
              </w:rPr>
            </w:pPr>
            <w:r w:rsidRPr="00047B2C">
              <w:rPr>
                <w:rFonts w:eastAsia="Calibri"/>
                <w:color w:val="000000"/>
                <w:sz w:val="18"/>
                <w:szCs w:val="18"/>
                <w:lang w:val="en-NZ"/>
              </w:rPr>
              <w:t xml:space="preserve">Others </w:t>
            </w:r>
          </w:p>
        </w:tc>
        <w:tc>
          <w:tcPr>
            <w:tcW w:w="3402" w:type="dxa"/>
            <w:shd w:val="clear" w:color="auto" w:fill="FFEEE7"/>
          </w:tcPr>
          <w:p w14:paraId="5DA56898" w14:textId="3C143716" w:rsidR="005139C3" w:rsidRPr="00047B2C" w:rsidRDefault="005139C3" w:rsidP="005139C3">
            <w:pPr>
              <w:pStyle w:val="TableText"/>
              <w:keepNext/>
              <w:rPr>
                <w:rFonts w:eastAsia="Calibri"/>
                <w:sz w:val="18"/>
                <w:szCs w:val="18"/>
                <w:lang w:val="en-NZ"/>
              </w:rPr>
            </w:pPr>
            <w:r w:rsidRPr="0097491F">
              <w:rPr>
                <w:rFonts w:eastAsia="Calibri"/>
                <w:sz w:val="18"/>
                <w:szCs w:val="18"/>
                <w:lang w:val="en-NZ"/>
              </w:rPr>
              <w:t>-</w:t>
            </w:r>
          </w:p>
        </w:tc>
        <w:tc>
          <w:tcPr>
            <w:tcW w:w="1985" w:type="dxa"/>
            <w:shd w:val="clear" w:color="auto" w:fill="FFEEE7"/>
          </w:tcPr>
          <w:p w14:paraId="2DAA6803" w14:textId="6E92233A" w:rsidR="005139C3" w:rsidRPr="00047B2C" w:rsidRDefault="005139C3" w:rsidP="005139C3">
            <w:pPr>
              <w:pStyle w:val="TableText"/>
              <w:keepNext/>
              <w:rPr>
                <w:rFonts w:eastAsia="Calibri"/>
                <w:sz w:val="18"/>
                <w:szCs w:val="18"/>
                <w:lang w:val="en-NZ"/>
              </w:rPr>
            </w:pPr>
            <w:r w:rsidRPr="0097491F">
              <w:rPr>
                <w:rFonts w:eastAsia="Calibri"/>
                <w:sz w:val="18"/>
                <w:szCs w:val="18"/>
                <w:lang w:val="en-NZ"/>
              </w:rPr>
              <w:t>-</w:t>
            </w:r>
          </w:p>
        </w:tc>
        <w:tc>
          <w:tcPr>
            <w:tcW w:w="1843" w:type="dxa"/>
            <w:shd w:val="clear" w:color="auto" w:fill="FFEEE7"/>
          </w:tcPr>
          <w:p w14:paraId="7D64F7EE" w14:textId="0BD29363" w:rsidR="005139C3" w:rsidRPr="00047B2C" w:rsidRDefault="00957CE1" w:rsidP="00F17D31">
            <w:pPr>
              <w:pStyle w:val="TableText"/>
              <w:keepNext/>
              <w:rPr>
                <w:rFonts w:eastAsia="Calibri"/>
                <w:sz w:val="18"/>
                <w:szCs w:val="18"/>
                <w:lang w:val="en-NZ"/>
              </w:rPr>
            </w:pPr>
            <w:r>
              <w:rPr>
                <w:rFonts w:eastAsia="Calibri"/>
                <w:sz w:val="18"/>
                <w:szCs w:val="18"/>
                <w:lang w:val="en-NZ"/>
              </w:rPr>
              <w:t>-</w:t>
            </w:r>
          </w:p>
        </w:tc>
      </w:tr>
      <w:tr w:rsidR="005139C3" w:rsidRPr="00047B2C" w14:paraId="6628A303" w14:textId="77777777" w:rsidTr="0016637D">
        <w:trPr>
          <w:trHeight w:val="263"/>
        </w:trPr>
        <w:tc>
          <w:tcPr>
            <w:tcW w:w="2263" w:type="dxa"/>
            <w:shd w:val="clear" w:color="auto" w:fill="FFEEE7"/>
          </w:tcPr>
          <w:p w14:paraId="79C59E20" w14:textId="77777777" w:rsidR="005139C3" w:rsidRPr="00047B2C" w:rsidRDefault="005139C3" w:rsidP="005139C3">
            <w:pPr>
              <w:pStyle w:val="TableText"/>
              <w:keepNext/>
              <w:rPr>
                <w:rFonts w:eastAsia="Calibri"/>
                <w:b/>
                <w:sz w:val="18"/>
                <w:szCs w:val="18"/>
                <w:lang w:val="en-NZ"/>
              </w:rPr>
            </w:pPr>
            <w:r w:rsidRPr="00047B2C">
              <w:rPr>
                <w:rFonts w:eastAsia="Calibri"/>
                <w:b/>
                <w:sz w:val="18"/>
                <w:szCs w:val="18"/>
                <w:lang w:val="en-NZ"/>
              </w:rPr>
              <w:t>Total monetised costs</w:t>
            </w:r>
          </w:p>
        </w:tc>
        <w:tc>
          <w:tcPr>
            <w:tcW w:w="3402" w:type="dxa"/>
            <w:shd w:val="clear" w:color="auto" w:fill="FFEEE7"/>
          </w:tcPr>
          <w:p w14:paraId="2D5035A6" w14:textId="2A558BB3" w:rsidR="005139C3" w:rsidRPr="00F17D31" w:rsidRDefault="00D70AC9" w:rsidP="005139C3">
            <w:pPr>
              <w:pStyle w:val="TableText"/>
              <w:keepNext/>
              <w:rPr>
                <w:rFonts w:eastAsia="Calibri"/>
                <w:b/>
                <w:i/>
                <w:sz w:val="18"/>
                <w:szCs w:val="18"/>
                <w:lang w:val="en-NZ"/>
              </w:rPr>
            </w:pPr>
            <w:r w:rsidRPr="00F17D31">
              <w:rPr>
                <w:rFonts w:eastAsia="Calibri"/>
                <w:b/>
                <w:sz w:val="18"/>
                <w:szCs w:val="18"/>
                <w:lang w:val="en-NZ"/>
              </w:rPr>
              <w:t>N/A</w:t>
            </w:r>
          </w:p>
        </w:tc>
        <w:tc>
          <w:tcPr>
            <w:tcW w:w="1985" w:type="dxa"/>
            <w:shd w:val="clear" w:color="auto" w:fill="FFEEE7"/>
          </w:tcPr>
          <w:p w14:paraId="7926FD3D" w14:textId="3E9F3681" w:rsidR="005139C3" w:rsidRPr="00F17D31" w:rsidRDefault="002C6886" w:rsidP="005139C3">
            <w:pPr>
              <w:pStyle w:val="TableText"/>
              <w:keepNext/>
              <w:rPr>
                <w:rFonts w:eastAsia="Calibri"/>
                <w:b/>
                <w:sz w:val="18"/>
                <w:szCs w:val="18"/>
                <w:lang w:val="en-NZ"/>
              </w:rPr>
            </w:pPr>
            <w:r w:rsidRPr="00F17D31">
              <w:rPr>
                <w:rFonts w:eastAsia="Calibri"/>
                <w:b/>
                <w:sz w:val="18"/>
                <w:szCs w:val="18"/>
                <w:lang w:val="en-NZ"/>
              </w:rPr>
              <w:t>Unknown</w:t>
            </w:r>
            <w:r w:rsidR="00FE6DFD">
              <w:rPr>
                <w:rFonts w:eastAsia="Calibri"/>
                <w:b/>
                <w:sz w:val="18"/>
                <w:szCs w:val="18"/>
                <w:lang w:val="en-NZ"/>
              </w:rPr>
              <w:t xml:space="preserve"> at present</w:t>
            </w:r>
          </w:p>
        </w:tc>
        <w:tc>
          <w:tcPr>
            <w:tcW w:w="1843" w:type="dxa"/>
            <w:shd w:val="clear" w:color="auto" w:fill="FFEEE7"/>
          </w:tcPr>
          <w:p w14:paraId="67CE087D" w14:textId="07DD167F" w:rsidR="00D70AC9" w:rsidRPr="00F17D31" w:rsidRDefault="00D70AC9" w:rsidP="005139C3">
            <w:pPr>
              <w:pStyle w:val="TableText"/>
              <w:keepNext/>
              <w:rPr>
                <w:rFonts w:eastAsia="Calibri"/>
                <w:b/>
                <w:sz w:val="18"/>
                <w:szCs w:val="18"/>
                <w:lang w:val="en-NZ"/>
              </w:rPr>
            </w:pPr>
            <w:r w:rsidRPr="00F17D31">
              <w:rPr>
                <w:rFonts w:eastAsia="Calibri"/>
                <w:b/>
                <w:sz w:val="18"/>
                <w:szCs w:val="18"/>
                <w:lang w:val="en-NZ"/>
              </w:rPr>
              <w:t>N/A</w:t>
            </w:r>
          </w:p>
        </w:tc>
      </w:tr>
      <w:tr w:rsidR="00F17D31" w:rsidRPr="00047B2C" w14:paraId="17A6A21B" w14:textId="77777777" w:rsidTr="0016637D">
        <w:trPr>
          <w:trHeight w:val="263"/>
        </w:trPr>
        <w:tc>
          <w:tcPr>
            <w:tcW w:w="2263" w:type="dxa"/>
            <w:vMerge w:val="restart"/>
            <w:shd w:val="clear" w:color="auto" w:fill="E2EFD9" w:themeFill="accent6" w:themeFillTint="33"/>
          </w:tcPr>
          <w:p w14:paraId="400290BE" w14:textId="77777777" w:rsidR="00F17D31" w:rsidRPr="00047B2C" w:rsidRDefault="00F17D31" w:rsidP="005139C3">
            <w:pPr>
              <w:pStyle w:val="TableText"/>
              <w:keepNext/>
              <w:rPr>
                <w:rFonts w:eastAsia="Calibri"/>
                <w:b/>
                <w:sz w:val="18"/>
                <w:szCs w:val="18"/>
                <w:lang w:val="en-NZ"/>
              </w:rPr>
            </w:pPr>
            <w:r w:rsidRPr="00047B2C">
              <w:rPr>
                <w:rFonts w:eastAsia="Calibri"/>
                <w:b/>
                <w:sz w:val="18"/>
                <w:szCs w:val="18"/>
                <w:lang w:val="en-NZ"/>
              </w:rPr>
              <w:t xml:space="preserve">Non-monetised costs </w:t>
            </w:r>
          </w:p>
        </w:tc>
        <w:tc>
          <w:tcPr>
            <w:tcW w:w="3402" w:type="dxa"/>
            <w:shd w:val="clear" w:color="auto" w:fill="E2EFD9" w:themeFill="accent6" w:themeFillTint="33"/>
          </w:tcPr>
          <w:p w14:paraId="3D779D05" w14:textId="2E20FE65" w:rsidR="00F17D31" w:rsidRPr="00F17D31" w:rsidRDefault="00F17D31" w:rsidP="008F1A73">
            <w:pPr>
              <w:pStyle w:val="TableText"/>
              <w:keepNext/>
              <w:rPr>
                <w:rFonts w:eastAsia="Calibri"/>
                <w:sz w:val="18"/>
                <w:szCs w:val="18"/>
                <w:lang w:val="en-NZ"/>
              </w:rPr>
            </w:pPr>
            <w:r w:rsidRPr="00B97F0E">
              <w:rPr>
                <w:rFonts w:eastAsia="Calibri"/>
                <w:sz w:val="18"/>
                <w:szCs w:val="18"/>
                <w:lang w:val="en-NZ"/>
              </w:rPr>
              <w:t>Gamblers</w:t>
            </w:r>
            <w:r w:rsidR="00957CE1">
              <w:rPr>
                <w:rFonts w:eastAsia="Calibri"/>
                <w:sz w:val="18"/>
                <w:szCs w:val="18"/>
                <w:lang w:val="en-NZ"/>
              </w:rPr>
              <w:t>:</w:t>
            </w:r>
            <w:r w:rsidRPr="00B97F0E">
              <w:rPr>
                <w:rFonts w:eastAsia="Calibri"/>
                <w:sz w:val="18"/>
                <w:szCs w:val="18"/>
                <w:lang w:val="en-NZ"/>
              </w:rPr>
              <w:t xml:space="preserve"> </w:t>
            </w:r>
            <w:r>
              <w:rPr>
                <w:rFonts w:eastAsia="Calibri"/>
                <w:sz w:val="18"/>
                <w:szCs w:val="18"/>
                <w:lang w:val="en-NZ"/>
              </w:rPr>
              <w:t xml:space="preserve">Time </w:t>
            </w:r>
            <w:r w:rsidR="00957CE1">
              <w:rPr>
                <w:rFonts w:eastAsia="Calibri"/>
                <w:sz w:val="18"/>
                <w:szCs w:val="18"/>
                <w:lang w:val="en-NZ"/>
              </w:rPr>
              <w:t xml:space="preserve">involved in sourcing and </w:t>
            </w:r>
            <w:r>
              <w:rPr>
                <w:rFonts w:eastAsia="Calibri"/>
                <w:sz w:val="18"/>
                <w:szCs w:val="18"/>
                <w:lang w:val="en-NZ"/>
              </w:rPr>
              <w:t>attend</w:t>
            </w:r>
            <w:r w:rsidR="00957CE1">
              <w:rPr>
                <w:rFonts w:eastAsia="Calibri"/>
                <w:sz w:val="18"/>
                <w:szCs w:val="18"/>
                <w:lang w:val="en-NZ"/>
              </w:rPr>
              <w:t>ing</w:t>
            </w:r>
            <w:r>
              <w:rPr>
                <w:rFonts w:eastAsia="Calibri"/>
                <w:sz w:val="18"/>
                <w:szCs w:val="18"/>
                <w:lang w:val="en-NZ"/>
              </w:rPr>
              <w:t xml:space="preserve"> </w:t>
            </w:r>
            <w:r w:rsidR="00957CE1">
              <w:rPr>
                <w:rFonts w:eastAsia="Calibri"/>
                <w:sz w:val="18"/>
                <w:szCs w:val="18"/>
                <w:lang w:val="en-NZ"/>
              </w:rPr>
              <w:t xml:space="preserve">specified </w:t>
            </w:r>
            <w:r>
              <w:rPr>
                <w:rFonts w:eastAsia="Calibri"/>
                <w:sz w:val="18"/>
                <w:szCs w:val="18"/>
                <w:lang w:val="en-NZ"/>
              </w:rPr>
              <w:t>treatment [6]</w:t>
            </w:r>
          </w:p>
        </w:tc>
        <w:tc>
          <w:tcPr>
            <w:tcW w:w="1985" w:type="dxa"/>
            <w:shd w:val="clear" w:color="auto" w:fill="E2EFD9" w:themeFill="accent6" w:themeFillTint="33"/>
          </w:tcPr>
          <w:p w14:paraId="30CF940C" w14:textId="617E89DB" w:rsidR="00F17D31" w:rsidRPr="00047B2C" w:rsidRDefault="00F17D31" w:rsidP="005139C3">
            <w:pPr>
              <w:pStyle w:val="TableText"/>
              <w:keepNext/>
              <w:rPr>
                <w:rFonts w:eastAsia="Calibri"/>
                <w:i/>
                <w:sz w:val="18"/>
                <w:szCs w:val="18"/>
                <w:lang w:val="en-NZ"/>
              </w:rPr>
            </w:pPr>
            <w:r>
              <w:rPr>
                <w:rFonts w:eastAsia="Calibri"/>
                <w:sz w:val="18"/>
                <w:szCs w:val="18"/>
                <w:lang w:val="en-NZ"/>
              </w:rPr>
              <w:t>Medium</w:t>
            </w:r>
          </w:p>
        </w:tc>
        <w:tc>
          <w:tcPr>
            <w:tcW w:w="1843" w:type="dxa"/>
            <w:shd w:val="clear" w:color="auto" w:fill="E2EFD9" w:themeFill="accent6" w:themeFillTint="33"/>
          </w:tcPr>
          <w:p w14:paraId="266F51EC" w14:textId="6FBEF724" w:rsidR="00F17D31" w:rsidRPr="00047B2C" w:rsidRDefault="00957CE1" w:rsidP="005139C3">
            <w:pPr>
              <w:pStyle w:val="TableText"/>
              <w:keepNext/>
              <w:rPr>
                <w:rFonts w:eastAsia="Calibri"/>
                <w:i/>
                <w:sz w:val="18"/>
                <w:szCs w:val="18"/>
                <w:lang w:val="en-NZ"/>
              </w:rPr>
            </w:pPr>
            <w:r>
              <w:rPr>
                <w:rFonts w:eastAsia="Calibri"/>
                <w:sz w:val="18"/>
                <w:szCs w:val="18"/>
                <w:lang w:val="en-NZ"/>
              </w:rPr>
              <w:t>Medium</w:t>
            </w:r>
          </w:p>
        </w:tc>
      </w:tr>
      <w:tr w:rsidR="00F17D31" w:rsidRPr="00047B2C" w14:paraId="4C827444" w14:textId="77777777" w:rsidTr="0016637D">
        <w:trPr>
          <w:trHeight w:val="263"/>
        </w:trPr>
        <w:tc>
          <w:tcPr>
            <w:tcW w:w="2263" w:type="dxa"/>
            <w:vMerge/>
            <w:shd w:val="clear" w:color="auto" w:fill="E2EFD9" w:themeFill="accent6" w:themeFillTint="33"/>
          </w:tcPr>
          <w:p w14:paraId="423992D5" w14:textId="77777777" w:rsidR="00F17D31" w:rsidRPr="00047B2C" w:rsidRDefault="00F17D31" w:rsidP="005139C3">
            <w:pPr>
              <w:pStyle w:val="TableText"/>
              <w:keepNext/>
              <w:rPr>
                <w:rFonts w:eastAsia="Calibri"/>
                <w:b/>
                <w:sz w:val="18"/>
                <w:szCs w:val="18"/>
                <w:lang w:val="en-NZ"/>
              </w:rPr>
            </w:pPr>
          </w:p>
        </w:tc>
        <w:tc>
          <w:tcPr>
            <w:tcW w:w="3402" w:type="dxa"/>
            <w:shd w:val="clear" w:color="auto" w:fill="E2EFD9" w:themeFill="accent6" w:themeFillTint="33"/>
          </w:tcPr>
          <w:p w14:paraId="35C2D3DD" w14:textId="2F5F9A56" w:rsidR="00F17D31" w:rsidRPr="00B97F0E" w:rsidRDefault="00F17D31" w:rsidP="008F1A73">
            <w:pPr>
              <w:pStyle w:val="TableText"/>
              <w:keepNext/>
              <w:rPr>
                <w:rFonts w:eastAsia="Calibri"/>
                <w:sz w:val="18"/>
                <w:szCs w:val="18"/>
                <w:lang w:val="en-NZ"/>
              </w:rPr>
            </w:pPr>
            <w:r>
              <w:rPr>
                <w:rFonts w:eastAsia="Calibri"/>
                <w:i/>
                <w:sz w:val="18"/>
                <w:szCs w:val="18"/>
                <w:lang w:val="en-NZ"/>
              </w:rPr>
              <w:t>RISK - R</w:t>
            </w:r>
            <w:r w:rsidRPr="00D70AC9">
              <w:rPr>
                <w:rFonts w:eastAsia="Calibri"/>
                <w:i/>
                <w:sz w:val="18"/>
                <w:szCs w:val="18"/>
                <w:lang w:val="en-NZ"/>
              </w:rPr>
              <w:t xml:space="preserve">elies heavily on human intervention, so </w:t>
            </w:r>
            <w:r w:rsidR="00957CE1">
              <w:rPr>
                <w:rFonts w:eastAsia="Calibri"/>
                <w:i/>
                <w:sz w:val="18"/>
                <w:szCs w:val="18"/>
                <w:lang w:val="en-NZ"/>
              </w:rPr>
              <w:t xml:space="preserve">there may be variability </w:t>
            </w:r>
            <w:r w:rsidRPr="00D70AC9">
              <w:rPr>
                <w:rFonts w:eastAsia="Calibri"/>
                <w:i/>
                <w:sz w:val="18"/>
                <w:szCs w:val="18"/>
                <w:lang w:val="en-NZ"/>
              </w:rPr>
              <w:t>in implementation.</w:t>
            </w:r>
            <w:r>
              <w:rPr>
                <w:rFonts w:eastAsia="Calibri"/>
                <w:i/>
                <w:sz w:val="18"/>
                <w:szCs w:val="18"/>
                <w:lang w:val="en-NZ"/>
              </w:rPr>
              <w:t xml:space="preserve"> </w:t>
            </w:r>
            <w:r>
              <w:rPr>
                <w:rFonts w:eastAsia="Calibri"/>
                <w:sz w:val="18"/>
                <w:szCs w:val="18"/>
                <w:lang w:val="en-NZ"/>
              </w:rPr>
              <w:t>[1, 2, 3, 4, 6, 8 and 9]</w:t>
            </w:r>
          </w:p>
        </w:tc>
        <w:tc>
          <w:tcPr>
            <w:tcW w:w="1985" w:type="dxa"/>
            <w:shd w:val="clear" w:color="auto" w:fill="E2EFD9" w:themeFill="accent6" w:themeFillTint="33"/>
          </w:tcPr>
          <w:p w14:paraId="0E46A100" w14:textId="4D8E4A38" w:rsidR="00F17D31" w:rsidRPr="0097491F" w:rsidRDefault="00F17D31" w:rsidP="005139C3">
            <w:pPr>
              <w:pStyle w:val="TableText"/>
              <w:keepNext/>
              <w:rPr>
                <w:rFonts w:eastAsia="Calibri"/>
                <w:sz w:val="18"/>
                <w:szCs w:val="18"/>
                <w:lang w:val="en-NZ"/>
              </w:rPr>
            </w:pPr>
            <w:r>
              <w:rPr>
                <w:rFonts w:eastAsia="Calibri"/>
                <w:sz w:val="18"/>
                <w:szCs w:val="18"/>
                <w:lang w:val="en-NZ"/>
              </w:rPr>
              <w:t>High/Medium/Low</w:t>
            </w:r>
          </w:p>
        </w:tc>
        <w:tc>
          <w:tcPr>
            <w:tcW w:w="1843" w:type="dxa"/>
            <w:shd w:val="clear" w:color="auto" w:fill="E2EFD9" w:themeFill="accent6" w:themeFillTint="33"/>
          </w:tcPr>
          <w:p w14:paraId="469B3D10" w14:textId="17710C3D" w:rsidR="00F17D31" w:rsidRPr="00047B2C" w:rsidRDefault="00F17D31" w:rsidP="005139C3">
            <w:pPr>
              <w:pStyle w:val="TableText"/>
              <w:keepNext/>
              <w:rPr>
                <w:rFonts w:eastAsia="Calibri"/>
                <w:i/>
                <w:sz w:val="18"/>
                <w:szCs w:val="18"/>
                <w:lang w:val="en-NZ"/>
              </w:rPr>
            </w:pPr>
            <w:r>
              <w:rPr>
                <w:rFonts w:eastAsia="Calibri"/>
                <w:sz w:val="18"/>
                <w:szCs w:val="18"/>
                <w:lang w:val="en-NZ"/>
              </w:rPr>
              <w:t>Medium</w:t>
            </w:r>
          </w:p>
        </w:tc>
      </w:tr>
      <w:tr w:rsidR="005139C3" w:rsidRPr="00047B2C" w14:paraId="60C5A4E6" w14:textId="77777777" w:rsidTr="00710E6D">
        <w:trPr>
          <w:trHeight w:val="138"/>
        </w:trPr>
        <w:tc>
          <w:tcPr>
            <w:tcW w:w="9493" w:type="dxa"/>
            <w:gridSpan w:val="4"/>
            <w:shd w:val="clear" w:color="auto" w:fill="F2F2F2" w:themeFill="background1" w:themeFillShade="F2"/>
            <w:vAlign w:val="center"/>
          </w:tcPr>
          <w:p w14:paraId="6EA59157" w14:textId="42D08626" w:rsidR="005139C3" w:rsidRPr="00047B2C" w:rsidRDefault="005139C3" w:rsidP="00710E6D">
            <w:pPr>
              <w:keepNext/>
              <w:spacing w:before="20" w:after="20" w:line="240" w:lineRule="auto"/>
              <w:jc w:val="center"/>
              <w:rPr>
                <w:rFonts w:eastAsia="Calibri"/>
                <w:b/>
                <w:bCs/>
                <w:color w:val="000000"/>
                <w:sz w:val="18"/>
                <w:szCs w:val="18"/>
                <w:lang w:val="en-NZ"/>
              </w:rPr>
            </w:pPr>
            <w:r w:rsidRPr="00047B2C">
              <w:rPr>
                <w:rFonts w:eastAsia="Calibri"/>
                <w:b/>
                <w:bCs/>
                <w:color w:val="000000"/>
                <w:sz w:val="18"/>
                <w:szCs w:val="18"/>
                <w:lang w:val="en-NZ"/>
              </w:rPr>
              <w:t>Additional BENEFITS of the preferred option compared to taking no action</w:t>
            </w:r>
          </w:p>
        </w:tc>
      </w:tr>
      <w:tr w:rsidR="002C6886" w:rsidRPr="00047B2C" w14:paraId="5EDFC000" w14:textId="77777777" w:rsidTr="0016637D">
        <w:trPr>
          <w:trHeight w:val="381"/>
        </w:trPr>
        <w:tc>
          <w:tcPr>
            <w:tcW w:w="2263" w:type="dxa"/>
            <w:shd w:val="clear" w:color="auto" w:fill="DEEAF6" w:themeFill="accent1" w:themeFillTint="33"/>
          </w:tcPr>
          <w:p w14:paraId="1953F3C8" w14:textId="49DB4F72" w:rsidR="002C6886" w:rsidRPr="00047B2C" w:rsidRDefault="002C6886" w:rsidP="002C6886">
            <w:pPr>
              <w:pStyle w:val="TableText"/>
              <w:rPr>
                <w:rFonts w:eastAsia="Calibri"/>
                <w:sz w:val="18"/>
                <w:szCs w:val="18"/>
                <w:lang w:val="en-NZ"/>
              </w:rPr>
            </w:pPr>
            <w:r w:rsidRPr="00047B2C">
              <w:rPr>
                <w:rFonts w:eastAsia="Calibri"/>
                <w:sz w:val="18"/>
                <w:szCs w:val="18"/>
                <w:lang w:val="en-NZ"/>
              </w:rPr>
              <w:t>Regulated groups</w:t>
            </w:r>
            <w:r>
              <w:rPr>
                <w:rFonts w:eastAsia="Calibri"/>
                <w:sz w:val="18"/>
                <w:szCs w:val="18"/>
                <w:lang w:val="en-NZ"/>
              </w:rPr>
              <w:t xml:space="preserve"> (Societies, venues)</w:t>
            </w:r>
          </w:p>
        </w:tc>
        <w:tc>
          <w:tcPr>
            <w:tcW w:w="3402" w:type="dxa"/>
            <w:shd w:val="clear" w:color="auto" w:fill="DEEAF6" w:themeFill="accent1" w:themeFillTint="33"/>
          </w:tcPr>
          <w:p w14:paraId="44BC0C88" w14:textId="2D5A2D50" w:rsidR="002C6886" w:rsidRPr="00047B2C" w:rsidRDefault="002C6886" w:rsidP="002C6886">
            <w:pPr>
              <w:pStyle w:val="TableText"/>
              <w:rPr>
                <w:rFonts w:eastAsia="Calibri"/>
                <w:sz w:val="18"/>
                <w:szCs w:val="18"/>
                <w:lang w:val="en-NZ"/>
              </w:rPr>
            </w:pPr>
            <w:r w:rsidRPr="0097491F">
              <w:rPr>
                <w:rFonts w:eastAsia="Calibri"/>
                <w:sz w:val="18"/>
                <w:szCs w:val="18"/>
                <w:lang w:val="en-NZ"/>
              </w:rPr>
              <w:t>-</w:t>
            </w:r>
          </w:p>
        </w:tc>
        <w:tc>
          <w:tcPr>
            <w:tcW w:w="1985" w:type="dxa"/>
            <w:shd w:val="clear" w:color="auto" w:fill="DEEAF6" w:themeFill="accent1" w:themeFillTint="33"/>
          </w:tcPr>
          <w:p w14:paraId="7D39A52E" w14:textId="7789330C" w:rsidR="002C6886" w:rsidRPr="00047B2C" w:rsidRDefault="002C6886" w:rsidP="002C6886">
            <w:pPr>
              <w:pStyle w:val="TableText"/>
              <w:rPr>
                <w:rFonts w:eastAsia="Calibri"/>
                <w:sz w:val="18"/>
                <w:szCs w:val="18"/>
                <w:lang w:val="en-NZ"/>
              </w:rPr>
            </w:pPr>
            <w:r w:rsidRPr="0097491F">
              <w:rPr>
                <w:rFonts w:eastAsia="Calibri"/>
                <w:sz w:val="18"/>
                <w:szCs w:val="18"/>
                <w:lang w:val="en-NZ"/>
              </w:rPr>
              <w:t>-</w:t>
            </w:r>
          </w:p>
        </w:tc>
        <w:tc>
          <w:tcPr>
            <w:tcW w:w="1843" w:type="dxa"/>
            <w:shd w:val="clear" w:color="auto" w:fill="DEEAF6" w:themeFill="accent1" w:themeFillTint="33"/>
          </w:tcPr>
          <w:p w14:paraId="2782C581" w14:textId="65783D28" w:rsidR="002C6886" w:rsidRPr="00047B2C" w:rsidRDefault="002C6886" w:rsidP="002C6886">
            <w:pPr>
              <w:pStyle w:val="TableText"/>
              <w:rPr>
                <w:rFonts w:eastAsia="Calibri"/>
                <w:sz w:val="18"/>
                <w:szCs w:val="18"/>
                <w:lang w:val="en-NZ"/>
              </w:rPr>
            </w:pPr>
            <w:r w:rsidRPr="00BF0A0A">
              <w:rPr>
                <w:rFonts w:eastAsia="Calibri"/>
                <w:sz w:val="18"/>
                <w:szCs w:val="18"/>
                <w:lang w:val="en-NZ"/>
              </w:rPr>
              <w:t>-</w:t>
            </w:r>
          </w:p>
        </w:tc>
      </w:tr>
      <w:tr w:rsidR="00957CE1" w:rsidRPr="00047B2C" w14:paraId="2539AA59" w14:textId="77777777" w:rsidTr="0016637D">
        <w:trPr>
          <w:trHeight w:val="381"/>
        </w:trPr>
        <w:tc>
          <w:tcPr>
            <w:tcW w:w="2263" w:type="dxa"/>
            <w:shd w:val="clear" w:color="auto" w:fill="DEEAF6" w:themeFill="accent1" w:themeFillTint="33"/>
          </w:tcPr>
          <w:p w14:paraId="48D5AD8C" w14:textId="3CF494CC" w:rsidR="00957CE1" w:rsidRPr="00047B2C" w:rsidRDefault="00957CE1" w:rsidP="00957CE1">
            <w:pPr>
              <w:pStyle w:val="TableText"/>
              <w:rPr>
                <w:rFonts w:eastAsia="Calibri"/>
                <w:sz w:val="18"/>
                <w:szCs w:val="18"/>
                <w:lang w:val="en-NZ"/>
              </w:rPr>
            </w:pPr>
            <w:r w:rsidRPr="00047B2C">
              <w:rPr>
                <w:rFonts w:eastAsia="Calibri"/>
                <w:sz w:val="18"/>
                <w:szCs w:val="18"/>
                <w:lang w:val="en-NZ"/>
              </w:rPr>
              <w:t>Regulators</w:t>
            </w:r>
            <w:r>
              <w:rPr>
                <w:rFonts w:eastAsia="Calibri"/>
                <w:sz w:val="18"/>
                <w:szCs w:val="18"/>
                <w:lang w:val="en-NZ"/>
              </w:rPr>
              <w:t xml:space="preserve"> (DIA)</w:t>
            </w:r>
          </w:p>
        </w:tc>
        <w:tc>
          <w:tcPr>
            <w:tcW w:w="3402" w:type="dxa"/>
            <w:shd w:val="clear" w:color="auto" w:fill="DEEAF6" w:themeFill="accent1" w:themeFillTint="33"/>
          </w:tcPr>
          <w:p w14:paraId="486F9CC4" w14:textId="147BA8D4" w:rsidR="00957CE1" w:rsidRPr="00047B2C" w:rsidRDefault="00957CE1" w:rsidP="00957CE1">
            <w:pPr>
              <w:pStyle w:val="TableText"/>
              <w:rPr>
                <w:rFonts w:eastAsia="Calibri"/>
                <w:sz w:val="18"/>
                <w:szCs w:val="18"/>
                <w:lang w:val="en-NZ"/>
              </w:rPr>
            </w:pPr>
            <w:r>
              <w:rPr>
                <w:rFonts w:eastAsia="Calibri"/>
                <w:sz w:val="18"/>
                <w:szCs w:val="18"/>
                <w:lang w:val="en-NZ"/>
              </w:rPr>
              <w:t xml:space="preserve">FTE </w:t>
            </w:r>
            <w:r w:rsidR="00035ED5">
              <w:rPr>
                <w:rFonts w:eastAsia="Calibri"/>
                <w:sz w:val="18"/>
                <w:szCs w:val="18"/>
                <w:lang w:val="en-NZ"/>
              </w:rPr>
              <w:t xml:space="preserve">time savings </w:t>
            </w:r>
            <w:r w:rsidR="007346F0">
              <w:rPr>
                <w:rFonts w:eastAsia="Calibri"/>
                <w:sz w:val="18"/>
                <w:szCs w:val="18"/>
                <w:lang w:val="en-NZ"/>
              </w:rPr>
              <w:t xml:space="preserve">as </w:t>
            </w:r>
            <w:r>
              <w:rPr>
                <w:rFonts w:eastAsia="Calibri"/>
                <w:sz w:val="18"/>
                <w:szCs w:val="18"/>
                <w:lang w:val="en-NZ"/>
              </w:rPr>
              <w:t xml:space="preserve">preparing cases for prosecution </w:t>
            </w:r>
            <w:r w:rsidR="007346F0">
              <w:rPr>
                <w:rFonts w:eastAsia="Calibri"/>
                <w:sz w:val="18"/>
                <w:szCs w:val="18"/>
                <w:lang w:val="en-NZ"/>
              </w:rPr>
              <w:t xml:space="preserve">is more straightforward </w:t>
            </w:r>
            <w:r>
              <w:rPr>
                <w:rFonts w:eastAsia="Calibri"/>
                <w:sz w:val="18"/>
                <w:szCs w:val="18"/>
                <w:lang w:val="en-NZ"/>
              </w:rPr>
              <w:t>(ongoing) [1 - 9]</w:t>
            </w:r>
          </w:p>
        </w:tc>
        <w:tc>
          <w:tcPr>
            <w:tcW w:w="1985" w:type="dxa"/>
            <w:shd w:val="clear" w:color="auto" w:fill="DEEAF6" w:themeFill="accent1" w:themeFillTint="33"/>
          </w:tcPr>
          <w:p w14:paraId="7CDDDAEC" w14:textId="62D0B457" w:rsidR="00957CE1" w:rsidRPr="00047B2C" w:rsidRDefault="00957CE1" w:rsidP="00957CE1">
            <w:pPr>
              <w:pStyle w:val="TableText"/>
              <w:rPr>
                <w:rFonts w:eastAsia="Calibri"/>
                <w:sz w:val="18"/>
                <w:szCs w:val="18"/>
                <w:lang w:val="en-NZ"/>
              </w:rPr>
            </w:pPr>
            <w:r>
              <w:rPr>
                <w:rFonts w:eastAsia="Calibri"/>
                <w:sz w:val="18"/>
                <w:szCs w:val="18"/>
                <w:lang w:val="en-NZ"/>
              </w:rPr>
              <w:t>TBD</w:t>
            </w:r>
          </w:p>
        </w:tc>
        <w:tc>
          <w:tcPr>
            <w:tcW w:w="1843" w:type="dxa"/>
            <w:shd w:val="clear" w:color="auto" w:fill="DEEAF6" w:themeFill="accent1" w:themeFillTint="33"/>
          </w:tcPr>
          <w:p w14:paraId="66249A20" w14:textId="6A8B557A" w:rsidR="00957CE1" w:rsidRPr="00047B2C" w:rsidRDefault="000E502E" w:rsidP="00957CE1">
            <w:pPr>
              <w:pStyle w:val="TableText"/>
              <w:rPr>
                <w:rFonts w:eastAsia="Calibri"/>
                <w:sz w:val="18"/>
                <w:szCs w:val="18"/>
                <w:lang w:val="en-NZ"/>
              </w:rPr>
            </w:pPr>
            <w:r>
              <w:rPr>
                <w:rFonts w:eastAsia="Calibri"/>
                <w:sz w:val="18"/>
                <w:szCs w:val="18"/>
                <w:lang w:val="en-NZ"/>
              </w:rPr>
              <w:t>Medium</w:t>
            </w:r>
          </w:p>
        </w:tc>
      </w:tr>
      <w:tr w:rsidR="00957CE1" w:rsidRPr="00047B2C" w14:paraId="61520BDC" w14:textId="77777777" w:rsidTr="0016637D">
        <w:trPr>
          <w:trHeight w:val="263"/>
        </w:trPr>
        <w:tc>
          <w:tcPr>
            <w:tcW w:w="2263" w:type="dxa"/>
            <w:shd w:val="clear" w:color="auto" w:fill="DEEAF6" w:themeFill="accent1" w:themeFillTint="33"/>
          </w:tcPr>
          <w:p w14:paraId="47C79492" w14:textId="025CADC9" w:rsidR="00957CE1" w:rsidRPr="00047B2C" w:rsidRDefault="00957CE1" w:rsidP="00957CE1">
            <w:pPr>
              <w:pStyle w:val="TableText"/>
              <w:rPr>
                <w:rFonts w:eastAsia="Calibri"/>
                <w:color w:val="000000"/>
                <w:sz w:val="18"/>
                <w:szCs w:val="18"/>
                <w:lang w:val="en-NZ"/>
              </w:rPr>
            </w:pPr>
            <w:r>
              <w:rPr>
                <w:rFonts w:eastAsia="Calibri"/>
                <w:color w:val="000000"/>
                <w:sz w:val="18"/>
                <w:szCs w:val="18"/>
                <w:lang w:val="en-NZ"/>
              </w:rPr>
              <w:t>Harm groups (</w:t>
            </w:r>
            <w:proofErr w:type="spellStart"/>
            <w:r>
              <w:rPr>
                <w:rFonts w:eastAsia="Calibri"/>
                <w:color w:val="000000"/>
                <w:sz w:val="18"/>
                <w:szCs w:val="18"/>
                <w:lang w:val="en-NZ"/>
              </w:rPr>
              <w:t>MoH</w:t>
            </w:r>
            <w:proofErr w:type="spellEnd"/>
            <w:r>
              <w:rPr>
                <w:rFonts w:eastAsia="Calibri"/>
                <w:color w:val="000000"/>
                <w:sz w:val="18"/>
                <w:szCs w:val="18"/>
                <w:lang w:val="en-NZ"/>
              </w:rPr>
              <w:t>, HPA, service providers)</w:t>
            </w:r>
          </w:p>
        </w:tc>
        <w:tc>
          <w:tcPr>
            <w:tcW w:w="3402" w:type="dxa"/>
            <w:shd w:val="clear" w:color="auto" w:fill="DEEAF6" w:themeFill="accent1" w:themeFillTint="33"/>
          </w:tcPr>
          <w:p w14:paraId="4E9B85D9" w14:textId="4F161256" w:rsidR="00957CE1" w:rsidRPr="00047B2C" w:rsidRDefault="00957CE1" w:rsidP="00957CE1">
            <w:pPr>
              <w:pStyle w:val="TableText"/>
              <w:rPr>
                <w:rFonts w:eastAsia="Calibri"/>
                <w:sz w:val="18"/>
                <w:szCs w:val="18"/>
                <w:lang w:val="en-NZ"/>
              </w:rPr>
            </w:pPr>
            <w:r>
              <w:rPr>
                <w:rFonts w:eastAsia="Calibri"/>
                <w:sz w:val="18"/>
                <w:szCs w:val="18"/>
                <w:lang w:val="en-NZ"/>
              </w:rPr>
              <w:t>Decrease in harm minimisation treatment</w:t>
            </w:r>
            <w:r w:rsidR="00035ED5">
              <w:rPr>
                <w:rFonts w:eastAsia="Calibri"/>
                <w:sz w:val="18"/>
                <w:szCs w:val="18"/>
                <w:lang w:val="en-NZ"/>
              </w:rPr>
              <w:t xml:space="preserve"> in the long term (more people seeking help, earlier, will reduce </w:t>
            </w:r>
            <w:r w:rsidR="007A077E">
              <w:rPr>
                <w:rFonts w:eastAsia="Calibri"/>
                <w:sz w:val="18"/>
                <w:szCs w:val="18"/>
                <w:lang w:val="en-NZ"/>
              </w:rPr>
              <w:t xml:space="preserve">overall level and impact of </w:t>
            </w:r>
            <w:r w:rsidR="00035ED5">
              <w:rPr>
                <w:rFonts w:eastAsia="Calibri"/>
                <w:sz w:val="18"/>
                <w:szCs w:val="18"/>
                <w:lang w:val="en-NZ"/>
              </w:rPr>
              <w:t xml:space="preserve">harm </w:t>
            </w:r>
            <w:r>
              <w:rPr>
                <w:rFonts w:eastAsia="Calibri"/>
                <w:sz w:val="18"/>
                <w:szCs w:val="18"/>
                <w:lang w:val="en-NZ"/>
              </w:rPr>
              <w:t>[1 - 9]</w:t>
            </w:r>
          </w:p>
        </w:tc>
        <w:tc>
          <w:tcPr>
            <w:tcW w:w="1985" w:type="dxa"/>
            <w:shd w:val="clear" w:color="auto" w:fill="DEEAF6" w:themeFill="accent1" w:themeFillTint="33"/>
          </w:tcPr>
          <w:p w14:paraId="3F6AB1C5" w14:textId="06860A03" w:rsidR="00957CE1" w:rsidRPr="00047B2C" w:rsidRDefault="00957CE1" w:rsidP="00957CE1">
            <w:pPr>
              <w:pStyle w:val="TableText"/>
              <w:rPr>
                <w:rFonts w:eastAsia="Calibri"/>
                <w:sz w:val="18"/>
                <w:szCs w:val="18"/>
                <w:lang w:val="en-NZ"/>
              </w:rPr>
            </w:pPr>
            <w:r>
              <w:rPr>
                <w:rFonts w:eastAsia="Calibri"/>
                <w:sz w:val="18"/>
                <w:szCs w:val="18"/>
                <w:lang w:val="en-NZ"/>
              </w:rPr>
              <w:t>TBD</w:t>
            </w:r>
          </w:p>
        </w:tc>
        <w:tc>
          <w:tcPr>
            <w:tcW w:w="1843" w:type="dxa"/>
            <w:shd w:val="clear" w:color="auto" w:fill="DEEAF6" w:themeFill="accent1" w:themeFillTint="33"/>
          </w:tcPr>
          <w:p w14:paraId="7B32A788" w14:textId="0791AB2B" w:rsidR="00957CE1" w:rsidRPr="00047B2C" w:rsidRDefault="000E502E" w:rsidP="00957CE1">
            <w:pPr>
              <w:pStyle w:val="TableText"/>
              <w:rPr>
                <w:rFonts w:eastAsia="Calibri"/>
                <w:sz w:val="18"/>
                <w:szCs w:val="18"/>
                <w:lang w:val="en-NZ"/>
              </w:rPr>
            </w:pPr>
            <w:r>
              <w:rPr>
                <w:rFonts w:eastAsia="Calibri"/>
                <w:sz w:val="18"/>
                <w:szCs w:val="18"/>
                <w:lang w:val="en-NZ"/>
              </w:rPr>
              <w:t>Medium</w:t>
            </w:r>
          </w:p>
        </w:tc>
      </w:tr>
      <w:tr w:rsidR="00957CE1" w:rsidRPr="00047B2C" w14:paraId="68E09234" w14:textId="77777777" w:rsidTr="0016637D">
        <w:trPr>
          <w:trHeight w:val="263"/>
        </w:trPr>
        <w:tc>
          <w:tcPr>
            <w:tcW w:w="2263" w:type="dxa"/>
            <w:shd w:val="clear" w:color="auto" w:fill="DEEAF6" w:themeFill="accent1" w:themeFillTint="33"/>
          </w:tcPr>
          <w:p w14:paraId="37ED901F" w14:textId="19BB082B" w:rsidR="00957CE1" w:rsidRPr="00047B2C" w:rsidRDefault="00957CE1" w:rsidP="00957CE1">
            <w:pPr>
              <w:pStyle w:val="TableText"/>
              <w:rPr>
                <w:rFonts w:eastAsia="Calibri"/>
                <w:color w:val="000000"/>
                <w:sz w:val="18"/>
                <w:szCs w:val="18"/>
                <w:lang w:val="en-NZ"/>
              </w:rPr>
            </w:pPr>
            <w:r>
              <w:rPr>
                <w:rFonts w:eastAsia="Calibri"/>
                <w:color w:val="000000"/>
                <w:sz w:val="18"/>
                <w:szCs w:val="18"/>
                <w:lang w:val="en-NZ"/>
              </w:rPr>
              <w:t>Gamblers</w:t>
            </w:r>
          </w:p>
        </w:tc>
        <w:tc>
          <w:tcPr>
            <w:tcW w:w="3402" w:type="dxa"/>
            <w:shd w:val="clear" w:color="auto" w:fill="DEEAF6" w:themeFill="accent1" w:themeFillTint="33"/>
          </w:tcPr>
          <w:p w14:paraId="2FBEC177" w14:textId="6439D657" w:rsidR="00957CE1" w:rsidRPr="00047B2C" w:rsidRDefault="00957CE1" w:rsidP="00957CE1">
            <w:pPr>
              <w:pStyle w:val="TableText"/>
              <w:keepNext/>
              <w:rPr>
                <w:rFonts w:eastAsia="Calibri"/>
                <w:sz w:val="18"/>
                <w:szCs w:val="18"/>
                <w:lang w:val="en-NZ"/>
              </w:rPr>
            </w:pPr>
            <w:r>
              <w:rPr>
                <w:rFonts w:eastAsia="Calibri"/>
                <w:sz w:val="18"/>
                <w:szCs w:val="18"/>
                <w:lang w:val="en-NZ"/>
              </w:rPr>
              <w:t>Reduction in expenditure on harmful gambling, monies available for other uses [1 - 9]</w:t>
            </w:r>
          </w:p>
        </w:tc>
        <w:tc>
          <w:tcPr>
            <w:tcW w:w="1985" w:type="dxa"/>
            <w:shd w:val="clear" w:color="auto" w:fill="DEEAF6" w:themeFill="accent1" w:themeFillTint="33"/>
          </w:tcPr>
          <w:p w14:paraId="4410C1A8" w14:textId="7B737F75" w:rsidR="00957CE1" w:rsidRPr="00047B2C" w:rsidRDefault="00957CE1" w:rsidP="00957CE1">
            <w:pPr>
              <w:pStyle w:val="TableText"/>
              <w:rPr>
                <w:rFonts w:eastAsia="Calibri"/>
                <w:sz w:val="18"/>
                <w:szCs w:val="18"/>
                <w:lang w:val="en-NZ"/>
              </w:rPr>
            </w:pPr>
            <w:r>
              <w:rPr>
                <w:rFonts w:eastAsia="Calibri"/>
                <w:sz w:val="18"/>
                <w:szCs w:val="18"/>
                <w:lang w:val="en-NZ"/>
              </w:rPr>
              <w:t>TBD</w:t>
            </w:r>
          </w:p>
        </w:tc>
        <w:tc>
          <w:tcPr>
            <w:tcW w:w="1843" w:type="dxa"/>
            <w:shd w:val="clear" w:color="auto" w:fill="DEEAF6" w:themeFill="accent1" w:themeFillTint="33"/>
          </w:tcPr>
          <w:p w14:paraId="51E21230" w14:textId="5C82A956" w:rsidR="00957CE1" w:rsidRPr="00047B2C" w:rsidRDefault="000E502E" w:rsidP="00957CE1">
            <w:pPr>
              <w:pStyle w:val="TableText"/>
              <w:rPr>
                <w:rFonts w:eastAsia="Calibri"/>
                <w:sz w:val="18"/>
                <w:szCs w:val="18"/>
                <w:lang w:val="en-NZ"/>
              </w:rPr>
            </w:pPr>
            <w:r>
              <w:rPr>
                <w:rFonts w:eastAsia="Calibri"/>
                <w:sz w:val="18"/>
                <w:szCs w:val="18"/>
                <w:lang w:val="en-NZ"/>
              </w:rPr>
              <w:t>Medium</w:t>
            </w:r>
          </w:p>
        </w:tc>
      </w:tr>
      <w:tr w:rsidR="002C6886" w:rsidRPr="00047B2C" w14:paraId="0D746E99" w14:textId="77777777" w:rsidTr="0016637D">
        <w:trPr>
          <w:trHeight w:val="263"/>
        </w:trPr>
        <w:tc>
          <w:tcPr>
            <w:tcW w:w="2263" w:type="dxa"/>
            <w:shd w:val="clear" w:color="auto" w:fill="DEEAF6" w:themeFill="accent1" w:themeFillTint="33"/>
          </w:tcPr>
          <w:p w14:paraId="3048E150" w14:textId="6D6A6D3B" w:rsidR="002C6886" w:rsidRPr="00047B2C" w:rsidRDefault="002C6886" w:rsidP="002C6886">
            <w:pPr>
              <w:pStyle w:val="TableText"/>
              <w:rPr>
                <w:rFonts w:eastAsia="Calibri"/>
                <w:sz w:val="18"/>
                <w:szCs w:val="18"/>
                <w:lang w:val="en-NZ"/>
              </w:rPr>
            </w:pPr>
            <w:r w:rsidRPr="00047B2C">
              <w:rPr>
                <w:rFonts w:eastAsia="Calibri"/>
                <w:color w:val="000000"/>
                <w:sz w:val="18"/>
                <w:szCs w:val="18"/>
                <w:lang w:val="en-NZ"/>
              </w:rPr>
              <w:t xml:space="preserve">Others </w:t>
            </w:r>
          </w:p>
        </w:tc>
        <w:tc>
          <w:tcPr>
            <w:tcW w:w="3402" w:type="dxa"/>
            <w:shd w:val="clear" w:color="auto" w:fill="DEEAF6" w:themeFill="accent1" w:themeFillTint="33"/>
          </w:tcPr>
          <w:p w14:paraId="76F890C0" w14:textId="41158431" w:rsidR="002C6886" w:rsidRPr="00047B2C" w:rsidRDefault="003479B7" w:rsidP="002C6886">
            <w:pPr>
              <w:pStyle w:val="TableText"/>
              <w:rPr>
                <w:rFonts w:eastAsia="Calibri"/>
                <w:sz w:val="18"/>
                <w:szCs w:val="18"/>
                <w:lang w:val="en-NZ"/>
              </w:rPr>
            </w:pPr>
            <w:r>
              <w:rPr>
                <w:rFonts w:eastAsia="Calibri"/>
                <w:sz w:val="18"/>
                <w:szCs w:val="18"/>
                <w:lang w:val="en-NZ"/>
              </w:rPr>
              <w:t>-</w:t>
            </w:r>
          </w:p>
        </w:tc>
        <w:tc>
          <w:tcPr>
            <w:tcW w:w="1985" w:type="dxa"/>
            <w:shd w:val="clear" w:color="auto" w:fill="DEEAF6" w:themeFill="accent1" w:themeFillTint="33"/>
          </w:tcPr>
          <w:p w14:paraId="38D61C06" w14:textId="633C9EA6" w:rsidR="002C6886" w:rsidRPr="00047B2C" w:rsidRDefault="002C6886" w:rsidP="002C6886">
            <w:pPr>
              <w:pStyle w:val="TableText"/>
              <w:rPr>
                <w:rFonts w:eastAsia="Calibri"/>
                <w:sz w:val="18"/>
                <w:szCs w:val="18"/>
                <w:lang w:val="en-NZ"/>
              </w:rPr>
            </w:pPr>
            <w:r w:rsidRPr="0097491F">
              <w:rPr>
                <w:rFonts w:eastAsia="Calibri"/>
                <w:sz w:val="18"/>
                <w:szCs w:val="18"/>
                <w:lang w:val="en-NZ"/>
              </w:rPr>
              <w:t>-</w:t>
            </w:r>
          </w:p>
        </w:tc>
        <w:tc>
          <w:tcPr>
            <w:tcW w:w="1843" w:type="dxa"/>
            <w:shd w:val="clear" w:color="auto" w:fill="DEEAF6" w:themeFill="accent1" w:themeFillTint="33"/>
          </w:tcPr>
          <w:p w14:paraId="08FDD8D7" w14:textId="279F411D" w:rsidR="002C6886" w:rsidRPr="00047B2C" w:rsidRDefault="002C6886" w:rsidP="002C6886">
            <w:pPr>
              <w:pStyle w:val="TableText"/>
              <w:rPr>
                <w:rFonts w:eastAsia="Calibri"/>
                <w:sz w:val="18"/>
                <w:szCs w:val="18"/>
                <w:lang w:val="en-NZ"/>
              </w:rPr>
            </w:pPr>
            <w:r w:rsidRPr="00BF0A0A">
              <w:rPr>
                <w:rFonts w:eastAsia="Calibri"/>
                <w:sz w:val="18"/>
                <w:szCs w:val="18"/>
                <w:lang w:val="en-NZ"/>
              </w:rPr>
              <w:t>-</w:t>
            </w:r>
          </w:p>
        </w:tc>
      </w:tr>
      <w:tr w:rsidR="00A2767A" w:rsidRPr="00047B2C" w14:paraId="623BFD57" w14:textId="77777777" w:rsidTr="0016637D">
        <w:trPr>
          <w:trHeight w:val="263"/>
        </w:trPr>
        <w:tc>
          <w:tcPr>
            <w:tcW w:w="2263" w:type="dxa"/>
            <w:shd w:val="clear" w:color="auto" w:fill="DEEAF6" w:themeFill="accent1" w:themeFillTint="33"/>
          </w:tcPr>
          <w:p w14:paraId="46C3A9CA" w14:textId="77777777" w:rsidR="00A2767A" w:rsidRPr="00047B2C" w:rsidRDefault="00A2767A" w:rsidP="00A2767A">
            <w:pPr>
              <w:pStyle w:val="TableText"/>
              <w:rPr>
                <w:rFonts w:eastAsia="Calibri"/>
                <w:b/>
                <w:sz w:val="18"/>
                <w:szCs w:val="18"/>
                <w:lang w:val="en-NZ"/>
              </w:rPr>
            </w:pPr>
            <w:r w:rsidRPr="00047B2C">
              <w:rPr>
                <w:rFonts w:eastAsia="Calibri"/>
                <w:b/>
                <w:sz w:val="18"/>
                <w:szCs w:val="18"/>
                <w:lang w:val="en-NZ"/>
              </w:rPr>
              <w:lastRenderedPageBreak/>
              <w:t>Total monetised benefits</w:t>
            </w:r>
          </w:p>
        </w:tc>
        <w:tc>
          <w:tcPr>
            <w:tcW w:w="3402" w:type="dxa"/>
            <w:shd w:val="clear" w:color="auto" w:fill="DEEAF6" w:themeFill="accent1" w:themeFillTint="33"/>
          </w:tcPr>
          <w:p w14:paraId="5B558BCA" w14:textId="4EE74EB8" w:rsidR="00A2767A" w:rsidRPr="00A2767A" w:rsidRDefault="00A2767A" w:rsidP="00A2767A">
            <w:pPr>
              <w:pStyle w:val="TableText"/>
              <w:rPr>
                <w:rFonts w:eastAsia="Calibri"/>
                <w:b/>
                <w:sz w:val="18"/>
                <w:szCs w:val="18"/>
                <w:lang w:val="en-NZ"/>
              </w:rPr>
            </w:pPr>
            <w:r w:rsidRPr="00F17D31">
              <w:rPr>
                <w:rFonts w:eastAsia="Calibri"/>
                <w:b/>
                <w:sz w:val="18"/>
                <w:szCs w:val="18"/>
                <w:lang w:val="en-NZ"/>
              </w:rPr>
              <w:t>N/A</w:t>
            </w:r>
          </w:p>
        </w:tc>
        <w:tc>
          <w:tcPr>
            <w:tcW w:w="1985" w:type="dxa"/>
            <w:shd w:val="clear" w:color="auto" w:fill="DEEAF6" w:themeFill="accent1" w:themeFillTint="33"/>
          </w:tcPr>
          <w:p w14:paraId="7BE0A350" w14:textId="7F157EE1" w:rsidR="00A2767A" w:rsidRPr="00A2767A" w:rsidRDefault="00A2767A" w:rsidP="00A2767A">
            <w:pPr>
              <w:pStyle w:val="TableText"/>
              <w:rPr>
                <w:rFonts w:eastAsia="Calibri"/>
                <w:b/>
                <w:sz w:val="18"/>
                <w:szCs w:val="18"/>
                <w:lang w:val="en-NZ"/>
              </w:rPr>
            </w:pPr>
            <w:r w:rsidRPr="00F17D31">
              <w:rPr>
                <w:rFonts w:eastAsia="Calibri"/>
                <w:b/>
                <w:sz w:val="18"/>
                <w:szCs w:val="18"/>
                <w:lang w:val="en-NZ"/>
              </w:rPr>
              <w:t>Unknown</w:t>
            </w:r>
            <w:r w:rsidR="00FE6DFD">
              <w:rPr>
                <w:rFonts w:eastAsia="Calibri"/>
                <w:b/>
                <w:sz w:val="18"/>
                <w:szCs w:val="18"/>
                <w:lang w:val="en-NZ"/>
              </w:rPr>
              <w:t xml:space="preserve"> at present</w:t>
            </w:r>
          </w:p>
        </w:tc>
        <w:tc>
          <w:tcPr>
            <w:tcW w:w="1843" w:type="dxa"/>
            <w:shd w:val="clear" w:color="auto" w:fill="DEEAF6" w:themeFill="accent1" w:themeFillTint="33"/>
          </w:tcPr>
          <w:p w14:paraId="73E63995" w14:textId="50579B39" w:rsidR="00A2767A" w:rsidRPr="00A2767A" w:rsidRDefault="00A2767A" w:rsidP="00A2767A">
            <w:pPr>
              <w:pStyle w:val="TableText"/>
              <w:rPr>
                <w:rFonts w:eastAsia="Calibri"/>
                <w:b/>
                <w:sz w:val="18"/>
                <w:szCs w:val="18"/>
                <w:lang w:val="en-NZ"/>
              </w:rPr>
            </w:pPr>
            <w:r w:rsidRPr="00F17D31">
              <w:rPr>
                <w:rFonts w:eastAsia="Calibri"/>
                <w:b/>
                <w:sz w:val="18"/>
                <w:szCs w:val="18"/>
                <w:lang w:val="en-NZ"/>
              </w:rPr>
              <w:t>N/A</w:t>
            </w:r>
          </w:p>
        </w:tc>
      </w:tr>
      <w:tr w:rsidR="00875020" w:rsidRPr="00047B2C" w14:paraId="194AEAE8" w14:textId="77777777" w:rsidTr="0016637D">
        <w:trPr>
          <w:trHeight w:val="187"/>
        </w:trPr>
        <w:tc>
          <w:tcPr>
            <w:tcW w:w="2263" w:type="dxa"/>
            <w:vMerge w:val="restart"/>
            <w:shd w:val="clear" w:color="auto" w:fill="E2EFD9" w:themeFill="accent6" w:themeFillTint="33"/>
          </w:tcPr>
          <w:p w14:paraId="3272E852" w14:textId="364CD28C" w:rsidR="00875020" w:rsidRPr="00047B2C" w:rsidRDefault="00875020" w:rsidP="005139C3">
            <w:pPr>
              <w:pStyle w:val="TableText"/>
              <w:rPr>
                <w:rFonts w:eastAsia="Calibri"/>
                <w:b/>
                <w:sz w:val="18"/>
                <w:szCs w:val="18"/>
                <w:lang w:val="en-NZ"/>
              </w:rPr>
            </w:pPr>
            <w:r w:rsidRPr="00047B2C">
              <w:rPr>
                <w:rFonts w:eastAsia="Calibri"/>
                <w:b/>
                <w:sz w:val="18"/>
                <w:szCs w:val="18"/>
                <w:lang w:val="en-NZ"/>
              </w:rPr>
              <w:t>Non-monetised benefits</w:t>
            </w:r>
            <w:r w:rsidR="00E27AFE">
              <w:rPr>
                <w:rFonts w:eastAsia="Calibri"/>
                <w:b/>
                <w:sz w:val="18"/>
                <w:szCs w:val="18"/>
                <w:lang w:val="en-NZ"/>
              </w:rPr>
              <w:t xml:space="preserve"> (</w:t>
            </w:r>
            <w:r w:rsidR="00E27AFE" w:rsidRPr="00E27AFE">
              <w:rPr>
                <w:rFonts w:eastAsia="Calibri"/>
                <w:b/>
                <w:sz w:val="18"/>
                <w:szCs w:val="18"/>
                <w:lang w:val="en-NZ"/>
              </w:rPr>
              <w:t>burden of harm / quality of life indicators</w:t>
            </w:r>
            <w:r w:rsidR="00E27AFE" w:rsidRPr="00E27AFE">
              <w:rPr>
                <w:rFonts w:eastAsia="Calibri"/>
                <w:b/>
                <w:sz w:val="18"/>
                <w:szCs w:val="18"/>
                <w:lang w:val="en-NZ"/>
              </w:rPr>
              <w:t>)</w:t>
            </w:r>
          </w:p>
        </w:tc>
        <w:tc>
          <w:tcPr>
            <w:tcW w:w="3402" w:type="dxa"/>
            <w:shd w:val="clear" w:color="auto" w:fill="E2EFD9" w:themeFill="accent6" w:themeFillTint="33"/>
          </w:tcPr>
          <w:p w14:paraId="7D4752F9" w14:textId="0835DD5B" w:rsidR="00875020" w:rsidRPr="00047B2C" w:rsidRDefault="00875020" w:rsidP="00875020">
            <w:pPr>
              <w:pStyle w:val="TableText"/>
              <w:rPr>
                <w:rFonts w:eastAsia="Calibri"/>
                <w:sz w:val="18"/>
                <w:szCs w:val="18"/>
                <w:lang w:val="en-NZ"/>
              </w:rPr>
            </w:pPr>
            <w:r>
              <w:rPr>
                <w:rFonts w:eastAsia="Calibri"/>
                <w:sz w:val="18"/>
                <w:szCs w:val="18"/>
                <w:lang w:val="en-NZ"/>
              </w:rPr>
              <w:t xml:space="preserve">Reduction in </w:t>
            </w:r>
            <w:r w:rsidR="00F17D31">
              <w:rPr>
                <w:rFonts w:eastAsia="Calibri"/>
                <w:sz w:val="18"/>
                <w:szCs w:val="18"/>
                <w:lang w:val="en-NZ"/>
              </w:rPr>
              <w:t xml:space="preserve">individuals </w:t>
            </w:r>
            <w:r w:rsidR="00A2767A">
              <w:rPr>
                <w:rFonts w:eastAsia="Calibri"/>
                <w:sz w:val="18"/>
                <w:szCs w:val="18"/>
                <w:lang w:val="en-NZ"/>
              </w:rPr>
              <w:t>experiencing harmful gambling.</w:t>
            </w:r>
          </w:p>
        </w:tc>
        <w:tc>
          <w:tcPr>
            <w:tcW w:w="1985" w:type="dxa"/>
            <w:shd w:val="clear" w:color="auto" w:fill="E2EFD9" w:themeFill="accent6" w:themeFillTint="33"/>
          </w:tcPr>
          <w:p w14:paraId="34471BB6" w14:textId="24367B77" w:rsidR="00875020" w:rsidRPr="00A2767A" w:rsidRDefault="00F17D31" w:rsidP="005139C3">
            <w:pPr>
              <w:pStyle w:val="TableText"/>
              <w:rPr>
                <w:rFonts w:eastAsia="Calibri"/>
                <w:sz w:val="18"/>
                <w:szCs w:val="18"/>
                <w:lang w:val="en-NZ"/>
              </w:rPr>
            </w:pPr>
            <w:r w:rsidRPr="00A2767A">
              <w:rPr>
                <w:rFonts w:eastAsia="Calibri"/>
                <w:sz w:val="18"/>
                <w:szCs w:val="18"/>
                <w:lang w:val="en-NZ"/>
              </w:rPr>
              <w:t>Medium</w:t>
            </w:r>
          </w:p>
        </w:tc>
        <w:tc>
          <w:tcPr>
            <w:tcW w:w="1843" w:type="dxa"/>
            <w:shd w:val="clear" w:color="auto" w:fill="E2EFD9" w:themeFill="accent6" w:themeFillTint="33"/>
          </w:tcPr>
          <w:p w14:paraId="26FED555" w14:textId="7E4D3D5B" w:rsidR="00875020" w:rsidRPr="00A2767A" w:rsidRDefault="00A2767A" w:rsidP="005139C3">
            <w:pPr>
              <w:pStyle w:val="TableText"/>
              <w:rPr>
                <w:rFonts w:eastAsia="Calibri"/>
                <w:sz w:val="18"/>
                <w:szCs w:val="18"/>
                <w:lang w:val="en-NZ"/>
              </w:rPr>
            </w:pPr>
            <w:r w:rsidRPr="00A2767A">
              <w:rPr>
                <w:rFonts w:eastAsia="Calibri"/>
                <w:sz w:val="18"/>
                <w:szCs w:val="18"/>
                <w:lang w:val="en-NZ"/>
              </w:rPr>
              <w:t xml:space="preserve">Medium </w:t>
            </w:r>
          </w:p>
        </w:tc>
      </w:tr>
      <w:tr w:rsidR="00F17D31" w:rsidRPr="00047B2C" w14:paraId="5A99CBB4" w14:textId="77777777" w:rsidTr="0016637D">
        <w:trPr>
          <w:trHeight w:val="187"/>
        </w:trPr>
        <w:tc>
          <w:tcPr>
            <w:tcW w:w="2263" w:type="dxa"/>
            <w:vMerge/>
            <w:shd w:val="clear" w:color="auto" w:fill="E2EFD9" w:themeFill="accent6" w:themeFillTint="33"/>
          </w:tcPr>
          <w:p w14:paraId="1DC94317" w14:textId="77777777" w:rsidR="00F17D31" w:rsidRPr="00047B2C" w:rsidRDefault="00F17D31" w:rsidP="00F17D31">
            <w:pPr>
              <w:pStyle w:val="TableText"/>
              <w:rPr>
                <w:rFonts w:eastAsia="Calibri"/>
                <w:b/>
                <w:sz w:val="18"/>
                <w:szCs w:val="18"/>
                <w:lang w:val="en-NZ"/>
              </w:rPr>
            </w:pPr>
          </w:p>
        </w:tc>
        <w:tc>
          <w:tcPr>
            <w:tcW w:w="3402" w:type="dxa"/>
            <w:shd w:val="clear" w:color="auto" w:fill="E2EFD9" w:themeFill="accent6" w:themeFillTint="33"/>
          </w:tcPr>
          <w:p w14:paraId="4D1F8B97" w14:textId="451F4505" w:rsidR="00F17D31" w:rsidRDefault="00F17D31" w:rsidP="00F17D31">
            <w:pPr>
              <w:pStyle w:val="TableText"/>
              <w:rPr>
                <w:rFonts w:eastAsia="Calibri"/>
                <w:sz w:val="18"/>
                <w:szCs w:val="18"/>
                <w:lang w:val="en-NZ"/>
              </w:rPr>
            </w:pPr>
            <w:r>
              <w:rPr>
                <w:rFonts w:eastAsia="Calibri"/>
                <w:sz w:val="18"/>
                <w:szCs w:val="18"/>
                <w:lang w:val="en-NZ"/>
              </w:rPr>
              <w:t>Reduction in second hand harm in the community.</w:t>
            </w:r>
          </w:p>
        </w:tc>
        <w:tc>
          <w:tcPr>
            <w:tcW w:w="1985" w:type="dxa"/>
            <w:shd w:val="clear" w:color="auto" w:fill="E2EFD9" w:themeFill="accent6" w:themeFillTint="33"/>
          </w:tcPr>
          <w:p w14:paraId="4E3B0F93" w14:textId="5BA7A3E9" w:rsidR="00F17D31" w:rsidRPr="00A2767A" w:rsidRDefault="00F17D31" w:rsidP="00F17D31">
            <w:pPr>
              <w:pStyle w:val="TableText"/>
              <w:rPr>
                <w:rFonts w:eastAsia="Calibri"/>
                <w:sz w:val="18"/>
                <w:szCs w:val="18"/>
                <w:lang w:val="en-NZ"/>
              </w:rPr>
            </w:pPr>
            <w:r w:rsidRPr="00A2767A">
              <w:rPr>
                <w:rFonts w:eastAsia="Calibri"/>
                <w:sz w:val="18"/>
                <w:szCs w:val="18"/>
                <w:lang w:val="en-NZ"/>
              </w:rPr>
              <w:t>Medium</w:t>
            </w:r>
          </w:p>
        </w:tc>
        <w:tc>
          <w:tcPr>
            <w:tcW w:w="1843" w:type="dxa"/>
            <w:shd w:val="clear" w:color="auto" w:fill="E2EFD9" w:themeFill="accent6" w:themeFillTint="33"/>
          </w:tcPr>
          <w:p w14:paraId="4AD14D93" w14:textId="60B5E5B2" w:rsidR="00F17D31" w:rsidRPr="00A2767A" w:rsidRDefault="00A2767A" w:rsidP="00F17D31">
            <w:pPr>
              <w:pStyle w:val="TableText"/>
              <w:rPr>
                <w:rFonts w:eastAsia="Calibri"/>
                <w:sz w:val="18"/>
                <w:szCs w:val="18"/>
                <w:lang w:val="en-NZ"/>
              </w:rPr>
            </w:pPr>
            <w:r w:rsidRPr="00A2767A">
              <w:rPr>
                <w:rFonts w:eastAsia="Calibri"/>
                <w:sz w:val="18"/>
                <w:szCs w:val="18"/>
                <w:lang w:val="en-NZ"/>
              </w:rPr>
              <w:t>Medium</w:t>
            </w:r>
          </w:p>
        </w:tc>
      </w:tr>
      <w:tr w:rsidR="00957CE1" w:rsidRPr="00047B2C" w14:paraId="34CEF932" w14:textId="77777777" w:rsidTr="0016637D">
        <w:trPr>
          <w:trHeight w:val="302"/>
        </w:trPr>
        <w:tc>
          <w:tcPr>
            <w:tcW w:w="2263" w:type="dxa"/>
            <w:vMerge/>
            <w:shd w:val="clear" w:color="auto" w:fill="E2EFD9" w:themeFill="accent6" w:themeFillTint="33"/>
          </w:tcPr>
          <w:p w14:paraId="7E28CD5B" w14:textId="77777777" w:rsidR="00957CE1" w:rsidRPr="00047B2C" w:rsidRDefault="00957CE1" w:rsidP="005139C3">
            <w:pPr>
              <w:pStyle w:val="TableText"/>
              <w:rPr>
                <w:rFonts w:eastAsia="Calibri"/>
                <w:b/>
                <w:sz w:val="18"/>
                <w:szCs w:val="18"/>
                <w:lang w:val="en-NZ"/>
              </w:rPr>
            </w:pPr>
          </w:p>
        </w:tc>
        <w:tc>
          <w:tcPr>
            <w:tcW w:w="3402" w:type="dxa"/>
            <w:shd w:val="clear" w:color="auto" w:fill="E2EFD9" w:themeFill="accent6" w:themeFillTint="33"/>
          </w:tcPr>
          <w:p w14:paraId="7E5B09FA" w14:textId="2A1C437E" w:rsidR="00957CE1" w:rsidRDefault="00957CE1" w:rsidP="00875020">
            <w:pPr>
              <w:pStyle w:val="TableText"/>
              <w:rPr>
                <w:rFonts w:eastAsia="Calibri"/>
                <w:sz w:val="18"/>
                <w:szCs w:val="18"/>
                <w:lang w:val="en-NZ"/>
              </w:rPr>
            </w:pPr>
            <w:r>
              <w:rPr>
                <w:rFonts w:eastAsia="Calibri"/>
                <w:sz w:val="18"/>
                <w:szCs w:val="18"/>
                <w:lang w:val="en-NZ"/>
              </w:rPr>
              <w:t>Clear directives will make it easier to monitor and record compliance, and so increase likelihood of successful prosecution for non-compliance</w:t>
            </w:r>
          </w:p>
        </w:tc>
        <w:tc>
          <w:tcPr>
            <w:tcW w:w="1985" w:type="dxa"/>
            <w:shd w:val="clear" w:color="auto" w:fill="E2EFD9" w:themeFill="accent6" w:themeFillTint="33"/>
          </w:tcPr>
          <w:p w14:paraId="059AA7A5" w14:textId="39F2712F" w:rsidR="00957CE1" w:rsidRDefault="00957CE1" w:rsidP="005139C3">
            <w:pPr>
              <w:pStyle w:val="TableText"/>
              <w:rPr>
                <w:rFonts w:eastAsia="Calibri"/>
                <w:sz w:val="18"/>
                <w:szCs w:val="18"/>
                <w:lang w:val="en-NZ"/>
              </w:rPr>
            </w:pPr>
            <w:r>
              <w:rPr>
                <w:rFonts w:eastAsia="Calibri"/>
                <w:sz w:val="18"/>
                <w:szCs w:val="18"/>
                <w:lang w:val="en-NZ"/>
              </w:rPr>
              <w:t>High</w:t>
            </w:r>
          </w:p>
        </w:tc>
        <w:tc>
          <w:tcPr>
            <w:tcW w:w="1843" w:type="dxa"/>
            <w:shd w:val="clear" w:color="auto" w:fill="E2EFD9" w:themeFill="accent6" w:themeFillTint="33"/>
          </w:tcPr>
          <w:p w14:paraId="191E271B" w14:textId="77AB4EAB" w:rsidR="00957CE1" w:rsidRPr="00A2767A" w:rsidRDefault="000E502E" w:rsidP="005139C3">
            <w:pPr>
              <w:pStyle w:val="TableText"/>
              <w:rPr>
                <w:rFonts w:eastAsia="Calibri"/>
                <w:sz w:val="18"/>
                <w:szCs w:val="18"/>
                <w:lang w:val="en-NZ"/>
              </w:rPr>
            </w:pPr>
            <w:r w:rsidRPr="00A2767A">
              <w:rPr>
                <w:rFonts w:eastAsia="Calibri"/>
                <w:sz w:val="18"/>
                <w:szCs w:val="18"/>
                <w:lang w:val="en-NZ"/>
              </w:rPr>
              <w:t>Medium</w:t>
            </w:r>
          </w:p>
        </w:tc>
      </w:tr>
      <w:tr w:rsidR="00875020" w:rsidRPr="00047B2C" w14:paraId="52105DD3" w14:textId="77777777" w:rsidTr="0016637D">
        <w:trPr>
          <w:trHeight w:val="302"/>
        </w:trPr>
        <w:tc>
          <w:tcPr>
            <w:tcW w:w="2263" w:type="dxa"/>
            <w:vMerge/>
            <w:shd w:val="clear" w:color="auto" w:fill="E2EFD9" w:themeFill="accent6" w:themeFillTint="33"/>
          </w:tcPr>
          <w:p w14:paraId="4DE75472" w14:textId="77777777" w:rsidR="00875020" w:rsidRPr="00047B2C" w:rsidRDefault="00875020" w:rsidP="005139C3">
            <w:pPr>
              <w:pStyle w:val="TableText"/>
              <w:rPr>
                <w:rFonts w:eastAsia="Calibri"/>
                <w:b/>
                <w:sz w:val="18"/>
                <w:szCs w:val="18"/>
                <w:lang w:val="en-NZ"/>
              </w:rPr>
            </w:pPr>
          </w:p>
        </w:tc>
        <w:tc>
          <w:tcPr>
            <w:tcW w:w="3402" w:type="dxa"/>
            <w:shd w:val="clear" w:color="auto" w:fill="E2EFD9" w:themeFill="accent6" w:themeFillTint="33"/>
          </w:tcPr>
          <w:p w14:paraId="3E9F7CD8" w14:textId="1C4F454D" w:rsidR="00875020" w:rsidRDefault="00875020" w:rsidP="00875020">
            <w:pPr>
              <w:pStyle w:val="TableText"/>
              <w:rPr>
                <w:rFonts w:eastAsia="Calibri"/>
                <w:sz w:val="18"/>
                <w:szCs w:val="18"/>
                <w:lang w:val="en-NZ"/>
              </w:rPr>
            </w:pPr>
            <w:r>
              <w:rPr>
                <w:rFonts w:eastAsia="Calibri"/>
                <w:sz w:val="18"/>
                <w:szCs w:val="18"/>
                <w:lang w:val="en-NZ"/>
              </w:rPr>
              <w:t>Venue staff feel encouraged and empowered to intervene.</w:t>
            </w:r>
          </w:p>
        </w:tc>
        <w:tc>
          <w:tcPr>
            <w:tcW w:w="1985" w:type="dxa"/>
            <w:shd w:val="clear" w:color="auto" w:fill="E2EFD9" w:themeFill="accent6" w:themeFillTint="33"/>
          </w:tcPr>
          <w:p w14:paraId="078545BC" w14:textId="0F771822" w:rsidR="00875020" w:rsidRPr="00A2767A" w:rsidRDefault="00957CE1" w:rsidP="005139C3">
            <w:pPr>
              <w:pStyle w:val="TableText"/>
              <w:rPr>
                <w:rFonts w:eastAsia="Calibri"/>
                <w:sz w:val="18"/>
                <w:szCs w:val="18"/>
                <w:lang w:val="en-NZ"/>
              </w:rPr>
            </w:pPr>
            <w:r>
              <w:rPr>
                <w:rFonts w:eastAsia="Calibri"/>
                <w:sz w:val="18"/>
                <w:szCs w:val="18"/>
                <w:lang w:val="en-NZ"/>
              </w:rPr>
              <w:t>Medium</w:t>
            </w:r>
          </w:p>
        </w:tc>
        <w:tc>
          <w:tcPr>
            <w:tcW w:w="1843" w:type="dxa"/>
            <w:shd w:val="clear" w:color="auto" w:fill="E2EFD9" w:themeFill="accent6" w:themeFillTint="33"/>
          </w:tcPr>
          <w:p w14:paraId="1ED0F9EB" w14:textId="3D39D134" w:rsidR="00875020" w:rsidRPr="00A2767A" w:rsidRDefault="00A2767A" w:rsidP="005139C3">
            <w:pPr>
              <w:pStyle w:val="TableText"/>
              <w:rPr>
                <w:rFonts w:eastAsia="Calibri"/>
                <w:sz w:val="18"/>
                <w:szCs w:val="18"/>
                <w:lang w:val="en-NZ"/>
              </w:rPr>
            </w:pPr>
            <w:r w:rsidRPr="00A2767A">
              <w:rPr>
                <w:rFonts w:eastAsia="Calibri"/>
                <w:sz w:val="18"/>
                <w:szCs w:val="18"/>
                <w:lang w:val="en-NZ"/>
              </w:rPr>
              <w:t>Medium</w:t>
            </w:r>
          </w:p>
        </w:tc>
      </w:tr>
      <w:tr w:rsidR="00875020" w:rsidRPr="00047B2C" w14:paraId="39971598" w14:textId="77777777" w:rsidTr="0016637D">
        <w:trPr>
          <w:trHeight w:val="187"/>
        </w:trPr>
        <w:tc>
          <w:tcPr>
            <w:tcW w:w="2263" w:type="dxa"/>
            <w:vMerge/>
            <w:shd w:val="clear" w:color="auto" w:fill="E2EFD9" w:themeFill="accent6" w:themeFillTint="33"/>
          </w:tcPr>
          <w:p w14:paraId="789FDE4B" w14:textId="77777777" w:rsidR="00875020" w:rsidRPr="00047B2C" w:rsidRDefault="00875020" w:rsidP="005139C3">
            <w:pPr>
              <w:pStyle w:val="TableText"/>
              <w:rPr>
                <w:rFonts w:eastAsia="Calibri"/>
                <w:b/>
                <w:sz w:val="18"/>
                <w:szCs w:val="18"/>
                <w:lang w:val="en-NZ"/>
              </w:rPr>
            </w:pPr>
          </w:p>
        </w:tc>
        <w:tc>
          <w:tcPr>
            <w:tcW w:w="3402" w:type="dxa"/>
            <w:shd w:val="clear" w:color="auto" w:fill="E2EFD9" w:themeFill="accent6" w:themeFillTint="33"/>
          </w:tcPr>
          <w:p w14:paraId="281FDA29" w14:textId="7344067A" w:rsidR="00875020" w:rsidRDefault="00875020" w:rsidP="005139C3">
            <w:pPr>
              <w:pStyle w:val="TableText"/>
              <w:rPr>
                <w:rFonts w:eastAsia="Calibri"/>
                <w:sz w:val="18"/>
                <w:szCs w:val="18"/>
                <w:lang w:val="en-NZ"/>
              </w:rPr>
            </w:pPr>
            <w:r>
              <w:rPr>
                <w:rFonts w:eastAsia="Calibri"/>
                <w:sz w:val="18"/>
                <w:szCs w:val="18"/>
                <w:lang w:val="en-NZ"/>
              </w:rPr>
              <w:t xml:space="preserve">Safer environment for people choosing to gamble </w:t>
            </w:r>
          </w:p>
        </w:tc>
        <w:tc>
          <w:tcPr>
            <w:tcW w:w="1985" w:type="dxa"/>
            <w:shd w:val="clear" w:color="auto" w:fill="E2EFD9" w:themeFill="accent6" w:themeFillTint="33"/>
          </w:tcPr>
          <w:p w14:paraId="6901148F" w14:textId="6C5AD186" w:rsidR="00875020" w:rsidRPr="00A2767A" w:rsidRDefault="00F17D31" w:rsidP="005139C3">
            <w:pPr>
              <w:pStyle w:val="TableText"/>
              <w:rPr>
                <w:rFonts w:eastAsia="Calibri"/>
                <w:sz w:val="18"/>
                <w:szCs w:val="18"/>
                <w:lang w:val="en-NZ"/>
              </w:rPr>
            </w:pPr>
            <w:r w:rsidRPr="00A2767A">
              <w:rPr>
                <w:rFonts w:eastAsia="Calibri"/>
                <w:sz w:val="18"/>
                <w:szCs w:val="18"/>
                <w:lang w:val="en-NZ"/>
              </w:rPr>
              <w:t>Medium</w:t>
            </w:r>
          </w:p>
        </w:tc>
        <w:tc>
          <w:tcPr>
            <w:tcW w:w="1843" w:type="dxa"/>
            <w:shd w:val="clear" w:color="auto" w:fill="E2EFD9" w:themeFill="accent6" w:themeFillTint="33"/>
          </w:tcPr>
          <w:p w14:paraId="697E9E98" w14:textId="6E1B952D" w:rsidR="00875020" w:rsidRPr="00A2767A" w:rsidRDefault="00A2767A" w:rsidP="005139C3">
            <w:pPr>
              <w:pStyle w:val="TableText"/>
              <w:rPr>
                <w:rFonts w:eastAsia="Calibri"/>
                <w:sz w:val="18"/>
                <w:szCs w:val="18"/>
                <w:lang w:val="en-NZ"/>
              </w:rPr>
            </w:pPr>
            <w:r w:rsidRPr="00A2767A">
              <w:rPr>
                <w:rFonts w:eastAsia="Calibri"/>
                <w:sz w:val="18"/>
                <w:szCs w:val="18"/>
                <w:lang w:val="en-NZ"/>
              </w:rPr>
              <w:t>Medium</w:t>
            </w:r>
          </w:p>
        </w:tc>
      </w:tr>
    </w:tbl>
    <w:p w14:paraId="2331A07C" w14:textId="312BACA5" w:rsidR="004405A8" w:rsidRPr="00710E6D" w:rsidRDefault="004405A8" w:rsidP="009279F9">
      <w:pPr>
        <w:spacing w:after="0" w:line="240" w:lineRule="auto"/>
        <w:rPr>
          <w:sz w:val="10"/>
          <w:szCs w:val="10"/>
          <w:lang w:val="en-NZ"/>
        </w:rPr>
      </w:pPr>
    </w:p>
    <w:tbl>
      <w:tblPr>
        <w:tblpPr w:leftFromText="180" w:rightFromText="180" w:vertAnchor="text" w:horzAnchor="margin" w:tblpY="12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402"/>
        <w:gridCol w:w="1985"/>
        <w:gridCol w:w="1843"/>
      </w:tblGrid>
      <w:tr w:rsidR="00F17D31" w:rsidRPr="00047B2C" w14:paraId="0A75B238" w14:textId="77777777" w:rsidTr="00710E6D">
        <w:trPr>
          <w:trHeight w:val="271"/>
        </w:trPr>
        <w:tc>
          <w:tcPr>
            <w:tcW w:w="9493" w:type="dxa"/>
            <w:gridSpan w:val="4"/>
            <w:shd w:val="clear" w:color="auto" w:fill="000000" w:themeFill="text1"/>
          </w:tcPr>
          <w:p w14:paraId="2C566BE3" w14:textId="31DB6867" w:rsidR="00F17D31" w:rsidRPr="00047B2C" w:rsidRDefault="00F17D31" w:rsidP="00957CE1">
            <w:pPr>
              <w:pStyle w:val="TableText"/>
              <w:keepNext/>
              <w:rPr>
                <w:rFonts w:eastAsia="Calibri"/>
                <w:b/>
                <w:color w:val="000000"/>
                <w:sz w:val="18"/>
                <w:szCs w:val="18"/>
                <w:lang w:val="en-NZ"/>
              </w:rPr>
            </w:pPr>
            <w:r w:rsidRPr="005872B2">
              <w:rPr>
                <w:rFonts w:cstheme="minorBidi"/>
                <w:b/>
                <w:sz w:val="18"/>
                <w:szCs w:val="18"/>
                <w:lang w:val="en-NZ"/>
              </w:rPr>
              <w:t xml:space="preserve">Part </w:t>
            </w:r>
            <w:r>
              <w:rPr>
                <w:rFonts w:cstheme="minorBidi"/>
                <w:b/>
                <w:sz w:val="18"/>
                <w:szCs w:val="18"/>
                <w:lang w:val="en-NZ"/>
              </w:rPr>
              <w:t>B</w:t>
            </w:r>
            <w:r w:rsidRPr="005872B2">
              <w:rPr>
                <w:rFonts w:cstheme="minorBidi"/>
                <w:b/>
                <w:sz w:val="18"/>
                <w:szCs w:val="18"/>
                <w:lang w:val="en-NZ"/>
              </w:rPr>
              <w:t xml:space="preserve"> – The </w:t>
            </w:r>
            <w:r>
              <w:rPr>
                <w:rFonts w:cstheme="minorBidi"/>
                <w:b/>
                <w:sz w:val="18"/>
                <w:szCs w:val="18"/>
                <w:lang w:val="en-NZ"/>
              </w:rPr>
              <w:t>Machine</w:t>
            </w:r>
          </w:p>
        </w:tc>
      </w:tr>
      <w:tr w:rsidR="00F17D31" w:rsidRPr="00047B2C" w14:paraId="683F84EB" w14:textId="77777777" w:rsidTr="00710E6D">
        <w:trPr>
          <w:trHeight w:val="762"/>
        </w:trPr>
        <w:tc>
          <w:tcPr>
            <w:tcW w:w="9493" w:type="dxa"/>
            <w:gridSpan w:val="4"/>
            <w:shd w:val="clear" w:color="auto" w:fill="FFFFFF" w:themeFill="background1"/>
          </w:tcPr>
          <w:p w14:paraId="0CD38BD2" w14:textId="77777777" w:rsidR="00F17D31" w:rsidRPr="00F17D31" w:rsidRDefault="00F17D31" w:rsidP="00710E6D">
            <w:pPr>
              <w:pStyle w:val="TableText"/>
              <w:keepNext/>
              <w:spacing w:before="40" w:after="20" w:line="240" w:lineRule="auto"/>
              <w:ind w:left="312" w:hanging="312"/>
              <w:rPr>
                <w:rFonts w:eastAsia="Calibri"/>
                <w:sz w:val="18"/>
                <w:szCs w:val="18"/>
                <w:lang w:val="en-NZ"/>
              </w:rPr>
            </w:pPr>
            <w:r w:rsidRPr="00F17D31">
              <w:rPr>
                <w:rFonts w:eastAsia="Calibri"/>
                <w:sz w:val="18"/>
                <w:szCs w:val="18"/>
                <w:lang w:val="en-NZ"/>
              </w:rPr>
              <w:t>1.</w:t>
            </w:r>
            <w:r w:rsidRPr="00F17D31">
              <w:rPr>
                <w:rFonts w:eastAsia="Calibri"/>
                <w:sz w:val="18"/>
                <w:szCs w:val="18"/>
                <w:lang w:val="en-NZ"/>
              </w:rPr>
              <w:tab/>
              <w:t>Pokies machines could be required to display more information</w:t>
            </w:r>
          </w:p>
          <w:p w14:paraId="2AA7B8DA" w14:textId="77777777" w:rsidR="00F17D31" w:rsidRPr="00F17D31" w:rsidRDefault="00F17D31" w:rsidP="00710E6D">
            <w:pPr>
              <w:pStyle w:val="TableText"/>
              <w:keepNext/>
              <w:spacing w:before="20" w:after="20" w:line="240" w:lineRule="auto"/>
              <w:ind w:left="312" w:hanging="312"/>
              <w:rPr>
                <w:rFonts w:eastAsia="Calibri"/>
                <w:sz w:val="18"/>
                <w:szCs w:val="18"/>
                <w:lang w:val="en-NZ"/>
              </w:rPr>
            </w:pPr>
            <w:r w:rsidRPr="00F17D31">
              <w:rPr>
                <w:rFonts w:eastAsia="Calibri"/>
                <w:sz w:val="18"/>
                <w:szCs w:val="18"/>
                <w:lang w:val="en-NZ"/>
              </w:rPr>
              <w:t>2.</w:t>
            </w:r>
            <w:r w:rsidRPr="00F17D31">
              <w:rPr>
                <w:rFonts w:eastAsia="Calibri"/>
                <w:sz w:val="18"/>
                <w:szCs w:val="18"/>
                <w:lang w:val="en-NZ"/>
              </w:rPr>
              <w:tab/>
              <w:t>Mandatory pre-commitment on machines</w:t>
            </w:r>
          </w:p>
          <w:p w14:paraId="7F6B5A8F" w14:textId="77777777" w:rsidR="00F17D31" w:rsidRPr="00F17D31" w:rsidRDefault="00F17D31" w:rsidP="00710E6D">
            <w:pPr>
              <w:pStyle w:val="TableText"/>
              <w:keepNext/>
              <w:spacing w:before="20" w:after="20" w:line="240" w:lineRule="auto"/>
              <w:ind w:left="312" w:hanging="312"/>
              <w:rPr>
                <w:rFonts w:eastAsia="Calibri"/>
                <w:sz w:val="18"/>
                <w:szCs w:val="18"/>
                <w:lang w:val="en-NZ"/>
              </w:rPr>
            </w:pPr>
            <w:r w:rsidRPr="00F17D31">
              <w:rPr>
                <w:rFonts w:eastAsia="Calibri"/>
                <w:sz w:val="18"/>
                <w:szCs w:val="18"/>
                <w:lang w:val="en-NZ"/>
              </w:rPr>
              <w:t>3.</w:t>
            </w:r>
            <w:r w:rsidRPr="00F17D31">
              <w:rPr>
                <w:rFonts w:eastAsia="Calibri"/>
                <w:sz w:val="18"/>
                <w:szCs w:val="18"/>
                <w:lang w:val="en-NZ"/>
              </w:rPr>
              <w:tab/>
              <w:t>Display losses as losses</w:t>
            </w:r>
          </w:p>
          <w:p w14:paraId="547E1835" w14:textId="77777777" w:rsidR="00F17D31" w:rsidRPr="00F17D31" w:rsidRDefault="00F17D31" w:rsidP="00710E6D">
            <w:pPr>
              <w:pStyle w:val="TableText"/>
              <w:keepNext/>
              <w:spacing w:before="20" w:after="20" w:line="240" w:lineRule="auto"/>
              <w:ind w:left="312" w:hanging="312"/>
              <w:rPr>
                <w:rFonts w:eastAsia="Calibri"/>
                <w:sz w:val="18"/>
                <w:szCs w:val="18"/>
                <w:lang w:val="en-NZ"/>
              </w:rPr>
            </w:pPr>
            <w:r w:rsidRPr="00F17D31">
              <w:rPr>
                <w:rFonts w:eastAsia="Calibri"/>
                <w:sz w:val="18"/>
                <w:szCs w:val="18"/>
                <w:lang w:val="en-NZ"/>
              </w:rPr>
              <w:t>4.</w:t>
            </w:r>
            <w:r w:rsidRPr="00F17D31">
              <w:rPr>
                <w:rFonts w:eastAsia="Calibri"/>
                <w:sz w:val="18"/>
                <w:szCs w:val="18"/>
                <w:lang w:val="en-NZ"/>
              </w:rPr>
              <w:tab/>
              <w:t>Prevent the ability to make multi-row bets</w:t>
            </w:r>
          </w:p>
          <w:p w14:paraId="047397A1" w14:textId="77777777" w:rsidR="00F17D31" w:rsidRPr="00F17D31" w:rsidRDefault="00F17D31" w:rsidP="00710E6D">
            <w:pPr>
              <w:pStyle w:val="TableText"/>
              <w:keepNext/>
              <w:spacing w:before="20" w:after="20" w:line="240" w:lineRule="auto"/>
              <w:ind w:left="312" w:hanging="312"/>
              <w:rPr>
                <w:rFonts w:eastAsia="Calibri"/>
                <w:sz w:val="18"/>
                <w:szCs w:val="18"/>
                <w:lang w:val="en-NZ"/>
              </w:rPr>
            </w:pPr>
            <w:r w:rsidRPr="00F17D31">
              <w:rPr>
                <w:rFonts w:eastAsia="Calibri"/>
                <w:sz w:val="18"/>
                <w:szCs w:val="18"/>
                <w:lang w:val="en-NZ"/>
              </w:rPr>
              <w:t>5.</w:t>
            </w:r>
            <w:r w:rsidRPr="00F17D31">
              <w:rPr>
                <w:rFonts w:eastAsia="Calibri"/>
                <w:sz w:val="18"/>
                <w:szCs w:val="18"/>
                <w:lang w:val="en-NZ"/>
              </w:rPr>
              <w:tab/>
              <w:t>Reduce maximum stake of $2.50</w:t>
            </w:r>
          </w:p>
          <w:p w14:paraId="618C9DF4" w14:textId="77777777" w:rsidR="00F17D31" w:rsidRPr="00F17D31" w:rsidRDefault="00F17D31" w:rsidP="00710E6D">
            <w:pPr>
              <w:pStyle w:val="TableText"/>
              <w:keepNext/>
              <w:spacing w:before="20" w:after="20" w:line="240" w:lineRule="auto"/>
              <w:ind w:left="312" w:hanging="312"/>
              <w:rPr>
                <w:rFonts w:eastAsia="Calibri"/>
                <w:sz w:val="18"/>
                <w:szCs w:val="18"/>
                <w:lang w:val="en-NZ"/>
              </w:rPr>
            </w:pPr>
            <w:r w:rsidRPr="00F17D31">
              <w:rPr>
                <w:rFonts w:eastAsia="Calibri"/>
                <w:sz w:val="18"/>
                <w:szCs w:val="18"/>
                <w:lang w:val="en-NZ"/>
              </w:rPr>
              <w:t>6.</w:t>
            </w:r>
            <w:r w:rsidRPr="00F17D31">
              <w:rPr>
                <w:rFonts w:eastAsia="Calibri"/>
                <w:sz w:val="18"/>
                <w:szCs w:val="18"/>
                <w:lang w:val="en-NZ"/>
              </w:rPr>
              <w:tab/>
              <w:t>Prevent or limit the number of “free spins”</w:t>
            </w:r>
          </w:p>
          <w:p w14:paraId="6A9488C2" w14:textId="77777777" w:rsidR="00F17D31" w:rsidRPr="00F17D31" w:rsidRDefault="00F17D31" w:rsidP="00710E6D">
            <w:pPr>
              <w:pStyle w:val="TableText"/>
              <w:keepNext/>
              <w:spacing w:before="20" w:after="20" w:line="240" w:lineRule="auto"/>
              <w:ind w:left="312" w:hanging="312"/>
              <w:rPr>
                <w:rFonts w:eastAsia="Calibri"/>
                <w:sz w:val="18"/>
                <w:szCs w:val="18"/>
                <w:lang w:val="en-NZ"/>
              </w:rPr>
            </w:pPr>
            <w:r w:rsidRPr="00F17D31">
              <w:rPr>
                <w:rFonts w:eastAsia="Calibri"/>
                <w:sz w:val="18"/>
                <w:szCs w:val="18"/>
                <w:lang w:val="en-NZ"/>
              </w:rPr>
              <w:t>7.</w:t>
            </w:r>
            <w:r w:rsidRPr="00F17D31">
              <w:rPr>
                <w:rFonts w:eastAsia="Calibri"/>
                <w:sz w:val="18"/>
                <w:szCs w:val="18"/>
                <w:lang w:val="en-NZ"/>
              </w:rPr>
              <w:tab/>
              <w:t>Maximum number of games in an hour</w:t>
            </w:r>
          </w:p>
          <w:p w14:paraId="71C9DD66" w14:textId="03878067" w:rsidR="00F17D31" w:rsidRPr="00D770EE" w:rsidRDefault="00F17D31" w:rsidP="00710E6D">
            <w:pPr>
              <w:pStyle w:val="TableText"/>
              <w:keepNext/>
              <w:spacing w:before="20" w:after="40" w:line="240" w:lineRule="auto"/>
              <w:ind w:left="312" w:hanging="312"/>
              <w:rPr>
                <w:rFonts w:eastAsia="Calibri"/>
                <w:color w:val="000000"/>
                <w:sz w:val="18"/>
                <w:szCs w:val="18"/>
                <w:lang w:val="en-NZ"/>
              </w:rPr>
            </w:pPr>
            <w:r w:rsidRPr="00F17D31">
              <w:rPr>
                <w:rFonts w:eastAsia="Calibri"/>
                <w:sz w:val="18"/>
                <w:szCs w:val="18"/>
                <w:lang w:val="en-NZ"/>
              </w:rPr>
              <w:t>8.</w:t>
            </w:r>
            <w:r w:rsidRPr="00F17D31">
              <w:rPr>
                <w:rFonts w:eastAsia="Calibri"/>
                <w:sz w:val="18"/>
                <w:szCs w:val="18"/>
                <w:lang w:val="en-NZ"/>
              </w:rPr>
              <w:tab/>
              <w:t xml:space="preserve">More information and restrictions on jackpots </w:t>
            </w:r>
          </w:p>
        </w:tc>
      </w:tr>
      <w:tr w:rsidR="00F17D31" w:rsidRPr="00047B2C" w14:paraId="29371F72" w14:textId="77777777" w:rsidTr="0016637D">
        <w:trPr>
          <w:trHeight w:val="324"/>
        </w:trPr>
        <w:tc>
          <w:tcPr>
            <w:tcW w:w="2263" w:type="dxa"/>
            <w:shd w:val="clear" w:color="auto" w:fill="D9D9D9" w:themeFill="background1" w:themeFillShade="D9"/>
          </w:tcPr>
          <w:p w14:paraId="0B9B3792" w14:textId="77777777" w:rsidR="00F17D31" w:rsidRPr="00047B2C" w:rsidRDefault="00F17D31" w:rsidP="00F17D31">
            <w:pPr>
              <w:pStyle w:val="TableText"/>
              <w:keepNext/>
              <w:rPr>
                <w:rFonts w:eastAsia="Calibri"/>
                <w:color w:val="000000"/>
                <w:sz w:val="18"/>
                <w:szCs w:val="18"/>
                <w:lang w:val="en-NZ"/>
              </w:rPr>
            </w:pPr>
            <w:r w:rsidRPr="00047B2C">
              <w:rPr>
                <w:rFonts w:eastAsia="Calibri"/>
                <w:b/>
                <w:color w:val="000000"/>
                <w:sz w:val="18"/>
                <w:szCs w:val="18"/>
                <w:lang w:val="en-NZ"/>
              </w:rPr>
              <w:t>Affected groups</w:t>
            </w:r>
          </w:p>
        </w:tc>
        <w:tc>
          <w:tcPr>
            <w:tcW w:w="3402" w:type="dxa"/>
            <w:shd w:val="clear" w:color="auto" w:fill="D9D9D9" w:themeFill="background1" w:themeFillShade="D9"/>
          </w:tcPr>
          <w:p w14:paraId="5CAF8BEB" w14:textId="77777777" w:rsidR="00F17D31" w:rsidRPr="00047B2C" w:rsidRDefault="00F17D31" w:rsidP="00F17D31">
            <w:pPr>
              <w:pStyle w:val="TableText"/>
              <w:keepNext/>
              <w:rPr>
                <w:rFonts w:eastAsia="Calibri"/>
                <w:b/>
                <w:color w:val="000000"/>
                <w:sz w:val="18"/>
                <w:szCs w:val="18"/>
                <w:lang w:val="en-NZ"/>
              </w:rPr>
            </w:pPr>
            <w:r w:rsidRPr="00047B2C">
              <w:rPr>
                <w:rFonts w:eastAsia="Calibri"/>
                <w:b/>
                <w:color w:val="000000"/>
                <w:sz w:val="18"/>
                <w:szCs w:val="18"/>
                <w:lang w:val="en-NZ"/>
              </w:rPr>
              <w:t>Comment</w:t>
            </w:r>
          </w:p>
        </w:tc>
        <w:tc>
          <w:tcPr>
            <w:tcW w:w="1985" w:type="dxa"/>
            <w:shd w:val="clear" w:color="auto" w:fill="D9D9D9" w:themeFill="background1" w:themeFillShade="D9"/>
          </w:tcPr>
          <w:p w14:paraId="559792D5" w14:textId="77777777" w:rsidR="00F17D31" w:rsidRPr="00047B2C" w:rsidRDefault="00F17D31" w:rsidP="00F17D31">
            <w:pPr>
              <w:pStyle w:val="TableText"/>
              <w:keepNext/>
              <w:rPr>
                <w:rFonts w:eastAsia="Calibri"/>
                <w:b/>
                <w:color w:val="000000"/>
                <w:sz w:val="18"/>
                <w:szCs w:val="18"/>
                <w:lang w:val="en-NZ"/>
              </w:rPr>
            </w:pPr>
            <w:r>
              <w:rPr>
                <w:rFonts w:eastAsia="Calibri"/>
                <w:b/>
                <w:color w:val="000000"/>
                <w:sz w:val="18"/>
                <w:szCs w:val="18"/>
                <w:lang w:val="en-NZ"/>
              </w:rPr>
              <w:t>Impact</w:t>
            </w:r>
          </w:p>
        </w:tc>
        <w:tc>
          <w:tcPr>
            <w:tcW w:w="1843" w:type="dxa"/>
            <w:shd w:val="clear" w:color="auto" w:fill="D9D9D9" w:themeFill="background1" w:themeFillShade="D9"/>
          </w:tcPr>
          <w:p w14:paraId="32E8D4C4" w14:textId="77777777" w:rsidR="00F17D31" w:rsidRPr="00047B2C" w:rsidRDefault="00F17D31" w:rsidP="00F17D31">
            <w:pPr>
              <w:pStyle w:val="TableText"/>
              <w:keepNext/>
              <w:rPr>
                <w:rFonts w:eastAsia="Calibri"/>
                <w:bCs/>
                <w:i/>
                <w:iCs/>
                <w:color w:val="000000"/>
                <w:sz w:val="18"/>
                <w:szCs w:val="18"/>
                <w:lang w:val="en-NZ"/>
              </w:rPr>
            </w:pPr>
            <w:r w:rsidRPr="00047B2C">
              <w:rPr>
                <w:rFonts w:eastAsia="Calibri"/>
                <w:b/>
                <w:color w:val="000000"/>
                <w:sz w:val="18"/>
                <w:szCs w:val="18"/>
                <w:lang w:val="en-NZ"/>
              </w:rPr>
              <w:t>Evidence Certa</w:t>
            </w:r>
            <w:r>
              <w:rPr>
                <w:rFonts w:eastAsia="Calibri"/>
                <w:b/>
                <w:color w:val="000000"/>
                <w:sz w:val="18"/>
                <w:szCs w:val="18"/>
                <w:lang w:val="en-NZ"/>
              </w:rPr>
              <w:t>inty</w:t>
            </w:r>
          </w:p>
        </w:tc>
      </w:tr>
      <w:tr w:rsidR="00F17D31" w:rsidRPr="00047B2C" w14:paraId="02780EAB" w14:textId="77777777" w:rsidTr="00710E6D">
        <w:trPr>
          <w:trHeight w:val="109"/>
        </w:trPr>
        <w:tc>
          <w:tcPr>
            <w:tcW w:w="9493" w:type="dxa"/>
            <w:gridSpan w:val="4"/>
            <w:shd w:val="clear" w:color="auto" w:fill="F2F2F2" w:themeFill="background1" w:themeFillShade="F2"/>
            <w:vAlign w:val="center"/>
          </w:tcPr>
          <w:p w14:paraId="4920981B" w14:textId="77777777" w:rsidR="00F17D31" w:rsidRPr="00047B2C" w:rsidRDefault="00F17D31" w:rsidP="00710E6D">
            <w:pPr>
              <w:keepNext/>
              <w:spacing w:before="20" w:after="20" w:line="240" w:lineRule="auto"/>
              <w:jc w:val="center"/>
              <w:rPr>
                <w:rFonts w:eastAsia="Calibri"/>
                <w:b/>
                <w:bCs/>
                <w:color w:val="000000"/>
                <w:sz w:val="18"/>
                <w:szCs w:val="18"/>
                <w:lang w:val="en-NZ"/>
              </w:rPr>
            </w:pPr>
            <w:r w:rsidRPr="00047B2C">
              <w:rPr>
                <w:rFonts w:eastAsia="Calibri"/>
                <w:b/>
                <w:bCs/>
                <w:color w:val="000000"/>
                <w:sz w:val="18"/>
                <w:szCs w:val="18"/>
                <w:lang w:val="en-NZ"/>
              </w:rPr>
              <w:t>Additional COSTS of the preferred option compared to taking no action</w:t>
            </w:r>
          </w:p>
        </w:tc>
      </w:tr>
      <w:tr w:rsidR="00957CE1" w:rsidRPr="00047B2C" w14:paraId="7D30DCD0" w14:textId="77777777" w:rsidTr="0016637D">
        <w:trPr>
          <w:trHeight w:val="380"/>
        </w:trPr>
        <w:tc>
          <w:tcPr>
            <w:tcW w:w="2263" w:type="dxa"/>
            <w:vMerge w:val="restart"/>
            <w:shd w:val="clear" w:color="auto" w:fill="FFEEE7"/>
          </w:tcPr>
          <w:p w14:paraId="52D754D7" w14:textId="77777777" w:rsidR="00957CE1" w:rsidRPr="00047B2C" w:rsidRDefault="00957CE1" w:rsidP="00957CE1">
            <w:pPr>
              <w:pStyle w:val="TableText"/>
              <w:keepNext/>
              <w:rPr>
                <w:rFonts w:eastAsia="Calibri"/>
                <w:sz w:val="18"/>
                <w:szCs w:val="18"/>
                <w:lang w:val="en-NZ"/>
              </w:rPr>
            </w:pPr>
            <w:r w:rsidRPr="00047B2C">
              <w:rPr>
                <w:rFonts w:eastAsia="Calibri"/>
                <w:sz w:val="18"/>
                <w:szCs w:val="18"/>
                <w:lang w:val="en-NZ"/>
              </w:rPr>
              <w:t>Regulated groups</w:t>
            </w:r>
            <w:r>
              <w:rPr>
                <w:rFonts w:eastAsia="Calibri"/>
                <w:sz w:val="18"/>
                <w:szCs w:val="18"/>
                <w:lang w:val="en-NZ"/>
              </w:rPr>
              <w:t xml:space="preserve"> (Societies, venues)</w:t>
            </w:r>
          </w:p>
        </w:tc>
        <w:tc>
          <w:tcPr>
            <w:tcW w:w="3402" w:type="dxa"/>
            <w:shd w:val="clear" w:color="auto" w:fill="FFEEE7"/>
          </w:tcPr>
          <w:p w14:paraId="29DEA815" w14:textId="4001BCCC" w:rsidR="00957CE1" w:rsidRPr="00047B2C" w:rsidRDefault="00957CE1" w:rsidP="00957CE1">
            <w:pPr>
              <w:pStyle w:val="TableText"/>
              <w:keepNext/>
              <w:rPr>
                <w:rFonts w:eastAsia="Calibri"/>
                <w:sz w:val="18"/>
                <w:szCs w:val="18"/>
                <w:lang w:val="en-NZ"/>
              </w:rPr>
            </w:pPr>
            <w:r>
              <w:rPr>
                <w:rFonts w:eastAsia="Calibri"/>
                <w:sz w:val="18"/>
                <w:szCs w:val="18"/>
                <w:lang w:val="en-NZ"/>
              </w:rPr>
              <w:t>Software updates for machines (phased in over time) [1, 2, 3, 4, 5, 6 and 7]</w:t>
            </w:r>
          </w:p>
        </w:tc>
        <w:tc>
          <w:tcPr>
            <w:tcW w:w="1985" w:type="dxa"/>
            <w:shd w:val="clear" w:color="auto" w:fill="FFEEE7"/>
          </w:tcPr>
          <w:p w14:paraId="5DE2EE4A" w14:textId="67DD4E59" w:rsidR="00957CE1" w:rsidRPr="00047B2C" w:rsidRDefault="00957CE1" w:rsidP="00957CE1">
            <w:pPr>
              <w:pStyle w:val="TableText"/>
              <w:keepNext/>
              <w:rPr>
                <w:rFonts w:eastAsia="Calibri"/>
                <w:sz w:val="18"/>
                <w:szCs w:val="18"/>
                <w:lang w:val="en-NZ"/>
              </w:rPr>
            </w:pPr>
            <w:r>
              <w:rPr>
                <w:rFonts w:eastAsia="Calibri"/>
                <w:sz w:val="18"/>
                <w:szCs w:val="18"/>
                <w:lang w:val="en-NZ"/>
              </w:rPr>
              <w:t xml:space="preserve">TBD </w:t>
            </w:r>
          </w:p>
        </w:tc>
        <w:tc>
          <w:tcPr>
            <w:tcW w:w="1843" w:type="dxa"/>
            <w:shd w:val="clear" w:color="auto" w:fill="FFEEE7"/>
          </w:tcPr>
          <w:p w14:paraId="57B606D4" w14:textId="781FCDCC" w:rsidR="00957CE1" w:rsidRPr="00047B2C" w:rsidRDefault="000E502E" w:rsidP="000E502E">
            <w:pPr>
              <w:pStyle w:val="TableText"/>
              <w:keepNext/>
              <w:rPr>
                <w:rFonts w:eastAsia="Calibri"/>
                <w:sz w:val="18"/>
                <w:szCs w:val="18"/>
                <w:lang w:val="en-NZ"/>
              </w:rPr>
            </w:pPr>
            <w:r>
              <w:rPr>
                <w:rFonts w:eastAsia="Calibri"/>
                <w:sz w:val="18"/>
                <w:szCs w:val="18"/>
                <w:lang w:val="en-NZ"/>
              </w:rPr>
              <w:t>High</w:t>
            </w:r>
          </w:p>
        </w:tc>
      </w:tr>
      <w:tr w:rsidR="00FE6DFD" w:rsidRPr="00047B2C" w14:paraId="4D06E8A0" w14:textId="77777777" w:rsidTr="0016637D">
        <w:trPr>
          <w:trHeight w:val="380"/>
        </w:trPr>
        <w:tc>
          <w:tcPr>
            <w:tcW w:w="2263" w:type="dxa"/>
            <w:vMerge/>
            <w:shd w:val="clear" w:color="auto" w:fill="FFEEE7"/>
          </w:tcPr>
          <w:p w14:paraId="05F568D6" w14:textId="77777777" w:rsidR="00FE6DFD" w:rsidRPr="00047B2C" w:rsidRDefault="00FE6DFD" w:rsidP="00FE6DFD">
            <w:pPr>
              <w:pStyle w:val="TableText"/>
              <w:keepNext/>
              <w:rPr>
                <w:rFonts w:eastAsia="Calibri"/>
                <w:sz w:val="18"/>
                <w:szCs w:val="18"/>
                <w:lang w:val="en-NZ"/>
              </w:rPr>
            </w:pPr>
          </w:p>
        </w:tc>
        <w:tc>
          <w:tcPr>
            <w:tcW w:w="3402" w:type="dxa"/>
            <w:shd w:val="clear" w:color="auto" w:fill="FFEEE7"/>
          </w:tcPr>
          <w:p w14:paraId="32C38B59" w14:textId="6C1BBC2E" w:rsidR="00FE6DFD" w:rsidRDefault="00FE6DFD" w:rsidP="00FE6DFD">
            <w:pPr>
              <w:pStyle w:val="TableText"/>
              <w:keepNext/>
              <w:rPr>
                <w:rFonts w:eastAsia="Calibri"/>
                <w:sz w:val="18"/>
                <w:szCs w:val="18"/>
                <w:lang w:val="en-NZ"/>
              </w:rPr>
            </w:pPr>
            <w:r>
              <w:rPr>
                <w:rFonts w:eastAsia="Calibri"/>
                <w:sz w:val="18"/>
                <w:szCs w:val="18"/>
                <w:lang w:val="en-NZ"/>
              </w:rPr>
              <w:t>FTE impacts from organising phased machine updates [1, 2, 3, 4, 5, 6 and 7]</w:t>
            </w:r>
          </w:p>
        </w:tc>
        <w:tc>
          <w:tcPr>
            <w:tcW w:w="1985" w:type="dxa"/>
            <w:shd w:val="clear" w:color="auto" w:fill="FFEEE7"/>
          </w:tcPr>
          <w:p w14:paraId="12C59240" w14:textId="44146152" w:rsidR="00FE6DFD" w:rsidRDefault="00FE6DFD" w:rsidP="00FE6DFD">
            <w:pPr>
              <w:pStyle w:val="TableText"/>
              <w:keepNext/>
              <w:rPr>
                <w:rFonts w:eastAsia="Calibri"/>
                <w:sz w:val="18"/>
                <w:szCs w:val="18"/>
                <w:lang w:val="en-NZ"/>
              </w:rPr>
            </w:pPr>
            <w:r>
              <w:rPr>
                <w:rFonts w:eastAsia="Calibri"/>
                <w:sz w:val="18"/>
                <w:szCs w:val="18"/>
                <w:lang w:val="en-NZ"/>
              </w:rPr>
              <w:t xml:space="preserve">TBD </w:t>
            </w:r>
          </w:p>
        </w:tc>
        <w:tc>
          <w:tcPr>
            <w:tcW w:w="1843" w:type="dxa"/>
            <w:shd w:val="clear" w:color="auto" w:fill="FFEEE7"/>
          </w:tcPr>
          <w:p w14:paraId="40886E94" w14:textId="30E42237" w:rsidR="00FE6DFD" w:rsidRPr="002948FD" w:rsidRDefault="000E502E" w:rsidP="00FE6DFD">
            <w:pPr>
              <w:pStyle w:val="TableText"/>
              <w:keepNext/>
              <w:rPr>
                <w:rFonts w:eastAsia="Calibri"/>
                <w:sz w:val="18"/>
                <w:szCs w:val="18"/>
                <w:lang w:val="en-NZ"/>
              </w:rPr>
            </w:pPr>
            <w:r>
              <w:rPr>
                <w:rFonts w:eastAsia="Calibri"/>
                <w:sz w:val="18"/>
                <w:szCs w:val="18"/>
                <w:lang w:val="en-NZ"/>
              </w:rPr>
              <w:t>High</w:t>
            </w:r>
            <w:r w:rsidRPr="002948FD">
              <w:rPr>
                <w:rFonts w:eastAsia="Calibri"/>
                <w:sz w:val="18"/>
                <w:szCs w:val="18"/>
                <w:lang w:val="en-NZ"/>
              </w:rPr>
              <w:t xml:space="preserve"> </w:t>
            </w:r>
          </w:p>
        </w:tc>
      </w:tr>
      <w:tr w:rsidR="00957CE1" w:rsidRPr="00047B2C" w14:paraId="49C8D96B" w14:textId="77777777" w:rsidTr="0016637D">
        <w:trPr>
          <w:trHeight w:val="380"/>
        </w:trPr>
        <w:tc>
          <w:tcPr>
            <w:tcW w:w="2263" w:type="dxa"/>
            <w:vMerge/>
            <w:shd w:val="clear" w:color="auto" w:fill="FFEEE7"/>
          </w:tcPr>
          <w:p w14:paraId="6CB4B1E6" w14:textId="77777777" w:rsidR="00957CE1" w:rsidRPr="00047B2C" w:rsidRDefault="00957CE1" w:rsidP="00957CE1">
            <w:pPr>
              <w:pStyle w:val="TableText"/>
              <w:keepNext/>
              <w:rPr>
                <w:rFonts w:eastAsia="Calibri"/>
                <w:sz w:val="18"/>
                <w:szCs w:val="18"/>
                <w:lang w:val="en-NZ"/>
              </w:rPr>
            </w:pPr>
          </w:p>
        </w:tc>
        <w:tc>
          <w:tcPr>
            <w:tcW w:w="3402" w:type="dxa"/>
            <w:shd w:val="clear" w:color="auto" w:fill="FFEEE7"/>
          </w:tcPr>
          <w:p w14:paraId="6B19B3E5" w14:textId="57F1AC44" w:rsidR="00957CE1" w:rsidRDefault="00957CE1" w:rsidP="00957CE1">
            <w:pPr>
              <w:pStyle w:val="TableText"/>
              <w:keepNext/>
              <w:rPr>
                <w:rFonts w:eastAsia="Calibri"/>
                <w:sz w:val="18"/>
                <w:szCs w:val="18"/>
                <w:lang w:val="en-NZ"/>
              </w:rPr>
            </w:pPr>
            <w:r>
              <w:rPr>
                <w:rFonts w:eastAsia="Calibri"/>
                <w:sz w:val="18"/>
                <w:szCs w:val="18"/>
                <w:lang w:val="en-NZ"/>
              </w:rPr>
              <w:t>Jackpot signage changes [8]</w:t>
            </w:r>
          </w:p>
        </w:tc>
        <w:tc>
          <w:tcPr>
            <w:tcW w:w="1985" w:type="dxa"/>
            <w:shd w:val="clear" w:color="auto" w:fill="FFEEE7"/>
          </w:tcPr>
          <w:p w14:paraId="54175565" w14:textId="46481753" w:rsidR="00957CE1" w:rsidRDefault="00FE6DFD" w:rsidP="00957CE1">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1E33F19D" w14:textId="406D02FD" w:rsidR="00957CE1" w:rsidRDefault="000E502E" w:rsidP="00957CE1">
            <w:pPr>
              <w:pStyle w:val="TableText"/>
              <w:keepNext/>
              <w:rPr>
                <w:rFonts w:eastAsia="Calibri"/>
                <w:sz w:val="18"/>
                <w:szCs w:val="18"/>
                <w:lang w:val="en-NZ"/>
              </w:rPr>
            </w:pPr>
            <w:r>
              <w:rPr>
                <w:rFonts w:eastAsia="Calibri"/>
                <w:sz w:val="18"/>
                <w:szCs w:val="18"/>
                <w:lang w:val="en-NZ"/>
              </w:rPr>
              <w:t>High</w:t>
            </w:r>
          </w:p>
        </w:tc>
      </w:tr>
      <w:tr w:rsidR="00957CE1" w:rsidRPr="00047B2C" w14:paraId="575CFAED" w14:textId="77777777" w:rsidTr="0016637D">
        <w:trPr>
          <w:trHeight w:val="380"/>
        </w:trPr>
        <w:tc>
          <w:tcPr>
            <w:tcW w:w="2263" w:type="dxa"/>
            <w:shd w:val="clear" w:color="auto" w:fill="FFEEE7"/>
          </w:tcPr>
          <w:p w14:paraId="75F758F3" w14:textId="77777777" w:rsidR="00957CE1" w:rsidRPr="00047B2C" w:rsidRDefault="00957CE1" w:rsidP="00957CE1">
            <w:pPr>
              <w:pStyle w:val="TableText"/>
              <w:keepNext/>
              <w:rPr>
                <w:rFonts w:eastAsia="Calibri"/>
                <w:sz w:val="18"/>
                <w:szCs w:val="18"/>
                <w:lang w:val="en-NZ"/>
              </w:rPr>
            </w:pPr>
            <w:r w:rsidRPr="00047B2C">
              <w:rPr>
                <w:rFonts w:eastAsia="Calibri"/>
                <w:sz w:val="18"/>
                <w:szCs w:val="18"/>
                <w:lang w:val="en-NZ"/>
              </w:rPr>
              <w:t>Regulators</w:t>
            </w:r>
            <w:r>
              <w:rPr>
                <w:rFonts w:eastAsia="Calibri"/>
                <w:sz w:val="18"/>
                <w:szCs w:val="18"/>
                <w:lang w:val="en-NZ"/>
              </w:rPr>
              <w:t xml:space="preserve"> (DIA)</w:t>
            </w:r>
          </w:p>
        </w:tc>
        <w:tc>
          <w:tcPr>
            <w:tcW w:w="3402" w:type="dxa"/>
            <w:shd w:val="clear" w:color="auto" w:fill="FFEEE7"/>
          </w:tcPr>
          <w:p w14:paraId="2D1C68C6" w14:textId="7D985F72" w:rsidR="00957CE1" w:rsidRPr="00047B2C" w:rsidRDefault="00957CE1" w:rsidP="00957CE1">
            <w:pPr>
              <w:pStyle w:val="TableText"/>
              <w:keepNext/>
              <w:rPr>
                <w:rFonts w:eastAsia="Calibri"/>
                <w:sz w:val="18"/>
                <w:szCs w:val="18"/>
                <w:lang w:val="en-NZ"/>
              </w:rPr>
            </w:pPr>
            <w:r>
              <w:rPr>
                <w:rFonts w:eastAsia="Calibri"/>
                <w:sz w:val="18"/>
                <w:szCs w:val="18"/>
                <w:lang w:val="en-NZ"/>
              </w:rPr>
              <w:t>FTE impacts from increased compliance tasks (ongoing monitoring) [1 - 8]</w:t>
            </w:r>
          </w:p>
        </w:tc>
        <w:tc>
          <w:tcPr>
            <w:tcW w:w="1985" w:type="dxa"/>
            <w:shd w:val="clear" w:color="auto" w:fill="FFEEE7"/>
          </w:tcPr>
          <w:p w14:paraId="35EC4F91" w14:textId="5E349B07" w:rsidR="00957CE1" w:rsidRPr="00047B2C" w:rsidRDefault="00957CE1" w:rsidP="00957CE1">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45B54D22" w14:textId="137D61D9" w:rsidR="00957CE1" w:rsidRPr="00047B2C" w:rsidRDefault="000E502E" w:rsidP="00957CE1">
            <w:pPr>
              <w:pStyle w:val="TableText"/>
              <w:keepNext/>
              <w:rPr>
                <w:rFonts w:eastAsia="Calibri"/>
                <w:sz w:val="18"/>
                <w:szCs w:val="18"/>
                <w:lang w:val="en-NZ"/>
              </w:rPr>
            </w:pPr>
            <w:r>
              <w:rPr>
                <w:rFonts w:eastAsia="Calibri"/>
                <w:sz w:val="18"/>
                <w:szCs w:val="18"/>
                <w:lang w:val="en-NZ"/>
              </w:rPr>
              <w:t>High</w:t>
            </w:r>
          </w:p>
        </w:tc>
      </w:tr>
      <w:tr w:rsidR="00F17D31" w:rsidRPr="00047B2C" w14:paraId="2B504F8A" w14:textId="77777777" w:rsidTr="0016637D">
        <w:trPr>
          <w:trHeight w:val="263"/>
        </w:trPr>
        <w:tc>
          <w:tcPr>
            <w:tcW w:w="2263" w:type="dxa"/>
            <w:shd w:val="clear" w:color="auto" w:fill="FFEEE7"/>
          </w:tcPr>
          <w:p w14:paraId="25132D51" w14:textId="1D4B13CC" w:rsidR="00F17D31" w:rsidRPr="00047B2C" w:rsidRDefault="00F17D31" w:rsidP="00957CE1">
            <w:pPr>
              <w:pStyle w:val="TableText"/>
              <w:keepNext/>
              <w:rPr>
                <w:rFonts w:eastAsia="Calibri"/>
                <w:color w:val="000000"/>
                <w:sz w:val="18"/>
                <w:szCs w:val="18"/>
                <w:lang w:val="en-NZ"/>
              </w:rPr>
            </w:pPr>
            <w:r>
              <w:rPr>
                <w:rFonts w:eastAsia="Calibri"/>
                <w:color w:val="000000"/>
                <w:sz w:val="18"/>
                <w:szCs w:val="18"/>
                <w:lang w:val="en-NZ"/>
              </w:rPr>
              <w:t>Harm groups (</w:t>
            </w:r>
            <w:proofErr w:type="spellStart"/>
            <w:r>
              <w:rPr>
                <w:rFonts w:eastAsia="Calibri"/>
                <w:color w:val="000000"/>
                <w:sz w:val="18"/>
                <w:szCs w:val="18"/>
                <w:lang w:val="en-NZ"/>
              </w:rPr>
              <w:t>MoH</w:t>
            </w:r>
            <w:proofErr w:type="spellEnd"/>
            <w:r>
              <w:rPr>
                <w:rFonts w:eastAsia="Calibri"/>
                <w:color w:val="000000"/>
                <w:sz w:val="18"/>
                <w:szCs w:val="18"/>
                <w:lang w:val="en-NZ"/>
              </w:rPr>
              <w:t>, HPA, service providers)</w:t>
            </w:r>
          </w:p>
        </w:tc>
        <w:tc>
          <w:tcPr>
            <w:tcW w:w="3402" w:type="dxa"/>
            <w:shd w:val="clear" w:color="auto" w:fill="FFEEE7"/>
          </w:tcPr>
          <w:p w14:paraId="6BBE4062" w14:textId="7C480D7A"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c>
          <w:tcPr>
            <w:tcW w:w="1985" w:type="dxa"/>
            <w:shd w:val="clear" w:color="auto" w:fill="FFEEE7"/>
          </w:tcPr>
          <w:p w14:paraId="7CB8E622" w14:textId="733A0B1C"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c>
          <w:tcPr>
            <w:tcW w:w="1843" w:type="dxa"/>
            <w:shd w:val="clear" w:color="auto" w:fill="FFEEE7"/>
          </w:tcPr>
          <w:p w14:paraId="5C61B457" w14:textId="14C932E0"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r>
      <w:tr w:rsidR="00F17D31" w:rsidRPr="00047B2C" w14:paraId="77C60B70" w14:textId="77777777" w:rsidTr="0016637D">
        <w:trPr>
          <w:trHeight w:val="263"/>
        </w:trPr>
        <w:tc>
          <w:tcPr>
            <w:tcW w:w="2263" w:type="dxa"/>
            <w:shd w:val="clear" w:color="auto" w:fill="FFEEE7"/>
          </w:tcPr>
          <w:p w14:paraId="4308241E" w14:textId="77777777" w:rsidR="00F17D31" w:rsidRPr="00047B2C" w:rsidRDefault="00F17D31" w:rsidP="00957CE1">
            <w:pPr>
              <w:pStyle w:val="TableText"/>
              <w:keepNext/>
              <w:rPr>
                <w:rFonts w:eastAsia="Calibri"/>
                <w:color w:val="000000"/>
                <w:sz w:val="18"/>
                <w:szCs w:val="18"/>
                <w:lang w:val="en-NZ"/>
              </w:rPr>
            </w:pPr>
            <w:r>
              <w:rPr>
                <w:rFonts w:eastAsia="Calibri"/>
                <w:color w:val="000000"/>
                <w:sz w:val="18"/>
                <w:szCs w:val="18"/>
                <w:lang w:val="en-NZ"/>
              </w:rPr>
              <w:t>Gamblers</w:t>
            </w:r>
          </w:p>
        </w:tc>
        <w:tc>
          <w:tcPr>
            <w:tcW w:w="3402" w:type="dxa"/>
            <w:shd w:val="clear" w:color="auto" w:fill="FFEEE7"/>
          </w:tcPr>
          <w:p w14:paraId="2A5E7B93" w14:textId="05B17F0A"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c>
          <w:tcPr>
            <w:tcW w:w="1985" w:type="dxa"/>
            <w:shd w:val="clear" w:color="auto" w:fill="FFEEE7"/>
          </w:tcPr>
          <w:p w14:paraId="05B786BB" w14:textId="056356F0"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c>
          <w:tcPr>
            <w:tcW w:w="1843" w:type="dxa"/>
            <w:shd w:val="clear" w:color="auto" w:fill="FFEEE7"/>
          </w:tcPr>
          <w:p w14:paraId="6CB85C9E" w14:textId="4F0AE06C"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r>
      <w:tr w:rsidR="00F17D31" w:rsidRPr="00047B2C" w14:paraId="58495A32" w14:textId="77777777" w:rsidTr="0016637D">
        <w:trPr>
          <w:trHeight w:val="263"/>
        </w:trPr>
        <w:tc>
          <w:tcPr>
            <w:tcW w:w="2263" w:type="dxa"/>
            <w:shd w:val="clear" w:color="auto" w:fill="FFEEE7"/>
          </w:tcPr>
          <w:p w14:paraId="03B1B337" w14:textId="77777777" w:rsidR="00F17D31" w:rsidRPr="00047B2C" w:rsidRDefault="00F17D31" w:rsidP="00957CE1">
            <w:pPr>
              <w:pStyle w:val="TableText"/>
              <w:keepNext/>
              <w:rPr>
                <w:rFonts w:eastAsia="Calibri" w:cs="Arial"/>
                <w:color w:val="000000"/>
                <w:sz w:val="18"/>
                <w:szCs w:val="18"/>
                <w:lang w:val="en-NZ"/>
              </w:rPr>
            </w:pPr>
            <w:r w:rsidRPr="00047B2C">
              <w:rPr>
                <w:rFonts w:eastAsia="Calibri"/>
                <w:color w:val="000000"/>
                <w:sz w:val="18"/>
                <w:szCs w:val="18"/>
                <w:lang w:val="en-NZ"/>
              </w:rPr>
              <w:t xml:space="preserve">Others </w:t>
            </w:r>
          </w:p>
        </w:tc>
        <w:tc>
          <w:tcPr>
            <w:tcW w:w="3402" w:type="dxa"/>
            <w:shd w:val="clear" w:color="auto" w:fill="FFEEE7"/>
          </w:tcPr>
          <w:p w14:paraId="5334EB45" w14:textId="6F5061A7"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c>
          <w:tcPr>
            <w:tcW w:w="1985" w:type="dxa"/>
            <w:shd w:val="clear" w:color="auto" w:fill="FFEEE7"/>
          </w:tcPr>
          <w:p w14:paraId="303288F0" w14:textId="79BF3C60"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c>
          <w:tcPr>
            <w:tcW w:w="1843" w:type="dxa"/>
            <w:shd w:val="clear" w:color="auto" w:fill="FFEEE7"/>
          </w:tcPr>
          <w:p w14:paraId="1DBC34FC" w14:textId="387C20B1" w:rsidR="00F17D31" w:rsidRPr="00047B2C" w:rsidRDefault="00957CE1" w:rsidP="00957CE1">
            <w:pPr>
              <w:pStyle w:val="TableText"/>
              <w:keepNext/>
              <w:rPr>
                <w:rFonts w:eastAsia="Calibri"/>
                <w:sz w:val="18"/>
                <w:szCs w:val="18"/>
                <w:lang w:val="en-NZ"/>
              </w:rPr>
            </w:pPr>
            <w:r>
              <w:rPr>
                <w:rFonts w:eastAsia="Calibri"/>
                <w:sz w:val="18"/>
                <w:szCs w:val="18"/>
                <w:lang w:val="en-NZ"/>
              </w:rPr>
              <w:t>-</w:t>
            </w:r>
          </w:p>
        </w:tc>
      </w:tr>
      <w:tr w:rsidR="00F17D31" w:rsidRPr="00047B2C" w14:paraId="3FCCC197" w14:textId="77777777" w:rsidTr="0016637D">
        <w:trPr>
          <w:trHeight w:val="263"/>
        </w:trPr>
        <w:tc>
          <w:tcPr>
            <w:tcW w:w="2263" w:type="dxa"/>
            <w:shd w:val="clear" w:color="auto" w:fill="FFEEE7"/>
          </w:tcPr>
          <w:p w14:paraId="11162847" w14:textId="77777777" w:rsidR="00F17D31" w:rsidRPr="00047B2C" w:rsidRDefault="00F17D31" w:rsidP="00957CE1">
            <w:pPr>
              <w:pStyle w:val="TableText"/>
              <w:keepNext/>
              <w:rPr>
                <w:rFonts w:eastAsia="Calibri"/>
                <w:b/>
                <w:sz w:val="18"/>
                <w:szCs w:val="18"/>
                <w:lang w:val="en-NZ"/>
              </w:rPr>
            </w:pPr>
            <w:r w:rsidRPr="00047B2C">
              <w:rPr>
                <w:rFonts w:eastAsia="Calibri"/>
                <w:b/>
                <w:sz w:val="18"/>
                <w:szCs w:val="18"/>
                <w:lang w:val="en-NZ"/>
              </w:rPr>
              <w:t>Total monetised costs</w:t>
            </w:r>
          </w:p>
        </w:tc>
        <w:tc>
          <w:tcPr>
            <w:tcW w:w="3402" w:type="dxa"/>
            <w:shd w:val="clear" w:color="auto" w:fill="FFEEE7"/>
          </w:tcPr>
          <w:p w14:paraId="1A13E5CA" w14:textId="4A5356AA" w:rsidR="00F17D31" w:rsidRPr="00A12E4B" w:rsidRDefault="00A12E4B" w:rsidP="00957CE1">
            <w:pPr>
              <w:pStyle w:val="TableText"/>
              <w:keepNext/>
              <w:rPr>
                <w:rFonts w:eastAsia="Calibri"/>
                <w:b/>
                <w:sz w:val="18"/>
                <w:szCs w:val="18"/>
                <w:lang w:val="en-NZ"/>
              </w:rPr>
            </w:pPr>
            <w:r w:rsidRPr="00A12E4B">
              <w:rPr>
                <w:rFonts w:eastAsia="Calibri"/>
                <w:b/>
                <w:sz w:val="18"/>
                <w:szCs w:val="18"/>
                <w:lang w:val="en-NZ"/>
              </w:rPr>
              <w:t>N/A</w:t>
            </w:r>
          </w:p>
        </w:tc>
        <w:tc>
          <w:tcPr>
            <w:tcW w:w="1985" w:type="dxa"/>
            <w:shd w:val="clear" w:color="auto" w:fill="FFEEE7"/>
          </w:tcPr>
          <w:p w14:paraId="0863407E" w14:textId="0DB37403" w:rsidR="00F17D31" w:rsidRPr="00F17D31" w:rsidRDefault="00FE6DFD" w:rsidP="00957CE1">
            <w:pPr>
              <w:pStyle w:val="TableText"/>
              <w:keepNext/>
              <w:rPr>
                <w:rFonts w:eastAsia="Calibri"/>
                <w:b/>
                <w:sz w:val="18"/>
                <w:szCs w:val="18"/>
                <w:lang w:val="en-NZ"/>
              </w:rPr>
            </w:pPr>
            <w:r>
              <w:rPr>
                <w:rFonts w:eastAsia="Calibri"/>
                <w:b/>
                <w:sz w:val="18"/>
                <w:szCs w:val="18"/>
                <w:lang w:val="en-NZ"/>
              </w:rPr>
              <w:t>Unknown at present</w:t>
            </w:r>
          </w:p>
        </w:tc>
        <w:tc>
          <w:tcPr>
            <w:tcW w:w="1843" w:type="dxa"/>
            <w:shd w:val="clear" w:color="auto" w:fill="FFEEE7"/>
          </w:tcPr>
          <w:p w14:paraId="62ADC789" w14:textId="35A47CDD" w:rsidR="00F17D31" w:rsidRPr="00F17D31" w:rsidRDefault="00A12E4B" w:rsidP="00957CE1">
            <w:pPr>
              <w:pStyle w:val="TableText"/>
              <w:keepNext/>
              <w:rPr>
                <w:rFonts w:eastAsia="Calibri"/>
                <w:b/>
                <w:sz w:val="18"/>
                <w:szCs w:val="18"/>
                <w:lang w:val="en-NZ"/>
              </w:rPr>
            </w:pPr>
            <w:r w:rsidRPr="00A12E4B">
              <w:rPr>
                <w:rFonts w:eastAsia="Calibri"/>
                <w:b/>
                <w:sz w:val="18"/>
                <w:szCs w:val="18"/>
                <w:lang w:val="en-NZ"/>
              </w:rPr>
              <w:t>N/A</w:t>
            </w:r>
          </w:p>
        </w:tc>
      </w:tr>
      <w:tr w:rsidR="00F17D31" w:rsidRPr="00047B2C" w14:paraId="5A7B7F3B" w14:textId="77777777" w:rsidTr="0016637D">
        <w:trPr>
          <w:trHeight w:val="263"/>
        </w:trPr>
        <w:tc>
          <w:tcPr>
            <w:tcW w:w="2263" w:type="dxa"/>
            <w:shd w:val="clear" w:color="auto" w:fill="E2EFD9" w:themeFill="accent6" w:themeFillTint="33"/>
          </w:tcPr>
          <w:p w14:paraId="2D2B8A22" w14:textId="77777777" w:rsidR="00F17D31" w:rsidRPr="00047B2C" w:rsidRDefault="00F17D31" w:rsidP="00957CE1">
            <w:pPr>
              <w:pStyle w:val="TableText"/>
              <w:keepNext/>
              <w:rPr>
                <w:rFonts w:eastAsia="Calibri"/>
                <w:b/>
                <w:sz w:val="18"/>
                <w:szCs w:val="18"/>
                <w:lang w:val="en-NZ"/>
              </w:rPr>
            </w:pPr>
            <w:r w:rsidRPr="00047B2C">
              <w:rPr>
                <w:rFonts w:eastAsia="Calibri"/>
                <w:b/>
                <w:sz w:val="18"/>
                <w:szCs w:val="18"/>
                <w:lang w:val="en-NZ"/>
              </w:rPr>
              <w:t xml:space="preserve">Non-monetised costs </w:t>
            </w:r>
          </w:p>
        </w:tc>
        <w:tc>
          <w:tcPr>
            <w:tcW w:w="3402" w:type="dxa"/>
            <w:shd w:val="clear" w:color="auto" w:fill="E2EFD9" w:themeFill="accent6" w:themeFillTint="33"/>
          </w:tcPr>
          <w:p w14:paraId="7A5F10BE" w14:textId="42332B0E" w:rsidR="00F17D31" w:rsidRPr="00F17D31" w:rsidRDefault="00F17D31" w:rsidP="00957CE1">
            <w:pPr>
              <w:pStyle w:val="TableText"/>
              <w:keepNext/>
              <w:rPr>
                <w:rFonts w:eastAsia="Calibri"/>
                <w:sz w:val="18"/>
                <w:szCs w:val="18"/>
                <w:lang w:val="en-NZ"/>
              </w:rPr>
            </w:pPr>
          </w:p>
        </w:tc>
        <w:tc>
          <w:tcPr>
            <w:tcW w:w="1985" w:type="dxa"/>
            <w:shd w:val="clear" w:color="auto" w:fill="E2EFD9" w:themeFill="accent6" w:themeFillTint="33"/>
          </w:tcPr>
          <w:p w14:paraId="2C12336C" w14:textId="3C6A8E55" w:rsidR="00F17D31" w:rsidRPr="00047B2C" w:rsidRDefault="00F17D31" w:rsidP="00957CE1">
            <w:pPr>
              <w:pStyle w:val="TableText"/>
              <w:keepNext/>
              <w:rPr>
                <w:rFonts w:eastAsia="Calibri"/>
                <w:i/>
                <w:sz w:val="18"/>
                <w:szCs w:val="18"/>
                <w:lang w:val="en-NZ"/>
              </w:rPr>
            </w:pPr>
          </w:p>
        </w:tc>
        <w:tc>
          <w:tcPr>
            <w:tcW w:w="1843" w:type="dxa"/>
            <w:shd w:val="clear" w:color="auto" w:fill="E2EFD9" w:themeFill="accent6" w:themeFillTint="33"/>
          </w:tcPr>
          <w:p w14:paraId="514B8D60" w14:textId="77777777" w:rsidR="00F17D31" w:rsidRPr="00047B2C" w:rsidRDefault="00F17D31" w:rsidP="00957CE1">
            <w:pPr>
              <w:pStyle w:val="TableText"/>
              <w:keepNext/>
              <w:rPr>
                <w:rFonts w:eastAsia="Calibri"/>
                <w:i/>
                <w:sz w:val="18"/>
                <w:szCs w:val="18"/>
                <w:lang w:val="en-NZ"/>
              </w:rPr>
            </w:pPr>
          </w:p>
        </w:tc>
      </w:tr>
      <w:tr w:rsidR="00F17D31" w:rsidRPr="00047B2C" w14:paraId="46AB17A7" w14:textId="77777777" w:rsidTr="00710E6D">
        <w:trPr>
          <w:trHeight w:val="109"/>
        </w:trPr>
        <w:tc>
          <w:tcPr>
            <w:tcW w:w="9493" w:type="dxa"/>
            <w:gridSpan w:val="4"/>
            <w:shd w:val="clear" w:color="auto" w:fill="F2F2F2" w:themeFill="background1" w:themeFillShade="F2"/>
            <w:vAlign w:val="center"/>
          </w:tcPr>
          <w:p w14:paraId="5CE48ABB" w14:textId="77777777" w:rsidR="00F17D31" w:rsidRPr="00047B2C" w:rsidRDefault="00F17D31" w:rsidP="00710E6D">
            <w:pPr>
              <w:keepNext/>
              <w:spacing w:before="20" w:after="20" w:line="240" w:lineRule="auto"/>
              <w:jc w:val="center"/>
              <w:rPr>
                <w:rFonts w:eastAsia="Calibri"/>
                <w:b/>
                <w:bCs/>
                <w:color w:val="000000"/>
                <w:sz w:val="18"/>
                <w:szCs w:val="18"/>
                <w:lang w:val="en-NZ"/>
              </w:rPr>
            </w:pPr>
            <w:r w:rsidRPr="00047B2C">
              <w:rPr>
                <w:rFonts w:eastAsia="Calibri"/>
                <w:b/>
                <w:bCs/>
                <w:color w:val="000000"/>
                <w:sz w:val="18"/>
                <w:szCs w:val="18"/>
                <w:lang w:val="en-NZ"/>
              </w:rPr>
              <w:t>Additional BENEFITS of the preferred option compared to taking no action</w:t>
            </w:r>
          </w:p>
        </w:tc>
      </w:tr>
      <w:tr w:rsidR="00F17D31" w:rsidRPr="00047B2C" w14:paraId="6E3251FD" w14:textId="77777777" w:rsidTr="0016637D">
        <w:trPr>
          <w:trHeight w:val="381"/>
        </w:trPr>
        <w:tc>
          <w:tcPr>
            <w:tcW w:w="2263" w:type="dxa"/>
            <w:shd w:val="clear" w:color="auto" w:fill="DEEAF6" w:themeFill="accent1" w:themeFillTint="33"/>
          </w:tcPr>
          <w:p w14:paraId="2CB734D7" w14:textId="77777777" w:rsidR="00F17D31" w:rsidRPr="00047B2C" w:rsidRDefault="00F17D31" w:rsidP="00957CE1">
            <w:pPr>
              <w:pStyle w:val="TableText"/>
              <w:rPr>
                <w:rFonts w:eastAsia="Calibri"/>
                <w:sz w:val="18"/>
                <w:szCs w:val="18"/>
                <w:lang w:val="en-NZ"/>
              </w:rPr>
            </w:pPr>
            <w:r w:rsidRPr="00047B2C">
              <w:rPr>
                <w:rFonts w:eastAsia="Calibri"/>
                <w:sz w:val="18"/>
                <w:szCs w:val="18"/>
                <w:lang w:val="en-NZ"/>
              </w:rPr>
              <w:t>Regulated groups</w:t>
            </w:r>
            <w:r>
              <w:rPr>
                <w:rFonts w:eastAsia="Calibri"/>
                <w:sz w:val="18"/>
                <w:szCs w:val="18"/>
                <w:lang w:val="en-NZ"/>
              </w:rPr>
              <w:t xml:space="preserve"> (Societies, venues)</w:t>
            </w:r>
          </w:p>
        </w:tc>
        <w:tc>
          <w:tcPr>
            <w:tcW w:w="3402" w:type="dxa"/>
            <w:shd w:val="clear" w:color="auto" w:fill="DEEAF6" w:themeFill="accent1" w:themeFillTint="33"/>
          </w:tcPr>
          <w:p w14:paraId="0B72E769" w14:textId="77777777" w:rsidR="00F17D31" w:rsidRPr="00047B2C" w:rsidRDefault="00F17D31" w:rsidP="00957CE1">
            <w:pPr>
              <w:pStyle w:val="TableText"/>
              <w:rPr>
                <w:rFonts w:eastAsia="Calibri"/>
                <w:sz w:val="18"/>
                <w:szCs w:val="18"/>
                <w:lang w:val="en-NZ"/>
              </w:rPr>
            </w:pPr>
            <w:r w:rsidRPr="0097491F">
              <w:rPr>
                <w:rFonts w:eastAsia="Calibri"/>
                <w:sz w:val="18"/>
                <w:szCs w:val="18"/>
                <w:lang w:val="en-NZ"/>
              </w:rPr>
              <w:t>-</w:t>
            </w:r>
          </w:p>
        </w:tc>
        <w:tc>
          <w:tcPr>
            <w:tcW w:w="1985" w:type="dxa"/>
            <w:shd w:val="clear" w:color="auto" w:fill="DEEAF6" w:themeFill="accent1" w:themeFillTint="33"/>
          </w:tcPr>
          <w:p w14:paraId="52246FAD" w14:textId="77777777" w:rsidR="00F17D31" w:rsidRPr="00047B2C" w:rsidRDefault="00F17D31" w:rsidP="00957CE1">
            <w:pPr>
              <w:pStyle w:val="TableText"/>
              <w:rPr>
                <w:rFonts w:eastAsia="Calibri"/>
                <w:sz w:val="18"/>
                <w:szCs w:val="18"/>
                <w:lang w:val="en-NZ"/>
              </w:rPr>
            </w:pPr>
            <w:r w:rsidRPr="0097491F">
              <w:rPr>
                <w:rFonts w:eastAsia="Calibri"/>
                <w:sz w:val="18"/>
                <w:szCs w:val="18"/>
                <w:lang w:val="en-NZ"/>
              </w:rPr>
              <w:t>-</w:t>
            </w:r>
          </w:p>
        </w:tc>
        <w:tc>
          <w:tcPr>
            <w:tcW w:w="1843" w:type="dxa"/>
            <w:shd w:val="clear" w:color="auto" w:fill="DEEAF6" w:themeFill="accent1" w:themeFillTint="33"/>
          </w:tcPr>
          <w:p w14:paraId="5ADD1317" w14:textId="77777777" w:rsidR="00F17D31" w:rsidRPr="00047B2C" w:rsidRDefault="00F17D31" w:rsidP="00957CE1">
            <w:pPr>
              <w:pStyle w:val="TableText"/>
              <w:rPr>
                <w:rFonts w:eastAsia="Calibri"/>
                <w:sz w:val="18"/>
                <w:szCs w:val="18"/>
                <w:lang w:val="en-NZ"/>
              </w:rPr>
            </w:pPr>
            <w:r w:rsidRPr="00BF0A0A">
              <w:rPr>
                <w:rFonts w:eastAsia="Calibri"/>
                <w:sz w:val="18"/>
                <w:szCs w:val="18"/>
                <w:lang w:val="en-NZ"/>
              </w:rPr>
              <w:t>-</w:t>
            </w:r>
          </w:p>
        </w:tc>
      </w:tr>
      <w:tr w:rsidR="00FE6DFD" w:rsidRPr="00047B2C" w14:paraId="7CE3CD0A" w14:textId="77777777" w:rsidTr="0016637D">
        <w:trPr>
          <w:trHeight w:val="381"/>
        </w:trPr>
        <w:tc>
          <w:tcPr>
            <w:tcW w:w="2263" w:type="dxa"/>
            <w:shd w:val="clear" w:color="auto" w:fill="DEEAF6" w:themeFill="accent1" w:themeFillTint="33"/>
          </w:tcPr>
          <w:p w14:paraId="1B8041AF" w14:textId="0128BBD6" w:rsidR="00FE6DFD" w:rsidRPr="00047B2C" w:rsidRDefault="00FE6DFD" w:rsidP="00FE6DFD">
            <w:pPr>
              <w:pStyle w:val="TableText"/>
              <w:rPr>
                <w:rFonts w:eastAsia="Calibri"/>
                <w:sz w:val="18"/>
                <w:szCs w:val="18"/>
                <w:lang w:val="en-NZ"/>
              </w:rPr>
            </w:pPr>
            <w:r w:rsidRPr="00047B2C">
              <w:rPr>
                <w:rFonts w:eastAsia="Calibri"/>
                <w:sz w:val="18"/>
                <w:szCs w:val="18"/>
                <w:lang w:val="en-NZ"/>
              </w:rPr>
              <w:t>Regulators</w:t>
            </w:r>
            <w:r>
              <w:rPr>
                <w:rFonts w:eastAsia="Calibri"/>
                <w:sz w:val="18"/>
                <w:szCs w:val="18"/>
                <w:lang w:val="en-NZ"/>
              </w:rPr>
              <w:t xml:space="preserve"> (DIA)</w:t>
            </w:r>
          </w:p>
        </w:tc>
        <w:tc>
          <w:tcPr>
            <w:tcW w:w="3402" w:type="dxa"/>
            <w:shd w:val="clear" w:color="auto" w:fill="DEEAF6" w:themeFill="accent1" w:themeFillTint="33"/>
          </w:tcPr>
          <w:p w14:paraId="2264AA45" w14:textId="348102B2" w:rsidR="00FE6DFD" w:rsidRPr="00047B2C" w:rsidRDefault="00FE6DFD" w:rsidP="00FE6DFD">
            <w:pPr>
              <w:pStyle w:val="TableText"/>
              <w:rPr>
                <w:rFonts w:eastAsia="Calibri"/>
                <w:sz w:val="18"/>
                <w:szCs w:val="18"/>
                <w:lang w:val="en-NZ"/>
              </w:rPr>
            </w:pPr>
            <w:r>
              <w:rPr>
                <w:rFonts w:eastAsia="Calibri"/>
                <w:sz w:val="18"/>
                <w:szCs w:val="18"/>
                <w:lang w:val="en-NZ"/>
              </w:rPr>
              <w:t>FTE impacts in preparing cases for prosecution (ongoing) [1 - 8]</w:t>
            </w:r>
          </w:p>
        </w:tc>
        <w:tc>
          <w:tcPr>
            <w:tcW w:w="1985" w:type="dxa"/>
            <w:shd w:val="clear" w:color="auto" w:fill="DEEAF6" w:themeFill="accent1" w:themeFillTint="33"/>
          </w:tcPr>
          <w:p w14:paraId="0AE4EECA" w14:textId="1D871234" w:rsidR="00FE6DFD" w:rsidRPr="00047B2C" w:rsidRDefault="00FE6DFD" w:rsidP="00FE6DFD">
            <w:pPr>
              <w:pStyle w:val="TableText"/>
              <w:rPr>
                <w:rFonts w:eastAsia="Calibri"/>
                <w:sz w:val="18"/>
                <w:szCs w:val="18"/>
                <w:lang w:val="en-NZ"/>
              </w:rPr>
            </w:pPr>
            <w:r>
              <w:rPr>
                <w:rFonts w:eastAsia="Calibri"/>
                <w:sz w:val="18"/>
                <w:szCs w:val="18"/>
                <w:lang w:val="en-NZ"/>
              </w:rPr>
              <w:t>TBD</w:t>
            </w:r>
          </w:p>
        </w:tc>
        <w:tc>
          <w:tcPr>
            <w:tcW w:w="1843" w:type="dxa"/>
            <w:shd w:val="clear" w:color="auto" w:fill="DEEAF6" w:themeFill="accent1" w:themeFillTint="33"/>
          </w:tcPr>
          <w:p w14:paraId="0BA96712" w14:textId="6EDE3E1E" w:rsidR="00FE6DFD" w:rsidRPr="00047B2C" w:rsidRDefault="000E502E" w:rsidP="00FE6DFD">
            <w:pPr>
              <w:pStyle w:val="TableText"/>
              <w:rPr>
                <w:rFonts w:eastAsia="Calibri"/>
                <w:sz w:val="18"/>
                <w:szCs w:val="18"/>
                <w:lang w:val="en-NZ"/>
              </w:rPr>
            </w:pPr>
            <w:r>
              <w:rPr>
                <w:rFonts w:eastAsia="Calibri"/>
                <w:sz w:val="18"/>
                <w:szCs w:val="18"/>
                <w:lang w:val="en-NZ"/>
              </w:rPr>
              <w:t>High</w:t>
            </w:r>
          </w:p>
        </w:tc>
      </w:tr>
      <w:tr w:rsidR="00FE6DFD" w:rsidRPr="00047B2C" w14:paraId="649BDBDE" w14:textId="77777777" w:rsidTr="0016637D">
        <w:trPr>
          <w:trHeight w:val="263"/>
        </w:trPr>
        <w:tc>
          <w:tcPr>
            <w:tcW w:w="2263" w:type="dxa"/>
            <w:shd w:val="clear" w:color="auto" w:fill="DEEAF6" w:themeFill="accent1" w:themeFillTint="33"/>
          </w:tcPr>
          <w:p w14:paraId="4A3DFEFB" w14:textId="64433BDE" w:rsidR="00FE6DFD" w:rsidRPr="00047B2C" w:rsidRDefault="00FE6DFD" w:rsidP="00FE6DFD">
            <w:pPr>
              <w:pStyle w:val="TableText"/>
              <w:rPr>
                <w:rFonts w:eastAsia="Calibri"/>
                <w:color w:val="000000"/>
                <w:sz w:val="18"/>
                <w:szCs w:val="18"/>
                <w:lang w:val="en-NZ"/>
              </w:rPr>
            </w:pPr>
            <w:r>
              <w:rPr>
                <w:rFonts w:eastAsia="Calibri"/>
                <w:color w:val="000000"/>
                <w:sz w:val="18"/>
                <w:szCs w:val="18"/>
                <w:lang w:val="en-NZ"/>
              </w:rPr>
              <w:t>Harm groups (</w:t>
            </w:r>
            <w:proofErr w:type="spellStart"/>
            <w:r>
              <w:rPr>
                <w:rFonts w:eastAsia="Calibri"/>
                <w:color w:val="000000"/>
                <w:sz w:val="18"/>
                <w:szCs w:val="18"/>
                <w:lang w:val="en-NZ"/>
              </w:rPr>
              <w:t>MoH</w:t>
            </w:r>
            <w:proofErr w:type="spellEnd"/>
            <w:r>
              <w:rPr>
                <w:rFonts w:eastAsia="Calibri"/>
                <w:color w:val="000000"/>
                <w:sz w:val="18"/>
                <w:szCs w:val="18"/>
                <w:lang w:val="en-NZ"/>
              </w:rPr>
              <w:t>, HPA, service providers)</w:t>
            </w:r>
          </w:p>
        </w:tc>
        <w:tc>
          <w:tcPr>
            <w:tcW w:w="3402" w:type="dxa"/>
            <w:shd w:val="clear" w:color="auto" w:fill="DEEAF6" w:themeFill="accent1" w:themeFillTint="33"/>
          </w:tcPr>
          <w:p w14:paraId="476BB0E2" w14:textId="4C8EC1C0" w:rsidR="00FE6DFD" w:rsidRPr="00047B2C" w:rsidRDefault="00FE6DFD" w:rsidP="00FE6DFD">
            <w:pPr>
              <w:pStyle w:val="TableText"/>
              <w:rPr>
                <w:rFonts w:eastAsia="Calibri"/>
                <w:sz w:val="18"/>
                <w:szCs w:val="18"/>
                <w:lang w:val="en-NZ"/>
              </w:rPr>
            </w:pPr>
            <w:r>
              <w:rPr>
                <w:rFonts w:eastAsia="Calibri"/>
                <w:sz w:val="18"/>
                <w:szCs w:val="18"/>
                <w:lang w:val="en-NZ"/>
              </w:rPr>
              <w:t>Decrease in harm minimisation treatment [1 - 8]</w:t>
            </w:r>
          </w:p>
        </w:tc>
        <w:tc>
          <w:tcPr>
            <w:tcW w:w="1985" w:type="dxa"/>
            <w:shd w:val="clear" w:color="auto" w:fill="DEEAF6" w:themeFill="accent1" w:themeFillTint="33"/>
          </w:tcPr>
          <w:p w14:paraId="096DB5CE" w14:textId="6B62339E" w:rsidR="00FE6DFD" w:rsidRPr="00047B2C" w:rsidRDefault="00FE6DFD" w:rsidP="00FE6DFD">
            <w:pPr>
              <w:pStyle w:val="TableText"/>
              <w:rPr>
                <w:rFonts w:eastAsia="Calibri"/>
                <w:sz w:val="18"/>
                <w:szCs w:val="18"/>
                <w:lang w:val="en-NZ"/>
              </w:rPr>
            </w:pPr>
            <w:r>
              <w:rPr>
                <w:rFonts w:eastAsia="Calibri"/>
                <w:sz w:val="18"/>
                <w:szCs w:val="18"/>
                <w:lang w:val="en-NZ"/>
              </w:rPr>
              <w:t>TBD</w:t>
            </w:r>
          </w:p>
        </w:tc>
        <w:tc>
          <w:tcPr>
            <w:tcW w:w="1843" w:type="dxa"/>
            <w:shd w:val="clear" w:color="auto" w:fill="DEEAF6" w:themeFill="accent1" w:themeFillTint="33"/>
          </w:tcPr>
          <w:p w14:paraId="50E4624C" w14:textId="1E8BF233" w:rsidR="00FE6DFD" w:rsidRPr="00047B2C" w:rsidRDefault="000E502E" w:rsidP="00FE6DFD">
            <w:pPr>
              <w:pStyle w:val="TableText"/>
              <w:rPr>
                <w:rFonts w:eastAsia="Calibri"/>
                <w:sz w:val="18"/>
                <w:szCs w:val="18"/>
                <w:lang w:val="en-NZ"/>
              </w:rPr>
            </w:pPr>
            <w:r>
              <w:rPr>
                <w:rFonts w:eastAsia="Calibri"/>
                <w:sz w:val="18"/>
                <w:szCs w:val="18"/>
                <w:lang w:val="en-NZ"/>
              </w:rPr>
              <w:t>High</w:t>
            </w:r>
          </w:p>
        </w:tc>
      </w:tr>
      <w:tr w:rsidR="00FE6DFD" w:rsidRPr="00047B2C" w14:paraId="469649F3" w14:textId="77777777" w:rsidTr="0016637D">
        <w:trPr>
          <w:trHeight w:val="263"/>
        </w:trPr>
        <w:tc>
          <w:tcPr>
            <w:tcW w:w="2263" w:type="dxa"/>
            <w:shd w:val="clear" w:color="auto" w:fill="DEEAF6" w:themeFill="accent1" w:themeFillTint="33"/>
          </w:tcPr>
          <w:p w14:paraId="4A4EC0D2" w14:textId="300A2656" w:rsidR="00FE6DFD" w:rsidRPr="00047B2C" w:rsidRDefault="00FE6DFD" w:rsidP="00FE6DFD">
            <w:pPr>
              <w:pStyle w:val="TableText"/>
              <w:rPr>
                <w:rFonts w:eastAsia="Calibri"/>
                <w:color w:val="000000"/>
                <w:sz w:val="18"/>
                <w:szCs w:val="18"/>
                <w:lang w:val="en-NZ"/>
              </w:rPr>
            </w:pPr>
            <w:r>
              <w:rPr>
                <w:rFonts w:eastAsia="Calibri"/>
                <w:color w:val="000000"/>
                <w:sz w:val="18"/>
                <w:szCs w:val="18"/>
                <w:lang w:val="en-NZ"/>
              </w:rPr>
              <w:lastRenderedPageBreak/>
              <w:t>Gamblers</w:t>
            </w:r>
          </w:p>
        </w:tc>
        <w:tc>
          <w:tcPr>
            <w:tcW w:w="3402" w:type="dxa"/>
            <w:shd w:val="clear" w:color="auto" w:fill="DEEAF6" w:themeFill="accent1" w:themeFillTint="33"/>
          </w:tcPr>
          <w:p w14:paraId="4A4804B7" w14:textId="2682DDA0" w:rsidR="00FE6DFD" w:rsidRPr="00047B2C" w:rsidRDefault="00FE6DFD" w:rsidP="00FE6DFD">
            <w:pPr>
              <w:pStyle w:val="TableText"/>
              <w:keepNext/>
              <w:rPr>
                <w:rFonts w:eastAsia="Calibri"/>
                <w:sz w:val="18"/>
                <w:szCs w:val="18"/>
                <w:lang w:val="en-NZ"/>
              </w:rPr>
            </w:pPr>
            <w:r>
              <w:rPr>
                <w:rFonts w:eastAsia="Calibri"/>
                <w:sz w:val="18"/>
                <w:szCs w:val="18"/>
                <w:lang w:val="en-NZ"/>
              </w:rPr>
              <w:t>Reduction in expenditure on harmful gambling, monies available for other uses [1 - 8]</w:t>
            </w:r>
          </w:p>
        </w:tc>
        <w:tc>
          <w:tcPr>
            <w:tcW w:w="1985" w:type="dxa"/>
            <w:shd w:val="clear" w:color="auto" w:fill="DEEAF6" w:themeFill="accent1" w:themeFillTint="33"/>
          </w:tcPr>
          <w:p w14:paraId="47E9C4CF" w14:textId="52167D7C" w:rsidR="00FE6DFD" w:rsidRPr="00047B2C" w:rsidRDefault="00FE6DFD" w:rsidP="00FE6DFD">
            <w:pPr>
              <w:pStyle w:val="TableText"/>
              <w:rPr>
                <w:rFonts w:eastAsia="Calibri"/>
                <w:sz w:val="18"/>
                <w:szCs w:val="18"/>
                <w:lang w:val="en-NZ"/>
              </w:rPr>
            </w:pPr>
            <w:r>
              <w:rPr>
                <w:rFonts w:eastAsia="Calibri"/>
                <w:sz w:val="18"/>
                <w:szCs w:val="18"/>
                <w:lang w:val="en-NZ"/>
              </w:rPr>
              <w:t>TBD</w:t>
            </w:r>
          </w:p>
        </w:tc>
        <w:tc>
          <w:tcPr>
            <w:tcW w:w="1843" w:type="dxa"/>
            <w:shd w:val="clear" w:color="auto" w:fill="DEEAF6" w:themeFill="accent1" w:themeFillTint="33"/>
          </w:tcPr>
          <w:p w14:paraId="6E301B5A" w14:textId="5379019C" w:rsidR="00FE6DFD" w:rsidRPr="00047B2C" w:rsidRDefault="000E502E" w:rsidP="00FE6DFD">
            <w:pPr>
              <w:pStyle w:val="TableText"/>
              <w:rPr>
                <w:rFonts w:eastAsia="Calibri"/>
                <w:sz w:val="18"/>
                <w:szCs w:val="18"/>
                <w:lang w:val="en-NZ"/>
              </w:rPr>
            </w:pPr>
            <w:r>
              <w:rPr>
                <w:rFonts w:eastAsia="Calibri"/>
                <w:sz w:val="18"/>
                <w:szCs w:val="18"/>
                <w:lang w:val="en-NZ"/>
              </w:rPr>
              <w:t>High</w:t>
            </w:r>
          </w:p>
        </w:tc>
      </w:tr>
      <w:tr w:rsidR="00F17D31" w:rsidRPr="00047B2C" w14:paraId="3ECF2CBC" w14:textId="77777777" w:rsidTr="0016637D">
        <w:trPr>
          <w:trHeight w:val="263"/>
        </w:trPr>
        <w:tc>
          <w:tcPr>
            <w:tcW w:w="2263" w:type="dxa"/>
            <w:shd w:val="clear" w:color="auto" w:fill="DEEAF6" w:themeFill="accent1" w:themeFillTint="33"/>
          </w:tcPr>
          <w:p w14:paraId="0E9FCBAB" w14:textId="77777777" w:rsidR="00F17D31" w:rsidRPr="00047B2C" w:rsidRDefault="00F17D31" w:rsidP="00957CE1">
            <w:pPr>
              <w:pStyle w:val="TableText"/>
              <w:rPr>
                <w:rFonts w:eastAsia="Calibri"/>
                <w:sz w:val="18"/>
                <w:szCs w:val="18"/>
                <w:lang w:val="en-NZ"/>
              </w:rPr>
            </w:pPr>
            <w:r w:rsidRPr="00047B2C">
              <w:rPr>
                <w:rFonts w:eastAsia="Calibri"/>
                <w:color w:val="000000"/>
                <w:sz w:val="18"/>
                <w:szCs w:val="18"/>
                <w:lang w:val="en-NZ"/>
              </w:rPr>
              <w:t xml:space="preserve">Others </w:t>
            </w:r>
          </w:p>
        </w:tc>
        <w:tc>
          <w:tcPr>
            <w:tcW w:w="3402" w:type="dxa"/>
            <w:shd w:val="clear" w:color="auto" w:fill="DEEAF6" w:themeFill="accent1" w:themeFillTint="33"/>
          </w:tcPr>
          <w:p w14:paraId="2355112D" w14:textId="77777777" w:rsidR="00F17D31" w:rsidRPr="00047B2C" w:rsidRDefault="00F17D31" w:rsidP="00957CE1">
            <w:pPr>
              <w:pStyle w:val="TableText"/>
              <w:rPr>
                <w:rFonts w:eastAsia="Calibri"/>
                <w:sz w:val="18"/>
                <w:szCs w:val="18"/>
                <w:lang w:val="en-NZ"/>
              </w:rPr>
            </w:pPr>
          </w:p>
        </w:tc>
        <w:tc>
          <w:tcPr>
            <w:tcW w:w="1985" w:type="dxa"/>
            <w:shd w:val="clear" w:color="auto" w:fill="DEEAF6" w:themeFill="accent1" w:themeFillTint="33"/>
          </w:tcPr>
          <w:p w14:paraId="1180ABB7" w14:textId="0C47EF08" w:rsidR="00F17D31" w:rsidRPr="00047B2C" w:rsidRDefault="00F17D31" w:rsidP="00957CE1">
            <w:pPr>
              <w:pStyle w:val="TableText"/>
              <w:rPr>
                <w:rFonts w:eastAsia="Calibri"/>
                <w:sz w:val="18"/>
                <w:szCs w:val="18"/>
                <w:lang w:val="en-NZ"/>
              </w:rPr>
            </w:pPr>
          </w:p>
        </w:tc>
        <w:tc>
          <w:tcPr>
            <w:tcW w:w="1843" w:type="dxa"/>
            <w:shd w:val="clear" w:color="auto" w:fill="DEEAF6" w:themeFill="accent1" w:themeFillTint="33"/>
          </w:tcPr>
          <w:p w14:paraId="10484015" w14:textId="77777777" w:rsidR="00F17D31" w:rsidRPr="00047B2C" w:rsidRDefault="00F17D31" w:rsidP="00957CE1">
            <w:pPr>
              <w:pStyle w:val="TableText"/>
              <w:rPr>
                <w:rFonts w:eastAsia="Calibri"/>
                <w:sz w:val="18"/>
                <w:szCs w:val="18"/>
                <w:lang w:val="en-NZ"/>
              </w:rPr>
            </w:pPr>
            <w:r w:rsidRPr="00BF0A0A">
              <w:rPr>
                <w:rFonts w:eastAsia="Calibri"/>
                <w:sz w:val="18"/>
                <w:szCs w:val="18"/>
                <w:lang w:val="en-NZ"/>
              </w:rPr>
              <w:t>-</w:t>
            </w:r>
          </w:p>
        </w:tc>
      </w:tr>
      <w:tr w:rsidR="00F17D31" w:rsidRPr="00047B2C" w14:paraId="1D88807E" w14:textId="77777777" w:rsidTr="0016637D">
        <w:trPr>
          <w:trHeight w:val="263"/>
        </w:trPr>
        <w:tc>
          <w:tcPr>
            <w:tcW w:w="2263" w:type="dxa"/>
            <w:shd w:val="clear" w:color="auto" w:fill="DEEAF6" w:themeFill="accent1" w:themeFillTint="33"/>
          </w:tcPr>
          <w:p w14:paraId="2CF41099" w14:textId="77777777" w:rsidR="00F17D31" w:rsidRPr="00047B2C" w:rsidRDefault="00F17D31" w:rsidP="00957CE1">
            <w:pPr>
              <w:pStyle w:val="TableText"/>
              <w:rPr>
                <w:rFonts w:eastAsia="Calibri"/>
                <w:b/>
                <w:sz w:val="18"/>
                <w:szCs w:val="18"/>
                <w:lang w:val="en-NZ"/>
              </w:rPr>
            </w:pPr>
            <w:r w:rsidRPr="00047B2C">
              <w:rPr>
                <w:rFonts w:eastAsia="Calibri"/>
                <w:b/>
                <w:sz w:val="18"/>
                <w:szCs w:val="18"/>
                <w:lang w:val="en-NZ"/>
              </w:rPr>
              <w:t>Total monetised benefits</w:t>
            </w:r>
          </w:p>
        </w:tc>
        <w:tc>
          <w:tcPr>
            <w:tcW w:w="3402" w:type="dxa"/>
            <w:shd w:val="clear" w:color="auto" w:fill="DEEAF6" w:themeFill="accent1" w:themeFillTint="33"/>
          </w:tcPr>
          <w:p w14:paraId="2A2D916E" w14:textId="6076C396" w:rsidR="00F17D31" w:rsidRPr="00047B2C" w:rsidRDefault="00A12E4B" w:rsidP="00957CE1">
            <w:pPr>
              <w:pStyle w:val="TableText"/>
              <w:rPr>
                <w:rFonts w:eastAsia="Calibri"/>
                <w:sz w:val="18"/>
                <w:szCs w:val="18"/>
                <w:lang w:val="en-NZ"/>
              </w:rPr>
            </w:pPr>
            <w:r w:rsidRPr="00A12E4B">
              <w:rPr>
                <w:rFonts w:eastAsia="Calibri"/>
                <w:b/>
                <w:sz w:val="18"/>
                <w:szCs w:val="18"/>
                <w:lang w:val="en-NZ"/>
              </w:rPr>
              <w:t>N/A</w:t>
            </w:r>
          </w:p>
        </w:tc>
        <w:tc>
          <w:tcPr>
            <w:tcW w:w="1985" w:type="dxa"/>
            <w:shd w:val="clear" w:color="auto" w:fill="DEEAF6" w:themeFill="accent1" w:themeFillTint="33"/>
          </w:tcPr>
          <w:p w14:paraId="3130E641" w14:textId="444CE97B" w:rsidR="00F17D31" w:rsidRPr="00FE6DFD" w:rsidRDefault="00FE6DFD" w:rsidP="00957CE1">
            <w:pPr>
              <w:pStyle w:val="TableText"/>
              <w:rPr>
                <w:rFonts w:eastAsia="Calibri"/>
                <w:b/>
                <w:sz w:val="18"/>
                <w:szCs w:val="18"/>
                <w:lang w:val="en-NZ"/>
              </w:rPr>
            </w:pPr>
            <w:r w:rsidRPr="00FE6DFD">
              <w:rPr>
                <w:rFonts w:eastAsia="Calibri"/>
                <w:b/>
                <w:sz w:val="18"/>
                <w:szCs w:val="18"/>
                <w:lang w:val="en-NZ"/>
              </w:rPr>
              <w:t>Unknown at present</w:t>
            </w:r>
          </w:p>
        </w:tc>
        <w:tc>
          <w:tcPr>
            <w:tcW w:w="1843" w:type="dxa"/>
            <w:shd w:val="clear" w:color="auto" w:fill="DEEAF6" w:themeFill="accent1" w:themeFillTint="33"/>
          </w:tcPr>
          <w:p w14:paraId="3BFE156B" w14:textId="02570C12" w:rsidR="00F17D31" w:rsidRPr="00047B2C" w:rsidRDefault="00A12E4B" w:rsidP="00957CE1">
            <w:pPr>
              <w:pStyle w:val="TableText"/>
              <w:rPr>
                <w:rFonts w:eastAsia="Calibri"/>
                <w:sz w:val="18"/>
                <w:szCs w:val="18"/>
                <w:lang w:val="en-NZ"/>
              </w:rPr>
            </w:pPr>
            <w:r w:rsidRPr="00A12E4B">
              <w:rPr>
                <w:rFonts w:eastAsia="Calibri"/>
                <w:b/>
                <w:sz w:val="18"/>
                <w:szCs w:val="18"/>
                <w:lang w:val="en-NZ"/>
              </w:rPr>
              <w:t>N/A</w:t>
            </w:r>
          </w:p>
        </w:tc>
      </w:tr>
      <w:tr w:rsidR="00FE6DFD" w:rsidRPr="00047B2C" w14:paraId="07FE4F86" w14:textId="77777777" w:rsidTr="0016637D">
        <w:trPr>
          <w:trHeight w:val="187"/>
        </w:trPr>
        <w:tc>
          <w:tcPr>
            <w:tcW w:w="2263" w:type="dxa"/>
            <w:vMerge w:val="restart"/>
            <w:shd w:val="clear" w:color="auto" w:fill="E2EFD9" w:themeFill="accent6" w:themeFillTint="33"/>
          </w:tcPr>
          <w:p w14:paraId="18B6145A" w14:textId="76A2202B" w:rsidR="00FE6DFD" w:rsidRPr="00047B2C" w:rsidRDefault="00E27AFE" w:rsidP="00FE6DFD">
            <w:pPr>
              <w:pStyle w:val="TableText"/>
              <w:rPr>
                <w:rFonts w:eastAsia="Calibri"/>
                <w:b/>
                <w:sz w:val="18"/>
                <w:szCs w:val="18"/>
                <w:lang w:val="en-NZ"/>
              </w:rPr>
            </w:pPr>
            <w:r w:rsidRPr="00047B2C">
              <w:rPr>
                <w:rFonts w:eastAsia="Calibri"/>
                <w:b/>
                <w:sz w:val="18"/>
                <w:szCs w:val="18"/>
                <w:lang w:val="en-NZ"/>
              </w:rPr>
              <w:t>Non-monetised benefits</w:t>
            </w:r>
            <w:r>
              <w:rPr>
                <w:rFonts w:eastAsia="Calibri"/>
                <w:b/>
                <w:sz w:val="18"/>
                <w:szCs w:val="18"/>
                <w:lang w:val="en-NZ"/>
              </w:rPr>
              <w:t xml:space="preserve"> (</w:t>
            </w:r>
            <w:r w:rsidRPr="00E27AFE">
              <w:rPr>
                <w:rFonts w:eastAsia="Calibri"/>
                <w:b/>
                <w:sz w:val="18"/>
                <w:szCs w:val="18"/>
                <w:lang w:val="en-NZ"/>
              </w:rPr>
              <w:t>burden of harm / quality of life indicators)</w:t>
            </w:r>
          </w:p>
        </w:tc>
        <w:tc>
          <w:tcPr>
            <w:tcW w:w="3402" w:type="dxa"/>
            <w:shd w:val="clear" w:color="auto" w:fill="E2EFD9" w:themeFill="accent6" w:themeFillTint="33"/>
          </w:tcPr>
          <w:p w14:paraId="1C378B7A" w14:textId="709035BE" w:rsidR="00FE6DFD" w:rsidRPr="00047B2C" w:rsidRDefault="00FE6DFD" w:rsidP="00FE6DFD">
            <w:pPr>
              <w:pStyle w:val="TableText"/>
              <w:rPr>
                <w:rFonts w:eastAsia="Calibri"/>
                <w:sz w:val="18"/>
                <w:szCs w:val="18"/>
                <w:lang w:val="en-NZ"/>
              </w:rPr>
            </w:pPr>
            <w:r>
              <w:rPr>
                <w:rFonts w:eastAsia="Calibri"/>
                <w:sz w:val="18"/>
                <w:szCs w:val="18"/>
                <w:lang w:val="en-NZ"/>
              </w:rPr>
              <w:t>Reduction in individuals experiencing harmful gambling.</w:t>
            </w:r>
          </w:p>
        </w:tc>
        <w:tc>
          <w:tcPr>
            <w:tcW w:w="1985" w:type="dxa"/>
            <w:shd w:val="clear" w:color="auto" w:fill="E2EFD9" w:themeFill="accent6" w:themeFillTint="33"/>
          </w:tcPr>
          <w:p w14:paraId="19EE8570" w14:textId="676AA5FE" w:rsidR="00FE6DFD" w:rsidRPr="00047B2C" w:rsidRDefault="00FE6DFD" w:rsidP="00FE6DFD">
            <w:pPr>
              <w:pStyle w:val="TableText"/>
              <w:rPr>
                <w:rFonts w:eastAsia="Calibri"/>
                <w:i/>
                <w:sz w:val="18"/>
                <w:szCs w:val="18"/>
                <w:lang w:val="en-NZ"/>
              </w:rPr>
            </w:pPr>
            <w:r w:rsidRPr="00A2767A">
              <w:rPr>
                <w:rFonts w:eastAsia="Calibri"/>
                <w:sz w:val="18"/>
                <w:szCs w:val="18"/>
                <w:lang w:val="en-NZ"/>
              </w:rPr>
              <w:t>Medium</w:t>
            </w:r>
          </w:p>
        </w:tc>
        <w:tc>
          <w:tcPr>
            <w:tcW w:w="1843" w:type="dxa"/>
            <w:shd w:val="clear" w:color="auto" w:fill="E2EFD9" w:themeFill="accent6" w:themeFillTint="33"/>
          </w:tcPr>
          <w:p w14:paraId="6E81E36A" w14:textId="78A3F73D" w:rsidR="00FE6DFD" w:rsidRPr="00047B2C" w:rsidRDefault="000E502E" w:rsidP="00FE6DFD">
            <w:pPr>
              <w:pStyle w:val="TableText"/>
              <w:rPr>
                <w:rFonts w:eastAsia="Calibri"/>
                <w:i/>
                <w:sz w:val="18"/>
                <w:szCs w:val="18"/>
                <w:lang w:val="en-NZ"/>
              </w:rPr>
            </w:pPr>
            <w:r>
              <w:rPr>
                <w:rFonts w:eastAsia="Calibri"/>
                <w:sz w:val="18"/>
                <w:szCs w:val="18"/>
                <w:lang w:val="en-NZ"/>
              </w:rPr>
              <w:t>High</w:t>
            </w:r>
          </w:p>
        </w:tc>
      </w:tr>
      <w:tr w:rsidR="00FE6DFD" w:rsidRPr="00047B2C" w14:paraId="4DB7F697" w14:textId="77777777" w:rsidTr="0016637D">
        <w:trPr>
          <w:trHeight w:val="302"/>
        </w:trPr>
        <w:tc>
          <w:tcPr>
            <w:tcW w:w="2263" w:type="dxa"/>
            <w:vMerge/>
            <w:shd w:val="clear" w:color="auto" w:fill="E2EFD9" w:themeFill="accent6" w:themeFillTint="33"/>
          </w:tcPr>
          <w:p w14:paraId="423D7E74" w14:textId="77777777" w:rsidR="00FE6DFD" w:rsidRPr="00047B2C" w:rsidRDefault="00FE6DFD" w:rsidP="00FE6DFD">
            <w:pPr>
              <w:pStyle w:val="TableText"/>
              <w:rPr>
                <w:rFonts w:eastAsia="Calibri"/>
                <w:b/>
                <w:sz w:val="18"/>
                <w:szCs w:val="18"/>
                <w:lang w:val="en-NZ"/>
              </w:rPr>
            </w:pPr>
          </w:p>
        </w:tc>
        <w:tc>
          <w:tcPr>
            <w:tcW w:w="3402" w:type="dxa"/>
            <w:shd w:val="clear" w:color="auto" w:fill="E2EFD9" w:themeFill="accent6" w:themeFillTint="33"/>
          </w:tcPr>
          <w:p w14:paraId="4C28F983" w14:textId="1922C7CF" w:rsidR="00FE6DFD" w:rsidRDefault="00FE6DFD" w:rsidP="00FE6DFD">
            <w:pPr>
              <w:pStyle w:val="TableText"/>
              <w:rPr>
                <w:rFonts w:eastAsia="Calibri"/>
                <w:sz w:val="18"/>
                <w:szCs w:val="18"/>
                <w:lang w:val="en-NZ"/>
              </w:rPr>
            </w:pPr>
            <w:r>
              <w:rPr>
                <w:rFonts w:eastAsia="Calibri"/>
                <w:sz w:val="18"/>
                <w:szCs w:val="18"/>
                <w:lang w:val="en-NZ"/>
              </w:rPr>
              <w:t>Reduction in second hand harm in the community.</w:t>
            </w:r>
          </w:p>
        </w:tc>
        <w:tc>
          <w:tcPr>
            <w:tcW w:w="1985" w:type="dxa"/>
            <w:shd w:val="clear" w:color="auto" w:fill="E2EFD9" w:themeFill="accent6" w:themeFillTint="33"/>
          </w:tcPr>
          <w:p w14:paraId="5AF8FA78" w14:textId="1CEB046C" w:rsidR="00FE6DFD" w:rsidRDefault="000E502E" w:rsidP="00FE6DFD">
            <w:pPr>
              <w:pStyle w:val="TableText"/>
              <w:rPr>
                <w:rFonts w:eastAsia="Calibri"/>
                <w:i/>
                <w:sz w:val="18"/>
                <w:szCs w:val="18"/>
                <w:lang w:val="en-NZ"/>
              </w:rPr>
            </w:pPr>
            <w:r>
              <w:rPr>
                <w:rFonts w:eastAsia="Calibri"/>
                <w:sz w:val="18"/>
                <w:szCs w:val="18"/>
                <w:lang w:val="en-NZ"/>
              </w:rPr>
              <w:t>Low</w:t>
            </w:r>
          </w:p>
        </w:tc>
        <w:tc>
          <w:tcPr>
            <w:tcW w:w="1843" w:type="dxa"/>
            <w:shd w:val="clear" w:color="auto" w:fill="E2EFD9" w:themeFill="accent6" w:themeFillTint="33"/>
          </w:tcPr>
          <w:p w14:paraId="1CADAC4E" w14:textId="49D24D53" w:rsidR="00FE6DFD" w:rsidRPr="00047B2C" w:rsidRDefault="000E502E" w:rsidP="00FE6DFD">
            <w:pPr>
              <w:pStyle w:val="TableText"/>
              <w:rPr>
                <w:rFonts w:eastAsia="Calibri"/>
                <w:i/>
                <w:sz w:val="18"/>
                <w:szCs w:val="18"/>
                <w:lang w:val="en-NZ"/>
              </w:rPr>
            </w:pPr>
            <w:r>
              <w:rPr>
                <w:rFonts w:eastAsia="Calibri"/>
                <w:sz w:val="18"/>
                <w:szCs w:val="18"/>
                <w:lang w:val="en-NZ"/>
              </w:rPr>
              <w:t>High</w:t>
            </w:r>
          </w:p>
        </w:tc>
      </w:tr>
      <w:tr w:rsidR="00FE6DFD" w:rsidRPr="00047B2C" w14:paraId="41C25C20" w14:textId="77777777" w:rsidTr="0016637D">
        <w:trPr>
          <w:trHeight w:val="187"/>
        </w:trPr>
        <w:tc>
          <w:tcPr>
            <w:tcW w:w="2263" w:type="dxa"/>
            <w:vMerge/>
            <w:shd w:val="clear" w:color="auto" w:fill="E2EFD9" w:themeFill="accent6" w:themeFillTint="33"/>
          </w:tcPr>
          <w:p w14:paraId="257BD8EC" w14:textId="77777777" w:rsidR="00FE6DFD" w:rsidRPr="00047B2C" w:rsidRDefault="00FE6DFD" w:rsidP="00FE6DFD">
            <w:pPr>
              <w:pStyle w:val="TableText"/>
              <w:rPr>
                <w:rFonts w:eastAsia="Calibri"/>
                <w:b/>
                <w:sz w:val="18"/>
                <w:szCs w:val="18"/>
                <w:lang w:val="en-NZ"/>
              </w:rPr>
            </w:pPr>
          </w:p>
        </w:tc>
        <w:tc>
          <w:tcPr>
            <w:tcW w:w="3402" w:type="dxa"/>
            <w:shd w:val="clear" w:color="auto" w:fill="E2EFD9" w:themeFill="accent6" w:themeFillTint="33"/>
          </w:tcPr>
          <w:p w14:paraId="1B3D95F3" w14:textId="0DBB3848" w:rsidR="00FE6DFD" w:rsidRDefault="00FE6DFD" w:rsidP="00FE6DFD">
            <w:pPr>
              <w:pStyle w:val="TableText"/>
              <w:rPr>
                <w:rFonts w:eastAsia="Calibri"/>
                <w:sz w:val="18"/>
                <w:szCs w:val="18"/>
                <w:lang w:val="en-NZ"/>
              </w:rPr>
            </w:pPr>
            <w:r>
              <w:rPr>
                <w:rFonts w:eastAsia="Calibri"/>
                <w:sz w:val="18"/>
                <w:szCs w:val="18"/>
                <w:lang w:val="en-NZ"/>
              </w:rPr>
              <w:t xml:space="preserve">Safer environment for people choosing to gamble </w:t>
            </w:r>
          </w:p>
        </w:tc>
        <w:tc>
          <w:tcPr>
            <w:tcW w:w="1985" w:type="dxa"/>
            <w:shd w:val="clear" w:color="auto" w:fill="E2EFD9" w:themeFill="accent6" w:themeFillTint="33"/>
          </w:tcPr>
          <w:p w14:paraId="24AE584E" w14:textId="4FCED22B" w:rsidR="00FE6DFD" w:rsidRDefault="000E502E" w:rsidP="00FE6DFD">
            <w:pPr>
              <w:pStyle w:val="TableText"/>
              <w:rPr>
                <w:rFonts w:eastAsia="Calibri"/>
                <w:i/>
                <w:sz w:val="18"/>
                <w:szCs w:val="18"/>
                <w:lang w:val="en-NZ"/>
              </w:rPr>
            </w:pPr>
            <w:r>
              <w:rPr>
                <w:rFonts w:eastAsia="Calibri"/>
                <w:sz w:val="18"/>
                <w:szCs w:val="18"/>
                <w:lang w:val="en-NZ"/>
              </w:rPr>
              <w:t>Low</w:t>
            </w:r>
          </w:p>
        </w:tc>
        <w:tc>
          <w:tcPr>
            <w:tcW w:w="1843" w:type="dxa"/>
            <w:shd w:val="clear" w:color="auto" w:fill="E2EFD9" w:themeFill="accent6" w:themeFillTint="33"/>
          </w:tcPr>
          <w:p w14:paraId="4F7E77AF" w14:textId="62EA5C84" w:rsidR="00FE6DFD" w:rsidRPr="00047B2C" w:rsidRDefault="000E502E" w:rsidP="00FE6DFD">
            <w:pPr>
              <w:pStyle w:val="TableText"/>
              <w:rPr>
                <w:rFonts w:eastAsia="Calibri"/>
                <w:i/>
                <w:sz w:val="18"/>
                <w:szCs w:val="18"/>
                <w:lang w:val="en-NZ"/>
              </w:rPr>
            </w:pPr>
            <w:r>
              <w:rPr>
                <w:rFonts w:eastAsia="Calibri"/>
                <w:sz w:val="18"/>
                <w:szCs w:val="18"/>
                <w:lang w:val="en-NZ"/>
              </w:rPr>
              <w:t>High</w:t>
            </w:r>
          </w:p>
        </w:tc>
      </w:tr>
    </w:tbl>
    <w:p w14:paraId="1132BF09" w14:textId="62D78912" w:rsidR="008F0774" w:rsidRPr="00710E6D" w:rsidRDefault="008F0774" w:rsidP="00710E6D">
      <w:pPr>
        <w:spacing w:after="0" w:line="240" w:lineRule="auto"/>
        <w:rPr>
          <w:sz w:val="10"/>
          <w:szCs w:val="10"/>
          <w:lang w:val="en-NZ"/>
        </w:rPr>
      </w:pPr>
    </w:p>
    <w:tbl>
      <w:tblPr>
        <w:tblpPr w:leftFromText="180" w:rightFromText="180" w:vertAnchor="text" w:horzAnchor="margin" w:tblpY="12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402"/>
        <w:gridCol w:w="1985"/>
        <w:gridCol w:w="1843"/>
      </w:tblGrid>
      <w:tr w:rsidR="00362DF6" w:rsidRPr="00047B2C" w14:paraId="5555B98F" w14:textId="77777777" w:rsidTr="00957CE1">
        <w:trPr>
          <w:trHeight w:val="271"/>
        </w:trPr>
        <w:tc>
          <w:tcPr>
            <w:tcW w:w="9493" w:type="dxa"/>
            <w:gridSpan w:val="4"/>
            <w:shd w:val="clear" w:color="auto" w:fill="000000" w:themeFill="text1"/>
          </w:tcPr>
          <w:p w14:paraId="561095F5" w14:textId="25A46F93" w:rsidR="00362DF6" w:rsidRPr="00047B2C" w:rsidRDefault="00362DF6" w:rsidP="00957CE1">
            <w:pPr>
              <w:pStyle w:val="TableText"/>
              <w:keepNext/>
              <w:rPr>
                <w:rFonts w:eastAsia="Calibri"/>
                <w:b/>
                <w:color w:val="000000"/>
                <w:sz w:val="18"/>
                <w:szCs w:val="18"/>
                <w:lang w:val="en-NZ"/>
              </w:rPr>
            </w:pPr>
            <w:r w:rsidRPr="005872B2">
              <w:rPr>
                <w:rFonts w:cstheme="minorBidi"/>
                <w:b/>
                <w:sz w:val="18"/>
                <w:szCs w:val="18"/>
                <w:lang w:val="en-NZ"/>
              </w:rPr>
              <w:t xml:space="preserve">Part </w:t>
            </w:r>
            <w:r w:rsidR="00FE6DFD">
              <w:rPr>
                <w:rFonts w:cstheme="minorBidi"/>
                <w:b/>
                <w:sz w:val="18"/>
                <w:szCs w:val="18"/>
                <w:lang w:val="en-NZ"/>
              </w:rPr>
              <w:t>C</w:t>
            </w:r>
            <w:r w:rsidRPr="005872B2">
              <w:rPr>
                <w:rFonts w:cstheme="minorBidi"/>
                <w:b/>
                <w:sz w:val="18"/>
                <w:szCs w:val="18"/>
                <w:lang w:val="en-NZ"/>
              </w:rPr>
              <w:t xml:space="preserve"> – </w:t>
            </w:r>
            <w:r w:rsidR="00FE6DFD">
              <w:rPr>
                <w:rFonts w:cstheme="minorBidi"/>
                <w:b/>
                <w:sz w:val="18"/>
                <w:szCs w:val="18"/>
                <w:lang w:val="en-NZ"/>
              </w:rPr>
              <w:t>Enforcement tools</w:t>
            </w:r>
          </w:p>
        </w:tc>
      </w:tr>
      <w:tr w:rsidR="00362DF6" w:rsidRPr="00047B2C" w14:paraId="53875ED9" w14:textId="77777777" w:rsidTr="00710E6D">
        <w:trPr>
          <w:trHeight w:val="475"/>
        </w:trPr>
        <w:tc>
          <w:tcPr>
            <w:tcW w:w="9493" w:type="dxa"/>
            <w:gridSpan w:val="4"/>
            <w:shd w:val="clear" w:color="auto" w:fill="FFFFFF" w:themeFill="background1"/>
          </w:tcPr>
          <w:p w14:paraId="32862C10" w14:textId="77777777" w:rsidR="00362DF6" w:rsidRPr="00362DF6" w:rsidRDefault="00362DF6" w:rsidP="00710E6D">
            <w:pPr>
              <w:pStyle w:val="TableText"/>
              <w:keepNext/>
              <w:spacing w:before="40" w:after="20" w:line="240" w:lineRule="auto"/>
              <w:ind w:left="312" w:hanging="312"/>
              <w:rPr>
                <w:rFonts w:eastAsia="Calibri"/>
                <w:sz w:val="18"/>
                <w:szCs w:val="18"/>
                <w:lang w:val="en-NZ"/>
              </w:rPr>
            </w:pPr>
            <w:r w:rsidRPr="00362DF6">
              <w:rPr>
                <w:rFonts w:eastAsia="Calibri"/>
                <w:sz w:val="18"/>
                <w:szCs w:val="18"/>
                <w:lang w:val="en-NZ"/>
              </w:rPr>
              <w:t>1.</w:t>
            </w:r>
            <w:r w:rsidRPr="00362DF6">
              <w:rPr>
                <w:rFonts w:eastAsia="Calibri"/>
                <w:sz w:val="18"/>
                <w:szCs w:val="18"/>
                <w:lang w:val="en-NZ"/>
              </w:rPr>
              <w:tab/>
              <w:t>Create offences and infringement fees for existing requirements in the regulations (3)</w:t>
            </w:r>
          </w:p>
          <w:p w14:paraId="370EF2DA" w14:textId="60552878" w:rsidR="00362DF6" w:rsidRPr="00D770EE" w:rsidRDefault="00362DF6" w:rsidP="00710E6D">
            <w:pPr>
              <w:pStyle w:val="TableText"/>
              <w:keepNext/>
              <w:spacing w:before="20" w:after="20" w:line="240" w:lineRule="auto"/>
              <w:ind w:left="312" w:hanging="312"/>
              <w:rPr>
                <w:rFonts w:eastAsia="Calibri"/>
                <w:color w:val="000000"/>
                <w:sz w:val="18"/>
                <w:szCs w:val="18"/>
                <w:lang w:val="en-NZ"/>
              </w:rPr>
            </w:pPr>
            <w:r w:rsidRPr="00362DF6">
              <w:rPr>
                <w:rFonts w:eastAsia="Calibri"/>
                <w:sz w:val="18"/>
                <w:szCs w:val="18"/>
                <w:lang w:val="en-NZ"/>
              </w:rPr>
              <w:t>2.</w:t>
            </w:r>
            <w:r w:rsidRPr="00362DF6">
              <w:rPr>
                <w:rFonts w:eastAsia="Calibri"/>
                <w:sz w:val="18"/>
                <w:szCs w:val="18"/>
                <w:lang w:val="en-NZ"/>
              </w:rPr>
              <w:tab/>
              <w:t>Create offences and infringement fees for proposed new requirements (2)</w:t>
            </w:r>
          </w:p>
        </w:tc>
      </w:tr>
      <w:tr w:rsidR="00362DF6" w:rsidRPr="00047B2C" w14:paraId="521DE89F" w14:textId="77777777" w:rsidTr="0016637D">
        <w:trPr>
          <w:trHeight w:val="324"/>
        </w:trPr>
        <w:tc>
          <w:tcPr>
            <w:tcW w:w="2263" w:type="dxa"/>
            <w:shd w:val="clear" w:color="auto" w:fill="D9D9D9" w:themeFill="background1" w:themeFillShade="D9"/>
          </w:tcPr>
          <w:p w14:paraId="0B4E99E1" w14:textId="77777777" w:rsidR="00362DF6" w:rsidRPr="00047B2C" w:rsidRDefault="00362DF6" w:rsidP="00957CE1">
            <w:pPr>
              <w:pStyle w:val="TableText"/>
              <w:keepNext/>
              <w:rPr>
                <w:rFonts w:eastAsia="Calibri"/>
                <w:color w:val="000000"/>
                <w:sz w:val="18"/>
                <w:szCs w:val="18"/>
                <w:lang w:val="en-NZ"/>
              </w:rPr>
            </w:pPr>
            <w:r w:rsidRPr="00047B2C">
              <w:rPr>
                <w:rFonts w:eastAsia="Calibri"/>
                <w:b/>
                <w:color w:val="000000"/>
                <w:sz w:val="18"/>
                <w:szCs w:val="18"/>
                <w:lang w:val="en-NZ"/>
              </w:rPr>
              <w:t>Affected groups</w:t>
            </w:r>
          </w:p>
        </w:tc>
        <w:tc>
          <w:tcPr>
            <w:tcW w:w="3402" w:type="dxa"/>
            <w:shd w:val="clear" w:color="auto" w:fill="D9D9D9" w:themeFill="background1" w:themeFillShade="D9"/>
          </w:tcPr>
          <w:p w14:paraId="6172078E" w14:textId="77777777" w:rsidR="00362DF6" w:rsidRPr="00047B2C" w:rsidRDefault="00362DF6" w:rsidP="00957CE1">
            <w:pPr>
              <w:pStyle w:val="TableText"/>
              <w:keepNext/>
              <w:rPr>
                <w:rFonts w:eastAsia="Calibri"/>
                <w:b/>
                <w:color w:val="000000"/>
                <w:sz w:val="18"/>
                <w:szCs w:val="18"/>
                <w:lang w:val="en-NZ"/>
              </w:rPr>
            </w:pPr>
            <w:r w:rsidRPr="00047B2C">
              <w:rPr>
                <w:rFonts w:eastAsia="Calibri"/>
                <w:b/>
                <w:color w:val="000000"/>
                <w:sz w:val="18"/>
                <w:szCs w:val="18"/>
                <w:lang w:val="en-NZ"/>
              </w:rPr>
              <w:t>Comment</w:t>
            </w:r>
          </w:p>
        </w:tc>
        <w:tc>
          <w:tcPr>
            <w:tcW w:w="1985" w:type="dxa"/>
            <w:shd w:val="clear" w:color="auto" w:fill="D9D9D9" w:themeFill="background1" w:themeFillShade="D9"/>
          </w:tcPr>
          <w:p w14:paraId="6E98C2FA" w14:textId="77777777" w:rsidR="00362DF6" w:rsidRPr="00047B2C" w:rsidRDefault="00362DF6" w:rsidP="00957CE1">
            <w:pPr>
              <w:pStyle w:val="TableText"/>
              <w:keepNext/>
              <w:rPr>
                <w:rFonts w:eastAsia="Calibri"/>
                <w:b/>
                <w:color w:val="000000"/>
                <w:sz w:val="18"/>
                <w:szCs w:val="18"/>
                <w:lang w:val="en-NZ"/>
              </w:rPr>
            </w:pPr>
            <w:r>
              <w:rPr>
                <w:rFonts w:eastAsia="Calibri"/>
                <w:b/>
                <w:color w:val="000000"/>
                <w:sz w:val="18"/>
                <w:szCs w:val="18"/>
                <w:lang w:val="en-NZ"/>
              </w:rPr>
              <w:t>Impact</w:t>
            </w:r>
          </w:p>
        </w:tc>
        <w:tc>
          <w:tcPr>
            <w:tcW w:w="1843" w:type="dxa"/>
            <w:shd w:val="clear" w:color="auto" w:fill="D9D9D9" w:themeFill="background1" w:themeFillShade="D9"/>
          </w:tcPr>
          <w:p w14:paraId="757CDC57" w14:textId="77777777" w:rsidR="00362DF6" w:rsidRPr="00047B2C" w:rsidRDefault="00362DF6" w:rsidP="00957CE1">
            <w:pPr>
              <w:pStyle w:val="TableText"/>
              <w:keepNext/>
              <w:rPr>
                <w:rFonts w:eastAsia="Calibri"/>
                <w:bCs/>
                <w:i/>
                <w:iCs/>
                <w:color w:val="000000"/>
                <w:sz w:val="18"/>
                <w:szCs w:val="18"/>
                <w:lang w:val="en-NZ"/>
              </w:rPr>
            </w:pPr>
            <w:r w:rsidRPr="00047B2C">
              <w:rPr>
                <w:rFonts w:eastAsia="Calibri"/>
                <w:b/>
                <w:color w:val="000000"/>
                <w:sz w:val="18"/>
                <w:szCs w:val="18"/>
                <w:lang w:val="en-NZ"/>
              </w:rPr>
              <w:t>Evidence Certa</w:t>
            </w:r>
            <w:r>
              <w:rPr>
                <w:rFonts w:eastAsia="Calibri"/>
                <w:b/>
                <w:color w:val="000000"/>
                <w:sz w:val="18"/>
                <w:szCs w:val="18"/>
                <w:lang w:val="en-NZ"/>
              </w:rPr>
              <w:t>inty</w:t>
            </w:r>
          </w:p>
        </w:tc>
      </w:tr>
      <w:tr w:rsidR="00362DF6" w:rsidRPr="00047B2C" w14:paraId="440E1613" w14:textId="77777777" w:rsidTr="00710E6D">
        <w:trPr>
          <w:trHeight w:val="181"/>
        </w:trPr>
        <w:tc>
          <w:tcPr>
            <w:tcW w:w="9493" w:type="dxa"/>
            <w:gridSpan w:val="4"/>
            <w:shd w:val="clear" w:color="auto" w:fill="F2F2F2" w:themeFill="background1" w:themeFillShade="F2"/>
            <w:vAlign w:val="center"/>
          </w:tcPr>
          <w:p w14:paraId="5B25612E" w14:textId="77777777" w:rsidR="00362DF6" w:rsidRPr="00047B2C" w:rsidRDefault="00362DF6" w:rsidP="00710E6D">
            <w:pPr>
              <w:keepNext/>
              <w:spacing w:before="20" w:after="20" w:line="240" w:lineRule="auto"/>
              <w:jc w:val="center"/>
              <w:rPr>
                <w:rFonts w:eastAsia="Calibri"/>
                <w:b/>
                <w:bCs/>
                <w:color w:val="000000"/>
                <w:sz w:val="18"/>
                <w:szCs w:val="18"/>
                <w:lang w:val="en-NZ"/>
              </w:rPr>
            </w:pPr>
            <w:r w:rsidRPr="00047B2C">
              <w:rPr>
                <w:rFonts w:eastAsia="Calibri"/>
                <w:b/>
                <w:bCs/>
                <w:color w:val="000000"/>
                <w:sz w:val="18"/>
                <w:szCs w:val="18"/>
                <w:lang w:val="en-NZ"/>
              </w:rPr>
              <w:t>Additional COSTS of the preferred option compared to taking no action</w:t>
            </w:r>
          </w:p>
        </w:tc>
      </w:tr>
      <w:tr w:rsidR="00FE6DFD" w:rsidRPr="00047B2C" w14:paraId="758E514F" w14:textId="77777777" w:rsidTr="0016637D">
        <w:trPr>
          <w:trHeight w:val="380"/>
        </w:trPr>
        <w:tc>
          <w:tcPr>
            <w:tcW w:w="2263" w:type="dxa"/>
            <w:vMerge w:val="restart"/>
            <w:shd w:val="clear" w:color="auto" w:fill="FFEEE7"/>
          </w:tcPr>
          <w:p w14:paraId="6B71B41C" w14:textId="77777777" w:rsidR="00FE6DFD" w:rsidRPr="00047B2C" w:rsidRDefault="00FE6DFD" w:rsidP="00FE6DFD">
            <w:pPr>
              <w:pStyle w:val="TableText"/>
              <w:keepNext/>
              <w:rPr>
                <w:rFonts w:eastAsia="Calibri"/>
                <w:sz w:val="18"/>
                <w:szCs w:val="18"/>
                <w:lang w:val="en-NZ"/>
              </w:rPr>
            </w:pPr>
            <w:r w:rsidRPr="00047B2C">
              <w:rPr>
                <w:rFonts w:eastAsia="Calibri"/>
                <w:sz w:val="18"/>
                <w:szCs w:val="18"/>
                <w:lang w:val="en-NZ"/>
              </w:rPr>
              <w:t>Regulated groups</w:t>
            </w:r>
            <w:r>
              <w:rPr>
                <w:rFonts w:eastAsia="Calibri"/>
                <w:sz w:val="18"/>
                <w:szCs w:val="18"/>
                <w:lang w:val="en-NZ"/>
              </w:rPr>
              <w:t xml:space="preserve"> (Societies, venues)</w:t>
            </w:r>
          </w:p>
        </w:tc>
        <w:tc>
          <w:tcPr>
            <w:tcW w:w="3402" w:type="dxa"/>
            <w:shd w:val="clear" w:color="auto" w:fill="FFEEE7"/>
          </w:tcPr>
          <w:p w14:paraId="041794E1" w14:textId="3C1F60EF" w:rsidR="00FE6DFD" w:rsidRPr="00047B2C" w:rsidRDefault="00FE6DFD" w:rsidP="00FE6DFD">
            <w:pPr>
              <w:pStyle w:val="TableText"/>
              <w:keepNext/>
              <w:rPr>
                <w:rFonts w:eastAsia="Calibri"/>
                <w:sz w:val="18"/>
                <w:szCs w:val="18"/>
                <w:lang w:val="en-NZ"/>
              </w:rPr>
            </w:pPr>
            <w:r>
              <w:rPr>
                <w:rFonts w:eastAsia="Calibri"/>
                <w:sz w:val="18"/>
                <w:szCs w:val="18"/>
                <w:lang w:val="en-NZ"/>
              </w:rPr>
              <w:t>Infringement fees for non-compliance [1, 2]</w:t>
            </w:r>
          </w:p>
        </w:tc>
        <w:tc>
          <w:tcPr>
            <w:tcW w:w="1985" w:type="dxa"/>
            <w:shd w:val="clear" w:color="auto" w:fill="FFEEE7"/>
          </w:tcPr>
          <w:p w14:paraId="17B73536" w14:textId="1302BE4F" w:rsidR="00FE6DFD" w:rsidRPr="00047B2C" w:rsidRDefault="00FE6DFD" w:rsidP="00FE6DFD">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6A81184E" w14:textId="010171B1" w:rsidR="00FE6DFD" w:rsidRPr="00047B2C" w:rsidRDefault="000E502E" w:rsidP="00FE6DFD">
            <w:pPr>
              <w:pStyle w:val="TableText"/>
              <w:keepNext/>
              <w:rPr>
                <w:rFonts w:eastAsia="Calibri"/>
                <w:sz w:val="18"/>
                <w:szCs w:val="18"/>
                <w:lang w:val="en-NZ"/>
              </w:rPr>
            </w:pPr>
            <w:r>
              <w:rPr>
                <w:rFonts w:eastAsia="Calibri"/>
                <w:sz w:val="18"/>
                <w:szCs w:val="18"/>
                <w:lang w:val="en-NZ"/>
              </w:rPr>
              <w:t>Low</w:t>
            </w:r>
          </w:p>
        </w:tc>
      </w:tr>
      <w:tr w:rsidR="00FE6DFD" w:rsidRPr="00047B2C" w14:paraId="21385988" w14:textId="77777777" w:rsidTr="0016637D">
        <w:trPr>
          <w:trHeight w:val="380"/>
        </w:trPr>
        <w:tc>
          <w:tcPr>
            <w:tcW w:w="2263" w:type="dxa"/>
            <w:vMerge/>
            <w:shd w:val="clear" w:color="auto" w:fill="FFEEE7"/>
          </w:tcPr>
          <w:p w14:paraId="6FD22FE5" w14:textId="77777777" w:rsidR="00FE6DFD" w:rsidRPr="00047B2C" w:rsidRDefault="00FE6DFD" w:rsidP="00FE6DFD">
            <w:pPr>
              <w:pStyle w:val="TableText"/>
              <w:keepNext/>
              <w:rPr>
                <w:rFonts w:eastAsia="Calibri"/>
                <w:sz w:val="18"/>
                <w:szCs w:val="18"/>
                <w:lang w:val="en-NZ"/>
              </w:rPr>
            </w:pPr>
          </w:p>
        </w:tc>
        <w:tc>
          <w:tcPr>
            <w:tcW w:w="3402" w:type="dxa"/>
            <w:shd w:val="clear" w:color="auto" w:fill="FFEEE7"/>
          </w:tcPr>
          <w:p w14:paraId="6D84491E" w14:textId="5B2F020D" w:rsidR="00FE6DFD" w:rsidRDefault="00FE6DFD" w:rsidP="00FE6DFD">
            <w:pPr>
              <w:pStyle w:val="TableText"/>
              <w:keepNext/>
              <w:rPr>
                <w:rFonts w:eastAsia="Calibri"/>
                <w:sz w:val="18"/>
                <w:szCs w:val="18"/>
                <w:lang w:val="en-NZ"/>
              </w:rPr>
            </w:pPr>
            <w:r>
              <w:rPr>
                <w:rFonts w:eastAsia="Calibri"/>
                <w:sz w:val="18"/>
                <w:szCs w:val="18"/>
                <w:lang w:val="en-NZ"/>
              </w:rPr>
              <w:t xml:space="preserve">FTE costs in challenging </w:t>
            </w:r>
            <w:r w:rsidR="00E92319">
              <w:rPr>
                <w:rFonts w:eastAsia="Calibri"/>
                <w:sz w:val="18"/>
                <w:szCs w:val="18"/>
                <w:lang w:val="en-NZ"/>
              </w:rPr>
              <w:t>i</w:t>
            </w:r>
            <w:r>
              <w:rPr>
                <w:rFonts w:eastAsia="Calibri"/>
                <w:sz w:val="18"/>
                <w:szCs w:val="18"/>
                <w:lang w:val="en-NZ"/>
              </w:rPr>
              <w:t>nfringement fees [1, 2]</w:t>
            </w:r>
          </w:p>
        </w:tc>
        <w:tc>
          <w:tcPr>
            <w:tcW w:w="1985" w:type="dxa"/>
            <w:shd w:val="clear" w:color="auto" w:fill="FFEEE7"/>
          </w:tcPr>
          <w:p w14:paraId="06F5F784" w14:textId="7D98DE3C" w:rsidR="00FE6DFD" w:rsidRDefault="00FE6DFD" w:rsidP="00FE6DFD">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252540EC" w14:textId="3BB59D0C" w:rsidR="00FE6DFD" w:rsidRDefault="000E502E" w:rsidP="00FE6DFD">
            <w:pPr>
              <w:pStyle w:val="TableText"/>
              <w:keepNext/>
              <w:rPr>
                <w:rFonts w:eastAsia="Calibri"/>
                <w:sz w:val="18"/>
                <w:szCs w:val="18"/>
                <w:lang w:val="en-NZ"/>
              </w:rPr>
            </w:pPr>
            <w:r>
              <w:rPr>
                <w:rFonts w:eastAsia="Calibri"/>
                <w:sz w:val="18"/>
                <w:szCs w:val="18"/>
                <w:lang w:val="en-NZ"/>
              </w:rPr>
              <w:t>Low</w:t>
            </w:r>
          </w:p>
        </w:tc>
      </w:tr>
      <w:tr w:rsidR="00FE6DFD" w:rsidRPr="00047B2C" w14:paraId="26147408" w14:textId="77777777" w:rsidTr="0016637D">
        <w:trPr>
          <w:trHeight w:val="380"/>
        </w:trPr>
        <w:tc>
          <w:tcPr>
            <w:tcW w:w="2263" w:type="dxa"/>
            <w:shd w:val="clear" w:color="auto" w:fill="FFEEE7"/>
          </w:tcPr>
          <w:p w14:paraId="003FE14D" w14:textId="24D42D83" w:rsidR="00FE6DFD" w:rsidRPr="00047B2C" w:rsidRDefault="00FE6DFD" w:rsidP="00FE6DFD">
            <w:pPr>
              <w:pStyle w:val="TableText"/>
              <w:keepNext/>
              <w:rPr>
                <w:rFonts w:eastAsia="Calibri"/>
                <w:sz w:val="18"/>
                <w:szCs w:val="18"/>
                <w:lang w:val="en-NZ"/>
              </w:rPr>
            </w:pPr>
            <w:r w:rsidRPr="00047B2C">
              <w:rPr>
                <w:rFonts w:eastAsia="Calibri"/>
                <w:sz w:val="18"/>
                <w:szCs w:val="18"/>
                <w:lang w:val="en-NZ"/>
              </w:rPr>
              <w:t>Regulators</w:t>
            </w:r>
            <w:r>
              <w:rPr>
                <w:rFonts w:eastAsia="Calibri"/>
                <w:sz w:val="18"/>
                <w:szCs w:val="18"/>
                <w:lang w:val="en-NZ"/>
              </w:rPr>
              <w:t xml:space="preserve"> (DIA)</w:t>
            </w:r>
          </w:p>
        </w:tc>
        <w:tc>
          <w:tcPr>
            <w:tcW w:w="3402" w:type="dxa"/>
            <w:shd w:val="clear" w:color="auto" w:fill="FFEEE7"/>
          </w:tcPr>
          <w:p w14:paraId="2DB2EA91" w14:textId="14D76413" w:rsidR="00FE6DFD" w:rsidRPr="00047B2C" w:rsidRDefault="00FE6DFD" w:rsidP="00FE6DFD">
            <w:pPr>
              <w:pStyle w:val="TableText"/>
              <w:keepNext/>
              <w:rPr>
                <w:rFonts w:eastAsia="Calibri"/>
                <w:sz w:val="18"/>
                <w:szCs w:val="18"/>
                <w:lang w:val="en-NZ"/>
              </w:rPr>
            </w:pPr>
            <w:r>
              <w:rPr>
                <w:rFonts w:eastAsia="Calibri"/>
                <w:sz w:val="18"/>
                <w:szCs w:val="18"/>
                <w:lang w:val="en-NZ"/>
              </w:rPr>
              <w:t>FTE impacts from increased compliance tasks (ongoing monitoring) [1, 2]</w:t>
            </w:r>
          </w:p>
        </w:tc>
        <w:tc>
          <w:tcPr>
            <w:tcW w:w="1985" w:type="dxa"/>
            <w:shd w:val="clear" w:color="auto" w:fill="FFEEE7"/>
          </w:tcPr>
          <w:p w14:paraId="43DD7ADE" w14:textId="6ACE53B3" w:rsidR="00FE6DFD" w:rsidRPr="00047B2C" w:rsidRDefault="00FE6DFD" w:rsidP="00FE6DFD">
            <w:pPr>
              <w:pStyle w:val="TableText"/>
              <w:keepNext/>
              <w:rPr>
                <w:rFonts w:eastAsia="Calibri"/>
                <w:sz w:val="18"/>
                <w:szCs w:val="18"/>
                <w:lang w:val="en-NZ"/>
              </w:rPr>
            </w:pPr>
            <w:r>
              <w:rPr>
                <w:rFonts w:eastAsia="Calibri"/>
                <w:sz w:val="18"/>
                <w:szCs w:val="18"/>
                <w:lang w:val="en-NZ"/>
              </w:rPr>
              <w:t>TBD</w:t>
            </w:r>
          </w:p>
        </w:tc>
        <w:tc>
          <w:tcPr>
            <w:tcW w:w="1843" w:type="dxa"/>
            <w:shd w:val="clear" w:color="auto" w:fill="FFEEE7"/>
          </w:tcPr>
          <w:p w14:paraId="22BF75BC" w14:textId="34A333AD" w:rsidR="00FE6DFD" w:rsidRPr="00047B2C" w:rsidRDefault="000E502E" w:rsidP="00FE6DFD">
            <w:pPr>
              <w:pStyle w:val="TableText"/>
              <w:keepNext/>
              <w:rPr>
                <w:rFonts w:eastAsia="Calibri"/>
                <w:sz w:val="18"/>
                <w:szCs w:val="18"/>
                <w:lang w:val="en-NZ"/>
              </w:rPr>
            </w:pPr>
            <w:r>
              <w:rPr>
                <w:rFonts w:eastAsia="Calibri"/>
                <w:sz w:val="18"/>
                <w:szCs w:val="18"/>
                <w:lang w:val="en-NZ"/>
              </w:rPr>
              <w:t>Low</w:t>
            </w:r>
          </w:p>
        </w:tc>
      </w:tr>
      <w:tr w:rsidR="00FE6DFD" w:rsidRPr="00047B2C" w14:paraId="2D14F30C" w14:textId="77777777" w:rsidTr="0016637D">
        <w:trPr>
          <w:trHeight w:val="263"/>
        </w:trPr>
        <w:tc>
          <w:tcPr>
            <w:tcW w:w="2263" w:type="dxa"/>
            <w:shd w:val="clear" w:color="auto" w:fill="FFEEE7"/>
          </w:tcPr>
          <w:p w14:paraId="79B41C5D" w14:textId="6750AEB4" w:rsidR="00FE6DFD" w:rsidRPr="00047B2C" w:rsidRDefault="00FE6DFD" w:rsidP="00FE6DFD">
            <w:pPr>
              <w:pStyle w:val="TableText"/>
              <w:keepNext/>
              <w:rPr>
                <w:rFonts w:eastAsia="Calibri"/>
                <w:color w:val="000000"/>
                <w:sz w:val="18"/>
                <w:szCs w:val="18"/>
                <w:lang w:val="en-NZ"/>
              </w:rPr>
            </w:pPr>
            <w:r>
              <w:rPr>
                <w:rFonts w:eastAsia="Calibri"/>
                <w:color w:val="000000"/>
                <w:sz w:val="18"/>
                <w:szCs w:val="18"/>
                <w:lang w:val="en-NZ"/>
              </w:rPr>
              <w:t>Harm groups (</w:t>
            </w:r>
            <w:proofErr w:type="spellStart"/>
            <w:r>
              <w:rPr>
                <w:rFonts w:eastAsia="Calibri"/>
                <w:color w:val="000000"/>
                <w:sz w:val="18"/>
                <w:szCs w:val="18"/>
                <w:lang w:val="en-NZ"/>
              </w:rPr>
              <w:t>MoH</w:t>
            </w:r>
            <w:proofErr w:type="spellEnd"/>
            <w:r>
              <w:rPr>
                <w:rFonts w:eastAsia="Calibri"/>
                <w:color w:val="000000"/>
                <w:sz w:val="18"/>
                <w:szCs w:val="18"/>
                <w:lang w:val="en-NZ"/>
              </w:rPr>
              <w:t>, HPA, service providers)</w:t>
            </w:r>
          </w:p>
        </w:tc>
        <w:tc>
          <w:tcPr>
            <w:tcW w:w="3402" w:type="dxa"/>
            <w:shd w:val="clear" w:color="auto" w:fill="FFEEE7"/>
          </w:tcPr>
          <w:p w14:paraId="0DB1043D" w14:textId="695B417B"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c>
          <w:tcPr>
            <w:tcW w:w="1985" w:type="dxa"/>
            <w:shd w:val="clear" w:color="auto" w:fill="FFEEE7"/>
          </w:tcPr>
          <w:p w14:paraId="5AFC53BA" w14:textId="6CEC0B5C"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c>
          <w:tcPr>
            <w:tcW w:w="1843" w:type="dxa"/>
            <w:shd w:val="clear" w:color="auto" w:fill="FFEEE7"/>
          </w:tcPr>
          <w:p w14:paraId="1D24EFEC" w14:textId="367CB60B"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r>
      <w:tr w:rsidR="00FE6DFD" w:rsidRPr="00047B2C" w14:paraId="4316A279" w14:textId="77777777" w:rsidTr="0016637D">
        <w:trPr>
          <w:trHeight w:val="263"/>
        </w:trPr>
        <w:tc>
          <w:tcPr>
            <w:tcW w:w="2263" w:type="dxa"/>
            <w:shd w:val="clear" w:color="auto" w:fill="FFEEE7"/>
          </w:tcPr>
          <w:p w14:paraId="17BCE3AF" w14:textId="77777777" w:rsidR="00FE6DFD" w:rsidRPr="00047B2C" w:rsidRDefault="00FE6DFD" w:rsidP="00FE6DFD">
            <w:pPr>
              <w:pStyle w:val="TableText"/>
              <w:keepNext/>
              <w:rPr>
                <w:rFonts w:eastAsia="Calibri"/>
                <w:color w:val="000000"/>
                <w:sz w:val="18"/>
                <w:szCs w:val="18"/>
                <w:lang w:val="en-NZ"/>
              </w:rPr>
            </w:pPr>
            <w:r>
              <w:rPr>
                <w:rFonts w:eastAsia="Calibri"/>
                <w:color w:val="000000"/>
                <w:sz w:val="18"/>
                <w:szCs w:val="18"/>
                <w:lang w:val="en-NZ"/>
              </w:rPr>
              <w:t>Gamblers</w:t>
            </w:r>
          </w:p>
        </w:tc>
        <w:tc>
          <w:tcPr>
            <w:tcW w:w="3402" w:type="dxa"/>
            <w:shd w:val="clear" w:color="auto" w:fill="FFEEE7"/>
          </w:tcPr>
          <w:p w14:paraId="44777FA0" w14:textId="696093F1"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c>
          <w:tcPr>
            <w:tcW w:w="1985" w:type="dxa"/>
            <w:shd w:val="clear" w:color="auto" w:fill="FFEEE7"/>
          </w:tcPr>
          <w:p w14:paraId="3767E8CE" w14:textId="39187D7C"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c>
          <w:tcPr>
            <w:tcW w:w="1843" w:type="dxa"/>
            <w:shd w:val="clear" w:color="auto" w:fill="FFEEE7"/>
          </w:tcPr>
          <w:p w14:paraId="285AEBD9" w14:textId="7B92DE54"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r>
      <w:tr w:rsidR="00FE6DFD" w:rsidRPr="00047B2C" w14:paraId="1A9AFE34" w14:textId="77777777" w:rsidTr="0016637D">
        <w:trPr>
          <w:trHeight w:val="263"/>
        </w:trPr>
        <w:tc>
          <w:tcPr>
            <w:tcW w:w="2263" w:type="dxa"/>
            <w:shd w:val="clear" w:color="auto" w:fill="FFEEE7"/>
          </w:tcPr>
          <w:p w14:paraId="5663D01A" w14:textId="77777777" w:rsidR="00FE6DFD" w:rsidRPr="00047B2C" w:rsidRDefault="00FE6DFD" w:rsidP="00FE6DFD">
            <w:pPr>
              <w:pStyle w:val="TableText"/>
              <w:keepNext/>
              <w:rPr>
                <w:rFonts w:eastAsia="Calibri" w:cs="Arial"/>
                <w:color w:val="000000"/>
                <w:sz w:val="18"/>
                <w:szCs w:val="18"/>
                <w:lang w:val="en-NZ"/>
              </w:rPr>
            </w:pPr>
            <w:r w:rsidRPr="00047B2C">
              <w:rPr>
                <w:rFonts w:eastAsia="Calibri"/>
                <w:color w:val="000000"/>
                <w:sz w:val="18"/>
                <w:szCs w:val="18"/>
                <w:lang w:val="en-NZ"/>
              </w:rPr>
              <w:t xml:space="preserve">Others </w:t>
            </w:r>
          </w:p>
        </w:tc>
        <w:tc>
          <w:tcPr>
            <w:tcW w:w="3402" w:type="dxa"/>
            <w:shd w:val="clear" w:color="auto" w:fill="FFEEE7"/>
          </w:tcPr>
          <w:p w14:paraId="4E334E9C" w14:textId="4C682604"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c>
          <w:tcPr>
            <w:tcW w:w="1985" w:type="dxa"/>
            <w:shd w:val="clear" w:color="auto" w:fill="FFEEE7"/>
          </w:tcPr>
          <w:p w14:paraId="215B965C" w14:textId="528737B3"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c>
          <w:tcPr>
            <w:tcW w:w="1843" w:type="dxa"/>
            <w:shd w:val="clear" w:color="auto" w:fill="FFEEE7"/>
          </w:tcPr>
          <w:p w14:paraId="51A3F92C" w14:textId="2870BC79" w:rsidR="00FE6DFD" w:rsidRPr="00047B2C" w:rsidRDefault="00FE6DFD" w:rsidP="00FE6DFD">
            <w:pPr>
              <w:pStyle w:val="TableText"/>
              <w:keepNext/>
              <w:rPr>
                <w:rFonts w:eastAsia="Calibri"/>
                <w:sz w:val="18"/>
                <w:szCs w:val="18"/>
                <w:lang w:val="en-NZ"/>
              </w:rPr>
            </w:pPr>
            <w:r>
              <w:rPr>
                <w:rFonts w:eastAsia="Calibri"/>
                <w:sz w:val="18"/>
                <w:szCs w:val="18"/>
                <w:lang w:val="en-NZ"/>
              </w:rPr>
              <w:t>-</w:t>
            </w:r>
          </w:p>
        </w:tc>
      </w:tr>
      <w:tr w:rsidR="00362DF6" w:rsidRPr="00047B2C" w14:paraId="73522527" w14:textId="77777777" w:rsidTr="0016637D">
        <w:trPr>
          <w:trHeight w:val="263"/>
        </w:trPr>
        <w:tc>
          <w:tcPr>
            <w:tcW w:w="2263" w:type="dxa"/>
            <w:shd w:val="clear" w:color="auto" w:fill="FFEEE7"/>
          </w:tcPr>
          <w:p w14:paraId="4716D5F9" w14:textId="77777777" w:rsidR="00362DF6" w:rsidRPr="00047B2C" w:rsidRDefault="00362DF6" w:rsidP="00957CE1">
            <w:pPr>
              <w:pStyle w:val="TableText"/>
              <w:keepNext/>
              <w:rPr>
                <w:rFonts w:eastAsia="Calibri"/>
                <w:b/>
                <w:sz w:val="18"/>
                <w:szCs w:val="18"/>
                <w:lang w:val="en-NZ"/>
              </w:rPr>
            </w:pPr>
            <w:r w:rsidRPr="00047B2C">
              <w:rPr>
                <w:rFonts w:eastAsia="Calibri"/>
                <w:b/>
                <w:sz w:val="18"/>
                <w:szCs w:val="18"/>
                <w:lang w:val="en-NZ"/>
              </w:rPr>
              <w:t>Total monetised costs</w:t>
            </w:r>
          </w:p>
        </w:tc>
        <w:tc>
          <w:tcPr>
            <w:tcW w:w="3402" w:type="dxa"/>
            <w:shd w:val="clear" w:color="auto" w:fill="FFEEE7"/>
          </w:tcPr>
          <w:p w14:paraId="521B9D6E" w14:textId="77777777" w:rsidR="00362DF6" w:rsidRPr="00A12E4B" w:rsidRDefault="00362DF6" w:rsidP="00957CE1">
            <w:pPr>
              <w:pStyle w:val="TableText"/>
              <w:keepNext/>
              <w:rPr>
                <w:rFonts w:eastAsia="Calibri"/>
                <w:b/>
                <w:sz w:val="18"/>
                <w:szCs w:val="18"/>
                <w:lang w:val="en-NZ"/>
              </w:rPr>
            </w:pPr>
            <w:r w:rsidRPr="00A12E4B">
              <w:rPr>
                <w:rFonts w:eastAsia="Calibri"/>
                <w:b/>
                <w:sz w:val="18"/>
                <w:szCs w:val="18"/>
                <w:lang w:val="en-NZ"/>
              </w:rPr>
              <w:t>N/A</w:t>
            </w:r>
          </w:p>
        </w:tc>
        <w:tc>
          <w:tcPr>
            <w:tcW w:w="1985" w:type="dxa"/>
            <w:shd w:val="clear" w:color="auto" w:fill="FFEEE7"/>
          </w:tcPr>
          <w:p w14:paraId="087354FD" w14:textId="58CCC867" w:rsidR="00362DF6" w:rsidRPr="00F17D31" w:rsidRDefault="00FE6DFD" w:rsidP="00957CE1">
            <w:pPr>
              <w:pStyle w:val="TableText"/>
              <w:keepNext/>
              <w:rPr>
                <w:rFonts w:eastAsia="Calibri"/>
                <w:b/>
                <w:sz w:val="18"/>
                <w:szCs w:val="18"/>
                <w:lang w:val="en-NZ"/>
              </w:rPr>
            </w:pPr>
            <w:r>
              <w:rPr>
                <w:rFonts w:eastAsia="Calibri"/>
                <w:b/>
                <w:sz w:val="18"/>
                <w:szCs w:val="18"/>
                <w:lang w:val="en-NZ"/>
              </w:rPr>
              <w:t>Unknown at present</w:t>
            </w:r>
          </w:p>
        </w:tc>
        <w:tc>
          <w:tcPr>
            <w:tcW w:w="1843" w:type="dxa"/>
            <w:shd w:val="clear" w:color="auto" w:fill="FFEEE7"/>
          </w:tcPr>
          <w:p w14:paraId="4B902116" w14:textId="77777777" w:rsidR="00362DF6" w:rsidRPr="00F17D31" w:rsidRDefault="00362DF6" w:rsidP="00957CE1">
            <w:pPr>
              <w:pStyle w:val="TableText"/>
              <w:keepNext/>
              <w:rPr>
                <w:rFonts w:eastAsia="Calibri"/>
                <w:b/>
                <w:sz w:val="18"/>
                <w:szCs w:val="18"/>
                <w:lang w:val="en-NZ"/>
              </w:rPr>
            </w:pPr>
            <w:r w:rsidRPr="00A12E4B">
              <w:rPr>
                <w:rFonts w:eastAsia="Calibri"/>
                <w:b/>
                <w:sz w:val="18"/>
                <w:szCs w:val="18"/>
                <w:lang w:val="en-NZ"/>
              </w:rPr>
              <w:t>N/A</w:t>
            </w:r>
          </w:p>
        </w:tc>
      </w:tr>
      <w:tr w:rsidR="00362DF6" w:rsidRPr="00047B2C" w14:paraId="7B6F0A7F" w14:textId="77777777" w:rsidTr="0016637D">
        <w:trPr>
          <w:trHeight w:val="263"/>
        </w:trPr>
        <w:tc>
          <w:tcPr>
            <w:tcW w:w="2263" w:type="dxa"/>
            <w:shd w:val="clear" w:color="auto" w:fill="E2EFD9" w:themeFill="accent6" w:themeFillTint="33"/>
          </w:tcPr>
          <w:p w14:paraId="3168330B" w14:textId="77777777" w:rsidR="00362DF6" w:rsidRPr="00047B2C" w:rsidRDefault="00362DF6" w:rsidP="00957CE1">
            <w:pPr>
              <w:pStyle w:val="TableText"/>
              <w:keepNext/>
              <w:rPr>
                <w:rFonts w:eastAsia="Calibri"/>
                <w:b/>
                <w:sz w:val="18"/>
                <w:szCs w:val="18"/>
                <w:lang w:val="en-NZ"/>
              </w:rPr>
            </w:pPr>
            <w:r w:rsidRPr="00047B2C">
              <w:rPr>
                <w:rFonts w:eastAsia="Calibri"/>
                <w:b/>
                <w:sz w:val="18"/>
                <w:szCs w:val="18"/>
                <w:lang w:val="en-NZ"/>
              </w:rPr>
              <w:t xml:space="preserve">Non-monetised costs </w:t>
            </w:r>
          </w:p>
        </w:tc>
        <w:tc>
          <w:tcPr>
            <w:tcW w:w="3402" w:type="dxa"/>
            <w:shd w:val="clear" w:color="auto" w:fill="E2EFD9" w:themeFill="accent6" w:themeFillTint="33"/>
          </w:tcPr>
          <w:p w14:paraId="057AF9CD" w14:textId="77777777" w:rsidR="00362DF6" w:rsidRPr="00F17D31" w:rsidRDefault="00362DF6" w:rsidP="00957CE1">
            <w:pPr>
              <w:pStyle w:val="TableText"/>
              <w:keepNext/>
              <w:rPr>
                <w:rFonts w:eastAsia="Calibri"/>
                <w:sz w:val="18"/>
                <w:szCs w:val="18"/>
                <w:lang w:val="en-NZ"/>
              </w:rPr>
            </w:pPr>
          </w:p>
        </w:tc>
        <w:tc>
          <w:tcPr>
            <w:tcW w:w="1985" w:type="dxa"/>
            <w:shd w:val="clear" w:color="auto" w:fill="E2EFD9" w:themeFill="accent6" w:themeFillTint="33"/>
          </w:tcPr>
          <w:p w14:paraId="59CDE7EA" w14:textId="77777777" w:rsidR="00362DF6" w:rsidRPr="00047B2C" w:rsidRDefault="00362DF6" w:rsidP="00957CE1">
            <w:pPr>
              <w:pStyle w:val="TableText"/>
              <w:keepNext/>
              <w:rPr>
                <w:rFonts w:eastAsia="Calibri"/>
                <w:i/>
                <w:sz w:val="18"/>
                <w:szCs w:val="18"/>
                <w:lang w:val="en-NZ"/>
              </w:rPr>
            </w:pPr>
          </w:p>
        </w:tc>
        <w:tc>
          <w:tcPr>
            <w:tcW w:w="1843" w:type="dxa"/>
            <w:shd w:val="clear" w:color="auto" w:fill="E2EFD9" w:themeFill="accent6" w:themeFillTint="33"/>
          </w:tcPr>
          <w:p w14:paraId="4B46EFEC" w14:textId="77777777" w:rsidR="00362DF6" w:rsidRPr="00047B2C" w:rsidRDefault="00362DF6" w:rsidP="00957CE1">
            <w:pPr>
              <w:pStyle w:val="TableText"/>
              <w:keepNext/>
              <w:rPr>
                <w:rFonts w:eastAsia="Calibri"/>
                <w:i/>
                <w:sz w:val="18"/>
                <w:szCs w:val="18"/>
                <w:lang w:val="en-NZ"/>
              </w:rPr>
            </w:pPr>
          </w:p>
        </w:tc>
      </w:tr>
      <w:tr w:rsidR="00362DF6" w:rsidRPr="00047B2C" w14:paraId="16C6D5D2" w14:textId="77777777" w:rsidTr="00710E6D">
        <w:trPr>
          <w:trHeight w:val="159"/>
        </w:trPr>
        <w:tc>
          <w:tcPr>
            <w:tcW w:w="9493" w:type="dxa"/>
            <w:gridSpan w:val="4"/>
            <w:shd w:val="clear" w:color="auto" w:fill="F2F2F2" w:themeFill="background1" w:themeFillShade="F2"/>
            <w:vAlign w:val="center"/>
          </w:tcPr>
          <w:p w14:paraId="2379E805" w14:textId="77777777" w:rsidR="00362DF6" w:rsidRPr="00047B2C" w:rsidRDefault="00362DF6" w:rsidP="00710E6D">
            <w:pPr>
              <w:keepNext/>
              <w:spacing w:before="20" w:after="20" w:line="240" w:lineRule="auto"/>
              <w:jc w:val="center"/>
              <w:rPr>
                <w:rFonts w:eastAsia="Calibri"/>
                <w:b/>
                <w:bCs/>
                <w:color w:val="000000"/>
                <w:sz w:val="18"/>
                <w:szCs w:val="18"/>
                <w:lang w:val="en-NZ"/>
              </w:rPr>
            </w:pPr>
            <w:r w:rsidRPr="00047B2C">
              <w:rPr>
                <w:rFonts w:eastAsia="Calibri"/>
                <w:b/>
                <w:bCs/>
                <w:color w:val="000000"/>
                <w:sz w:val="18"/>
                <w:szCs w:val="18"/>
                <w:lang w:val="en-NZ"/>
              </w:rPr>
              <w:t>Additional BENEFITS of the preferred option compared to taking no action</w:t>
            </w:r>
          </w:p>
        </w:tc>
      </w:tr>
      <w:tr w:rsidR="00362DF6" w:rsidRPr="00047B2C" w14:paraId="5A44F264" w14:textId="77777777" w:rsidTr="0016637D">
        <w:trPr>
          <w:trHeight w:val="381"/>
        </w:trPr>
        <w:tc>
          <w:tcPr>
            <w:tcW w:w="2263" w:type="dxa"/>
            <w:shd w:val="clear" w:color="auto" w:fill="DEEAF6" w:themeFill="accent1" w:themeFillTint="33"/>
          </w:tcPr>
          <w:p w14:paraId="65059022" w14:textId="77777777" w:rsidR="00362DF6" w:rsidRPr="00047B2C" w:rsidRDefault="00362DF6" w:rsidP="00957CE1">
            <w:pPr>
              <w:pStyle w:val="TableText"/>
              <w:rPr>
                <w:rFonts w:eastAsia="Calibri"/>
                <w:sz w:val="18"/>
                <w:szCs w:val="18"/>
                <w:lang w:val="en-NZ"/>
              </w:rPr>
            </w:pPr>
            <w:r w:rsidRPr="00047B2C">
              <w:rPr>
                <w:rFonts w:eastAsia="Calibri"/>
                <w:sz w:val="18"/>
                <w:szCs w:val="18"/>
                <w:lang w:val="en-NZ"/>
              </w:rPr>
              <w:t>Regulated groups</w:t>
            </w:r>
            <w:r>
              <w:rPr>
                <w:rFonts w:eastAsia="Calibri"/>
                <w:sz w:val="18"/>
                <w:szCs w:val="18"/>
                <w:lang w:val="en-NZ"/>
              </w:rPr>
              <w:t xml:space="preserve"> (Societies, venues)</w:t>
            </w:r>
          </w:p>
        </w:tc>
        <w:tc>
          <w:tcPr>
            <w:tcW w:w="3402" w:type="dxa"/>
            <w:shd w:val="clear" w:color="auto" w:fill="DEEAF6" w:themeFill="accent1" w:themeFillTint="33"/>
          </w:tcPr>
          <w:p w14:paraId="2177670F" w14:textId="77777777" w:rsidR="00362DF6" w:rsidRPr="00047B2C" w:rsidRDefault="00362DF6" w:rsidP="00957CE1">
            <w:pPr>
              <w:pStyle w:val="TableText"/>
              <w:rPr>
                <w:rFonts w:eastAsia="Calibri"/>
                <w:sz w:val="18"/>
                <w:szCs w:val="18"/>
                <w:lang w:val="en-NZ"/>
              </w:rPr>
            </w:pPr>
            <w:r w:rsidRPr="0097491F">
              <w:rPr>
                <w:rFonts w:eastAsia="Calibri"/>
                <w:sz w:val="18"/>
                <w:szCs w:val="18"/>
                <w:lang w:val="en-NZ"/>
              </w:rPr>
              <w:t>-</w:t>
            </w:r>
          </w:p>
        </w:tc>
        <w:tc>
          <w:tcPr>
            <w:tcW w:w="1985" w:type="dxa"/>
            <w:shd w:val="clear" w:color="auto" w:fill="DEEAF6" w:themeFill="accent1" w:themeFillTint="33"/>
          </w:tcPr>
          <w:p w14:paraId="7CB963D7" w14:textId="77777777" w:rsidR="00362DF6" w:rsidRPr="00047B2C" w:rsidRDefault="00362DF6" w:rsidP="00957CE1">
            <w:pPr>
              <w:pStyle w:val="TableText"/>
              <w:rPr>
                <w:rFonts w:eastAsia="Calibri"/>
                <w:sz w:val="18"/>
                <w:szCs w:val="18"/>
                <w:lang w:val="en-NZ"/>
              </w:rPr>
            </w:pPr>
            <w:r w:rsidRPr="0097491F">
              <w:rPr>
                <w:rFonts w:eastAsia="Calibri"/>
                <w:sz w:val="18"/>
                <w:szCs w:val="18"/>
                <w:lang w:val="en-NZ"/>
              </w:rPr>
              <w:t>-</w:t>
            </w:r>
          </w:p>
        </w:tc>
        <w:tc>
          <w:tcPr>
            <w:tcW w:w="1843" w:type="dxa"/>
            <w:shd w:val="clear" w:color="auto" w:fill="DEEAF6" w:themeFill="accent1" w:themeFillTint="33"/>
          </w:tcPr>
          <w:p w14:paraId="6F38348D" w14:textId="77777777" w:rsidR="00362DF6" w:rsidRPr="00047B2C" w:rsidRDefault="00362DF6" w:rsidP="00957CE1">
            <w:pPr>
              <w:pStyle w:val="TableText"/>
              <w:rPr>
                <w:rFonts w:eastAsia="Calibri"/>
                <w:sz w:val="18"/>
                <w:szCs w:val="18"/>
                <w:lang w:val="en-NZ"/>
              </w:rPr>
            </w:pPr>
            <w:r w:rsidRPr="00BF0A0A">
              <w:rPr>
                <w:rFonts w:eastAsia="Calibri"/>
                <w:sz w:val="18"/>
                <w:szCs w:val="18"/>
                <w:lang w:val="en-NZ"/>
              </w:rPr>
              <w:t>-</w:t>
            </w:r>
          </w:p>
        </w:tc>
      </w:tr>
      <w:tr w:rsidR="00FE6DFD" w:rsidRPr="00047B2C" w14:paraId="2D815BEC" w14:textId="77777777" w:rsidTr="0016637D">
        <w:trPr>
          <w:trHeight w:val="381"/>
        </w:trPr>
        <w:tc>
          <w:tcPr>
            <w:tcW w:w="2263" w:type="dxa"/>
            <w:shd w:val="clear" w:color="auto" w:fill="DEEAF6" w:themeFill="accent1" w:themeFillTint="33"/>
          </w:tcPr>
          <w:p w14:paraId="2213D932" w14:textId="77777777" w:rsidR="00FE6DFD" w:rsidRPr="00047B2C" w:rsidRDefault="00FE6DFD" w:rsidP="00FE6DFD">
            <w:pPr>
              <w:pStyle w:val="TableText"/>
              <w:rPr>
                <w:rFonts w:eastAsia="Calibri"/>
                <w:sz w:val="18"/>
                <w:szCs w:val="18"/>
                <w:lang w:val="en-NZ"/>
              </w:rPr>
            </w:pPr>
            <w:r w:rsidRPr="00047B2C">
              <w:rPr>
                <w:rFonts w:eastAsia="Calibri"/>
                <w:sz w:val="18"/>
                <w:szCs w:val="18"/>
                <w:lang w:val="en-NZ"/>
              </w:rPr>
              <w:t>Regulators</w:t>
            </w:r>
            <w:r>
              <w:rPr>
                <w:rFonts w:eastAsia="Calibri"/>
                <w:sz w:val="18"/>
                <w:szCs w:val="18"/>
                <w:lang w:val="en-NZ"/>
              </w:rPr>
              <w:t xml:space="preserve"> (DIA)</w:t>
            </w:r>
          </w:p>
        </w:tc>
        <w:tc>
          <w:tcPr>
            <w:tcW w:w="3402" w:type="dxa"/>
            <w:shd w:val="clear" w:color="auto" w:fill="DEEAF6" w:themeFill="accent1" w:themeFillTint="33"/>
          </w:tcPr>
          <w:p w14:paraId="6E801818" w14:textId="61D4D862" w:rsidR="00FE6DFD" w:rsidRPr="00047B2C" w:rsidRDefault="00FE6DFD" w:rsidP="00FE6DFD">
            <w:pPr>
              <w:pStyle w:val="TableText"/>
              <w:rPr>
                <w:rFonts w:eastAsia="Calibri"/>
                <w:sz w:val="18"/>
                <w:szCs w:val="18"/>
                <w:lang w:val="en-NZ"/>
              </w:rPr>
            </w:pPr>
            <w:r w:rsidRPr="0097491F">
              <w:rPr>
                <w:rFonts w:eastAsia="Calibri"/>
                <w:sz w:val="18"/>
                <w:szCs w:val="18"/>
                <w:lang w:val="en-NZ"/>
              </w:rPr>
              <w:t>-</w:t>
            </w:r>
          </w:p>
        </w:tc>
        <w:tc>
          <w:tcPr>
            <w:tcW w:w="1985" w:type="dxa"/>
            <w:shd w:val="clear" w:color="auto" w:fill="DEEAF6" w:themeFill="accent1" w:themeFillTint="33"/>
          </w:tcPr>
          <w:p w14:paraId="4329551E" w14:textId="3D7E1AC4" w:rsidR="00FE6DFD" w:rsidRPr="00047B2C" w:rsidRDefault="00FE6DFD" w:rsidP="00FE6DFD">
            <w:pPr>
              <w:pStyle w:val="TableText"/>
              <w:rPr>
                <w:rFonts w:eastAsia="Calibri"/>
                <w:sz w:val="18"/>
                <w:szCs w:val="18"/>
                <w:lang w:val="en-NZ"/>
              </w:rPr>
            </w:pPr>
            <w:r w:rsidRPr="0097491F">
              <w:rPr>
                <w:rFonts w:eastAsia="Calibri"/>
                <w:sz w:val="18"/>
                <w:szCs w:val="18"/>
                <w:lang w:val="en-NZ"/>
              </w:rPr>
              <w:t>-</w:t>
            </w:r>
          </w:p>
        </w:tc>
        <w:tc>
          <w:tcPr>
            <w:tcW w:w="1843" w:type="dxa"/>
            <w:shd w:val="clear" w:color="auto" w:fill="DEEAF6" w:themeFill="accent1" w:themeFillTint="33"/>
          </w:tcPr>
          <w:p w14:paraId="23B3383E" w14:textId="061AEAA5" w:rsidR="00FE6DFD" w:rsidRPr="00047B2C" w:rsidRDefault="00FE6DFD" w:rsidP="00FE6DFD">
            <w:pPr>
              <w:pStyle w:val="TableText"/>
              <w:rPr>
                <w:rFonts w:eastAsia="Calibri"/>
                <w:sz w:val="18"/>
                <w:szCs w:val="18"/>
                <w:lang w:val="en-NZ"/>
              </w:rPr>
            </w:pPr>
            <w:r w:rsidRPr="00BF0A0A">
              <w:rPr>
                <w:rFonts w:eastAsia="Calibri"/>
                <w:sz w:val="18"/>
                <w:szCs w:val="18"/>
                <w:lang w:val="en-NZ"/>
              </w:rPr>
              <w:t>-</w:t>
            </w:r>
          </w:p>
        </w:tc>
      </w:tr>
      <w:tr w:rsidR="00362DF6" w:rsidRPr="00047B2C" w14:paraId="44CF389D" w14:textId="77777777" w:rsidTr="0016637D">
        <w:trPr>
          <w:trHeight w:val="263"/>
        </w:trPr>
        <w:tc>
          <w:tcPr>
            <w:tcW w:w="2263" w:type="dxa"/>
            <w:shd w:val="clear" w:color="auto" w:fill="DEEAF6" w:themeFill="accent1" w:themeFillTint="33"/>
          </w:tcPr>
          <w:p w14:paraId="56B02574" w14:textId="1FDFC9E2" w:rsidR="00362DF6" w:rsidRPr="00047B2C" w:rsidRDefault="00362DF6" w:rsidP="00957CE1">
            <w:pPr>
              <w:pStyle w:val="TableText"/>
              <w:rPr>
                <w:rFonts w:eastAsia="Calibri"/>
                <w:color w:val="000000"/>
                <w:sz w:val="18"/>
                <w:szCs w:val="18"/>
                <w:lang w:val="en-NZ"/>
              </w:rPr>
            </w:pPr>
            <w:r>
              <w:rPr>
                <w:rFonts w:eastAsia="Calibri"/>
                <w:color w:val="000000"/>
                <w:sz w:val="18"/>
                <w:szCs w:val="18"/>
                <w:lang w:val="en-NZ"/>
              </w:rPr>
              <w:t>Harm groups (</w:t>
            </w:r>
            <w:proofErr w:type="spellStart"/>
            <w:r>
              <w:rPr>
                <w:rFonts w:eastAsia="Calibri"/>
                <w:color w:val="000000"/>
                <w:sz w:val="18"/>
                <w:szCs w:val="18"/>
                <w:lang w:val="en-NZ"/>
              </w:rPr>
              <w:t>MoH</w:t>
            </w:r>
            <w:proofErr w:type="spellEnd"/>
            <w:r>
              <w:rPr>
                <w:rFonts w:eastAsia="Calibri"/>
                <w:color w:val="000000"/>
                <w:sz w:val="18"/>
                <w:szCs w:val="18"/>
                <w:lang w:val="en-NZ"/>
              </w:rPr>
              <w:t>, HPA, service providers)</w:t>
            </w:r>
          </w:p>
        </w:tc>
        <w:tc>
          <w:tcPr>
            <w:tcW w:w="3402" w:type="dxa"/>
            <w:shd w:val="clear" w:color="auto" w:fill="DEEAF6" w:themeFill="accent1" w:themeFillTint="33"/>
          </w:tcPr>
          <w:p w14:paraId="3E99C03D" w14:textId="0177D7E4" w:rsidR="00362DF6" w:rsidRPr="00047B2C" w:rsidRDefault="00FE6DFD" w:rsidP="00957CE1">
            <w:pPr>
              <w:pStyle w:val="TableText"/>
              <w:rPr>
                <w:rFonts w:eastAsia="Calibri"/>
                <w:sz w:val="18"/>
                <w:szCs w:val="18"/>
                <w:lang w:val="en-NZ"/>
              </w:rPr>
            </w:pPr>
            <w:r>
              <w:rPr>
                <w:rFonts w:eastAsia="Calibri"/>
                <w:sz w:val="18"/>
                <w:szCs w:val="18"/>
                <w:lang w:val="en-NZ"/>
              </w:rPr>
              <w:t>-</w:t>
            </w:r>
          </w:p>
        </w:tc>
        <w:tc>
          <w:tcPr>
            <w:tcW w:w="1985" w:type="dxa"/>
            <w:shd w:val="clear" w:color="auto" w:fill="DEEAF6" w:themeFill="accent1" w:themeFillTint="33"/>
          </w:tcPr>
          <w:p w14:paraId="2B70A99F" w14:textId="0F67DCDD" w:rsidR="00362DF6" w:rsidRPr="00047B2C" w:rsidRDefault="00FE6DFD" w:rsidP="00957CE1">
            <w:pPr>
              <w:pStyle w:val="TableText"/>
              <w:rPr>
                <w:rFonts w:eastAsia="Calibri"/>
                <w:sz w:val="18"/>
                <w:szCs w:val="18"/>
                <w:lang w:val="en-NZ"/>
              </w:rPr>
            </w:pPr>
            <w:r>
              <w:rPr>
                <w:rFonts w:eastAsia="Calibri"/>
                <w:sz w:val="18"/>
                <w:szCs w:val="18"/>
                <w:lang w:val="en-NZ"/>
              </w:rPr>
              <w:t>-</w:t>
            </w:r>
          </w:p>
        </w:tc>
        <w:tc>
          <w:tcPr>
            <w:tcW w:w="1843" w:type="dxa"/>
            <w:shd w:val="clear" w:color="auto" w:fill="DEEAF6" w:themeFill="accent1" w:themeFillTint="33"/>
          </w:tcPr>
          <w:p w14:paraId="1C27FADA" w14:textId="77777777" w:rsidR="00362DF6" w:rsidRPr="00047B2C" w:rsidRDefault="00362DF6" w:rsidP="00957CE1">
            <w:pPr>
              <w:pStyle w:val="TableText"/>
              <w:rPr>
                <w:rFonts w:eastAsia="Calibri"/>
                <w:sz w:val="18"/>
                <w:szCs w:val="18"/>
                <w:lang w:val="en-NZ"/>
              </w:rPr>
            </w:pPr>
            <w:r w:rsidRPr="00BF0A0A">
              <w:rPr>
                <w:rFonts w:eastAsia="Calibri"/>
                <w:sz w:val="18"/>
                <w:szCs w:val="18"/>
                <w:lang w:val="en-NZ"/>
              </w:rPr>
              <w:t>-</w:t>
            </w:r>
          </w:p>
        </w:tc>
      </w:tr>
      <w:tr w:rsidR="00362DF6" w:rsidRPr="00047B2C" w14:paraId="742A0852" w14:textId="77777777" w:rsidTr="0016637D">
        <w:trPr>
          <w:trHeight w:val="263"/>
        </w:trPr>
        <w:tc>
          <w:tcPr>
            <w:tcW w:w="2263" w:type="dxa"/>
            <w:shd w:val="clear" w:color="auto" w:fill="DEEAF6" w:themeFill="accent1" w:themeFillTint="33"/>
          </w:tcPr>
          <w:p w14:paraId="5CBBBA72" w14:textId="77777777" w:rsidR="00362DF6" w:rsidRPr="00047B2C" w:rsidRDefault="00362DF6" w:rsidP="00957CE1">
            <w:pPr>
              <w:pStyle w:val="TableText"/>
              <w:rPr>
                <w:rFonts w:eastAsia="Calibri"/>
                <w:color w:val="000000"/>
                <w:sz w:val="18"/>
                <w:szCs w:val="18"/>
                <w:lang w:val="en-NZ"/>
              </w:rPr>
            </w:pPr>
            <w:r>
              <w:rPr>
                <w:rFonts w:eastAsia="Calibri"/>
                <w:color w:val="000000"/>
                <w:sz w:val="18"/>
                <w:szCs w:val="18"/>
                <w:lang w:val="en-NZ"/>
              </w:rPr>
              <w:t>Gamblers</w:t>
            </w:r>
          </w:p>
        </w:tc>
        <w:tc>
          <w:tcPr>
            <w:tcW w:w="3402" w:type="dxa"/>
            <w:shd w:val="clear" w:color="auto" w:fill="DEEAF6" w:themeFill="accent1" w:themeFillTint="33"/>
          </w:tcPr>
          <w:p w14:paraId="28EC9855" w14:textId="6DA1FD0C" w:rsidR="00362DF6" w:rsidRPr="00047B2C" w:rsidRDefault="00FE6DFD" w:rsidP="00957CE1">
            <w:pPr>
              <w:pStyle w:val="TableText"/>
              <w:keepNext/>
              <w:rPr>
                <w:rFonts w:eastAsia="Calibri"/>
                <w:sz w:val="18"/>
                <w:szCs w:val="18"/>
                <w:lang w:val="en-NZ"/>
              </w:rPr>
            </w:pPr>
            <w:r>
              <w:rPr>
                <w:rFonts w:eastAsia="Calibri"/>
                <w:sz w:val="18"/>
                <w:szCs w:val="18"/>
                <w:lang w:val="en-NZ"/>
              </w:rPr>
              <w:t>-</w:t>
            </w:r>
          </w:p>
        </w:tc>
        <w:tc>
          <w:tcPr>
            <w:tcW w:w="1985" w:type="dxa"/>
            <w:shd w:val="clear" w:color="auto" w:fill="DEEAF6" w:themeFill="accent1" w:themeFillTint="33"/>
          </w:tcPr>
          <w:p w14:paraId="179CC475" w14:textId="4F08606C" w:rsidR="00362DF6" w:rsidRPr="00047B2C" w:rsidRDefault="00FE6DFD" w:rsidP="00957CE1">
            <w:pPr>
              <w:pStyle w:val="TableText"/>
              <w:rPr>
                <w:rFonts w:eastAsia="Calibri"/>
                <w:sz w:val="18"/>
                <w:szCs w:val="18"/>
                <w:lang w:val="en-NZ"/>
              </w:rPr>
            </w:pPr>
            <w:r>
              <w:rPr>
                <w:rFonts w:eastAsia="Calibri"/>
                <w:sz w:val="18"/>
                <w:szCs w:val="18"/>
                <w:lang w:val="en-NZ"/>
              </w:rPr>
              <w:t>-</w:t>
            </w:r>
          </w:p>
        </w:tc>
        <w:tc>
          <w:tcPr>
            <w:tcW w:w="1843" w:type="dxa"/>
            <w:shd w:val="clear" w:color="auto" w:fill="DEEAF6" w:themeFill="accent1" w:themeFillTint="33"/>
          </w:tcPr>
          <w:p w14:paraId="74296C3B" w14:textId="77777777" w:rsidR="00362DF6" w:rsidRPr="00047B2C" w:rsidRDefault="00362DF6" w:rsidP="00957CE1">
            <w:pPr>
              <w:pStyle w:val="TableText"/>
              <w:rPr>
                <w:rFonts w:eastAsia="Calibri"/>
                <w:sz w:val="18"/>
                <w:szCs w:val="18"/>
                <w:lang w:val="en-NZ"/>
              </w:rPr>
            </w:pPr>
            <w:r w:rsidRPr="00BF0A0A">
              <w:rPr>
                <w:rFonts w:eastAsia="Calibri"/>
                <w:sz w:val="18"/>
                <w:szCs w:val="18"/>
                <w:lang w:val="en-NZ"/>
              </w:rPr>
              <w:t>-</w:t>
            </w:r>
          </w:p>
        </w:tc>
      </w:tr>
      <w:tr w:rsidR="00362DF6" w:rsidRPr="00047B2C" w14:paraId="5980B03C" w14:textId="77777777" w:rsidTr="0016637D">
        <w:trPr>
          <w:trHeight w:val="263"/>
        </w:trPr>
        <w:tc>
          <w:tcPr>
            <w:tcW w:w="2263" w:type="dxa"/>
            <w:shd w:val="clear" w:color="auto" w:fill="DEEAF6" w:themeFill="accent1" w:themeFillTint="33"/>
          </w:tcPr>
          <w:p w14:paraId="0B8E196B" w14:textId="77777777" w:rsidR="00362DF6" w:rsidRPr="00047B2C" w:rsidRDefault="00362DF6" w:rsidP="00957CE1">
            <w:pPr>
              <w:pStyle w:val="TableText"/>
              <w:rPr>
                <w:rFonts w:eastAsia="Calibri"/>
                <w:sz w:val="18"/>
                <w:szCs w:val="18"/>
                <w:lang w:val="en-NZ"/>
              </w:rPr>
            </w:pPr>
            <w:r w:rsidRPr="00047B2C">
              <w:rPr>
                <w:rFonts w:eastAsia="Calibri"/>
                <w:color w:val="000000"/>
                <w:sz w:val="18"/>
                <w:szCs w:val="18"/>
                <w:lang w:val="en-NZ"/>
              </w:rPr>
              <w:t xml:space="preserve">Others </w:t>
            </w:r>
          </w:p>
        </w:tc>
        <w:tc>
          <w:tcPr>
            <w:tcW w:w="3402" w:type="dxa"/>
            <w:shd w:val="clear" w:color="auto" w:fill="DEEAF6" w:themeFill="accent1" w:themeFillTint="33"/>
          </w:tcPr>
          <w:p w14:paraId="6571D970" w14:textId="7E550CFA" w:rsidR="00362DF6" w:rsidRPr="00047B2C" w:rsidRDefault="00C93306" w:rsidP="00957CE1">
            <w:pPr>
              <w:pStyle w:val="TableText"/>
              <w:rPr>
                <w:rFonts w:eastAsia="Calibri"/>
                <w:sz w:val="18"/>
                <w:szCs w:val="18"/>
                <w:lang w:val="en-NZ"/>
              </w:rPr>
            </w:pPr>
            <w:r>
              <w:rPr>
                <w:rFonts w:eastAsia="Calibri"/>
                <w:sz w:val="18"/>
                <w:szCs w:val="18"/>
                <w:lang w:val="en-NZ"/>
              </w:rPr>
              <w:t>Crown Account</w:t>
            </w:r>
            <w:r w:rsidR="009279F9">
              <w:rPr>
                <w:rFonts w:eastAsia="Calibri"/>
                <w:sz w:val="18"/>
                <w:szCs w:val="18"/>
                <w:lang w:val="en-NZ"/>
              </w:rPr>
              <w:t>:</w:t>
            </w:r>
            <w:r>
              <w:rPr>
                <w:rFonts w:eastAsia="Calibri"/>
                <w:sz w:val="18"/>
                <w:szCs w:val="18"/>
                <w:lang w:val="en-NZ"/>
              </w:rPr>
              <w:t xml:space="preserve"> infringement fees [1, 2]</w:t>
            </w:r>
          </w:p>
        </w:tc>
        <w:tc>
          <w:tcPr>
            <w:tcW w:w="1985" w:type="dxa"/>
            <w:shd w:val="clear" w:color="auto" w:fill="DEEAF6" w:themeFill="accent1" w:themeFillTint="33"/>
          </w:tcPr>
          <w:p w14:paraId="5BAF8709" w14:textId="10029B31" w:rsidR="00362DF6" w:rsidRPr="00047B2C" w:rsidRDefault="00FE6DFD" w:rsidP="00957CE1">
            <w:pPr>
              <w:pStyle w:val="TableText"/>
              <w:rPr>
                <w:rFonts w:eastAsia="Calibri"/>
                <w:sz w:val="18"/>
                <w:szCs w:val="18"/>
                <w:lang w:val="en-NZ"/>
              </w:rPr>
            </w:pPr>
            <w:r>
              <w:rPr>
                <w:rFonts w:eastAsia="Calibri"/>
                <w:sz w:val="18"/>
                <w:szCs w:val="18"/>
                <w:lang w:val="en-NZ"/>
              </w:rPr>
              <w:t>-</w:t>
            </w:r>
          </w:p>
        </w:tc>
        <w:tc>
          <w:tcPr>
            <w:tcW w:w="1843" w:type="dxa"/>
            <w:shd w:val="clear" w:color="auto" w:fill="DEEAF6" w:themeFill="accent1" w:themeFillTint="33"/>
          </w:tcPr>
          <w:p w14:paraId="77DC4CF1" w14:textId="0792B786" w:rsidR="00362DF6" w:rsidRPr="00047B2C" w:rsidRDefault="000E502E" w:rsidP="00957CE1">
            <w:pPr>
              <w:pStyle w:val="TableText"/>
              <w:rPr>
                <w:rFonts w:eastAsia="Calibri"/>
                <w:sz w:val="18"/>
                <w:szCs w:val="18"/>
                <w:lang w:val="en-NZ"/>
              </w:rPr>
            </w:pPr>
            <w:r>
              <w:rPr>
                <w:rFonts w:eastAsia="Calibri"/>
                <w:sz w:val="18"/>
                <w:szCs w:val="18"/>
                <w:lang w:val="en-NZ"/>
              </w:rPr>
              <w:t>Low</w:t>
            </w:r>
            <w:r w:rsidRPr="00BF0A0A">
              <w:rPr>
                <w:rFonts w:eastAsia="Calibri"/>
                <w:sz w:val="18"/>
                <w:szCs w:val="18"/>
                <w:lang w:val="en-NZ"/>
              </w:rPr>
              <w:t xml:space="preserve"> </w:t>
            </w:r>
          </w:p>
        </w:tc>
      </w:tr>
      <w:tr w:rsidR="00362DF6" w:rsidRPr="00047B2C" w14:paraId="19647791" w14:textId="77777777" w:rsidTr="0016637D">
        <w:trPr>
          <w:trHeight w:val="263"/>
        </w:trPr>
        <w:tc>
          <w:tcPr>
            <w:tcW w:w="2263" w:type="dxa"/>
            <w:shd w:val="clear" w:color="auto" w:fill="DEEAF6" w:themeFill="accent1" w:themeFillTint="33"/>
          </w:tcPr>
          <w:p w14:paraId="38F5E336" w14:textId="77777777" w:rsidR="00362DF6" w:rsidRPr="00047B2C" w:rsidRDefault="00362DF6" w:rsidP="00957CE1">
            <w:pPr>
              <w:pStyle w:val="TableText"/>
              <w:rPr>
                <w:rFonts w:eastAsia="Calibri"/>
                <w:b/>
                <w:sz w:val="18"/>
                <w:szCs w:val="18"/>
                <w:lang w:val="en-NZ"/>
              </w:rPr>
            </w:pPr>
            <w:r w:rsidRPr="00047B2C">
              <w:rPr>
                <w:rFonts w:eastAsia="Calibri"/>
                <w:b/>
                <w:sz w:val="18"/>
                <w:szCs w:val="18"/>
                <w:lang w:val="en-NZ"/>
              </w:rPr>
              <w:t>Total monetised benefits</w:t>
            </w:r>
          </w:p>
        </w:tc>
        <w:tc>
          <w:tcPr>
            <w:tcW w:w="3402" w:type="dxa"/>
            <w:shd w:val="clear" w:color="auto" w:fill="DEEAF6" w:themeFill="accent1" w:themeFillTint="33"/>
          </w:tcPr>
          <w:p w14:paraId="4C1A5A4B" w14:textId="77777777" w:rsidR="00362DF6" w:rsidRPr="00047B2C" w:rsidRDefault="00362DF6" w:rsidP="00957CE1">
            <w:pPr>
              <w:pStyle w:val="TableText"/>
              <w:rPr>
                <w:rFonts w:eastAsia="Calibri"/>
                <w:sz w:val="18"/>
                <w:szCs w:val="18"/>
                <w:lang w:val="en-NZ"/>
              </w:rPr>
            </w:pPr>
            <w:r w:rsidRPr="00A12E4B">
              <w:rPr>
                <w:rFonts w:eastAsia="Calibri"/>
                <w:b/>
                <w:sz w:val="18"/>
                <w:szCs w:val="18"/>
                <w:lang w:val="en-NZ"/>
              </w:rPr>
              <w:t>N/A</w:t>
            </w:r>
          </w:p>
        </w:tc>
        <w:tc>
          <w:tcPr>
            <w:tcW w:w="1985" w:type="dxa"/>
            <w:shd w:val="clear" w:color="auto" w:fill="DEEAF6" w:themeFill="accent1" w:themeFillTint="33"/>
          </w:tcPr>
          <w:p w14:paraId="2A06DA9F" w14:textId="433104BD" w:rsidR="00362DF6" w:rsidRPr="00047B2C" w:rsidRDefault="00FE6DFD" w:rsidP="00957CE1">
            <w:pPr>
              <w:pStyle w:val="TableText"/>
              <w:rPr>
                <w:rFonts w:eastAsia="Calibri"/>
                <w:sz w:val="18"/>
                <w:szCs w:val="18"/>
                <w:lang w:val="en-NZ"/>
              </w:rPr>
            </w:pPr>
            <w:r>
              <w:rPr>
                <w:rFonts w:eastAsia="Calibri"/>
                <w:b/>
                <w:sz w:val="18"/>
                <w:szCs w:val="18"/>
                <w:lang w:val="en-NZ"/>
              </w:rPr>
              <w:t>Unknown at present</w:t>
            </w:r>
          </w:p>
        </w:tc>
        <w:tc>
          <w:tcPr>
            <w:tcW w:w="1843" w:type="dxa"/>
            <w:shd w:val="clear" w:color="auto" w:fill="DEEAF6" w:themeFill="accent1" w:themeFillTint="33"/>
          </w:tcPr>
          <w:p w14:paraId="63FDC466" w14:textId="77777777" w:rsidR="00362DF6" w:rsidRPr="00047B2C" w:rsidRDefault="00362DF6" w:rsidP="00957CE1">
            <w:pPr>
              <w:pStyle w:val="TableText"/>
              <w:rPr>
                <w:rFonts w:eastAsia="Calibri"/>
                <w:sz w:val="18"/>
                <w:szCs w:val="18"/>
                <w:lang w:val="en-NZ"/>
              </w:rPr>
            </w:pPr>
            <w:r w:rsidRPr="00A12E4B">
              <w:rPr>
                <w:rFonts w:eastAsia="Calibri"/>
                <w:b/>
                <w:sz w:val="18"/>
                <w:szCs w:val="18"/>
                <w:lang w:val="en-NZ"/>
              </w:rPr>
              <w:t>N/A</w:t>
            </w:r>
          </w:p>
        </w:tc>
      </w:tr>
      <w:tr w:rsidR="00FE6DFD" w:rsidRPr="00047B2C" w14:paraId="11E08638" w14:textId="77777777" w:rsidTr="0016637D">
        <w:trPr>
          <w:trHeight w:val="187"/>
        </w:trPr>
        <w:tc>
          <w:tcPr>
            <w:tcW w:w="2263" w:type="dxa"/>
            <w:shd w:val="clear" w:color="auto" w:fill="E2EFD9" w:themeFill="accent6" w:themeFillTint="33"/>
          </w:tcPr>
          <w:p w14:paraId="3E4BA87A" w14:textId="08A337C9" w:rsidR="00FE6DFD" w:rsidRPr="00047B2C" w:rsidRDefault="00E27AFE" w:rsidP="00FE6DFD">
            <w:pPr>
              <w:pStyle w:val="TableText"/>
              <w:rPr>
                <w:rFonts w:eastAsia="Calibri"/>
                <w:b/>
                <w:sz w:val="18"/>
                <w:szCs w:val="18"/>
                <w:lang w:val="en-NZ"/>
              </w:rPr>
            </w:pPr>
            <w:r w:rsidRPr="00047B2C">
              <w:rPr>
                <w:rFonts w:eastAsia="Calibri"/>
                <w:b/>
                <w:sz w:val="18"/>
                <w:szCs w:val="18"/>
                <w:lang w:val="en-NZ"/>
              </w:rPr>
              <w:t>Non-monetised benefits</w:t>
            </w:r>
            <w:r>
              <w:rPr>
                <w:rFonts w:eastAsia="Calibri"/>
                <w:b/>
                <w:sz w:val="18"/>
                <w:szCs w:val="18"/>
                <w:lang w:val="en-NZ"/>
              </w:rPr>
              <w:t xml:space="preserve"> (</w:t>
            </w:r>
            <w:r w:rsidRPr="00E27AFE">
              <w:rPr>
                <w:rFonts w:eastAsia="Calibri"/>
                <w:b/>
                <w:sz w:val="18"/>
                <w:szCs w:val="18"/>
                <w:lang w:val="en-NZ"/>
              </w:rPr>
              <w:t>burden of harm / quality of life indicators)</w:t>
            </w:r>
          </w:p>
        </w:tc>
        <w:tc>
          <w:tcPr>
            <w:tcW w:w="3402" w:type="dxa"/>
            <w:shd w:val="clear" w:color="auto" w:fill="E2EFD9" w:themeFill="accent6" w:themeFillTint="33"/>
          </w:tcPr>
          <w:p w14:paraId="778B3000" w14:textId="1FCCEC8F" w:rsidR="00FE6DFD" w:rsidRPr="00047B2C" w:rsidRDefault="00FE6DFD" w:rsidP="00FE6DFD">
            <w:pPr>
              <w:pStyle w:val="TableText"/>
              <w:rPr>
                <w:rFonts w:eastAsia="Calibri"/>
                <w:sz w:val="18"/>
                <w:szCs w:val="18"/>
                <w:lang w:val="en-NZ"/>
              </w:rPr>
            </w:pPr>
            <w:r>
              <w:rPr>
                <w:rFonts w:eastAsia="Calibri"/>
                <w:sz w:val="18"/>
                <w:szCs w:val="18"/>
                <w:lang w:val="en-NZ"/>
              </w:rPr>
              <w:t>Increased adherence to requirements</w:t>
            </w:r>
          </w:p>
        </w:tc>
        <w:tc>
          <w:tcPr>
            <w:tcW w:w="1985" w:type="dxa"/>
            <w:shd w:val="clear" w:color="auto" w:fill="E2EFD9" w:themeFill="accent6" w:themeFillTint="33"/>
          </w:tcPr>
          <w:p w14:paraId="31BD6E7B" w14:textId="5498260C" w:rsidR="00FE6DFD" w:rsidRPr="00047B2C" w:rsidRDefault="000E502E" w:rsidP="00FE6DFD">
            <w:pPr>
              <w:pStyle w:val="TableText"/>
              <w:rPr>
                <w:rFonts w:eastAsia="Calibri"/>
                <w:i/>
                <w:sz w:val="18"/>
                <w:szCs w:val="18"/>
                <w:lang w:val="en-NZ"/>
              </w:rPr>
            </w:pPr>
            <w:r>
              <w:rPr>
                <w:rFonts w:eastAsia="Calibri"/>
                <w:sz w:val="18"/>
                <w:szCs w:val="18"/>
                <w:lang w:val="en-NZ"/>
              </w:rPr>
              <w:t>Low</w:t>
            </w:r>
          </w:p>
        </w:tc>
        <w:tc>
          <w:tcPr>
            <w:tcW w:w="1843" w:type="dxa"/>
            <w:shd w:val="clear" w:color="auto" w:fill="E2EFD9" w:themeFill="accent6" w:themeFillTint="33"/>
          </w:tcPr>
          <w:p w14:paraId="4B442F89" w14:textId="10591D3F" w:rsidR="00FE6DFD" w:rsidRPr="000E502E" w:rsidRDefault="000E502E" w:rsidP="00FE6DFD">
            <w:pPr>
              <w:pStyle w:val="TableText"/>
              <w:rPr>
                <w:rFonts w:eastAsia="Calibri"/>
                <w:b/>
                <w:i/>
                <w:sz w:val="18"/>
                <w:szCs w:val="18"/>
                <w:lang w:val="en-NZ"/>
              </w:rPr>
            </w:pPr>
            <w:r>
              <w:rPr>
                <w:rFonts w:eastAsia="Calibri"/>
                <w:b/>
                <w:sz w:val="18"/>
                <w:szCs w:val="18"/>
                <w:lang w:val="en-NZ"/>
              </w:rPr>
              <w:t>Low</w:t>
            </w:r>
            <w:r w:rsidR="00FE6DFD" w:rsidRPr="000E502E">
              <w:rPr>
                <w:rFonts w:eastAsia="Calibri"/>
                <w:b/>
                <w:sz w:val="18"/>
                <w:szCs w:val="18"/>
                <w:lang w:val="en-NZ"/>
              </w:rPr>
              <w:t xml:space="preserve"> </w:t>
            </w:r>
          </w:p>
        </w:tc>
      </w:tr>
    </w:tbl>
    <w:p w14:paraId="351DC88A" w14:textId="77777777" w:rsidR="008F0774" w:rsidRDefault="008F0774" w:rsidP="004405A8">
      <w:pPr>
        <w:spacing w:before="120" w:after="120" w:line="240" w:lineRule="auto"/>
        <w:rPr>
          <w:sz w:val="20"/>
          <w:lang w:val="en-NZ"/>
        </w:rPr>
      </w:pPr>
    </w:p>
    <w:p w14:paraId="557D9111" w14:textId="1CCA59D1" w:rsidR="00A0728D" w:rsidRPr="00A864A5" w:rsidRDefault="00417B4A" w:rsidP="00D14868">
      <w:pPr>
        <w:pStyle w:val="Heading2"/>
        <w:rPr>
          <w:lang w:val="en-NZ"/>
        </w:rPr>
      </w:pPr>
      <w:r w:rsidRPr="00A864A5">
        <w:rPr>
          <w:lang w:val="en-NZ"/>
        </w:rPr>
        <w:lastRenderedPageBreak/>
        <w:t xml:space="preserve">Section </w:t>
      </w:r>
      <w:r w:rsidR="00D62B30" w:rsidRPr="00A864A5">
        <w:rPr>
          <w:lang w:val="en-NZ"/>
        </w:rPr>
        <w:t>3</w:t>
      </w:r>
      <w:r w:rsidRPr="00A864A5">
        <w:rPr>
          <w:lang w:val="en-NZ"/>
        </w:rPr>
        <w:t xml:space="preserve">: </w:t>
      </w:r>
      <w:r w:rsidR="0022201B">
        <w:rPr>
          <w:lang w:val="en-NZ"/>
        </w:rPr>
        <w:t xml:space="preserve">Delivering </w:t>
      </w:r>
      <w:r w:rsidR="005F41A2">
        <w:rPr>
          <w:lang w:val="en-NZ"/>
        </w:rPr>
        <w:t>an option</w:t>
      </w:r>
    </w:p>
    <w:p w14:paraId="4D330F91" w14:textId="77777777" w:rsidR="006B5794" w:rsidRPr="00A864A5" w:rsidRDefault="00A16B89" w:rsidP="00D14868">
      <w:pPr>
        <w:pStyle w:val="Heading3"/>
        <w:rPr>
          <w:lang w:val="en-NZ"/>
        </w:rPr>
      </w:pPr>
      <w:r w:rsidRPr="00A864A5">
        <w:rPr>
          <w:lang w:val="en-NZ"/>
        </w:rPr>
        <w:t xml:space="preserve">How will </w:t>
      </w:r>
      <w:r w:rsidR="003A6757">
        <w:rPr>
          <w:lang w:val="en-NZ"/>
        </w:rPr>
        <w:t xml:space="preserve">the </w:t>
      </w:r>
      <w:r w:rsidR="005F41A2">
        <w:rPr>
          <w:lang w:val="en-NZ"/>
        </w:rPr>
        <w:t>new arrangements be implemented</w:t>
      </w:r>
      <w:r w:rsidRPr="00A864A5">
        <w:rPr>
          <w:lang w:val="en-NZ"/>
        </w:rPr>
        <w:t>?</w:t>
      </w:r>
    </w:p>
    <w:p w14:paraId="3AE91813" w14:textId="1647A861" w:rsidR="0061610F" w:rsidRPr="00BC5361" w:rsidRDefault="00675528" w:rsidP="00BC5361">
      <w:pPr>
        <w:pStyle w:val="ListParagraph"/>
        <w:numPr>
          <w:ilvl w:val="0"/>
          <w:numId w:val="5"/>
        </w:numPr>
        <w:spacing w:before="120" w:after="120" w:line="240" w:lineRule="auto"/>
        <w:ind w:left="567" w:hanging="567"/>
        <w:contextualSpacing w:val="0"/>
        <w:rPr>
          <w:sz w:val="20"/>
          <w:lang w:val="en-NZ"/>
        </w:rPr>
      </w:pPr>
      <w:r>
        <w:rPr>
          <w:sz w:val="20"/>
          <w:lang w:val="en-NZ"/>
        </w:rPr>
        <w:t>We are not proposing a final set of new arrangements yet, as this is an i</w:t>
      </w:r>
      <w:r w:rsidR="000077B2" w:rsidRPr="00BC5361">
        <w:rPr>
          <w:sz w:val="20"/>
          <w:lang w:val="en-NZ"/>
        </w:rPr>
        <w:t xml:space="preserve">nterim RIS </w:t>
      </w:r>
      <w:r>
        <w:rPr>
          <w:sz w:val="20"/>
          <w:lang w:val="en-NZ"/>
        </w:rPr>
        <w:t>to support the decision to release the discussion document</w:t>
      </w:r>
      <w:r w:rsidR="001870AB">
        <w:rPr>
          <w:sz w:val="20"/>
          <w:lang w:val="en-NZ"/>
        </w:rPr>
        <w:t>.</w:t>
      </w:r>
      <w:r>
        <w:rPr>
          <w:sz w:val="20"/>
          <w:lang w:val="en-NZ"/>
        </w:rPr>
        <w:t xml:space="preserve"> As such, it is not practicable to develop a</w:t>
      </w:r>
      <w:r w:rsidR="000077B2" w:rsidRPr="00BC5361">
        <w:rPr>
          <w:sz w:val="20"/>
          <w:lang w:val="en-NZ"/>
        </w:rPr>
        <w:t xml:space="preserve"> </w:t>
      </w:r>
      <w:r w:rsidR="00451F6D" w:rsidRPr="00BC5361">
        <w:rPr>
          <w:sz w:val="20"/>
          <w:lang w:val="en-NZ"/>
        </w:rPr>
        <w:t xml:space="preserve">detailed plan </w:t>
      </w:r>
      <w:r w:rsidR="008D26D6">
        <w:rPr>
          <w:sz w:val="20"/>
          <w:lang w:val="en-NZ"/>
        </w:rPr>
        <w:t xml:space="preserve">for </w:t>
      </w:r>
      <w:r w:rsidR="00451F6D" w:rsidRPr="00BC5361">
        <w:rPr>
          <w:sz w:val="20"/>
          <w:lang w:val="en-NZ"/>
        </w:rPr>
        <w:t xml:space="preserve">implementation and any transitional arrangements. </w:t>
      </w:r>
    </w:p>
    <w:p w14:paraId="1B4D680C" w14:textId="77777777" w:rsidR="00451F6D" w:rsidRPr="00BC5361" w:rsidRDefault="00451F6D" w:rsidP="00BC5361">
      <w:pPr>
        <w:pStyle w:val="ListParagraph"/>
        <w:numPr>
          <w:ilvl w:val="0"/>
          <w:numId w:val="5"/>
        </w:numPr>
        <w:spacing w:before="120" w:after="120" w:line="240" w:lineRule="auto"/>
        <w:ind w:left="567" w:hanging="567"/>
        <w:contextualSpacing w:val="0"/>
        <w:rPr>
          <w:sz w:val="20"/>
          <w:lang w:val="en-NZ"/>
        </w:rPr>
      </w:pPr>
      <w:r w:rsidRPr="00BC5361">
        <w:rPr>
          <w:sz w:val="20"/>
          <w:lang w:val="en-NZ"/>
        </w:rPr>
        <w:t>However, we can say that:</w:t>
      </w:r>
    </w:p>
    <w:p w14:paraId="039D515B" w14:textId="77777777" w:rsidR="00AC6D70" w:rsidRDefault="00451F6D" w:rsidP="00A42B77">
      <w:pPr>
        <w:pStyle w:val="ListParagraph"/>
        <w:numPr>
          <w:ilvl w:val="1"/>
          <w:numId w:val="11"/>
        </w:numPr>
        <w:spacing w:before="60" w:after="60" w:line="240" w:lineRule="auto"/>
        <w:ind w:left="851" w:hanging="284"/>
        <w:contextualSpacing w:val="0"/>
        <w:rPr>
          <w:sz w:val="20"/>
        </w:rPr>
      </w:pPr>
      <w:r w:rsidRPr="00451F6D">
        <w:rPr>
          <w:sz w:val="20"/>
        </w:rPr>
        <w:t>the earliest that any regulatory changes can commence would be late 2022</w:t>
      </w:r>
      <w:r w:rsidR="00EB71FA">
        <w:rPr>
          <w:sz w:val="20"/>
        </w:rPr>
        <w:t>;</w:t>
      </w:r>
    </w:p>
    <w:p w14:paraId="4546BDFD" w14:textId="77777777" w:rsidR="00451F6D" w:rsidRPr="00451F6D" w:rsidRDefault="00451F6D" w:rsidP="00A42B77">
      <w:pPr>
        <w:pStyle w:val="ListParagraph"/>
        <w:numPr>
          <w:ilvl w:val="1"/>
          <w:numId w:val="11"/>
        </w:numPr>
        <w:spacing w:before="60" w:after="60" w:line="240" w:lineRule="auto"/>
        <w:ind w:left="851" w:hanging="284"/>
        <w:contextualSpacing w:val="0"/>
        <w:rPr>
          <w:sz w:val="20"/>
        </w:rPr>
      </w:pPr>
      <w:r w:rsidRPr="00AC6D70">
        <w:rPr>
          <w:sz w:val="20"/>
        </w:rPr>
        <w:t xml:space="preserve">the </w:t>
      </w:r>
      <w:r w:rsidRPr="00451F6D">
        <w:rPr>
          <w:sz w:val="20"/>
        </w:rPr>
        <w:t xml:space="preserve">Department will be responsible for the </w:t>
      </w:r>
      <w:r w:rsidR="00675528">
        <w:rPr>
          <w:sz w:val="20"/>
        </w:rPr>
        <w:t>introduction</w:t>
      </w:r>
      <w:r>
        <w:rPr>
          <w:sz w:val="20"/>
        </w:rPr>
        <w:t xml:space="preserve">, </w:t>
      </w:r>
      <w:r w:rsidRPr="00451F6D">
        <w:rPr>
          <w:sz w:val="20"/>
        </w:rPr>
        <w:t xml:space="preserve">ongoing operation and enforcement of the </w:t>
      </w:r>
      <w:r>
        <w:rPr>
          <w:sz w:val="20"/>
        </w:rPr>
        <w:t>regulatory changes</w:t>
      </w:r>
      <w:r w:rsidR="00EB71FA">
        <w:rPr>
          <w:sz w:val="20"/>
        </w:rPr>
        <w:t>;</w:t>
      </w:r>
      <w:r w:rsidRPr="00451F6D">
        <w:rPr>
          <w:sz w:val="20"/>
        </w:rPr>
        <w:t xml:space="preserve"> </w:t>
      </w:r>
    </w:p>
    <w:p w14:paraId="45F37A03" w14:textId="77777777" w:rsidR="00AC6D70" w:rsidRDefault="00451F6D" w:rsidP="00A42B77">
      <w:pPr>
        <w:pStyle w:val="ListParagraph"/>
        <w:numPr>
          <w:ilvl w:val="1"/>
          <w:numId w:val="11"/>
        </w:numPr>
        <w:spacing w:before="60" w:after="60" w:line="240" w:lineRule="auto"/>
        <w:ind w:left="851" w:hanging="284"/>
        <w:contextualSpacing w:val="0"/>
        <w:rPr>
          <w:sz w:val="20"/>
        </w:rPr>
      </w:pPr>
      <w:r w:rsidRPr="00451F6D">
        <w:rPr>
          <w:sz w:val="20"/>
        </w:rPr>
        <w:t xml:space="preserve">Class 4 operators and venues will be responsible for </w:t>
      </w:r>
      <w:r w:rsidR="00AC6D70">
        <w:rPr>
          <w:sz w:val="20"/>
        </w:rPr>
        <w:t>meeting the new obligations</w:t>
      </w:r>
      <w:r w:rsidR="00AC6D70" w:rsidRPr="00AC6D70">
        <w:rPr>
          <w:sz w:val="20"/>
        </w:rPr>
        <w:t xml:space="preserve"> </w:t>
      </w:r>
      <w:r w:rsidR="00AC6D70">
        <w:rPr>
          <w:sz w:val="20"/>
        </w:rPr>
        <w:t>from a specified date(s)</w:t>
      </w:r>
      <w:r w:rsidR="00EB71FA">
        <w:rPr>
          <w:sz w:val="20"/>
        </w:rPr>
        <w:t>; and</w:t>
      </w:r>
    </w:p>
    <w:p w14:paraId="289C9C88" w14:textId="77777777" w:rsidR="00AC6D70" w:rsidRDefault="00AC6D70" w:rsidP="00A42B77">
      <w:pPr>
        <w:pStyle w:val="ListParagraph"/>
        <w:numPr>
          <w:ilvl w:val="1"/>
          <w:numId w:val="11"/>
        </w:numPr>
        <w:spacing w:before="60" w:after="60" w:line="240" w:lineRule="auto"/>
        <w:ind w:left="851" w:hanging="284"/>
        <w:contextualSpacing w:val="0"/>
        <w:rPr>
          <w:sz w:val="20"/>
        </w:rPr>
      </w:pPr>
      <w:r>
        <w:rPr>
          <w:sz w:val="20"/>
        </w:rPr>
        <w:t>depending on the</w:t>
      </w:r>
      <w:bookmarkStart w:id="11" w:name="_GoBack"/>
      <w:bookmarkEnd w:id="11"/>
      <w:r>
        <w:rPr>
          <w:sz w:val="20"/>
        </w:rPr>
        <w:t xml:space="preserve"> type and nature of </w:t>
      </w:r>
      <w:r w:rsidRPr="00451F6D">
        <w:rPr>
          <w:sz w:val="20"/>
        </w:rPr>
        <w:t>regulatory changes</w:t>
      </w:r>
      <w:r>
        <w:rPr>
          <w:sz w:val="20"/>
        </w:rPr>
        <w:t xml:space="preserve"> progressed:</w:t>
      </w:r>
    </w:p>
    <w:p w14:paraId="1B2DE646" w14:textId="6740C325" w:rsidR="00AC6D70" w:rsidRPr="00AC6D70" w:rsidRDefault="00AC6D70" w:rsidP="00A42B77">
      <w:pPr>
        <w:pStyle w:val="ListParagraph"/>
        <w:numPr>
          <w:ilvl w:val="2"/>
          <w:numId w:val="12"/>
        </w:numPr>
        <w:spacing w:before="60" w:after="60" w:line="240" w:lineRule="auto"/>
        <w:ind w:left="1134" w:hanging="283"/>
        <w:contextualSpacing w:val="0"/>
        <w:rPr>
          <w:sz w:val="20"/>
        </w:rPr>
      </w:pPr>
      <w:r>
        <w:rPr>
          <w:sz w:val="20"/>
        </w:rPr>
        <w:t>transitional arrangements may be required</w:t>
      </w:r>
      <w:r w:rsidR="008D26D6">
        <w:rPr>
          <w:sz w:val="20"/>
        </w:rPr>
        <w:t xml:space="preserve"> (e.g. </w:t>
      </w:r>
      <w:r>
        <w:rPr>
          <w:sz w:val="20"/>
        </w:rPr>
        <w:t xml:space="preserve">if </w:t>
      </w:r>
      <w:r w:rsidR="00675528">
        <w:rPr>
          <w:sz w:val="20"/>
        </w:rPr>
        <w:t>changes to</w:t>
      </w:r>
      <w:r>
        <w:rPr>
          <w:sz w:val="20"/>
        </w:rPr>
        <w:t xml:space="preserve"> gaming machines features are among the final proposals</w:t>
      </w:r>
      <w:r w:rsidR="008D26D6">
        <w:rPr>
          <w:sz w:val="20"/>
        </w:rPr>
        <w:t>)</w:t>
      </w:r>
      <w:r w:rsidR="00EB71FA">
        <w:rPr>
          <w:sz w:val="20"/>
        </w:rPr>
        <w:t>;</w:t>
      </w:r>
    </w:p>
    <w:p w14:paraId="4AE7CF3D" w14:textId="77777777" w:rsidR="00AC6D70" w:rsidRDefault="00AC6D70" w:rsidP="00A42B77">
      <w:pPr>
        <w:pStyle w:val="ListParagraph"/>
        <w:numPr>
          <w:ilvl w:val="2"/>
          <w:numId w:val="12"/>
        </w:numPr>
        <w:spacing w:before="60" w:after="60" w:line="240" w:lineRule="auto"/>
        <w:ind w:left="1134" w:hanging="283"/>
        <w:contextualSpacing w:val="0"/>
        <w:rPr>
          <w:sz w:val="20"/>
        </w:rPr>
      </w:pPr>
      <w:r>
        <w:rPr>
          <w:sz w:val="20"/>
        </w:rPr>
        <w:t xml:space="preserve">societies </w:t>
      </w:r>
      <w:r w:rsidR="001870AB">
        <w:rPr>
          <w:sz w:val="20"/>
        </w:rPr>
        <w:t>(either themselves or through a third party)</w:t>
      </w:r>
      <w:r>
        <w:rPr>
          <w:sz w:val="20"/>
        </w:rPr>
        <w:t xml:space="preserve"> may have to deliver </w:t>
      </w:r>
      <w:r w:rsidR="001870AB">
        <w:rPr>
          <w:sz w:val="20"/>
        </w:rPr>
        <w:t xml:space="preserve">new or refresher </w:t>
      </w:r>
      <w:r>
        <w:rPr>
          <w:sz w:val="20"/>
        </w:rPr>
        <w:t>training</w:t>
      </w:r>
      <w:r w:rsidR="00EB71FA">
        <w:rPr>
          <w:sz w:val="20"/>
        </w:rPr>
        <w:t>; and</w:t>
      </w:r>
    </w:p>
    <w:p w14:paraId="3A063FC3" w14:textId="77777777" w:rsidR="00F84AE2" w:rsidRPr="00F84AE2" w:rsidRDefault="00AC6D70" w:rsidP="00A42B77">
      <w:pPr>
        <w:pStyle w:val="ListParagraph"/>
        <w:numPr>
          <w:ilvl w:val="2"/>
          <w:numId w:val="12"/>
        </w:numPr>
        <w:spacing w:before="60" w:after="60" w:line="240" w:lineRule="auto"/>
        <w:ind w:left="1134" w:hanging="283"/>
        <w:contextualSpacing w:val="0"/>
        <w:rPr>
          <w:sz w:val="20"/>
        </w:rPr>
      </w:pPr>
      <w:r>
        <w:rPr>
          <w:sz w:val="20"/>
        </w:rPr>
        <w:t xml:space="preserve">societies may incur costs </w:t>
      </w:r>
      <w:r w:rsidR="008A7CE0">
        <w:rPr>
          <w:sz w:val="20"/>
        </w:rPr>
        <w:t xml:space="preserve">for </w:t>
      </w:r>
      <w:r>
        <w:rPr>
          <w:sz w:val="20"/>
        </w:rPr>
        <w:t xml:space="preserve">EGM </w:t>
      </w:r>
      <w:r w:rsidR="008A7CE0">
        <w:rPr>
          <w:sz w:val="20"/>
        </w:rPr>
        <w:t>provider software design and updates</w:t>
      </w:r>
      <w:r w:rsidR="00F84AE2">
        <w:rPr>
          <w:sz w:val="20"/>
        </w:rPr>
        <w:t>.</w:t>
      </w:r>
    </w:p>
    <w:p w14:paraId="1CC8E532" w14:textId="77777777" w:rsidR="00F84AE2" w:rsidRPr="00BC5361" w:rsidRDefault="00F84AE2" w:rsidP="00BC5361">
      <w:pPr>
        <w:pStyle w:val="ListParagraph"/>
        <w:numPr>
          <w:ilvl w:val="0"/>
          <w:numId w:val="5"/>
        </w:numPr>
        <w:spacing w:before="120" w:after="120" w:line="240" w:lineRule="auto"/>
        <w:ind w:left="567" w:hanging="567"/>
        <w:contextualSpacing w:val="0"/>
        <w:rPr>
          <w:sz w:val="20"/>
          <w:lang w:val="en-NZ"/>
        </w:rPr>
      </w:pPr>
      <w:r w:rsidRPr="00BC5361">
        <w:rPr>
          <w:sz w:val="20"/>
          <w:lang w:val="en-NZ"/>
        </w:rPr>
        <w:t xml:space="preserve">Alongside the </w:t>
      </w:r>
      <w:r w:rsidR="00EB71FA" w:rsidRPr="00BC5361">
        <w:rPr>
          <w:sz w:val="20"/>
          <w:lang w:val="en-NZ"/>
        </w:rPr>
        <w:t>Regulator</w:t>
      </w:r>
      <w:r w:rsidRPr="00BC5361">
        <w:rPr>
          <w:sz w:val="20"/>
          <w:lang w:val="en-NZ"/>
        </w:rPr>
        <w:t xml:space="preserve">, and as part of our implementation strategy, we would hope to have support from </w:t>
      </w:r>
      <w:r w:rsidR="00DE7F1B">
        <w:rPr>
          <w:sz w:val="20"/>
          <w:lang w:val="en-NZ"/>
        </w:rPr>
        <w:t xml:space="preserve">societies and </w:t>
      </w:r>
      <w:r w:rsidR="00675528">
        <w:rPr>
          <w:sz w:val="20"/>
          <w:lang w:val="en-NZ"/>
        </w:rPr>
        <w:t xml:space="preserve">gambling </w:t>
      </w:r>
      <w:r w:rsidRPr="00BC5361">
        <w:rPr>
          <w:sz w:val="20"/>
          <w:lang w:val="en-NZ"/>
        </w:rPr>
        <w:t xml:space="preserve">harm </w:t>
      </w:r>
      <w:r w:rsidR="00675528">
        <w:rPr>
          <w:sz w:val="20"/>
          <w:lang w:val="en-NZ"/>
        </w:rPr>
        <w:t>service</w:t>
      </w:r>
      <w:r w:rsidR="00675528" w:rsidRPr="00BC5361">
        <w:rPr>
          <w:sz w:val="20"/>
          <w:lang w:val="en-NZ"/>
        </w:rPr>
        <w:t xml:space="preserve"> </w:t>
      </w:r>
      <w:r w:rsidRPr="00BC5361">
        <w:rPr>
          <w:sz w:val="20"/>
          <w:lang w:val="en-NZ"/>
        </w:rPr>
        <w:t xml:space="preserve">providers </w:t>
      </w:r>
      <w:r w:rsidR="00675528">
        <w:rPr>
          <w:sz w:val="20"/>
          <w:lang w:val="en-NZ"/>
        </w:rPr>
        <w:t>for</w:t>
      </w:r>
      <w:r w:rsidRPr="00BC5361">
        <w:rPr>
          <w:sz w:val="20"/>
          <w:lang w:val="en-NZ"/>
        </w:rPr>
        <w:t xml:space="preserve"> implementation.</w:t>
      </w:r>
    </w:p>
    <w:p w14:paraId="620D8255" w14:textId="77777777" w:rsidR="00F84AE2" w:rsidRDefault="00F84AE2" w:rsidP="00F84AE2">
      <w:pPr>
        <w:spacing w:before="60" w:after="60" w:line="240" w:lineRule="auto"/>
        <w:rPr>
          <w:sz w:val="20"/>
        </w:rPr>
      </w:pPr>
    </w:p>
    <w:p w14:paraId="3B4DE88C" w14:textId="77777777" w:rsidR="006B5794" w:rsidRPr="00F84AE2" w:rsidRDefault="00AC6D70" w:rsidP="00F84AE2">
      <w:pPr>
        <w:pStyle w:val="Heading3"/>
        <w:rPr>
          <w:lang w:val="en-NZ"/>
        </w:rPr>
      </w:pPr>
      <w:r w:rsidRPr="00F84AE2">
        <w:rPr>
          <w:sz w:val="20"/>
        </w:rPr>
        <w:t xml:space="preserve"> </w:t>
      </w:r>
      <w:r w:rsidR="0099086E">
        <w:rPr>
          <w:lang w:val="en-NZ"/>
        </w:rPr>
        <w:t xml:space="preserve">How will </w:t>
      </w:r>
      <w:r w:rsidR="003A6757">
        <w:rPr>
          <w:lang w:val="en-NZ"/>
        </w:rPr>
        <w:t xml:space="preserve">the </w:t>
      </w:r>
      <w:r w:rsidR="005F41A2">
        <w:rPr>
          <w:lang w:val="en-NZ"/>
        </w:rPr>
        <w:t>new arrangements be m</w:t>
      </w:r>
      <w:r w:rsidR="005F41A2" w:rsidRPr="00A864A5">
        <w:rPr>
          <w:lang w:val="en-NZ"/>
        </w:rPr>
        <w:t>onitor</w:t>
      </w:r>
      <w:r w:rsidR="005F41A2">
        <w:rPr>
          <w:lang w:val="en-NZ"/>
        </w:rPr>
        <w:t>ed</w:t>
      </w:r>
      <w:r w:rsidR="005F41A2" w:rsidRPr="00A864A5">
        <w:rPr>
          <w:lang w:val="en-NZ"/>
        </w:rPr>
        <w:t xml:space="preserve">, </w:t>
      </w:r>
      <w:r w:rsidR="005F41A2">
        <w:rPr>
          <w:lang w:val="en-NZ"/>
        </w:rPr>
        <w:t>e</w:t>
      </w:r>
      <w:r w:rsidR="005F41A2" w:rsidRPr="00A864A5">
        <w:rPr>
          <w:lang w:val="en-NZ"/>
        </w:rPr>
        <w:t>valuat</w:t>
      </w:r>
      <w:r w:rsidR="005F41A2">
        <w:rPr>
          <w:lang w:val="en-NZ"/>
        </w:rPr>
        <w:t>ed</w:t>
      </w:r>
      <w:r w:rsidR="005F41A2" w:rsidRPr="00A864A5">
        <w:rPr>
          <w:lang w:val="en-NZ"/>
        </w:rPr>
        <w:t xml:space="preserve">, and </w:t>
      </w:r>
      <w:r w:rsidR="005F41A2">
        <w:rPr>
          <w:lang w:val="en-NZ"/>
        </w:rPr>
        <w:t>r</w:t>
      </w:r>
      <w:r w:rsidR="005F41A2" w:rsidRPr="00A864A5">
        <w:rPr>
          <w:lang w:val="en-NZ"/>
        </w:rPr>
        <w:t>eview</w:t>
      </w:r>
      <w:r w:rsidR="005F41A2">
        <w:rPr>
          <w:lang w:val="en-NZ"/>
        </w:rPr>
        <w:t>ed</w:t>
      </w:r>
      <w:r w:rsidR="0099086E">
        <w:rPr>
          <w:lang w:val="en-NZ"/>
        </w:rPr>
        <w:t>?</w:t>
      </w:r>
    </w:p>
    <w:p w14:paraId="36DF0B64" w14:textId="26C828FA" w:rsidR="00451F6D" w:rsidRPr="00BC5361" w:rsidRDefault="00675528" w:rsidP="00BC5361">
      <w:pPr>
        <w:pStyle w:val="ListParagraph"/>
        <w:numPr>
          <w:ilvl w:val="0"/>
          <w:numId w:val="5"/>
        </w:numPr>
        <w:spacing w:before="120" w:after="120" w:line="240" w:lineRule="auto"/>
        <w:ind w:left="567" w:hanging="567"/>
        <w:contextualSpacing w:val="0"/>
        <w:rPr>
          <w:sz w:val="20"/>
          <w:lang w:val="en-NZ"/>
        </w:rPr>
      </w:pPr>
      <w:r>
        <w:rPr>
          <w:sz w:val="20"/>
          <w:lang w:val="en-NZ"/>
        </w:rPr>
        <w:t>As with the implementation requirements, it is not practicable to develop</w:t>
      </w:r>
      <w:r w:rsidR="00234DCD">
        <w:rPr>
          <w:sz w:val="20"/>
          <w:lang w:val="en-NZ"/>
        </w:rPr>
        <w:t xml:space="preserve"> a</w:t>
      </w:r>
      <w:r>
        <w:rPr>
          <w:sz w:val="20"/>
          <w:lang w:val="en-NZ"/>
        </w:rPr>
        <w:t xml:space="preserve"> detailed </w:t>
      </w:r>
      <w:r w:rsidR="00451F6D" w:rsidRPr="00BC5361">
        <w:rPr>
          <w:sz w:val="20"/>
          <w:lang w:val="en-NZ"/>
        </w:rPr>
        <w:t>monitoring and evaluation plan</w:t>
      </w:r>
      <w:r>
        <w:rPr>
          <w:sz w:val="20"/>
          <w:lang w:val="en-NZ"/>
        </w:rPr>
        <w:t xml:space="preserve"> yet</w:t>
      </w:r>
      <w:r w:rsidR="00851ECE" w:rsidRPr="00BC5361">
        <w:rPr>
          <w:sz w:val="20"/>
          <w:lang w:val="en-NZ"/>
        </w:rPr>
        <w:t>.</w:t>
      </w:r>
    </w:p>
    <w:p w14:paraId="25C4CE93" w14:textId="77777777" w:rsidR="00851ECE" w:rsidRPr="00DE7F1B" w:rsidRDefault="00851ECE" w:rsidP="00DE7F1B">
      <w:pPr>
        <w:pStyle w:val="ListParagraph"/>
        <w:numPr>
          <w:ilvl w:val="0"/>
          <w:numId w:val="5"/>
        </w:numPr>
        <w:spacing w:before="120" w:after="120" w:line="240" w:lineRule="auto"/>
        <w:ind w:left="567" w:hanging="567"/>
        <w:contextualSpacing w:val="0"/>
        <w:rPr>
          <w:sz w:val="20"/>
          <w:lang w:val="en-NZ"/>
        </w:rPr>
      </w:pPr>
      <w:r w:rsidRPr="00BC5361">
        <w:rPr>
          <w:sz w:val="20"/>
          <w:lang w:val="en-NZ"/>
        </w:rPr>
        <w:t xml:space="preserve">However, having specific requirements in place will greatly increase </w:t>
      </w:r>
      <w:r w:rsidR="00675528">
        <w:rPr>
          <w:sz w:val="20"/>
          <w:lang w:val="en-NZ"/>
        </w:rPr>
        <w:t>our</w:t>
      </w:r>
      <w:r w:rsidRPr="00DE7F1B">
        <w:rPr>
          <w:sz w:val="20"/>
          <w:lang w:val="en-NZ"/>
        </w:rPr>
        <w:t xml:space="preserve"> ability to monitor venue compliance as, depending on the final options, there will be some ‘observable’ actions. The impact of any game features that reduce excessive gambling can be monitored through </w:t>
      </w:r>
      <w:r w:rsidR="00897752" w:rsidRPr="00DE7F1B">
        <w:rPr>
          <w:sz w:val="20"/>
          <w:lang w:val="en-NZ"/>
        </w:rPr>
        <w:t xml:space="preserve">the </w:t>
      </w:r>
      <w:r w:rsidR="002F0F2F" w:rsidRPr="00DE7F1B">
        <w:rPr>
          <w:sz w:val="20"/>
          <w:lang w:val="en-NZ"/>
        </w:rPr>
        <w:t xml:space="preserve">electronic </w:t>
      </w:r>
      <w:r w:rsidRPr="00DE7F1B">
        <w:rPr>
          <w:sz w:val="20"/>
          <w:lang w:val="en-NZ"/>
        </w:rPr>
        <w:t xml:space="preserve">reporting </w:t>
      </w:r>
      <w:r w:rsidR="00897752" w:rsidRPr="00DE7F1B">
        <w:rPr>
          <w:sz w:val="20"/>
          <w:lang w:val="en-NZ"/>
        </w:rPr>
        <w:t>system</w:t>
      </w:r>
      <w:r w:rsidR="001870AB">
        <w:rPr>
          <w:sz w:val="20"/>
          <w:lang w:val="en-NZ"/>
        </w:rPr>
        <w:t xml:space="preserve">, which looks at </w:t>
      </w:r>
      <w:r w:rsidRPr="00DE7F1B">
        <w:rPr>
          <w:sz w:val="20"/>
          <w:lang w:val="en-NZ"/>
        </w:rPr>
        <w:t xml:space="preserve">items such as </w:t>
      </w:r>
      <w:r w:rsidR="00DE7F1B">
        <w:rPr>
          <w:sz w:val="20"/>
          <w:lang w:val="en-NZ"/>
        </w:rPr>
        <w:t xml:space="preserve">average and </w:t>
      </w:r>
      <w:r w:rsidRPr="00DE7F1B">
        <w:rPr>
          <w:sz w:val="20"/>
          <w:lang w:val="en-NZ"/>
        </w:rPr>
        <w:t>maximum spend</w:t>
      </w:r>
      <w:r w:rsidR="001870AB">
        <w:rPr>
          <w:sz w:val="20"/>
          <w:lang w:val="en-NZ"/>
        </w:rPr>
        <w:t>,</w:t>
      </w:r>
      <w:r w:rsidR="00675528">
        <w:rPr>
          <w:sz w:val="20"/>
          <w:lang w:val="en-NZ"/>
        </w:rPr>
        <w:t xml:space="preserve"> and</w:t>
      </w:r>
      <w:r w:rsidRPr="00DE7F1B">
        <w:rPr>
          <w:sz w:val="20"/>
          <w:lang w:val="en-NZ"/>
        </w:rPr>
        <w:t xml:space="preserve"> </w:t>
      </w:r>
      <w:r w:rsidR="00DE7F1B">
        <w:rPr>
          <w:sz w:val="20"/>
          <w:lang w:val="en-NZ"/>
        </w:rPr>
        <w:t xml:space="preserve">average and </w:t>
      </w:r>
      <w:r w:rsidRPr="00DE7F1B">
        <w:rPr>
          <w:sz w:val="20"/>
          <w:lang w:val="en-NZ"/>
        </w:rPr>
        <w:t xml:space="preserve">maximum player duration. Enforcement actions can also be </w:t>
      </w:r>
      <w:r w:rsidR="00DE7F1B">
        <w:rPr>
          <w:sz w:val="20"/>
          <w:lang w:val="en-NZ"/>
        </w:rPr>
        <w:t xml:space="preserve">reported on </w:t>
      </w:r>
      <w:r w:rsidRPr="00DE7F1B">
        <w:rPr>
          <w:sz w:val="20"/>
          <w:lang w:val="en-NZ"/>
        </w:rPr>
        <w:t xml:space="preserve">by the </w:t>
      </w:r>
      <w:r w:rsidR="00675528">
        <w:rPr>
          <w:sz w:val="20"/>
          <w:lang w:val="en-NZ"/>
        </w:rPr>
        <w:t>D</w:t>
      </w:r>
      <w:r w:rsidR="00675528" w:rsidRPr="00DE7F1B">
        <w:rPr>
          <w:sz w:val="20"/>
          <w:lang w:val="en-NZ"/>
        </w:rPr>
        <w:t>epartment</w:t>
      </w:r>
      <w:r w:rsidRPr="00DE7F1B">
        <w:rPr>
          <w:sz w:val="20"/>
          <w:lang w:val="en-NZ"/>
        </w:rPr>
        <w:t>.</w:t>
      </w:r>
    </w:p>
    <w:p w14:paraId="0A35AFAD" w14:textId="77777777" w:rsidR="00675528" w:rsidRDefault="00675528" w:rsidP="00DE7F1B">
      <w:pPr>
        <w:pStyle w:val="ListParagraph"/>
        <w:numPr>
          <w:ilvl w:val="0"/>
          <w:numId w:val="5"/>
        </w:numPr>
        <w:spacing w:before="120" w:after="120" w:line="240" w:lineRule="auto"/>
        <w:ind w:left="567" w:hanging="567"/>
        <w:contextualSpacing w:val="0"/>
        <w:rPr>
          <w:sz w:val="20"/>
          <w:lang w:val="en-NZ"/>
        </w:rPr>
      </w:pPr>
      <w:r>
        <w:rPr>
          <w:sz w:val="20"/>
          <w:lang w:val="en-NZ"/>
        </w:rPr>
        <w:t>D</w:t>
      </w:r>
      <w:r w:rsidR="000077B2" w:rsidRPr="00DE7F1B">
        <w:rPr>
          <w:sz w:val="20"/>
          <w:lang w:val="en-NZ"/>
        </w:rPr>
        <w:t>ata collection will face some of the same issues as research</w:t>
      </w:r>
      <w:r>
        <w:rPr>
          <w:sz w:val="20"/>
          <w:lang w:val="en-NZ"/>
        </w:rPr>
        <w:t xml:space="preserve"> in this space</w:t>
      </w:r>
      <w:r w:rsidR="000077B2" w:rsidRPr="00DE7F1B">
        <w:rPr>
          <w:sz w:val="20"/>
          <w:lang w:val="en-NZ"/>
        </w:rPr>
        <w:t xml:space="preserve">, in that the private nature of the activity limits </w:t>
      </w:r>
      <w:r w:rsidR="00DE7F1B">
        <w:rPr>
          <w:sz w:val="20"/>
          <w:lang w:val="en-NZ"/>
        </w:rPr>
        <w:t xml:space="preserve">both </w:t>
      </w:r>
      <w:r w:rsidR="000077B2" w:rsidRPr="00DE7F1B">
        <w:rPr>
          <w:sz w:val="20"/>
          <w:lang w:val="en-NZ"/>
        </w:rPr>
        <w:t xml:space="preserve">the quantitative </w:t>
      </w:r>
      <w:r w:rsidR="00DE7F1B">
        <w:rPr>
          <w:sz w:val="20"/>
          <w:lang w:val="en-NZ"/>
        </w:rPr>
        <w:t xml:space="preserve">and qualitative </w:t>
      </w:r>
      <w:r w:rsidR="000077B2" w:rsidRPr="00DE7F1B">
        <w:rPr>
          <w:sz w:val="20"/>
          <w:lang w:val="en-NZ"/>
        </w:rPr>
        <w:t>data</w:t>
      </w:r>
      <w:r>
        <w:rPr>
          <w:sz w:val="20"/>
          <w:lang w:val="en-NZ"/>
        </w:rPr>
        <w:t xml:space="preserve"> available</w:t>
      </w:r>
      <w:r w:rsidR="000077B2" w:rsidRPr="00DE7F1B">
        <w:rPr>
          <w:sz w:val="20"/>
          <w:lang w:val="en-NZ"/>
        </w:rPr>
        <w:t xml:space="preserve">. </w:t>
      </w:r>
    </w:p>
    <w:p w14:paraId="48A14442" w14:textId="77777777" w:rsidR="00851ECE" w:rsidRPr="00DE7F1B" w:rsidRDefault="000077B2" w:rsidP="00DE7F1B">
      <w:pPr>
        <w:pStyle w:val="ListParagraph"/>
        <w:numPr>
          <w:ilvl w:val="0"/>
          <w:numId w:val="5"/>
        </w:numPr>
        <w:spacing w:before="120" w:after="120" w:line="240" w:lineRule="auto"/>
        <w:ind w:left="567" w:hanging="567"/>
        <w:contextualSpacing w:val="0"/>
        <w:rPr>
          <w:sz w:val="20"/>
          <w:lang w:val="en-NZ"/>
        </w:rPr>
      </w:pPr>
      <w:r w:rsidRPr="00DE7F1B">
        <w:rPr>
          <w:sz w:val="20"/>
          <w:lang w:val="en-NZ"/>
        </w:rPr>
        <w:t>Evaluation may be based on trends in presentations at gambling harm services, whereby qualitative research would be needed to determine if a presentation is a positive or negative outcome (e.g. is someone seeking help who would not have before, or have the measures not significantly reduced harmful gambling).</w:t>
      </w:r>
    </w:p>
    <w:p w14:paraId="6DC46B98" w14:textId="77777777" w:rsidR="00743572" w:rsidRDefault="00851ECE">
      <w:pPr>
        <w:spacing w:after="0" w:line="240" w:lineRule="auto"/>
        <w:rPr>
          <w:lang w:val="en-NZ"/>
        </w:rPr>
      </w:pPr>
      <w:r>
        <w:rPr>
          <w:lang w:val="en-NZ"/>
        </w:rPr>
        <w:br/>
      </w:r>
      <w:r w:rsidR="00743572">
        <w:rPr>
          <w:lang w:val="en-NZ"/>
        </w:rPr>
        <w:br w:type="page"/>
      </w:r>
    </w:p>
    <w:p w14:paraId="23609B55" w14:textId="21C7989B" w:rsidR="00743572" w:rsidRPr="0071572A" w:rsidRDefault="00743572" w:rsidP="00743572">
      <w:pPr>
        <w:pStyle w:val="Heading3"/>
        <w:rPr>
          <w:color w:val="auto"/>
          <w:lang w:val="en-NZ"/>
        </w:rPr>
      </w:pPr>
      <w:r w:rsidRPr="00743572">
        <w:rPr>
          <w:lang w:val="en-NZ"/>
        </w:rPr>
        <w:lastRenderedPageBreak/>
        <w:t>Appendix</w:t>
      </w:r>
      <w:r>
        <w:rPr>
          <w:lang w:val="en-NZ"/>
        </w:rPr>
        <w:t>:</w:t>
      </w:r>
      <w:r w:rsidRPr="00743572">
        <w:rPr>
          <w:lang w:val="en-NZ"/>
        </w:rPr>
        <w:t xml:space="preserve"> </w:t>
      </w:r>
      <w:r w:rsidRPr="0071572A">
        <w:rPr>
          <w:rFonts w:ascii="Arial" w:hAnsi="Arial" w:cs="Arial"/>
          <w:b w:val="0"/>
          <w:color w:val="auto"/>
          <w:w w:val="100"/>
          <w:sz w:val="22"/>
          <w:lang w:val="en-NZ"/>
        </w:rPr>
        <w:t xml:space="preserve">Class 4 Venue </w:t>
      </w:r>
      <w:r w:rsidR="00F70BA4">
        <w:rPr>
          <w:rFonts w:ascii="Arial" w:hAnsi="Arial" w:cs="Arial"/>
          <w:b w:val="0"/>
          <w:color w:val="auto"/>
          <w:w w:val="100"/>
          <w:sz w:val="22"/>
          <w:lang w:val="en-NZ"/>
        </w:rPr>
        <w:t>r</w:t>
      </w:r>
      <w:r w:rsidRPr="0071572A">
        <w:rPr>
          <w:rFonts w:ascii="Arial" w:hAnsi="Arial" w:cs="Arial"/>
          <w:b w:val="0"/>
          <w:color w:val="auto"/>
          <w:w w:val="100"/>
          <w:sz w:val="22"/>
          <w:lang w:val="en-NZ"/>
        </w:rPr>
        <w:t>equirements of the Gambling Act 2003 and the Gambling (Harm Prevention and Minimisation) Regulations 2004</w:t>
      </w:r>
    </w:p>
    <w:p w14:paraId="4C33E21F" w14:textId="77777777" w:rsidR="00743572" w:rsidRPr="00743572" w:rsidRDefault="00743572" w:rsidP="00743572">
      <w:pPr>
        <w:spacing w:before="60" w:after="80" w:line="240" w:lineRule="auto"/>
        <w:rPr>
          <w:sz w:val="19"/>
          <w:szCs w:val="19"/>
        </w:rPr>
      </w:pPr>
      <w:r w:rsidRPr="00743572">
        <w:rPr>
          <w:sz w:val="19"/>
          <w:szCs w:val="19"/>
        </w:rPr>
        <w:t xml:space="preserve">The </w:t>
      </w:r>
      <w:r w:rsidRPr="00743572">
        <w:rPr>
          <w:color w:val="00B0F0"/>
          <w:sz w:val="19"/>
          <w:szCs w:val="19"/>
        </w:rPr>
        <w:t xml:space="preserve">Gambling Act 2003 </w:t>
      </w:r>
      <w:r w:rsidRPr="00743572">
        <w:rPr>
          <w:sz w:val="19"/>
          <w:szCs w:val="19"/>
        </w:rPr>
        <w:t xml:space="preserve">and the </w:t>
      </w:r>
      <w:r w:rsidRPr="00743572">
        <w:rPr>
          <w:color w:val="00B050"/>
          <w:sz w:val="19"/>
          <w:szCs w:val="19"/>
        </w:rPr>
        <w:t xml:space="preserve">Gambling (Harm Prevention and Minimisation) Regulations 2004 </w:t>
      </w:r>
      <w:r w:rsidRPr="00743572">
        <w:rPr>
          <w:sz w:val="19"/>
          <w:szCs w:val="19"/>
        </w:rPr>
        <w:t>require:</w:t>
      </w:r>
    </w:p>
    <w:p w14:paraId="7D769BB8" w14:textId="1ACCA8BA" w:rsidR="00743572" w:rsidRPr="00743572" w:rsidRDefault="00743572" w:rsidP="00A42B77">
      <w:pPr>
        <w:pStyle w:val="ListParagraph"/>
        <w:numPr>
          <w:ilvl w:val="0"/>
          <w:numId w:val="21"/>
        </w:numPr>
        <w:spacing w:after="80" w:line="240" w:lineRule="auto"/>
        <w:contextualSpacing w:val="0"/>
        <w:rPr>
          <w:sz w:val="19"/>
          <w:szCs w:val="19"/>
        </w:rPr>
      </w:pPr>
      <w:r w:rsidRPr="00743572">
        <w:rPr>
          <w:sz w:val="19"/>
          <w:szCs w:val="19"/>
        </w:rPr>
        <w:t>The venue has a policy for identifying problem gamblers. The venue manager, or person acting on their behalf, must take all reasonable steps to ensure that the policy is used to identify actual or potential problem gamblers (</w:t>
      </w:r>
      <w:r w:rsidRPr="00743572">
        <w:rPr>
          <w:color w:val="00B0F0"/>
          <w:sz w:val="19"/>
          <w:szCs w:val="19"/>
        </w:rPr>
        <w:t>Section 308</w:t>
      </w:r>
      <w:r w:rsidRPr="00743572">
        <w:rPr>
          <w:sz w:val="19"/>
          <w:szCs w:val="19"/>
        </w:rPr>
        <w:t>). Failure to do so may result in a fine of up to $5</w:t>
      </w:r>
      <w:r w:rsidR="00F70BA4">
        <w:rPr>
          <w:sz w:val="19"/>
          <w:szCs w:val="19"/>
        </w:rPr>
        <w:t>,</w:t>
      </w:r>
      <w:r w:rsidRPr="00743572">
        <w:rPr>
          <w:sz w:val="19"/>
          <w:szCs w:val="19"/>
        </w:rPr>
        <w:t>000.</w:t>
      </w:r>
    </w:p>
    <w:p w14:paraId="4A40E797" w14:textId="409E5F16"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There is always a staff member who has received problem gambling awareness training at the venue when</w:t>
      </w:r>
      <w:r w:rsidR="00F70BA4">
        <w:rPr>
          <w:sz w:val="19"/>
          <w:szCs w:val="19"/>
        </w:rPr>
        <w:t>ever</w:t>
      </w:r>
      <w:r w:rsidRPr="00743572">
        <w:rPr>
          <w:sz w:val="19"/>
          <w:szCs w:val="19"/>
        </w:rPr>
        <w:t xml:space="preserve"> gambling is available. A trained staff member must be able to approach a player and provide appropriate information about problem gambling (</w:t>
      </w:r>
      <w:r w:rsidRPr="00743572">
        <w:rPr>
          <w:color w:val="00B050"/>
          <w:sz w:val="19"/>
          <w:szCs w:val="19"/>
        </w:rPr>
        <w:t>Reg 12</w:t>
      </w:r>
      <w:r w:rsidRPr="00743572">
        <w:rPr>
          <w:sz w:val="19"/>
          <w:szCs w:val="19"/>
        </w:rPr>
        <w:t xml:space="preserve">). </w:t>
      </w:r>
    </w:p>
    <w:p w14:paraId="37016E89" w14:textId="3871B306"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A notice is displayed in the gambling area advising customers that you have such a policy and that a copy of the policy will be made available on request (</w:t>
      </w:r>
      <w:r w:rsidRPr="00743572">
        <w:rPr>
          <w:color w:val="00B0F0"/>
          <w:sz w:val="19"/>
          <w:szCs w:val="19"/>
        </w:rPr>
        <w:t>Section 308</w:t>
      </w:r>
      <w:r w:rsidRPr="00743572">
        <w:rPr>
          <w:sz w:val="19"/>
          <w:szCs w:val="19"/>
        </w:rPr>
        <w:t>). Failure to supply a copy of this policy when requested may result in the venue manager being fined up to $5</w:t>
      </w:r>
      <w:r w:rsidR="00F70BA4">
        <w:rPr>
          <w:sz w:val="19"/>
          <w:szCs w:val="19"/>
        </w:rPr>
        <w:t>,</w:t>
      </w:r>
      <w:r w:rsidRPr="00743572">
        <w:rPr>
          <w:sz w:val="19"/>
          <w:szCs w:val="19"/>
        </w:rPr>
        <w:t>000.</w:t>
      </w:r>
    </w:p>
    <w:p w14:paraId="4CFA6013" w14:textId="77777777"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Once a problem gambler has been identified, or there are reasonable grounds to believe that the person is a problem gambler, staff must approach that person and offer information or advice about problem gambling (</w:t>
      </w:r>
      <w:r w:rsidRPr="00743572">
        <w:rPr>
          <w:color w:val="00B0F0"/>
          <w:sz w:val="19"/>
          <w:szCs w:val="19"/>
        </w:rPr>
        <w:t>Section 309</w:t>
      </w:r>
      <w:r w:rsidRPr="00743572">
        <w:rPr>
          <w:sz w:val="19"/>
          <w:szCs w:val="19"/>
        </w:rPr>
        <w:t>). That information or advice must include a description of the self-exclusion procedure (</w:t>
      </w:r>
      <w:r w:rsidRPr="00743572">
        <w:rPr>
          <w:color w:val="00B0F0"/>
          <w:sz w:val="19"/>
          <w:szCs w:val="19"/>
        </w:rPr>
        <w:t>Section 309(2)</w:t>
      </w:r>
      <w:r w:rsidRPr="00743572">
        <w:rPr>
          <w:sz w:val="19"/>
          <w:szCs w:val="19"/>
        </w:rPr>
        <w:t xml:space="preserve">). </w:t>
      </w:r>
    </w:p>
    <w:p w14:paraId="3C449EBB" w14:textId="4877824F"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After offering the advice and information an exclusion order may be issued by the venue manager (or person acting on their behalf). This prohibits the person from entering the gambling area for a period of up to two years (</w:t>
      </w:r>
      <w:r w:rsidRPr="00743572">
        <w:rPr>
          <w:color w:val="00B0F0"/>
          <w:sz w:val="19"/>
          <w:szCs w:val="19"/>
        </w:rPr>
        <w:t>Section 309(3)</w:t>
      </w:r>
      <w:r w:rsidRPr="00743572">
        <w:rPr>
          <w:sz w:val="19"/>
          <w:szCs w:val="19"/>
        </w:rPr>
        <w:t>).</w:t>
      </w:r>
    </w:p>
    <w:p w14:paraId="2F8A4001" w14:textId="3B05CD72"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An exclusion order must be issued promptly if a person has identified themselves as being a problem gambler and has requested that the venue prohibit them from entering the gambling area (</w:t>
      </w:r>
      <w:r w:rsidRPr="00743572">
        <w:rPr>
          <w:color w:val="00B0F0"/>
          <w:sz w:val="19"/>
          <w:szCs w:val="19"/>
        </w:rPr>
        <w:t>Section 310</w:t>
      </w:r>
      <w:r w:rsidRPr="00743572">
        <w:rPr>
          <w:sz w:val="19"/>
          <w:szCs w:val="19"/>
        </w:rPr>
        <w:t>). A venue manager (or person acting on their behalf) that fails to issue a self-exclusion order when requested commits an offence and is liable for a fine of up to $5,000.</w:t>
      </w:r>
    </w:p>
    <w:p w14:paraId="65C6388F" w14:textId="775D6E0B"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Staff must take all reasonable steps (including issuing an exclusion order) to provide continued assistance on an on-going basis to a person they believe is a problem gambler after the initial approach if the person’s ongoing behaviour means there are still reasonable grounds to believe the person is a problem gambler (</w:t>
      </w:r>
      <w:r w:rsidRPr="00743572">
        <w:rPr>
          <w:color w:val="00B0F0"/>
          <w:sz w:val="19"/>
          <w:szCs w:val="19"/>
        </w:rPr>
        <w:t>Section 309A</w:t>
      </w:r>
      <w:r w:rsidRPr="00743572">
        <w:rPr>
          <w:sz w:val="19"/>
          <w:szCs w:val="19"/>
        </w:rPr>
        <w:t>).</w:t>
      </w:r>
    </w:p>
    <w:p w14:paraId="0074A9C2" w14:textId="77777777"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Excluded persons must not be permitted to enter the gambling area and must be removed if they do so (</w:t>
      </w:r>
      <w:r w:rsidRPr="00743572">
        <w:rPr>
          <w:color w:val="00B0F0"/>
          <w:sz w:val="19"/>
          <w:szCs w:val="19"/>
        </w:rPr>
        <w:t>Section 311</w:t>
      </w:r>
      <w:r w:rsidRPr="00F70BA4">
        <w:rPr>
          <w:sz w:val="19"/>
          <w:szCs w:val="19"/>
        </w:rPr>
        <w:t xml:space="preserve">). </w:t>
      </w:r>
      <w:r w:rsidRPr="00743572">
        <w:rPr>
          <w:sz w:val="19"/>
          <w:szCs w:val="19"/>
        </w:rPr>
        <w:t>A venue manager (or person acting on their behalf) who allows an excluded person to enter the gambling area or fails to remove an excluded person may commit an offence and is liable for a fine of up to $5,000 (</w:t>
      </w:r>
      <w:r w:rsidRPr="00743572">
        <w:rPr>
          <w:color w:val="00B0F0"/>
          <w:sz w:val="19"/>
          <w:szCs w:val="19"/>
        </w:rPr>
        <w:t>Section 312</w:t>
      </w:r>
      <w:r w:rsidRPr="00743572">
        <w:rPr>
          <w:sz w:val="19"/>
          <w:szCs w:val="19"/>
        </w:rPr>
        <w:t>).</w:t>
      </w:r>
    </w:p>
    <w:p w14:paraId="16A128DB" w14:textId="77777777" w:rsidR="00743572" w:rsidRPr="00743572" w:rsidRDefault="00743572" w:rsidP="00A42B77">
      <w:pPr>
        <w:pStyle w:val="ListParagraph"/>
        <w:numPr>
          <w:ilvl w:val="0"/>
          <w:numId w:val="21"/>
        </w:numPr>
        <w:spacing w:after="0" w:line="240" w:lineRule="auto"/>
        <w:ind w:left="357" w:hanging="357"/>
        <w:contextualSpacing w:val="0"/>
        <w:rPr>
          <w:sz w:val="19"/>
          <w:szCs w:val="19"/>
        </w:rPr>
      </w:pPr>
      <w:r w:rsidRPr="00743572">
        <w:rPr>
          <w:sz w:val="19"/>
          <w:szCs w:val="19"/>
        </w:rPr>
        <w:t>The venue manager must keep a record of exclusion orders (</w:t>
      </w:r>
      <w:r w:rsidRPr="00743572">
        <w:rPr>
          <w:color w:val="00B0F0"/>
          <w:sz w:val="19"/>
          <w:szCs w:val="19"/>
        </w:rPr>
        <w:t>Section 312A</w:t>
      </w:r>
      <w:r w:rsidRPr="00743572">
        <w:rPr>
          <w:sz w:val="19"/>
          <w:szCs w:val="19"/>
        </w:rPr>
        <w:t>), including:</w:t>
      </w:r>
    </w:p>
    <w:p w14:paraId="3FA927EF" w14:textId="77777777" w:rsidR="00743572" w:rsidRPr="00743572" w:rsidRDefault="00743572" w:rsidP="00A42B77">
      <w:pPr>
        <w:pStyle w:val="ListParagraph"/>
        <w:numPr>
          <w:ilvl w:val="0"/>
          <w:numId w:val="13"/>
        </w:numPr>
        <w:spacing w:after="0" w:line="240" w:lineRule="auto"/>
        <w:contextualSpacing w:val="0"/>
        <w:rPr>
          <w:sz w:val="19"/>
          <w:szCs w:val="19"/>
        </w:rPr>
      </w:pPr>
      <w:r w:rsidRPr="00743572">
        <w:rPr>
          <w:sz w:val="19"/>
          <w:szCs w:val="19"/>
        </w:rPr>
        <w:t>The person’s name and date of birth (if provided); and</w:t>
      </w:r>
    </w:p>
    <w:p w14:paraId="576DE104" w14:textId="77777777" w:rsidR="00743572" w:rsidRPr="00743572" w:rsidRDefault="00743572" w:rsidP="00A42B77">
      <w:pPr>
        <w:pStyle w:val="ListParagraph"/>
        <w:numPr>
          <w:ilvl w:val="0"/>
          <w:numId w:val="13"/>
        </w:numPr>
        <w:spacing w:after="0" w:line="240" w:lineRule="auto"/>
        <w:contextualSpacing w:val="0"/>
        <w:rPr>
          <w:sz w:val="19"/>
          <w:szCs w:val="19"/>
        </w:rPr>
      </w:pPr>
      <w:r w:rsidRPr="00743572">
        <w:rPr>
          <w:sz w:val="19"/>
          <w:szCs w:val="19"/>
        </w:rPr>
        <w:t>Whether the person self-excluded, or received a venue-initiated exclusion; and</w:t>
      </w:r>
    </w:p>
    <w:p w14:paraId="2D5E28E0" w14:textId="77777777" w:rsidR="00743572" w:rsidRPr="00743572" w:rsidRDefault="00743572" w:rsidP="00A42B77">
      <w:pPr>
        <w:pStyle w:val="ListParagraph"/>
        <w:numPr>
          <w:ilvl w:val="0"/>
          <w:numId w:val="13"/>
        </w:numPr>
        <w:spacing w:after="0" w:line="240" w:lineRule="auto"/>
        <w:contextualSpacing w:val="0"/>
        <w:rPr>
          <w:sz w:val="19"/>
          <w:szCs w:val="19"/>
        </w:rPr>
      </w:pPr>
      <w:r w:rsidRPr="00743572">
        <w:rPr>
          <w:sz w:val="19"/>
          <w:szCs w:val="19"/>
        </w:rPr>
        <w:t>The date which the exclusion order was issued and the date of expiry; and</w:t>
      </w:r>
    </w:p>
    <w:p w14:paraId="1052EBB9" w14:textId="77777777" w:rsidR="00743572" w:rsidRPr="00743572" w:rsidRDefault="00743572" w:rsidP="00A42B77">
      <w:pPr>
        <w:pStyle w:val="ListParagraph"/>
        <w:numPr>
          <w:ilvl w:val="0"/>
          <w:numId w:val="13"/>
        </w:numPr>
        <w:spacing w:after="80" w:line="240" w:lineRule="auto"/>
        <w:ind w:left="714" w:hanging="357"/>
        <w:contextualSpacing w:val="0"/>
        <w:rPr>
          <w:sz w:val="19"/>
          <w:szCs w:val="19"/>
        </w:rPr>
      </w:pPr>
      <w:r w:rsidRPr="00743572">
        <w:rPr>
          <w:sz w:val="19"/>
          <w:szCs w:val="19"/>
        </w:rPr>
        <w:t>Any conditions imposed on the person’s re-entry into the venue.</w:t>
      </w:r>
    </w:p>
    <w:p w14:paraId="5829E395" w14:textId="3481CAE6"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 xml:space="preserve">No one aged 18 or under </w:t>
      </w:r>
      <w:r w:rsidR="00F70BA4">
        <w:rPr>
          <w:sz w:val="19"/>
          <w:szCs w:val="19"/>
        </w:rPr>
        <w:t xml:space="preserve">can </w:t>
      </w:r>
      <w:r w:rsidRPr="00743572">
        <w:rPr>
          <w:sz w:val="19"/>
          <w:szCs w:val="19"/>
        </w:rPr>
        <w:t>gamble at the venue (</w:t>
      </w:r>
      <w:r w:rsidRPr="00743572">
        <w:rPr>
          <w:color w:val="00B0F0"/>
          <w:sz w:val="19"/>
          <w:szCs w:val="19"/>
        </w:rPr>
        <w:t>Section 302</w:t>
      </w:r>
      <w:r w:rsidRPr="00743572">
        <w:rPr>
          <w:sz w:val="19"/>
          <w:szCs w:val="19"/>
        </w:rPr>
        <w:t>). Offences may result in a fine of up to $5</w:t>
      </w:r>
      <w:r w:rsidR="00F70BA4">
        <w:rPr>
          <w:sz w:val="19"/>
          <w:szCs w:val="19"/>
        </w:rPr>
        <w:t>,</w:t>
      </w:r>
      <w:r w:rsidRPr="00743572">
        <w:rPr>
          <w:sz w:val="19"/>
          <w:szCs w:val="19"/>
        </w:rPr>
        <w:t>000.</w:t>
      </w:r>
    </w:p>
    <w:p w14:paraId="5A0CC0FD" w14:textId="77777777"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Providing credit for gambling is prohibited (</w:t>
      </w:r>
      <w:r w:rsidRPr="00743572">
        <w:rPr>
          <w:color w:val="00B0F0"/>
          <w:sz w:val="19"/>
          <w:szCs w:val="19"/>
        </w:rPr>
        <w:t>Section 15</w:t>
      </w:r>
      <w:r w:rsidRPr="00743572">
        <w:rPr>
          <w:sz w:val="19"/>
          <w:szCs w:val="19"/>
        </w:rPr>
        <w:t>).</w:t>
      </w:r>
    </w:p>
    <w:p w14:paraId="36549F66" w14:textId="77777777"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No ATMs are permitted in the gambling area of a venue (</w:t>
      </w:r>
      <w:r w:rsidRPr="00743572">
        <w:rPr>
          <w:color w:val="00B050"/>
          <w:sz w:val="19"/>
          <w:szCs w:val="19"/>
        </w:rPr>
        <w:t>Reg 5</w:t>
      </w:r>
      <w:r w:rsidRPr="00743572">
        <w:rPr>
          <w:sz w:val="19"/>
          <w:szCs w:val="19"/>
        </w:rPr>
        <w:t>).</w:t>
      </w:r>
    </w:p>
    <w:p w14:paraId="63336047" w14:textId="04E2B58C" w:rsidR="00743572" w:rsidRPr="006F74A9" w:rsidRDefault="00743572" w:rsidP="006F74A9">
      <w:pPr>
        <w:pStyle w:val="ListParagraph"/>
        <w:numPr>
          <w:ilvl w:val="0"/>
          <w:numId w:val="21"/>
        </w:numPr>
        <w:spacing w:after="80" w:line="240" w:lineRule="auto"/>
        <w:ind w:left="357" w:hanging="357"/>
        <w:contextualSpacing w:val="0"/>
        <w:rPr>
          <w:sz w:val="19"/>
          <w:szCs w:val="19"/>
        </w:rPr>
      </w:pPr>
      <w:r w:rsidRPr="006F74A9">
        <w:rPr>
          <w:sz w:val="19"/>
          <w:szCs w:val="19"/>
        </w:rPr>
        <w:t>Class 4 operator</w:t>
      </w:r>
      <w:r w:rsidR="006F74A9">
        <w:rPr>
          <w:sz w:val="19"/>
          <w:szCs w:val="19"/>
        </w:rPr>
        <w:t>s</w:t>
      </w:r>
      <w:r w:rsidRPr="006F74A9">
        <w:rPr>
          <w:sz w:val="19"/>
          <w:szCs w:val="19"/>
        </w:rPr>
        <w:t xml:space="preserve"> must ensure that: maximum amount single play stake (for stand-alone or linked machine) does not exceed $2.50; maximum prize single play prize does not exceed $500, and; maximum single play jackpot prize a linked gaming machine does not exceed $1,000 (</w:t>
      </w:r>
      <w:r w:rsidRPr="006F74A9">
        <w:rPr>
          <w:color w:val="00B050"/>
          <w:sz w:val="19"/>
          <w:szCs w:val="19"/>
        </w:rPr>
        <w:t>Reg 6</w:t>
      </w:r>
      <w:r w:rsidRPr="006F74A9">
        <w:rPr>
          <w:sz w:val="19"/>
          <w:szCs w:val="19"/>
        </w:rPr>
        <w:t>).</w:t>
      </w:r>
    </w:p>
    <w:p w14:paraId="4501692C" w14:textId="0365902A"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Gaming machine</w:t>
      </w:r>
      <w:r w:rsidR="00F70BA4">
        <w:rPr>
          <w:sz w:val="19"/>
          <w:szCs w:val="19"/>
        </w:rPr>
        <w:t>s</w:t>
      </w:r>
      <w:r w:rsidRPr="00743572">
        <w:rPr>
          <w:sz w:val="19"/>
          <w:szCs w:val="19"/>
        </w:rPr>
        <w:t xml:space="preserve"> must display certain messages at the election of the player, specifically: game information (odds, average winnings, player spend rates), player information (duration, amount spent, net wins/losses). Machine must </w:t>
      </w:r>
      <w:r w:rsidR="00F70BA4">
        <w:rPr>
          <w:sz w:val="19"/>
          <w:szCs w:val="19"/>
        </w:rPr>
        <w:t xml:space="preserve">also </w:t>
      </w:r>
      <w:r w:rsidRPr="00743572">
        <w:rPr>
          <w:sz w:val="19"/>
          <w:szCs w:val="19"/>
        </w:rPr>
        <w:t>display correct time (</w:t>
      </w:r>
      <w:r w:rsidRPr="00743572">
        <w:rPr>
          <w:color w:val="00B050"/>
          <w:sz w:val="19"/>
          <w:szCs w:val="19"/>
        </w:rPr>
        <w:t>Reg 7</w:t>
      </w:r>
      <w:r w:rsidRPr="00743572">
        <w:rPr>
          <w:sz w:val="19"/>
          <w:szCs w:val="19"/>
        </w:rPr>
        <w:t>).</w:t>
      </w:r>
    </w:p>
    <w:p w14:paraId="622C8D9B" w14:textId="57D45F59" w:rsidR="00743572" w:rsidRPr="00743572" w:rsidRDefault="00743572" w:rsidP="00A42B77">
      <w:pPr>
        <w:pStyle w:val="ListParagraph"/>
        <w:numPr>
          <w:ilvl w:val="0"/>
          <w:numId w:val="21"/>
        </w:numPr>
        <w:spacing w:after="80" w:line="240" w:lineRule="auto"/>
        <w:contextualSpacing w:val="0"/>
        <w:rPr>
          <w:sz w:val="19"/>
          <w:szCs w:val="19"/>
        </w:rPr>
      </w:pPr>
      <w:r w:rsidRPr="00743572">
        <w:rPr>
          <w:sz w:val="19"/>
          <w:szCs w:val="19"/>
        </w:rPr>
        <w:t>Gaming machine</w:t>
      </w:r>
      <w:r w:rsidR="00F70BA4">
        <w:rPr>
          <w:sz w:val="19"/>
          <w:szCs w:val="19"/>
        </w:rPr>
        <w:t>s</w:t>
      </w:r>
      <w:r w:rsidRPr="00743572">
        <w:rPr>
          <w:sz w:val="19"/>
          <w:szCs w:val="19"/>
        </w:rPr>
        <w:t xml:space="preserve"> must include feature that interrupts play every 30 minutes and provide</w:t>
      </w:r>
      <w:r w:rsidR="00F70BA4">
        <w:rPr>
          <w:sz w:val="19"/>
          <w:szCs w:val="19"/>
        </w:rPr>
        <w:t>s</w:t>
      </w:r>
      <w:r w:rsidRPr="00743572">
        <w:rPr>
          <w:sz w:val="19"/>
          <w:szCs w:val="19"/>
        </w:rPr>
        <w:t xml:space="preserve"> player information (duration, amount spent, net wins/losses). Machine must include a feature that automatically pays out any winnings and credits to the player, if they do not wish to continue (</w:t>
      </w:r>
      <w:r w:rsidRPr="00743572">
        <w:rPr>
          <w:color w:val="00B050"/>
          <w:sz w:val="19"/>
          <w:szCs w:val="19"/>
        </w:rPr>
        <w:t>Reg 8</w:t>
      </w:r>
      <w:r w:rsidRPr="00743572">
        <w:rPr>
          <w:sz w:val="19"/>
          <w:szCs w:val="19"/>
        </w:rPr>
        <w:t>).</w:t>
      </w:r>
    </w:p>
    <w:p w14:paraId="62415E3B" w14:textId="095AC41C" w:rsidR="00743572" w:rsidRPr="00743572" w:rsidRDefault="00743572" w:rsidP="00A42B77">
      <w:pPr>
        <w:pStyle w:val="ListParagraph"/>
        <w:numPr>
          <w:ilvl w:val="0"/>
          <w:numId w:val="21"/>
        </w:numPr>
        <w:spacing w:after="80" w:line="240" w:lineRule="auto"/>
        <w:ind w:left="357" w:hanging="357"/>
        <w:contextualSpacing w:val="0"/>
        <w:rPr>
          <w:sz w:val="19"/>
          <w:szCs w:val="19"/>
        </w:rPr>
      </w:pPr>
      <w:r w:rsidRPr="00743572">
        <w:rPr>
          <w:sz w:val="19"/>
          <w:szCs w:val="19"/>
        </w:rPr>
        <w:t>No advertising relating to a gaming machine jackpot</w:t>
      </w:r>
      <w:r w:rsidR="00F70BA4">
        <w:rPr>
          <w:sz w:val="19"/>
          <w:szCs w:val="19"/>
        </w:rPr>
        <w:t>s</w:t>
      </w:r>
      <w:r w:rsidRPr="00743572">
        <w:rPr>
          <w:sz w:val="19"/>
          <w:szCs w:val="19"/>
        </w:rPr>
        <w:t xml:space="preserve"> can be published either outside the venue, or inside the venue in a way that is visible or audible to persons outside the venue (</w:t>
      </w:r>
      <w:r w:rsidRPr="00743572">
        <w:rPr>
          <w:color w:val="00B050"/>
          <w:sz w:val="19"/>
          <w:szCs w:val="19"/>
        </w:rPr>
        <w:t>Reg 9 and 10</w:t>
      </w:r>
      <w:r w:rsidRPr="00743572">
        <w:rPr>
          <w:sz w:val="19"/>
          <w:szCs w:val="19"/>
        </w:rPr>
        <w:t>).</w:t>
      </w:r>
    </w:p>
    <w:p w14:paraId="00C8DEFF" w14:textId="77777777" w:rsidR="00743572" w:rsidRPr="00743572" w:rsidRDefault="00743572" w:rsidP="00A42B77">
      <w:pPr>
        <w:pStyle w:val="ListParagraph"/>
        <w:numPr>
          <w:ilvl w:val="0"/>
          <w:numId w:val="21"/>
        </w:numPr>
        <w:spacing w:after="0" w:line="240" w:lineRule="auto"/>
        <w:ind w:left="357" w:hanging="357"/>
        <w:contextualSpacing w:val="0"/>
        <w:rPr>
          <w:sz w:val="19"/>
          <w:szCs w:val="19"/>
        </w:rPr>
      </w:pPr>
      <w:r w:rsidRPr="00743572">
        <w:rPr>
          <w:sz w:val="19"/>
          <w:szCs w:val="19"/>
        </w:rPr>
        <w:t>The following must be available to players (</w:t>
      </w:r>
      <w:r w:rsidRPr="00743572">
        <w:rPr>
          <w:color w:val="00B050"/>
          <w:sz w:val="19"/>
          <w:szCs w:val="19"/>
        </w:rPr>
        <w:t>Reg 11</w:t>
      </w:r>
      <w:r w:rsidRPr="00743572">
        <w:rPr>
          <w:sz w:val="19"/>
          <w:szCs w:val="19"/>
        </w:rPr>
        <w:t>):</w:t>
      </w:r>
    </w:p>
    <w:p w14:paraId="351F7CC8" w14:textId="0822F402" w:rsidR="00743572" w:rsidRPr="00743572" w:rsidRDefault="00743572" w:rsidP="00A42B77">
      <w:pPr>
        <w:pStyle w:val="ListParagraph"/>
        <w:numPr>
          <w:ilvl w:val="0"/>
          <w:numId w:val="13"/>
        </w:numPr>
        <w:spacing w:before="40" w:after="0" w:line="240" w:lineRule="auto"/>
        <w:contextualSpacing w:val="0"/>
        <w:rPr>
          <w:sz w:val="19"/>
          <w:szCs w:val="19"/>
        </w:rPr>
      </w:pPr>
      <w:r w:rsidRPr="00743572">
        <w:rPr>
          <w:sz w:val="19"/>
          <w:szCs w:val="19"/>
        </w:rPr>
        <w:t>Pamphlets containing information about the odds of winning on gaming machines and the characteristics of problem gambling, including the recognised signs of harmful gambling and how to seek advice</w:t>
      </w:r>
      <w:r w:rsidR="00F70BA4">
        <w:rPr>
          <w:sz w:val="19"/>
          <w:szCs w:val="19"/>
        </w:rPr>
        <w:t>; and</w:t>
      </w:r>
    </w:p>
    <w:p w14:paraId="1402DB94" w14:textId="77777777" w:rsidR="00743572" w:rsidRPr="00743572" w:rsidRDefault="00743572" w:rsidP="00A42B77">
      <w:pPr>
        <w:pStyle w:val="ListParagraph"/>
        <w:numPr>
          <w:ilvl w:val="0"/>
          <w:numId w:val="13"/>
        </w:numPr>
        <w:spacing w:before="40" w:after="80" w:line="240" w:lineRule="auto"/>
        <w:contextualSpacing w:val="0"/>
        <w:rPr>
          <w:sz w:val="19"/>
          <w:szCs w:val="19"/>
        </w:rPr>
      </w:pPr>
      <w:r w:rsidRPr="00743572">
        <w:rPr>
          <w:sz w:val="19"/>
          <w:szCs w:val="19"/>
        </w:rPr>
        <w:t>Signage that is clearly visible that encourage players to gamble only at levels they can afford and contains advice about how to seek assistance for problem gambling.</w:t>
      </w:r>
    </w:p>
    <w:sectPr w:rsidR="00743572" w:rsidRPr="00743572" w:rsidSect="00B5612C">
      <w:footerReference w:type="default" r:id="rId13"/>
      <w:pgSz w:w="11906" w:h="16838" w:code="9"/>
      <w:pgMar w:top="1134" w:right="1418" w:bottom="992"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C1976" w14:textId="77777777" w:rsidR="00E763F3" w:rsidRDefault="00E763F3">
      <w:pPr>
        <w:spacing w:after="0" w:line="240" w:lineRule="auto"/>
      </w:pPr>
      <w:r>
        <w:separator/>
      </w:r>
    </w:p>
    <w:p w14:paraId="1C2975C6" w14:textId="77777777" w:rsidR="00E763F3" w:rsidRDefault="00E763F3"/>
  </w:endnote>
  <w:endnote w:type="continuationSeparator" w:id="0">
    <w:p w14:paraId="46608943" w14:textId="77777777" w:rsidR="00E763F3" w:rsidRDefault="00E763F3">
      <w:pPr>
        <w:spacing w:after="0" w:line="240" w:lineRule="auto"/>
      </w:pPr>
      <w:r>
        <w:continuationSeparator/>
      </w:r>
    </w:p>
    <w:p w14:paraId="007EBC11" w14:textId="77777777" w:rsidR="00E763F3" w:rsidRDefault="00E763F3"/>
  </w:endnote>
  <w:endnote w:type="continuationNotice" w:id="1">
    <w:p w14:paraId="68D09470" w14:textId="77777777" w:rsidR="00E763F3" w:rsidRDefault="00E76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1C00" w14:textId="77777777" w:rsidR="00E763F3" w:rsidRPr="00743278" w:rsidRDefault="00E763F3"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31E71" w14:textId="77777777" w:rsidR="00E763F3" w:rsidRDefault="00E763F3">
      <w:pPr>
        <w:spacing w:after="0" w:line="240" w:lineRule="auto"/>
      </w:pPr>
      <w:r>
        <w:separator/>
      </w:r>
    </w:p>
    <w:p w14:paraId="76E3C54A" w14:textId="77777777" w:rsidR="00E763F3" w:rsidRDefault="00E763F3"/>
  </w:footnote>
  <w:footnote w:type="continuationSeparator" w:id="0">
    <w:p w14:paraId="0310DF47" w14:textId="77777777" w:rsidR="00E763F3" w:rsidRDefault="00E763F3">
      <w:pPr>
        <w:spacing w:after="0" w:line="240" w:lineRule="auto"/>
      </w:pPr>
      <w:r>
        <w:continuationSeparator/>
      </w:r>
    </w:p>
    <w:p w14:paraId="3952528D" w14:textId="77777777" w:rsidR="00E763F3" w:rsidRDefault="00E763F3"/>
  </w:footnote>
  <w:footnote w:type="continuationNotice" w:id="1">
    <w:p w14:paraId="7848DA50" w14:textId="77777777" w:rsidR="00E763F3" w:rsidRDefault="00E763F3">
      <w:pPr>
        <w:spacing w:after="0" w:line="240" w:lineRule="auto"/>
      </w:pPr>
    </w:p>
  </w:footnote>
  <w:footnote w:id="2">
    <w:p w14:paraId="114D3374" w14:textId="57D3BC3D" w:rsidR="00E763F3" w:rsidRPr="00F022C2" w:rsidRDefault="00E763F3" w:rsidP="000E3029">
      <w:pPr>
        <w:pStyle w:val="FootnoteText"/>
        <w:rPr>
          <w:lang w:val="en-NZ"/>
        </w:rPr>
      </w:pPr>
      <w:r w:rsidRPr="00B12F1E">
        <w:rPr>
          <w:rStyle w:val="FootnoteReference"/>
          <w:rFonts w:eastAsiaTheme="majorEastAsia"/>
        </w:rPr>
        <w:footnoteRef/>
      </w:r>
      <w:r>
        <w:tab/>
        <w:t xml:space="preserve">That is, </w:t>
      </w:r>
      <w:r w:rsidRPr="00137CC9">
        <w:t>1</w:t>
      </w:r>
      <w:r>
        <w:t>0.9% of</w:t>
      </w:r>
      <w:r w:rsidRPr="00137CC9">
        <w:t xml:space="preserve"> New Zealand adults</w:t>
      </w:r>
      <w:r>
        <w:t>,</w:t>
      </w:r>
      <w:r w:rsidRPr="00137CC9">
        <w:t xml:space="preserve"> according to</w:t>
      </w:r>
      <w:r>
        <w:t xml:space="preserve"> the 2020 HLS (9.6% from pokies alone).</w:t>
      </w:r>
    </w:p>
  </w:footnote>
  <w:footnote w:id="3">
    <w:p w14:paraId="65B17C03" w14:textId="74CCB5FA" w:rsidR="00E763F3" w:rsidRPr="00F10CCF" w:rsidRDefault="00E763F3">
      <w:pPr>
        <w:pStyle w:val="FootnoteText"/>
        <w:rPr>
          <w:lang w:val="en-NZ"/>
        </w:rPr>
      </w:pPr>
      <w:r>
        <w:rPr>
          <w:rStyle w:val="FootnoteReference"/>
        </w:rPr>
        <w:footnoteRef/>
      </w:r>
      <w:r>
        <w:t xml:space="preserve"> </w:t>
      </w:r>
      <w:r>
        <w:tab/>
        <w:t>A</w:t>
      </w:r>
      <w:r w:rsidRPr="005840A5">
        <w:t xml:space="preserve">s at 30 June 2021, there were 1,059 venues operating 14,704 machines. </w:t>
      </w:r>
      <w:r>
        <w:t xml:space="preserve">This shows a </w:t>
      </w:r>
      <w:r w:rsidRPr="005840A5">
        <w:t xml:space="preserve">trend </w:t>
      </w:r>
      <w:r>
        <w:t xml:space="preserve">for </w:t>
      </w:r>
      <w:r w:rsidRPr="005840A5">
        <w:t>venues and machines decreasing</w:t>
      </w:r>
      <w:r>
        <w:t xml:space="preserve">, as </w:t>
      </w:r>
      <w:r w:rsidRPr="005840A5">
        <w:t>venues peaked at more than 2,200 in the late 1990s and machines peaked at 25,221 in June 2003. Despite the decline in venue</w:t>
      </w:r>
      <w:r>
        <w:t>s</w:t>
      </w:r>
      <w:r w:rsidRPr="005840A5">
        <w:t xml:space="preserve"> and machine</w:t>
      </w:r>
      <w:r>
        <w:t>s</w:t>
      </w:r>
      <w:r w:rsidRPr="005840A5">
        <w:t xml:space="preserve">, total </w:t>
      </w:r>
      <w:r>
        <w:t xml:space="preserve">spend </w:t>
      </w:r>
      <w:r w:rsidRPr="005840A5">
        <w:t>continues to increase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2329"/>
    <w:multiLevelType w:val="hybridMultilevel"/>
    <w:tmpl w:val="0C66EEE4"/>
    <w:lvl w:ilvl="0" w:tplc="14090001">
      <w:start w:val="1"/>
      <w:numFmt w:val="bullet"/>
      <w:lvlText w:val=""/>
      <w:lvlJc w:val="left"/>
      <w:pPr>
        <w:ind w:left="927" w:hanging="360"/>
      </w:pPr>
      <w:rPr>
        <w:rFonts w:ascii="Symbol" w:hAnsi="Symbol"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C8633FF"/>
    <w:multiLevelType w:val="hybridMultilevel"/>
    <w:tmpl w:val="D81667F8"/>
    <w:lvl w:ilvl="0" w:tplc="14090001">
      <w:start w:val="1"/>
      <w:numFmt w:val="bullet"/>
      <w:lvlText w:val=""/>
      <w:lvlJc w:val="left"/>
      <w:pPr>
        <w:ind w:left="720" w:hanging="360"/>
      </w:pPr>
      <w:rPr>
        <w:rFonts w:ascii="Symbol" w:hAnsi="Symbol" w:hint="default"/>
      </w:rPr>
    </w:lvl>
    <w:lvl w:ilvl="1" w:tplc="FC2A6B8E">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1F1DC3"/>
    <w:multiLevelType w:val="hybridMultilevel"/>
    <w:tmpl w:val="169CA206"/>
    <w:lvl w:ilvl="0" w:tplc="14090001">
      <w:start w:val="1"/>
      <w:numFmt w:val="bullet"/>
      <w:lvlText w:val=""/>
      <w:lvlJc w:val="left"/>
      <w:pPr>
        <w:ind w:left="684" w:hanging="360"/>
      </w:pPr>
      <w:rPr>
        <w:rFonts w:ascii="Symbol" w:hAnsi="Symbol" w:hint="default"/>
      </w:rPr>
    </w:lvl>
    <w:lvl w:ilvl="1" w:tplc="14090003" w:tentative="1">
      <w:start w:val="1"/>
      <w:numFmt w:val="bullet"/>
      <w:lvlText w:val="o"/>
      <w:lvlJc w:val="left"/>
      <w:pPr>
        <w:ind w:left="1404" w:hanging="360"/>
      </w:pPr>
      <w:rPr>
        <w:rFonts w:ascii="Courier New" w:hAnsi="Courier New" w:cs="Courier New" w:hint="default"/>
      </w:rPr>
    </w:lvl>
    <w:lvl w:ilvl="2" w:tplc="14090005" w:tentative="1">
      <w:start w:val="1"/>
      <w:numFmt w:val="bullet"/>
      <w:lvlText w:val=""/>
      <w:lvlJc w:val="left"/>
      <w:pPr>
        <w:ind w:left="2124" w:hanging="360"/>
      </w:pPr>
      <w:rPr>
        <w:rFonts w:ascii="Wingdings" w:hAnsi="Wingdings" w:hint="default"/>
      </w:rPr>
    </w:lvl>
    <w:lvl w:ilvl="3" w:tplc="14090001" w:tentative="1">
      <w:start w:val="1"/>
      <w:numFmt w:val="bullet"/>
      <w:lvlText w:val=""/>
      <w:lvlJc w:val="left"/>
      <w:pPr>
        <w:ind w:left="2844" w:hanging="360"/>
      </w:pPr>
      <w:rPr>
        <w:rFonts w:ascii="Symbol" w:hAnsi="Symbol" w:hint="default"/>
      </w:rPr>
    </w:lvl>
    <w:lvl w:ilvl="4" w:tplc="14090003" w:tentative="1">
      <w:start w:val="1"/>
      <w:numFmt w:val="bullet"/>
      <w:lvlText w:val="o"/>
      <w:lvlJc w:val="left"/>
      <w:pPr>
        <w:ind w:left="3564" w:hanging="360"/>
      </w:pPr>
      <w:rPr>
        <w:rFonts w:ascii="Courier New" w:hAnsi="Courier New" w:cs="Courier New" w:hint="default"/>
      </w:rPr>
    </w:lvl>
    <w:lvl w:ilvl="5" w:tplc="14090005" w:tentative="1">
      <w:start w:val="1"/>
      <w:numFmt w:val="bullet"/>
      <w:lvlText w:val=""/>
      <w:lvlJc w:val="left"/>
      <w:pPr>
        <w:ind w:left="4284" w:hanging="360"/>
      </w:pPr>
      <w:rPr>
        <w:rFonts w:ascii="Wingdings" w:hAnsi="Wingdings" w:hint="default"/>
      </w:rPr>
    </w:lvl>
    <w:lvl w:ilvl="6" w:tplc="14090001" w:tentative="1">
      <w:start w:val="1"/>
      <w:numFmt w:val="bullet"/>
      <w:lvlText w:val=""/>
      <w:lvlJc w:val="left"/>
      <w:pPr>
        <w:ind w:left="5004" w:hanging="360"/>
      </w:pPr>
      <w:rPr>
        <w:rFonts w:ascii="Symbol" w:hAnsi="Symbol" w:hint="default"/>
      </w:rPr>
    </w:lvl>
    <w:lvl w:ilvl="7" w:tplc="14090003" w:tentative="1">
      <w:start w:val="1"/>
      <w:numFmt w:val="bullet"/>
      <w:lvlText w:val="o"/>
      <w:lvlJc w:val="left"/>
      <w:pPr>
        <w:ind w:left="5724" w:hanging="360"/>
      </w:pPr>
      <w:rPr>
        <w:rFonts w:ascii="Courier New" w:hAnsi="Courier New" w:cs="Courier New" w:hint="default"/>
      </w:rPr>
    </w:lvl>
    <w:lvl w:ilvl="8" w:tplc="14090005" w:tentative="1">
      <w:start w:val="1"/>
      <w:numFmt w:val="bullet"/>
      <w:lvlText w:val=""/>
      <w:lvlJc w:val="left"/>
      <w:pPr>
        <w:ind w:left="6444" w:hanging="360"/>
      </w:pPr>
      <w:rPr>
        <w:rFonts w:ascii="Wingdings" w:hAnsi="Wingdings" w:hint="default"/>
      </w:rPr>
    </w:lvl>
  </w:abstractNum>
  <w:abstractNum w:abstractNumId="3" w15:restartNumberingAfterBreak="0">
    <w:nsid w:val="193078A8"/>
    <w:multiLevelType w:val="hybridMultilevel"/>
    <w:tmpl w:val="30C8CAF6"/>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FC2A6B8E">
      <w:numFmt w:val="bullet"/>
      <w:lvlText w:val="-"/>
      <w:lvlJc w:val="left"/>
      <w:pPr>
        <w:ind w:left="2160" w:hanging="180"/>
      </w:pPr>
      <w:rPr>
        <w:rFonts w:ascii="Arial" w:eastAsia="Times New Roman" w:hAnsi="Arial" w:cs="Aria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2B41ED"/>
    <w:multiLevelType w:val="hybridMultilevel"/>
    <w:tmpl w:val="A1D86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8F1C50"/>
    <w:multiLevelType w:val="hybridMultilevel"/>
    <w:tmpl w:val="D3CA8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E62F65"/>
    <w:multiLevelType w:val="hybridMultilevel"/>
    <w:tmpl w:val="AD148676"/>
    <w:lvl w:ilvl="0" w:tplc="1409000F">
      <w:start w:val="1"/>
      <w:numFmt w:val="decimal"/>
      <w:lvlText w:val="%1."/>
      <w:lvlJc w:val="left"/>
      <w:pPr>
        <w:ind w:left="3337"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0D6785"/>
    <w:multiLevelType w:val="hybridMultilevel"/>
    <w:tmpl w:val="737A6C38"/>
    <w:lvl w:ilvl="0" w:tplc="14090001">
      <w:start w:val="1"/>
      <w:numFmt w:val="bullet"/>
      <w:lvlText w:val=""/>
      <w:lvlJc w:val="left"/>
      <w:pPr>
        <w:ind w:left="927" w:hanging="360"/>
      </w:pPr>
      <w:rPr>
        <w:rFonts w:ascii="Symbol" w:hAnsi="Symbol"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27A935FC"/>
    <w:multiLevelType w:val="hybridMultilevel"/>
    <w:tmpl w:val="72B283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673995"/>
    <w:multiLevelType w:val="hybridMultilevel"/>
    <w:tmpl w:val="AD14867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2C56DB"/>
    <w:multiLevelType w:val="hybridMultilevel"/>
    <w:tmpl w:val="A754D54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FA33A2B"/>
    <w:multiLevelType w:val="hybridMultilevel"/>
    <w:tmpl w:val="7B5E5A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AC5BCC"/>
    <w:multiLevelType w:val="multilevel"/>
    <w:tmpl w:val="B33C8C64"/>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22916DD"/>
    <w:multiLevelType w:val="hybridMultilevel"/>
    <w:tmpl w:val="8BD84C10"/>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5262FB5"/>
    <w:multiLevelType w:val="hybridMultilevel"/>
    <w:tmpl w:val="C0D07B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5D15E22"/>
    <w:multiLevelType w:val="hybridMultilevel"/>
    <w:tmpl w:val="247E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D549C5"/>
    <w:multiLevelType w:val="hybridMultilevel"/>
    <w:tmpl w:val="9A0C583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9" w15:restartNumberingAfterBreak="0">
    <w:nsid w:val="38DE5A8D"/>
    <w:multiLevelType w:val="hybridMultilevel"/>
    <w:tmpl w:val="1BE440D0"/>
    <w:lvl w:ilvl="0" w:tplc="E2C8BEB8">
      <w:start w:val="1"/>
      <w:numFmt w:val="bullet"/>
      <w:pStyle w:val="Bullet-list"/>
      <w:lvlText w:val=""/>
      <w:lvlJc w:val="left"/>
      <w:pPr>
        <w:ind w:left="6" w:hanging="360"/>
      </w:pPr>
      <w:rPr>
        <w:rFonts w:ascii="Symbol" w:hAnsi="Symbol" w:hint="default"/>
      </w:rPr>
    </w:lvl>
    <w:lvl w:ilvl="1" w:tplc="14090003">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20" w15:restartNumberingAfterBreak="0">
    <w:nsid w:val="3AA92471"/>
    <w:multiLevelType w:val="hybridMultilevel"/>
    <w:tmpl w:val="9362A174"/>
    <w:lvl w:ilvl="0" w:tplc="14090001">
      <w:start w:val="1"/>
      <w:numFmt w:val="bullet"/>
      <w:lvlText w:val=""/>
      <w:lvlJc w:val="left"/>
      <w:pPr>
        <w:ind w:left="927" w:hanging="360"/>
      </w:pPr>
      <w:rPr>
        <w:rFonts w:ascii="Symbol" w:hAnsi="Symbol"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1" w15:restartNumberingAfterBreak="0">
    <w:nsid w:val="3FC235A2"/>
    <w:multiLevelType w:val="hybridMultilevel"/>
    <w:tmpl w:val="8090B8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460333C"/>
    <w:multiLevelType w:val="hybridMultilevel"/>
    <w:tmpl w:val="9EE42F12"/>
    <w:lvl w:ilvl="0" w:tplc="14090001">
      <w:start w:val="1"/>
      <w:numFmt w:val="bullet"/>
      <w:lvlText w:val=""/>
      <w:lvlJc w:val="left"/>
      <w:pPr>
        <w:ind w:left="1058" w:hanging="360"/>
      </w:pPr>
      <w:rPr>
        <w:rFonts w:ascii="Symbol" w:hAnsi="Symbol" w:hint="default"/>
      </w:rPr>
    </w:lvl>
    <w:lvl w:ilvl="1" w:tplc="14090003" w:tentative="1">
      <w:start w:val="1"/>
      <w:numFmt w:val="bullet"/>
      <w:lvlText w:val="o"/>
      <w:lvlJc w:val="left"/>
      <w:pPr>
        <w:ind w:left="1778" w:hanging="360"/>
      </w:pPr>
      <w:rPr>
        <w:rFonts w:ascii="Courier New" w:hAnsi="Courier New" w:cs="Courier New" w:hint="default"/>
      </w:rPr>
    </w:lvl>
    <w:lvl w:ilvl="2" w:tplc="14090005" w:tentative="1">
      <w:start w:val="1"/>
      <w:numFmt w:val="bullet"/>
      <w:lvlText w:val=""/>
      <w:lvlJc w:val="left"/>
      <w:pPr>
        <w:ind w:left="2498" w:hanging="360"/>
      </w:pPr>
      <w:rPr>
        <w:rFonts w:ascii="Wingdings" w:hAnsi="Wingdings" w:hint="default"/>
      </w:rPr>
    </w:lvl>
    <w:lvl w:ilvl="3" w:tplc="14090001" w:tentative="1">
      <w:start w:val="1"/>
      <w:numFmt w:val="bullet"/>
      <w:lvlText w:val=""/>
      <w:lvlJc w:val="left"/>
      <w:pPr>
        <w:ind w:left="3218" w:hanging="360"/>
      </w:pPr>
      <w:rPr>
        <w:rFonts w:ascii="Symbol" w:hAnsi="Symbol" w:hint="default"/>
      </w:rPr>
    </w:lvl>
    <w:lvl w:ilvl="4" w:tplc="14090003" w:tentative="1">
      <w:start w:val="1"/>
      <w:numFmt w:val="bullet"/>
      <w:lvlText w:val="o"/>
      <w:lvlJc w:val="left"/>
      <w:pPr>
        <w:ind w:left="3938" w:hanging="360"/>
      </w:pPr>
      <w:rPr>
        <w:rFonts w:ascii="Courier New" w:hAnsi="Courier New" w:cs="Courier New" w:hint="default"/>
      </w:rPr>
    </w:lvl>
    <w:lvl w:ilvl="5" w:tplc="14090005" w:tentative="1">
      <w:start w:val="1"/>
      <w:numFmt w:val="bullet"/>
      <w:lvlText w:val=""/>
      <w:lvlJc w:val="left"/>
      <w:pPr>
        <w:ind w:left="4658" w:hanging="360"/>
      </w:pPr>
      <w:rPr>
        <w:rFonts w:ascii="Wingdings" w:hAnsi="Wingdings" w:hint="default"/>
      </w:rPr>
    </w:lvl>
    <w:lvl w:ilvl="6" w:tplc="14090001" w:tentative="1">
      <w:start w:val="1"/>
      <w:numFmt w:val="bullet"/>
      <w:lvlText w:val=""/>
      <w:lvlJc w:val="left"/>
      <w:pPr>
        <w:ind w:left="5378" w:hanging="360"/>
      </w:pPr>
      <w:rPr>
        <w:rFonts w:ascii="Symbol" w:hAnsi="Symbol" w:hint="default"/>
      </w:rPr>
    </w:lvl>
    <w:lvl w:ilvl="7" w:tplc="14090003" w:tentative="1">
      <w:start w:val="1"/>
      <w:numFmt w:val="bullet"/>
      <w:lvlText w:val="o"/>
      <w:lvlJc w:val="left"/>
      <w:pPr>
        <w:ind w:left="6098" w:hanging="360"/>
      </w:pPr>
      <w:rPr>
        <w:rFonts w:ascii="Courier New" w:hAnsi="Courier New" w:cs="Courier New" w:hint="default"/>
      </w:rPr>
    </w:lvl>
    <w:lvl w:ilvl="8" w:tplc="14090005" w:tentative="1">
      <w:start w:val="1"/>
      <w:numFmt w:val="bullet"/>
      <w:lvlText w:val=""/>
      <w:lvlJc w:val="left"/>
      <w:pPr>
        <w:ind w:left="6818" w:hanging="360"/>
      </w:pPr>
      <w:rPr>
        <w:rFonts w:ascii="Wingdings" w:hAnsi="Wingdings" w:hint="default"/>
      </w:rPr>
    </w:lvl>
  </w:abstractNum>
  <w:abstractNum w:abstractNumId="23" w15:restartNumberingAfterBreak="0">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3289"/>
    <w:multiLevelType w:val="hybridMultilevel"/>
    <w:tmpl w:val="D57A48B0"/>
    <w:lvl w:ilvl="0" w:tplc="14090001">
      <w:start w:val="1"/>
      <w:numFmt w:val="bullet"/>
      <w:lvlText w:val=""/>
      <w:lvlJc w:val="left"/>
      <w:pPr>
        <w:ind w:left="927" w:hanging="360"/>
      </w:pPr>
      <w:rPr>
        <w:rFonts w:ascii="Symbol" w:hAnsi="Symbol"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63AB6E01"/>
    <w:multiLevelType w:val="hybridMultilevel"/>
    <w:tmpl w:val="DBDAC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77600"/>
    <w:multiLevelType w:val="hybridMultilevel"/>
    <w:tmpl w:val="72B283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E477173"/>
    <w:multiLevelType w:val="hybridMultilevel"/>
    <w:tmpl w:val="6D085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25097F"/>
    <w:multiLevelType w:val="hybridMultilevel"/>
    <w:tmpl w:val="652E2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A6F4B2D"/>
    <w:multiLevelType w:val="hybridMultilevel"/>
    <w:tmpl w:val="74D6AAAA"/>
    <w:lvl w:ilvl="0" w:tplc="14090001">
      <w:start w:val="1"/>
      <w:numFmt w:val="bullet"/>
      <w:lvlText w:val=""/>
      <w:lvlJc w:val="left"/>
      <w:pPr>
        <w:ind w:left="927" w:hanging="360"/>
      </w:pPr>
      <w:rPr>
        <w:rFonts w:ascii="Symbol" w:hAnsi="Symbol" w:hint="default"/>
      </w:rPr>
    </w:lvl>
    <w:lvl w:ilvl="1" w:tplc="FC2A6B8E">
      <w:numFmt w:val="bullet"/>
      <w:lvlText w:val="-"/>
      <w:lvlJc w:val="left"/>
      <w:pPr>
        <w:ind w:left="1647" w:hanging="360"/>
      </w:pPr>
      <w:rPr>
        <w:rFonts w:ascii="Arial" w:eastAsia="Times New Roman" w:hAnsi="Arial" w:cs="Arial"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23"/>
  </w:num>
  <w:num w:numId="2">
    <w:abstractNumId w:val="24"/>
  </w:num>
  <w:num w:numId="3">
    <w:abstractNumId w:val="19"/>
  </w:num>
  <w:num w:numId="4">
    <w:abstractNumId w:val="15"/>
  </w:num>
  <w:num w:numId="5">
    <w:abstractNumId w:val="6"/>
  </w:num>
  <w:num w:numId="6">
    <w:abstractNumId w:val="11"/>
  </w:num>
  <w:num w:numId="7">
    <w:abstractNumId w:val="27"/>
  </w:num>
  <w:num w:numId="8">
    <w:abstractNumId w:val="1"/>
  </w:num>
  <w:num w:numId="9">
    <w:abstractNumId w:val="18"/>
  </w:num>
  <w:num w:numId="10">
    <w:abstractNumId w:val="12"/>
  </w:num>
  <w:num w:numId="11">
    <w:abstractNumId w:val="17"/>
  </w:num>
  <w:num w:numId="12">
    <w:abstractNumId w:val="3"/>
  </w:num>
  <w:num w:numId="13">
    <w:abstractNumId w:val="26"/>
  </w:num>
  <w:num w:numId="14">
    <w:abstractNumId w:val="31"/>
  </w:num>
  <w:num w:numId="15">
    <w:abstractNumId w:val="20"/>
  </w:num>
  <w:num w:numId="16">
    <w:abstractNumId w:val="9"/>
  </w:num>
  <w:num w:numId="17">
    <w:abstractNumId w:val="13"/>
  </w:num>
  <w:num w:numId="18">
    <w:abstractNumId w:val="7"/>
  </w:num>
  <w:num w:numId="19">
    <w:abstractNumId w:val="25"/>
  </w:num>
  <w:num w:numId="20">
    <w:abstractNumId w:val="0"/>
  </w:num>
  <w:num w:numId="21">
    <w:abstractNumId w:val="10"/>
  </w:num>
  <w:num w:numId="22">
    <w:abstractNumId w:val="2"/>
  </w:num>
  <w:num w:numId="23">
    <w:abstractNumId w:val="16"/>
  </w:num>
  <w:num w:numId="24">
    <w:abstractNumId w:val="29"/>
  </w:num>
  <w:num w:numId="25">
    <w:abstractNumId w:val="30"/>
  </w:num>
  <w:num w:numId="26">
    <w:abstractNumId w:val="4"/>
  </w:num>
  <w:num w:numId="27">
    <w:abstractNumId w:val="8"/>
  </w:num>
  <w:num w:numId="28">
    <w:abstractNumId w:val="14"/>
  </w:num>
  <w:num w:numId="29">
    <w:abstractNumId w:val="28"/>
  </w:num>
  <w:num w:numId="30">
    <w:abstractNumId w:val="5"/>
  </w:num>
  <w:num w:numId="31">
    <w:abstractNumId w:val="21"/>
  </w:num>
  <w:num w:numId="3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9"/>
    <w:rsid w:val="000008AD"/>
    <w:rsid w:val="00001CB4"/>
    <w:rsid w:val="0000201A"/>
    <w:rsid w:val="0000328A"/>
    <w:rsid w:val="00004B58"/>
    <w:rsid w:val="00006A91"/>
    <w:rsid w:val="00006C08"/>
    <w:rsid w:val="0000724E"/>
    <w:rsid w:val="000077B2"/>
    <w:rsid w:val="00007FD3"/>
    <w:rsid w:val="000121E6"/>
    <w:rsid w:val="00012998"/>
    <w:rsid w:val="000132F6"/>
    <w:rsid w:val="00014FB7"/>
    <w:rsid w:val="00015FAA"/>
    <w:rsid w:val="00016C27"/>
    <w:rsid w:val="00020F75"/>
    <w:rsid w:val="000210ED"/>
    <w:rsid w:val="00021443"/>
    <w:rsid w:val="00021FA0"/>
    <w:rsid w:val="00024303"/>
    <w:rsid w:val="00024979"/>
    <w:rsid w:val="00026E79"/>
    <w:rsid w:val="00030190"/>
    <w:rsid w:val="00030DCB"/>
    <w:rsid w:val="000313D9"/>
    <w:rsid w:val="00034615"/>
    <w:rsid w:val="000351CE"/>
    <w:rsid w:val="00035ED5"/>
    <w:rsid w:val="00037F29"/>
    <w:rsid w:val="00040FBC"/>
    <w:rsid w:val="00041FC0"/>
    <w:rsid w:val="000424B7"/>
    <w:rsid w:val="0004623A"/>
    <w:rsid w:val="00046A04"/>
    <w:rsid w:val="00047B2C"/>
    <w:rsid w:val="00051193"/>
    <w:rsid w:val="00051637"/>
    <w:rsid w:val="000524A6"/>
    <w:rsid w:val="000548CE"/>
    <w:rsid w:val="0005691A"/>
    <w:rsid w:val="00061A42"/>
    <w:rsid w:val="000626D7"/>
    <w:rsid w:val="00063943"/>
    <w:rsid w:val="00064320"/>
    <w:rsid w:val="00070E55"/>
    <w:rsid w:val="0007168A"/>
    <w:rsid w:val="00071EF5"/>
    <w:rsid w:val="000723BB"/>
    <w:rsid w:val="00072C3E"/>
    <w:rsid w:val="0007474B"/>
    <w:rsid w:val="00075310"/>
    <w:rsid w:val="00076368"/>
    <w:rsid w:val="00080FED"/>
    <w:rsid w:val="0008276F"/>
    <w:rsid w:val="0008397A"/>
    <w:rsid w:val="00091719"/>
    <w:rsid w:val="00093E9C"/>
    <w:rsid w:val="000940D1"/>
    <w:rsid w:val="00097119"/>
    <w:rsid w:val="00097B6D"/>
    <w:rsid w:val="000A0803"/>
    <w:rsid w:val="000A0FEF"/>
    <w:rsid w:val="000A19EA"/>
    <w:rsid w:val="000A2B04"/>
    <w:rsid w:val="000A32D0"/>
    <w:rsid w:val="000A4041"/>
    <w:rsid w:val="000A6FE2"/>
    <w:rsid w:val="000A7E03"/>
    <w:rsid w:val="000B0132"/>
    <w:rsid w:val="000B0D4D"/>
    <w:rsid w:val="000B2320"/>
    <w:rsid w:val="000B5AB4"/>
    <w:rsid w:val="000B7AB6"/>
    <w:rsid w:val="000C268D"/>
    <w:rsid w:val="000C299F"/>
    <w:rsid w:val="000C29FA"/>
    <w:rsid w:val="000C356C"/>
    <w:rsid w:val="000C366D"/>
    <w:rsid w:val="000C3F6A"/>
    <w:rsid w:val="000C4659"/>
    <w:rsid w:val="000C7053"/>
    <w:rsid w:val="000D34D3"/>
    <w:rsid w:val="000D6133"/>
    <w:rsid w:val="000E00AF"/>
    <w:rsid w:val="000E3029"/>
    <w:rsid w:val="000E35FF"/>
    <w:rsid w:val="000E3F9E"/>
    <w:rsid w:val="000E4E12"/>
    <w:rsid w:val="000E502E"/>
    <w:rsid w:val="000F452C"/>
    <w:rsid w:val="000F5D1D"/>
    <w:rsid w:val="000F62E0"/>
    <w:rsid w:val="000F6B2E"/>
    <w:rsid w:val="000F720E"/>
    <w:rsid w:val="000F740F"/>
    <w:rsid w:val="00101FE6"/>
    <w:rsid w:val="001029BA"/>
    <w:rsid w:val="0010467F"/>
    <w:rsid w:val="001049D4"/>
    <w:rsid w:val="00105D66"/>
    <w:rsid w:val="001163EB"/>
    <w:rsid w:val="00120D92"/>
    <w:rsid w:val="001216DC"/>
    <w:rsid w:val="001220BD"/>
    <w:rsid w:val="00124FA4"/>
    <w:rsid w:val="0012547B"/>
    <w:rsid w:val="001255A6"/>
    <w:rsid w:val="001312CB"/>
    <w:rsid w:val="00132327"/>
    <w:rsid w:val="00132393"/>
    <w:rsid w:val="0013264B"/>
    <w:rsid w:val="00135B24"/>
    <w:rsid w:val="00136004"/>
    <w:rsid w:val="00136700"/>
    <w:rsid w:val="00136946"/>
    <w:rsid w:val="00137414"/>
    <w:rsid w:val="0013799C"/>
    <w:rsid w:val="001402E8"/>
    <w:rsid w:val="00143F2D"/>
    <w:rsid w:val="001505FF"/>
    <w:rsid w:val="00150D58"/>
    <w:rsid w:val="00152AB6"/>
    <w:rsid w:val="001568CA"/>
    <w:rsid w:val="001571B5"/>
    <w:rsid w:val="00160B76"/>
    <w:rsid w:val="00164445"/>
    <w:rsid w:val="00164D97"/>
    <w:rsid w:val="0016637D"/>
    <w:rsid w:val="00167308"/>
    <w:rsid w:val="00167871"/>
    <w:rsid w:val="0017116F"/>
    <w:rsid w:val="001749B4"/>
    <w:rsid w:val="00175B52"/>
    <w:rsid w:val="001802E8"/>
    <w:rsid w:val="001817F4"/>
    <w:rsid w:val="00182FAD"/>
    <w:rsid w:val="001837C1"/>
    <w:rsid w:val="00185A12"/>
    <w:rsid w:val="00186592"/>
    <w:rsid w:val="001870AB"/>
    <w:rsid w:val="00190F33"/>
    <w:rsid w:val="001938AA"/>
    <w:rsid w:val="00193917"/>
    <w:rsid w:val="00195523"/>
    <w:rsid w:val="001967D5"/>
    <w:rsid w:val="001A02CC"/>
    <w:rsid w:val="001A0546"/>
    <w:rsid w:val="001A07B8"/>
    <w:rsid w:val="001A39D4"/>
    <w:rsid w:val="001A4B31"/>
    <w:rsid w:val="001A6552"/>
    <w:rsid w:val="001A7A50"/>
    <w:rsid w:val="001B01AC"/>
    <w:rsid w:val="001B20A2"/>
    <w:rsid w:val="001B4604"/>
    <w:rsid w:val="001B59C5"/>
    <w:rsid w:val="001C1B9D"/>
    <w:rsid w:val="001C4A82"/>
    <w:rsid w:val="001C6453"/>
    <w:rsid w:val="001C66CD"/>
    <w:rsid w:val="001C7C55"/>
    <w:rsid w:val="001D0AA6"/>
    <w:rsid w:val="001D1874"/>
    <w:rsid w:val="001D4A05"/>
    <w:rsid w:val="001D4DEC"/>
    <w:rsid w:val="001D599D"/>
    <w:rsid w:val="001D7B9B"/>
    <w:rsid w:val="001E05C0"/>
    <w:rsid w:val="001E166B"/>
    <w:rsid w:val="001E34C4"/>
    <w:rsid w:val="001E5816"/>
    <w:rsid w:val="001E6029"/>
    <w:rsid w:val="001E7D01"/>
    <w:rsid w:val="001F29E6"/>
    <w:rsid w:val="001F6E35"/>
    <w:rsid w:val="001F6FBD"/>
    <w:rsid w:val="001F7F23"/>
    <w:rsid w:val="00200DA1"/>
    <w:rsid w:val="00205B65"/>
    <w:rsid w:val="002060EC"/>
    <w:rsid w:val="00210C3D"/>
    <w:rsid w:val="002112EA"/>
    <w:rsid w:val="00212395"/>
    <w:rsid w:val="00212A84"/>
    <w:rsid w:val="002141FE"/>
    <w:rsid w:val="00215DED"/>
    <w:rsid w:val="002167FC"/>
    <w:rsid w:val="00216981"/>
    <w:rsid w:val="00217116"/>
    <w:rsid w:val="00221C0F"/>
    <w:rsid w:val="0022201B"/>
    <w:rsid w:val="00222441"/>
    <w:rsid w:val="00222540"/>
    <w:rsid w:val="00224965"/>
    <w:rsid w:val="002254E4"/>
    <w:rsid w:val="0022557C"/>
    <w:rsid w:val="002309B1"/>
    <w:rsid w:val="00231673"/>
    <w:rsid w:val="002316E5"/>
    <w:rsid w:val="0023241A"/>
    <w:rsid w:val="00233A80"/>
    <w:rsid w:val="00234DCD"/>
    <w:rsid w:val="002352C4"/>
    <w:rsid w:val="002428A4"/>
    <w:rsid w:val="00245D7A"/>
    <w:rsid w:val="002479A4"/>
    <w:rsid w:val="00250F16"/>
    <w:rsid w:val="0025300E"/>
    <w:rsid w:val="002546A9"/>
    <w:rsid w:val="002552F0"/>
    <w:rsid w:val="0026139D"/>
    <w:rsid w:val="0026379C"/>
    <w:rsid w:val="0026379E"/>
    <w:rsid w:val="00263D08"/>
    <w:rsid w:val="00263DAD"/>
    <w:rsid w:val="002656BE"/>
    <w:rsid w:val="002663F5"/>
    <w:rsid w:val="002724C8"/>
    <w:rsid w:val="00273014"/>
    <w:rsid w:val="00275103"/>
    <w:rsid w:val="00275B6F"/>
    <w:rsid w:val="0027622D"/>
    <w:rsid w:val="00280022"/>
    <w:rsid w:val="00281606"/>
    <w:rsid w:val="00282154"/>
    <w:rsid w:val="0028538B"/>
    <w:rsid w:val="00286E91"/>
    <w:rsid w:val="00291243"/>
    <w:rsid w:val="00293D8D"/>
    <w:rsid w:val="0029421E"/>
    <w:rsid w:val="00294646"/>
    <w:rsid w:val="00295393"/>
    <w:rsid w:val="002957BD"/>
    <w:rsid w:val="002958E5"/>
    <w:rsid w:val="0029653F"/>
    <w:rsid w:val="002A2C43"/>
    <w:rsid w:val="002A4E2F"/>
    <w:rsid w:val="002A6334"/>
    <w:rsid w:val="002A7820"/>
    <w:rsid w:val="002B01D8"/>
    <w:rsid w:val="002B1665"/>
    <w:rsid w:val="002B1E8E"/>
    <w:rsid w:val="002B27D8"/>
    <w:rsid w:val="002B426E"/>
    <w:rsid w:val="002B7C25"/>
    <w:rsid w:val="002C0132"/>
    <w:rsid w:val="002C0E77"/>
    <w:rsid w:val="002C2785"/>
    <w:rsid w:val="002C3428"/>
    <w:rsid w:val="002C346F"/>
    <w:rsid w:val="002C3926"/>
    <w:rsid w:val="002C63E3"/>
    <w:rsid w:val="002C6886"/>
    <w:rsid w:val="002C7C74"/>
    <w:rsid w:val="002D0B95"/>
    <w:rsid w:val="002D1A74"/>
    <w:rsid w:val="002D2932"/>
    <w:rsid w:val="002D347F"/>
    <w:rsid w:val="002D5018"/>
    <w:rsid w:val="002D52C3"/>
    <w:rsid w:val="002D54E1"/>
    <w:rsid w:val="002E06CC"/>
    <w:rsid w:val="002E140F"/>
    <w:rsid w:val="002E1635"/>
    <w:rsid w:val="002E3773"/>
    <w:rsid w:val="002E487F"/>
    <w:rsid w:val="002E5FEA"/>
    <w:rsid w:val="002F0F2F"/>
    <w:rsid w:val="002F2CD3"/>
    <w:rsid w:val="002F37B0"/>
    <w:rsid w:val="002F456E"/>
    <w:rsid w:val="002F59DB"/>
    <w:rsid w:val="002F7B32"/>
    <w:rsid w:val="00303FDB"/>
    <w:rsid w:val="0030459E"/>
    <w:rsid w:val="0030464E"/>
    <w:rsid w:val="00307959"/>
    <w:rsid w:val="00310035"/>
    <w:rsid w:val="00310839"/>
    <w:rsid w:val="00312CE5"/>
    <w:rsid w:val="00314476"/>
    <w:rsid w:val="00315A06"/>
    <w:rsid w:val="00317F29"/>
    <w:rsid w:val="003225C4"/>
    <w:rsid w:val="00323A68"/>
    <w:rsid w:val="003245C2"/>
    <w:rsid w:val="0032495B"/>
    <w:rsid w:val="00324E1E"/>
    <w:rsid w:val="0033106B"/>
    <w:rsid w:val="0033231A"/>
    <w:rsid w:val="003335DC"/>
    <w:rsid w:val="00341104"/>
    <w:rsid w:val="00341836"/>
    <w:rsid w:val="003432CA"/>
    <w:rsid w:val="00345C3F"/>
    <w:rsid w:val="00346116"/>
    <w:rsid w:val="00346B30"/>
    <w:rsid w:val="00347572"/>
    <w:rsid w:val="003479B7"/>
    <w:rsid w:val="00347BA1"/>
    <w:rsid w:val="00353D70"/>
    <w:rsid w:val="00354F55"/>
    <w:rsid w:val="00356186"/>
    <w:rsid w:val="00361459"/>
    <w:rsid w:val="00361592"/>
    <w:rsid w:val="00362DF6"/>
    <w:rsid w:val="00363B61"/>
    <w:rsid w:val="00364C4C"/>
    <w:rsid w:val="0036646F"/>
    <w:rsid w:val="003667C8"/>
    <w:rsid w:val="00366E1D"/>
    <w:rsid w:val="00367CF2"/>
    <w:rsid w:val="00370C43"/>
    <w:rsid w:val="00372C96"/>
    <w:rsid w:val="00373851"/>
    <w:rsid w:val="00373CD5"/>
    <w:rsid w:val="00376913"/>
    <w:rsid w:val="0037693A"/>
    <w:rsid w:val="003820ED"/>
    <w:rsid w:val="00384E9B"/>
    <w:rsid w:val="00390149"/>
    <w:rsid w:val="00390BAB"/>
    <w:rsid w:val="00390DC2"/>
    <w:rsid w:val="003910A4"/>
    <w:rsid w:val="00391341"/>
    <w:rsid w:val="00391B30"/>
    <w:rsid w:val="00392891"/>
    <w:rsid w:val="00392CD8"/>
    <w:rsid w:val="0039577B"/>
    <w:rsid w:val="00397C8D"/>
    <w:rsid w:val="003A2BB1"/>
    <w:rsid w:val="003A3F6B"/>
    <w:rsid w:val="003A47BA"/>
    <w:rsid w:val="003A50C4"/>
    <w:rsid w:val="003A6757"/>
    <w:rsid w:val="003B650C"/>
    <w:rsid w:val="003B77EA"/>
    <w:rsid w:val="003B7835"/>
    <w:rsid w:val="003C10A8"/>
    <w:rsid w:val="003C1D3C"/>
    <w:rsid w:val="003C3183"/>
    <w:rsid w:val="003C48E9"/>
    <w:rsid w:val="003C4F38"/>
    <w:rsid w:val="003C516F"/>
    <w:rsid w:val="003C5267"/>
    <w:rsid w:val="003C578F"/>
    <w:rsid w:val="003C61B5"/>
    <w:rsid w:val="003C69DD"/>
    <w:rsid w:val="003C7374"/>
    <w:rsid w:val="003C7630"/>
    <w:rsid w:val="003D3CA1"/>
    <w:rsid w:val="003D4DA7"/>
    <w:rsid w:val="003D500E"/>
    <w:rsid w:val="003D6D1C"/>
    <w:rsid w:val="003E08F6"/>
    <w:rsid w:val="003E20E0"/>
    <w:rsid w:val="003E2908"/>
    <w:rsid w:val="003E3C42"/>
    <w:rsid w:val="003F11A5"/>
    <w:rsid w:val="003F1C16"/>
    <w:rsid w:val="003F2438"/>
    <w:rsid w:val="003F2D3B"/>
    <w:rsid w:val="003F2F6F"/>
    <w:rsid w:val="003F3813"/>
    <w:rsid w:val="003F420B"/>
    <w:rsid w:val="003F4EE0"/>
    <w:rsid w:val="003F6091"/>
    <w:rsid w:val="003F775E"/>
    <w:rsid w:val="003F7F54"/>
    <w:rsid w:val="00400E95"/>
    <w:rsid w:val="00401E3C"/>
    <w:rsid w:val="0040297B"/>
    <w:rsid w:val="0040497A"/>
    <w:rsid w:val="00405E5B"/>
    <w:rsid w:val="00406663"/>
    <w:rsid w:val="00406EC7"/>
    <w:rsid w:val="00406F2B"/>
    <w:rsid w:val="0041056D"/>
    <w:rsid w:val="00410757"/>
    <w:rsid w:val="004111B8"/>
    <w:rsid w:val="00412704"/>
    <w:rsid w:val="0041278D"/>
    <w:rsid w:val="00413FD8"/>
    <w:rsid w:val="00415D52"/>
    <w:rsid w:val="0041785C"/>
    <w:rsid w:val="004179F5"/>
    <w:rsid w:val="00417B4A"/>
    <w:rsid w:val="00422C20"/>
    <w:rsid w:val="0042454E"/>
    <w:rsid w:val="00425DED"/>
    <w:rsid w:val="00427790"/>
    <w:rsid w:val="00430835"/>
    <w:rsid w:val="00431CA7"/>
    <w:rsid w:val="0043361C"/>
    <w:rsid w:val="00433D3D"/>
    <w:rsid w:val="00434211"/>
    <w:rsid w:val="00435038"/>
    <w:rsid w:val="0043532E"/>
    <w:rsid w:val="004402CE"/>
    <w:rsid w:val="004405A8"/>
    <w:rsid w:val="00442959"/>
    <w:rsid w:val="00443D34"/>
    <w:rsid w:val="00447453"/>
    <w:rsid w:val="0045122F"/>
    <w:rsid w:val="00451F6D"/>
    <w:rsid w:val="00460CD2"/>
    <w:rsid w:val="00462107"/>
    <w:rsid w:val="004625C9"/>
    <w:rsid w:val="004628FF"/>
    <w:rsid w:val="00467AB7"/>
    <w:rsid w:val="00474028"/>
    <w:rsid w:val="00474272"/>
    <w:rsid w:val="004744EE"/>
    <w:rsid w:val="00477E82"/>
    <w:rsid w:val="00481CED"/>
    <w:rsid w:val="004821DB"/>
    <w:rsid w:val="004831EE"/>
    <w:rsid w:val="00483652"/>
    <w:rsid w:val="00484A6C"/>
    <w:rsid w:val="004851B1"/>
    <w:rsid w:val="00486133"/>
    <w:rsid w:val="00487FAD"/>
    <w:rsid w:val="00491F37"/>
    <w:rsid w:val="00491FAD"/>
    <w:rsid w:val="0049234F"/>
    <w:rsid w:val="00493DFB"/>
    <w:rsid w:val="0049467D"/>
    <w:rsid w:val="00496B0A"/>
    <w:rsid w:val="00497810"/>
    <w:rsid w:val="004A11FC"/>
    <w:rsid w:val="004A1AE3"/>
    <w:rsid w:val="004A2714"/>
    <w:rsid w:val="004A4084"/>
    <w:rsid w:val="004A6AB8"/>
    <w:rsid w:val="004A6E33"/>
    <w:rsid w:val="004B0926"/>
    <w:rsid w:val="004B0A19"/>
    <w:rsid w:val="004B0F0C"/>
    <w:rsid w:val="004B1C64"/>
    <w:rsid w:val="004B1F53"/>
    <w:rsid w:val="004B2E9A"/>
    <w:rsid w:val="004B4C9E"/>
    <w:rsid w:val="004B509E"/>
    <w:rsid w:val="004B587C"/>
    <w:rsid w:val="004B6F7D"/>
    <w:rsid w:val="004B7683"/>
    <w:rsid w:val="004B78BC"/>
    <w:rsid w:val="004B7BD3"/>
    <w:rsid w:val="004C056B"/>
    <w:rsid w:val="004C12D0"/>
    <w:rsid w:val="004C321A"/>
    <w:rsid w:val="004C4603"/>
    <w:rsid w:val="004C6060"/>
    <w:rsid w:val="004D000C"/>
    <w:rsid w:val="004D14E1"/>
    <w:rsid w:val="004D1722"/>
    <w:rsid w:val="004D3BD1"/>
    <w:rsid w:val="004D5AF6"/>
    <w:rsid w:val="004E1A06"/>
    <w:rsid w:val="004E3786"/>
    <w:rsid w:val="004E63B2"/>
    <w:rsid w:val="004F10FB"/>
    <w:rsid w:val="004F3D58"/>
    <w:rsid w:val="004F3DA8"/>
    <w:rsid w:val="004F5283"/>
    <w:rsid w:val="004F5419"/>
    <w:rsid w:val="004F5B65"/>
    <w:rsid w:val="00501053"/>
    <w:rsid w:val="00501808"/>
    <w:rsid w:val="0050418B"/>
    <w:rsid w:val="00505B2B"/>
    <w:rsid w:val="005071CD"/>
    <w:rsid w:val="00512FAB"/>
    <w:rsid w:val="005139C3"/>
    <w:rsid w:val="00514770"/>
    <w:rsid w:val="005167FA"/>
    <w:rsid w:val="00517BA2"/>
    <w:rsid w:val="00521403"/>
    <w:rsid w:val="00523D6A"/>
    <w:rsid w:val="005246D6"/>
    <w:rsid w:val="005258E4"/>
    <w:rsid w:val="0052670F"/>
    <w:rsid w:val="005271B2"/>
    <w:rsid w:val="005275ED"/>
    <w:rsid w:val="00527C27"/>
    <w:rsid w:val="00530722"/>
    <w:rsid w:val="0053224A"/>
    <w:rsid w:val="00535B46"/>
    <w:rsid w:val="00537B28"/>
    <w:rsid w:val="00537EFE"/>
    <w:rsid w:val="00541194"/>
    <w:rsid w:val="00541C3D"/>
    <w:rsid w:val="00543012"/>
    <w:rsid w:val="00543026"/>
    <w:rsid w:val="00543648"/>
    <w:rsid w:val="00546076"/>
    <w:rsid w:val="00550CEB"/>
    <w:rsid w:val="00552E42"/>
    <w:rsid w:val="00553C18"/>
    <w:rsid w:val="00554046"/>
    <w:rsid w:val="00556893"/>
    <w:rsid w:val="0055694C"/>
    <w:rsid w:val="00560B8C"/>
    <w:rsid w:val="00560FED"/>
    <w:rsid w:val="0056317B"/>
    <w:rsid w:val="00564321"/>
    <w:rsid w:val="0056545E"/>
    <w:rsid w:val="00565FA5"/>
    <w:rsid w:val="00567740"/>
    <w:rsid w:val="00567AEB"/>
    <w:rsid w:val="00570089"/>
    <w:rsid w:val="00570516"/>
    <w:rsid w:val="00570E3F"/>
    <w:rsid w:val="00572954"/>
    <w:rsid w:val="00575E55"/>
    <w:rsid w:val="00575FF9"/>
    <w:rsid w:val="00577969"/>
    <w:rsid w:val="00582441"/>
    <w:rsid w:val="005843AC"/>
    <w:rsid w:val="00584499"/>
    <w:rsid w:val="005855FE"/>
    <w:rsid w:val="005872B2"/>
    <w:rsid w:val="0059151F"/>
    <w:rsid w:val="005919BA"/>
    <w:rsid w:val="00593B97"/>
    <w:rsid w:val="00597950"/>
    <w:rsid w:val="005A0B65"/>
    <w:rsid w:val="005A2E71"/>
    <w:rsid w:val="005A38D5"/>
    <w:rsid w:val="005A5398"/>
    <w:rsid w:val="005A7388"/>
    <w:rsid w:val="005B27FB"/>
    <w:rsid w:val="005B369C"/>
    <w:rsid w:val="005B51F5"/>
    <w:rsid w:val="005B522C"/>
    <w:rsid w:val="005B5FC4"/>
    <w:rsid w:val="005C028F"/>
    <w:rsid w:val="005C0E28"/>
    <w:rsid w:val="005C1D93"/>
    <w:rsid w:val="005C2079"/>
    <w:rsid w:val="005C3104"/>
    <w:rsid w:val="005C38A2"/>
    <w:rsid w:val="005C514F"/>
    <w:rsid w:val="005C76D8"/>
    <w:rsid w:val="005D14FF"/>
    <w:rsid w:val="005D1A9A"/>
    <w:rsid w:val="005D78CD"/>
    <w:rsid w:val="005E1B08"/>
    <w:rsid w:val="005E24C2"/>
    <w:rsid w:val="005F41A2"/>
    <w:rsid w:val="005F4E4B"/>
    <w:rsid w:val="005F51DE"/>
    <w:rsid w:val="0060071B"/>
    <w:rsid w:val="00605092"/>
    <w:rsid w:val="00606E71"/>
    <w:rsid w:val="00610B8B"/>
    <w:rsid w:val="00610F0E"/>
    <w:rsid w:val="00611D7E"/>
    <w:rsid w:val="00612159"/>
    <w:rsid w:val="006135E2"/>
    <w:rsid w:val="00615EB0"/>
    <w:rsid w:val="0061610F"/>
    <w:rsid w:val="006172F1"/>
    <w:rsid w:val="006207B3"/>
    <w:rsid w:val="00624CAF"/>
    <w:rsid w:val="0062657E"/>
    <w:rsid w:val="00627737"/>
    <w:rsid w:val="006278DF"/>
    <w:rsid w:val="006337DE"/>
    <w:rsid w:val="00633DC3"/>
    <w:rsid w:val="006354F8"/>
    <w:rsid w:val="006356D0"/>
    <w:rsid w:val="00635830"/>
    <w:rsid w:val="00636019"/>
    <w:rsid w:val="00637874"/>
    <w:rsid w:val="006409CA"/>
    <w:rsid w:val="00642209"/>
    <w:rsid w:val="0064280B"/>
    <w:rsid w:val="0064405E"/>
    <w:rsid w:val="006448CF"/>
    <w:rsid w:val="00644FA4"/>
    <w:rsid w:val="00647987"/>
    <w:rsid w:val="00650980"/>
    <w:rsid w:val="00651EA3"/>
    <w:rsid w:val="00653DA4"/>
    <w:rsid w:val="00654CEA"/>
    <w:rsid w:val="00656925"/>
    <w:rsid w:val="00661E97"/>
    <w:rsid w:val="00663BAA"/>
    <w:rsid w:val="00664F50"/>
    <w:rsid w:val="00667661"/>
    <w:rsid w:val="00671451"/>
    <w:rsid w:val="00671877"/>
    <w:rsid w:val="0067389C"/>
    <w:rsid w:val="00675528"/>
    <w:rsid w:val="00675711"/>
    <w:rsid w:val="00676458"/>
    <w:rsid w:val="00676730"/>
    <w:rsid w:val="006767B7"/>
    <w:rsid w:val="006777C4"/>
    <w:rsid w:val="00682C09"/>
    <w:rsid w:val="00682E06"/>
    <w:rsid w:val="00686045"/>
    <w:rsid w:val="00687118"/>
    <w:rsid w:val="00690F06"/>
    <w:rsid w:val="00693232"/>
    <w:rsid w:val="00693D3F"/>
    <w:rsid w:val="006950B8"/>
    <w:rsid w:val="00696F89"/>
    <w:rsid w:val="006A1DC6"/>
    <w:rsid w:val="006A55EB"/>
    <w:rsid w:val="006A5CC7"/>
    <w:rsid w:val="006A6443"/>
    <w:rsid w:val="006A66AB"/>
    <w:rsid w:val="006A6B3A"/>
    <w:rsid w:val="006B2323"/>
    <w:rsid w:val="006B34E2"/>
    <w:rsid w:val="006B5794"/>
    <w:rsid w:val="006B67CE"/>
    <w:rsid w:val="006C1313"/>
    <w:rsid w:val="006C635D"/>
    <w:rsid w:val="006C684F"/>
    <w:rsid w:val="006D00CA"/>
    <w:rsid w:val="006D05B2"/>
    <w:rsid w:val="006D0A1B"/>
    <w:rsid w:val="006D12A5"/>
    <w:rsid w:val="006D17FA"/>
    <w:rsid w:val="006D325C"/>
    <w:rsid w:val="006D48C7"/>
    <w:rsid w:val="006D547E"/>
    <w:rsid w:val="006D6782"/>
    <w:rsid w:val="006E0CF4"/>
    <w:rsid w:val="006E16BF"/>
    <w:rsid w:val="006E1F3D"/>
    <w:rsid w:val="006E4F84"/>
    <w:rsid w:val="006E7C6A"/>
    <w:rsid w:val="006F1A67"/>
    <w:rsid w:val="006F31A9"/>
    <w:rsid w:val="006F3E62"/>
    <w:rsid w:val="006F478A"/>
    <w:rsid w:val="006F74A9"/>
    <w:rsid w:val="006F7E46"/>
    <w:rsid w:val="007037C4"/>
    <w:rsid w:val="00706E1E"/>
    <w:rsid w:val="00707D12"/>
    <w:rsid w:val="00707D1F"/>
    <w:rsid w:val="00710E6D"/>
    <w:rsid w:val="00713B81"/>
    <w:rsid w:val="0071572A"/>
    <w:rsid w:val="00715855"/>
    <w:rsid w:val="00717FF2"/>
    <w:rsid w:val="0072014B"/>
    <w:rsid w:val="00720E85"/>
    <w:rsid w:val="00721C24"/>
    <w:rsid w:val="00721CE1"/>
    <w:rsid w:val="00723808"/>
    <w:rsid w:val="00723C46"/>
    <w:rsid w:val="00723DF3"/>
    <w:rsid w:val="007245C5"/>
    <w:rsid w:val="007271F7"/>
    <w:rsid w:val="0072799F"/>
    <w:rsid w:val="00727F94"/>
    <w:rsid w:val="00730034"/>
    <w:rsid w:val="00730501"/>
    <w:rsid w:val="0073060D"/>
    <w:rsid w:val="00731FAE"/>
    <w:rsid w:val="007325A8"/>
    <w:rsid w:val="00733540"/>
    <w:rsid w:val="007336C9"/>
    <w:rsid w:val="007346F0"/>
    <w:rsid w:val="0073765C"/>
    <w:rsid w:val="007428AF"/>
    <w:rsid w:val="00743278"/>
    <w:rsid w:val="00743572"/>
    <w:rsid w:val="007441E0"/>
    <w:rsid w:val="007454D2"/>
    <w:rsid w:val="00750DA1"/>
    <w:rsid w:val="007526EC"/>
    <w:rsid w:val="00755099"/>
    <w:rsid w:val="007559FB"/>
    <w:rsid w:val="00756EB7"/>
    <w:rsid w:val="00760A40"/>
    <w:rsid w:val="00761786"/>
    <w:rsid w:val="00763B1B"/>
    <w:rsid w:val="00766CBA"/>
    <w:rsid w:val="007718BE"/>
    <w:rsid w:val="00771F0F"/>
    <w:rsid w:val="007733A2"/>
    <w:rsid w:val="00773638"/>
    <w:rsid w:val="00773A84"/>
    <w:rsid w:val="00776E61"/>
    <w:rsid w:val="0078143F"/>
    <w:rsid w:val="00782663"/>
    <w:rsid w:val="00782B12"/>
    <w:rsid w:val="00783B89"/>
    <w:rsid w:val="00785534"/>
    <w:rsid w:val="007916A6"/>
    <w:rsid w:val="00792525"/>
    <w:rsid w:val="0079435C"/>
    <w:rsid w:val="00797BFC"/>
    <w:rsid w:val="007A0587"/>
    <w:rsid w:val="007A077E"/>
    <w:rsid w:val="007A20DD"/>
    <w:rsid w:val="007A2192"/>
    <w:rsid w:val="007A390D"/>
    <w:rsid w:val="007A3BF5"/>
    <w:rsid w:val="007A4FC6"/>
    <w:rsid w:val="007A7736"/>
    <w:rsid w:val="007B024A"/>
    <w:rsid w:val="007B0612"/>
    <w:rsid w:val="007B090A"/>
    <w:rsid w:val="007B1245"/>
    <w:rsid w:val="007B1E67"/>
    <w:rsid w:val="007B4CEA"/>
    <w:rsid w:val="007C6348"/>
    <w:rsid w:val="007C64A7"/>
    <w:rsid w:val="007C76E9"/>
    <w:rsid w:val="007D2B34"/>
    <w:rsid w:val="007D4EB2"/>
    <w:rsid w:val="007D5F41"/>
    <w:rsid w:val="007D6E61"/>
    <w:rsid w:val="007D78A1"/>
    <w:rsid w:val="007D7A5C"/>
    <w:rsid w:val="007D7EDC"/>
    <w:rsid w:val="007E1F19"/>
    <w:rsid w:val="007E2485"/>
    <w:rsid w:val="007E4F5A"/>
    <w:rsid w:val="007F2441"/>
    <w:rsid w:val="007F3B1C"/>
    <w:rsid w:val="007F46C0"/>
    <w:rsid w:val="007F4D83"/>
    <w:rsid w:val="007F6004"/>
    <w:rsid w:val="007F63A6"/>
    <w:rsid w:val="007F6633"/>
    <w:rsid w:val="007F6B73"/>
    <w:rsid w:val="00800612"/>
    <w:rsid w:val="00800893"/>
    <w:rsid w:val="00801650"/>
    <w:rsid w:val="00804E26"/>
    <w:rsid w:val="00805DB4"/>
    <w:rsid w:val="008064C0"/>
    <w:rsid w:val="00812951"/>
    <w:rsid w:val="00812CAB"/>
    <w:rsid w:val="00813D4E"/>
    <w:rsid w:val="00814514"/>
    <w:rsid w:val="008155BF"/>
    <w:rsid w:val="00816332"/>
    <w:rsid w:val="00817D48"/>
    <w:rsid w:val="00817EF6"/>
    <w:rsid w:val="0082082F"/>
    <w:rsid w:val="00821749"/>
    <w:rsid w:val="00822080"/>
    <w:rsid w:val="0082413D"/>
    <w:rsid w:val="008246BA"/>
    <w:rsid w:val="00825707"/>
    <w:rsid w:val="008270D9"/>
    <w:rsid w:val="0083060A"/>
    <w:rsid w:val="008321F8"/>
    <w:rsid w:val="00832767"/>
    <w:rsid w:val="00832E3A"/>
    <w:rsid w:val="00833094"/>
    <w:rsid w:val="00836306"/>
    <w:rsid w:val="00840ECA"/>
    <w:rsid w:val="00844F84"/>
    <w:rsid w:val="0084548E"/>
    <w:rsid w:val="00845A02"/>
    <w:rsid w:val="00846C56"/>
    <w:rsid w:val="008476DB"/>
    <w:rsid w:val="00847E6E"/>
    <w:rsid w:val="008501F5"/>
    <w:rsid w:val="00850EFB"/>
    <w:rsid w:val="00851B6F"/>
    <w:rsid w:val="00851CB5"/>
    <w:rsid w:val="00851ECE"/>
    <w:rsid w:val="0085212E"/>
    <w:rsid w:val="00853169"/>
    <w:rsid w:val="00853E6C"/>
    <w:rsid w:val="0085441F"/>
    <w:rsid w:val="0085481B"/>
    <w:rsid w:val="00854C24"/>
    <w:rsid w:val="00854EF8"/>
    <w:rsid w:val="00855BBA"/>
    <w:rsid w:val="008603C7"/>
    <w:rsid w:val="008606CC"/>
    <w:rsid w:val="00860829"/>
    <w:rsid w:val="00860A2C"/>
    <w:rsid w:val="0086254E"/>
    <w:rsid w:val="0086366C"/>
    <w:rsid w:val="008646B5"/>
    <w:rsid w:val="00864D58"/>
    <w:rsid w:val="0086681D"/>
    <w:rsid w:val="008704DC"/>
    <w:rsid w:val="00872CDB"/>
    <w:rsid w:val="0087323B"/>
    <w:rsid w:val="00873429"/>
    <w:rsid w:val="008742B2"/>
    <w:rsid w:val="00875020"/>
    <w:rsid w:val="0087602F"/>
    <w:rsid w:val="00877711"/>
    <w:rsid w:val="00877A72"/>
    <w:rsid w:val="00880730"/>
    <w:rsid w:val="008810DD"/>
    <w:rsid w:val="00881A01"/>
    <w:rsid w:val="00881CA9"/>
    <w:rsid w:val="00881DF1"/>
    <w:rsid w:val="00882849"/>
    <w:rsid w:val="00882A34"/>
    <w:rsid w:val="00883A80"/>
    <w:rsid w:val="00884200"/>
    <w:rsid w:val="00890436"/>
    <w:rsid w:val="0089044A"/>
    <w:rsid w:val="00891DB7"/>
    <w:rsid w:val="00895553"/>
    <w:rsid w:val="0089735D"/>
    <w:rsid w:val="00897752"/>
    <w:rsid w:val="008A0240"/>
    <w:rsid w:val="008A1FFA"/>
    <w:rsid w:val="008A2A87"/>
    <w:rsid w:val="008A504D"/>
    <w:rsid w:val="008A6FE1"/>
    <w:rsid w:val="008A7CE0"/>
    <w:rsid w:val="008B039B"/>
    <w:rsid w:val="008B0600"/>
    <w:rsid w:val="008C1879"/>
    <w:rsid w:val="008C2163"/>
    <w:rsid w:val="008C53FE"/>
    <w:rsid w:val="008C69EC"/>
    <w:rsid w:val="008D051A"/>
    <w:rsid w:val="008D1BAE"/>
    <w:rsid w:val="008D22EF"/>
    <w:rsid w:val="008D265C"/>
    <w:rsid w:val="008D26D6"/>
    <w:rsid w:val="008D4BEA"/>
    <w:rsid w:val="008E4014"/>
    <w:rsid w:val="008F02B0"/>
    <w:rsid w:val="008F0774"/>
    <w:rsid w:val="008F1A73"/>
    <w:rsid w:val="008F1DD1"/>
    <w:rsid w:val="008F2FC1"/>
    <w:rsid w:val="008F3D7F"/>
    <w:rsid w:val="008F3EA3"/>
    <w:rsid w:val="008F414C"/>
    <w:rsid w:val="008F56CB"/>
    <w:rsid w:val="008F6E88"/>
    <w:rsid w:val="009037EA"/>
    <w:rsid w:val="0090696D"/>
    <w:rsid w:val="00907E5A"/>
    <w:rsid w:val="0091110B"/>
    <w:rsid w:val="009125FB"/>
    <w:rsid w:val="009131AA"/>
    <w:rsid w:val="00913334"/>
    <w:rsid w:val="009140EC"/>
    <w:rsid w:val="00914E7A"/>
    <w:rsid w:val="0091769A"/>
    <w:rsid w:val="00920842"/>
    <w:rsid w:val="009215BF"/>
    <w:rsid w:val="0092176D"/>
    <w:rsid w:val="00921E82"/>
    <w:rsid w:val="0092217D"/>
    <w:rsid w:val="009279F9"/>
    <w:rsid w:val="0093118D"/>
    <w:rsid w:val="00932544"/>
    <w:rsid w:val="0093483E"/>
    <w:rsid w:val="009410E3"/>
    <w:rsid w:val="009435C4"/>
    <w:rsid w:val="009438E4"/>
    <w:rsid w:val="0094581B"/>
    <w:rsid w:val="0094584C"/>
    <w:rsid w:val="009476AF"/>
    <w:rsid w:val="00951141"/>
    <w:rsid w:val="009511AE"/>
    <w:rsid w:val="009514BC"/>
    <w:rsid w:val="0095237B"/>
    <w:rsid w:val="00954259"/>
    <w:rsid w:val="00955CB7"/>
    <w:rsid w:val="00956684"/>
    <w:rsid w:val="00957A1D"/>
    <w:rsid w:val="00957CE1"/>
    <w:rsid w:val="00957F24"/>
    <w:rsid w:val="009609C7"/>
    <w:rsid w:val="00961483"/>
    <w:rsid w:val="00962946"/>
    <w:rsid w:val="00964E59"/>
    <w:rsid w:val="00966C87"/>
    <w:rsid w:val="00970321"/>
    <w:rsid w:val="00970B59"/>
    <w:rsid w:val="00971284"/>
    <w:rsid w:val="00971A61"/>
    <w:rsid w:val="0097236D"/>
    <w:rsid w:val="00974A91"/>
    <w:rsid w:val="00975D61"/>
    <w:rsid w:val="00976B57"/>
    <w:rsid w:val="00977471"/>
    <w:rsid w:val="00977A1B"/>
    <w:rsid w:val="0098138D"/>
    <w:rsid w:val="0098254D"/>
    <w:rsid w:val="009830AF"/>
    <w:rsid w:val="00983354"/>
    <w:rsid w:val="00984692"/>
    <w:rsid w:val="00984A4A"/>
    <w:rsid w:val="0098658A"/>
    <w:rsid w:val="0099086E"/>
    <w:rsid w:val="00991E5D"/>
    <w:rsid w:val="0099236C"/>
    <w:rsid w:val="009927C0"/>
    <w:rsid w:val="00993DD9"/>
    <w:rsid w:val="009948FD"/>
    <w:rsid w:val="00995DC3"/>
    <w:rsid w:val="00996244"/>
    <w:rsid w:val="00996453"/>
    <w:rsid w:val="00997542"/>
    <w:rsid w:val="009A1323"/>
    <w:rsid w:val="009A331F"/>
    <w:rsid w:val="009A692A"/>
    <w:rsid w:val="009A6BE5"/>
    <w:rsid w:val="009B0796"/>
    <w:rsid w:val="009B29ED"/>
    <w:rsid w:val="009B55E4"/>
    <w:rsid w:val="009B63F2"/>
    <w:rsid w:val="009B6600"/>
    <w:rsid w:val="009B6901"/>
    <w:rsid w:val="009C0A2A"/>
    <w:rsid w:val="009C2397"/>
    <w:rsid w:val="009C4129"/>
    <w:rsid w:val="009C5A77"/>
    <w:rsid w:val="009C6559"/>
    <w:rsid w:val="009D0B82"/>
    <w:rsid w:val="009D0FA3"/>
    <w:rsid w:val="009D1137"/>
    <w:rsid w:val="009D1C90"/>
    <w:rsid w:val="009D2095"/>
    <w:rsid w:val="009E0634"/>
    <w:rsid w:val="009E0A41"/>
    <w:rsid w:val="009E6303"/>
    <w:rsid w:val="009E7F1D"/>
    <w:rsid w:val="009F080F"/>
    <w:rsid w:val="009F36BA"/>
    <w:rsid w:val="009F3DFA"/>
    <w:rsid w:val="009F6501"/>
    <w:rsid w:val="00A01CFC"/>
    <w:rsid w:val="00A01D69"/>
    <w:rsid w:val="00A02270"/>
    <w:rsid w:val="00A03CE3"/>
    <w:rsid w:val="00A03E72"/>
    <w:rsid w:val="00A0728D"/>
    <w:rsid w:val="00A12E4B"/>
    <w:rsid w:val="00A137FB"/>
    <w:rsid w:val="00A16654"/>
    <w:rsid w:val="00A16B89"/>
    <w:rsid w:val="00A20BA4"/>
    <w:rsid w:val="00A211D4"/>
    <w:rsid w:val="00A21257"/>
    <w:rsid w:val="00A21330"/>
    <w:rsid w:val="00A259BC"/>
    <w:rsid w:val="00A27611"/>
    <w:rsid w:val="00A2767A"/>
    <w:rsid w:val="00A30AC1"/>
    <w:rsid w:val="00A33E49"/>
    <w:rsid w:val="00A355C6"/>
    <w:rsid w:val="00A36232"/>
    <w:rsid w:val="00A36767"/>
    <w:rsid w:val="00A4188C"/>
    <w:rsid w:val="00A428E6"/>
    <w:rsid w:val="00A42B77"/>
    <w:rsid w:val="00A43A1E"/>
    <w:rsid w:val="00A44B01"/>
    <w:rsid w:val="00A47348"/>
    <w:rsid w:val="00A50D05"/>
    <w:rsid w:val="00A51549"/>
    <w:rsid w:val="00A532CF"/>
    <w:rsid w:val="00A53E1A"/>
    <w:rsid w:val="00A60FE7"/>
    <w:rsid w:val="00A61552"/>
    <w:rsid w:val="00A62963"/>
    <w:rsid w:val="00A62AE6"/>
    <w:rsid w:val="00A70F56"/>
    <w:rsid w:val="00A73B82"/>
    <w:rsid w:val="00A77B0A"/>
    <w:rsid w:val="00A83219"/>
    <w:rsid w:val="00A8334C"/>
    <w:rsid w:val="00A864A5"/>
    <w:rsid w:val="00A87BFA"/>
    <w:rsid w:val="00A91104"/>
    <w:rsid w:val="00A9187F"/>
    <w:rsid w:val="00A931AA"/>
    <w:rsid w:val="00A93C21"/>
    <w:rsid w:val="00A97DEB"/>
    <w:rsid w:val="00AA0F7D"/>
    <w:rsid w:val="00AA5A3C"/>
    <w:rsid w:val="00AA6A54"/>
    <w:rsid w:val="00AA7726"/>
    <w:rsid w:val="00AB108D"/>
    <w:rsid w:val="00AB1925"/>
    <w:rsid w:val="00AB4968"/>
    <w:rsid w:val="00AB680D"/>
    <w:rsid w:val="00AB74D6"/>
    <w:rsid w:val="00AB7A3F"/>
    <w:rsid w:val="00AC645F"/>
    <w:rsid w:val="00AC6D70"/>
    <w:rsid w:val="00AC6E2D"/>
    <w:rsid w:val="00AD15D1"/>
    <w:rsid w:val="00AD4078"/>
    <w:rsid w:val="00AD4328"/>
    <w:rsid w:val="00AD4E4C"/>
    <w:rsid w:val="00AE4AE0"/>
    <w:rsid w:val="00AE6881"/>
    <w:rsid w:val="00AE6B24"/>
    <w:rsid w:val="00AF2098"/>
    <w:rsid w:val="00AF43F8"/>
    <w:rsid w:val="00AF5BE6"/>
    <w:rsid w:val="00AF6E79"/>
    <w:rsid w:val="00AF79BD"/>
    <w:rsid w:val="00AF79E9"/>
    <w:rsid w:val="00AF7E6B"/>
    <w:rsid w:val="00B01C63"/>
    <w:rsid w:val="00B03702"/>
    <w:rsid w:val="00B058F9"/>
    <w:rsid w:val="00B05FDA"/>
    <w:rsid w:val="00B061CF"/>
    <w:rsid w:val="00B121E3"/>
    <w:rsid w:val="00B12BA5"/>
    <w:rsid w:val="00B1304E"/>
    <w:rsid w:val="00B134C7"/>
    <w:rsid w:val="00B1735C"/>
    <w:rsid w:val="00B2239E"/>
    <w:rsid w:val="00B25CA4"/>
    <w:rsid w:val="00B25D1D"/>
    <w:rsid w:val="00B27096"/>
    <w:rsid w:val="00B3077E"/>
    <w:rsid w:val="00B30A80"/>
    <w:rsid w:val="00B315E6"/>
    <w:rsid w:val="00B35032"/>
    <w:rsid w:val="00B36406"/>
    <w:rsid w:val="00B37C2E"/>
    <w:rsid w:val="00B4047F"/>
    <w:rsid w:val="00B50E87"/>
    <w:rsid w:val="00B51988"/>
    <w:rsid w:val="00B521E1"/>
    <w:rsid w:val="00B53653"/>
    <w:rsid w:val="00B53D0C"/>
    <w:rsid w:val="00B5612C"/>
    <w:rsid w:val="00B56273"/>
    <w:rsid w:val="00B566F4"/>
    <w:rsid w:val="00B614BE"/>
    <w:rsid w:val="00B62BAB"/>
    <w:rsid w:val="00B63AB2"/>
    <w:rsid w:val="00B63DE7"/>
    <w:rsid w:val="00B64126"/>
    <w:rsid w:val="00B6693F"/>
    <w:rsid w:val="00B6752E"/>
    <w:rsid w:val="00B70802"/>
    <w:rsid w:val="00B72858"/>
    <w:rsid w:val="00B73053"/>
    <w:rsid w:val="00B73129"/>
    <w:rsid w:val="00B748BF"/>
    <w:rsid w:val="00B74BD4"/>
    <w:rsid w:val="00B76B77"/>
    <w:rsid w:val="00B80582"/>
    <w:rsid w:val="00B81C76"/>
    <w:rsid w:val="00B82732"/>
    <w:rsid w:val="00B8492F"/>
    <w:rsid w:val="00B84E15"/>
    <w:rsid w:val="00B853A7"/>
    <w:rsid w:val="00B85E6C"/>
    <w:rsid w:val="00B87AED"/>
    <w:rsid w:val="00B92D3C"/>
    <w:rsid w:val="00B95259"/>
    <w:rsid w:val="00B96523"/>
    <w:rsid w:val="00B97F0E"/>
    <w:rsid w:val="00BA2072"/>
    <w:rsid w:val="00BA43F6"/>
    <w:rsid w:val="00BA4BF8"/>
    <w:rsid w:val="00BA769E"/>
    <w:rsid w:val="00BA7788"/>
    <w:rsid w:val="00BA7837"/>
    <w:rsid w:val="00BB04B4"/>
    <w:rsid w:val="00BB0730"/>
    <w:rsid w:val="00BC2572"/>
    <w:rsid w:val="00BC3EA0"/>
    <w:rsid w:val="00BC5361"/>
    <w:rsid w:val="00BC61E0"/>
    <w:rsid w:val="00BD283A"/>
    <w:rsid w:val="00BD5AD4"/>
    <w:rsid w:val="00BE3133"/>
    <w:rsid w:val="00BE3245"/>
    <w:rsid w:val="00BE36E3"/>
    <w:rsid w:val="00BE4B5F"/>
    <w:rsid w:val="00BE706B"/>
    <w:rsid w:val="00BF1113"/>
    <w:rsid w:val="00BF1286"/>
    <w:rsid w:val="00BF4DAE"/>
    <w:rsid w:val="00BF5F05"/>
    <w:rsid w:val="00BF6735"/>
    <w:rsid w:val="00BF7672"/>
    <w:rsid w:val="00BF7E0B"/>
    <w:rsid w:val="00C00800"/>
    <w:rsid w:val="00C018E1"/>
    <w:rsid w:val="00C019C2"/>
    <w:rsid w:val="00C04A9A"/>
    <w:rsid w:val="00C06E1F"/>
    <w:rsid w:val="00C07C5D"/>
    <w:rsid w:val="00C07FA5"/>
    <w:rsid w:val="00C11B3B"/>
    <w:rsid w:val="00C139A0"/>
    <w:rsid w:val="00C14C7A"/>
    <w:rsid w:val="00C14F4E"/>
    <w:rsid w:val="00C17661"/>
    <w:rsid w:val="00C23DB6"/>
    <w:rsid w:val="00C267C2"/>
    <w:rsid w:val="00C27170"/>
    <w:rsid w:val="00C279F5"/>
    <w:rsid w:val="00C31924"/>
    <w:rsid w:val="00C32552"/>
    <w:rsid w:val="00C3263C"/>
    <w:rsid w:val="00C341DB"/>
    <w:rsid w:val="00C345BC"/>
    <w:rsid w:val="00C355C1"/>
    <w:rsid w:val="00C36B2A"/>
    <w:rsid w:val="00C42CAD"/>
    <w:rsid w:val="00C45EDF"/>
    <w:rsid w:val="00C45EE7"/>
    <w:rsid w:val="00C51D36"/>
    <w:rsid w:val="00C52225"/>
    <w:rsid w:val="00C52D29"/>
    <w:rsid w:val="00C53DAC"/>
    <w:rsid w:val="00C62569"/>
    <w:rsid w:val="00C63290"/>
    <w:rsid w:val="00C64A8D"/>
    <w:rsid w:val="00C65149"/>
    <w:rsid w:val="00C66C9F"/>
    <w:rsid w:val="00C67004"/>
    <w:rsid w:val="00C70BB8"/>
    <w:rsid w:val="00C71268"/>
    <w:rsid w:val="00C71D53"/>
    <w:rsid w:val="00C720B0"/>
    <w:rsid w:val="00C72EE3"/>
    <w:rsid w:val="00C7373D"/>
    <w:rsid w:val="00C74254"/>
    <w:rsid w:val="00C758BF"/>
    <w:rsid w:val="00C763BC"/>
    <w:rsid w:val="00C81209"/>
    <w:rsid w:val="00C834F7"/>
    <w:rsid w:val="00C83A9D"/>
    <w:rsid w:val="00C85118"/>
    <w:rsid w:val="00C87DBF"/>
    <w:rsid w:val="00C90218"/>
    <w:rsid w:val="00C931B2"/>
    <w:rsid w:val="00C93306"/>
    <w:rsid w:val="00C93511"/>
    <w:rsid w:val="00C93549"/>
    <w:rsid w:val="00CA1831"/>
    <w:rsid w:val="00CA32DB"/>
    <w:rsid w:val="00CA4850"/>
    <w:rsid w:val="00CA4E90"/>
    <w:rsid w:val="00CB08AA"/>
    <w:rsid w:val="00CB3AC3"/>
    <w:rsid w:val="00CB4425"/>
    <w:rsid w:val="00CB73AD"/>
    <w:rsid w:val="00CC2F41"/>
    <w:rsid w:val="00CC331A"/>
    <w:rsid w:val="00CD1502"/>
    <w:rsid w:val="00CD2987"/>
    <w:rsid w:val="00CD31DD"/>
    <w:rsid w:val="00CD3472"/>
    <w:rsid w:val="00CD3984"/>
    <w:rsid w:val="00CD45E9"/>
    <w:rsid w:val="00CD4B62"/>
    <w:rsid w:val="00CD5424"/>
    <w:rsid w:val="00CD63CD"/>
    <w:rsid w:val="00CE0F3C"/>
    <w:rsid w:val="00CE3900"/>
    <w:rsid w:val="00CE53AE"/>
    <w:rsid w:val="00CE5474"/>
    <w:rsid w:val="00CE7F18"/>
    <w:rsid w:val="00CF22E7"/>
    <w:rsid w:val="00CF4B81"/>
    <w:rsid w:val="00CF69B4"/>
    <w:rsid w:val="00CF6EA8"/>
    <w:rsid w:val="00D01A62"/>
    <w:rsid w:val="00D024AA"/>
    <w:rsid w:val="00D032C6"/>
    <w:rsid w:val="00D04115"/>
    <w:rsid w:val="00D052EF"/>
    <w:rsid w:val="00D0628B"/>
    <w:rsid w:val="00D0680B"/>
    <w:rsid w:val="00D06DBD"/>
    <w:rsid w:val="00D0750C"/>
    <w:rsid w:val="00D12F8A"/>
    <w:rsid w:val="00D13785"/>
    <w:rsid w:val="00D1476B"/>
    <w:rsid w:val="00D14868"/>
    <w:rsid w:val="00D14CC7"/>
    <w:rsid w:val="00D16CA1"/>
    <w:rsid w:val="00D278AA"/>
    <w:rsid w:val="00D27B36"/>
    <w:rsid w:val="00D317AA"/>
    <w:rsid w:val="00D32240"/>
    <w:rsid w:val="00D3326C"/>
    <w:rsid w:val="00D33EC0"/>
    <w:rsid w:val="00D3440E"/>
    <w:rsid w:val="00D35B32"/>
    <w:rsid w:val="00D45E99"/>
    <w:rsid w:val="00D479EF"/>
    <w:rsid w:val="00D47CF9"/>
    <w:rsid w:val="00D47E19"/>
    <w:rsid w:val="00D50045"/>
    <w:rsid w:val="00D5041E"/>
    <w:rsid w:val="00D514CE"/>
    <w:rsid w:val="00D5468D"/>
    <w:rsid w:val="00D55369"/>
    <w:rsid w:val="00D5555C"/>
    <w:rsid w:val="00D619CC"/>
    <w:rsid w:val="00D62B30"/>
    <w:rsid w:val="00D6670E"/>
    <w:rsid w:val="00D70AC9"/>
    <w:rsid w:val="00D71CE0"/>
    <w:rsid w:val="00D72A78"/>
    <w:rsid w:val="00D734B2"/>
    <w:rsid w:val="00D74716"/>
    <w:rsid w:val="00D76D2A"/>
    <w:rsid w:val="00D770EE"/>
    <w:rsid w:val="00D774E4"/>
    <w:rsid w:val="00D80DA2"/>
    <w:rsid w:val="00D821E3"/>
    <w:rsid w:val="00D85F73"/>
    <w:rsid w:val="00D90DE0"/>
    <w:rsid w:val="00D91EB7"/>
    <w:rsid w:val="00D92028"/>
    <w:rsid w:val="00D923B2"/>
    <w:rsid w:val="00D9660A"/>
    <w:rsid w:val="00D96D15"/>
    <w:rsid w:val="00D96EB2"/>
    <w:rsid w:val="00DA2762"/>
    <w:rsid w:val="00DB10D2"/>
    <w:rsid w:val="00DB51CD"/>
    <w:rsid w:val="00DB65C9"/>
    <w:rsid w:val="00DC018D"/>
    <w:rsid w:val="00DC1684"/>
    <w:rsid w:val="00DC1F80"/>
    <w:rsid w:val="00DC341E"/>
    <w:rsid w:val="00DC40C5"/>
    <w:rsid w:val="00DD0DFE"/>
    <w:rsid w:val="00DD278D"/>
    <w:rsid w:val="00DD2C30"/>
    <w:rsid w:val="00DD5B6A"/>
    <w:rsid w:val="00DD7964"/>
    <w:rsid w:val="00DE0913"/>
    <w:rsid w:val="00DE0A47"/>
    <w:rsid w:val="00DE63FC"/>
    <w:rsid w:val="00DE7F1B"/>
    <w:rsid w:val="00DF0840"/>
    <w:rsid w:val="00DF216D"/>
    <w:rsid w:val="00DF277C"/>
    <w:rsid w:val="00DF2E7B"/>
    <w:rsid w:val="00DF537C"/>
    <w:rsid w:val="00DF6A6C"/>
    <w:rsid w:val="00DF6D86"/>
    <w:rsid w:val="00E02235"/>
    <w:rsid w:val="00E0257A"/>
    <w:rsid w:val="00E07BBB"/>
    <w:rsid w:val="00E10E11"/>
    <w:rsid w:val="00E11CD5"/>
    <w:rsid w:val="00E16BDB"/>
    <w:rsid w:val="00E17042"/>
    <w:rsid w:val="00E23D42"/>
    <w:rsid w:val="00E25546"/>
    <w:rsid w:val="00E26750"/>
    <w:rsid w:val="00E27AFE"/>
    <w:rsid w:val="00E32DE4"/>
    <w:rsid w:val="00E33E87"/>
    <w:rsid w:val="00E350F7"/>
    <w:rsid w:val="00E37A60"/>
    <w:rsid w:val="00E407F9"/>
    <w:rsid w:val="00E4189B"/>
    <w:rsid w:val="00E427A8"/>
    <w:rsid w:val="00E44ECE"/>
    <w:rsid w:val="00E45981"/>
    <w:rsid w:val="00E45B4B"/>
    <w:rsid w:val="00E50DD0"/>
    <w:rsid w:val="00E52B84"/>
    <w:rsid w:val="00E5441F"/>
    <w:rsid w:val="00E6114C"/>
    <w:rsid w:val="00E63924"/>
    <w:rsid w:val="00E652BF"/>
    <w:rsid w:val="00E655B8"/>
    <w:rsid w:val="00E658E9"/>
    <w:rsid w:val="00E6617F"/>
    <w:rsid w:val="00E677BA"/>
    <w:rsid w:val="00E71205"/>
    <w:rsid w:val="00E71B32"/>
    <w:rsid w:val="00E74AAB"/>
    <w:rsid w:val="00E763F3"/>
    <w:rsid w:val="00E76E63"/>
    <w:rsid w:val="00E80BD1"/>
    <w:rsid w:val="00E8143E"/>
    <w:rsid w:val="00E841AD"/>
    <w:rsid w:val="00E84E17"/>
    <w:rsid w:val="00E85379"/>
    <w:rsid w:val="00E901E5"/>
    <w:rsid w:val="00E92319"/>
    <w:rsid w:val="00E925D0"/>
    <w:rsid w:val="00EA10C6"/>
    <w:rsid w:val="00EA25FD"/>
    <w:rsid w:val="00EA2884"/>
    <w:rsid w:val="00EA2E0C"/>
    <w:rsid w:val="00EA7ED8"/>
    <w:rsid w:val="00EB17CA"/>
    <w:rsid w:val="00EB2157"/>
    <w:rsid w:val="00EB2434"/>
    <w:rsid w:val="00EB3953"/>
    <w:rsid w:val="00EB43C0"/>
    <w:rsid w:val="00EB71FA"/>
    <w:rsid w:val="00EB7975"/>
    <w:rsid w:val="00EC118B"/>
    <w:rsid w:val="00EC214F"/>
    <w:rsid w:val="00ED18C4"/>
    <w:rsid w:val="00ED2E63"/>
    <w:rsid w:val="00ED51A8"/>
    <w:rsid w:val="00ED678E"/>
    <w:rsid w:val="00ED69FB"/>
    <w:rsid w:val="00EE03E6"/>
    <w:rsid w:val="00EE056B"/>
    <w:rsid w:val="00EE3214"/>
    <w:rsid w:val="00EE6B25"/>
    <w:rsid w:val="00EF1A94"/>
    <w:rsid w:val="00EF5045"/>
    <w:rsid w:val="00EF50FD"/>
    <w:rsid w:val="00F00A9D"/>
    <w:rsid w:val="00F01209"/>
    <w:rsid w:val="00F01ED1"/>
    <w:rsid w:val="00F022C2"/>
    <w:rsid w:val="00F034D0"/>
    <w:rsid w:val="00F048C9"/>
    <w:rsid w:val="00F05A65"/>
    <w:rsid w:val="00F05AD9"/>
    <w:rsid w:val="00F07571"/>
    <w:rsid w:val="00F10653"/>
    <w:rsid w:val="00F10CCF"/>
    <w:rsid w:val="00F15365"/>
    <w:rsid w:val="00F16C50"/>
    <w:rsid w:val="00F17801"/>
    <w:rsid w:val="00F17D31"/>
    <w:rsid w:val="00F21ECA"/>
    <w:rsid w:val="00F2296D"/>
    <w:rsid w:val="00F23703"/>
    <w:rsid w:val="00F2385E"/>
    <w:rsid w:val="00F31430"/>
    <w:rsid w:val="00F315FD"/>
    <w:rsid w:val="00F321A6"/>
    <w:rsid w:val="00F3224D"/>
    <w:rsid w:val="00F3656C"/>
    <w:rsid w:val="00F36AEC"/>
    <w:rsid w:val="00F37083"/>
    <w:rsid w:val="00F402DF"/>
    <w:rsid w:val="00F40E6D"/>
    <w:rsid w:val="00F42A7F"/>
    <w:rsid w:val="00F42D05"/>
    <w:rsid w:val="00F42D87"/>
    <w:rsid w:val="00F464F2"/>
    <w:rsid w:val="00F47B05"/>
    <w:rsid w:val="00F5746E"/>
    <w:rsid w:val="00F57911"/>
    <w:rsid w:val="00F57F6F"/>
    <w:rsid w:val="00F6185A"/>
    <w:rsid w:val="00F61BCC"/>
    <w:rsid w:val="00F637B2"/>
    <w:rsid w:val="00F64DC6"/>
    <w:rsid w:val="00F706D2"/>
    <w:rsid w:val="00F70BA4"/>
    <w:rsid w:val="00F70F22"/>
    <w:rsid w:val="00F72B5D"/>
    <w:rsid w:val="00F72E1C"/>
    <w:rsid w:val="00F7639E"/>
    <w:rsid w:val="00F778FC"/>
    <w:rsid w:val="00F811EF"/>
    <w:rsid w:val="00F83C17"/>
    <w:rsid w:val="00F84928"/>
    <w:rsid w:val="00F84A9D"/>
    <w:rsid w:val="00F84AE2"/>
    <w:rsid w:val="00F8530C"/>
    <w:rsid w:val="00F87AEB"/>
    <w:rsid w:val="00F91B9E"/>
    <w:rsid w:val="00F945D8"/>
    <w:rsid w:val="00F9552A"/>
    <w:rsid w:val="00F9682F"/>
    <w:rsid w:val="00F96D2B"/>
    <w:rsid w:val="00F96D4F"/>
    <w:rsid w:val="00F97930"/>
    <w:rsid w:val="00FA1A47"/>
    <w:rsid w:val="00FA1A5E"/>
    <w:rsid w:val="00FA2433"/>
    <w:rsid w:val="00FA2AF4"/>
    <w:rsid w:val="00FA3CED"/>
    <w:rsid w:val="00FA3F77"/>
    <w:rsid w:val="00FA598B"/>
    <w:rsid w:val="00FA60B6"/>
    <w:rsid w:val="00FA79DC"/>
    <w:rsid w:val="00FA7EFC"/>
    <w:rsid w:val="00FB0714"/>
    <w:rsid w:val="00FB1871"/>
    <w:rsid w:val="00FB21EF"/>
    <w:rsid w:val="00FB367A"/>
    <w:rsid w:val="00FB46A1"/>
    <w:rsid w:val="00FC0EEF"/>
    <w:rsid w:val="00FC27A3"/>
    <w:rsid w:val="00FC62A4"/>
    <w:rsid w:val="00FD020E"/>
    <w:rsid w:val="00FD1402"/>
    <w:rsid w:val="00FD253B"/>
    <w:rsid w:val="00FD3899"/>
    <w:rsid w:val="00FD5007"/>
    <w:rsid w:val="00FD5497"/>
    <w:rsid w:val="00FD6BC7"/>
    <w:rsid w:val="00FE0422"/>
    <w:rsid w:val="00FE046E"/>
    <w:rsid w:val="00FE0559"/>
    <w:rsid w:val="00FE1068"/>
    <w:rsid w:val="00FE1832"/>
    <w:rsid w:val="00FE2074"/>
    <w:rsid w:val="00FE292F"/>
    <w:rsid w:val="00FE3199"/>
    <w:rsid w:val="00FE6AFF"/>
    <w:rsid w:val="00FE6DFD"/>
    <w:rsid w:val="00FE7CEA"/>
    <w:rsid w:val="00FF0256"/>
    <w:rsid w:val="00FF1C4D"/>
    <w:rsid w:val="00FF3C1F"/>
    <w:rsid w:val="00FF3E16"/>
    <w:rsid w:val="00FF481F"/>
    <w:rsid w:val="00FF5F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94CED7"/>
  <w15:chartTrackingRefBased/>
  <w15:docId w15:val="{1C0024DC-A97E-4D45-995C-4F5F40C3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572"/>
    <w:pPr>
      <w:spacing w:after="18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BC3EA0"/>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346B30"/>
    <w:pPr>
      <w:keepNext/>
      <w:spacing w:before="120" w:after="120" w:line="240" w:lineRule="auto"/>
      <w:outlineLvl w:val="1"/>
    </w:pPr>
    <w:rPr>
      <w:rFonts w:ascii="Arial Bold" w:hAnsi="Arial Bold"/>
      <w:b/>
      <w:color w:val="0082AB"/>
      <w:spacing w:val="20"/>
      <w:w w:val="90"/>
      <w:sz w:val="32"/>
      <w:szCs w:val="24"/>
    </w:rPr>
  </w:style>
  <w:style w:type="paragraph" w:styleId="Heading3">
    <w:name w:val="heading 3"/>
    <w:basedOn w:val="Heading2"/>
    <w:next w:val="Normal"/>
    <w:link w:val="Heading3Char"/>
    <w:qFormat/>
    <w:rsid w:val="00715855"/>
    <w:pPr>
      <w:spacing w:before="200" w:after="180"/>
      <w:outlineLvl w:val="2"/>
    </w:pPr>
    <w:rPr>
      <w:sz w:val="24"/>
      <w:szCs w:val="22"/>
    </w:rPr>
  </w:style>
  <w:style w:type="paragraph" w:styleId="Heading4">
    <w:name w:val="heading 4"/>
    <w:basedOn w:val="Normal"/>
    <w:next w:val="Normal"/>
    <w:link w:val="Heading4Char"/>
    <w:qFormat/>
    <w:rsid w:val="006448CF"/>
    <w:pPr>
      <w:spacing w:before="120" w:after="200" w:line="240" w:lineRule="auto"/>
      <w:outlineLvl w:val="3"/>
    </w:pPr>
    <w:rPr>
      <w:b/>
      <w:bCs/>
      <w:color w:val="595959" w:themeColor="text1" w:themeTint="A6"/>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6448CF"/>
    <w:pPr>
      <w:tabs>
        <w:tab w:val="right" w:pos="14002"/>
      </w:tabs>
      <w:spacing w:after="0" w:line="240" w:lineRule="auto"/>
    </w:pPr>
    <w:rPr>
      <w:noProof/>
      <w:color w:val="0082AB"/>
      <w:spacing w:val="6"/>
      <w:sz w:val="16"/>
      <w:szCs w:val="16"/>
    </w:rPr>
  </w:style>
  <w:style w:type="character" w:customStyle="1" w:styleId="FooterChar">
    <w:name w:val="Footer Char"/>
    <w:link w:val="Footer"/>
    <w:rsid w:val="006448CF"/>
    <w:rPr>
      <w:rFonts w:ascii="Arial" w:eastAsia="Times New Roman" w:hAnsi="Arial"/>
      <w:noProof/>
      <w:color w:val="0082AB"/>
      <w:spacing w:val="6"/>
      <w:sz w:val="16"/>
      <w:szCs w:val="16"/>
      <w:lang w:val="en-GB" w:eastAsia="en-GB"/>
    </w:rPr>
  </w:style>
  <w:style w:type="table" w:styleId="TableGrid">
    <w:name w:val="Table Grid"/>
    <w:basedOn w:val="TableNormal"/>
    <w:uiPriority w:val="39"/>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uiPriority w:val="34"/>
    <w:qFormat/>
    <w:rsid w:val="006448CF"/>
    <w:pPr>
      <w:ind w:left="567"/>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1"/>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 w:val="22"/>
      <w:lang w:val="en-GB"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A532CF"/>
    <w:pPr>
      <w:numPr>
        <w:numId w:val="3"/>
      </w:numPr>
      <w:spacing w:after="60" w:line="280" w:lineRule="exact"/>
    </w:pPr>
    <w:rPr>
      <w:rFonts w:ascii="Arial" w:eastAsia="Times New Roman" w:hAnsi="Arial"/>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style>
  <w:style w:type="paragraph" w:customStyle="1" w:styleId="Evenfooter-wide">
    <w:name w:val="Even footer-wide"/>
    <w:basedOn w:val="EvenFooter"/>
    <w:rsid w:val="00BC3EA0"/>
  </w:style>
  <w:style w:type="character" w:styleId="FootnoteReference">
    <w:name w:val="footnote reference"/>
    <w:uiPriority w:val="99"/>
    <w:rsid w:val="00BC3EA0"/>
    <w:rPr>
      <w:rFonts w:ascii="Arial" w:hAnsi="Arial"/>
      <w:color w:val="auto"/>
      <w:position w:val="8"/>
      <w:sz w:val="16"/>
    </w:rPr>
  </w:style>
  <w:style w:type="paragraph" w:styleId="FootnoteText">
    <w:name w:val="footnote text"/>
    <w:basedOn w:val="Normal"/>
    <w:link w:val="FootnoteTextChar"/>
    <w:uiPriority w:val="99"/>
    <w:rsid w:val="00BC3EA0"/>
    <w:pPr>
      <w:tabs>
        <w:tab w:val="left" w:pos="425"/>
      </w:tabs>
      <w:spacing w:after="60" w:line="240" w:lineRule="auto"/>
      <w:ind w:left="425" w:hanging="425"/>
    </w:pPr>
    <w:rPr>
      <w:sz w:val="18"/>
    </w:rPr>
  </w:style>
  <w:style w:type="character" w:customStyle="1" w:styleId="FootnoteTextChar">
    <w:name w:val="Footnote Text Char"/>
    <w:link w:val="FootnoteText"/>
    <w:uiPriority w:val="99"/>
    <w:rsid w:val="00BC3EA0"/>
    <w:rPr>
      <w:rFonts w:ascii="Arial" w:eastAsia="Times New Roman" w:hAnsi="Arial" w:cs="Times New Roman"/>
      <w:sz w:val="18"/>
      <w:szCs w:val="20"/>
      <w:lang w:val="en-GB" w:eastAsia="en-GB"/>
    </w:rPr>
  </w:style>
  <w:style w:type="character" w:customStyle="1" w:styleId="Heading1Char">
    <w:name w:val="Heading 1 Char"/>
    <w:link w:val="Heading1"/>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346B30"/>
    <w:rPr>
      <w:rFonts w:ascii="Arial Bold" w:eastAsia="Times New Roman" w:hAnsi="Arial Bold"/>
      <w:b/>
      <w:color w:val="0082AB"/>
      <w:spacing w:val="20"/>
      <w:w w:val="90"/>
      <w:sz w:val="32"/>
      <w:szCs w:val="24"/>
      <w:lang w:val="en-GB" w:eastAsia="en-GB"/>
    </w:rPr>
  </w:style>
  <w:style w:type="character" w:customStyle="1" w:styleId="Heading3Char">
    <w:name w:val="Heading 3 Char"/>
    <w:link w:val="Heading3"/>
    <w:rsid w:val="00715855"/>
    <w:rPr>
      <w:rFonts w:ascii="Arial Bold" w:eastAsia="Times New Roman" w:hAnsi="Arial Bold"/>
      <w:b/>
      <w:color w:val="0082AB"/>
      <w:spacing w:val="20"/>
      <w:w w:val="90"/>
      <w:sz w:val="24"/>
      <w:szCs w:val="22"/>
      <w:lang w:val="en-GB" w:eastAsia="en-GB"/>
    </w:rPr>
  </w:style>
  <w:style w:type="character" w:customStyle="1" w:styleId="Heading4Char">
    <w:name w:val="Heading 4 Char"/>
    <w:link w:val="Heading4"/>
    <w:rsid w:val="006448CF"/>
    <w:rPr>
      <w:rFonts w:ascii="Arial" w:eastAsia="Times New Roman" w:hAnsi="Arial"/>
      <w:b/>
      <w:bCs/>
      <w:color w:val="595959" w:themeColor="text1" w:themeTint="A6"/>
      <w:sz w:val="22"/>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customStyle="1" w:styleId="Tablebullet">
    <w:name w:val="Table bullet"/>
    <w:basedOn w:val="Normal"/>
    <w:qFormat/>
    <w:rsid w:val="00B56273"/>
    <w:pPr>
      <w:numPr>
        <w:numId w:val="4"/>
      </w:numPr>
      <w:autoSpaceDE w:val="0"/>
      <w:autoSpaceDN w:val="0"/>
      <w:adjustRightInd w:val="0"/>
      <w:spacing w:before="60" w:after="60"/>
    </w:pPr>
    <w:rPr>
      <w:rFonts w:cs="GillSans"/>
      <w:szCs w:val="22"/>
      <w:lang w:eastAsia="en-AU"/>
    </w:rPr>
  </w:style>
  <w:style w:type="table" w:styleId="GridTable4-Accent1">
    <w:name w:val="Grid Table 4 Accent 1"/>
    <w:basedOn w:val="TableNormal"/>
    <w:uiPriority w:val="49"/>
    <w:rsid w:val="00C935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s">
    <w:name w:val="Table Headings"/>
    <w:basedOn w:val="Normal"/>
    <w:qFormat/>
    <w:rsid w:val="00C93549"/>
    <w:pPr>
      <w:spacing w:before="60" w:after="60"/>
    </w:pPr>
    <w:rPr>
      <w:rFonts w:cs="Arial"/>
      <w:b/>
      <w:color w:val="000000"/>
    </w:rPr>
  </w:style>
  <w:style w:type="character" w:customStyle="1" w:styleId="UnresolvedMention1">
    <w:name w:val="Unresolved Mention1"/>
    <w:basedOn w:val="DefaultParagraphFont"/>
    <w:uiPriority w:val="99"/>
    <w:semiHidden/>
    <w:unhideWhenUsed/>
    <w:rsid w:val="00E52B84"/>
    <w:rPr>
      <w:color w:val="605E5C"/>
      <w:shd w:val="clear" w:color="auto" w:fill="E1DFDD"/>
    </w:rPr>
  </w:style>
  <w:style w:type="character" w:styleId="UnresolvedMention">
    <w:name w:val="Unresolved Mention"/>
    <w:basedOn w:val="DefaultParagraphFont"/>
    <w:uiPriority w:val="99"/>
    <w:semiHidden/>
    <w:unhideWhenUsed/>
    <w:rsid w:val="00447453"/>
    <w:rPr>
      <w:color w:val="605E5C"/>
      <w:shd w:val="clear" w:color="auto" w:fill="E1DFDD"/>
    </w:rPr>
  </w:style>
  <w:style w:type="character" w:customStyle="1" w:styleId="normaltextrun">
    <w:name w:val="normaltextrun"/>
    <w:basedOn w:val="DefaultParagraphFont"/>
    <w:rsid w:val="00474028"/>
  </w:style>
  <w:style w:type="character" w:customStyle="1" w:styleId="eop">
    <w:name w:val="eop"/>
    <w:basedOn w:val="DefaultParagraphFont"/>
    <w:rsid w:val="00474028"/>
  </w:style>
  <w:style w:type="paragraph" w:customStyle="1" w:styleId="List123">
    <w:name w:val="List 1 2 3"/>
    <w:basedOn w:val="Normal"/>
    <w:rsid w:val="00474028"/>
    <w:pPr>
      <w:keepLines/>
      <w:numPr>
        <w:numId w:val="7"/>
      </w:numPr>
      <w:spacing w:before="80" w:after="80" w:line="240" w:lineRule="auto"/>
    </w:pPr>
    <w:rPr>
      <w:rFonts w:ascii="Calibri" w:eastAsiaTheme="minorHAnsi" w:hAnsi="Calibri"/>
      <w:sz w:val="24"/>
      <w:szCs w:val="24"/>
      <w:lang w:val="en-NZ" w:eastAsia="en-US"/>
    </w:rPr>
  </w:style>
  <w:style w:type="paragraph" w:customStyle="1" w:styleId="List123level2">
    <w:name w:val="List 1 2 3 level 2"/>
    <w:basedOn w:val="Normal"/>
    <w:uiPriority w:val="1"/>
    <w:semiHidden/>
    <w:qFormat/>
    <w:rsid w:val="00474028"/>
    <w:pPr>
      <w:keepLines/>
      <w:numPr>
        <w:ilvl w:val="1"/>
        <w:numId w:val="7"/>
      </w:numPr>
      <w:spacing w:before="80" w:after="80" w:line="240" w:lineRule="auto"/>
    </w:pPr>
    <w:rPr>
      <w:rFonts w:ascii="Calibri" w:eastAsiaTheme="minorHAnsi" w:hAnsi="Calibri"/>
      <w:sz w:val="24"/>
      <w:szCs w:val="24"/>
      <w:lang w:val="en-NZ" w:eastAsia="en-US"/>
    </w:rPr>
  </w:style>
  <w:style w:type="paragraph" w:customStyle="1" w:styleId="List123level3">
    <w:name w:val="List 1 2 3 level 3"/>
    <w:basedOn w:val="Normal"/>
    <w:uiPriority w:val="1"/>
    <w:semiHidden/>
    <w:qFormat/>
    <w:rsid w:val="00474028"/>
    <w:pPr>
      <w:keepLines/>
      <w:numPr>
        <w:ilvl w:val="2"/>
        <w:numId w:val="7"/>
      </w:numPr>
      <w:spacing w:before="80" w:after="80" w:line="240" w:lineRule="auto"/>
    </w:pPr>
    <w:rPr>
      <w:rFonts w:ascii="Calibri" w:eastAsiaTheme="minorHAnsi" w:hAnsi="Calibri"/>
      <w:sz w:val="24"/>
      <w:szCs w:val="24"/>
      <w:lang w:val="en-NZ" w:eastAsia="en-US"/>
    </w:rPr>
  </w:style>
  <w:style w:type="character" w:customStyle="1" w:styleId="scxw93202157">
    <w:name w:val="scxw93202157"/>
    <w:basedOn w:val="DefaultParagraphFont"/>
    <w:rsid w:val="00474028"/>
  </w:style>
  <w:style w:type="paragraph" w:customStyle="1" w:styleId="paragraph">
    <w:name w:val="paragraph"/>
    <w:basedOn w:val="Normal"/>
    <w:rsid w:val="00D14868"/>
    <w:pPr>
      <w:spacing w:before="100" w:beforeAutospacing="1" w:after="100" w:afterAutospacing="1" w:line="240" w:lineRule="auto"/>
    </w:pPr>
    <w:rPr>
      <w:rFonts w:ascii="Times New Roman" w:hAnsi="Times New Roman"/>
      <w:sz w:val="24"/>
      <w:szCs w:val="24"/>
      <w:lang w:val="en-NZ" w:eastAsia="en-NZ"/>
    </w:rPr>
  </w:style>
  <w:style w:type="numbering" w:customStyle="1" w:styleId="BodyParagraphs">
    <w:name w:val="BodyParagraphs"/>
    <w:uiPriority w:val="99"/>
    <w:rsid w:val="00D14868"/>
    <w:pPr>
      <w:numPr>
        <w:numId w:val="9"/>
      </w:numPr>
    </w:pPr>
  </w:style>
  <w:style w:type="paragraph" w:customStyle="1" w:styleId="CabStandard">
    <w:name w:val="CabStandard"/>
    <w:basedOn w:val="Normal"/>
    <w:rsid w:val="00D14868"/>
    <w:pPr>
      <w:numPr>
        <w:numId w:val="10"/>
      </w:numPr>
      <w:spacing w:after="240" w:line="240" w:lineRule="auto"/>
    </w:pPr>
    <w:rPr>
      <w:rFonts w:asciiTheme="minorHAnsi" w:hAnsiTheme="minorHAnsi"/>
      <w:sz w:val="24"/>
      <w:lang w:eastAsia="ja-JP"/>
    </w:rPr>
  </w:style>
  <w:style w:type="character" w:customStyle="1" w:styleId="spellingerror">
    <w:name w:val="spellingerror"/>
    <w:basedOn w:val="DefaultParagraphFont"/>
    <w:rsid w:val="00D14868"/>
  </w:style>
  <w:style w:type="character" w:customStyle="1" w:styleId="findhit">
    <w:name w:val="findhit"/>
    <w:basedOn w:val="DefaultParagraphFont"/>
    <w:rsid w:val="007428AF"/>
  </w:style>
  <w:style w:type="paragraph" w:styleId="NormalWeb">
    <w:name w:val="Normal (Web)"/>
    <w:basedOn w:val="Normal"/>
    <w:uiPriority w:val="99"/>
    <w:unhideWhenUsed/>
    <w:rsid w:val="007428AF"/>
    <w:pPr>
      <w:spacing w:before="100" w:beforeAutospacing="1" w:after="100" w:afterAutospacing="1" w:line="240" w:lineRule="auto"/>
    </w:pPr>
    <w:rPr>
      <w:rFonts w:ascii="Times New Roman" w:hAnsi="Times New Roman"/>
      <w:sz w:val="24"/>
      <w:szCs w:val="24"/>
      <w:lang w:val="en-NZ" w:eastAsia="en-NZ"/>
    </w:rPr>
  </w:style>
  <w:style w:type="table" w:customStyle="1" w:styleId="DIATable">
    <w:name w:val="_DIA Table"/>
    <w:basedOn w:val="TableNormal"/>
    <w:uiPriority w:val="99"/>
    <w:rsid w:val="00610B8B"/>
    <w:pPr>
      <w:spacing w:before="56" w:after="32"/>
    </w:pPr>
    <w:rPr>
      <w:rFonts w:eastAsiaTheme="minorHAnsi" w:cstheme="minorBidi"/>
      <w:sz w:val="22"/>
      <w:szCs w:val="24"/>
      <w:lang w:eastAsia="en-US"/>
    </w:rPr>
    <w:tblPr>
      <w:tblInd w:w="108"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6" w:space="0" w:color="44546A" w:themeColor="text2"/>
        <w:insideV w:val="single" w:sz="6" w:space="0" w:color="44546A"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44546A" w:themeColor="text2"/>
          <w:left w:val="single" w:sz="12" w:space="0" w:color="44546A" w:themeColor="text2"/>
          <w:bottom w:val="nil"/>
          <w:right w:val="single" w:sz="12" w:space="0" w:color="44546A" w:themeColor="text2"/>
          <w:insideH w:val="single" w:sz="6" w:space="0" w:color="FFFFFF" w:themeColor="background1"/>
          <w:insideV w:val="single" w:sz="6" w:space="0" w:color="FFFFFF" w:themeColor="background1"/>
          <w:tl2br w:val="nil"/>
          <w:tr2bl w:val="nil"/>
        </w:tcBorders>
        <w:shd w:val="clear" w:color="auto" w:fill="44546A" w:themeFill="text2"/>
      </w:tcPr>
    </w:tblStylePr>
  </w:style>
  <w:style w:type="table" w:customStyle="1" w:styleId="DIAplaintable">
    <w:name w:val="DIA plain table"/>
    <w:basedOn w:val="TableNormal"/>
    <w:uiPriority w:val="99"/>
    <w:rsid w:val="00D0680B"/>
    <w:pPr>
      <w:spacing w:before="56" w:after="32"/>
    </w:pPr>
    <w:rPr>
      <w:rFonts w:eastAsiaTheme="minorHAnsi"/>
      <w:sz w:val="22"/>
      <w:szCs w:val="24"/>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styleId="BodyText2">
    <w:name w:val="Body Text 2"/>
    <w:basedOn w:val="Normal"/>
    <w:link w:val="BodyText2Char"/>
    <w:uiPriority w:val="99"/>
    <w:semiHidden/>
    <w:unhideWhenUsed/>
    <w:rsid w:val="00D0680B"/>
    <w:pPr>
      <w:spacing w:after="120" w:line="480" w:lineRule="auto"/>
    </w:pPr>
  </w:style>
  <w:style w:type="character" w:customStyle="1" w:styleId="BodyText2Char">
    <w:name w:val="Body Text 2 Char"/>
    <w:basedOn w:val="DefaultParagraphFont"/>
    <w:link w:val="BodyText2"/>
    <w:uiPriority w:val="99"/>
    <w:semiHidden/>
    <w:rsid w:val="00D0680B"/>
    <w:rPr>
      <w:rFonts w:ascii="Arial" w:eastAsia="Times New Roman" w:hAnsi="Arial"/>
      <w:sz w:val="22"/>
      <w:lang w:val="en-GB" w:eastAsia="en-GB"/>
    </w:rPr>
  </w:style>
  <w:style w:type="paragraph" w:customStyle="1" w:styleId="label">
    <w:name w:val="label"/>
    <w:basedOn w:val="Normal"/>
    <w:rsid w:val="00957F24"/>
    <w:pPr>
      <w:spacing w:before="100" w:beforeAutospacing="1" w:after="100" w:afterAutospacing="1" w:line="240" w:lineRule="auto"/>
    </w:pPr>
    <w:rPr>
      <w:rFonts w:ascii="Times New Roman" w:hAnsi="Times New Roman"/>
      <w:sz w:val="24"/>
      <w:szCs w:val="24"/>
      <w:lang w:val="en-NZ" w:eastAsia="en-NZ"/>
    </w:rPr>
  </w:style>
  <w:style w:type="paragraph" w:customStyle="1" w:styleId="labelled">
    <w:name w:val="labelled"/>
    <w:basedOn w:val="Normal"/>
    <w:rsid w:val="00957F24"/>
    <w:pPr>
      <w:spacing w:before="100" w:beforeAutospacing="1" w:after="100" w:afterAutospacing="1" w:line="240" w:lineRule="auto"/>
    </w:pPr>
    <w:rPr>
      <w:rFonts w:ascii="Times New Roman" w:hAnsi="Times New Roman"/>
      <w:sz w:val="24"/>
      <w:szCs w:val="24"/>
      <w:lang w:val="en-NZ" w:eastAsia="en-NZ"/>
    </w:rPr>
  </w:style>
  <w:style w:type="character" w:customStyle="1" w:styleId="label1">
    <w:name w:val="label1"/>
    <w:basedOn w:val="DefaultParagraphFont"/>
    <w:rsid w:val="00957F24"/>
  </w:style>
  <w:style w:type="paragraph" w:customStyle="1" w:styleId="sics-componenthtml-injector">
    <w:name w:val="sics-component__html-injector"/>
    <w:basedOn w:val="Normal"/>
    <w:rsid w:val="00B315E6"/>
    <w:pPr>
      <w:spacing w:before="100" w:beforeAutospacing="1" w:after="100" w:afterAutospacing="1" w:line="240" w:lineRule="auto"/>
    </w:pPr>
    <w:rPr>
      <w:rFonts w:ascii="Times New Roman" w:hAnsi="Times New Roman"/>
      <w:sz w:val="24"/>
      <w:szCs w:val="24"/>
      <w:lang w:val="en-NZ" w:eastAsia="en-NZ"/>
    </w:rPr>
  </w:style>
  <w:style w:type="table" w:customStyle="1" w:styleId="DIATable1">
    <w:name w:val="_DIA Table1"/>
    <w:basedOn w:val="TableNormal"/>
    <w:uiPriority w:val="99"/>
    <w:rsid w:val="00BE706B"/>
    <w:pPr>
      <w:spacing w:before="56" w:after="32"/>
    </w:pPr>
    <w:rPr>
      <w:rFonts w:eastAsiaTheme="minorHAnsi" w:cstheme="minorBidi"/>
      <w:sz w:val="22"/>
      <w:szCs w:val="24"/>
      <w:lang w:eastAsia="en-US"/>
    </w:rPr>
    <w:tblPr>
      <w:tblInd w:w="108"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6" w:space="0" w:color="44546A" w:themeColor="text2"/>
        <w:insideV w:val="single" w:sz="6" w:space="0" w:color="44546A"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44546A" w:themeColor="text2"/>
          <w:left w:val="single" w:sz="12" w:space="0" w:color="44546A" w:themeColor="text2"/>
          <w:bottom w:val="nil"/>
          <w:right w:val="single" w:sz="12" w:space="0" w:color="44546A" w:themeColor="text2"/>
          <w:insideH w:val="single" w:sz="6" w:space="0" w:color="FFFFFF" w:themeColor="background1"/>
          <w:insideV w:val="single" w:sz="6" w:space="0" w:color="FFFFFF" w:themeColor="background1"/>
          <w:tl2br w:val="nil"/>
          <w:tr2bl w:val="nil"/>
        </w:tcBorders>
        <w:shd w:val="clear" w:color="auto" w:fill="44546A"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0275">
      <w:bodyDiv w:val="1"/>
      <w:marLeft w:val="0"/>
      <w:marRight w:val="0"/>
      <w:marTop w:val="0"/>
      <w:marBottom w:val="0"/>
      <w:divBdr>
        <w:top w:val="none" w:sz="0" w:space="0" w:color="auto"/>
        <w:left w:val="none" w:sz="0" w:space="0" w:color="auto"/>
        <w:bottom w:val="none" w:sz="0" w:space="0" w:color="auto"/>
        <w:right w:val="none" w:sz="0" w:space="0" w:color="auto"/>
      </w:divBdr>
    </w:div>
    <w:div w:id="196696763">
      <w:bodyDiv w:val="1"/>
      <w:marLeft w:val="0"/>
      <w:marRight w:val="0"/>
      <w:marTop w:val="0"/>
      <w:marBottom w:val="0"/>
      <w:divBdr>
        <w:top w:val="none" w:sz="0" w:space="0" w:color="auto"/>
        <w:left w:val="none" w:sz="0" w:space="0" w:color="auto"/>
        <w:bottom w:val="none" w:sz="0" w:space="0" w:color="auto"/>
        <w:right w:val="none" w:sz="0" w:space="0" w:color="auto"/>
      </w:divBdr>
    </w:div>
    <w:div w:id="268394367">
      <w:bodyDiv w:val="1"/>
      <w:marLeft w:val="0"/>
      <w:marRight w:val="0"/>
      <w:marTop w:val="0"/>
      <w:marBottom w:val="0"/>
      <w:divBdr>
        <w:top w:val="none" w:sz="0" w:space="0" w:color="auto"/>
        <w:left w:val="none" w:sz="0" w:space="0" w:color="auto"/>
        <w:bottom w:val="none" w:sz="0" w:space="0" w:color="auto"/>
        <w:right w:val="none" w:sz="0" w:space="0" w:color="auto"/>
      </w:divBdr>
    </w:div>
    <w:div w:id="354311651">
      <w:bodyDiv w:val="1"/>
      <w:marLeft w:val="0"/>
      <w:marRight w:val="0"/>
      <w:marTop w:val="0"/>
      <w:marBottom w:val="0"/>
      <w:divBdr>
        <w:top w:val="none" w:sz="0" w:space="0" w:color="auto"/>
        <w:left w:val="none" w:sz="0" w:space="0" w:color="auto"/>
        <w:bottom w:val="none" w:sz="0" w:space="0" w:color="auto"/>
        <w:right w:val="none" w:sz="0" w:space="0" w:color="auto"/>
      </w:divBdr>
    </w:div>
    <w:div w:id="399139365">
      <w:bodyDiv w:val="1"/>
      <w:marLeft w:val="0"/>
      <w:marRight w:val="0"/>
      <w:marTop w:val="0"/>
      <w:marBottom w:val="0"/>
      <w:divBdr>
        <w:top w:val="none" w:sz="0" w:space="0" w:color="auto"/>
        <w:left w:val="none" w:sz="0" w:space="0" w:color="auto"/>
        <w:bottom w:val="none" w:sz="0" w:space="0" w:color="auto"/>
        <w:right w:val="none" w:sz="0" w:space="0" w:color="auto"/>
      </w:divBdr>
    </w:div>
    <w:div w:id="417556661">
      <w:bodyDiv w:val="1"/>
      <w:marLeft w:val="0"/>
      <w:marRight w:val="0"/>
      <w:marTop w:val="0"/>
      <w:marBottom w:val="0"/>
      <w:divBdr>
        <w:top w:val="none" w:sz="0" w:space="0" w:color="auto"/>
        <w:left w:val="none" w:sz="0" w:space="0" w:color="auto"/>
        <w:bottom w:val="none" w:sz="0" w:space="0" w:color="auto"/>
        <w:right w:val="none" w:sz="0" w:space="0" w:color="auto"/>
      </w:divBdr>
    </w:div>
    <w:div w:id="1004281176">
      <w:bodyDiv w:val="1"/>
      <w:marLeft w:val="0"/>
      <w:marRight w:val="0"/>
      <w:marTop w:val="0"/>
      <w:marBottom w:val="0"/>
      <w:divBdr>
        <w:top w:val="none" w:sz="0" w:space="0" w:color="auto"/>
        <w:left w:val="none" w:sz="0" w:space="0" w:color="auto"/>
        <w:bottom w:val="none" w:sz="0" w:space="0" w:color="auto"/>
        <w:right w:val="none" w:sz="0" w:space="0" w:color="auto"/>
      </w:divBdr>
      <w:divsChild>
        <w:div w:id="1374845028">
          <w:marLeft w:val="0"/>
          <w:marRight w:val="0"/>
          <w:marTop w:val="0"/>
          <w:marBottom w:val="0"/>
          <w:divBdr>
            <w:top w:val="none" w:sz="0" w:space="0" w:color="auto"/>
            <w:left w:val="none" w:sz="0" w:space="0" w:color="auto"/>
            <w:bottom w:val="none" w:sz="0" w:space="0" w:color="auto"/>
            <w:right w:val="none" w:sz="0" w:space="0" w:color="auto"/>
          </w:divBdr>
        </w:div>
        <w:div w:id="1298148449">
          <w:marLeft w:val="0"/>
          <w:marRight w:val="0"/>
          <w:marTop w:val="0"/>
          <w:marBottom w:val="0"/>
          <w:divBdr>
            <w:top w:val="none" w:sz="0" w:space="0" w:color="auto"/>
            <w:left w:val="none" w:sz="0" w:space="0" w:color="auto"/>
            <w:bottom w:val="none" w:sz="0" w:space="0" w:color="auto"/>
            <w:right w:val="none" w:sz="0" w:space="0" w:color="auto"/>
          </w:divBdr>
        </w:div>
        <w:div w:id="728460497">
          <w:marLeft w:val="0"/>
          <w:marRight w:val="0"/>
          <w:marTop w:val="0"/>
          <w:marBottom w:val="0"/>
          <w:divBdr>
            <w:top w:val="none" w:sz="0" w:space="0" w:color="auto"/>
            <w:left w:val="none" w:sz="0" w:space="0" w:color="auto"/>
            <w:bottom w:val="none" w:sz="0" w:space="0" w:color="auto"/>
            <w:right w:val="none" w:sz="0" w:space="0" w:color="auto"/>
          </w:divBdr>
        </w:div>
      </w:divsChild>
    </w:div>
    <w:div w:id="1165702126">
      <w:bodyDiv w:val="1"/>
      <w:marLeft w:val="0"/>
      <w:marRight w:val="0"/>
      <w:marTop w:val="0"/>
      <w:marBottom w:val="0"/>
      <w:divBdr>
        <w:top w:val="none" w:sz="0" w:space="0" w:color="auto"/>
        <w:left w:val="none" w:sz="0" w:space="0" w:color="auto"/>
        <w:bottom w:val="none" w:sz="0" w:space="0" w:color="auto"/>
        <w:right w:val="none" w:sz="0" w:space="0" w:color="auto"/>
      </w:divBdr>
    </w:div>
    <w:div w:id="1232036928">
      <w:bodyDiv w:val="1"/>
      <w:marLeft w:val="0"/>
      <w:marRight w:val="0"/>
      <w:marTop w:val="0"/>
      <w:marBottom w:val="0"/>
      <w:divBdr>
        <w:top w:val="none" w:sz="0" w:space="0" w:color="auto"/>
        <w:left w:val="none" w:sz="0" w:space="0" w:color="auto"/>
        <w:bottom w:val="none" w:sz="0" w:space="0" w:color="auto"/>
        <w:right w:val="none" w:sz="0" w:space="0" w:color="auto"/>
      </w:divBdr>
    </w:div>
    <w:div w:id="1245995100">
      <w:bodyDiv w:val="1"/>
      <w:marLeft w:val="0"/>
      <w:marRight w:val="0"/>
      <w:marTop w:val="0"/>
      <w:marBottom w:val="0"/>
      <w:divBdr>
        <w:top w:val="none" w:sz="0" w:space="0" w:color="auto"/>
        <w:left w:val="none" w:sz="0" w:space="0" w:color="auto"/>
        <w:bottom w:val="none" w:sz="0" w:space="0" w:color="auto"/>
        <w:right w:val="none" w:sz="0" w:space="0" w:color="auto"/>
      </w:divBdr>
      <w:divsChild>
        <w:div w:id="1974168682">
          <w:marLeft w:val="0"/>
          <w:marRight w:val="0"/>
          <w:marTop w:val="0"/>
          <w:marBottom w:val="0"/>
          <w:divBdr>
            <w:top w:val="none" w:sz="0" w:space="0" w:color="auto"/>
            <w:left w:val="none" w:sz="0" w:space="0" w:color="auto"/>
            <w:bottom w:val="none" w:sz="0" w:space="0" w:color="auto"/>
            <w:right w:val="none" w:sz="0" w:space="0" w:color="auto"/>
          </w:divBdr>
        </w:div>
      </w:divsChild>
    </w:div>
    <w:div w:id="1457216942">
      <w:bodyDiv w:val="1"/>
      <w:marLeft w:val="0"/>
      <w:marRight w:val="0"/>
      <w:marTop w:val="0"/>
      <w:marBottom w:val="0"/>
      <w:divBdr>
        <w:top w:val="none" w:sz="0" w:space="0" w:color="auto"/>
        <w:left w:val="none" w:sz="0" w:space="0" w:color="auto"/>
        <w:bottom w:val="none" w:sz="0" w:space="0" w:color="auto"/>
        <w:right w:val="none" w:sz="0" w:space="0" w:color="auto"/>
      </w:divBdr>
      <w:divsChild>
        <w:div w:id="1170875634">
          <w:marLeft w:val="0"/>
          <w:marRight w:val="0"/>
          <w:marTop w:val="0"/>
          <w:marBottom w:val="0"/>
          <w:divBdr>
            <w:top w:val="none" w:sz="0" w:space="0" w:color="auto"/>
            <w:left w:val="none" w:sz="0" w:space="0" w:color="auto"/>
            <w:bottom w:val="none" w:sz="0" w:space="0" w:color="auto"/>
            <w:right w:val="none" w:sz="0" w:space="0" w:color="auto"/>
          </w:divBdr>
        </w:div>
        <w:div w:id="1491288363">
          <w:marLeft w:val="0"/>
          <w:marRight w:val="0"/>
          <w:marTop w:val="0"/>
          <w:marBottom w:val="0"/>
          <w:divBdr>
            <w:top w:val="none" w:sz="0" w:space="0" w:color="auto"/>
            <w:left w:val="none" w:sz="0" w:space="0" w:color="auto"/>
            <w:bottom w:val="none" w:sz="0" w:space="0" w:color="auto"/>
            <w:right w:val="none" w:sz="0" w:space="0" w:color="auto"/>
          </w:divBdr>
        </w:div>
        <w:div w:id="769009622">
          <w:marLeft w:val="0"/>
          <w:marRight w:val="0"/>
          <w:marTop w:val="0"/>
          <w:marBottom w:val="0"/>
          <w:divBdr>
            <w:top w:val="none" w:sz="0" w:space="0" w:color="auto"/>
            <w:left w:val="none" w:sz="0" w:space="0" w:color="auto"/>
            <w:bottom w:val="none" w:sz="0" w:space="0" w:color="auto"/>
            <w:right w:val="none" w:sz="0" w:space="0" w:color="auto"/>
          </w:divBdr>
        </w:div>
        <w:div w:id="1180270574">
          <w:marLeft w:val="0"/>
          <w:marRight w:val="0"/>
          <w:marTop w:val="0"/>
          <w:marBottom w:val="0"/>
          <w:divBdr>
            <w:top w:val="none" w:sz="0" w:space="0" w:color="auto"/>
            <w:left w:val="none" w:sz="0" w:space="0" w:color="auto"/>
            <w:bottom w:val="none" w:sz="0" w:space="0" w:color="auto"/>
            <w:right w:val="none" w:sz="0" w:space="0" w:color="auto"/>
          </w:divBdr>
        </w:div>
        <w:div w:id="2119257326">
          <w:marLeft w:val="0"/>
          <w:marRight w:val="0"/>
          <w:marTop w:val="0"/>
          <w:marBottom w:val="0"/>
          <w:divBdr>
            <w:top w:val="none" w:sz="0" w:space="0" w:color="auto"/>
            <w:left w:val="none" w:sz="0" w:space="0" w:color="auto"/>
            <w:bottom w:val="none" w:sz="0" w:space="0" w:color="auto"/>
            <w:right w:val="none" w:sz="0" w:space="0" w:color="auto"/>
          </w:divBdr>
        </w:div>
      </w:divsChild>
    </w:div>
    <w:div w:id="1475640939">
      <w:bodyDiv w:val="1"/>
      <w:marLeft w:val="0"/>
      <w:marRight w:val="0"/>
      <w:marTop w:val="0"/>
      <w:marBottom w:val="0"/>
      <w:divBdr>
        <w:top w:val="none" w:sz="0" w:space="0" w:color="auto"/>
        <w:left w:val="none" w:sz="0" w:space="0" w:color="auto"/>
        <w:bottom w:val="none" w:sz="0" w:space="0" w:color="auto"/>
        <w:right w:val="none" w:sz="0" w:space="0" w:color="auto"/>
      </w:divBdr>
    </w:div>
    <w:div w:id="1515532001">
      <w:bodyDiv w:val="1"/>
      <w:marLeft w:val="0"/>
      <w:marRight w:val="0"/>
      <w:marTop w:val="0"/>
      <w:marBottom w:val="0"/>
      <w:divBdr>
        <w:top w:val="none" w:sz="0" w:space="0" w:color="auto"/>
        <w:left w:val="none" w:sz="0" w:space="0" w:color="auto"/>
        <w:bottom w:val="none" w:sz="0" w:space="0" w:color="auto"/>
        <w:right w:val="none" w:sz="0" w:space="0" w:color="auto"/>
      </w:divBdr>
      <w:divsChild>
        <w:div w:id="1330062013">
          <w:marLeft w:val="115"/>
          <w:marRight w:val="0"/>
          <w:marTop w:val="0"/>
          <w:marBottom w:val="0"/>
          <w:divBdr>
            <w:top w:val="none" w:sz="0" w:space="0" w:color="auto"/>
            <w:left w:val="none" w:sz="0" w:space="0" w:color="auto"/>
            <w:bottom w:val="none" w:sz="0" w:space="0" w:color="auto"/>
            <w:right w:val="none" w:sz="0" w:space="0" w:color="auto"/>
          </w:divBdr>
        </w:div>
        <w:div w:id="914322426">
          <w:marLeft w:val="115"/>
          <w:marRight w:val="0"/>
          <w:marTop w:val="0"/>
          <w:marBottom w:val="0"/>
          <w:divBdr>
            <w:top w:val="none" w:sz="0" w:space="0" w:color="auto"/>
            <w:left w:val="none" w:sz="0" w:space="0" w:color="auto"/>
            <w:bottom w:val="none" w:sz="0" w:space="0" w:color="auto"/>
            <w:right w:val="none" w:sz="0" w:space="0" w:color="auto"/>
          </w:divBdr>
        </w:div>
        <w:div w:id="2123377932">
          <w:marLeft w:val="115"/>
          <w:marRight w:val="0"/>
          <w:marTop w:val="0"/>
          <w:marBottom w:val="0"/>
          <w:divBdr>
            <w:top w:val="none" w:sz="0" w:space="0" w:color="auto"/>
            <w:left w:val="none" w:sz="0" w:space="0" w:color="auto"/>
            <w:bottom w:val="none" w:sz="0" w:space="0" w:color="auto"/>
            <w:right w:val="none" w:sz="0" w:space="0" w:color="auto"/>
          </w:divBdr>
        </w:div>
        <w:div w:id="1862668822">
          <w:marLeft w:val="115"/>
          <w:marRight w:val="0"/>
          <w:marTop w:val="0"/>
          <w:marBottom w:val="0"/>
          <w:divBdr>
            <w:top w:val="none" w:sz="0" w:space="0" w:color="auto"/>
            <w:left w:val="none" w:sz="0" w:space="0" w:color="auto"/>
            <w:bottom w:val="none" w:sz="0" w:space="0" w:color="auto"/>
            <w:right w:val="none" w:sz="0" w:space="0" w:color="auto"/>
          </w:divBdr>
        </w:div>
        <w:div w:id="582639605">
          <w:marLeft w:val="835"/>
          <w:marRight w:val="0"/>
          <w:marTop w:val="0"/>
          <w:marBottom w:val="0"/>
          <w:divBdr>
            <w:top w:val="none" w:sz="0" w:space="0" w:color="auto"/>
            <w:left w:val="none" w:sz="0" w:space="0" w:color="auto"/>
            <w:bottom w:val="none" w:sz="0" w:space="0" w:color="auto"/>
            <w:right w:val="none" w:sz="0" w:space="0" w:color="auto"/>
          </w:divBdr>
        </w:div>
        <w:div w:id="941838851">
          <w:marLeft w:val="835"/>
          <w:marRight w:val="0"/>
          <w:marTop w:val="0"/>
          <w:marBottom w:val="0"/>
          <w:divBdr>
            <w:top w:val="none" w:sz="0" w:space="0" w:color="auto"/>
            <w:left w:val="none" w:sz="0" w:space="0" w:color="auto"/>
            <w:bottom w:val="none" w:sz="0" w:space="0" w:color="auto"/>
            <w:right w:val="none" w:sz="0" w:space="0" w:color="auto"/>
          </w:divBdr>
        </w:div>
        <w:div w:id="1511411758">
          <w:marLeft w:val="835"/>
          <w:marRight w:val="0"/>
          <w:marTop w:val="0"/>
          <w:marBottom w:val="0"/>
          <w:divBdr>
            <w:top w:val="none" w:sz="0" w:space="0" w:color="auto"/>
            <w:left w:val="none" w:sz="0" w:space="0" w:color="auto"/>
            <w:bottom w:val="none" w:sz="0" w:space="0" w:color="auto"/>
            <w:right w:val="none" w:sz="0" w:space="0" w:color="auto"/>
          </w:divBdr>
        </w:div>
        <w:div w:id="641010074">
          <w:marLeft w:val="835"/>
          <w:marRight w:val="0"/>
          <w:marTop w:val="0"/>
          <w:marBottom w:val="0"/>
          <w:divBdr>
            <w:top w:val="none" w:sz="0" w:space="0" w:color="auto"/>
            <w:left w:val="none" w:sz="0" w:space="0" w:color="auto"/>
            <w:bottom w:val="none" w:sz="0" w:space="0" w:color="auto"/>
            <w:right w:val="none" w:sz="0" w:space="0" w:color="auto"/>
          </w:divBdr>
        </w:div>
        <w:div w:id="1390105736">
          <w:marLeft w:val="835"/>
          <w:marRight w:val="0"/>
          <w:marTop w:val="0"/>
          <w:marBottom w:val="0"/>
          <w:divBdr>
            <w:top w:val="none" w:sz="0" w:space="0" w:color="auto"/>
            <w:left w:val="none" w:sz="0" w:space="0" w:color="auto"/>
            <w:bottom w:val="none" w:sz="0" w:space="0" w:color="auto"/>
            <w:right w:val="none" w:sz="0" w:space="0" w:color="auto"/>
          </w:divBdr>
        </w:div>
        <w:div w:id="1473018340">
          <w:marLeft w:val="835"/>
          <w:marRight w:val="0"/>
          <w:marTop w:val="0"/>
          <w:marBottom w:val="0"/>
          <w:divBdr>
            <w:top w:val="none" w:sz="0" w:space="0" w:color="auto"/>
            <w:left w:val="none" w:sz="0" w:space="0" w:color="auto"/>
            <w:bottom w:val="none" w:sz="0" w:space="0" w:color="auto"/>
            <w:right w:val="none" w:sz="0" w:space="0" w:color="auto"/>
          </w:divBdr>
        </w:div>
        <w:div w:id="742677035">
          <w:marLeft w:val="835"/>
          <w:marRight w:val="0"/>
          <w:marTop w:val="0"/>
          <w:marBottom w:val="0"/>
          <w:divBdr>
            <w:top w:val="none" w:sz="0" w:space="0" w:color="auto"/>
            <w:left w:val="none" w:sz="0" w:space="0" w:color="auto"/>
            <w:bottom w:val="none" w:sz="0" w:space="0" w:color="auto"/>
            <w:right w:val="none" w:sz="0" w:space="0" w:color="auto"/>
          </w:divBdr>
        </w:div>
        <w:div w:id="2137873984">
          <w:marLeft w:val="835"/>
          <w:marRight w:val="0"/>
          <w:marTop w:val="0"/>
          <w:marBottom w:val="0"/>
          <w:divBdr>
            <w:top w:val="none" w:sz="0" w:space="0" w:color="auto"/>
            <w:left w:val="none" w:sz="0" w:space="0" w:color="auto"/>
            <w:bottom w:val="none" w:sz="0" w:space="0" w:color="auto"/>
            <w:right w:val="none" w:sz="0" w:space="0" w:color="auto"/>
          </w:divBdr>
        </w:div>
      </w:divsChild>
    </w:div>
    <w:div w:id="1636368929">
      <w:bodyDiv w:val="1"/>
      <w:marLeft w:val="0"/>
      <w:marRight w:val="0"/>
      <w:marTop w:val="0"/>
      <w:marBottom w:val="0"/>
      <w:divBdr>
        <w:top w:val="none" w:sz="0" w:space="0" w:color="auto"/>
        <w:left w:val="none" w:sz="0" w:space="0" w:color="auto"/>
        <w:bottom w:val="none" w:sz="0" w:space="0" w:color="auto"/>
        <w:right w:val="none" w:sz="0" w:space="0" w:color="auto"/>
      </w:divBdr>
    </w:div>
    <w:div w:id="1680501212">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9009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Harm Minimisation</TermName>
          <TermId xmlns="http://schemas.microsoft.com/office/infopath/2007/PartnerControls">baff78a1-5c26-49ae-988e-9d01477308da</TermId>
        </TermInfo>
      </Terms>
    </C3TopicNote>
    <DIANotes xmlns="c648a002-e47e-48ed-a207-3b8ce1d893d3" xsi:nil="true"/>
    <TaxCatchAll xmlns="c648a002-e47e-48ed-a207-3b8ce1d893d3">
      <Value>3549</Value>
      <Value>74</Value>
      <Value>3442</Value>
      <Value>20</Value>
      <Value>139</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ea3c6b56d556460fbeed1cb795bcbdf8>
    <TaxKeywordTaxHTField xmlns="c648a002-e47e-48ed-a207-3b8ce1d893d3">
      <Terms xmlns="http://schemas.microsoft.com/office/infopath/2007/PartnerControls"/>
    </TaxKeywordTaxHTField>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Work Instruction</TermName>
          <TermId xmlns="http://schemas.microsoft.com/office/infopath/2007/PartnerControls">a67937bd-c476-45ad-84e4-9a354793dd86</TermId>
        </TermInfo>
      </Terms>
    </abd14fc118d74ac191cda88615a8467c>
    <_dlc_DocId xmlns="c648a002-e47e-48ed-a207-3b8ce1d893d3">YXQARP2T7VWH-2087447659-50</_dlc_DocId>
    <_dlc_DocIdUrl xmlns="c648a002-e47e-48ed-a207-3b8ce1d893d3">
      <Url>https://dia.cohesion.net.nz/Sites/GMB/PLM/PLI/OGR/_layouts/15/DocIdRedir.aspx?ID=YXQARP2T7VWH-2087447659-50</Url>
      <Description>YXQARP2T7VWH-2087447659-50</Description>
    </_dlc_DocIdUrl>
    <SharedWithUsers xmlns="c648a002-e47e-48ed-a207-3b8ce1d893d3">
      <UserInfo>
        <DisplayName>Monica Rogers</DisplayName>
        <AccountId>2054</AccountId>
        <AccountType/>
      </UserInfo>
      <UserInfo>
        <DisplayName>Alicia Bunge</DisplayName>
        <AccountId>2143</AccountId>
        <AccountType/>
      </UserInfo>
      <UserInfo>
        <DisplayName>Catie van der Vloodt</DisplayName>
        <AccountId>2907</AccountId>
        <AccountType/>
      </UserInfo>
      <UserInfo>
        <DisplayName>Nicola Blackburn</DisplayName>
        <AccountId>2148</AccountId>
        <AccountType/>
      </UserInfo>
      <UserInfo>
        <DisplayName>Suzanne Doig</DisplayName>
        <AccountId>464</AccountId>
        <AccountType/>
      </UserInfo>
      <UserInfo>
        <DisplayName>Thehani Egodawatte</DisplayName>
        <AccountId>2881</AccountId>
        <AccountType/>
      </UserInfo>
      <UserInfo>
        <DisplayName>Leeza Boyd</DisplayName>
        <AccountId>2962</AccountId>
        <AccountType/>
      </UserInfo>
      <UserInfo>
        <DisplayName>tim.spackman@dia.govt.nz</DisplayName>
        <AccountId>2149</AccountId>
        <AccountType/>
      </UserInfo>
      <UserInfo>
        <DisplayName>Losaline Hopoi</DisplayName>
        <AccountId>2679</AccountId>
        <AccountType/>
      </UserInfo>
    </SharedWithUsers>
    <c351d910d90643f89a26228dd83b8d26 xmlns="c648a002-e47e-48ed-a207-3b8ce1d893d3">
      <Terms xmlns="http://schemas.microsoft.com/office/infopath/2007/PartnerControls"/>
    </c351d910d90643f89a26228dd83b8d26>
    <DIAPrivateEntity xmlns="c648a002-e47e-48ed-a207-3b8ce1d893d3" xsi:nil="true"/>
    <DIAReferenceNumber xmlns="c648a002-e47e-48ed-a207-3b8ce1d893d3" xsi:nil="true"/>
    <ne5f47e8ab014cf1a0e7ab674d56d1d4 xmlns="c648a002-e47e-48ed-a207-3b8ce1d893d3">
      <Terms xmlns="http://schemas.microsoft.com/office/infopath/2007/PartnerControls">
        <TermInfo xmlns="http://schemas.microsoft.com/office/infopath/2007/PartnerControls">
          <TermName xmlns="http://schemas.microsoft.com/office/infopath/2007/PartnerControls">Gambling (Harm Prevention and Minimisation) Regulations 2004</TermName>
          <TermId xmlns="http://schemas.microsoft.com/office/infopath/2007/PartnerControls">c0cf8790-0da0-4f03-a0a1-fa2631c29c91</TermId>
        </TermInfo>
      </Terms>
    </ne5f47e8ab014cf1a0e7ab674d56d1d4>
    <ibcdf046507a4866915a2e2c01cb5df8 xmlns="c648a002-e47e-48ed-a207-3b8ce1d893d3">
      <Terms xmlns="http://schemas.microsoft.com/office/infopath/2007/PartnerControls">
        <TermInfo xmlns="http://schemas.microsoft.com/office/infopath/2007/PartnerControls">
          <TermName xmlns="http://schemas.microsoft.com/office/infopath/2007/PartnerControls">Internal Affairs</TermName>
          <TermId xmlns="http://schemas.microsoft.com/office/infopath/2007/PartnerControls">c2f0e3e7-38cf-463f-8c93-8db8d7a82733</TermId>
        </TermInfo>
      </Terms>
    </ibcdf046507a4866915a2e2c01cb5df8>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19CD2B362D96514B8FAC8A72BCB22FD2" ma:contentTypeVersion="9" ma:contentTypeDescription="Administration Document" ma:contentTypeScope="" ma:versionID="362aa42a262c59e6e14a6113dcd5af9d">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c5a011546284fae1f79cabaa3fa26f3c"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_dlc_DocId" minOccurs="0"/>
                <xsd:element ref="ns4:_dlc_DocIdUrl" minOccurs="0"/>
                <xsd:element ref="ns4:_dlc_DocIdPersistId" minOccurs="0"/>
                <xsd:element ref="ns4:SharedWithUsers" minOccurs="0"/>
                <xsd:element ref="ns4:c351d910d90643f89a26228dd83b8d26" minOccurs="0"/>
                <xsd:element ref="ns4:DIAPrivateEntity" minOccurs="0"/>
                <xsd:element ref="ns4:ne5f47e8ab014cf1a0e7ab674d56d1d4" minOccurs="0"/>
                <xsd:element ref="ns4:DIAReferenceNumber" minOccurs="0"/>
                <xsd:element ref="ns4:ibcdf046507a4866915a2e2c01cb5d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51d910d90643f89a26228dd83b8d26" ma:index="23" nillable="true" ma:taxonomy="true" ma:internalName="c351d910d90643f89a26228dd83b8d26" ma:taxonomyFieldName="DIAOfficialEntity" ma:displayName="Official Entity" ma:fieldId="{c351d910-d906-43f8-9a26-228dd83b8d26}"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5"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ne5f47e8ab014cf1a0e7ab674d56d1d4" ma:index="26" nillable="true" ma:taxonomy="true" ma:internalName="ne5f47e8ab014cf1a0e7ab674d56d1d4" ma:taxonomyFieldName="DIALegislation" ma:displayName="Legislation" ma:fieldId="{7e5f47e8-ab01-4cf1-a0e7-ab674d56d1d4}"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DIAReferenceNumber" ma:index="28" nillable="true" ma:displayName="Reference Number" ma:description="Use to specify the reference number" ma:internalName="DIAReferenceNumber">
      <xsd:simpleType>
        <xsd:restriction base="dms:Text"/>
      </xsd:simpleType>
    </xsd:element>
    <xsd:element name="ibcdf046507a4866915a2e2c01cb5df8" ma:index="29" nillable="true" ma:taxonomy="true" ma:internalName="ibcdf046507a4866915a2e2c01cb5df8" ma:taxonomyFieldName="DIAPortfolio" ma:displayName="Portfolio" ma:fieldId="{2bcdf046-507a-4866-915a-2e2c01cb5df8}" ma:sspId="caf61cd4-0327-4679-8f8a-6e41773e81e7" ma:termSetId="8f088340-0c5e-4686-b1b2-3e1dd9212e7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5187-BAD4-48B2-862A-BB4A0EDB2708}">
  <ds:schemaRefs>
    <ds:schemaRef ds:uri="http://schemas.microsoft.com/sharepoint/events"/>
  </ds:schemaRefs>
</ds:datastoreItem>
</file>

<file path=customXml/itemProps2.xml><?xml version="1.0" encoding="utf-8"?>
<ds:datastoreItem xmlns:ds="http://schemas.openxmlformats.org/officeDocument/2006/customXml" ds:itemID="{5C2BE6FD-BEED-4545-918D-3C9C4C869207}">
  <ds:schemaRefs>
    <ds:schemaRef ds:uri="http://schemas.microsoft.com/sharepoint/v3/contenttype/forms"/>
  </ds:schemaRefs>
</ds:datastoreItem>
</file>

<file path=customXml/itemProps3.xml><?xml version="1.0" encoding="utf-8"?>
<ds:datastoreItem xmlns:ds="http://schemas.openxmlformats.org/officeDocument/2006/customXml" ds:itemID="{A87C2DE4-9BB9-44EE-8F52-EB665B98CB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48a002-e47e-48ed-a207-3b8ce1d893d3"/>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FC2CE83B-5066-4818-AFA7-9039FB1A6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7C2E8B-05B9-4BCE-A1D0-87AA2805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19</Pages>
  <Words>8464</Words>
  <Characters>48248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Interim RIS - Reducing Pokies Harm DD - Dec 2021</vt:lpstr>
    </vt:vector>
  </TitlesOfParts>
  <Company>NZ Government</Company>
  <LinksUpToDate>false</LinksUpToDate>
  <CharactersWithSpaces>56599</CharactersWithSpaces>
  <SharedDoc>false</SharedDoc>
  <HLinks>
    <vt:vector size="54" baseType="variant">
      <vt:variant>
        <vt:i4>2687029</vt:i4>
      </vt:variant>
      <vt:variant>
        <vt:i4>24</vt:i4>
      </vt:variant>
      <vt:variant>
        <vt:i4>0</vt:i4>
      </vt:variant>
      <vt:variant>
        <vt:i4>5</vt:i4>
      </vt:variant>
      <vt:variant>
        <vt:lpwstr>http://www.treasury.govt.nz/regulation/expectations</vt:lpwstr>
      </vt:variant>
      <vt:variant>
        <vt:lpwstr/>
      </vt:variant>
      <vt:variant>
        <vt:i4>2687029</vt:i4>
      </vt:variant>
      <vt:variant>
        <vt:i4>21</vt:i4>
      </vt:variant>
      <vt:variant>
        <vt:i4>0</vt:i4>
      </vt:variant>
      <vt:variant>
        <vt:i4>5</vt:i4>
      </vt:variant>
      <vt:variant>
        <vt:lpwstr>http://www.treasury.govt.nz/regulation/expectations</vt:lpwstr>
      </vt:variant>
      <vt:variant>
        <vt:lpwstr/>
      </vt:variant>
      <vt:variant>
        <vt:i4>8257662</vt:i4>
      </vt:variant>
      <vt:variant>
        <vt:i4>18</vt:i4>
      </vt:variant>
      <vt:variant>
        <vt:i4>0</vt:i4>
      </vt:variant>
      <vt:variant>
        <vt:i4>5</vt:i4>
      </vt:variant>
      <vt:variant>
        <vt:lpwstr>http://www.treasury.govt.nz/publications/guidance/planning/costbenefitanalysis</vt:lpwstr>
      </vt:variant>
      <vt:variant>
        <vt:lpwstr/>
      </vt:variant>
      <vt:variant>
        <vt:i4>2949239</vt:i4>
      </vt:variant>
      <vt:variant>
        <vt:i4>15</vt:i4>
      </vt:variant>
      <vt:variant>
        <vt:i4>0</vt:i4>
      </vt:variant>
      <vt:variant>
        <vt:i4>5</vt:i4>
      </vt:variant>
      <vt:variant>
        <vt:lpwstr>http://www.treasury.govt.nz/publications/guidance/planning/costbenefitanalysis/x/x-guide-oct15.pdf</vt:lpwstr>
      </vt:variant>
      <vt:variant>
        <vt:lpwstr/>
      </vt:variant>
      <vt:variant>
        <vt:i4>2687029</vt:i4>
      </vt:variant>
      <vt:variant>
        <vt:i4>12</vt:i4>
      </vt:variant>
      <vt:variant>
        <vt:i4>0</vt:i4>
      </vt:variant>
      <vt:variant>
        <vt:i4>5</vt:i4>
      </vt:variant>
      <vt:variant>
        <vt:lpwstr>http://www.treasury.govt.nz/regulation/expectations</vt:lpwstr>
      </vt:variant>
      <vt:variant>
        <vt:lpwstr/>
      </vt:variant>
      <vt:variant>
        <vt:i4>4128805</vt:i4>
      </vt:variant>
      <vt:variant>
        <vt:i4>9</vt:i4>
      </vt:variant>
      <vt:variant>
        <vt:i4>0</vt:i4>
      </vt:variant>
      <vt:variant>
        <vt:i4>5</vt:i4>
      </vt:variant>
      <vt:variant>
        <vt:lpwstr>http://www.treasury.govt.nz/regulation/regulatoryproposal/ria/handbook</vt:lpwstr>
      </vt:variant>
      <vt:variant>
        <vt:lpwstr/>
      </vt:variant>
      <vt:variant>
        <vt:i4>2687029</vt:i4>
      </vt:variant>
      <vt:variant>
        <vt:i4>6</vt:i4>
      </vt:variant>
      <vt:variant>
        <vt:i4>0</vt:i4>
      </vt:variant>
      <vt:variant>
        <vt:i4>5</vt:i4>
      </vt:variant>
      <vt:variant>
        <vt:lpwstr>http://www.treasury.govt.nz/regulation/expectations</vt:lpwstr>
      </vt:variant>
      <vt:variant>
        <vt:lpwstr/>
      </vt:variant>
      <vt:variant>
        <vt:i4>4128805</vt:i4>
      </vt:variant>
      <vt:variant>
        <vt:i4>3</vt:i4>
      </vt:variant>
      <vt:variant>
        <vt:i4>0</vt:i4>
      </vt:variant>
      <vt:variant>
        <vt:i4>5</vt:i4>
      </vt:variant>
      <vt:variant>
        <vt:lpwstr>http://www.treasury.govt.nz/regulation/regulatoryproposal/ria/handbook</vt:lpwstr>
      </vt:variant>
      <vt:variant>
        <vt:lpwstr/>
      </vt:variant>
      <vt:variant>
        <vt:i4>3801155</vt:i4>
      </vt:variant>
      <vt:variant>
        <vt:i4>0</vt:i4>
      </vt:variant>
      <vt:variant>
        <vt:i4>0</vt:i4>
      </vt:variant>
      <vt:variant>
        <vt:i4>5</vt:i4>
      </vt:variant>
      <vt:variant>
        <vt:lpwstr>mailto:ria@treasury.govt.nz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RIS - Reducing Pokies Harm Public Disussion Document</dc:title>
  <dc:subject/>
  <dc:creator>New Zealand Treasury</dc:creator>
  <cp:keywords/>
  <dc:description/>
  <cp:lastModifiedBy>Leeza Boyd</cp:lastModifiedBy>
  <cp:revision>181</cp:revision>
  <cp:lastPrinted>2021-12-06T03:12:00Z</cp:lastPrinted>
  <dcterms:created xsi:type="dcterms:W3CDTF">2021-11-24T20:15:00Z</dcterms:created>
  <dcterms:modified xsi:type="dcterms:W3CDTF">2022-02-27T03:01:00Z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0x0101005496552013C0BA46BE88192D5C6EB20B00351512A5ABB74CC687DC2977C156D0BF0019CD2B362D96514B8FAC8A72BCB22FD2</vt:lpwstr>
  </property>
  <property fmtid="{D5CDD505-2E9C-101B-9397-08002B2CF9AE}" pid="3" name="DIAEmailContentType">
    <vt:lpwstr>1;#Correspondence|dcd6b05f-dc80-4336-b228-09aebf3d212c</vt:lpwstr>
  </property>
  <property fmtid="{D5CDD505-2E9C-101B-9397-08002B2CF9AE}" pid="4" name="DIASecurityClassification">
    <vt:lpwstr>20;#IN-CONFIDENCE|cf9276f4-acb3-404d-a80d-53cc76a30125</vt:lpwstr>
  </property>
  <property fmtid="{D5CDD505-2E9C-101B-9397-08002B2CF9AE}" pid="5" name="d4d88d9c404441259a20c2016d5c4fc4">
    <vt:lpwstr>Correspondence|dcd6b05f-dc80-4336-b228-09aebf3d212c</vt:lpwstr>
  </property>
  <property fmtid="{D5CDD505-2E9C-101B-9397-08002B2CF9AE}" pid="6" name="_dlc_DocIdItemGuid">
    <vt:lpwstr>098567d1-33b0-4e89-ab68-972d4b3908fe</vt:lpwstr>
  </property>
  <property fmtid="{D5CDD505-2E9C-101B-9397-08002B2CF9AE}" pid="7" name="TaxKeyword">
    <vt:lpwstr/>
  </property>
  <property fmtid="{D5CDD505-2E9C-101B-9397-08002B2CF9AE}" pid="8" name="DIAAdministrationDocumentType">
    <vt:lpwstr>139;#Work Instruction|a67937bd-c476-45ad-84e4-9a354793dd86</vt:lpwstr>
  </property>
  <property fmtid="{D5CDD505-2E9C-101B-9397-08002B2CF9AE}" pid="9" name="C3Topic">
    <vt:lpwstr>3442;#Harm Minimisation|baff78a1-5c26-49ae-988e-9d01477308da</vt:lpwstr>
  </property>
  <property fmtid="{D5CDD505-2E9C-101B-9397-08002B2CF9AE}" pid="10" name="DIALegislation">
    <vt:lpwstr>3549;#Gambling (Harm Prevention and Minimisation) Regulations 2004|c0cf8790-0da0-4f03-a0a1-fa2631c29c91</vt:lpwstr>
  </property>
  <property fmtid="{D5CDD505-2E9C-101B-9397-08002B2CF9AE}" pid="11" name="C3FinancialYearNote">
    <vt:lpwstr/>
  </property>
  <property fmtid="{D5CDD505-2E9C-101B-9397-08002B2CF9AE}" pid="12" name="C3FinancialYear">
    <vt:lpwstr/>
  </property>
  <property fmtid="{D5CDD505-2E9C-101B-9397-08002B2CF9AE}" pid="13" name="DIAReportDocumentType">
    <vt:lpwstr/>
  </property>
  <property fmtid="{D5CDD505-2E9C-101B-9397-08002B2CF9AE}" pid="14" name="c351d910d90643f89a26228dd83b8d26">
    <vt:lpwstr/>
  </property>
  <property fmtid="{D5CDD505-2E9C-101B-9397-08002B2CF9AE}" pid="15" name="ibcdf046507a4866915a2e2c01cb5df8">
    <vt:lpwstr/>
  </property>
  <property fmtid="{D5CDD505-2E9C-101B-9397-08002B2CF9AE}" pid="16" name="ne5f47e8ab014cf1a0e7ab674d56d1d4">
    <vt:lpwstr/>
  </property>
  <property fmtid="{D5CDD505-2E9C-101B-9397-08002B2CF9AE}" pid="17" name="pf1546d0477e4f5fb8c0b35f64028d7e">
    <vt:lpwstr/>
  </property>
  <property fmtid="{D5CDD505-2E9C-101B-9397-08002B2CF9AE}" pid="18" name="k6bccfd4295d40098423704c6cd854c5">
    <vt:lpwstr/>
  </property>
  <property fmtid="{D5CDD505-2E9C-101B-9397-08002B2CF9AE}" pid="19" name="DIAOfficialEntity">
    <vt:lpwstr/>
  </property>
  <property fmtid="{D5CDD505-2E9C-101B-9397-08002B2CF9AE}" pid="20" name="DIAPortfolio">
    <vt:lpwstr>74;#Internal Affairs|c2f0e3e7-38cf-463f-8c93-8db8d7a82733</vt:lpwstr>
  </property>
  <property fmtid="{D5CDD505-2E9C-101B-9397-08002B2CF9AE}" pid="21" name="DIAPlanningDocumentType">
    <vt:lpwstr/>
  </property>
  <property fmtid="{D5CDD505-2E9C-101B-9397-08002B2CF9AE}" pid="22" name="b3d58569b8034571bdb6142a08590b6d">
    <vt:lpwstr/>
  </property>
  <property fmtid="{D5CDD505-2E9C-101B-9397-08002B2CF9AE}" pid="23" name="DIABriefingType">
    <vt:lpwstr/>
  </property>
  <property fmtid="{D5CDD505-2E9C-101B-9397-08002B2CF9AE}" pid="24" name="l14cdf26d0fa4087b19073cb44ebbc9e">
    <vt:lpwstr/>
  </property>
  <property fmtid="{D5CDD505-2E9C-101B-9397-08002B2CF9AE}" pid="25" name="DIABriefingAudience">
    <vt:lpwstr/>
  </property>
  <property fmtid="{D5CDD505-2E9C-101B-9397-08002B2CF9AE}" pid="26" name="DIAMediaDocumentType">
    <vt:lpwstr/>
  </property>
  <property fmtid="{D5CDD505-2E9C-101B-9397-08002B2CF9AE}" pid="27" name="i07fd8469f0946a6bc97b7431fa2dce2">
    <vt:lpwstr/>
  </property>
  <property fmtid="{D5CDD505-2E9C-101B-9397-08002B2CF9AE}" pid="28" name="DIAMeetingDocumentType">
    <vt:lpwstr/>
  </property>
  <property fmtid="{D5CDD505-2E9C-101B-9397-08002B2CF9AE}" pid="29" name="_docset_NoMedatataSyncRequired">
    <vt:lpwstr>False</vt:lpwstr>
  </property>
  <property fmtid="{D5CDD505-2E9C-101B-9397-08002B2CF9AE}" pid="30" name="of8f23f05b2b41ad809817e353992f19">
    <vt:lpwstr/>
  </property>
</Properties>
</file>