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20" w:rsidRPr="0037298A" w:rsidRDefault="007361D6" w:rsidP="00F72DA3">
      <w:pPr>
        <w:pStyle w:val="NotforContentsheading1"/>
        <w:spacing w:before="0"/>
      </w:pPr>
      <w:bookmarkStart w:id="0" w:name="_GoBack"/>
      <w:bookmarkEnd w:id="0"/>
      <w:r w:rsidRPr="0037298A">
        <w:t>Regulatory impact statement</w:t>
      </w:r>
    </w:p>
    <w:p w:rsidR="007361D6" w:rsidRPr="0037298A" w:rsidRDefault="00B51B6B" w:rsidP="00224531">
      <w:pPr>
        <w:pStyle w:val="NotforContentsheading1"/>
        <w:spacing w:before="240" w:after="120"/>
      </w:pPr>
      <w:r>
        <w:t>Changes to the minimum rate of return to authorised purposes</w:t>
      </w:r>
      <w:r w:rsidR="00966C11">
        <w:t xml:space="preserve"> by class 4 societies</w:t>
      </w:r>
    </w:p>
    <w:p w:rsidR="007361D6" w:rsidRPr="00B302E6" w:rsidRDefault="007361D6" w:rsidP="00B302E6">
      <w:pPr>
        <w:pStyle w:val="NotforContentsheading2"/>
      </w:pPr>
      <w:r w:rsidRPr="00B302E6">
        <w:t>Agency disclosure statement</w:t>
      </w:r>
    </w:p>
    <w:p w:rsidR="007361D6" w:rsidRPr="001C0C30" w:rsidRDefault="007361D6" w:rsidP="00285D3B">
      <w:pPr>
        <w:spacing w:after="120"/>
        <w:ind w:right="-709"/>
      </w:pPr>
      <w:r>
        <w:t xml:space="preserve">This regulatory impact statement </w:t>
      </w:r>
      <w:r w:rsidR="00F8301D">
        <w:t xml:space="preserve">(RIS) </w:t>
      </w:r>
      <w:r>
        <w:t xml:space="preserve">has been prepared by </w:t>
      </w:r>
      <w:r w:rsidR="00662410">
        <w:t xml:space="preserve">the Department of </w:t>
      </w:r>
      <w:r w:rsidR="0088686D">
        <w:t>Internal Affairs</w:t>
      </w:r>
      <w:r>
        <w:t>.</w:t>
      </w:r>
    </w:p>
    <w:p w:rsidR="0068199B" w:rsidRDefault="0036495E" w:rsidP="00730CCF">
      <w:pPr>
        <w:spacing w:after="120"/>
        <w:ind w:right="-143"/>
      </w:pPr>
      <w:r>
        <w:t>It provides an analysis of</w:t>
      </w:r>
      <w:r w:rsidR="007361D6">
        <w:t xml:space="preserve"> options to </w:t>
      </w:r>
      <w:r w:rsidR="00F54433">
        <w:t>ad</w:t>
      </w:r>
      <w:r w:rsidR="00647FBF">
        <w:t>just the minimum rate of return</w:t>
      </w:r>
      <w:r w:rsidR="00F25535">
        <w:t xml:space="preserve"> class 4 gambling non-club societies must distribute to authorised purposes. The options reflect the need</w:t>
      </w:r>
      <w:r w:rsidR="00D33586">
        <w:t xml:space="preserve"> to take into account so</w:t>
      </w:r>
      <w:r w:rsidR="001F43AD">
        <w:t>cieties’ increasing costs, while</w:t>
      </w:r>
      <w:r w:rsidR="00D33586">
        <w:t xml:space="preserve"> </w:t>
      </w:r>
      <w:r w:rsidR="00B706DF">
        <w:t>maintaining</w:t>
      </w:r>
      <w:r w:rsidR="00DE26DC">
        <w:t xml:space="preserve"> </w:t>
      </w:r>
      <w:r w:rsidR="00D33586">
        <w:t>the amount of funds being distributed to communities.</w:t>
      </w:r>
      <w:r w:rsidR="00646B03">
        <w:t xml:space="preserve"> Increasing costs</w:t>
      </w:r>
      <w:r w:rsidR="0045656C">
        <w:t xml:space="preserve"> include a substantial increase in </w:t>
      </w:r>
      <w:r w:rsidR="00B706DF">
        <w:t xml:space="preserve">the </w:t>
      </w:r>
      <w:r w:rsidR="0045656C">
        <w:t>fees</w:t>
      </w:r>
      <w:r w:rsidR="00B706DF">
        <w:t xml:space="preserve"> charged to societies</w:t>
      </w:r>
      <w:r w:rsidR="0045656C">
        <w:t>, which took effect on 1 February 2016</w:t>
      </w:r>
      <w:r w:rsidR="00730CCF">
        <w:t>, as well as other costs being introduced by changes in the operating environment</w:t>
      </w:r>
      <w:r w:rsidR="0045656C">
        <w:t>.</w:t>
      </w:r>
      <w:r w:rsidR="00D33586">
        <w:t xml:space="preserve"> </w:t>
      </w:r>
      <w:r w:rsidR="00F25535">
        <w:t>A</w:t>
      </w:r>
      <w:r w:rsidR="001F43AD">
        <w:t>ny changes to the Gambling (Class 4 Net Proceeds) Regulations 2004, which governs the rate</w:t>
      </w:r>
      <w:r w:rsidR="00066AF4">
        <w:t xml:space="preserve"> of return</w:t>
      </w:r>
      <w:r w:rsidR="00F25535">
        <w:t xml:space="preserve">, need to be made before 1 September 2016, when the rate of return is scheduled to increase from 40 per cent to 41 per cent. </w:t>
      </w:r>
    </w:p>
    <w:p w:rsidR="004B1F1D" w:rsidRDefault="00B9395A" w:rsidP="00285D3B">
      <w:pPr>
        <w:spacing w:after="120"/>
      </w:pPr>
      <w:r>
        <w:t>T</w:t>
      </w:r>
      <w:r w:rsidR="004B1F1D">
        <w:t xml:space="preserve">he impact </w:t>
      </w:r>
      <w:r>
        <w:t xml:space="preserve">analysis </w:t>
      </w:r>
      <w:r w:rsidR="00660282">
        <w:t>of the options</w:t>
      </w:r>
      <w:r w:rsidR="001F43AD">
        <w:t xml:space="preserve"> is </w:t>
      </w:r>
      <w:r w:rsidR="00DE26DC">
        <w:t>con</w:t>
      </w:r>
      <w:r w:rsidR="0055255C">
        <w:t>strained by the uncertainty around</w:t>
      </w:r>
      <w:r w:rsidR="004B1F1D">
        <w:t xml:space="preserve"> </w:t>
      </w:r>
      <w:r w:rsidR="001F43AD">
        <w:t>how societies will react to</w:t>
      </w:r>
      <w:r w:rsidR="004B1F1D">
        <w:t xml:space="preserve"> </w:t>
      </w:r>
      <w:r w:rsidR="00C422ED">
        <w:t>an increase</w:t>
      </w:r>
      <w:r w:rsidR="004B1F1D">
        <w:t xml:space="preserve"> </w:t>
      </w:r>
      <w:r w:rsidR="00C422ED">
        <w:t xml:space="preserve">above 40 per cent </w:t>
      </w:r>
      <w:r w:rsidR="00C673E4">
        <w:t xml:space="preserve">in the </w:t>
      </w:r>
      <w:r w:rsidR="004B1F1D">
        <w:t>rate</w:t>
      </w:r>
      <w:r w:rsidR="00C673E4">
        <w:t xml:space="preserve"> of return</w:t>
      </w:r>
      <w:r w:rsidR="00203556">
        <w:t>, including the</w:t>
      </w:r>
      <w:r w:rsidR="0045656C">
        <w:t xml:space="preserve"> potential closure of societies and/or venues</w:t>
      </w:r>
      <w:r w:rsidR="00087F87">
        <w:t>.</w:t>
      </w:r>
      <w:r w:rsidR="001F1CC8">
        <w:t xml:space="preserve"> This</w:t>
      </w:r>
      <w:r w:rsidR="0045656C">
        <w:t xml:space="preserve"> uncertainty arises as the sector is not homogenous</w:t>
      </w:r>
      <w:r w:rsidR="004B1F1D">
        <w:t xml:space="preserve">. </w:t>
      </w:r>
      <w:r w:rsidR="00FC276C">
        <w:t xml:space="preserve">Different societies have different cost structures, operating models, types of venues, and grant distribution methods. </w:t>
      </w:r>
      <w:r w:rsidR="007845F4">
        <w:t>It is also not possible to estimate</w:t>
      </w:r>
      <w:r w:rsidR="00203556">
        <w:t xml:space="preserve"> the</w:t>
      </w:r>
      <w:r w:rsidR="007845F4">
        <w:t xml:space="preserve"> impact on grants being returned to communities. </w:t>
      </w:r>
    </w:p>
    <w:p w:rsidR="004B1F1D" w:rsidRDefault="000B6367" w:rsidP="000B6367">
      <w:pPr>
        <w:spacing w:after="120"/>
        <w:ind w:right="-427"/>
      </w:pPr>
      <w:r>
        <w:t>Further</w:t>
      </w:r>
      <w:r w:rsidR="003D51D9">
        <w:t xml:space="preserve"> measures contained in the</w:t>
      </w:r>
      <w:r w:rsidR="00660282">
        <w:t xml:space="preserve"> Gambling Amendment Act 2015 and Gambling Amendment Act (No 2) 2015 </w:t>
      </w:r>
      <w:r w:rsidR="00FA678B">
        <w:t>will</w:t>
      </w:r>
      <w:r w:rsidR="001F1CC8">
        <w:t xml:space="preserve"> also be implemented in the near future, </w:t>
      </w:r>
      <w:r w:rsidR="00087F87">
        <w:t>and</w:t>
      </w:r>
      <w:r w:rsidR="004B1F1D">
        <w:t xml:space="preserve"> will</w:t>
      </w:r>
      <w:r w:rsidR="00C4300C">
        <w:t xml:space="preserve"> take two to three years to embed</w:t>
      </w:r>
      <w:r w:rsidR="00B03BD2">
        <w:t xml:space="preserve">. </w:t>
      </w:r>
      <w:r w:rsidR="00FA6753">
        <w:t xml:space="preserve">The Department is aware that these new measures and increased costs, including the substantial increase in gambling fees, </w:t>
      </w:r>
      <w:r w:rsidR="00965097">
        <w:t>will impact on societies’ ability to cover their costs. Beyond that, i</w:t>
      </w:r>
      <w:r w:rsidR="00B03BD2">
        <w:t>t</w:t>
      </w:r>
      <w:r w:rsidR="004B1F1D">
        <w:t xml:space="preserve"> </w:t>
      </w:r>
      <w:r w:rsidR="00AE2ADA">
        <w:t>is uncertain</w:t>
      </w:r>
      <w:r w:rsidR="004B1F1D">
        <w:t xml:space="preserve"> how these changes will interact with a</w:t>
      </w:r>
      <w:r w:rsidR="00C673E4">
        <w:t xml:space="preserve"> higher </w:t>
      </w:r>
      <w:r w:rsidR="00B03BD2">
        <w:t>rate of retur</w:t>
      </w:r>
      <w:r w:rsidR="00DC768B">
        <w:t>n.</w:t>
      </w:r>
    </w:p>
    <w:p w:rsidR="00876E2D" w:rsidRDefault="00240808" w:rsidP="00285D3B">
      <w:pPr>
        <w:spacing w:after="120"/>
      </w:pPr>
      <w:r w:rsidRPr="009E3583">
        <w:t>Th</w:t>
      </w:r>
      <w:r w:rsidR="007D5121">
        <w:t xml:space="preserve">e changing nature of </w:t>
      </w:r>
      <w:r w:rsidR="004F56B2" w:rsidRPr="009E3583">
        <w:t xml:space="preserve">the sector </w:t>
      </w:r>
      <w:r w:rsidRPr="009E3583">
        <w:t>also makes it difficu</w:t>
      </w:r>
      <w:r w:rsidR="00BF1F79" w:rsidRPr="009E3583">
        <w:t xml:space="preserve">lt to </w:t>
      </w:r>
      <w:r w:rsidR="00BA3E1C" w:rsidRPr="009E3583">
        <w:t xml:space="preserve">predict </w:t>
      </w:r>
      <w:r w:rsidR="00E75E13">
        <w:t>the impacts of further regulatory changes</w:t>
      </w:r>
      <w:r w:rsidR="00BA3E1C">
        <w:t xml:space="preserve">. During the first seven years after the Gambling Act 2003 was enacted, expenditure on class 4 gambling declined significantly. Expenditure has </w:t>
      </w:r>
      <w:r w:rsidR="0076347A">
        <w:t xml:space="preserve">increased </w:t>
      </w:r>
      <w:r w:rsidR="00BA3E1C">
        <w:t>marginally in the 2014/15 financial year and the first half of 2015/16. The number of</w:t>
      </w:r>
      <w:r w:rsidR="0076347A">
        <w:t xml:space="preserve"> non-club societies and </w:t>
      </w:r>
      <w:r w:rsidR="00BA3E1C">
        <w:t xml:space="preserve">venues has continued to decline. This </w:t>
      </w:r>
      <w:r w:rsidR="0057540E">
        <w:t>could mean the sector has matured and is becoming more efficient</w:t>
      </w:r>
      <w:r w:rsidR="00BA3E1C">
        <w:t xml:space="preserve">. However, it is too early to </w:t>
      </w:r>
      <w:r w:rsidR="0057540E">
        <w:t xml:space="preserve">say whether this trend will continue. </w:t>
      </w:r>
      <w:r w:rsidR="00876E2D">
        <w:t xml:space="preserve">The sector is also susceptible to economic and demographic changes, and changes in consumer preferences. </w:t>
      </w:r>
      <w:r w:rsidR="000413EF">
        <w:t>The Auckland Council</w:t>
      </w:r>
      <w:r w:rsidR="0076347A">
        <w:t>’s upcoming review of</w:t>
      </w:r>
      <w:r w:rsidR="000413EF">
        <w:t xml:space="preserve"> its venue policy this year could </w:t>
      </w:r>
      <w:r w:rsidR="0076347A">
        <w:t xml:space="preserve">also </w:t>
      </w:r>
      <w:r w:rsidR="000413EF">
        <w:t>have a significan</w:t>
      </w:r>
      <w:r w:rsidR="0076347A">
        <w:t xml:space="preserve">t impact on the class 4 sector. </w:t>
      </w:r>
    </w:p>
    <w:p w:rsidR="00BB1BE0" w:rsidRDefault="00005E76" w:rsidP="004B1F1D">
      <w:pPr>
        <w:pStyle w:val="Bullet"/>
        <w:numPr>
          <w:ilvl w:val="0"/>
          <w:numId w:val="0"/>
        </w:numPr>
      </w:pPr>
      <w:r>
        <w:t xml:space="preserve">The options and impact analysis in this RIS </w:t>
      </w:r>
      <w:r w:rsidR="00CA62B2">
        <w:t xml:space="preserve">is the most robust the Department can provide with the information available, and </w:t>
      </w:r>
      <w:r>
        <w:t xml:space="preserve">reflects </w:t>
      </w:r>
      <w:r w:rsidR="00CA62B2">
        <w:t xml:space="preserve">the </w:t>
      </w:r>
      <w:r w:rsidR="00E45BFE">
        <w:t>constraints and uncertainties</w:t>
      </w:r>
      <w:r w:rsidR="00CA62B2">
        <w:t xml:space="preserve">. </w:t>
      </w:r>
    </w:p>
    <w:tbl>
      <w:tblPr>
        <w:tblStyle w:val="Blanktable"/>
        <w:tblW w:w="0" w:type="auto"/>
        <w:tblLayout w:type="fixed"/>
        <w:tblLook w:val="04A0" w:firstRow="1" w:lastRow="0" w:firstColumn="1" w:lastColumn="0" w:noHBand="0" w:noVBand="1"/>
      </w:tblPr>
      <w:tblGrid>
        <w:gridCol w:w="454"/>
        <w:gridCol w:w="170"/>
        <w:gridCol w:w="454"/>
        <w:gridCol w:w="170"/>
        <w:gridCol w:w="680"/>
        <w:gridCol w:w="6430"/>
      </w:tblGrid>
      <w:tr w:rsidR="007361D6" w:rsidRPr="00934303" w:rsidTr="00C20D9A">
        <w:trPr>
          <w:cantSplit/>
          <w:trHeight w:val="642"/>
        </w:trPr>
        <w:tc>
          <w:tcPr>
            <w:tcW w:w="8358" w:type="dxa"/>
            <w:gridSpan w:val="6"/>
          </w:tcPr>
          <w:p w:rsidR="007361D6" w:rsidRPr="00934303" w:rsidRDefault="007361D6" w:rsidP="00E52276">
            <w:pPr>
              <w:keepNext/>
            </w:pPr>
          </w:p>
        </w:tc>
      </w:tr>
      <w:tr w:rsidR="007361D6" w:rsidRPr="00934303" w:rsidTr="00FB0E14">
        <w:trPr>
          <w:cantSplit/>
        </w:trPr>
        <w:tc>
          <w:tcPr>
            <w:tcW w:w="8358" w:type="dxa"/>
            <w:gridSpan w:val="6"/>
            <w:tcMar>
              <w:left w:w="0" w:type="dxa"/>
            </w:tcMar>
          </w:tcPr>
          <w:p w:rsidR="007361D6" w:rsidRPr="00934303" w:rsidRDefault="0029121F" w:rsidP="00FB0E14">
            <w:pPr>
              <w:pStyle w:val="Spacer"/>
            </w:pPr>
            <w:r>
              <w:t>Steve Waldegrave</w:t>
            </w:r>
          </w:p>
        </w:tc>
      </w:tr>
      <w:tr w:rsidR="007361D6" w:rsidRPr="00934303" w:rsidTr="00285D3B">
        <w:trPr>
          <w:cantSplit/>
          <w:trHeight w:val="191"/>
        </w:trPr>
        <w:tc>
          <w:tcPr>
            <w:tcW w:w="8358" w:type="dxa"/>
            <w:gridSpan w:val="6"/>
            <w:tcMar>
              <w:left w:w="0" w:type="dxa"/>
            </w:tcMar>
          </w:tcPr>
          <w:p w:rsidR="007361D6" w:rsidRPr="00934303" w:rsidRDefault="0029121F" w:rsidP="00FB0E14">
            <w:pPr>
              <w:pStyle w:val="Spacer"/>
            </w:pPr>
            <w:r>
              <w:t>Policy General Manager</w:t>
            </w:r>
          </w:p>
        </w:tc>
      </w:tr>
      <w:tr w:rsidR="007361D6" w:rsidRPr="00934303" w:rsidTr="00285D3B">
        <w:trPr>
          <w:cantSplit/>
          <w:trHeight w:hRule="exact" w:val="451"/>
        </w:trPr>
        <w:tc>
          <w:tcPr>
            <w:tcW w:w="454" w:type="dxa"/>
            <w:tcBorders>
              <w:bottom w:val="single" w:sz="6" w:space="0" w:color="auto"/>
            </w:tcBorders>
            <w:tcMar>
              <w:left w:w="57" w:type="dxa"/>
              <w:right w:w="57" w:type="dxa"/>
            </w:tcMar>
            <w:vAlign w:val="bottom"/>
          </w:tcPr>
          <w:p w:rsidR="007361D6" w:rsidRPr="00934303" w:rsidRDefault="007361D6" w:rsidP="00B84E9B">
            <w:pPr>
              <w:pStyle w:val="Spacer"/>
            </w:pPr>
          </w:p>
        </w:tc>
        <w:tc>
          <w:tcPr>
            <w:tcW w:w="170" w:type="dxa"/>
            <w:tcBorders>
              <w:bottom w:val="single" w:sz="6" w:space="0" w:color="auto"/>
            </w:tcBorders>
            <w:tcMar>
              <w:left w:w="57" w:type="dxa"/>
              <w:right w:w="57" w:type="dxa"/>
            </w:tcMar>
            <w:vAlign w:val="bottom"/>
          </w:tcPr>
          <w:p w:rsidR="007361D6" w:rsidRPr="00934303" w:rsidRDefault="007361D6" w:rsidP="00B84E9B">
            <w:pPr>
              <w:pStyle w:val="Spacer"/>
            </w:pPr>
            <w:r>
              <w:t>/</w:t>
            </w:r>
          </w:p>
        </w:tc>
        <w:tc>
          <w:tcPr>
            <w:tcW w:w="454" w:type="dxa"/>
            <w:tcBorders>
              <w:bottom w:val="single" w:sz="6" w:space="0" w:color="auto"/>
            </w:tcBorders>
            <w:tcMar>
              <w:left w:w="57" w:type="dxa"/>
              <w:right w:w="57" w:type="dxa"/>
            </w:tcMar>
            <w:vAlign w:val="bottom"/>
          </w:tcPr>
          <w:p w:rsidR="007361D6" w:rsidRPr="00934303" w:rsidRDefault="007361D6" w:rsidP="00B84E9B">
            <w:pPr>
              <w:pStyle w:val="Spacer"/>
            </w:pPr>
          </w:p>
        </w:tc>
        <w:tc>
          <w:tcPr>
            <w:tcW w:w="170" w:type="dxa"/>
            <w:tcBorders>
              <w:bottom w:val="single" w:sz="6" w:space="0" w:color="auto"/>
            </w:tcBorders>
            <w:tcMar>
              <w:left w:w="57" w:type="dxa"/>
              <w:right w:w="57" w:type="dxa"/>
            </w:tcMar>
            <w:vAlign w:val="bottom"/>
          </w:tcPr>
          <w:p w:rsidR="007361D6" w:rsidRPr="00934303" w:rsidRDefault="007361D6" w:rsidP="00B84E9B">
            <w:pPr>
              <w:pStyle w:val="Spacer"/>
            </w:pPr>
            <w:r>
              <w:t>/</w:t>
            </w:r>
          </w:p>
        </w:tc>
        <w:tc>
          <w:tcPr>
            <w:tcW w:w="680" w:type="dxa"/>
            <w:tcBorders>
              <w:bottom w:val="single" w:sz="6" w:space="0" w:color="auto"/>
            </w:tcBorders>
            <w:tcMar>
              <w:left w:w="57" w:type="dxa"/>
              <w:right w:w="57" w:type="dxa"/>
            </w:tcMar>
            <w:vAlign w:val="bottom"/>
          </w:tcPr>
          <w:p w:rsidR="007361D6" w:rsidRPr="00934303" w:rsidRDefault="007361D6" w:rsidP="00B84E9B">
            <w:pPr>
              <w:pStyle w:val="Spacer"/>
            </w:pPr>
          </w:p>
        </w:tc>
        <w:tc>
          <w:tcPr>
            <w:tcW w:w="6430" w:type="dxa"/>
            <w:tcMar>
              <w:left w:w="57" w:type="dxa"/>
              <w:right w:w="57" w:type="dxa"/>
            </w:tcMar>
            <w:vAlign w:val="bottom"/>
          </w:tcPr>
          <w:p w:rsidR="007361D6" w:rsidRPr="00934303" w:rsidRDefault="007361D6" w:rsidP="00B84E9B">
            <w:pPr>
              <w:pStyle w:val="Spacer"/>
            </w:pPr>
          </w:p>
        </w:tc>
      </w:tr>
    </w:tbl>
    <w:p w:rsidR="00C20D9A" w:rsidRDefault="00C20D9A" w:rsidP="00C20D9A">
      <w:pPr>
        <w:rPr>
          <w:sz w:val="32"/>
        </w:rPr>
      </w:pPr>
      <w:r>
        <w:br w:type="page"/>
      </w:r>
    </w:p>
    <w:p w:rsidR="0037298A" w:rsidRDefault="0037298A" w:rsidP="0037298A">
      <w:pPr>
        <w:pStyle w:val="NotforContentsheading2"/>
      </w:pPr>
      <w:r>
        <w:lastRenderedPageBreak/>
        <w:t>Contents</w:t>
      </w:r>
    </w:p>
    <w:p w:rsidR="0037298A" w:rsidRPr="0037298A" w:rsidRDefault="0037298A" w:rsidP="0037298A"/>
    <w:p w:rsidR="00473E2F" w:rsidRDefault="00473E2F">
      <w:pPr>
        <w:pStyle w:val="TOC1"/>
        <w:rPr>
          <w:rFonts w:asciiTheme="minorHAnsi" w:eastAsiaTheme="minorEastAsia" w:hAnsiTheme="minorHAnsi" w:cstheme="minorBidi"/>
          <w:noProof/>
          <w:color w:val="auto"/>
          <w:sz w:val="22"/>
          <w:szCs w:val="22"/>
          <w:lang w:eastAsia="en-NZ"/>
        </w:rPr>
      </w:pPr>
      <w:r>
        <w:rPr>
          <w:noProof/>
        </w:rPr>
        <w:fldChar w:fldCharType="begin"/>
      </w:r>
      <w:r>
        <w:rPr>
          <w:noProof/>
        </w:rPr>
        <w:instrText xml:space="preserve"> TOC \o "1-2" \h \z \u </w:instrText>
      </w:r>
      <w:r>
        <w:rPr>
          <w:noProof/>
        </w:rPr>
        <w:fldChar w:fldCharType="separate"/>
      </w:r>
      <w:hyperlink w:anchor="_Toc391203197" w:history="1">
        <w:r w:rsidRPr="00DB4536">
          <w:rPr>
            <w:rStyle w:val="Hyperlink"/>
            <w:noProof/>
          </w:rPr>
          <w:t>Executive summary</w:t>
        </w:r>
        <w:r>
          <w:rPr>
            <w:noProof/>
            <w:webHidden/>
          </w:rPr>
          <w:tab/>
        </w:r>
        <w:r>
          <w:rPr>
            <w:noProof/>
            <w:webHidden/>
          </w:rPr>
          <w:fldChar w:fldCharType="begin"/>
        </w:r>
        <w:r>
          <w:rPr>
            <w:noProof/>
            <w:webHidden/>
          </w:rPr>
          <w:instrText xml:space="preserve"> PAGEREF _Toc391203197 \h </w:instrText>
        </w:r>
        <w:r>
          <w:rPr>
            <w:noProof/>
            <w:webHidden/>
          </w:rPr>
        </w:r>
        <w:r>
          <w:rPr>
            <w:noProof/>
            <w:webHidden/>
          </w:rPr>
          <w:fldChar w:fldCharType="separate"/>
        </w:r>
        <w:r w:rsidR="006561A8">
          <w:rPr>
            <w:noProof/>
            <w:webHidden/>
          </w:rPr>
          <w:t>3</w:t>
        </w:r>
        <w:r>
          <w:rPr>
            <w:noProof/>
            <w:webHidden/>
          </w:rPr>
          <w:fldChar w:fldCharType="end"/>
        </w:r>
      </w:hyperlink>
    </w:p>
    <w:p w:rsidR="00473E2F" w:rsidRDefault="00F56817">
      <w:pPr>
        <w:pStyle w:val="TOC1"/>
        <w:rPr>
          <w:rFonts w:asciiTheme="minorHAnsi" w:eastAsiaTheme="minorEastAsia" w:hAnsiTheme="minorHAnsi" w:cstheme="minorBidi"/>
          <w:noProof/>
          <w:color w:val="auto"/>
          <w:sz w:val="22"/>
          <w:szCs w:val="22"/>
          <w:lang w:eastAsia="en-NZ"/>
        </w:rPr>
      </w:pPr>
      <w:hyperlink w:anchor="_Toc391203198" w:history="1">
        <w:r w:rsidR="00473E2F" w:rsidRPr="00DB4536">
          <w:rPr>
            <w:rStyle w:val="Hyperlink"/>
            <w:noProof/>
          </w:rPr>
          <w:t>Status quo and problem definition</w:t>
        </w:r>
        <w:r w:rsidR="00473E2F">
          <w:rPr>
            <w:noProof/>
            <w:webHidden/>
          </w:rPr>
          <w:tab/>
        </w:r>
        <w:r w:rsidR="00473E2F">
          <w:rPr>
            <w:noProof/>
            <w:webHidden/>
          </w:rPr>
          <w:fldChar w:fldCharType="begin"/>
        </w:r>
        <w:r w:rsidR="00473E2F">
          <w:rPr>
            <w:noProof/>
            <w:webHidden/>
          </w:rPr>
          <w:instrText xml:space="preserve"> PAGEREF _Toc391203198 \h </w:instrText>
        </w:r>
        <w:r w:rsidR="00473E2F">
          <w:rPr>
            <w:noProof/>
            <w:webHidden/>
          </w:rPr>
        </w:r>
        <w:r w:rsidR="00473E2F">
          <w:rPr>
            <w:noProof/>
            <w:webHidden/>
          </w:rPr>
          <w:fldChar w:fldCharType="separate"/>
        </w:r>
        <w:r w:rsidR="006561A8">
          <w:rPr>
            <w:noProof/>
            <w:webHidden/>
          </w:rPr>
          <w:t>5</w:t>
        </w:r>
        <w:r w:rsidR="00473E2F">
          <w:rPr>
            <w:noProof/>
            <w:webHidden/>
          </w:rPr>
          <w:fldChar w:fldCharType="end"/>
        </w:r>
      </w:hyperlink>
    </w:p>
    <w:p w:rsidR="00473E2F" w:rsidRDefault="00F56817">
      <w:pPr>
        <w:pStyle w:val="TOC1"/>
        <w:rPr>
          <w:rFonts w:asciiTheme="minorHAnsi" w:eastAsiaTheme="minorEastAsia" w:hAnsiTheme="minorHAnsi" w:cstheme="minorBidi"/>
          <w:noProof/>
          <w:color w:val="auto"/>
          <w:sz w:val="22"/>
          <w:szCs w:val="22"/>
          <w:lang w:eastAsia="en-NZ"/>
        </w:rPr>
      </w:pPr>
      <w:hyperlink w:anchor="_Toc391203199" w:history="1">
        <w:r w:rsidR="00473E2F" w:rsidRPr="00DB4536">
          <w:rPr>
            <w:rStyle w:val="Hyperlink"/>
            <w:noProof/>
          </w:rPr>
          <w:t>Objectives</w:t>
        </w:r>
        <w:r w:rsidR="00473E2F">
          <w:rPr>
            <w:noProof/>
            <w:webHidden/>
          </w:rPr>
          <w:tab/>
        </w:r>
        <w:r w:rsidR="00473E2F">
          <w:rPr>
            <w:noProof/>
            <w:webHidden/>
          </w:rPr>
          <w:fldChar w:fldCharType="begin"/>
        </w:r>
        <w:r w:rsidR="00473E2F">
          <w:rPr>
            <w:noProof/>
            <w:webHidden/>
          </w:rPr>
          <w:instrText xml:space="preserve"> PAGEREF _Toc391203199 \h </w:instrText>
        </w:r>
        <w:r w:rsidR="00473E2F">
          <w:rPr>
            <w:noProof/>
            <w:webHidden/>
          </w:rPr>
        </w:r>
        <w:r w:rsidR="00473E2F">
          <w:rPr>
            <w:noProof/>
            <w:webHidden/>
          </w:rPr>
          <w:fldChar w:fldCharType="separate"/>
        </w:r>
        <w:r w:rsidR="006561A8">
          <w:rPr>
            <w:noProof/>
            <w:webHidden/>
          </w:rPr>
          <w:t>8</w:t>
        </w:r>
        <w:r w:rsidR="00473E2F">
          <w:rPr>
            <w:noProof/>
            <w:webHidden/>
          </w:rPr>
          <w:fldChar w:fldCharType="end"/>
        </w:r>
      </w:hyperlink>
    </w:p>
    <w:p w:rsidR="00473E2F" w:rsidRDefault="00F56817">
      <w:pPr>
        <w:pStyle w:val="TOC1"/>
        <w:rPr>
          <w:rFonts w:asciiTheme="minorHAnsi" w:eastAsiaTheme="minorEastAsia" w:hAnsiTheme="minorHAnsi" w:cstheme="minorBidi"/>
          <w:noProof/>
          <w:color w:val="auto"/>
          <w:sz w:val="22"/>
          <w:szCs w:val="22"/>
          <w:lang w:eastAsia="en-NZ"/>
        </w:rPr>
      </w:pPr>
      <w:hyperlink w:anchor="_Toc391203200" w:history="1">
        <w:r w:rsidR="00473E2F" w:rsidRPr="00DB4536">
          <w:rPr>
            <w:rStyle w:val="Hyperlink"/>
            <w:noProof/>
          </w:rPr>
          <w:t>Options and impact analysis</w:t>
        </w:r>
        <w:r w:rsidR="00473E2F">
          <w:rPr>
            <w:noProof/>
            <w:webHidden/>
          </w:rPr>
          <w:tab/>
        </w:r>
        <w:r w:rsidR="00473E2F">
          <w:rPr>
            <w:noProof/>
            <w:webHidden/>
          </w:rPr>
          <w:fldChar w:fldCharType="begin"/>
        </w:r>
        <w:r w:rsidR="00473E2F">
          <w:rPr>
            <w:noProof/>
            <w:webHidden/>
          </w:rPr>
          <w:instrText xml:space="preserve"> PAGEREF _Toc391203200 \h </w:instrText>
        </w:r>
        <w:r w:rsidR="00473E2F">
          <w:rPr>
            <w:noProof/>
            <w:webHidden/>
          </w:rPr>
        </w:r>
        <w:r w:rsidR="00473E2F">
          <w:rPr>
            <w:noProof/>
            <w:webHidden/>
          </w:rPr>
          <w:fldChar w:fldCharType="separate"/>
        </w:r>
        <w:r w:rsidR="006561A8">
          <w:rPr>
            <w:noProof/>
            <w:webHidden/>
          </w:rPr>
          <w:t>9</w:t>
        </w:r>
        <w:r w:rsidR="00473E2F">
          <w:rPr>
            <w:noProof/>
            <w:webHidden/>
          </w:rPr>
          <w:fldChar w:fldCharType="end"/>
        </w:r>
      </w:hyperlink>
    </w:p>
    <w:p w:rsidR="00473E2F" w:rsidRDefault="00F56817">
      <w:pPr>
        <w:pStyle w:val="TOC1"/>
        <w:rPr>
          <w:rFonts w:asciiTheme="minorHAnsi" w:eastAsiaTheme="minorEastAsia" w:hAnsiTheme="minorHAnsi" w:cstheme="minorBidi"/>
          <w:noProof/>
          <w:color w:val="auto"/>
          <w:sz w:val="22"/>
          <w:szCs w:val="22"/>
          <w:lang w:eastAsia="en-NZ"/>
        </w:rPr>
      </w:pPr>
      <w:hyperlink w:anchor="_Toc391203201" w:history="1">
        <w:r w:rsidR="00473E2F" w:rsidRPr="00DB4536">
          <w:rPr>
            <w:rStyle w:val="Hyperlink"/>
            <w:noProof/>
          </w:rPr>
          <w:t>Consultation</w:t>
        </w:r>
        <w:r w:rsidR="00473E2F">
          <w:rPr>
            <w:noProof/>
            <w:webHidden/>
          </w:rPr>
          <w:tab/>
        </w:r>
        <w:r w:rsidR="00473E2F">
          <w:rPr>
            <w:noProof/>
            <w:webHidden/>
          </w:rPr>
          <w:fldChar w:fldCharType="begin"/>
        </w:r>
        <w:r w:rsidR="00473E2F">
          <w:rPr>
            <w:noProof/>
            <w:webHidden/>
          </w:rPr>
          <w:instrText xml:space="preserve"> PAGEREF _Toc391203201 \h </w:instrText>
        </w:r>
        <w:r w:rsidR="00473E2F">
          <w:rPr>
            <w:noProof/>
            <w:webHidden/>
          </w:rPr>
        </w:r>
        <w:r w:rsidR="00473E2F">
          <w:rPr>
            <w:noProof/>
            <w:webHidden/>
          </w:rPr>
          <w:fldChar w:fldCharType="separate"/>
        </w:r>
        <w:r w:rsidR="006561A8">
          <w:rPr>
            <w:noProof/>
            <w:webHidden/>
          </w:rPr>
          <w:t>12</w:t>
        </w:r>
        <w:r w:rsidR="00473E2F">
          <w:rPr>
            <w:noProof/>
            <w:webHidden/>
          </w:rPr>
          <w:fldChar w:fldCharType="end"/>
        </w:r>
      </w:hyperlink>
    </w:p>
    <w:p w:rsidR="00473E2F" w:rsidRDefault="00F56817">
      <w:pPr>
        <w:pStyle w:val="TOC1"/>
        <w:rPr>
          <w:rFonts w:asciiTheme="minorHAnsi" w:eastAsiaTheme="minorEastAsia" w:hAnsiTheme="minorHAnsi" w:cstheme="minorBidi"/>
          <w:noProof/>
          <w:color w:val="auto"/>
          <w:sz w:val="22"/>
          <w:szCs w:val="22"/>
          <w:lang w:eastAsia="en-NZ"/>
        </w:rPr>
      </w:pPr>
      <w:hyperlink w:anchor="_Toc391203202" w:history="1">
        <w:r w:rsidR="00473E2F" w:rsidRPr="00DB4536">
          <w:rPr>
            <w:rStyle w:val="Hyperlink"/>
            <w:noProof/>
          </w:rPr>
          <w:t>Conclusions and recommendations</w:t>
        </w:r>
        <w:r w:rsidR="00473E2F">
          <w:rPr>
            <w:noProof/>
            <w:webHidden/>
          </w:rPr>
          <w:tab/>
        </w:r>
        <w:r w:rsidR="00473E2F">
          <w:rPr>
            <w:noProof/>
            <w:webHidden/>
          </w:rPr>
          <w:fldChar w:fldCharType="begin"/>
        </w:r>
        <w:r w:rsidR="00473E2F">
          <w:rPr>
            <w:noProof/>
            <w:webHidden/>
          </w:rPr>
          <w:instrText xml:space="preserve"> PAGEREF _Toc391203202 \h </w:instrText>
        </w:r>
        <w:r w:rsidR="00473E2F">
          <w:rPr>
            <w:noProof/>
            <w:webHidden/>
          </w:rPr>
        </w:r>
        <w:r w:rsidR="00473E2F">
          <w:rPr>
            <w:noProof/>
            <w:webHidden/>
          </w:rPr>
          <w:fldChar w:fldCharType="separate"/>
        </w:r>
        <w:r w:rsidR="006561A8">
          <w:rPr>
            <w:noProof/>
            <w:webHidden/>
          </w:rPr>
          <w:t>12</w:t>
        </w:r>
        <w:r w:rsidR="00473E2F">
          <w:rPr>
            <w:noProof/>
            <w:webHidden/>
          </w:rPr>
          <w:fldChar w:fldCharType="end"/>
        </w:r>
      </w:hyperlink>
    </w:p>
    <w:p w:rsidR="00473E2F" w:rsidRDefault="00F56817">
      <w:pPr>
        <w:pStyle w:val="TOC1"/>
        <w:rPr>
          <w:rFonts w:asciiTheme="minorHAnsi" w:eastAsiaTheme="minorEastAsia" w:hAnsiTheme="minorHAnsi" w:cstheme="minorBidi"/>
          <w:noProof/>
          <w:color w:val="auto"/>
          <w:sz w:val="22"/>
          <w:szCs w:val="22"/>
          <w:lang w:eastAsia="en-NZ"/>
        </w:rPr>
      </w:pPr>
      <w:hyperlink w:anchor="_Toc391203203" w:history="1">
        <w:r w:rsidR="00473E2F" w:rsidRPr="00DB4536">
          <w:rPr>
            <w:rStyle w:val="Hyperlink"/>
            <w:noProof/>
          </w:rPr>
          <w:t>Implementation plan</w:t>
        </w:r>
        <w:r w:rsidR="00473E2F">
          <w:rPr>
            <w:noProof/>
            <w:webHidden/>
          </w:rPr>
          <w:tab/>
        </w:r>
        <w:r w:rsidR="00473E2F">
          <w:rPr>
            <w:noProof/>
            <w:webHidden/>
          </w:rPr>
          <w:fldChar w:fldCharType="begin"/>
        </w:r>
        <w:r w:rsidR="00473E2F">
          <w:rPr>
            <w:noProof/>
            <w:webHidden/>
          </w:rPr>
          <w:instrText xml:space="preserve"> PAGEREF _Toc391203203 \h </w:instrText>
        </w:r>
        <w:r w:rsidR="00473E2F">
          <w:rPr>
            <w:noProof/>
            <w:webHidden/>
          </w:rPr>
        </w:r>
        <w:r w:rsidR="00473E2F">
          <w:rPr>
            <w:noProof/>
            <w:webHidden/>
          </w:rPr>
          <w:fldChar w:fldCharType="separate"/>
        </w:r>
        <w:r w:rsidR="006561A8">
          <w:rPr>
            <w:noProof/>
            <w:webHidden/>
          </w:rPr>
          <w:t>13</w:t>
        </w:r>
        <w:r w:rsidR="00473E2F">
          <w:rPr>
            <w:noProof/>
            <w:webHidden/>
          </w:rPr>
          <w:fldChar w:fldCharType="end"/>
        </w:r>
      </w:hyperlink>
    </w:p>
    <w:p w:rsidR="00473E2F" w:rsidRDefault="00F56817">
      <w:pPr>
        <w:pStyle w:val="TOC1"/>
        <w:rPr>
          <w:rFonts w:asciiTheme="minorHAnsi" w:eastAsiaTheme="minorEastAsia" w:hAnsiTheme="minorHAnsi" w:cstheme="minorBidi"/>
          <w:noProof/>
          <w:color w:val="auto"/>
          <w:sz w:val="22"/>
          <w:szCs w:val="22"/>
          <w:lang w:eastAsia="en-NZ"/>
        </w:rPr>
      </w:pPr>
      <w:hyperlink w:anchor="_Toc391203204" w:history="1">
        <w:r w:rsidR="00473E2F" w:rsidRPr="00DB4536">
          <w:rPr>
            <w:rStyle w:val="Hyperlink"/>
            <w:noProof/>
          </w:rPr>
          <w:t>Monitoring, evaluation, and review</w:t>
        </w:r>
        <w:r w:rsidR="00473E2F">
          <w:rPr>
            <w:noProof/>
            <w:webHidden/>
          </w:rPr>
          <w:tab/>
        </w:r>
        <w:r w:rsidR="00473E2F">
          <w:rPr>
            <w:noProof/>
            <w:webHidden/>
          </w:rPr>
          <w:fldChar w:fldCharType="begin"/>
        </w:r>
        <w:r w:rsidR="00473E2F">
          <w:rPr>
            <w:noProof/>
            <w:webHidden/>
          </w:rPr>
          <w:instrText xml:space="preserve"> PAGEREF _Toc391203204 \h </w:instrText>
        </w:r>
        <w:r w:rsidR="00473E2F">
          <w:rPr>
            <w:noProof/>
            <w:webHidden/>
          </w:rPr>
        </w:r>
        <w:r w:rsidR="00473E2F">
          <w:rPr>
            <w:noProof/>
            <w:webHidden/>
          </w:rPr>
          <w:fldChar w:fldCharType="separate"/>
        </w:r>
        <w:r w:rsidR="006561A8">
          <w:rPr>
            <w:noProof/>
            <w:webHidden/>
          </w:rPr>
          <w:t>13</w:t>
        </w:r>
        <w:r w:rsidR="00473E2F">
          <w:rPr>
            <w:noProof/>
            <w:webHidden/>
          </w:rPr>
          <w:fldChar w:fldCharType="end"/>
        </w:r>
      </w:hyperlink>
    </w:p>
    <w:p w:rsidR="00264E9B" w:rsidRDefault="00473E2F" w:rsidP="00BE0F28">
      <w:r>
        <w:rPr>
          <w:noProof/>
          <w:color w:val="000000" w:themeColor="text1"/>
        </w:rPr>
        <w:fldChar w:fldCharType="end"/>
      </w:r>
      <w:r w:rsidR="00264E9B">
        <w:br w:type="page"/>
      </w:r>
    </w:p>
    <w:p w:rsidR="00331196" w:rsidRDefault="00331196" w:rsidP="00331196">
      <w:pPr>
        <w:pStyle w:val="Heading1"/>
      </w:pPr>
      <w:bookmarkStart w:id="1" w:name="_Toc431908610"/>
      <w:bookmarkStart w:id="2" w:name="_Toc391203197"/>
      <w:r>
        <w:lastRenderedPageBreak/>
        <w:t>Glossary of abbreviations and terms</w:t>
      </w:r>
      <w:bookmarkEnd w:id="1"/>
    </w:p>
    <w:p w:rsidR="00B02D7F" w:rsidRDefault="00B02D7F" w:rsidP="00B02D7F">
      <w:pPr>
        <w:pStyle w:val="SingleSpacedParagraph"/>
        <w:spacing w:after="120"/>
      </w:pPr>
      <w:r w:rsidRPr="004E3DCC">
        <w:rPr>
          <w:b/>
        </w:rPr>
        <w:t>Class 4</w:t>
      </w:r>
      <w:r>
        <w:rPr>
          <w:b/>
        </w:rPr>
        <w:t xml:space="preserve"> gambling</w:t>
      </w:r>
      <w:r w:rsidRPr="004E3DCC">
        <w:rPr>
          <w:b/>
        </w:rPr>
        <w:t>:</w:t>
      </w:r>
      <w:r>
        <w:rPr>
          <w:b/>
        </w:rPr>
        <w:t xml:space="preserve"> </w:t>
      </w:r>
      <w:r>
        <w:t>Gambling where the net proceeds are applied to or distributed for authorised purposes; where no commission is paid to, or received by, a person for conducting it; where it satisfies the relevant game rules; and it utilises a gaming machine</w:t>
      </w:r>
    </w:p>
    <w:p w:rsidR="000E094D" w:rsidRPr="00926630" w:rsidRDefault="000E094D" w:rsidP="00384A47">
      <w:pPr>
        <w:pStyle w:val="SingleSpacedParagraph"/>
        <w:spacing w:after="120"/>
      </w:pPr>
      <w:r>
        <w:rPr>
          <w:b/>
        </w:rPr>
        <w:t>Actual, reasonable and necessary costs</w:t>
      </w:r>
      <w:r w:rsidRPr="004E3DCC">
        <w:rPr>
          <w:b/>
        </w:rPr>
        <w:t>:</w:t>
      </w:r>
      <w:r>
        <w:rPr>
          <w:b/>
        </w:rPr>
        <w:t xml:space="preserve"> </w:t>
      </w:r>
      <w:r w:rsidRPr="000D7C10">
        <w:rPr>
          <w:i/>
        </w:rPr>
        <w:t>Actual</w:t>
      </w:r>
      <w:r>
        <w:t xml:space="preserve"> – </w:t>
      </w:r>
      <w:r w:rsidRPr="000D7C10">
        <w:t>the society and venue operator must be able to show that the costs were actually incurred</w:t>
      </w:r>
      <w:r>
        <w:t xml:space="preserve">; </w:t>
      </w:r>
      <w:r w:rsidRPr="000D7C10">
        <w:rPr>
          <w:i/>
        </w:rPr>
        <w:t>Reasonable</w:t>
      </w:r>
      <w:r>
        <w:t xml:space="preserve"> - </w:t>
      </w:r>
      <w:r w:rsidRPr="000D7C10">
        <w:t>the costs must be in proportion to the size of the operation, and should take into</w:t>
      </w:r>
      <w:r>
        <w:t xml:space="preserve"> </w:t>
      </w:r>
      <w:r w:rsidRPr="000D7C10">
        <w:t>account normal market values or prices for the goods and services provided</w:t>
      </w:r>
      <w:r>
        <w:t xml:space="preserve">; </w:t>
      </w:r>
      <w:r w:rsidRPr="000D7C10">
        <w:rPr>
          <w:i/>
        </w:rPr>
        <w:t>Necessary</w:t>
      </w:r>
      <w:r>
        <w:t xml:space="preserve"> – t</w:t>
      </w:r>
      <w:r w:rsidRPr="000D7C10">
        <w:t>he costs must</w:t>
      </w:r>
      <w:r>
        <w:t xml:space="preserve"> be necessary to the conduct of g</w:t>
      </w:r>
      <w:r w:rsidRPr="000D7C10">
        <w:t>ambling and legal compliance</w:t>
      </w:r>
    </w:p>
    <w:p w:rsidR="000E094D" w:rsidRDefault="000E094D" w:rsidP="00384A47">
      <w:pPr>
        <w:spacing w:after="120"/>
      </w:pPr>
      <w:r>
        <w:rPr>
          <w:b/>
        </w:rPr>
        <w:t xml:space="preserve">Apply: </w:t>
      </w:r>
      <w:r>
        <w:t xml:space="preserve">Where a society </w:t>
      </w:r>
      <w:r w:rsidRPr="00F066F0">
        <w:t>spend</w:t>
      </w:r>
      <w:r>
        <w:t>s</w:t>
      </w:r>
      <w:r w:rsidRPr="00F066F0">
        <w:t xml:space="preserve"> </w:t>
      </w:r>
      <w:r>
        <w:t xml:space="preserve">its </w:t>
      </w:r>
      <w:r w:rsidRPr="00F066F0">
        <w:t>net proceeds directly on the society’s own authorised purpose</w:t>
      </w:r>
    </w:p>
    <w:p w:rsidR="00B17023" w:rsidRDefault="00B17023" w:rsidP="00384A47">
      <w:pPr>
        <w:pStyle w:val="SingleSpacedParagraph"/>
        <w:spacing w:after="120"/>
      </w:pPr>
      <w:r>
        <w:rPr>
          <w:b/>
        </w:rPr>
        <w:t>Distribute</w:t>
      </w:r>
      <w:r w:rsidRPr="004E3DCC">
        <w:rPr>
          <w:b/>
        </w:rPr>
        <w:t>:</w:t>
      </w:r>
      <w:r>
        <w:rPr>
          <w:b/>
        </w:rPr>
        <w:t xml:space="preserve"> </w:t>
      </w:r>
      <w:r>
        <w:t>Where a society makes</w:t>
      </w:r>
      <w:r w:rsidRPr="00F066F0">
        <w:t xml:space="preserve"> a grant to another person for that person to spend on an authorised purpose</w:t>
      </w:r>
    </w:p>
    <w:p w:rsidR="000E094D" w:rsidRPr="000D7C10" w:rsidRDefault="001B1525" w:rsidP="00384A47">
      <w:pPr>
        <w:pStyle w:val="SingleSpacedParagraph"/>
        <w:spacing w:after="120"/>
        <w:rPr>
          <w:i/>
        </w:rPr>
      </w:pPr>
      <w:r>
        <w:rPr>
          <w:b/>
        </w:rPr>
        <w:t>Authorised purpose</w:t>
      </w:r>
      <w:r w:rsidR="000E094D">
        <w:rPr>
          <w:b/>
        </w:rPr>
        <w:t>:</w:t>
      </w:r>
      <w:r>
        <w:rPr>
          <w:b/>
        </w:rPr>
        <w:t xml:space="preserve"> </w:t>
      </w:r>
      <w:r w:rsidR="000E094D">
        <w:t>Means a charitable purpose, or a non-commercial purpose that is beneficial to the whole or a section of the community, or promoting, controlling and conducting race meetings under the Racing Act 2003, including the payment of stakes</w:t>
      </w:r>
    </w:p>
    <w:p w:rsidR="000E094D" w:rsidRDefault="000E094D" w:rsidP="00384A47">
      <w:pPr>
        <w:pStyle w:val="SingleSpacedParagraph"/>
        <w:spacing w:after="120"/>
      </w:pPr>
      <w:r w:rsidRPr="004E3DCC">
        <w:rPr>
          <w:b/>
        </w:rPr>
        <w:t>Club</w:t>
      </w:r>
      <w:r w:rsidR="00B6310E">
        <w:rPr>
          <w:b/>
        </w:rPr>
        <w:t xml:space="preserve"> societies</w:t>
      </w:r>
      <w:r w:rsidR="00CA1A5C">
        <w:rPr>
          <w:b/>
        </w:rPr>
        <w:t xml:space="preserve">: </w:t>
      </w:r>
      <w:r w:rsidR="00B6310E">
        <w:t xml:space="preserve">Operate gaming machines at their own premises, and apply the proceeds to their own purposes, and are not subjected to the Gambling (Class 4 Net Proceeds) Regulations. </w:t>
      </w:r>
    </w:p>
    <w:p w:rsidR="00410A44" w:rsidRPr="00B46770" w:rsidRDefault="00B6310E" w:rsidP="00384A47">
      <w:pPr>
        <w:pStyle w:val="SingleSpacedParagraph"/>
        <w:spacing w:after="120"/>
      </w:pPr>
      <w:r>
        <w:rPr>
          <w:b/>
        </w:rPr>
        <w:t>Non-club societies</w:t>
      </w:r>
      <w:r w:rsidR="00410A44">
        <w:rPr>
          <w:b/>
        </w:rPr>
        <w:t xml:space="preserve">: </w:t>
      </w:r>
      <w:r>
        <w:t xml:space="preserve"> Operate gaming machines in commercial venues (pubs and clubs) and must distribute their net proceeds to authorised purposes. </w:t>
      </w:r>
      <w:r w:rsidR="00410A44">
        <w:t xml:space="preserve">The proposals in this RIS only relate to </w:t>
      </w:r>
      <w:r w:rsidR="008326DB">
        <w:t xml:space="preserve">non-club </w:t>
      </w:r>
      <w:r>
        <w:t>societies.</w:t>
      </w:r>
    </w:p>
    <w:p w:rsidR="000E094D" w:rsidRDefault="000E094D" w:rsidP="00384A47">
      <w:pPr>
        <w:pStyle w:val="SingleSpacedParagraph"/>
        <w:spacing w:after="120"/>
      </w:pPr>
      <w:r w:rsidRPr="004E3DCC">
        <w:rPr>
          <w:b/>
        </w:rPr>
        <w:t>Dut</w:t>
      </w:r>
      <w:r>
        <w:rPr>
          <w:b/>
        </w:rPr>
        <w:t>y</w:t>
      </w:r>
      <w:r w:rsidRPr="004E3DCC">
        <w:rPr>
          <w:b/>
        </w:rPr>
        <w:t>:</w:t>
      </w:r>
      <w:r>
        <w:rPr>
          <w:b/>
        </w:rPr>
        <w:t xml:space="preserve"> </w:t>
      </w:r>
      <w:r>
        <w:t xml:space="preserve">Tax paid to the Crown on gaming machine proceeds </w:t>
      </w:r>
    </w:p>
    <w:p w:rsidR="000E094D" w:rsidRDefault="000E094D" w:rsidP="00384A47">
      <w:pPr>
        <w:pStyle w:val="SingleSpacedParagraph"/>
        <w:spacing w:after="120"/>
      </w:pPr>
      <w:r w:rsidRPr="004E3DCC">
        <w:rPr>
          <w:b/>
        </w:rPr>
        <w:t>Fees:</w:t>
      </w:r>
      <w:r>
        <w:rPr>
          <w:b/>
        </w:rPr>
        <w:t xml:space="preserve"> </w:t>
      </w:r>
      <w:r>
        <w:t>Fees paid by gambling operators to the Department of Internal Affairs</w:t>
      </w:r>
    </w:p>
    <w:p w:rsidR="000E094D" w:rsidRDefault="000E094D" w:rsidP="00384A47">
      <w:pPr>
        <w:pStyle w:val="SingleSpacedParagraph"/>
        <w:spacing w:after="120"/>
        <w:rPr>
          <w:b/>
        </w:rPr>
      </w:pPr>
      <w:r w:rsidRPr="004E3DCC">
        <w:rPr>
          <w:b/>
        </w:rPr>
        <w:t>GMP</w:t>
      </w:r>
      <w:r w:rsidR="00B46770">
        <w:rPr>
          <w:b/>
        </w:rPr>
        <w:t>:</w:t>
      </w:r>
      <w:r w:rsidR="00B46770" w:rsidRPr="00B46770">
        <w:t xml:space="preserve"> </w:t>
      </w:r>
      <w:r w:rsidR="00B46770">
        <w:t>Gaming machine proceeds: the aggregate winnings, minus payouts, from class 4 gaming machines</w:t>
      </w:r>
    </w:p>
    <w:p w:rsidR="000E094D" w:rsidRDefault="000E094D" w:rsidP="00384A47">
      <w:pPr>
        <w:pStyle w:val="SingleSpacedParagraph"/>
        <w:spacing w:after="120"/>
      </w:pPr>
      <w:r>
        <w:rPr>
          <w:b/>
        </w:rPr>
        <w:t>Gross proceeds</w:t>
      </w:r>
      <w:r w:rsidRPr="004E3DCC">
        <w:rPr>
          <w:b/>
        </w:rPr>
        <w:t>:</w:t>
      </w:r>
      <w:r w:rsidR="00B46770">
        <w:t xml:space="preserve"> </w:t>
      </w:r>
      <w:r>
        <w:t>The turnover of the gambling plus interest or other investment return on that turnover plus proceeds from the sale of fittings, chattels, and gambling equipment purchased from that turnover or investment return, less prizes</w:t>
      </w:r>
    </w:p>
    <w:p w:rsidR="000E094D" w:rsidRDefault="000E094D" w:rsidP="00384A47">
      <w:pPr>
        <w:pStyle w:val="SingleSpacedParagraph"/>
        <w:spacing w:after="120"/>
      </w:pPr>
      <w:r>
        <w:rPr>
          <w:b/>
        </w:rPr>
        <w:t>Minimum rate of return</w:t>
      </w:r>
      <w:r w:rsidRPr="004E3DCC">
        <w:rPr>
          <w:b/>
        </w:rPr>
        <w:t>:</w:t>
      </w:r>
      <w:r w:rsidR="00B46770">
        <w:rPr>
          <w:b/>
        </w:rPr>
        <w:t xml:space="preserve"> </w:t>
      </w:r>
      <w:r>
        <w:t>This is the minimum amount of proceeds that a licence holder must distribute for authorised purposes an</w:t>
      </w:r>
      <w:r w:rsidR="00E770EA">
        <w:t xml:space="preserve">d is currently equivalent to 40 </w:t>
      </w:r>
      <w:r>
        <w:t>per cent of GST</w:t>
      </w:r>
      <w:r w:rsidR="00E770EA">
        <w:t>-</w:t>
      </w:r>
      <w:r>
        <w:t>exclusive gross proceeds per financial year</w:t>
      </w:r>
    </w:p>
    <w:p w:rsidR="00384A47" w:rsidRDefault="000E094D" w:rsidP="00384A47">
      <w:pPr>
        <w:pStyle w:val="SingleSpacedParagraph"/>
        <w:spacing w:after="120"/>
      </w:pPr>
      <w:r>
        <w:rPr>
          <w:b/>
        </w:rPr>
        <w:t>Net proceeds:</w:t>
      </w:r>
      <w:r w:rsidR="00B46770">
        <w:rPr>
          <w:b/>
        </w:rPr>
        <w:t xml:space="preserve"> </w:t>
      </w:r>
      <w:r w:rsidRPr="00390FA4">
        <w:t xml:space="preserve">The amount remaining to be distributed to authorised purposes, which is calculated by taking a society’s gambling turnover </w:t>
      </w:r>
      <w:r>
        <w:t xml:space="preserve">(less prizes) </w:t>
      </w:r>
      <w:r w:rsidRPr="00390FA4">
        <w:t xml:space="preserve">and </w:t>
      </w:r>
      <w:r w:rsidRPr="00390FA4">
        <w:rPr>
          <w:i/>
        </w:rPr>
        <w:t>adding</w:t>
      </w:r>
      <w:r w:rsidRPr="00390FA4">
        <w:t xml:space="preserve"> interest or other investment return, and any gains from the sale of gambling assets above their book value, then </w:t>
      </w:r>
      <w:r w:rsidRPr="00390FA4">
        <w:rPr>
          <w:i/>
        </w:rPr>
        <w:t>deducting</w:t>
      </w:r>
      <w:r w:rsidRPr="00390FA4">
        <w:t xml:space="preserve"> costs, levies and taxes, asset depreciation and any loss from selling or disposing of gambling assets below their book value </w:t>
      </w:r>
    </w:p>
    <w:p w:rsidR="00384A47" w:rsidRDefault="00384A47">
      <w:pPr>
        <w:keepLines w:val="0"/>
      </w:pPr>
      <w:r>
        <w:br w:type="page"/>
      </w:r>
    </w:p>
    <w:p w:rsidR="007361D6" w:rsidRDefault="00264E9B" w:rsidP="00B302E6">
      <w:pPr>
        <w:pStyle w:val="Heading1"/>
      </w:pPr>
      <w:r w:rsidRPr="00B302E6">
        <w:lastRenderedPageBreak/>
        <w:t>Executive summary</w:t>
      </w:r>
      <w:bookmarkEnd w:id="2"/>
    </w:p>
    <w:p w:rsidR="00525DB4" w:rsidRPr="00511434" w:rsidRDefault="00AE10BE" w:rsidP="00511434">
      <w:pPr>
        <w:pStyle w:val="Numberedpara3level1"/>
      </w:pPr>
      <w:r w:rsidRPr="00511434">
        <w:t>Class 4 gambling is</w:t>
      </w:r>
      <w:r w:rsidR="00DE1E35" w:rsidRPr="00511434">
        <w:t xml:space="preserve"> gambling using non-casino gam</w:t>
      </w:r>
      <w:r w:rsidRPr="00511434">
        <w:t xml:space="preserve">ing machines, also known as </w:t>
      </w:r>
      <w:r w:rsidR="00C673E4" w:rsidRPr="00511434">
        <w:t>“</w:t>
      </w:r>
      <w:r w:rsidRPr="00511434">
        <w:t>pokies</w:t>
      </w:r>
      <w:r w:rsidR="00C673E4" w:rsidRPr="00511434">
        <w:t>”</w:t>
      </w:r>
      <w:r w:rsidRPr="00511434">
        <w:t xml:space="preserve">. This type of gambling is operated by societies that may operate gaming machines in pubs and clubs to raise money for authorised purposes in the community. Class 4 gambling is regulated under the Gambling Act 2003. </w:t>
      </w:r>
      <w:r w:rsidR="00EB5F01" w:rsidRPr="00511434">
        <w:t xml:space="preserve">This includes the Gambling (Class 4 Net Proceeds) Regulations 2004, which governs the minimum rate of return to authorised purposes (rate of return). </w:t>
      </w:r>
    </w:p>
    <w:p w:rsidR="00A01A1A" w:rsidRPr="00511434" w:rsidRDefault="00A01A1A" w:rsidP="00511434">
      <w:pPr>
        <w:pStyle w:val="Numberedpara3level1"/>
      </w:pPr>
      <w:r w:rsidRPr="00511434">
        <w:t>The rate of return is currently 40 per cent of GST-exclusive gross proceeds</w:t>
      </w:r>
      <w:r w:rsidR="00DE55C9" w:rsidRPr="00511434">
        <w:t xml:space="preserve"> and was set in September 2014</w:t>
      </w:r>
      <w:r w:rsidRPr="00511434">
        <w:t xml:space="preserve">. The Regulations </w:t>
      </w:r>
      <w:r w:rsidR="001F1CC8" w:rsidRPr="00511434">
        <w:t xml:space="preserve">currently </w:t>
      </w:r>
      <w:r w:rsidRPr="00511434">
        <w:t>provide for further scheduled increases to 41 per cent in September 2016, and 42 per cent in September 2018.</w:t>
      </w:r>
    </w:p>
    <w:p w:rsidR="00BB1BE0" w:rsidRPr="00511434" w:rsidRDefault="00BB1BE0" w:rsidP="00511434">
      <w:pPr>
        <w:pStyle w:val="Numberedpara3level1"/>
      </w:pPr>
      <w:r w:rsidRPr="00511434">
        <w:t xml:space="preserve">Non-club societies are facing increasing costs, which includes a considerable increase in gambling fees that took effect on 1 February 2016. New measures contained in the Gambling Amendment Act 2015 and Gambling Amendment Act (No 2) 2015 will also </w:t>
      </w:r>
      <w:r w:rsidR="00672B5E" w:rsidRPr="00511434">
        <w:t>be implemented in the near future</w:t>
      </w:r>
      <w:r w:rsidRPr="00511434">
        <w:t>. These include: the introduction of a simpler venue payment regime for societies paying venues; and standardisation of financial reporting and improvements in the publication of grant information</w:t>
      </w:r>
      <w:r w:rsidR="00A01A1A" w:rsidRPr="00511434">
        <w:t>.</w:t>
      </w:r>
      <w:r w:rsidRPr="00511434">
        <w:t xml:space="preserve"> The Department </w:t>
      </w:r>
      <w:r w:rsidR="00A01A1A" w:rsidRPr="00511434">
        <w:t xml:space="preserve">of Internal Affairs </w:t>
      </w:r>
      <w:r w:rsidR="001B65BD" w:rsidRPr="00511434">
        <w:t xml:space="preserve">(the Department) </w:t>
      </w:r>
      <w:r w:rsidRPr="00511434">
        <w:t xml:space="preserve">is uncertain how these changes will interact with an increased rate of return. </w:t>
      </w:r>
    </w:p>
    <w:p w:rsidR="00BB1BE0" w:rsidRPr="00511434" w:rsidRDefault="00A01A1A" w:rsidP="00511434">
      <w:pPr>
        <w:pStyle w:val="Numberedpara3level1"/>
      </w:pPr>
      <w:r w:rsidRPr="00511434">
        <w:t>There is</w:t>
      </w:r>
      <w:r w:rsidR="00BB1BE0" w:rsidRPr="00511434">
        <w:t xml:space="preserve"> a risk that increasing the rate of return above 40 per cent</w:t>
      </w:r>
      <w:r w:rsidR="009565A2" w:rsidRPr="00511434">
        <w:t>, combined with the increased costs faced by the sector,</w:t>
      </w:r>
      <w:r w:rsidR="00CF57BC" w:rsidRPr="00511434">
        <w:t xml:space="preserve"> could lead to societies to shed</w:t>
      </w:r>
      <w:r w:rsidR="00BB1BE0" w:rsidRPr="00511434">
        <w:t xml:space="preserve"> venues or exiting the sector all together. This could lead to </w:t>
      </w:r>
      <w:r w:rsidR="000305E1" w:rsidRPr="00511434">
        <w:t xml:space="preserve">a reduction in </w:t>
      </w:r>
      <w:r w:rsidR="00BB1BE0" w:rsidRPr="00511434">
        <w:t>the overall pool of funding</w:t>
      </w:r>
      <w:r w:rsidR="000305E1" w:rsidRPr="00511434">
        <w:t xml:space="preserve"> to communities</w:t>
      </w:r>
      <w:r w:rsidR="00BB1BE0" w:rsidRPr="00511434">
        <w:t xml:space="preserve">. </w:t>
      </w:r>
    </w:p>
    <w:p w:rsidR="00BB1BE0" w:rsidRPr="00511434" w:rsidRDefault="00BB1BE0" w:rsidP="00511434">
      <w:pPr>
        <w:pStyle w:val="Numberedpara3level1"/>
      </w:pPr>
      <w:r w:rsidRPr="00511434">
        <w:t xml:space="preserve">On 9 September 2015, as part of the decisions to increase fees, Cabinet agreed to release a </w:t>
      </w:r>
      <w:r w:rsidR="00211E76" w:rsidRPr="00511434">
        <w:t xml:space="preserve">consultation document with </w:t>
      </w:r>
      <w:r w:rsidRPr="00511434">
        <w:t xml:space="preserve">options to amend the rate of return </w:t>
      </w:r>
      <w:r w:rsidR="00211E76" w:rsidRPr="00511434">
        <w:t xml:space="preserve">to take into account the increased costs faced by the sector </w:t>
      </w:r>
      <w:r w:rsidRPr="00511434">
        <w:t xml:space="preserve">(EGI-15-MIN-0057). </w:t>
      </w:r>
      <w:r w:rsidR="00211E76" w:rsidRPr="00511434">
        <w:t>The options included</w:t>
      </w:r>
      <w:r w:rsidRPr="00511434">
        <w:t>:</w:t>
      </w:r>
    </w:p>
    <w:p w:rsidR="00BB1BE0" w:rsidRDefault="00BB1BE0" w:rsidP="00BB1BE0">
      <w:pPr>
        <w:pStyle w:val="Numberedpara3level211"/>
      </w:pPr>
      <w:r>
        <w:t>option one: status quo, retain the scheduled increases to the rate of return;</w:t>
      </w:r>
    </w:p>
    <w:p w:rsidR="00BB1BE0" w:rsidRDefault="00BB1BE0" w:rsidP="00BB1BE0">
      <w:pPr>
        <w:pStyle w:val="Numberedpara3level211"/>
      </w:pPr>
      <w:r>
        <w:t>option two: delay further increases in the rate of return to 2020 and 2022 respectively;</w:t>
      </w:r>
    </w:p>
    <w:p w:rsidR="00BB1BE0" w:rsidRDefault="00BB1BE0" w:rsidP="00BB1BE0">
      <w:pPr>
        <w:pStyle w:val="Numberedpara3level211"/>
      </w:pPr>
      <w:r>
        <w:t>option three: cancel further increases to the rate of return; and</w:t>
      </w:r>
    </w:p>
    <w:p w:rsidR="00BB1BE0" w:rsidRDefault="00BB1BE0" w:rsidP="00BB1BE0">
      <w:pPr>
        <w:pStyle w:val="Numberedpara3level211"/>
      </w:pPr>
      <w:r>
        <w:t xml:space="preserve">option four: reduce the rate of return below 40 per cent of GST-exclusive gross proceeds. </w:t>
      </w:r>
    </w:p>
    <w:p w:rsidR="00F557B7" w:rsidRPr="00AB033C" w:rsidRDefault="001B65BD" w:rsidP="00AB033C">
      <w:pPr>
        <w:pStyle w:val="Numberedpara3level1"/>
      </w:pPr>
      <w:r w:rsidRPr="00AB033C">
        <w:t xml:space="preserve">The Department received 30 submissions. </w:t>
      </w:r>
      <w:r w:rsidR="00F557B7" w:rsidRPr="00AB033C">
        <w:t>The majority of submitters</w:t>
      </w:r>
      <w:r w:rsidRPr="00AB033C">
        <w:t>, 18</w:t>
      </w:r>
      <w:r w:rsidR="00C42D67" w:rsidRPr="00AB033C">
        <w:t>,</w:t>
      </w:r>
      <w:r w:rsidRPr="00AB033C">
        <w:t xml:space="preserve"> supported</w:t>
      </w:r>
      <w:r w:rsidR="00F557B7" w:rsidRPr="00AB033C">
        <w:t xml:space="preserve"> cancelling further increases to the rate of return.</w:t>
      </w:r>
    </w:p>
    <w:p w:rsidR="000B65DA" w:rsidRPr="00AB033C" w:rsidRDefault="00B23180" w:rsidP="00AB033C">
      <w:pPr>
        <w:pStyle w:val="Numberedpara3level1"/>
      </w:pPr>
      <w:r w:rsidRPr="00AB033C">
        <w:t xml:space="preserve">As highlighted </w:t>
      </w:r>
      <w:r w:rsidR="003A2E78" w:rsidRPr="00AB033C">
        <w:t xml:space="preserve">in paragraph 4, </w:t>
      </w:r>
      <w:r w:rsidR="00CB4F99" w:rsidRPr="00AB033C">
        <w:t>the Department is concerned that an increase in the rate of return at this time will lead to a reduction in the overall pool of funding for communities</w:t>
      </w:r>
      <w:r w:rsidR="00DA2E80" w:rsidRPr="00AB033C">
        <w:t xml:space="preserve">. Therefore it considers it prudent to cancel further increases to the rate of return (option three). </w:t>
      </w:r>
      <w:r w:rsidR="00455909" w:rsidRPr="00AB033C">
        <w:t>This option takes into account soci</w:t>
      </w:r>
      <w:r w:rsidR="00FA12BE" w:rsidRPr="00AB033C">
        <w:t>eties’ increasing costs, and other changes that will impact on societies’ ability to meet the rate of return. This will in turn minimise the risk of societies closing venues, or</w:t>
      </w:r>
      <w:r w:rsidR="005F62DD" w:rsidRPr="00AB033C">
        <w:t xml:space="preserve"> exiting the sector altogether, and therefore </w:t>
      </w:r>
      <w:r w:rsidR="00431D04" w:rsidRPr="00AB033C">
        <w:t xml:space="preserve">minimise the risk of </w:t>
      </w:r>
      <w:r w:rsidR="005F62DD" w:rsidRPr="00AB033C">
        <w:t xml:space="preserve">reducing the overall pool of funding available for communities. </w:t>
      </w:r>
      <w:r w:rsidR="001155E2" w:rsidRPr="00AB033C">
        <w:t xml:space="preserve">It also takes into account </w:t>
      </w:r>
      <w:r w:rsidR="00A21830" w:rsidRPr="00AB033C">
        <w:t>the fact that the</w:t>
      </w:r>
      <w:r w:rsidR="001155E2" w:rsidRPr="00AB033C">
        <w:t xml:space="preserve"> future f</w:t>
      </w:r>
      <w:r w:rsidR="00A21830" w:rsidRPr="00AB033C">
        <w:t xml:space="preserve">inancial position of societies and their ability to meet higher rates of return is unknown. </w:t>
      </w:r>
    </w:p>
    <w:p w:rsidR="003F200F" w:rsidRPr="005F22E1" w:rsidRDefault="003F200F" w:rsidP="00555B8C">
      <w:pPr>
        <w:pStyle w:val="Numberedpara3level1"/>
      </w:pPr>
      <w:r w:rsidRPr="00A15D9C">
        <w:lastRenderedPageBreak/>
        <w:t xml:space="preserve">The rate </w:t>
      </w:r>
      <w:r w:rsidR="00387863">
        <w:t xml:space="preserve">of return </w:t>
      </w:r>
      <w:r w:rsidRPr="00A15D9C">
        <w:t>can be reviewed again in future</w:t>
      </w:r>
      <w:r w:rsidR="00DA2E80">
        <w:t xml:space="preserve"> if need be</w:t>
      </w:r>
      <w:r w:rsidRPr="00A15D9C">
        <w:t xml:space="preserve">, when we have more data on how the class 4 sector is coping with increased costs, and the changes occurring in the sector </w:t>
      </w:r>
      <w:r>
        <w:t>have bedded-in</w:t>
      </w:r>
      <w:r w:rsidRPr="00A15D9C">
        <w:t>.</w:t>
      </w:r>
    </w:p>
    <w:p w:rsidR="0035789E" w:rsidRDefault="0035789E" w:rsidP="0088686D">
      <w:pPr>
        <w:pStyle w:val="Heading1"/>
      </w:pPr>
      <w:bookmarkStart w:id="3" w:name="_Toc391203198"/>
      <w:r>
        <w:t xml:space="preserve">Background </w:t>
      </w:r>
    </w:p>
    <w:p w:rsidR="00395687" w:rsidRDefault="00395687" w:rsidP="0035789E">
      <w:pPr>
        <w:pStyle w:val="Heading2"/>
      </w:pPr>
      <w:r>
        <w:t>The class 4 gambling sector in New Zealand</w:t>
      </w:r>
    </w:p>
    <w:p w:rsidR="0079405C" w:rsidRPr="00F50B4E" w:rsidRDefault="006A02CB" w:rsidP="00F50B4E">
      <w:pPr>
        <w:pStyle w:val="Numberedpara3level1"/>
      </w:pPr>
      <w:r w:rsidRPr="00F50B4E">
        <w:t>All g</w:t>
      </w:r>
      <w:r w:rsidR="0079405C" w:rsidRPr="00F50B4E">
        <w:t>ambling in New Zealand is regulated by the Gambling Act 2003</w:t>
      </w:r>
      <w:r w:rsidRPr="00F50B4E">
        <w:t xml:space="preserve"> (the Act). The Act established a regulatory framework across a range of gambling activities, including charity raffles, Lotto, and casino gambling. </w:t>
      </w:r>
    </w:p>
    <w:p w:rsidR="0011012F" w:rsidRPr="00F50B4E" w:rsidRDefault="00395687" w:rsidP="00F50B4E">
      <w:pPr>
        <w:pStyle w:val="Numberedpara3level1"/>
      </w:pPr>
      <w:r w:rsidRPr="00F50B4E">
        <w:t xml:space="preserve">Class 4 gambling </w:t>
      </w:r>
      <w:r w:rsidR="008E582C" w:rsidRPr="00F50B4E">
        <w:t>uses</w:t>
      </w:r>
      <w:r w:rsidRPr="00F50B4E">
        <w:t xml:space="preserve"> non-casino gaming m</w:t>
      </w:r>
      <w:r w:rsidR="002C3071" w:rsidRPr="00F50B4E">
        <w:t xml:space="preserve">achines, also known as </w:t>
      </w:r>
      <w:r w:rsidR="0084439D" w:rsidRPr="00F50B4E">
        <w:t>“</w:t>
      </w:r>
      <w:r w:rsidR="002C3071" w:rsidRPr="00F50B4E">
        <w:t>pokies</w:t>
      </w:r>
      <w:r w:rsidR="0084439D" w:rsidRPr="00F50B4E">
        <w:t>”</w:t>
      </w:r>
      <w:r w:rsidR="002C3071" w:rsidRPr="00F50B4E">
        <w:t xml:space="preserve">. </w:t>
      </w:r>
      <w:r w:rsidRPr="00F50B4E">
        <w:t>T</w:t>
      </w:r>
      <w:r w:rsidR="00740C5C" w:rsidRPr="00F50B4E">
        <w:t>his type of gambling is carried out</w:t>
      </w:r>
      <w:r w:rsidRPr="00F50B4E">
        <w:t xml:space="preserve"> by non-</w:t>
      </w:r>
      <w:r w:rsidR="00740C5C" w:rsidRPr="00F50B4E">
        <w:t>club</w:t>
      </w:r>
      <w:r w:rsidR="00FA2580" w:rsidRPr="00F50B4E">
        <w:t xml:space="preserve"> societies</w:t>
      </w:r>
      <w:r w:rsidRPr="00F50B4E">
        <w:t xml:space="preserve"> that operate machines in </w:t>
      </w:r>
      <w:r w:rsidR="00740C5C" w:rsidRPr="00F50B4E">
        <w:t>commercial premises</w:t>
      </w:r>
      <w:r w:rsidR="0079405C" w:rsidRPr="00F50B4E">
        <w:t xml:space="preserve"> (mostly </w:t>
      </w:r>
      <w:r w:rsidR="00EB496D" w:rsidRPr="00F50B4E">
        <w:t xml:space="preserve">bars and </w:t>
      </w:r>
      <w:r w:rsidR="0079405C" w:rsidRPr="00F50B4E">
        <w:t>pubs)</w:t>
      </w:r>
      <w:r w:rsidR="00740C5C" w:rsidRPr="00F50B4E">
        <w:t>,</w:t>
      </w:r>
      <w:r w:rsidR="0079405C" w:rsidRPr="00F50B4E">
        <w:t xml:space="preserve"> </w:t>
      </w:r>
      <w:r w:rsidR="00740C5C" w:rsidRPr="00F50B4E">
        <w:t>which</w:t>
      </w:r>
      <w:r w:rsidRPr="00F50B4E">
        <w:t xml:space="preserve"> are licensed by the Department.</w:t>
      </w:r>
      <w:r w:rsidR="00FB6A97" w:rsidRPr="00F50B4E">
        <w:t xml:space="preserve"> At 30 December 2015, there were</w:t>
      </w:r>
      <w:r w:rsidR="0011012F" w:rsidRPr="00F50B4E">
        <w:t xml:space="preserve"> 38 </w:t>
      </w:r>
      <w:r w:rsidR="00740C5C" w:rsidRPr="00F50B4E">
        <w:t xml:space="preserve">non-club </w:t>
      </w:r>
      <w:r w:rsidR="0011012F" w:rsidRPr="00F50B4E">
        <w:t xml:space="preserve">societies, </w:t>
      </w:r>
      <w:r w:rsidR="00740C5C" w:rsidRPr="00F50B4E">
        <w:t xml:space="preserve">with 966 licensed venues and </w:t>
      </w:r>
      <w:r w:rsidR="0011012F" w:rsidRPr="00F50B4E">
        <w:t xml:space="preserve">13,016 </w:t>
      </w:r>
      <w:r w:rsidR="00740C5C" w:rsidRPr="00F50B4E">
        <w:t xml:space="preserve">gaming </w:t>
      </w:r>
      <w:r w:rsidR="00F835C2" w:rsidRPr="00F50B4E">
        <w:t xml:space="preserve">machines. In </w:t>
      </w:r>
      <w:r w:rsidR="0011012F" w:rsidRPr="00F50B4E">
        <w:t xml:space="preserve">2014 (most recent data) </w:t>
      </w:r>
      <w:r w:rsidR="006E0FAA" w:rsidRPr="00F50B4E">
        <w:t xml:space="preserve">approximately </w:t>
      </w:r>
      <w:r w:rsidR="0011012F" w:rsidRPr="00F50B4E">
        <w:t>$261</w:t>
      </w:r>
      <w:r w:rsidR="006E0FAA" w:rsidRPr="00F50B4E">
        <w:t xml:space="preserve"> million</w:t>
      </w:r>
      <w:r w:rsidR="00F835C2" w:rsidRPr="00F50B4E">
        <w:t xml:space="preserve"> was returned to communities</w:t>
      </w:r>
      <w:r w:rsidR="0011012F" w:rsidRPr="00F50B4E">
        <w:t xml:space="preserve">. </w:t>
      </w:r>
    </w:p>
    <w:p w:rsidR="0011012F" w:rsidRPr="00F50B4E" w:rsidRDefault="00FB6A97" w:rsidP="00F50B4E">
      <w:pPr>
        <w:pStyle w:val="Numberedpara3level1"/>
      </w:pPr>
      <w:r w:rsidRPr="00F50B4E">
        <w:t xml:space="preserve">A Cabinet decision in 2014 (EGI Min (14)7/6) amended the </w:t>
      </w:r>
      <w:r w:rsidR="00632786" w:rsidRPr="00F50B4E">
        <w:t xml:space="preserve">Gambling (Class 4 Net Proceeds) </w:t>
      </w:r>
      <w:r w:rsidRPr="00F50B4E">
        <w:t>Regulations</w:t>
      </w:r>
      <w:r w:rsidR="00632786" w:rsidRPr="00F50B4E">
        <w:t xml:space="preserve"> (the Regulations)</w:t>
      </w:r>
      <w:r w:rsidRPr="00F50B4E">
        <w:t xml:space="preserve"> to increase the rate of return in stages. The rate of return was increased to</w:t>
      </w:r>
      <w:r w:rsidR="00632786" w:rsidRPr="00F50B4E">
        <w:t xml:space="preserve"> 40 per cent in September 2014, with scheduled increases to 41 per cent in September 2016, and 42 per cent in 2018. </w:t>
      </w:r>
      <w:r w:rsidR="0047418A" w:rsidRPr="00F50B4E">
        <w:t xml:space="preserve">If societies are unable to meet the rate of return, the Department </w:t>
      </w:r>
      <w:r w:rsidR="00FB4896" w:rsidRPr="00F50B4E">
        <w:t>can</w:t>
      </w:r>
      <w:r w:rsidR="0047418A" w:rsidRPr="00F50B4E">
        <w:t xml:space="preserve"> suspend, cancel or refuse to renew their operating licence. </w:t>
      </w:r>
    </w:p>
    <w:p w:rsidR="001D7F2C" w:rsidRPr="00F50B4E" w:rsidRDefault="006F7417" w:rsidP="00F50B4E">
      <w:pPr>
        <w:pStyle w:val="Numberedpara3level1"/>
      </w:pPr>
      <w:r w:rsidRPr="00F50B4E">
        <w:t xml:space="preserve">The </w:t>
      </w:r>
      <w:r w:rsidR="001B751B" w:rsidRPr="00F50B4E">
        <w:t xml:space="preserve">rate </w:t>
      </w:r>
      <w:r w:rsidRPr="00F50B4E">
        <w:t xml:space="preserve">of return </w:t>
      </w:r>
      <w:r w:rsidR="001B751B" w:rsidRPr="00F50B4E">
        <w:t xml:space="preserve">takes into account </w:t>
      </w:r>
      <w:r w:rsidR="00DC6021" w:rsidRPr="00F50B4E">
        <w:t>societies’ operating costs, which includes</w:t>
      </w:r>
      <w:r w:rsidR="001B751B" w:rsidRPr="00F50B4E">
        <w:t xml:space="preserve"> taxes, gaming duty, and levies. Societies are also permitted to deduct the actual, reasonable, and necessary costs incurred in conducting the gambling, which includes payments to venues </w:t>
      </w:r>
      <w:r w:rsidR="00EB496D" w:rsidRPr="00F50B4E">
        <w:t>that host their machines</w:t>
      </w:r>
      <w:r w:rsidR="001B751B" w:rsidRPr="00F50B4E">
        <w:t>.</w:t>
      </w:r>
      <w:r w:rsidR="001D7F2C" w:rsidRPr="00F50B4E">
        <w:t xml:space="preserve"> </w:t>
      </w:r>
    </w:p>
    <w:p w:rsidR="00264E9B" w:rsidRDefault="00264E9B" w:rsidP="0088686D">
      <w:pPr>
        <w:pStyle w:val="Heading1"/>
      </w:pPr>
      <w:r>
        <w:t>Status quo and problem definition</w:t>
      </w:r>
      <w:bookmarkEnd w:id="3"/>
    </w:p>
    <w:p w:rsidR="00C02B15" w:rsidRPr="008A12F4" w:rsidRDefault="007936FD" w:rsidP="008A12F4">
      <w:pPr>
        <w:pStyle w:val="Numberedpara3level1"/>
      </w:pPr>
      <w:r w:rsidRPr="008A12F4">
        <w:t>The rate of return of 37.12 per cent of GST-exclusive gross proceeds established by the Gambling Act 2003 remained unchanged until 2014</w:t>
      </w:r>
      <w:r w:rsidR="00A8774B" w:rsidRPr="008A12F4">
        <w:t xml:space="preserve">. </w:t>
      </w:r>
      <w:r w:rsidR="00F5550F" w:rsidRPr="008A12F4">
        <w:t xml:space="preserve">A review </w:t>
      </w:r>
      <w:r w:rsidR="00C02B15" w:rsidRPr="008A12F4">
        <w:t>of</w:t>
      </w:r>
      <w:r w:rsidR="00F5550F" w:rsidRPr="008A12F4">
        <w:t xml:space="preserve"> the</w:t>
      </w:r>
      <w:r w:rsidR="00C02B15" w:rsidRPr="008A12F4">
        <w:t xml:space="preserve"> class 4 sector initiated in 2012</w:t>
      </w:r>
      <w:r w:rsidR="00F5550F" w:rsidRPr="008A12F4">
        <w:t xml:space="preserve"> saw the Regulations amended to increase the rate of return to 40 per cent in September 2014, with further increases scheduled </w:t>
      </w:r>
      <w:r w:rsidR="000129EE" w:rsidRPr="008A12F4">
        <w:t xml:space="preserve">to take effect </w:t>
      </w:r>
      <w:r w:rsidR="00F5550F" w:rsidRPr="008A12F4">
        <w:t>in September 2016 and September 2018</w:t>
      </w:r>
      <w:r w:rsidR="00C02B15" w:rsidRPr="008A12F4">
        <w:t xml:space="preserve">. The aim of this change was to increase the proportion of proceeds that the community receives from class 4 gambling. </w:t>
      </w:r>
    </w:p>
    <w:p w:rsidR="00EE52AF" w:rsidRPr="008A12F4" w:rsidRDefault="00DF165E" w:rsidP="008A12F4">
      <w:pPr>
        <w:pStyle w:val="Numberedpara3level1"/>
      </w:pPr>
      <w:r w:rsidRPr="008A12F4">
        <w:t>We are revising the rate of return</w:t>
      </w:r>
      <w:r w:rsidR="0001518D" w:rsidRPr="008A12F4">
        <w:t>, because</w:t>
      </w:r>
      <w:r w:rsidR="00E718B8" w:rsidRPr="008A12F4">
        <w:t xml:space="preserve"> when </w:t>
      </w:r>
      <w:r w:rsidRPr="008A12F4">
        <w:t xml:space="preserve">the changes in 2014 were made, </w:t>
      </w:r>
      <w:r w:rsidR="00BA1C65" w:rsidRPr="008A12F4">
        <w:t>the decision to increase the fees had not been made. Therefore, the effects of increased fees on society costs were not factored in</w:t>
      </w:r>
      <w:r w:rsidR="00051D16" w:rsidRPr="008A12F4">
        <w:t xml:space="preserve"> to the decision to increase the rate</w:t>
      </w:r>
      <w:r w:rsidR="00200E42" w:rsidRPr="008A12F4">
        <w:t>, and the full imp</w:t>
      </w:r>
      <w:r w:rsidR="00521A3F" w:rsidRPr="008A12F4">
        <w:t>act of these combined costs was</w:t>
      </w:r>
      <w:r w:rsidR="00200E42" w:rsidRPr="008A12F4">
        <w:t xml:space="preserve"> not understood</w:t>
      </w:r>
      <w:r w:rsidR="00BA1C65" w:rsidRPr="008A12F4">
        <w:t xml:space="preserve">. </w:t>
      </w:r>
    </w:p>
    <w:p w:rsidR="00DF165E" w:rsidRPr="008A12F4" w:rsidRDefault="00EE52AF" w:rsidP="008A12F4">
      <w:pPr>
        <w:pStyle w:val="Numberedpara3level1"/>
      </w:pPr>
      <w:r w:rsidRPr="008A12F4">
        <w:t>S</w:t>
      </w:r>
      <w:r w:rsidR="00DF165E" w:rsidRPr="008A12F4">
        <w:t xml:space="preserve">ocieties </w:t>
      </w:r>
      <w:r w:rsidR="00387874" w:rsidRPr="008A12F4">
        <w:t xml:space="preserve">are </w:t>
      </w:r>
      <w:r w:rsidRPr="008A12F4">
        <w:t xml:space="preserve">also </w:t>
      </w:r>
      <w:r w:rsidR="00BA1C65" w:rsidRPr="008A12F4">
        <w:t>facing other additional costs, including</w:t>
      </w:r>
      <w:r w:rsidR="00387874" w:rsidRPr="008A12F4">
        <w:t xml:space="preserve"> </w:t>
      </w:r>
      <w:r w:rsidR="00AA1487" w:rsidRPr="008A12F4">
        <w:t>non-</w:t>
      </w:r>
      <w:r w:rsidR="00387874" w:rsidRPr="008A12F4">
        <w:t>downloadable jackpots, the change in bank notes and the potential increase of venue payments made by societies</w:t>
      </w:r>
      <w:r w:rsidR="00BA1C65" w:rsidRPr="008A12F4">
        <w:t>. The combination of all these costs</w:t>
      </w:r>
      <w:r w:rsidR="00387874" w:rsidRPr="008A12F4">
        <w:t xml:space="preserve"> put</w:t>
      </w:r>
      <w:r w:rsidR="00BC1680" w:rsidRPr="008A12F4">
        <w:t>s</w:t>
      </w:r>
      <w:r w:rsidR="00387874" w:rsidRPr="008A12F4">
        <w:t xml:space="preserve"> substantial financial pressure on societies. The </w:t>
      </w:r>
      <w:r w:rsidR="00C649B9" w:rsidRPr="008A12F4">
        <w:t>Department considers</w:t>
      </w:r>
      <w:r w:rsidR="00C42D67" w:rsidRPr="008A12F4">
        <w:t xml:space="preserve"> </w:t>
      </w:r>
      <w:r w:rsidR="00E14F89" w:rsidRPr="008A12F4">
        <w:t>there is a risk that this may</w:t>
      </w:r>
      <w:r w:rsidR="005F3533" w:rsidRPr="008A12F4">
        <w:t xml:space="preserve"> lead to societies </w:t>
      </w:r>
      <w:r w:rsidR="00387874" w:rsidRPr="008A12F4">
        <w:t>either closing venues or exiting the sector altogether, which in turn could reduce the overall amount of funding available to communities. This would be contrary to the objective of the chan</w:t>
      </w:r>
      <w:r w:rsidR="00C649B9" w:rsidRPr="008A12F4">
        <w:t>ges made to the rate of return in 2014</w:t>
      </w:r>
      <w:r w:rsidR="00387874" w:rsidRPr="008A12F4">
        <w:t xml:space="preserve">. </w:t>
      </w:r>
      <w:r w:rsidR="00561193" w:rsidRPr="008A12F4">
        <w:t xml:space="preserve">Therefore the status quo is seen as untenable. </w:t>
      </w:r>
    </w:p>
    <w:p w:rsidR="00377078" w:rsidRDefault="00B25D0E" w:rsidP="00A07C3E">
      <w:pPr>
        <w:pStyle w:val="Heading2"/>
      </w:pPr>
      <w:r>
        <w:lastRenderedPageBreak/>
        <w:t xml:space="preserve">Influences on societies’ </w:t>
      </w:r>
      <w:r w:rsidR="00377078">
        <w:t>rate</w:t>
      </w:r>
      <w:r>
        <w:t xml:space="preserve"> of return</w:t>
      </w:r>
    </w:p>
    <w:p w:rsidR="00150107" w:rsidRDefault="00FF4E90" w:rsidP="00377078">
      <w:pPr>
        <w:pStyle w:val="Numberedpara3level1"/>
      </w:pPr>
      <w:r w:rsidRPr="00150107">
        <w:t>Many</w:t>
      </w:r>
      <w:r w:rsidR="000129EE" w:rsidRPr="00150107">
        <w:t xml:space="preserve"> of societies’ costs are </w:t>
      </w:r>
      <w:r w:rsidR="00F1376F" w:rsidRPr="00150107">
        <w:t>fixed</w:t>
      </w:r>
      <w:r w:rsidR="000129EE" w:rsidRPr="00150107">
        <w:t xml:space="preserve"> in legislation</w:t>
      </w:r>
      <w:r w:rsidR="00F1376F" w:rsidRPr="00150107">
        <w:t>, including the</w:t>
      </w:r>
      <w:r w:rsidRPr="00150107">
        <w:t xml:space="preserve"> rate</w:t>
      </w:r>
      <w:r w:rsidR="00F1376F" w:rsidRPr="00150107">
        <w:t xml:space="preserve"> of return</w:t>
      </w:r>
      <w:r w:rsidRPr="00150107">
        <w:t xml:space="preserve">, taxes, levies, and fees. </w:t>
      </w:r>
      <w:r w:rsidR="00150107">
        <w:t>Societies’ costs structure is set out as per Table 1 belo</w:t>
      </w:r>
      <w:r w:rsidR="0010280F">
        <w:t xml:space="preserve">w. </w:t>
      </w:r>
    </w:p>
    <w:p w:rsidR="00150107" w:rsidRDefault="00150107" w:rsidP="00150107">
      <w:pPr>
        <w:rPr>
          <w:b/>
        </w:rPr>
      </w:pPr>
      <w:r w:rsidRPr="00150107">
        <w:rPr>
          <w:b/>
        </w:rPr>
        <w:t>Table 1: Societies’ cost structure</w:t>
      </w:r>
    </w:p>
    <w:p w:rsidR="00150107" w:rsidRPr="00150107" w:rsidRDefault="00310623" w:rsidP="00150107">
      <w:pPr>
        <w:rPr>
          <w:b/>
        </w:rPr>
      </w:pPr>
      <w:r>
        <w:rPr>
          <w:noProof/>
          <w:lang w:eastAsia="en-NZ"/>
        </w:rPr>
        <w:drawing>
          <wp:inline distT="0" distB="0" distL="0" distR="0" wp14:anchorId="567E7530" wp14:editId="7E1655A8">
            <wp:extent cx="5476875" cy="3919537"/>
            <wp:effectExtent l="0" t="0" r="9525"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6729" w:rsidRPr="00026729" w:rsidRDefault="00026729" w:rsidP="00026729">
      <w:pPr>
        <w:pStyle w:val="Numberedpara3level1"/>
      </w:pPr>
      <w:r>
        <w:t>Table 1</w:t>
      </w:r>
      <w:r w:rsidRPr="00026729">
        <w:t xml:space="preserve"> shows </w:t>
      </w:r>
      <w:r>
        <w:t xml:space="preserve">that </w:t>
      </w:r>
      <w:r w:rsidRPr="00026729">
        <w:t xml:space="preserve">after all mandatory costs are paid, approximately 20 per cent of GMP remains to cover all society costs. </w:t>
      </w:r>
      <w:r w:rsidR="00D6781E">
        <w:t>Society</w:t>
      </w:r>
      <w:r w:rsidR="00957021">
        <w:t xml:space="preserve"> costs are influenced by:</w:t>
      </w:r>
    </w:p>
    <w:p w:rsidR="00F6165F" w:rsidRDefault="00F6165F" w:rsidP="00F6165F">
      <w:pPr>
        <w:pStyle w:val="Numberedpara3level211"/>
      </w:pPr>
      <w:r>
        <w:t>costs from operating gambling, including payments to venues for hosting the machines and other society expenses; and</w:t>
      </w:r>
    </w:p>
    <w:p w:rsidR="00F6165F" w:rsidRDefault="00B25D0E" w:rsidP="00B25D0E">
      <w:pPr>
        <w:pStyle w:val="Numberedpara3level211"/>
        <w:ind w:right="-143"/>
      </w:pPr>
      <w:r>
        <w:t>whether high-GMP or low-GMP venues are hosting a society’s gaming machines</w:t>
      </w:r>
      <w:r w:rsidR="00F6165F">
        <w:t xml:space="preserve">. </w:t>
      </w:r>
    </w:p>
    <w:p w:rsidR="0086105B" w:rsidRDefault="0086105B" w:rsidP="00F6165F">
      <w:pPr>
        <w:pStyle w:val="Numberedpara3level1"/>
      </w:pPr>
      <w:r>
        <w:t xml:space="preserve">The type of operating model that a society adopts may </w:t>
      </w:r>
      <w:r w:rsidR="00C25081">
        <w:t xml:space="preserve">also </w:t>
      </w:r>
      <w:r>
        <w:t xml:space="preserve">influence the net proceeds distributed to authorised purposes. For example, societies connected to licensing trusts may be able to leverage lower rental payments in order to reduce costs and increase rate of return. Also, some smaller single venue trusts operate with the support of volunteers and the local community, which can lower operating costs, and thus increase the rate of return. </w:t>
      </w:r>
    </w:p>
    <w:p w:rsidR="000C1515" w:rsidRDefault="00796AF9" w:rsidP="00F6165F">
      <w:pPr>
        <w:pStyle w:val="Numberedpara3level1"/>
      </w:pPr>
      <w:r>
        <w:t>The individual cost structures of venues operating societ</w:t>
      </w:r>
      <w:r w:rsidR="006F407F">
        <w:t>ie</w:t>
      </w:r>
      <w:r w:rsidR="00D41380">
        <w:t>s</w:t>
      </w:r>
      <w:r w:rsidR="006F407F">
        <w:t>’</w:t>
      </w:r>
      <w:r w:rsidR="00D41380">
        <w:t xml:space="preserve"> gaming machines </w:t>
      </w:r>
      <w:r w:rsidR="007F3EC9">
        <w:t xml:space="preserve">also </w:t>
      </w:r>
      <w:r w:rsidR="00D41380">
        <w:t xml:space="preserve">influences the proportion of GMP available to distribute to authorised purposes. </w:t>
      </w:r>
      <w:r w:rsidR="00B02D62">
        <w:t>A number of costs associated with hosting gaming machines are fixed (for example the cost of rentin</w:t>
      </w:r>
      <w:r w:rsidR="00B81A4C">
        <w:t>g and floor space). H</w:t>
      </w:r>
      <w:r w:rsidR="00B02D62">
        <w:t xml:space="preserve">igh-GMP venues generally more efficient, as the fixed costs of operating gaming machines will take </w:t>
      </w:r>
      <w:r w:rsidR="00B81A4C">
        <w:t xml:space="preserve">up a smaller proportion of GMP, leaving more proceeds to be distributed to communities. </w:t>
      </w:r>
    </w:p>
    <w:p w:rsidR="00B02D62" w:rsidRPr="00377078" w:rsidRDefault="00B02D62" w:rsidP="00F6165F">
      <w:pPr>
        <w:pStyle w:val="Numberedpara3level1"/>
      </w:pPr>
      <w:r>
        <w:t xml:space="preserve">Conversely, the costs of operating gaming machines will take up a relatively high proportion of GMP </w:t>
      </w:r>
      <w:r w:rsidR="00B81A4C">
        <w:t>in low-GMP venues with a consequent impact on the net proceeds available for distribution to communities.</w:t>
      </w:r>
      <w:r w:rsidR="004F001E">
        <w:t xml:space="preserve"> </w:t>
      </w:r>
    </w:p>
    <w:p w:rsidR="00A07C3E" w:rsidRDefault="00395687" w:rsidP="00A07C3E">
      <w:pPr>
        <w:pStyle w:val="Heading2"/>
      </w:pPr>
      <w:r>
        <w:lastRenderedPageBreak/>
        <w:t>Class 4 sector facing</w:t>
      </w:r>
      <w:r w:rsidR="00532C92">
        <w:t xml:space="preserve"> </w:t>
      </w:r>
      <w:r w:rsidR="00A07C3E">
        <w:t>increased costs</w:t>
      </w:r>
    </w:p>
    <w:p w:rsidR="005435BD" w:rsidRDefault="005575DA" w:rsidP="00DD031D">
      <w:pPr>
        <w:pStyle w:val="Numberedpara3level1"/>
      </w:pPr>
      <w:r w:rsidRPr="00104951">
        <w:t>When the Regulations were changed in 2014 to increase the rate</w:t>
      </w:r>
      <w:r w:rsidR="00BC22D9" w:rsidRPr="00104951">
        <w:t xml:space="preserve"> of return</w:t>
      </w:r>
      <w:r w:rsidRPr="00104951">
        <w:t>, it was acknowledged that the sector was facing increasing costs from non-downloadable jackpots and the change in bank notes</w:t>
      </w:r>
      <w:r w:rsidR="008A4C6A">
        <w:t xml:space="preserve">. </w:t>
      </w:r>
      <w:r w:rsidR="00310116" w:rsidRPr="00310116">
        <w:t>Societies were required to replace non-downloadable jackpots by 1 December 2015. Societies also had to modify bank note receptors on their machines to process the new notes issued by the Reserve Bank, which costs approximately $1000 per machine, but only affect about half of the gaming machine population. All gaming machines will require a software upgrade for the new notes at a cost of approximately $30 each.</w:t>
      </w:r>
      <w:r w:rsidR="006A10B9">
        <w:t xml:space="preserve"> </w:t>
      </w:r>
    </w:p>
    <w:p w:rsidR="003C4A97" w:rsidRDefault="0001518D" w:rsidP="00DD031D">
      <w:pPr>
        <w:pStyle w:val="Numberedpara3level1"/>
      </w:pPr>
      <w:r>
        <w:t>Data from</w:t>
      </w:r>
      <w:r w:rsidR="00376BC4">
        <w:t xml:space="preserve"> 2014 </w:t>
      </w:r>
      <w:r>
        <w:t>(latest data) indicates that</w:t>
      </w:r>
      <w:r w:rsidR="00376BC4">
        <w:t xml:space="preserve"> 6,081 gaming machines needed to modify th</w:t>
      </w:r>
      <w:r>
        <w:t>eir banknote acceptors, at</w:t>
      </w:r>
      <w:r w:rsidR="00376BC4">
        <w:t xml:space="preserve"> a cost of approximately $6 million to the sector. Also, 12,831 gaming machines required the software upgrade, which is an added cost of $384,930 to the sector</w:t>
      </w:r>
      <w:r w:rsidR="00144FBC">
        <w:rPr>
          <w:rStyle w:val="FootnoteReference"/>
        </w:rPr>
        <w:footnoteReference w:id="1"/>
      </w:r>
      <w:r w:rsidR="00376BC4">
        <w:t xml:space="preserve">. </w:t>
      </w:r>
      <w:r w:rsidR="005435BD">
        <w:t xml:space="preserve">These costs will still be affecting societies in 2016, as the new banknotes are being introduced in phases, </w:t>
      </w:r>
      <w:r w:rsidR="00F544E6">
        <w:t>with $20</w:t>
      </w:r>
      <w:r w:rsidR="00185B94">
        <w:t xml:space="preserve"> notes being introduced in April this year. </w:t>
      </w:r>
    </w:p>
    <w:p w:rsidR="003C4A97" w:rsidRDefault="00EC0D95" w:rsidP="00326788">
      <w:pPr>
        <w:pStyle w:val="Numberedpara3level1"/>
      </w:pPr>
      <w:r>
        <w:t xml:space="preserve">The decision to increase </w:t>
      </w:r>
      <w:r w:rsidR="0060133F">
        <w:t>the fees</w:t>
      </w:r>
      <w:r w:rsidR="00310116">
        <w:t xml:space="preserve"> </w:t>
      </w:r>
      <w:r w:rsidR="003B7D3D" w:rsidRPr="003B7D3D">
        <w:t>paid to the Department by class 4 societies</w:t>
      </w:r>
      <w:r>
        <w:t xml:space="preserve"> was made in 2015</w:t>
      </w:r>
      <w:r w:rsidR="001357C2">
        <w:t xml:space="preserve">, which was after the </w:t>
      </w:r>
      <w:r w:rsidR="00D603C0">
        <w:t xml:space="preserve">decision to increase the rate of return. Therefore </w:t>
      </w:r>
      <w:r w:rsidR="00D76F19">
        <w:t>the effects of increased fees could n</w:t>
      </w:r>
      <w:r w:rsidR="00314768">
        <w:t xml:space="preserve">ot be taken into account when it was decided to increase the rate of return. </w:t>
      </w:r>
    </w:p>
    <w:p w:rsidR="00326788" w:rsidRPr="00326788" w:rsidRDefault="00310116" w:rsidP="00326788">
      <w:pPr>
        <w:pStyle w:val="Numberedpara3level1"/>
      </w:pPr>
      <w:r>
        <w:t>The fees had</w:t>
      </w:r>
      <w:r w:rsidR="003B7D3D" w:rsidRPr="003B7D3D">
        <w:t xml:space="preserve"> not increased since 2008</w:t>
      </w:r>
      <w:r w:rsidR="00455BEE">
        <w:t>, and</w:t>
      </w:r>
      <w:r w:rsidR="00473DAF">
        <w:t xml:space="preserve"> had</w:t>
      </w:r>
      <w:r w:rsidR="003B7D3D" w:rsidRPr="003B7D3D">
        <w:t xml:space="preserve"> not </w:t>
      </w:r>
      <w:r w:rsidR="00473DAF">
        <w:t>been covering</w:t>
      </w:r>
      <w:r w:rsidR="003B7D3D" w:rsidRPr="003B7D3D">
        <w:t xml:space="preserve"> the Department’s regulatory costs for some years. As a result, the Department is now carrying in its </w:t>
      </w:r>
      <w:r w:rsidR="003B7D3D" w:rsidRPr="0060133F">
        <w:rPr>
          <w:lang w:val="en-AU"/>
        </w:rPr>
        <w:t xml:space="preserve">gambling memorandum account an annual operating deficit of $3.8 million and an account deficit of $12.9 million, as at </w:t>
      </w:r>
      <w:r w:rsidR="003B7D3D" w:rsidRPr="007B5306">
        <w:rPr>
          <w:lang w:val="en-AU"/>
        </w:rPr>
        <w:t>30 June 2015</w:t>
      </w:r>
      <w:r w:rsidR="003B7D3D" w:rsidRPr="003B7D3D">
        <w:t xml:space="preserve">. </w:t>
      </w:r>
      <w:r w:rsidR="00326788">
        <w:t xml:space="preserve">If the fees were not increased, </w:t>
      </w:r>
      <w:r w:rsidR="00326788" w:rsidRPr="00326788">
        <w:t>the memo</w:t>
      </w:r>
      <w:r w:rsidR="00E90E02">
        <w:t>randum account deficit will increase</w:t>
      </w:r>
      <w:r w:rsidR="00326788" w:rsidRPr="00326788">
        <w:t xml:space="preserve"> to just under $40 million by 2018/19.</w:t>
      </w:r>
      <w:r w:rsidR="00E50A5C" w:rsidRPr="00E50A5C">
        <w:t xml:space="preserve"> </w:t>
      </w:r>
      <w:r w:rsidR="00E50A5C">
        <w:t>The</w:t>
      </w:r>
      <w:r w:rsidR="00E50A5C" w:rsidRPr="00104951">
        <w:t xml:space="preserve"> increased fees came int</w:t>
      </w:r>
      <w:r w:rsidR="00ED711F">
        <w:t>o effect</w:t>
      </w:r>
      <w:r w:rsidR="00E50A5C" w:rsidRPr="00104951">
        <w:t xml:space="preserve"> on 1 February 2016</w:t>
      </w:r>
      <w:r w:rsidR="00ED711F">
        <w:t>.</w:t>
      </w:r>
    </w:p>
    <w:p w:rsidR="00E2405A" w:rsidRDefault="003B7D3D" w:rsidP="00EE118B">
      <w:pPr>
        <w:pStyle w:val="Numberedpara3level1"/>
      </w:pPr>
      <w:r>
        <w:t>The increased fees</w:t>
      </w:r>
      <w:r w:rsidRPr="00104951">
        <w:t xml:space="preserve"> have led to an increase in costs of approximately 1 per cent of GMP for societies. </w:t>
      </w:r>
      <w:r>
        <w:t>The increase in fees combined with an increase in the rate of return to 41 per cent</w:t>
      </w:r>
      <w:r w:rsidR="009A064C">
        <w:t xml:space="preserve"> would </w:t>
      </w:r>
      <w:r w:rsidRPr="00104951">
        <w:t>have a</w:t>
      </w:r>
      <w:r>
        <w:t xml:space="preserve">n </w:t>
      </w:r>
      <w:r w:rsidRPr="00104951">
        <w:t xml:space="preserve">effect of approximately 2 per cent of GMP in costs. </w:t>
      </w:r>
      <w:r w:rsidR="004E755A">
        <w:t xml:space="preserve">As </w:t>
      </w:r>
      <w:r w:rsidR="00223CEB">
        <w:t>approximately</w:t>
      </w:r>
      <w:r w:rsidR="00D260C8">
        <w:t xml:space="preserve"> </w:t>
      </w:r>
      <w:r w:rsidR="00223CEB" w:rsidRPr="00082F76">
        <w:t xml:space="preserve">80 </w:t>
      </w:r>
      <w:r w:rsidR="002728E0" w:rsidRPr="00082F76">
        <w:t>per cent</w:t>
      </w:r>
      <w:r w:rsidR="002728E0">
        <w:t xml:space="preserve"> of societies’</w:t>
      </w:r>
      <w:r w:rsidR="004E755A">
        <w:t xml:space="preserve"> costs are fixed,</w:t>
      </w:r>
      <w:r w:rsidR="002728E0">
        <w:t xml:space="preserve"> a 2 per cent increase in mandatory costs </w:t>
      </w:r>
      <w:r w:rsidR="002728E0" w:rsidRPr="00104951">
        <w:t>has the potential to put significant pressure on some societies</w:t>
      </w:r>
      <w:r w:rsidR="002728E0">
        <w:t>.</w:t>
      </w:r>
      <w:r w:rsidR="006F0673">
        <w:t xml:space="preserve"> </w:t>
      </w:r>
    </w:p>
    <w:p w:rsidR="00212868" w:rsidRDefault="00212868" w:rsidP="00212868">
      <w:pPr>
        <w:pStyle w:val="Numberedpara3level1"/>
      </w:pPr>
      <w:r>
        <w:t xml:space="preserve">A new venue payment system is currently being developed, which could </w:t>
      </w:r>
      <w:r w:rsidR="008D22B4">
        <w:t xml:space="preserve">also </w:t>
      </w:r>
      <w:r>
        <w:t xml:space="preserve">result in an increase of payments to </w:t>
      </w:r>
      <w:r w:rsidR="00E4118F">
        <w:t xml:space="preserve">some </w:t>
      </w:r>
      <w:r>
        <w:t xml:space="preserve">venues by societies, which would further exacerbate their financial position. </w:t>
      </w:r>
    </w:p>
    <w:p w:rsidR="00702B76" w:rsidRDefault="00E95C20" w:rsidP="00702B76">
      <w:pPr>
        <w:pStyle w:val="Heading2"/>
      </w:pPr>
      <w:r>
        <w:t xml:space="preserve">Effects of increased costs </w:t>
      </w:r>
      <w:r w:rsidR="00702B76">
        <w:t>on the sector</w:t>
      </w:r>
    </w:p>
    <w:p w:rsidR="00500D22" w:rsidRDefault="00500D22" w:rsidP="0040280D">
      <w:pPr>
        <w:pStyle w:val="Numberedpara3level1"/>
      </w:pPr>
      <w:r>
        <w:t xml:space="preserve">In </w:t>
      </w:r>
      <w:r w:rsidR="00F8035D">
        <w:t>2014, 19 of the then 37</w:t>
      </w:r>
      <w:r w:rsidR="00545D9E">
        <w:t xml:space="preserve"> non-club</w:t>
      </w:r>
      <w:r>
        <w:t xml:space="preserve"> societies </w:t>
      </w:r>
      <w:r w:rsidR="009D7721">
        <w:t xml:space="preserve">(who distribute rather than apply their proceeds) </w:t>
      </w:r>
      <w:r>
        <w:t>generated net proceeds at 41 per cent or higher of GST-exclusive gross proceeds</w:t>
      </w:r>
      <w:r w:rsidR="00907540">
        <w:rPr>
          <w:rStyle w:val="FootnoteReference"/>
        </w:rPr>
        <w:footnoteReference w:id="2"/>
      </w:r>
      <w:r w:rsidR="0038212C">
        <w:t>, with the remaining 18</w:t>
      </w:r>
      <w:r>
        <w:t xml:space="preserve"> societies generating below 41 per cent of GS</w:t>
      </w:r>
      <w:r w:rsidR="00780F4A">
        <w:t xml:space="preserve">T-exclusive gross proceeds. </w:t>
      </w:r>
      <w:r w:rsidR="00B96595">
        <w:t>Therefore a</w:t>
      </w:r>
      <w:r w:rsidR="00780F4A">
        <w:t>bout</w:t>
      </w:r>
      <w:r>
        <w:t xml:space="preserve"> half of </w:t>
      </w:r>
      <w:r w:rsidR="00C10FF2">
        <w:t xml:space="preserve">non-club </w:t>
      </w:r>
      <w:r>
        <w:t xml:space="preserve">societies </w:t>
      </w:r>
      <w:r w:rsidR="003C4841">
        <w:t xml:space="preserve">would have </w:t>
      </w:r>
      <w:r w:rsidR="009D7721">
        <w:t xml:space="preserve">to </w:t>
      </w:r>
      <w:r w:rsidR="003C4841">
        <w:t xml:space="preserve">increase their </w:t>
      </w:r>
      <w:r w:rsidR="00C10FF2">
        <w:t xml:space="preserve">current </w:t>
      </w:r>
      <w:r w:rsidR="003C4841">
        <w:t>rate of return,</w:t>
      </w:r>
      <w:r>
        <w:t xml:space="preserve"> if the scheduled increase in September 2016 takes pl</w:t>
      </w:r>
      <w:r w:rsidR="0038212C">
        <w:t>ace. This number increases to 22</w:t>
      </w:r>
      <w:r>
        <w:t xml:space="preserve"> societies </w:t>
      </w:r>
      <w:r w:rsidR="00C10FF2">
        <w:t>when</w:t>
      </w:r>
      <w:r>
        <w:t xml:space="preserve"> the extra 1.1 per cent of GST-exclusive GMP that has to be spent on increased fees</w:t>
      </w:r>
      <w:r w:rsidR="00C065F2">
        <w:t xml:space="preserve"> is factored in</w:t>
      </w:r>
      <w:r>
        <w:t xml:space="preserve">. A table of societies’ generated net proceeds for 2014 is attached as </w:t>
      </w:r>
      <w:r w:rsidRPr="003712C4">
        <w:rPr>
          <w:b/>
        </w:rPr>
        <w:t xml:space="preserve">Appendix </w:t>
      </w:r>
      <w:r>
        <w:rPr>
          <w:b/>
        </w:rPr>
        <w:t>A</w:t>
      </w:r>
      <w:r>
        <w:t>.</w:t>
      </w:r>
    </w:p>
    <w:p w:rsidR="000A1353" w:rsidRDefault="00395A01" w:rsidP="009F179D">
      <w:pPr>
        <w:pStyle w:val="Numberedpara3level1"/>
      </w:pPr>
      <w:r>
        <w:lastRenderedPageBreak/>
        <w:t xml:space="preserve">As </w:t>
      </w:r>
      <w:r w:rsidR="00277153">
        <w:t>a result of increased cost pressures, combined with an increase to the rate of return, societies may close low-GMP venues</w:t>
      </w:r>
      <w:r w:rsidR="00E9477A">
        <w:t xml:space="preserve"> in order to reduce their costs. If after closing low-GMP venues societies are still not able to cover their costs, they may exit the sector altogether. </w:t>
      </w:r>
      <w:r w:rsidR="00667BC1">
        <w:t>Even though societies would be returning at a higher percentage</w:t>
      </w:r>
      <w:r w:rsidR="009857C0">
        <w:t xml:space="preserve"> after closing low-GMP venues</w:t>
      </w:r>
      <w:r w:rsidR="00667BC1">
        <w:t xml:space="preserve">, the overall pool of funding available to communities may </w:t>
      </w:r>
      <w:r w:rsidR="009857C0">
        <w:t xml:space="preserve">be </w:t>
      </w:r>
      <w:r w:rsidR="00667BC1">
        <w:t>reduce</w:t>
      </w:r>
      <w:r w:rsidR="009857C0">
        <w:t>d</w:t>
      </w:r>
      <w:r w:rsidR="00667BC1">
        <w:t xml:space="preserve">. </w:t>
      </w:r>
    </w:p>
    <w:p w:rsidR="005F00D2" w:rsidRDefault="008800CC" w:rsidP="000A1353">
      <w:pPr>
        <w:pStyle w:val="Numberedpara3level1"/>
      </w:pPr>
      <w:r w:rsidRPr="008800CC">
        <w:t>Rural venues are particularly vulnerable, as they generate lower GMP on average ($2,691 per week in 2015) than urban venues ($15,347 per week)</w:t>
      </w:r>
      <w:r>
        <w:t xml:space="preserve">. </w:t>
      </w:r>
      <w:r w:rsidR="005F00D2" w:rsidRPr="002F1AE5">
        <w:t>The latest data suggests operators are already ex</w:t>
      </w:r>
      <w:r w:rsidR="005F00D2">
        <w:t>iting some lower-GMP venues.</w:t>
      </w:r>
      <w:r w:rsidR="005F00D2" w:rsidRPr="008800CC">
        <w:t xml:space="preserve"> </w:t>
      </w:r>
      <w:r w:rsidR="005F00D2" w:rsidRPr="002F1AE5">
        <w:t>This could accelerate with an increase</w:t>
      </w:r>
      <w:r w:rsidR="005F00D2">
        <w:t xml:space="preserve"> in the minimum rate of return. </w:t>
      </w:r>
    </w:p>
    <w:p w:rsidR="00944F22" w:rsidRDefault="001973B4" w:rsidP="00767330">
      <w:pPr>
        <w:pStyle w:val="Numberedpara3level1"/>
      </w:pPr>
      <w:r>
        <w:t>If the over</w:t>
      </w:r>
      <w:r w:rsidR="007772A6">
        <w:t xml:space="preserve">all pool of funding declines as a result of societies closing venues or exiting the sector, </w:t>
      </w:r>
      <w:r w:rsidR="005024C9">
        <w:t xml:space="preserve">because of increased costs, </w:t>
      </w:r>
      <w:r w:rsidR="007772A6">
        <w:t>co</w:t>
      </w:r>
      <w:r>
        <w:t>mmunity groups</w:t>
      </w:r>
      <w:r w:rsidR="007772A6">
        <w:t xml:space="preserve"> could be affected</w:t>
      </w:r>
      <w:r>
        <w:t>. Community groups apply for funding from soc</w:t>
      </w:r>
      <w:r w:rsidR="007772A6">
        <w:t>ieties, so i</w:t>
      </w:r>
      <w:r>
        <w:t xml:space="preserve">f the overall pool of funding decreases, there will be less </w:t>
      </w:r>
      <w:r w:rsidR="007772A6">
        <w:t xml:space="preserve">available for </w:t>
      </w:r>
      <w:r w:rsidR="005024C9">
        <w:t xml:space="preserve">distribution to </w:t>
      </w:r>
      <w:r w:rsidR="007772A6">
        <w:t>communities</w:t>
      </w:r>
      <w:r>
        <w:t xml:space="preserve">. </w:t>
      </w:r>
    </w:p>
    <w:p w:rsidR="00BE0E37" w:rsidRPr="00310116" w:rsidRDefault="007B6466" w:rsidP="00BE0E37">
      <w:pPr>
        <w:pStyle w:val="Numberedpara3level1"/>
      </w:pPr>
      <w:r>
        <w:t>M</w:t>
      </w:r>
      <w:r w:rsidR="00BE0E37">
        <w:t xml:space="preserve">odelling done by the Department (based on 2014 data), </w:t>
      </w:r>
      <w:r w:rsidR="00B96595">
        <w:t xml:space="preserve">suggests that </w:t>
      </w:r>
      <w:r w:rsidR="00BE0E37">
        <w:t>35 societies would have had to increase the percentage of their net proceeds used to cover their costs</w:t>
      </w:r>
      <w:r w:rsidR="00BE0E37">
        <w:rPr>
          <w:rStyle w:val="FootnoteReference"/>
        </w:rPr>
        <w:footnoteReference w:id="3"/>
      </w:r>
      <w:r w:rsidR="00BE0E37">
        <w:t xml:space="preserve"> after the increase of the rate of return to 40 per cent. The worst affected society would have had to increase the percentage of their net proceeds to cover their costs by 10.49 per cent, which is over half of their variable costs. </w:t>
      </w:r>
    </w:p>
    <w:p w:rsidR="00767330" w:rsidRDefault="00767330" w:rsidP="00944F22">
      <w:pPr>
        <w:pStyle w:val="Heading2"/>
      </w:pPr>
      <w:r>
        <w:t>Problem definition</w:t>
      </w:r>
    </w:p>
    <w:p w:rsidR="004769EA" w:rsidRDefault="004769EA" w:rsidP="00C4306A">
      <w:pPr>
        <w:pStyle w:val="Numberedpara3level1"/>
      </w:pPr>
      <w:r>
        <w:t>Unle</w:t>
      </w:r>
      <w:r w:rsidR="008B2AF8">
        <w:t xml:space="preserve">ss the Regulations are amended by September 2016, the rate of return will increase to 41 per cent on 1 September 2016. </w:t>
      </w:r>
      <w:r w:rsidR="001C7E29">
        <w:t>Based on the most recent figures,</w:t>
      </w:r>
      <w:r w:rsidR="008B2AF8">
        <w:t xml:space="preserve"> the Department estima</w:t>
      </w:r>
      <w:r w:rsidR="00E76DC8">
        <w:t>tes just under</w:t>
      </w:r>
      <w:r w:rsidR="008B2AF8">
        <w:t xml:space="preserve"> half of societies </w:t>
      </w:r>
      <w:r w:rsidR="00E9759A">
        <w:t>(18</w:t>
      </w:r>
      <w:r w:rsidR="00CF7015">
        <w:t xml:space="preserve"> </w:t>
      </w:r>
      <w:r w:rsidR="00DB2BF3">
        <w:t xml:space="preserve">out </w:t>
      </w:r>
      <w:r w:rsidR="00E9759A">
        <w:t xml:space="preserve">of </w:t>
      </w:r>
      <w:r w:rsidR="00DB2BF3">
        <w:t>37 non-club</w:t>
      </w:r>
      <w:r w:rsidR="001C7E29">
        <w:t xml:space="preserve"> societies licenced in 2014) </w:t>
      </w:r>
      <w:r w:rsidR="008B2AF8">
        <w:t xml:space="preserve">would be unable to meet a rate of return of 41 per cent (see </w:t>
      </w:r>
      <w:r w:rsidR="008B2AF8" w:rsidRPr="008B2AF8">
        <w:rPr>
          <w:b/>
        </w:rPr>
        <w:t>Appendix A</w:t>
      </w:r>
      <w:r w:rsidR="008B2AF8">
        <w:t xml:space="preserve">). </w:t>
      </w:r>
      <w:r w:rsidR="001C7E29">
        <w:t xml:space="preserve">This number </w:t>
      </w:r>
      <w:r w:rsidR="00971F29">
        <w:t>would increase to 22</w:t>
      </w:r>
      <w:r w:rsidR="00270F77">
        <w:t xml:space="preserve"> societies if t</w:t>
      </w:r>
      <w:r w:rsidR="00C60055">
        <w:t>he increase in gambling fees is</w:t>
      </w:r>
      <w:r w:rsidR="00270F77">
        <w:t xml:space="preserve"> taken into account. </w:t>
      </w:r>
    </w:p>
    <w:p w:rsidR="00763399" w:rsidRDefault="00763399" w:rsidP="00C4306A">
      <w:pPr>
        <w:pStyle w:val="Numberedpara3level1"/>
      </w:pPr>
      <w:r>
        <w:t>Societies unable to meet the higher rate of return may be fo</w:t>
      </w:r>
      <w:r w:rsidR="00A615D1">
        <w:t>rced to close low-GMP venues</w:t>
      </w:r>
      <w:r>
        <w:t>, or exit the sector if they are unable to reduce operating costs in or</w:t>
      </w:r>
      <w:r w:rsidR="00A615D1">
        <w:t>der to me</w:t>
      </w:r>
      <w:r w:rsidR="008800CC">
        <w:t>et the rate of return</w:t>
      </w:r>
      <w:r w:rsidR="00A11067" w:rsidRPr="00FB75E8">
        <w:t>.</w:t>
      </w:r>
      <w:r w:rsidR="00A11067">
        <w:t xml:space="preserve"> </w:t>
      </w:r>
      <w:r w:rsidR="00E06F1C">
        <w:t>This could have a negative impact on the overall level of funding available to co</w:t>
      </w:r>
      <w:r w:rsidR="00B0041E">
        <w:t>mmunities and community groups.</w:t>
      </w:r>
    </w:p>
    <w:p w:rsidR="00264E9B" w:rsidRDefault="00264E9B" w:rsidP="00B302E6">
      <w:pPr>
        <w:pStyle w:val="Heading1"/>
      </w:pPr>
      <w:bookmarkStart w:id="4" w:name="_Toc391203199"/>
      <w:r>
        <w:t>Objectives</w:t>
      </w:r>
      <w:bookmarkEnd w:id="4"/>
    </w:p>
    <w:p w:rsidR="00D905A5" w:rsidRPr="00D905A5" w:rsidRDefault="00D905A5" w:rsidP="00D905A5">
      <w:pPr>
        <w:pStyle w:val="Numberedpara3level1"/>
      </w:pPr>
      <w:r>
        <w:t>The objective is to</w:t>
      </w:r>
      <w:r w:rsidR="005F2340">
        <w:t xml:space="preserve"> identify a</w:t>
      </w:r>
      <w:r w:rsidRPr="00D905A5">
        <w:t xml:space="preserve"> rate </w:t>
      </w:r>
      <w:r w:rsidR="005F2340">
        <w:t xml:space="preserve">of return </w:t>
      </w:r>
      <w:r w:rsidR="00684C0B">
        <w:t xml:space="preserve">that ensures societies stay </w:t>
      </w:r>
      <w:r w:rsidR="001F6B86">
        <w:t xml:space="preserve">financially </w:t>
      </w:r>
      <w:r w:rsidR="00684C0B">
        <w:t>viable</w:t>
      </w:r>
      <w:r w:rsidRPr="00D905A5">
        <w:t>, but that does not reduce the total amount of net proceeds, or in other words, the level of community funding.</w:t>
      </w:r>
    </w:p>
    <w:p w:rsidR="00E52276" w:rsidRDefault="00BE7E75" w:rsidP="00E52276">
      <w:pPr>
        <w:pStyle w:val="Numberedpara3level1"/>
      </w:pPr>
      <w:r>
        <w:t>The following criteria was used to assess the options:</w:t>
      </w:r>
    </w:p>
    <w:p w:rsidR="00BE7E75" w:rsidRDefault="00BE7E75" w:rsidP="001A2E96">
      <w:pPr>
        <w:pStyle w:val="Bullet"/>
      </w:pPr>
      <w:r>
        <w:t>Does the option impa</w:t>
      </w:r>
      <w:r w:rsidR="008A58E3">
        <w:t xml:space="preserve">ct on societies’ </w:t>
      </w:r>
      <w:r w:rsidR="00C360E0">
        <w:t xml:space="preserve">ongoing </w:t>
      </w:r>
      <w:r w:rsidR="008A58E3">
        <w:t>viability</w:t>
      </w:r>
      <w:r>
        <w:t>?</w:t>
      </w:r>
    </w:p>
    <w:p w:rsidR="00BE7E75" w:rsidRDefault="00BE7E75" w:rsidP="001A2E96">
      <w:pPr>
        <w:pStyle w:val="Bullet"/>
      </w:pPr>
      <w:r>
        <w:t>Does the option reduce the overall level of funding return to the community?</w:t>
      </w:r>
    </w:p>
    <w:p w:rsidR="00264E9B" w:rsidRDefault="00FC308E" w:rsidP="00B302E6">
      <w:pPr>
        <w:pStyle w:val="Heading1"/>
      </w:pPr>
      <w:bookmarkStart w:id="5" w:name="_Toc391203200"/>
      <w:r>
        <w:lastRenderedPageBreak/>
        <w:br/>
      </w:r>
      <w:r w:rsidR="00264E9B">
        <w:t>Options and impact analysis</w:t>
      </w:r>
      <w:bookmarkEnd w:id="5"/>
    </w:p>
    <w:p w:rsidR="00FB0E14" w:rsidRDefault="00D905A5" w:rsidP="00FB0E14">
      <w:pPr>
        <w:pStyle w:val="Numberedpara3level1"/>
      </w:pPr>
      <w:r>
        <w:t xml:space="preserve">The Department </w:t>
      </w:r>
      <w:r w:rsidR="00C360E0">
        <w:t xml:space="preserve">evaluated </w:t>
      </w:r>
      <w:r w:rsidR="00F24507">
        <w:t>the following four options against the assessment criteria</w:t>
      </w:r>
      <w:r w:rsidR="00C360E0">
        <w:t>:</w:t>
      </w:r>
    </w:p>
    <w:p w:rsidR="00F24507" w:rsidRDefault="00F24507" w:rsidP="00EF67E5">
      <w:pPr>
        <w:pStyle w:val="Bullet"/>
      </w:pPr>
      <w:r>
        <w:t>Option one: status quo</w:t>
      </w:r>
    </w:p>
    <w:p w:rsidR="00BE7E75" w:rsidRDefault="00F24507" w:rsidP="00EF67E5">
      <w:pPr>
        <w:pStyle w:val="Bullet"/>
      </w:pPr>
      <w:r>
        <w:t>Option two</w:t>
      </w:r>
      <w:r w:rsidR="00C360E0">
        <w:t xml:space="preserve">: </w:t>
      </w:r>
      <w:r w:rsidR="00BE7E75">
        <w:t>delay further increases in the minimum rate of return</w:t>
      </w:r>
      <w:r w:rsidR="006971C7">
        <w:t xml:space="preserve"> to 2020 and 2022 respectively</w:t>
      </w:r>
      <w:r w:rsidR="00A47F70">
        <w:t>;</w:t>
      </w:r>
      <w:r w:rsidR="00BE7E75">
        <w:t xml:space="preserve"> </w:t>
      </w:r>
    </w:p>
    <w:p w:rsidR="00BE7E75" w:rsidRDefault="00F24507" w:rsidP="00EF67E5">
      <w:pPr>
        <w:pStyle w:val="Bullet"/>
      </w:pPr>
      <w:r>
        <w:t>Option three</w:t>
      </w:r>
      <w:r w:rsidR="00C360E0">
        <w:t xml:space="preserve">: </w:t>
      </w:r>
      <w:r w:rsidR="00A47F70">
        <w:t xml:space="preserve">cancel further increases in the minimum rate of return; and </w:t>
      </w:r>
    </w:p>
    <w:p w:rsidR="00A47F70" w:rsidRDefault="00F24507" w:rsidP="00EF67E5">
      <w:pPr>
        <w:pStyle w:val="Bullet"/>
      </w:pPr>
      <w:r>
        <w:t>Option four</w:t>
      </w:r>
      <w:r w:rsidR="00C360E0">
        <w:t xml:space="preserve">: </w:t>
      </w:r>
      <w:r w:rsidR="00A47F70">
        <w:t xml:space="preserve">reduce the minimum rate of return. </w:t>
      </w:r>
    </w:p>
    <w:p w:rsidR="00F82AC1" w:rsidRDefault="00F82AC1" w:rsidP="00F82AC1">
      <w:pPr>
        <w:pStyle w:val="Numberedpara3level1"/>
      </w:pPr>
      <w:r>
        <w:t xml:space="preserve">There are no non-regulatory options, as the rate of return is specified in the Regulations. </w:t>
      </w:r>
    </w:p>
    <w:p w:rsidR="00F82AC1" w:rsidRDefault="00F82AC1" w:rsidP="00F82AC1">
      <w:pPr>
        <w:pStyle w:val="Numberedpara3level1"/>
      </w:pPr>
      <w:r>
        <w:t xml:space="preserve">None of the options will affect societies’ compliance costs. </w:t>
      </w:r>
    </w:p>
    <w:p w:rsidR="00F644AE" w:rsidRDefault="00F644AE" w:rsidP="00F82AC1">
      <w:pPr>
        <w:pStyle w:val="Numberedpara3level1"/>
      </w:pPr>
      <w:r>
        <w:t>The table below assess</w:t>
      </w:r>
      <w:r w:rsidR="00905360">
        <w:t>es</w:t>
      </w:r>
      <w:r>
        <w:t xml:space="preserve"> the net impact of the</w:t>
      </w:r>
      <w:r w:rsidR="00905360">
        <w:t xml:space="preserve"> options against the criteria</w:t>
      </w:r>
      <w:r>
        <w:t xml:space="preserve">. </w:t>
      </w:r>
    </w:p>
    <w:p w:rsidR="00D46C31" w:rsidRDefault="00D46C31" w:rsidP="00D46C31">
      <w:pPr>
        <w:pStyle w:val="Numberedpara3level1"/>
        <w:numPr>
          <w:ilvl w:val="0"/>
          <w:numId w:val="0"/>
        </w:numPr>
        <w:ind w:left="567" w:hanging="567"/>
        <w:sectPr w:rsidR="00D46C31" w:rsidSect="000965B6">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567" w:left="1418" w:header="425" w:footer="635" w:gutter="0"/>
          <w:cols w:space="708"/>
          <w:titlePg/>
          <w:docGrid w:linePitch="360"/>
        </w:sectPr>
      </w:pPr>
    </w:p>
    <w:p w:rsidR="007C5555" w:rsidRDefault="00967ECE" w:rsidP="00FB287C">
      <w:pPr>
        <w:pStyle w:val="Numberedpara3level1"/>
        <w:numPr>
          <w:ilvl w:val="0"/>
          <w:numId w:val="0"/>
        </w:numPr>
        <w:rPr>
          <w:b/>
        </w:rPr>
      </w:pPr>
      <w:r>
        <w:rPr>
          <w:b/>
        </w:rPr>
        <w:lastRenderedPageBreak/>
        <w:t>Table 2</w:t>
      </w:r>
      <w:r w:rsidR="00FB287C" w:rsidRPr="00D46C31">
        <w:rPr>
          <w:b/>
        </w:rPr>
        <w:t xml:space="preserve">: </w:t>
      </w:r>
      <w:r w:rsidR="00D46C31" w:rsidRPr="00D46C31">
        <w:rPr>
          <w:b/>
        </w:rPr>
        <w:t>Impact analysis of different options against the assessment criteria</w:t>
      </w:r>
    </w:p>
    <w:tbl>
      <w:tblPr>
        <w:tblStyle w:val="DIATable"/>
        <w:tblW w:w="15735" w:type="dxa"/>
        <w:tblLook w:val="04A0" w:firstRow="1" w:lastRow="0" w:firstColumn="1" w:lastColumn="0" w:noHBand="0" w:noVBand="1"/>
      </w:tblPr>
      <w:tblGrid>
        <w:gridCol w:w="1985"/>
        <w:gridCol w:w="4583"/>
        <w:gridCol w:w="4583"/>
        <w:gridCol w:w="4584"/>
      </w:tblGrid>
      <w:tr w:rsidR="00D46C31" w:rsidTr="00A3157D">
        <w:trPr>
          <w:cnfStyle w:val="100000000000" w:firstRow="1" w:lastRow="0" w:firstColumn="0" w:lastColumn="0" w:oddVBand="0" w:evenVBand="0" w:oddHBand="0" w:evenHBand="0" w:firstRowFirstColumn="0" w:firstRowLastColumn="0" w:lastRowFirstColumn="0" w:lastRowLastColumn="0"/>
          <w:cantSplit w:val="0"/>
          <w:tblHeader/>
        </w:trPr>
        <w:tc>
          <w:tcPr>
            <w:tcW w:w="1985" w:type="dxa"/>
          </w:tcPr>
          <w:p w:rsidR="00D46C31" w:rsidRDefault="00D46C31" w:rsidP="00056FB8">
            <w:pPr>
              <w:pStyle w:val="Numberedpara3level1"/>
              <w:numPr>
                <w:ilvl w:val="0"/>
                <w:numId w:val="0"/>
              </w:numPr>
            </w:pPr>
          </w:p>
        </w:tc>
        <w:tc>
          <w:tcPr>
            <w:tcW w:w="13750" w:type="dxa"/>
            <w:gridSpan w:val="3"/>
          </w:tcPr>
          <w:p w:rsidR="00D46C31" w:rsidRDefault="00D46C31" w:rsidP="00056FB8">
            <w:pPr>
              <w:pStyle w:val="Numberedpara3level1"/>
              <w:numPr>
                <w:ilvl w:val="0"/>
                <w:numId w:val="0"/>
              </w:numPr>
              <w:jc w:val="center"/>
            </w:pPr>
            <w:r>
              <w:t xml:space="preserve">Assessment Criteria </w:t>
            </w:r>
          </w:p>
        </w:tc>
      </w:tr>
      <w:tr w:rsidR="00D46C31" w:rsidTr="00A3157D">
        <w:trPr>
          <w:cnfStyle w:val="100000000000" w:firstRow="1" w:lastRow="0" w:firstColumn="0" w:lastColumn="0" w:oddVBand="0" w:evenVBand="0" w:oddHBand="0" w:evenHBand="0" w:firstRowFirstColumn="0" w:firstRowLastColumn="0" w:lastRowFirstColumn="0" w:lastRowLastColumn="0"/>
          <w:cantSplit w:val="0"/>
          <w:tblHeader/>
        </w:trPr>
        <w:tc>
          <w:tcPr>
            <w:tcW w:w="1985" w:type="dxa"/>
            <w:shd w:val="clear" w:color="auto" w:fill="8BC4DD" w:themeFill="text2" w:themeFillTint="66"/>
          </w:tcPr>
          <w:p w:rsidR="00D46C31" w:rsidRPr="00346B46" w:rsidRDefault="00D46C31" w:rsidP="00056FB8">
            <w:pPr>
              <w:pStyle w:val="Numberedpara3level1"/>
              <w:numPr>
                <w:ilvl w:val="0"/>
                <w:numId w:val="0"/>
              </w:numPr>
              <w:rPr>
                <w:color w:val="auto"/>
              </w:rPr>
            </w:pPr>
            <w:r w:rsidRPr="00346B46">
              <w:rPr>
                <w:color w:val="auto"/>
              </w:rPr>
              <w:t>Option</w:t>
            </w:r>
          </w:p>
        </w:tc>
        <w:tc>
          <w:tcPr>
            <w:tcW w:w="4583" w:type="dxa"/>
            <w:shd w:val="clear" w:color="auto" w:fill="8BC4DD" w:themeFill="text2" w:themeFillTint="66"/>
          </w:tcPr>
          <w:p w:rsidR="00D46C31" w:rsidRPr="00346B46" w:rsidRDefault="00D46C31" w:rsidP="00056FB8">
            <w:pPr>
              <w:pStyle w:val="Numberedpara3level1"/>
              <w:numPr>
                <w:ilvl w:val="0"/>
                <w:numId w:val="0"/>
              </w:numPr>
              <w:rPr>
                <w:color w:val="auto"/>
              </w:rPr>
            </w:pPr>
            <w:r w:rsidRPr="00346B46">
              <w:rPr>
                <w:color w:val="auto"/>
              </w:rPr>
              <w:t>Non-</w:t>
            </w:r>
            <w:r w:rsidR="004218C5">
              <w:rPr>
                <w:color w:val="auto"/>
              </w:rPr>
              <w:t xml:space="preserve">club </w:t>
            </w:r>
            <w:r w:rsidRPr="00346B46">
              <w:rPr>
                <w:color w:val="auto"/>
              </w:rPr>
              <w:t xml:space="preserve">societies’ viability </w:t>
            </w:r>
          </w:p>
        </w:tc>
        <w:tc>
          <w:tcPr>
            <w:tcW w:w="4583" w:type="dxa"/>
            <w:shd w:val="clear" w:color="auto" w:fill="8BC4DD" w:themeFill="text2" w:themeFillTint="66"/>
          </w:tcPr>
          <w:p w:rsidR="00D46C31" w:rsidRPr="00346B46" w:rsidRDefault="00D46C31" w:rsidP="00056FB8">
            <w:pPr>
              <w:pStyle w:val="Numberedpara3level1"/>
              <w:numPr>
                <w:ilvl w:val="0"/>
                <w:numId w:val="0"/>
              </w:numPr>
              <w:rPr>
                <w:color w:val="auto"/>
              </w:rPr>
            </w:pPr>
            <w:r w:rsidRPr="00346B46">
              <w:rPr>
                <w:color w:val="auto"/>
              </w:rPr>
              <w:t>Overall level of funding returned to the community</w:t>
            </w:r>
          </w:p>
        </w:tc>
        <w:tc>
          <w:tcPr>
            <w:tcW w:w="4584" w:type="dxa"/>
            <w:shd w:val="clear" w:color="auto" w:fill="8BC4DD" w:themeFill="text2" w:themeFillTint="66"/>
          </w:tcPr>
          <w:p w:rsidR="00D46C31" w:rsidRPr="00346B46" w:rsidRDefault="00D46C31" w:rsidP="00056FB8">
            <w:pPr>
              <w:pStyle w:val="Numberedpara3level1"/>
              <w:numPr>
                <w:ilvl w:val="0"/>
                <w:numId w:val="0"/>
              </w:numPr>
              <w:rPr>
                <w:color w:val="auto"/>
              </w:rPr>
            </w:pPr>
            <w:r w:rsidRPr="00346B46">
              <w:rPr>
                <w:color w:val="auto"/>
              </w:rPr>
              <w:t>Net impact</w:t>
            </w:r>
          </w:p>
        </w:tc>
      </w:tr>
      <w:tr w:rsidR="00F24507" w:rsidRPr="007E0660" w:rsidTr="00A3157D">
        <w:trPr>
          <w:cantSplit w:val="0"/>
        </w:trPr>
        <w:tc>
          <w:tcPr>
            <w:tcW w:w="1985" w:type="dxa"/>
          </w:tcPr>
          <w:p w:rsidR="00F24507" w:rsidRPr="009E3583" w:rsidRDefault="00F24507" w:rsidP="00056FB8">
            <w:pPr>
              <w:pStyle w:val="Numberedpara3level1"/>
              <w:numPr>
                <w:ilvl w:val="0"/>
                <w:numId w:val="0"/>
              </w:numPr>
              <w:rPr>
                <w:b/>
              </w:rPr>
            </w:pPr>
            <w:r w:rsidRPr="009E3583">
              <w:rPr>
                <w:b/>
              </w:rPr>
              <w:t>Option one: status quo</w:t>
            </w:r>
          </w:p>
        </w:tc>
        <w:tc>
          <w:tcPr>
            <w:tcW w:w="4583" w:type="dxa"/>
          </w:tcPr>
          <w:p w:rsidR="00CF320E" w:rsidRPr="009E3583" w:rsidRDefault="00CF320E" w:rsidP="00A3157D">
            <w:pPr>
              <w:pStyle w:val="Numberedpara3level1"/>
              <w:numPr>
                <w:ilvl w:val="0"/>
                <w:numId w:val="0"/>
              </w:numPr>
              <w:spacing w:after="0"/>
              <w:rPr>
                <w:b/>
                <w:i/>
              </w:rPr>
            </w:pPr>
            <w:r w:rsidRPr="009E3583">
              <w:rPr>
                <w:b/>
                <w:i/>
              </w:rPr>
              <w:t>Benefits</w:t>
            </w:r>
          </w:p>
          <w:p w:rsidR="00CF320E" w:rsidRPr="009E3583" w:rsidRDefault="00CD6506" w:rsidP="00CF320E">
            <w:pPr>
              <w:pStyle w:val="Numberedpara3level1"/>
              <w:numPr>
                <w:ilvl w:val="0"/>
                <w:numId w:val="16"/>
              </w:numPr>
              <w:rPr>
                <w:b/>
                <w:i/>
              </w:rPr>
            </w:pPr>
            <w:r w:rsidRPr="009E3583">
              <w:t>None</w:t>
            </w:r>
          </w:p>
          <w:p w:rsidR="00F24507" w:rsidRPr="009E3583" w:rsidRDefault="00CF320E" w:rsidP="00A3157D">
            <w:pPr>
              <w:pStyle w:val="Numberedpara3level1"/>
              <w:numPr>
                <w:ilvl w:val="0"/>
                <w:numId w:val="0"/>
              </w:numPr>
              <w:spacing w:after="0"/>
              <w:rPr>
                <w:b/>
                <w:i/>
              </w:rPr>
            </w:pPr>
            <w:r w:rsidRPr="009E3583">
              <w:rPr>
                <w:b/>
                <w:i/>
              </w:rPr>
              <w:t>Risks</w:t>
            </w:r>
          </w:p>
          <w:p w:rsidR="00CF320E" w:rsidRPr="009E3583" w:rsidRDefault="00CD6506" w:rsidP="00CF320E">
            <w:pPr>
              <w:pStyle w:val="Tablebullet"/>
            </w:pPr>
            <w:r w:rsidRPr="009E3583">
              <w:t>It would risk societies closing down low-GMP venues in order to cover increasing costs</w:t>
            </w:r>
            <w:r w:rsidR="00791B27" w:rsidRPr="009E3583">
              <w:t>, or exit the sector altogether</w:t>
            </w:r>
          </w:p>
        </w:tc>
        <w:tc>
          <w:tcPr>
            <w:tcW w:w="4583" w:type="dxa"/>
          </w:tcPr>
          <w:p w:rsidR="00A30755" w:rsidRPr="009E3583" w:rsidRDefault="00A30755" w:rsidP="00A3157D">
            <w:pPr>
              <w:pStyle w:val="Numberedpara3level1"/>
              <w:numPr>
                <w:ilvl w:val="0"/>
                <w:numId w:val="0"/>
              </w:numPr>
              <w:spacing w:after="0"/>
              <w:rPr>
                <w:b/>
                <w:i/>
              </w:rPr>
            </w:pPr>
            <w:r w:rsidRPr="009E3583">
              <w:rPr>
                <w:b/>
                <w:i/>
              </w:rPr>
              <w:t>Benefits</w:t>
            </w:r>
          </w:p>
          <w:p w:rsidR="00791B27" w:rsidRPr="009E3583" w:rsidRDefault="00791B27" w:rsidP="00791B27">
            <w:pPr>
              <w:pStyle w:val="Tablebullet"/>
            </w:pPr>
            <w:r w:rsidRPr="009E3583">
              <w:t>Reflects the original intent of the Regulations, to maximise returns</w:t>
            </w:r>
          </w:p>
          <w:p w:rsidR="00A30755" w:rsidRPr="009E3583" w:rsidRDefault="00A30755" w:rsidP="00A30755">
            <w:pPr>
              <w:pStyle w:val="Numberedpara3level1"/>
              <w:numPr>
                <w:ilvl w:val="0"/>
                <w:numId w:val="0"/>
              </w:numPr>
              <w:rPr>
                <w:b/>
                <w:i/>
              </w:rPr>
            </w:pPr>
            <w:r w:rsidRPr="009E3583">
              <w:rPr>
                <w:b/>
                <w:i/>
              </w:rPr>
              <w:t>Risks</w:t>
            </w:r>
          </w:p>
          <w:p w:rsidR="00F24507" w:rsidRPr="009E3583" w:rsidRDefault="00791B27" w:rsidP="00A30755">
            <w:pPr>
              <w:pStyle w:val="Tablebullet"/>
            </w:pPr>
            <w:r w:rsidRPr="009E3583">
              <w:t>Could reduce the overall amount of funding going to the community.</w:t>
            </w:r>
          </w:p>
        </w:tc>
        <w:tc>
          <w:tcPr>
            <w:tcW w:w="4584" w:type="dxa"/>
          </w:tcPr>
          <w:p w:rsidR="00F24507" w:rsidRPr="009E3583" w:rsidRDefault="00CD6506" w:rsidP="00CD6506">
            <w:pPr>
              <w:pStyle w:val="Numberedpara3level1"/>
              <w:numPr>
                <w:ilvl w:val="0"/>
                <w:numId w:val="0"/>
              </w:numPr>
            </w:pPr>
            <w:r w:rsidRPr="009E3583">
              <w:t>The status quo is considered to be untenable due</w:t>
            </w:r>
            <w:r w:rsidR="0093247B" w:rsidRPr="009E3583">
              <w:t xml:space="preserve"> to the risk of societies shedding low-GMP venues, or exiting altogether. This in turn could reduce the amount </w:t>
            </w:r>
            <w:r w:rsidR="001F35DB" w:rsidRPr="009E3583">
              <w:t>of funding going to communities</w:t>
            </w:r>
            <w:r w:rsidR="0093247B" w:rsidRPr="009E3583">
              <w:t xml:space="preserve"> </w:t>
            </w:r>
          </w:p>
        </w:tc>
      </w:tr>
      <w:tr w:rsidR="00D46C31" w:rsidTr="00A3157D">
        <w:trPr>
          <w:cantSplit w:val="0"/>
        </w:trPr>
        <w:tc>
          <w:tcPr>
            <w:tcW w:w="1985" w:type="dxa"/>
          </w:tcPr>
          <w:p w:rsidR="00D46C31" w:rsidRPr="00B11609" w:rsidRDefault="00D46C31" w:rsidP="00056FB8">
            <w:pPr>
              <w:pStyle w:val="Numberedpara3level1"/>
              <w:numPr>
                <w:ilvl w:val="0"/>
                <w:numId w:val="0"/>
              </w:numPr>
              <w:rPr>
                <w:b/>
              </w:rPr>
            </w:pPr>
            <w:r w:rsidRPr="00061338">
              <w:rPr>
                <w:b/>
              </w:rPr>
              <w:t xml:space="preserve">Option </w:t>
            </w:r>
            <w:r w:rsidR="00F24507">
              <w:rPr>
                <w:b/>
              </w:rPr>
              <w:t>two</w:t>
            </w:r>
            <w:r w:rsidRPr="00061338">
              <w:rPr>
                <w:b/>
              </w:rPr>
              <w:t xml:space="preserve">: delay further increases in the minimum rate of return </w:t>
            </w:r>
            <w:r>
              <w:rPr>
                <w:b/>
              </w:rPr>
              <w:t xml:space="preserve">to 2020 and 2022 respectively </w:t>
            </w:r>
          </w:p>
        </w:tc>
        <w:tc>
          <w:tcPr>
            <w:tcW w:w="4583" w:type="dxa"/>
          </w:tcPr>
          <w:p w:rsidR="00DD78B6" w:rsidRPr="00A23578" w:rsidRDefault="00DD78B6" w:rsidP="00DD78B6">
            <w:pPr>
              <w:pStyle w:val="Numberedpara3level1"/>
              <w:numPr>
                <w:ilvl w:val="0"/>
                <w:numId w:val="0"/>
              </w:numPr>
              <w:rPr>
                <w:b/>
                <w:i/>
              </w:rPr>
            </w:pPr>
            <w:r w:rsidRPr="00A23578">
              <w:rPr>
                <w:b/>
                <w:i/>
              </w:rPr>
              <w:t>Benefits</w:t>
            </w:r>
          </w:p>
          <w:p w:rsidR="00DD78B6" w:rsidRDefault="00DD78B6" w:rsidP="00DD78B6">
            <w:pPr>
              <w:pStyle w:val="Tablebullet"/>
            </w:pPr>
            <w:r>
              <w:t>No immedi</w:t>
            </w:r>
            <w:r w:rsidR="00EF1BCD">
              <w:t>ate impact on societies’ costs</w:t>
            </w:r>
          </w:p>
          <w:p w:rsidR="00DD78B6" w:rsidRPr="00A23578" w:rsidRDefault="00DD78B6" w:rsidP="00DD78B6">
            <w:pPr>
              <w:pStyle w:val="Tablebullet"/>
              <w:numPr>
                <w:ilvl w:val="0"/>
                <w:numId w:val="0"/>
              </w:numPr>
              <w:rPr>
                <w:b/>
                <w:i/>
              </w:rPr>
            </w:pPr>
            <w:r w:rsidRPr="00A23578">
              <w:rPr>
                <w:b/>
                <w:i/>
              </w:rPr>
              <w:t>Risks</w:t>
            </w:r>
          </w:p>
          <w:p w:rsidR="001B4F74" w:rsidRPr="001B4F74" w:rsidRDefault="00D32E92" w:rsidP="001B4F74">
            <w:pPr>
              <w:pStyle w:val="Tablebullet"/>
            </w:pPr>
            <w:r>
              <w:t xml:space="preserve">It is possible societies still will </w:t>
            </w:r>
            <w:r w:rsidR="00DD78B6">
              <w:t xml:space="preserve">not be able to afford a higher </w:t>
            </w:r>
            <w:r>
              <w:t>rate of return by 2020, which would mean</w:t>
            </w:r>
            <w:r w:rsidR="00DD78B6">
              <w:t xml:space="preserve"> the Regulatio</w:t>
            </w:r>
            <w:r w:rsidR="00EF1BCD">
              <w:t>ns may have to be changed again</w:t>
            </w:r>
            <w:r>
              <w:t>. This would also impose a transaction cost on the Department, due to having to change the Regulations again</w:t>
            </w:r>
          </w:p>
          <w:p w:rsidR="00DD78B6" w:rsidRPr="00DD78B6" w:rsidRDefault="00DD78B6" w:rsidP="00DD78B6">
            <w:pPr>
              <w:pStyle w:val="Tablebullet"/>
            </w:pPr>
            <w:r>
              <w:t>The risk of closing venues and societies exiting the sector would only be delayed</w:t>
            </w:r>
            <w:r w:rsidR="008D3743">
              <w:t xml:space="preserve"> if societies still cannot afford a higher rate in 2020</w:t>
            </w:r>
          </w:p>
        </w:tc>
        <w:tc>
          <w:tcPr>
            <w:tcW w:w="4583" w:type="dxa"/>
          </w:tcPr>
          <w:p w:rsidR="00DD78B6" w:rsidRPr="00A23578" w:rsidRDefault="00DD78B6" w:rsidP="00DD78B6">
            <w:pPr>
              <w:pStyle w:val="Numberedpara3level1"/>
              <w:numPr>
                <w:ilvl w:val="0"/>
                <w:numId w:val="0"/>
              </w:numPr>
              <w:rPr>
                <w:b/>
                <w:i/>
              </w:rPr>
            </w:pPr>
            <w:r w:rsidRPr="00A23578">
              <w:rPr>
                <w:b/>
                <w:i/>
              </w:rPr>
              <w:t>Benefits</w:t>
            </w:r>
          </w:p>
          <w:p w:rsidR="00DD78B6" w:rsidRPr="00DD78B6" w:rsidRDefault="00DD78B6" w:rsidP="00DD78B6">
            <w:pPr>
              <w:pStyle w:val="Tablebullet"/>
            </w:pPr>
            <w:r w:rsidRPr="00DD78B6">
              <w:t>Reflects the original intent of the Re</w:t>
            </w:r>
            <w:r w:rsidR="00EF1BCD">
              <w:t>gulations, to maximise returns</w:t>
            </w:r>
          </w:p>
          <w:p w:rsidR="00DD78B6" w:rsidRPr="00A23578" w:rsidRDefault="00DD78B6" w:rsidP="00DD78B6">
            <w:pPr>
              <w:pStyle w:val="Tablebullet"/>
              <w:numPr>
                <w:ilvl w:val="0"/>
                <w:numId w:val="0"/>
              </w:numPr>
              <w:rPr>
                <w:b/>
                <w:i/>
              </w:rPr>
            </w:pPr>
            <w:r w:rsidRPr="00A23578">
              <w:rPr>
                <w:b/>
                <w:i/>
              </w:rPr>
              <w:t>Risks</w:t>
            </w:r>
          </w:p>
          <w:p w:rsidR="00D46C31" w:rsidRDefault="008C51AE" w:rsidP="0095612B">
            <w:pPr>
              <w:pStyle w:val="Tablebullet"/>
            </w:pPr>
            <w:r>
              <w:t>Could still affect the overall amount of funding going to the community, the effect would just be delayed until 2020</w:t>
            </w:r>
          </w:p>
          <w:p w:rsidR="00885111" w:rsidRDefault="001B4F74" w:rsidP="00885111">
            <w:pPr>
              <w:pStyle w:val="Tablebullet"/>
            </w:pPr>
            <w:r>
              <w:t xml:space="preserve">If societies know they are going to be faced with another increase in the rate of return in 2020, they may start closing venues before 2020 in preparation for </w:t>
            </w:r>
            <w:r w:rsidR="00A07E7E">
              <w:t>meeting the costs, which</w:t>
            </w:r>
            <w:r>
              <w:t xml:space="preserve"> could affect the overall pool of fun</w:t>
            </w:r>
            <w:r w:rsidR="008E6934">
              <w:t>ding available for communities</w:t>
            </w:r>
          </w:p>
          <w:p w:rsidR="00E86D97" w:rsidRPr="00885111" w:rsidRDefault="00E86D97" w:rsidP="00885111">
            <w:pPr>
              <w:pStyle w:val="Tablebullet"/>
            </w:pPr>
            <w:r>
              <w:t>As low-GMP venues tend to be in rural areas, this could have a negative effect on funds returned to rural communities</w:t>
            </w:r>
          </w:p>
        </w:tc>
        <w:tc>
          <w:tcPr>
            <w:tcW w:w="4584" w:type="dxa"/>
          </w:tcPr>
          <w:p w:rsidR="00D46C31" w:rsidRPr="009B16CC" w:rsidRDefault="00D46C31" w:rsidP="00056FB8">
            <w:pPr>
              <w:pStyle w:val="Numberedpara3level1"/>
              <w:numPr>
                <w:ilvl w:val="0"/>
                <w:numId w:val="0"/>
              </w:numPr>
              <w:rPr>
                <w:b/>
              </w:rPr>
            </w:pPr>
            <w:r w:rsidRPr="009B16CC">
              <w:rPr>
                <w:b/>
              </w:rPr>
              <w:t>Slightly better than status quo</w:t>
            </w:r>
          </w:p>
          <w:p w:rsidR="00D46C31" w:rsidRDefault="009B16CC" w:rsidP="008D3743">
            <w:pPr>
              <w:pStyle w:val="Numberedpara3level1"/>
              <w:numPr>
                <w:ilvl w:val="0"/>
                <w:numId w:val="0"/>
              </w:numPr>
            </w:pPr>
            <w:r>
              <w:t xml:space="preserve">The Department </w:t>
            </w:r>
            <w:r w:rsidR="00281027">
              <w:t>cannot predict with any certainty future c</w:t>
            </w:r>
            <w:r w:rsidR="003717FC">
              <w:t>hanges to individual societies’</w:t>
            </w:r>
            <w:r w:rsidR="00281027">
              <w:t xml:space="preserve"> financial positions or the financial position of the class 4 sector as a whole</w:t>
            </w:r>
            <w:r>
              <w:t>. It is uncertain how the various changes in the sector will affect societies’ ability to return at higher rates in 2020.</w:t>
            </w:r>
            <w:r w:rsidR="00242A0A">
              <w:t xml:space="preserve"> </w:t>
            </w:r>
            <w:r w:rsidR="008D3743">
              <w:t xml:space="preserve">It is likely it would only </w:t>
            </w:r>
            <w:r w:rsidR="00242A0A">
              <w:t>delay some of the risks of the status quo</w:t>
            </w:r>
            <w:r w:rsidR="001F35DB">
              <w:t xml:space="preserve"> and carries some risk that societies may close low-GMP </w:t>
            </w:r>
            <w:r w:rsidR="00122E6B">
              <w:t xml:space="preserve">venues </w:t>
            </w:r>
            <w:r w:rsidR="001F35DB">
              <w:t>in the run-up to 2020</w:t>
            </w:r>
          </w:p>
        </w:tc>
      </w:tr>
      <w:tr w:rsidR="00D46C31" w:rsidTr="00A3157D">
        <w:trPr>
          <w:cantSplit w:val="0"/>
        </w:trPr>
        <w:tc>
          <w:tcPr>
            <w:tcW w:w="1985" w:type="dxa"/>
            <w:shd w:val="clear" w:color="auto" w:fill="E4F3F5" w:themeFill="accent1" w:themeFillTint="33"/>
          </w:tcPr>
          <w:p w:rsidR="00D46C31" w:rsidRPr="00B11609" w:rsidRDefault="00D46C31" w:rsidP="00056FB8">
            <w:pPr>
              <w:pStyle w:val="Numberedpara3level1"/>
              <w:numPr>
                <w:ilvl w:val="0"/>
                <w:numId w:val="0"/>
              </w:numPr>
              <w:rPr>
                <w:b/>
              </w:rPr>
            </w:pPr>
            <w:r w:rsidRPr="00EB3792">
              <w:rPr>
                <w:b/>
              </w:rPr>
              <w:t xml:space="preserve">Option </w:t>
            </w:r>
            <w:r w:rsidR="00F24507">
              <w:rPr>
                <w:b/>
              </w:rPr>
              <w:t>three</w:t>
            </w:r>
            <w:r w:rsidRPr="00EB3792">
              <w:rPr>
                <w:b/>
              </w:rPr>
              <w:t>: cancel further increases in the minimum rate of return</w:t>
            </w:r>
            <w:r>
              <w:rPr>
                <w:b/>
              </w:rPr>
              <w:t xml:space="preserve"> (preferred option)</w:t>
            </w:r>
          </w:p>
        </w:tc>
        <w:tc>
          <w:tcPr>
            <w:tcW w:w="4583" w:type="dxa"/>
            <w:shd w:val="clear" w:color="auto" w:fill="E4F3F5" w:themeFill="accent1" w:themeFillTint="33"/>
          </w:tcPr>
          <w:p w:rsidR="00D46C31" w:rsidRPr="00A23578" w:rsidRDefault="00D46C31" w:rsidP="00056FB8">
            <w:pPr>
              <w:pStyle w:val="Numberedpara3level1"/>
              <w:numPr>
                <w:ilvl w:val="0"/>
                <w:numId w:val="0"/>
              </w:numPr>
              <w:rPr>
                <w:b/>
                <w:i/>
              </w:rPr>
            </w:pPr>
            <w:r w:rsidRPr="00A23578">
              <w:rPr>
                <w:b/>
                <w:i/>
              </w:rPr>
              <w:t>Benefits</w:t>
            </w:r>
          </w:p>
          <w:p w:rsidR="00D46C31" w:rsidRDefault="008B48AF" w:rsidP="00056FB8">
            <w:pPr>
              <w:pStyle w:val="Tablebullet"/>
            </w:pPr>
            <w:r>
              <w:t>Takes into account societies’ increasing costs</w:t>
            </w:r>
            <w:r w:rsidR="00C147E9">
              <w:t xml:space="preserve"> and future uncertainty in sector</w:t>
            </w:r>
          </w:p>
          <w:p w:rsidR="00D46C31" w:rsidRPr="00334A07" w:rsidRDefault="00B624C7" w:rsidP="00334A07">
            <w:pPr>
              <w:pStyle w:val="Tablebullet"/>
            </w:pPr>
            <w:r>
              <w:t xml:space="preserve">Will </w:t>
            </w:r>
            <w:r w:rsidR="00EF1BCD">
              <w:t xml:space="preserve">minimise the risk </w:t>
            </w:r>
            <w:r w:rsidR="00B42D30">
              <w:t xml:space="preserve">of </w:t>
            </w:r>
            <w:r w:rsidR="00EF1BCD">
              <w:t>societies closing</w:t>
            </w:r>
            <w:r>
              <w:t xml:space="preserve"> low-GMP venues in order to meet a higher rate of return</w:t>
            </w:r>
          </w:p>
          <w:p w:rsidR="00D46C31" w:rsidRPr="00A23578" w:rsidRDefault="00D46C31" w:rsidP="00056FB8">
            <w:pPr>
              <w:pStyle w:val="Tablebullet"/>
              <w:numPr>
                <w:ilvl w:val="0"/>
                <w:numId w:val="0"/>
              </w:numPr>
              <w:rPr>
                <w:b/>
                <w:i/>
              </w:rPr>
            </w:pPr>
            <w:r w:rsidRPr="00A23578">
              <w:rPr>
                <w:b/>
                <w:i/>
              </w:rPr>
              <w:lastRenderedPageBreak/>
              <w:t>Risks</w:t>
            </w:r>
          </w:p>
          <w:p w:rsidR="00D46C31" w:rsidRDefault="00237C89" w:rsidP="00595E1B">
            <w:pPr>
              <w:pStyle w:val="Tablebullet"/>
            </w:pPr>
            <w:r>
              <w:t xml:space="preserve">It could have the perverse incentive of societies </w:t>
            </w:r>
            <w:r w:rsidR="00BE1C35">
              <w:t>reporting increased</w:t>
            </w:r>
            <w:r>
              <w:t xml:space="preserve"> costs, as they do not have to meet a higher rate</w:t>
            </w:r>
            <w:r w:rsidR="00BE1C35">
              <w:t>. This would be</w:t>
            </w:r>
            <w:r>
              <w:t xml:space="preserve"> contra</w:t>
            </w:r>
            <w:r w:rsidR="008D3743">
              <w:t>ry to section 53</w:t>
            </w:r>
            <w:r w:rsidR="00BE1C35">
              <w:t>A(b</w:t>
            </w:r>
            <w:r w:rsidR="008D3743">
              <w:t>) of the Act</w:t>
            </w:r>
            <w:r w:rsidR="00924959">
              <w:t xml:space="preserve">, which </w:t>
            </w:r>
            <w:r w:rsidR="00924959" w:rsidRPr="00924959">
              <w:t>was added to the Gambling Act 2003</w:t>
            </w:r>
            <w:r w:rsidR="00924959">
              <w:t xml:space="preserve"> in 2015</w:t>
            </w:r>
            <w:r w:rsidR="00924959" w:rsidRPr="00924959">
              <w:t>.</w:t>
            </w:r>
            <w:r w:rsidR="00924959">
              <w:t xml:space="preserve"> This section</w:t>
            </w:r>
            <w:r w:rsidR="00595E1B">
              <w:t xml:space="preserve"> requires societies to</w:t>
            </w:r>
            <w:r w:rsidR="00924959" w:rsidRPr="00924959">
              <w:t xml:space="preserve"> ensure that at all times the net proceeds from gambling are maximised and the operating costs of the society conduc</w:t>
            </w:r>
            <w:r w:rsidR="00EF1BCD">
              <w:t>ting the gambling are minimised</w:t>
            </w:r>
            <w:r w:rsidR="00924959" w:rsidRPr="00924959">
              <w:t xml:space="preserve"> </w:t>
            </w:r>
          </w:p>
          <w:p w:rsidR="00663696" w:rsidRDefault="00397F48" w:rsidP="00595E1B">
            <w:pPr>
              <w:pStyle w:val="Tablebullet"/>
            </w:pPr>
            <w:r>
              <w:t>It could</w:t>
            </w:r>
            <w:r w:rsidR="00663696">
              <w:t xml:space="preserve"> impose a future transaction cost on the Department if the rate of return has to be increased again </w:t>
            </w:r>
          </w:p>
          <w:p w:rsidR="005D4FE1" w:rsidRPr="00924959" w:rsidRDefault="00D3678C" w:rsidP="00595E1B">
            <w:pPr>
              <w:pStyle w:val="Tablebullet"/>
            </w:pPr>
            <w:r>
              <w:t>It risks allowing</w:t>
            </w:r>
            <w:r w:rsidR="005D4FE1">
              <w:t xml:space="preserve"> inefficient operators </w:t>
            </w:r>
            <w:r w:rsidR="007D49F3">
              <w:t>to remain in the sector</w:t>
            </w:r>
            <w:r w:rsidR="00397F48">
              <w:t xml:space="preserve">, and not provide more efficient operators </w:t>
            </w:r>
            <w:r w:rsidR="00373934">
              <w:t xml:space="preserve">the opportunity to take over low-GMP venues. However, data shows low-GMP venues are decreasing, which suggests </w:t>
            </w:r>
            <w:r w:rsidR="008F6A3F">
              <w:t xml:space="preserve">they are not being picked up by other operators. </w:t>
            </w:r>
          </w:p>
        </w:tc>
        <w:tc>
          <w:tcPr>
            <w:tcW w:w="4583" w:type="dxa"/>
            <w:shd w:val="clear" w:color="auto" w:fill="E4F3F5" w:themeFill="accent1" w:themeFillTint="33"/>
          </w:tcPr>
          <w:p w:rsidR="00D46C31" w:rsidRPr="00A23578" w:rsidRDefault="00D46C31" w:rsidP="00056FB8">
            <w:pPr>
              <w:pStyle w:val="Numberedpara3level1"/>
              <w:numPr>
                <w:ilvl w:val="0"/>
                <w:numId w:val="0"/>
              </w:numPr>
              <w:rPr>
                <w:b/>
                <w:i/>
              </w:rPr>
            </w:pPr>
            <w:r w:rsidRPr="00A23578">
              <w:rPr>
                <w:b/>
                <w:i/>
              </w:rPr>
              <w:lastRenderedPageBreak/>
              <w:t>Benefits</w:t>
            </w:r>
          </w:p>
          <w:p w:rsidR="00C147E9" w:rsidRPr="00C147E9" w:rsidRDefault="00CC7329" w:rsidP="00C147E9">
            <w:pPr>
              <w:pStyle w:val="Tablebullet"/>
            </w:pPr>
            <w:r>
              <w:t>Reduces the risk of a negative</w:t>
            </w:r>
            <w:r w:rsidR="005A2EB1">
              <w:t xml:space="preserve"> impact on the overall funding available for distribution to communities</w:t>
            </w:r>
          </w:p>
          <w:p w:rsidR="00D46C31" w:rsidRPr="00A23578" w:rsidRDefault="00D46C31" w:rsidP="00056FB8">
            <w:pPr>
              <w:pStyle w:val="Tablebullet"/>
              <w:numPr>
                <w:ilvl w:val="0"/>
                <w:numId w:val="0"/>
              </w:numPr>
              <w:rPr>
                <w:b/>
                <w:i/>
              </w:rPr>
            </w:pPr>
            <w:r w:rsidRPr="00A23578">
              <w:rPr>
                <w:b/>
                <w:i/>
              </w:rPr>
              <w:t>Risks</w:t>
            </w:r>
          </w:p>
          <w:p w:rsidR="001F4A92" w:rsidRPr="001F4A92" w:rsidRDefault="005B56DC" w:rsidP="001F4A92">
            <w:pPr>
              <w:pStyle w:val="Tablebullet"/>
            </w:pPr>
            <w:r>
              <w:t xml:space="preserve">A possible missed opportunity to increase </w:t>
            </w:r>
            <w:r>
              <w:lastRenderedPageBreak/>
              <w:t xml:space="preserve">funds available to distribute to communities. </w:t>
            </w:r>
            <w:r w:rsidR="00797A0F">
              <w:t>However, if societies are returning at higher rates of return in future, the rate can be reviewed again</w:t>
            </w:r>
          </w:p>
        </w:tc>
        <w:tc>
          <w:tcPr>
            <w:tcW w:w="4584" w:type="dxa"/>
            <w:shd w:val="clear" w:color="auto" w:fill="E4F3F5" w:themeFill="accent1" w:themeFillTint="33"/>
          </w:tcPr>
          <w:p w:rsidR="00D46C31" w:rsidRPr="009B16CC" w:rsidRDefault="00D46C31" w:rsidP="00056FB8">
            <w:pPr>
              <w:pStyle w:val="Numberedpara3level1"/>
              <w:numPr>
                <w:ilvl w:val="0"/>
                <w:numId w:val="0"/>
              </w:numPr>
              <w:rPr>
                <w:b/>
              </w:rPr>
            </w:pPr>
            <w:r w:rsidRPr="009B16CC">
              <w:rPr>
                <w:b/>
              </w:rPr>
              <w:lastRenderedPageBreak/>
              <w:t>Significantly better than status quo</w:t>
            </w:r>
          </w:p>
          <w:p w:rsidR="00D46C31" w:rsidRDefault="009B2949" w:rsidP="00C147E9">
            <w:pPr>
              <w:pStyle w:val="Numberedpara3level1"/>
              <w:numPr>
                <w:ilvl w:val="0"/>
                <w:numId w:val="0"/>
              </w:numPr>
            </w:pPr>
            <w:r>
              <w:t>This option takes</w:t>
            </w:r>
            <w:r w:rsidR="00C147E9">
              <w:t xml:space="preserve"> into account societies’ costs, and </w:t>
            </w:r>
            <w:r>
              <w:t>other changes that will im</w:t>
            </w:r>
            <w:r w:rsidR="008A69BD">
              <w:t xml:space="preserve">pact on societies’ ability to meet the rate of return. </w:t>
            </w:r>
            <w:r w:rsidR="00C147E9">
              <w:t xml:space="preserve">It also acknowledges future uncertainties in the sector. </w:t>
            </w:r>
            <w:r w:rsidR="00692D07">
              <w:t>It minimise</w:t>
            </w:r>
            <w:r w:rsidR="001C3FD4">
              <w:t>s</w:t>
            </w:r>
            <w:r w:rsidR="00692D07">
              <w:t xml:space="preserve"> the risk of</w:t>
            </w:r>
            <w:r w:rsidR="0027162B">
              <w:t xml:space="preserve"> </w:t>
            </w:r>
            <w:r w:rsidR="00692D07">
              <w:t xml:space="preserve">the </w:t>
            </w:r>
            <w:r w:rsidR="0027162B">
              <w:t xml:space="preserve">pool of funding </w:t>
            </w:r>
            <w:r w:rsidR="0027162B">
              <w:lastRenderedPageBreak/>
              <w:t>available</w:t>
            </w:r>
            <w:r w:rsidR="00692D07">
              <w:t xml:space="preserve"> for communities being reduced</w:t>
            </w:r>
            <w:r w:rsidR="009E301E">
              <w:t xml:space="preserve">. It </w:t>
            </w:r>
            <w:r w:rsidR="00BE5615">
              <w:t>minimises the risk</w:t>
            </w:r>
            <w:r w:rsidR="009E301E">
              <w:t xml:space="preserve"> societies </w:t>
            </w:r>
            <w:r w:rsidR="00BE5615">
              <w:t xml:space="preserve">may </w:t>
            </w:r>
            <w:r w:rsidR="009E301E">
              <w:t xml:space="preserve">close low-GMP venues, which would have a disproportionate effect on </w:t>
            </w:r>
            <w:r w:rsidR="001F35DB">
              <w:t>rural communities. Societies will</w:t>
            </w:r>
            <w:r w:rsidR="009E301E">
              <w:t xml:space="preserve"> also still </w:t>
            </w:r>
            <w:r w:rsidR="001F35DB">
              <w:t xml:space="preserve">be </w:t>
            </w:r>
            <w:r w:rsidR="009E301E">
              <w:t>able to ret</w:t>
            </w:r>
            <w:r w:rsidR="00237C89">
              <w:t>urn at higher rate if possible.</w:t>
            </w:r>
            <w:r w:rsidR="009E301E">
              <w:t xml:space="preserve"> </w:t>
            </w:r>
            <w:r w:rsidR="005E2E1E">
              <w:t xml:space="preserve">There is a small risk that it could incentivise societies to </w:t>
            </w:r>
            <w:r w:rsidR="000E357A">
              <w:t xml:space="preserve">report </w:t>
            </w:r>
            <w:r w:rsidR="005E2E1E">
              <w:t>increase</w:t>
            </w:r>
            <w:r w:rsidR="000E357A">
              <w:t>d</w:t>
            </w:r>
            <w:r w:rsidR="005E2E1E">
              <w:t xml:space="preserve"> costs and lower their rate of return. Cancelling further increases could also be a missed opportunity to increase funds going to the communit</w:t>
            </w:r>
            <w:r w:rsidR="00EF1BCD">
              <w:t>y</w:t>
            </w:r>
            <w:r w:rsidR="001F4A92">
              <w:t xml:space="preserve">. This option also imposes transaction costs on the Department, through the changing of the Regulations and future reviews. </w:t>
            </w:r>
          </w:p>
        </w:tc>
      </w:tr>
      <w:tr w:rsidR="00D46C31" w:rsidTr="00A3157D">
        <w:trPr>
          <w:cantSplit w:val="0"/>
        </w:trPr>
        <w:tc>
          <w:tcPr>
            <w:tcW w:w="1985" w:type="dxa"/>
          </w:tcPr>
          <w:p w:rsidR="00D46C31" w:rsidRPr="00B11609" w:rsidRDefault="00D46C31" w:rsidP="00056FB8">
            <w:pPr>
              <w:pStyle w:val="Numberedpara3level1"/>
              <w:numPr>
                <w:ilvl w:val="0"/>
                <w:numId w:val="0"/>
              </w:numPr>
              <w:rPr>
                <w:b/>
              </w:rPr>
            </w:pPr>
            <w:r w:rsidRPr="00EB3792">
              <w:rPr>
                <w:b/>
              </w:rPr>
              <w:lastRenderedPageBreak/>
              <w:t xml:space="preserve">Option </w:t>
            </w:r>
            <w:r w:rsidR="00F24507">
              <w:rPr>
                <w:b/>
              </w:rPr>
              <w:t>four</w:t>
            </w:r>
            <w:r w:rsidRPr="00EB3792">
              <w:rPr>
                <w:b/>
              </w:rPr>
              <w:t xml:space="preserve">: reduce the minimum rate of return </w:t>
            </w:r>
          </w:p>
        </w:tc>
        <w:tc>
          <w:tcPr>
            <w:tcW w:w="4583" w:type="dxa"/>
          </w:tcPr>
          <w:p w:rsidR="009D77FE" w:rsidRPr="00A23578" w:rsidRDefault="009D77FE" w:rsidP="009D77FE">
            <w:pPr>
              <w:pStyle w:val="Numberedpara3level1"/>
              <w:numPr>
                <w:ilvl w:val="0"/>
                <w:numId w:val="0"/>
              </w:numPr>
              <w:rPr>
                <w:b/>
                <w:i/>
              </w:rPr>
            </w:pPr>
            <w:r w:rsidRPr="00A23578">
              <w:rPr>
                <w:b/>
                <w:i/>
              </w:rPr>
              <w:t>Benefits</w:t>
            </w:r>
          </w:p>
          <w:p w:rsidR="009D77FE" w:rsidRDefault="0041025F" w:rsidP="009D77FE">
            <w:pPr>
              <w:pStyle w:val="Tablebullet"/>
            </w:pPr>
            <w:r>
              <w:t>Would take into account increasing costs faced by societies</w:t>
            </w:r>
          </w:p>
          <w:p w:rsidR="009D77FE" w:rsidRPr="00A23578" w:rsidRDefault="009D77FE" w:rsidP="009D77FE">
            <w:pPr>
              <w:pStyle w:val="Tablebullet"/>
              <w:numPr>
                <w:ilvl w:val="0"/>
                <w:numId w:val="0"/>
              </w:numPr>
              <w:rPr>
                <w:b/>
                <w:i/>
              </w:rPr>
            </w:pPr>
            <w:r w:rsidRPr="00A23578">
              <w:rPr>
                <w:b/>
                <w:i/>
              </w:rPr>
              <w:t>Risks</w:t>
            </w:r>
          </w:p>
          <w:p w:rsidR="00D46C31" w:rsidRPr="0041025F" w:rsidRDefault="00014D01" w:rsidP="006A5065">
            <w:pPr>
              <w:pStyle w:val="Tablebullet"/>
            </w:pPr>
            <w:r>
              <w:t xml:space="preserve">Could provide a perverse incentive for societies to </w:t>
            </w:r>
            <w:r w:rsidR="00843309">
              <w:t xml:space="preserve">report </w:t>
            </w:r>
            <w:r>
              <w:t>increase</w:t>
            </w:r>
            <w:r w:rsidR="00843309">
              <w:t>d</w:t>
            </w:r>
            <w:r>
              <w:t xml:space="preserve"> costs, which would be contrary to section 53</w:t>
            </w:r>
            <w:r w:rsidR="006A5065">
              <w:t>A</w:t>
            </w:r>
            <w:r>
              <w:t>(</w:t>
            </w:r>
            <w:r w:rsidR="006A5065">
              <w:t>b</w:t>
            </w:r>
            <w:r>
              <w:t>) of the Act</w:t>
            </w:r>
          </w:p>
        </w:tc>
        <w:tc>
          <w:tcPr>
            <w:tcW w:w="4583" w:type="dxa"/>
          </w:tcPr>
          <w:p w:rsidR="009D77FE" w:rsidRPr="00A23578" w:rsidRDefault="009D77FE" w:rsidP="009D77FE">
            <w:pPr>
              <w:pStyle w:val="Numberedpara3level1"/>
              <w:numPr>
                <w:ilvl w:val="0"/>
                <w:numId w:val="0"/>
              </w:numPr>
              <w:rPr>
                <w:b/>
                <w:i/>
              </w:rPr>
            </w:pPr>
            <w:r w:rsidRPr="00A23578">
              <w:rPr>
                <w:b/>
                <w:i/>
              </w:rPr>
              <w:t>Benefits</w:t>
            </w:r>
          </w:p>
          <w:p w:rsidR="009D77FE" w:rsidRDefault="009D77FE" w:rsidP="009D77FE">
            <w:pPr>
              <w:pStyle w:val="Tablebullet"/>
            </w:pPr>
            <w:r>
              <w:t>None</w:t>
            </w:r>
          </w:p>
          <w:p w:rsidR="009D77FE" w:rsidRPr="00A23578" w:rsidRDefault="009D77FE" w:rsidP="009D77FE">
            <w:pPr>
              <w:pStyle w:val="Tablebullet"/>
              <w:numPr>
                <w:ilvl w:val="0"/>
                <w:numId w:val="0"/>
              </w:numPr>
              <w:rPr>
                <w:b/>
                <w:i/>
              </w:rPr>
            </w:pPr>
            <w:r w:rsidRPr="00A23578">
              <w:rPr>
                <w:b/>
                <w:i/>
              </w:rPr>
              <w:t>Risks</w:t>
            </w:r>
          </w:p>
          <w:p w:rsidR="00D46C31" w:rsidRPr="0041025F" w:rsidRDefault="00004D63" w:rsidP="00004D63">
            <w:pPr>
              <w:pStyle w:val="Tablebullet"/>
            </w:pPr>
            <w:r>
              <w:t>It risks</w:t>
            </w:r>
            <w:r w:rsidR="000C3DAF">
              <w:t xml:space="preserve"> </w:t>
            </w:r>
            <w:r>
              <w:t>decreasing</w:t>
            </w:r>
            <w:r w:rsidR="009D77FE">
              <w:t xml:space="preserve"> the pool of funding available for community groups</w:t>
            </w:r>
          </w:p>
        </w:tc>
        <w:tc>
          <w:tcPr>
            <w:tcW w:w="4584" w:type="dxa"/>
          </w:tcPr>
          <w:p w:rsidR="00D46C31" w:rsidRPr="009B16CC" w:rsidRDefault="00D46C31" w:rsidP="00CD2DE8">
            <w:pPr>
              <w:pStyle w:val="Numberedpara3level1"/>
              <w:numPr>
                <w:ilvl w:val="0"/>
                <w:numId w:val="0"/>
              </w:numPr>
              <w:spacing w:after="0"/>
              <w:rPr>
                <w:b/>
              </w:rPr>
            </w:pPr>
            <w:r w:rsidRPr="009B16CC">
              <w:rPr>
                <w:b/>
              </w:rPr>
              <w:t>Worse than status quo</w:t>
            </w:r>
          </w:p>
          <w:p w:rsidR="00D46C31" w:rsidRDefault="009D77FE" w:rsidP="0035348B">
            <w:pPr>
              <w:pStyle w:val="Numberedpara3level1"/>
              <w:numPr>
                <w:ilvl w:val="0"/>
                <w:numId w:val="0"/>
              </w:numPr>
            </w:pPr>
            <w:r>
              <w:t xml:space="preserve">This option takes into account societies’ costs. However, as many societies are already returning at a </w:t>
            </w:r>
            <w:r w:rsidR="0035348B">
              <w:t>rate higher than 40 per cent</w:t>
            </w:r>
            <w:r>
              <w:t>, reducing the minimum rate could introduc</w:t>
            </w:r>
            <w:r w:rsidR="003131A7">
              <w:t>e perverse incentives</w:t>
            </w:r>
            <w:r>
              <w:t>. It is also likely to decrease overall funds returned to communities, as societies who are struggling to meet the current rate will reduce</w:t>
            </w:r>
            <w:r w:rsidR="00982E62">
              <w:t xml:space="preserve"> their rate of return</w:t>
            </w:r>
          </w:p>
        </w:tc>
      </w:tr>
    </w:tbl>
    <w:p w:rsidR="00D46C31" w:rsidRPr="00CD6506" w:rsidRDefault="00D46C31" w:rsidP="00FB287C">
      <w:pPr>
        <w:pStyle w:val="Numberedpara3level1"/>
        <w:numPr>
          <w:ilvl w:val="0"/>
          <w:numId w:val="0"/>
        </w:numPr>
        <w:rPr>
          <w:b/>
          <w:sz w:val="4"/>
          <w:szCs w:val="4"/>
        </w:rPr>
      </w:pPr>
    </w:p>
    <w:p w:rsidR="00D46C31" w:rsidRDefault="00D46C31" w:rsidP="00FB287C">
      <w:pPr>
        <w:pStyle w:val="Numberedpara3level1"/>
        <w:numPr>
          <w:ilvl w:val="0"/>
          <w:numId w:val="0"/>
        </w:numPr>
        <w:rPr>
          <w:b/>
        </w:rPr>
        <w:sectPr w:rsidR="00D46C31" w:rsidSect="00CD6506">
          <w:footerReference w:type="first" r:id="rId16"/>
          <w:pgSz w:w="16840" w:h="11907" w:orient="landscape" w:code="9"/>
          <w:pgMar w:top="567" w:right="1134" w:bottom="567" w:left="567" w:header="425" w:footer="635" w:gutter="0"/>
          <w:cols w:space="708"/>
          <w:titlePg/>
          <w:docGrid w:linePitch="360"/>
        </w:sectPr>
      </w:pPr>
    </w:p>
    <w:p w:rsidR="00264E9B" w:rsidRPr="00E52276" w:rsidRDefault="00264E9B" w:rsidP="00B302E6">
      <w:pPr>
        <w:pStyle w:val="Heading1"/>
        <w:rPr>
          <w:rStyle w:val="Crossreferences"/>
        </w:rPr>
      </w:pPr>
      <w:bookmarkStart w:id="6" w:name="_Toc391203201"/>
      <w:r>
        <w:lastRenderedPageBreak/>
        <w:t>Consultation</w:t>
      </w:r>
      <w:bookmarkEnd w:id="6"/>
    </w:p>
    <w:p w:rsidR="008213D1" w:rsidRDefault="008213D1" w:rsidP="00CA62B0">
      <w:pPr>
        <w:pStyle w:val="Numberedpara3level1"/>
      </w:pPr>
      <w:bookmarkStart w:id="7" w:name="_Toc391203202"/>
      <w:r>
        <w:t>On 9 September 2015, as a part of the decisions to approve new gambling fees, Cabinet agreed to release a consultation document on options for changing the rate</w:t>
      </w:r>
      <w:r w:rsidR="009D4D11">
        <w:t xml:space="preserve"> of return</w:t>
      </w:r>
      <w:r w:rsidR="00FF31A5">
        <w:t xml:space="preserve"> (EGI-15-MIN-0057)</w:t>
      </w:r>
      <w:r>
        <w:t>. This was in response to concerns about the impact of recent cost pressures, incl</w:t>
      </w:r>
      <w:r w:rsidR="00595A76">
        <w:t>uding increased fees, on non-club</w:t>
      </w:r>
      <w:r>
        <w:t xml:space="preserve"> societies.</w:t>
      </w:r>
    </w:p>
    <w:p w:rsidR="008213D1" w:rsidRDefault="008213D1" w:rsidP="00CA62B0">
      <w:pPr>
        <w:pStyle w:val="Numberedpara3level1"/>
        <w:keepLines w:val="0"/>
      </w:pPr>
      <w:r>
        <w:t>The consultation document included four options:</w:t>
      </w:r>
    </w:p>
    <w:p w:rsidR="008213D1" w:rsidRDefault="008213D1" w:rsidP="00CA62B0">
      <w:pPr>
        <w:pStyle w:val="Numberedpara3level211"/>
        <w:keepLines w:val="0"/>
        <w:ind w:left="1304" w:hanging="737"/>
      </w:pPr>
      <w:r>
        <w:t>option one: status quo, retain the scheduled increases to the minimum rate of return;</w:t>
      </w:r>
    </w:p>
    <w:p w:rsidR="008213D1" w:rsidRDefault="008213D1" w:rsidP="00CA62B0">
      <w:pPr>
        <w:pStyle w:val="Numberedpara3level211"/>
        <w:keepLines w:val="0"/>
        <w:ind w:left="1304" w:hanging="737"/>
      </w:pPr>
      <w:r>
        <w:t>option two: delay further increases in the minimum rate of return to 2020 and 2022 respectively;</w:t>
      </w:r>
    </w:p>
    <w:p w:rsidR="008213D1" w:rsidRDefault="008213D1" w:rsidP="00CA62B0">
      <w:pPr>
        <w:pStyle w:val="Numberedpara3level211"/>
        <w:keepLines w:val="0"/>
        <w:ind w:left="1304" w:hanging="737"/>
      </w:pPr>
      <w:r>
        <w:t>option three: cancel further increases to the minimum rate of return; and</w:t>
      </w:r>
    </w:p>
    <w:p w:rsidR="008213D1" w:rsidRDefault="008213D1" w:rsidP="008323FD">
      <w:pPr>
        <w:pStyle w:val="Numberedpara3level211"/>
        <w:keepLines w:val="0"/>
        <w:ind w:left="1304" w:hanging="737"/>
      </w:pPr>
      <w:r>
        <w:t xml:space="preserve">option four: reduce the minimum rate of return below 40 per cent of GST – exclusive gross proceeds. </w:t>
      </w:r>
    </w:p>
    <w:p w:rsidR="008213D1" w:rsidRDefault="008213D1" w:rsidP="002A4616">
      <w:pPr>
        <w:pStyle w:val="Heading2"/>
      </w:pPr>
      <w:r>
        <w:t>Results of consultation on options for changing the minimum rate of return</w:t>
      </w:r>
    </w:p>
    <w:p w:rsidR="008213D1" w:rsidRPr="00FF2025" w:rsidRDefault="008213D1" w:rsidP="00FF2025">
      <w:pPr>
        <w:pStyle w:val="Numberedpara3level1"/>
      </w:pPr>
      <w:r w:rsidRPr="00FF2025">
        <w:t xml:space="preserve">The Department received 30 submissions, and the majority of submitters </w:t>
      </w:r>
      <w:r w:rsidR="00FC417D" w:rsidRPr="00FF2025">
        <w:t>(22) were societies</w:t>
      </w:r>
      <w:r w:rsidRPr="00FF2025">
        <w:t xml:space="preserve">. One submission was from a representative organisation, two submissions were from individuals, two from local authorities, and three from problem gambling service providers. </w:t>
      </w:r>
    </w:p>
    <w:p w:rsidR="00EC0E43" w:rsidRPr="00FF2025" w:rsidRDefault="008213D1" w:rsidP="00FF2025">
      <w:pPr>
        <w:pStyle w:val="Numberedpara3level1"/>
      </w:pPr>
      <w:r w:rsidRPr="00FF2025">
        <w:t>The majority of submitters, 18 (all so</w:t>
      </w:r>
      <w:r w:rsidR="00C80281" w:rsidRPr="00FF2025">
        <w:t>cieties) supported option three:</w:t>
      </w:r>
      <w:r w:rsidRPr="00FF2025">
        <w:t xml:space="preserve"> cancelling further increases to the minimum rate of return. </w:t>
      </w:r>
      <w:r w:rsidR="00EC0E43" w:rsidRPr="00FF2025">
        <w:t>Reasons for supporting this option included the rate being a minimum not a maximum, therefore societies who can afford to are able to return funds to the community at higher rates</w:t>
      </w:r>
      <w:r w:rsidR="00C14887" w:rsidRPr="00FF2025">
        <w:t>, consistent with section 53</w:t>
      </w:r>
      <w:r w:rsidR="00975502" w:rsidRPr="00FF2025">
        <w:t>A(b</w:t>
      </w:r>
      <w:r w:rsidR="00C14887" w:rsidRPr="00FF2025">
        <w:t>) of the Act</w:t>
      </w:r>
      <w:r w:rsidR="00EC0E43" w:rsidRPr="00FF2025">
        <w:t xml:space="preserve">. </w:t>
      </w:r>
    </w:p>
    <w:p w:rsidR="00542C7B" w:rsidRPr="00FF2025" w:rsidRDefault="008213D1" w:rsidP="00FF2025">
      <w:pPr>
        <w:pStyle w:val="Numberedpara3level1"/>
      </w:pPr>
      <w:r w:rsidRPr="00FF2025">
        <w:t xml:space="preserve">Seven submitters (including one society submitter) supported option one. </w:t>
      </w:r>
      <w:r w:rsidR="00C80281" w:rsidRPr="00FF2025">
        <w:t>They</w:t>
      </w:r>
      <w:r w:rsidR="00B05581" w:rsidRPr="00FF2025">
        <w:t xml:space="preserve"> argued that if the rate of return is </w:t>
      </w:r>
      <w:r w:rsidR="00C80281" w:rsidRPr="00FF2025">
        <w:t xml:space="preserve">not increased, this would encourage </w:t>
      </w:r>
      <w:r w:rsidR="00B05581" w:rsidRPr="00FF2025">
        <w:t xml:space="preserve">inefficient societies to remain in the sector. They also argued that societies should be able to absorb the increasing </w:t>
      </w:r>
      <w:r w:rsidR="00C80281" w:rsidRPr="00FF2025">
        <w:t>costs. The Department notes</w:t>
      </w:r>
      <w:r w:rsidR="00962CDC" w:rsidRPr="00FF2025">
        <w:t xml:space="preserve"> </w:t>
      </w:r>
      <w:r w:rsidR="00C80281" w:rsidRPr="00FF2025">
        <w:t>those concerns, but we consider they are outweighed by the</w:t>
      </w:r>
      <w:r w:rsidR="00962CDC" w:rsidRPr="00FF2025">
        <w:t xml:space="preserve"> risk of decreasing the total pool of funding available to communities</w:t>
      </w:r>
      <w:r w:rsidR="00E72013" w:rsidRPr="00FF2025">
        <w:t xml:space="preserve"> and the </w:t>
      </w:r>
      <w:r w:rsidR="00DB4BF3" w:rsidRPr="00FF2025">
        <w:t xml:space="preserve">wider </w:t>
      </w:r>
      <w:r w:rsidR="00E72013" w:rsidRPr="00FF2025">
        <w:t>uncertainties in the sec</w:t>
      </w:r>
      <w:r w:rsidR="00C80281" w:rsidRPr="00FF2025">
        <w:t>tor.</w:t>
      </w:r>
    </w:p>
    <w:p w:rsidR="008213D1" w:rsidRPr="00FF2025" w:rsidRDefault="008213D1" w:rsidP="00FF2025">
      <w:pPr>
        <w:pStyle w:val="Numberedpara3level1"/>
      </w:pPr>
      <w:r w:rsidRPr="00FF2025">
        <w:t>Thirteen submitters supported removing the rate altogether from regulations (one was the representative organisation and the rest were societies). The complete removal of the minimum rate was not canvasse</w:t>
      </w:r>
      <w:r w:rsidR="00E75B59" w:rsidRPr="00FF2025">
        <w:t xml:space="preserve">d in the consultation document, and is outside the scope of the Cabinet mandate. </w:t>
      </w:r>
      <w:r w:rsidRPr="00FF2025">
        <w:t xml:space="preserve"> </w:t>
      </w:r>
    </w:p>
    <w:p w:rsidR="00BD250B" w:rsidRPr="00FF2025" w:rsidRDefault="00BD250B" w:rsidP="00FF2025">
      <w:pPr>
        <w:pStyle w:val="Numberedpara3level1"/>
      </w:pPr>
      <w:r w:rsidRPr="00FF2025">
        <w:t xml:space="preserve">During the consultation for the increases to the fees in 2015, societies noted in both submissions and direct engagement that if fees increased, the rate of return should be adjusted. Societies noted increased fees would have a significant impact on their ability to meet the scheduled increases in the rate of return. </w:t>
      </w:r>
    </w:p>
    <w:p w:rsidR="00264E9B" w:rsidRDefault="00264E9B" w:rsidP="00B302E6">
      <w:pPr>
        <w:pStyle w:val="Heading1"/>
      </w:pPr>
      <w:r>
        <w:t>Conclusions and recommendations</w:t>
      </w:r>
      <w:bookmarkEnd w:id="7"/>
    </w:p>
    <w:p w:rsidR="00962383" w:rsidRDefault="004F10DD" w:rsidP="00DA607B">
      <w:pPr>
        <w:pStyle w:val="Numberedpara3level1"/>
      </w:pPr>
      <w:r>
        <w:t xml:space="preserve">The status quo </w:t>
      </w:r>
      <w:r w:rsidR="00C020E2">
        <w:t xml:space="preserve">(option 1) </w:t>
      </w:r>
      <w:r>
        <w:t>does not meet the objectives, as it does not take societies’ operating costs</w:t>
      </w:r>
      <w:r w:rsidR="00FE0E8E">
        <w:t xml:space="preserve"> and ongoing changes to the operating environment</w:t>
      </w:r>
      <w:r>
        <w:t xml:space="preserve"> into account</w:t>
      </w:r>
      <w:r w:rsidR="00FE0E8E">
        <w:t>.</w:t>
      </w:r>
      <w:r w:rsidR="00355721">
        <w:t xml:space="preserve"> </w:t>
      </w:r>
      <w:r w:rsidR="00FE0E8E">
        <w:t>It</w:t>
      </w:r>
      <w:r w:rsidR="00355721">
        <w:t xml:space="preserve"> risks decreasing the overall amount of funding available to the community. </w:t>
      </w:r>
    </w:p>
    <w:p w:rsidR="00DA607B" w:rsidRPr="00B85D94" w:rsidRDefault="008D79CF" w:rsidP="00B85D94">
      <w:pPr>
        <w:pStyle w:val="Numberedpara3level1"/>
      </w:pPr>
      <w:r w:rsidRPr="00B85D94">
        <w:lastRenderedPageBreak/>
        <w:t>Option two</w:t>
      </w:r>
      <w:r w:rsidR="008072A9" w:rsidRPr="00B85D94">
        <w:t xml:space="preserve"> </w:t>
      </w:r>
      <w:r w:rsidR="005748D6" w:rsidRPr="00B85D94">
        <w:t>meets the objectives in the short term, as it delays the increases to the rate of return. However, the Department cannot predict with any certainty future changes to the financial positions of societies, or the position of the class 4 sector as a whole</w:t>
      </w:r>
      <w:r w:rsidR="00962383" w:rsidRPr="00B85D94">
        <w:t xml:space="preserve">. Therefore it is possible this option will only delay the </w:t>
      </w:r>
      <w:r w:rsidR="00857980" w:rsidRPr="00B85D94">
        <w:t xml:space="preserve">risks of the status quo. </w:t>
      </w:r>
      <w:r w:rsidR="00962383" w:rsidRPr="00B85D94">
        <w:t xml:space="preserve">Changes occurring in the sector will </w:t>
      </w:r>
      <w:r w:rsidR="00857980" w:rsidRPr="00B85D94">
        <w:t xml:space="preserve">also </w:t>
      </w:r>
      <w:r w:rsidR="00962383" w:rsidRPr="00B85D94">
        <w:t>take two to three years to bed-in</w:t>
      </w:r>
      <w:r w:rsidR="004F10DD" w:rsidRPr="00B85D94">
        <w:t xml:space="preserve">, and the Department is unsure how the changes will interact with a higher rate of return. </w:t>
      </w:r>
      <w:r w:rsidR="00857980" w:rsidRPr="00B85D94">
        <w:t xml:space="preserve"> </w:t>
      </w:r>
    </w:p>
    <w:p w:rsidR="00943AD7" w:rsidRPr="00B85D94" w:rsidRDefault="00C020E2" w:rsidP="00B85D94">
      <w:pPr>
        <w:pStyle w:val="Numberedpara3level1"/>
      </w:pPr>
      <w:r w:rsidRPr="00B85D94">
        <w:t>Option four</w:t>
      </w:r>
      <w:r w:rsidR="00943AD7" w:rsidRPr="00B85D94">
        <w:t xml:space="preserve">, decreasing the rate of return, partly meets the objective, as it takes societies’ operating costs into account. However, </w:t>
      </w:r>
      <w:r w:rsidR="00900E70" w:rsidRPr="00B85D94">
        <w:t xml:space="preserve">it could provide a perverse incentive for societies to report increased costs, and decrease the amount of funding returned to the community. </w:t>
      </w:r>
    </w:p>
    <w:p w:rsidR="008A2A10" w:rsidRPr="00B85D94" w:rsidRDefault="003C3E65" w:rsidP="00B85D94">
      <w:pPr>
        <w:pStyle w:val="Numberedpara3level1"/>
      </w:pPr>
      <w:r w:rsidRPr="00B85D94">
        <w:t xml:space="preserve">The Department recommends </w:t>
      </w:r>
      <w:r w:rsidR="00C020E2" w:rsidRPr="00B85D94">
        <w:t xml:space="preserve">option three, </w:t>
      </w:r>
      <w:r w:rsidRPr="00B85D94">
        <w:t xml:space="preserve">cancelling further increases to the rate </w:t>
      </w:r>
      <w:r w:rsidR="00C020E2" w:rsidRPr="00B85D94">
        <w:t xml:space="preserve">of return, </w:t>
      </w:r>
      <w:r w:rsidRPr="00B85D94">
        <w:t xml:space="preserve">at this time. </w:t>
      </w:r>
      <w:r w:rsidR="003B1AFB" w:rsidRPr="00B85D94">
        <w:t xml:space="preserve">Cancelling further increases to the minimum rate of return meets the objective of taking societies’ costs into account, whilst not decreasing the overall pool of funding available for communities. </w:t>
      </w:r>
      <w:r w:rsidR="00E91BB6" w:rsidRPr="00B85D94">
        <w:t>The preferred option will provide the sector with some stability while the various changes, including changes to gambling fees and venue pa</w:t>
      </w:r>
      <w:r w:rsidR="008A2A10" w:rsidRPr="00B85D94">
        <w:t xml:space="preserve">yments, take effect and bed-in. </w:t>
      </w:r>
      <w:r w:rsidR="00A32D98" w:rsidRPr="00B85D94">
        <w:t xml:space="preserve">The preferred option does not preclude a future review to increase the rate of return when mandated. </w:t>
      </w:r>
    </w:p>
    <w:p w:rsidR="00264E9B" w:rsidRDefault="00264E9B" w:rsidP="00B302E6">
      <w:pPr>
        <w:pStyle w:val="Heading1"/>
      </w:pPr>
      <w:bookmarkStart w:id="8" w:name="_Toc391203203"/>
      <w:r>
        <w:t>Implementation plan</w:t>
      </w:r>
      <w:bookmarkEnd w:id="8"/>
    </w:p>
    <w:p w:rsidR="00C340FA" w:rsidRDefault="00C340FA" w:rsidP="001906A5">
      <w:pPr>
        <w:pStyle w:val="Numberedpara3level1"/>
      </w:pPr>
      <w:r>
        <w:t xml:space="preserve">If Cabinet approves the preferred option, the Gambling (Class 4 Net Proceeds) Regulations 2004 will need to be amended. </w:t>
      </w:r>
      <w:r w:rsidR="001C0CEE">
        <w:t xml:space="preserve">As the rate of return increases in September 2016, any amendment to the Regulations would need to be in force before then. </w:t>
      </w:r>
      <w:r w:rsidR="004115D0">
        <w:t xml:space="preserve">This would require Cabinet to agree to amend the Regulations by the end of March/early April 2016. </w:t>
      </w:r>
    </w:p>
    <w:p w:rsidR="004C6D16" w:rsidRPr="00B85D94" w:rsidRDefault="00153571" w:rsidP="00B85D94">
      <w:pPr>
        <w:pStyle w:val="Numberedpara3level1"/>
      </w:pPr>
      <w:r w:rsidRPr="00B85D94">
        <w:t>The preferred option requires no implementation plan</w:t>
      </w:r>
      <w:r w:rsidR="005D6B98" w:rsidRPr="00B85D94">
        <w:t>, other than amending the Regulations</w:t>
      </w:r>
      <w:r w:rsidRPr="00B85D94">
        <w:t xml:space="preserve">. The </w:t>
      </w:r>
      <w:r w:rsidR="003A5809" w:rsidRPr="00B85D94">
        <w:t>current rate is been in force since 2014, and can be monitored</w:t>
      </w:r>
      <w:r w:rsidR="00E13252" w:rsidRPr="00B85D94">
        <w:t xml:space="preserve"> within the existing reporting framework</w:t>
      </w:r>
      <w:r w:rsidRPr="00B85D94">
        <w:t xml:space="preserve">, </w:t>
      </w:r>
      <w:r w:rsidR="005D6B98" w:rsidRPr="00B85D94">
        <w:t>as the Department</w:t>
      </w:r>
      <w:r w:rsidR="004C6D16" w:rsidRPr="00B85D94">
        <w:t xml:space="preserve"> already monitors societies’ minimum rate of return on an annual basis. </w:t>
      </w:r>
      <w:r w:rsidR="000754D9" w:rsidRPr="00B85D94">
        <w:t>Societies will be notified in advance of the changes.</w:t>
      </w:r>
    </w:p>
    <w:p w:rsidR="00264E9B" w:rsidRDefault="00264E9B" w:rsidP="00B302E6">
      <w:pPr>
        <w:pStyle w:val="Heading1"/>
      </w:pPr>
      <w:bookmarkStart w:id="9" w:name="_Toc391203204"/>
      <w:r>
        <w:t>Monitoring, evaluation, and review</w:t>
      </w:r>
      <w:bookmarkEnd w:id="9"/>
    </w:p>
    <w:p w:rsidR="0088686D" w:rsidRPr="009E3583" w:rsidRDefault="008310B8" w:rsidP="001C0C30">
      <w:pPr>
        <w:pStyle w:val="Numberedpara3level1"/>
      </w:pPr>
      <w:r w:rsidRPr="009E3583">
        <w:t xml:space="preserve">The </w:t>
      </w:r>
      <w:r w:rsidR="004F79E7" w:rsidRPr="009E3583">
        <w:t xml:space="preserve">Department </w:t>
      </w:r>
      <w:r w:rsidRPr="009E3583">
        <w:t xml:space="preserve">monitors societies’ returns to the communities on an annual basis. </w:t>
      </w:r>
      <w:r w:rsidR="006C36F8" w:rsidRPr="009E3583">
        <w:t>T</w:t>
      </w:r>
      <w:r w:rsidR="004F79E7" w:rsidRPr="009E3583">
        <w:t xml:space="preserve">he Department will analyse the effects of </w:t>
      </w:r>
      <w:r w:rsidR="00DF25EE" w:rsidRPr="009E3583">
        <w:t xml:space="preserve">the </w:t>
      </w:r>
      <w:r w:rsidR="004F79E7" w:rsidRPr="009E3583">
        <w:t xml:space="preserve">various </w:t>
      </w:r>
      <w:r w:rsidR="00DF25EE" w:rsidRPr="009E3583">
        <w:t xml:space="preserve">regulatory and non-regulatory </w:t>
      </w:r>
      <w:r w:rsidR="004F79E7" w:rsidRPr="009E3583">
        <w:t>changes in the sector on the minimum rate o</w:t>
      </w:r>
      <w:r w:rsidR="00A70F21" w:rsidRPr="009E3583">
        <w:t xml:space="preserve">f return. This analysis will be </w:t>
      </w:r>
      <w:r w:rsidR="00336D2E" w:rsidRPr="009E3583">
        <w:t>done annually. Depending on the</w:t>
      </w:r>
      <w:r w:rsidR="00A70F21" w:rsidRPr="009E3583">
        <w:t xml:space="preserve"> </w:t>
      </w:r>
      <w:r w:rsidR="00336D2E" w:rsidRPr="009E3583">
        <w:t xml:space="preserve">results of this </w:t>
      </w:r>
      <w:r w:rsidR="00A70F21" w:rsidRPr="009E3583">
        <w:t xml:space="preserve">analysis, the Department will assess whether another review of the rate of return is needed. </w:t>
      </w:r>
      <w:r w:rsidR="00604904" w:rsidRPr="009E3583">
        <w:t xml:space="preserve"> </w:t>
      </w:r>
    </w:p>
    <w:p w:rsidR="00426D7F" w:rsidRDefault="00426D7F" w:rsidP="00426D7F">
      <w:pPr>
        <w:pStyle w:val="Numberedpara3level1"/>
      </w:pPr>
      <w:r w:rsidRPr="00BB0CA5">
        <w:t xml:space="preserve">The Department is currently implementing a new operating model, aiming to work more alongside the sector in dealing with non-compliance, and incentivising good </w:t>
      </w:r>
      <w:r>
        <w:t>practice</w:t>
      </w:r>
      <w:r w:rsidRPr="00BB0CA5">
        <w:t xml:space="preserve">. As 21 societies are already returning </w:t>
      </w:r>
      <w:r w:rsidR="003375E3">
        <w:t xml:space="preserve">at or </w:t>
      </w:r>
      <w:r w:rsidRPr="00BB0CA5">
        <w:t>above the</w:t>
      </w:r>
      <w:r w:rsidR="003375E3">
        <w:t xml:space="preserve"> minimum rate, the Department will concentrate on</w:t>
      </w:r>
      <w:r w:rsidRPr="00BB0CA5">
        <w:t xml:space="preserve"> working with those who are</w:t>
      </w:r>
      <w:r w:rsidR="003375E3">
        <w:t xml:space="preserve"> struggling to meet the </w:t>
      </w:r>
      <w:r w:rsidRPr="00BB0CA5">
        <w:t>rate</w:t>
      </w:r>
      <w:r w:rsidR="003375E3">
        <w:t xml:space="preserve"> of return</w:t>
      </w:r>
      <w:r w:rsidRPr="00BB0CA5">
        <w:t>, to ens</w:t>
      </w:r>
      <w:r>
        <w:t>ure funds to the community are being maximised</w:t>
      </w:r>
      <w:r w:rsidRPr="00BB0CA5">
        <w:t xml:space="preserve">. </w:t>
      </w:r>
    </w:p>
    <w:p w:rsidR="00962383" w:rsidRPr="004F3073" w:rsidRDefault="000775D8" w:rsidP="004F3073">
      <w:pPr>
        <w:pStyle w:val="Numberedpara3level1"/>
      </w:pPr>
      <w:r w:rsidRPr="004F3073">
        <w:t>We will also continue to engage with the sector on an ongoing basis about the</w:t>
      </w:r>
      <w:r w:rsidR="00603844" w:rsidRPr="004F3073">
        <w:t xml:space="preserve"> various changes in the sector. This will include monitoring the effects of the variou</w:t>
      </w:r>
      <w:r w:rsidR="002D4DBE" w:rsidRPr="004F3073">
        <w:t xml:space="preserve">s regulatory </w:t>
      </w:r>
      <w:r w:rsidR="00603844" w:rsidRPr="004F3073">
        <w:t>changes in the sector</w:t>
      </w:r>
      <w:r w:rsidR="00D63181" w:rsidRPr="004F3073">
        <w:t>, including any venue policy changes implemented by local authorities.</w:t>
      </w:r>
      <w:r w:rsidR="00603844" w:rsidRPr="004F3073">
        <w:t xml:space="preserve"> </w:t>
      </w:r>
      <w:r w:rsidR="00962383" w:rsidRPr="004F3073">
        <w:br w:type="page"/>
      </w:r>
    </w:p>
    <w:p w:rsidR="001E4A45" w:rsidRPr="00962383" w:rsidRDefault="00B07D4D" w:rsidP="001E4A45">
      <w:pPr>
        <w:pStyle w:val="Headingappendix"/>
        <w:rPr>
          <w:szCs w:val="28"/>
        </w:rPr>
      </w:pPr>
      <w:r>
        <w:rPr>
          <w:szCs w:val="28"/>
        </w:rPr>
        <w:lastRenderedPageBreak/>
        <w:t>G</w:t>
      </w:r>
      <w:r w:rsidR="0017523F" w:rsidRPr="00962383">
        <w:rPr>
          <w:szCs w:val="28"/>
        </w:rPr>
        <w:t>aming machine account summary returns for societies’ 2014 financial year</w:t>
      </w:r>
      <w:r w:rsidR="001E4A45" w:rsidRPr="00962383">
        <w:rPr>
          <w:szCs w:val="28"/>
        </w:rPr>
        <w:t xml:space="preserve"> </w:t>
      </w:r>
    </w:p>
    <w:tbl>
      <w:tblPr>
        <w:tblStyle w:val="DIATable"/>
        <w:tblW w:w="9214" w:type="dxa"/>
        <w:tblLook w:val="04A0" w:firstRow="1" w:lastRow="0" w:firstColumn="1" w:lastColumn="0" w:noHBand="0" w:noVBand="1"/>
      </w:tblPr>
      <w:tblGrid>
        <w:gridCol w:w="2977"/>
        <w:gridCol w:w="2079"/>
        <w:gridCol w:w="2079"/>
        <w:gridCol w:w="2079"/>
      </w:tblGrid>
      <w:tr w:rsidR="00D30775" w:rsidTr="00C469E7">
        <w:trPr>
          <w:cnfStyle w:val="100000000000" w:firstRow="1" w:lastRow="0" w:firstColumn="0" w:lastColumn="0" w:oddVBand="0" w:evenVBand="0" w:oddHBand="0" w:evenHBand="0" w:firstRowFirstColumn="0" w:firstRowLastColumn="0" w:lastRowFirstColumn="0" w:lastRowLastColumn="0"/>
        </w:trPr>
        <w:tc>
          <w:tcPr>
            <w:tcW w:w="2977" w:type="dxa"/>
            <w:vAlign w:val="center"/>
          </w:tcPr>
          <w:p w:rsidR="00D30775" w:rsidRDefault="00D30775" w:rsidP="001E4A45">
            <w:pPr>
              <w:pStyle w:val="Numberedpara3level1"/>
              <w:numPr>
                <w:ilvl w:val="0"/>
                <w:numId w:val="0"/>
              </w:numPr>
              <w:spacing w:before="0" w:after="0"/>
              <w:jc w:val="center"/>
            </w:pPr>
            <w:r>
              <w:t>Society</w:t>
            </w:r>
          </w:p>
        </w:tc>
        <w:tc>
          <w:tcPr>
            <w:tcW w:w="2079" w:type="dxa"/>
            <w:vAlign w:val="center"/>
          </w:tcPr>
          <w:p w:rsidR="00D30775" w:rsidRDefault="00D30775" w:rsidP="001E4A45">
            <w:pPr>
              <w:pStyle w:val="Numberedpara3level1"/>
              <w:numPr>
                <w:ilvl w:val="0"/>
                <w:numId w:val="0"/>
              </w:numPr>
              <w:spacing w:before="0" w:after="0"/>
              <w:jc w:val="center"/>
            </w:pPr>
            <w:r>
              <w:t>Gross proceeds ($)</w:t>
            </w:r>
          </w:p>
        </w:tc>
        <w:tc>
          <w:tcPr>
            <w:tcW w:w="2079" w:type="dxa"/>
            <w:vAlign w:val="center"/>
          </w:tcPr>
          <w:p w:rsidR="00D30775" w:rsidRDefault="00D30775" w:rsidP="001E4A45">
            <w:pPr>
              <w:pStyle w:val="Numberedpara3level1"/>
              <w:numPr>
                <w:ilvl w:val="0"/>
                <w:numId w:val="0"/>
              </w:numPr>
              <w:spacing w:before="0" w:after="0"/>
              <w:jc w:val="center"/>
            </w:pPr>
            <w:r>
              <w:t>Net Proceeds ($)</w:t>
            </w:r>
          </w:p>
        </w:tc>
        <w:tc>
          <w:tcPr>
            <w:tcW w:w="2079" w:type="dxa"/>
            <w:vAlign w:val="center"/>
          </w:tcPr>
          <w:p w:rsidR="00D30775" w:rsidRDefault="00D30775" w:rsidP="001E4A45">
            <w:pPr>
              <w:pStyle w:val="Numberedpara3level1"/>
              <w:numPr>
                <w:ilvl w:val="0"/>
                <w:numId w:val="0"/>
              </w:numPr>
              <w:spacing w:before="0" w:after="0"/>
              <w:jc w:val="center"/>
            </w:pPr>
            <w:r>
              <w:t>Net proceeds generated (%)</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New</w:t>
            </w:r>
            <w:r w:rsidRPr="00173E1B">
              <w:rPr>
                <w:b/>
                <w:sz w:val="20"/>
                <w:szCs w:val="20"/>
              </w:rPr>
              <w:t xml:space="preserve"> </w:t>
            </w:r>
            <w:r w:rsidRPr="00173E1B">
              <w:rPr>
                <w:b/>
                <w:spacing w:val="-1"/>
                <w:sz w:val="20"/>
                <w:szCs w:val="20"/>
              </w:rPr>
              <w:t>Zealand</w:t>
            </w:r>
            <w:r w:rsidRPr="00173E1B">
              <w:rPr>
                <w:b/>
                <w:spacing w:val="1"/>
                <w:sz w:val="20"/>
                <w:szCs w:val="20"/>
              </w:rPr>
              <w:t xml:space="preserve"> </w:t>
            </w:r>
            <w:r w:rsidRPr="00173E1B">
              <w:rPr>
                <w:b/>
                <w:spacing w:val="-1"/>
                <w:sz w:val="20"/>
                <w:szCs w:val="20"/>
              </w:rPr>
              <w:t>Racing</w:t>
            </w:r>
            <w:r w:rsidRPr="00173E1B">
              <w:rPr>
                <w:b/>
                <w:spacing w:val="1"/>
                <w:sz w:val="20"/>
                <w:szCs w:val="20"/>
              </w:rPr>
              <w:t xml:space="preserve"> </w:t>
            </w:r>
            <w:r w:rsidRPr="00173E1B">
              <w:rPr>
                <w:b/>
                <w:spacing w:val="-1"/>
                <w:sz w:val="20"/>
                <w:szCs w:val="20"/>
              </w:rPr>
              <w:t>Board*</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19,960,351</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9,678,366</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48.49%</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Manukau</w:t>
            </w:r>
            <w:r w:rsidRPr="00173E1B">
              <w:rPr>
                <w:b/>
                <w:spacing w:val="-2"/>
                <w:sz w:val="20"/>
                <w:szCs w:val="20"/>
              </w:rPr>
              <w:t xml:space="preserve"> </w:t>
            </w:r>
            <w:r w:rsidRPr="00173E1B">
              <w:rPr>
                <w:b/>
                <w:spacing w:val="-1"/>
                <w:sz w:val="20"/>
                <w:szCs w:val="20"/>
              </w:rPr>
              <w:t>Counties</w:t>
            </w:r>
            <w:r w:rsidRPr="00173E1B">
              <w:rPr>
                <w:b/>
                <w:sz w:val="20"/>
                <w:szCs w:val="20"/>
              </w:rPr>
              <w:t xml:space="preserve"> </w:t>
            </w:r>
            <w:r w:rsidRPr="00173E1B">
              <w:rPr>
                <w:b/>
                <w:spacing w:val="-1"/>
                <w:sz w:val="20"/>
                <w:szCs w:val="20"/>
              </w:rPr>
              <w:t>Community</w:t>
            </w:r>
            <w:r w:rsidRPr="00173E1B">
              <w:rPr>
                <w:b/>
                <w:spacing w:val="-2"/>
                <w:sz w:val="20"/>
                <w:szCs w:val="20"/>
              </w:rPr>
              <w:t xml:space="preserve"> </w:t>
            </w:r>
            <w:r w:rsidRPr="00173E1B">
              <w:rPr>
                <w:b/>
                <w:sz w:val="20"/>
                <w:szCs w:val="20"/>
              </w:rPr>
              <w:t xml:space="preserve">Facilities </w:t>
            </w:r>
            <w:r w:rsidRPr="00173E1B">
              <w:rPr>
                <w:b/>
                <w:spacing w:val="-1"/>
                <w:sz w:val="20"/>
                <w:szCs w:val="20"/>
              </w:rPr>
              <w:t>Charitable</w:t>
            </w:r>
            <w:r w:rsidRPr="00173E1B">
              <w:rPr>
                <w:b/>
                <w:sz w:val="20"/>
                <w:szCs w:val="20"/>
              </w:rPr>
              <w:t xml:space="preserve"> </w:t>
            </w:r>
            <w:r w:rsidRPr="00173E1B">
              <w:rPr>
                <w:b/>
                <w:spacing w:val="-1"/>
                <w:sz w:val="20"/>
                <w:szCs w:val="20"/>
              </w:rPr>
              <w:t>Trust</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5,992,589</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2,876,798</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48.01%</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Pub</w:t>
            </w:r>
            <w:r w:rsidRPr="00173E1B">
              <w:rPr>
                <w:b/>
                <w:spacing w:val="1"/>
                <w:sz w:val="20"/>
                <w:szCs w:val="20"/>
              </w:rPr>
              <w:t xml:space="preserve"> </w:t>
            </w:r>
            <w:r w:rsidRPr="00173E1B">
              <w:rPr>
                <w:b/>
                <w:spacing w:val="-1"/>
                <w:sz w:val="20"/>
                <w:szCs w:val="20"/>
              </w:rPr>
              <w:t>Charity</w:t>
            </w:r>
            <w:r w:rsidRPr="00173E1B">
              <w:rPr>
                <w:b/>
                <w:spacing w:val="-2"/>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4,703,194</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2,227,125</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47.35%</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ILT</w:t>
            </w:r>
            <w:r w:rsidRPr="00173E1B">
              <w:rPr>
                <w:b/>
                <w:spacing w:val="3"/>
                <w:sz w:val="20"/>
                <w:szCs w:val="20"/>
              </w:rPr>
              <w:t xml:space="preserve"> </w:t>
            </w:r>
            <w:r w:rsidRPr="00173E1B">
              <w:rPr>
                <w:b/>
                <w:sz w:val="20"/>
                <w:szCs w:val="20"/>
              </w:rPr>
              <w:t>Foundation</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9,065,602</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4,281,946</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47.23%</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 xml:space="preserve">The </w:t>
            </w:r>
            <w:r w:rsidRPr="00173E1B">
              <w:rPr>
                <w:b/>
                <w:spacing w:val="-1"/>
                <w:sz w:val="20"/>
                <w:szCs w:val="20"/>
              </w:rPr>
              <w:t>Whitehouse</w:t>
            </w:r>
            <w:r w:rsidRPr="00173E1B">
              <w:rPr>
                <w:b/>
                <w:sz w:val="20"/>
                <w:szCs w:val="20"/>
              </w:rPr>
              <w:t xml:space="preserve"> </w:t>
            </w:r>
            <w:r w:rsidRPr="00173E1B">
              <w:rPr>
                <w:b/>
                <w:spacing w:val="-1"/>
                <w:sz w:val="20"/>
                <w:szCs w:val="20"/>
              </w:rPr>
              <w:t>Tavern</w:t>
            </w:r>
            <w:r w:rsidRPr="00173E1B">
              <w:rPr>
                <w:b/>
                <w:spacing w:val="-2"/>
                <w:sz w:val="20"/>
                <w:szCs w:val="20"/>
              </w:rPr>
              <w:t xml:space="preserve"> </w:t>
            </w:r>
            <w:r w:rsidRPr="00173E1B">
              <w:rPr>
                <w:b/>
                <w:spacing w:val="-1"/>
                <w:sz w:val="20"/>
                <w:szCs w:val="20"/>
              </w:rPr>
              <w:t>Trust</w:t>
            </w:r>
            <w:r w:rsidRPr="00173E1B">
              <w:rPr>
                <w:b/>
                <w:spacing w:val="1"/>
                <w:sz w:val="20"/>
                <w:szCs w:val="20"/>
              </w:rPr>
              <w:t xml:space="preserve"> </w:t>
            </w:r>
            <w:r w:rsidRPr="00173E1B">
              <w:rPr>
                <w:b/>
                <w:spacing w:val="-1"/>
                <w:sz w:val="20"/>
                <w:szCs w:val="20"/>
              </w:rPr>
              <w:t>Board</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1,213,136</w:t>
            </w:r>
          </w:p>
        </w:tc>
        <w:tc>
          <w:tcPr>
            <w:tcW w:w="2079" w:type="dxa"/>
          </w:tcPr>
          <w:p w:rsidR="00D30775" w:rsidRPr="009C1CB1" w:rsidRDefault="00D30775" w:rsidP="001E4A45">
            <w:pPr>
              <w:pStyle w:val="TableParagraph"/>
              <w:spacing w:before="23"/>
              <w:ind w:left="334"/>
              <w:jc w:val="center"/>
              <w:rPr>
                <w:rFonts w:eastAsia="Arial" w:cs="Arial"/>
                <w:sz w:val="16"/>
                <w:szCs w:val="16"/>
              </w:rPr>
            </w:pPr>
            <w:r w:rsidRPr="009C1CB1">
              <w:rPr>
                <w:spacing w:val="-2"/>
                <w:w w:val="105"/>
                <w:sz w:val="16"/>
                <w:szCs w:val="16"/>
              </w:rPr>
              <w:t>572,400</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47.18%</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Bluegrass</w:t>
            </w:r>
            <w:r w:rsidRPr="00173E1B">
              <w:rPr>
                <w:b/>
                <w:sz w:val="20"/>
                <w:szCs w:val="20"/>
              </w:rPr>
              <w:t xml:space="preserve"> Holdings </w:t>
            </w:r>
            <w:r w:rsidRPr="00173E1B">
              <w:rPr>
                <w:b/>
                <w:spacing w:val="-1"/>
                <w:sz w:val="20"/>
                <w:szCs w:val="20"/>
              </w:rPr>
              <w:t>Limited</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9,640,214</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4,528,429</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46.97%</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 xml:space="preserve">The </w:t>
            </w:r>
            <w:r w:rsidRPr="00173E1B">
              <w:rPr>
                <w:b/>
                <w:spacing w:val="-1"/>
                <w:sz w:val="20"/>
                <w:szCs w:val="20"/>
              </w:rPr>
              <w:t>Akarana</w:t>
            </w:r>
            <w:r w:rsidRPr="00173E1B">
              <w:rPr>
                <w:b/>
                <w:sz w:val="20"/>
                <w:szCs w:val="20"/>
              </w:rPr>
              <w:t xml:space="preserve"> </w:t>
            </w:r>
            <w:r w:rsidRPr="00173E1B">
              <w:rPr>
                <w:b/>
                <w:spacing w:val="-1"/>
                <w:sz w:val="20"/>
                <w:szCs w:val="20"/>
              </w:rPr>
              <w:t>Community</w:t>
            </w:r>
            <w:r w:rsidRPr="00173E1B">
              <w:rPr>
                <w:b/>
                <w:spacing w:val="-2"/>
                <w:sz w:val="20"/>
                <w:szCs w:val="20"/>
              </w:rPr>
              <w:t xml:space="preserve"> </w:t>
            </w:r>
            <w:r w:rsidRPr="00173E1B">
              <w:rPr>
                <w:b/>
                <w:spacing w:val="-1"/>
                <w:sz w:val="20"/>
                <w:szCs w:val="20"/>
              </w:rPr>
              <w:t>Trust</w:t>
            </w:r>
            <w:r w:rsidRPr="00173E1B">
              <w:rPr>
                <w:b/>
                <w:spacing w:val="1"/>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3,371,115</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1,562,205</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46.34%</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First</w:t>
            </w:r>
            <w:r w:rsidRPr="00173E1B">
              <w:rPr>
                <w:b/>
                <w:spacing w:val="1"/>
                <w:sz w:val="20"/>
                <w:szCs w:val="20"/>
              </w:rPr>
              <w:t xml:space="preserve"> </w:t>
            </w:r>
            <w:r w:rsidRPr="00173E1B">
              <w:rPr>
                <w:b/>
                <w:sz w:val="20"/>
                <w:szCs w:val="20"/>
              </w:rPr>
              <w:t>Light</w:t>
            </w:r>
            <w:r w:rsidRPr="00173E1B">
              <w:rPr>
                <w:b/>
                <w:spacing w:val="1"/>
                <w:sz w:val="20"/>
                <w:szCs w:val="20"/>
              </w:rPr>
              <w:t xml:space="preserve"> </w:t>
            </w:r>
            <w:r w:rsidRPr="00173E1B">
              <w:rPr>
                <w:b/>
                <w:spacing w:val="-1"/>
                <w:sz w:val="20"/>
                <w:szCs w:val="20"/>
              </w:rPr>
              <w:t>Community</w:t>
            </w:r>
            <w:r w:rsidRPr="00173E1B">
              <w:rPr>
                <w:b/>
                <w:spacing w:val="-2"/>
                <w:sz w:val="20"/>
                <w:szCs w:val="20"/>
              </w:rPr>
              <w:t xml:space="preserve"> </w:t>
            </w:r>
            <w:r w:rsidRPr="00173E1B">
              <w:rPr>
                <w:b/>
                <w:sz w:val="20"/>
                <w:szCs w:val="20"/>
              </w:rPr>
              <w:t>Foundation</w:t>
            </w:r>
            <w:r w:rsidRPr="00173E1B">
              <w:rPr>
                <w:b/>
                <w:spacing w:val="-2"/>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2,590,931</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1,195,733</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46.15%</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 xml:space="preserve">The </w:t>
            </w:r>
            <w:r w:rsidRPr="00173E1B">
              <w:rPr>
                <w:b/>
                <w:spacing w:val="-1"/>
                <w:sz w:val="20"/>
                <w:szCs w:val="20"/>
              </w:rPr>
              <w:t>Trusts</w:t>
            </w:r>
            <w:r w:rsidRPr="00173E1B">
              <w:rPr>
                <w:b/>
                <w:sz w:val="20"/>
                <w:szCs w:val="20"/>
              </w:rPr>
              <w:t xml:space="preserve"> </w:t>
            </w:r>
            <w:r w:rsidRPr="00173E1B">
              <w:rPr>
                <w:b/>
                <w:spacing w:val="-1"/>
                <w:sz w:val="20"/>
                <w:szCs w:val="20"/>
              </w:rPr>
              <w:t>Community</w:t>
            </w:r>
            <w:r w:rsidRPr="00173E1B">
              <w:rPr>
                <w:b/>
                <w:spacing w:val="-2"/>
                <w:sz w:val="20"/>
                <w:szCs w:val="20"/>
              </w:rPr>
              <w:t xml:space="preserve"> </w:t>
            </w:r>
            <w:r w:rsidRPr="00173E1B">
              <w:rPr>
                <w:b/>
                <w:sz w:val="20"/>
                <w:szCs w:val="20"/>
              </w:rPr>
              <w:t>Foundation</w:t>
            </w:r>
            <w:r w:rsidRPr="00173E1B">
              <w:rPr>
                <w:b/>
                <w:spacing w:val="-2"/>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29,927,229</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13,787,283</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46.07%</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Mt</w:t>
            </w:r>
            <w:r w:rsidRPr="00173E1B">
              <w:rPr>
                <w:b/>
                <w:spacing w:val="1"/>
                <w:sz w:val="20"/>
                <w:szCs w:val="20"/>
              </w:rPr>
              <w:t xml:space="preserve"> </w:t>
            </w:r>
            <w:r w:rsidRPr="00173E1B">
              <w:rPr>
                <w:b/>
                <w:spacing w:val="-1"/>
                <w:sz w:val="20"/>
                <w:szCs w:val="20"/>
              </w:rPr>
              <w:t>Wellington</w:t>
            </w:r>
            <w:r w:rsidRPr="00173E1B">
              <w:rPr>
                <w:b/>
                <w:spacing w:val="-2"/>
                <w:sz w:val="20"/>
                <w:szCs w:val="20"/>
              </w:rPr>
              <w:t xml:space="preserve"> </w:t>
            </w:r>
            <w:r w:rsidRPr="00173E1B">
              <w:rPr>
                <w:b/>
                <w:sz w:val="20"/>
                <w:szCs w:val="20"/>
              </w:rPr>
              <w:t>Foundation</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2,069,737</w:t>
            </w:r>
          </w:p>
        </w:tc>
        <w:tc>
          <w:tcPr>
            <w:tcW w:w="2079" w:type="dxa"/>
          </w:tcPr>
          <w:p w:rsidR="00D30775" w:rsidRPr="009C1CB1" w:rsidRDefault="00D30775" w:rsidP="001E4A45">
            <w:pPr>
              <w:pStyle w:val="TableParagraph"/>
              <w:spacing w:before="23"/>
              <w:ind w:left="334"/>
              <w:jc w:val="center"/>
              <w:rPr>
                <w:rFonts w:eastAsia="Arial" w:cs="Arial"/>
                <w:sz w:val="16"/>
                <w:szCs w:val="16"/>
              </w:rPr>
            </w:pPr>
            <w:r w:rsidRPr="009C1CB1">
              <w:rPr>
                <w:spacing w:val="-2"/>
                <w:w w:val="105"/>
                <w:sz w:val="16"/>
                <w:szCs w:val="16"/>
              </w:rPr>
              <w:t>943,394</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45.58%</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Christchurch</w:t>
            </w:r>
            <w:r w:rsidRPr="00173E1B">
              <w:rPr>
                <w:b/>
                <w:spacing w:val="-2"/>
                <w:sz w:val="20"/>
                <w:szCs w:val="20"/>
              </w:rPr>
              <w:t xml:space="preserve"> </w:t>
            </w:r>
            <w:r w:rsidRPr="00173E1B">
              <w:rPr>
                <w:b/>
                <w:spacing w:val="-1"/>
                <w:sz w:val="20"/>
                <w:szCs w:val="20"/>
              </w:rPr>
              <w:t>Earthquake</w:t>
            </w:r>
            <w:r w:rsidRPr="00173E1B">
              <w:rPr>
                <w:b/>
                <w:sz w:val="20"/>
                <w:szCs w:val="20"/>
              </w:rPr>
              <w:t xml:space="preserve"> </w:t>
            </w:r>
            <w:r w:rsidRPr="00173E1B">
              <w:rPr>
                <w:b/>
                <w:spacing w:val="-1"/>
                <w:sz w:val="20"/>
                <w:szCs w:val="20"/>
              </w:rPr>
              <w:t>Recovery</w:t>
            </w:r>
            <w:r w:rsidRPr="00173E1B">
              <w:rPr>
                <w:b/>
                <w:spacing w:val="-2"/>
                <w:sz w:val="20"/>
                <w:szCs w:val="20"/>
              </w:rPr>
              <w:t xml:space="preserve"> </w:t>
            </w:r>
            <w:r w:rsidRPr="00173E1B">
              <w:rPr>
                <w:b/>
                <w:spacing w:val="-1"/>
                <w:sz w:val="20"/>
                <w:szCs w:val="20"/>
              </w:rPr>
              <w:t>Trust</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2,840,956</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1,293,079</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45.52%</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Grassroots</w:t>
            </w:r>
            <w:r w:rsidRPr="00173E1B">
              <w:rPr>
                <w:b/>
                <w:sz w:val="20"/>
                <w:szCs w:val="20"/>
              </w:rPr>
              <w:t xml:space="preserve"> </w:t>
            </w:r>
            <w:r w:rsidRPr="00173E1B">
              <w:rPr>
                <w:b/>
                <w:spacing w:val="-1"/>
                <w:sz w:val="20"/>
                <w:szCs w:val="20"/>
              </w:rPr>
              <w:t>Trust</w:t>
            </w:r>
            <w:r w:rsidRPr="00173E1B">
              <w:rPr>
                <w:b/>
                <w:spacing w:val="1"/>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13,746,605</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6,228,655</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45.31%</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 xml:space="preserve">The </w:t>
            </w:r>
            <w:r w:rsidRPr="00173E1B">
              <w:rPr>
                <w:b/>
                <w:spacing w:val="-1"/>
                <w:sz w:val="20"/>
                <w:szCs w:val="20"/>
              </w:rPr>
              <w:t>Pegasus</w:t>
            </w:r>
            <w:r w:rsidRPr="00173E1B">
              <w:rPr>
                <w:b/>
                <w:sz w:val="20"/>
                <w:szCs w:val="20"/>
              </w:rPr>
              <w:t xml:space="preserve"> </w:t>
            </w:r>
            <w:r w:rsidRPr="00173E1B">
              <w:rPr>
                <w:b/>
                <w:spacing w:val="-1"/>
                <w:sz w:val="20"/>
                <w:szCs w:val="20"/>
              </w:rPr>
              <w:t>Sports</w:t>
            </w:r>
            <w:r w:rsidRPr="00173E1B">
              <w:rPr>
                <w:b/>
                <w:sz w:val="20"/>
                <w:szCs w:val="20"/>
              </w:rPr>
              <w:t xml:space="preserve"> Foundation</w:t>
            </w:r>
            <w:r w:rsidRPr="00173E1B">
              <w:rPr>
                <w:b/>
                <w:spacing w:val="-2"/>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2,003,172</w:t>
            </w:r>
          </w:p>
        </w:tc>
        <w:tc>
          <w:tcPr>
            <w:tcW w:w="2079" w:type="dxa"/>
          </w:tcPr>
          <w:p w:rsidR="00D30775" w:rsidRPr="009C1CB1" w:rsidRDefault="00D30775" w:rsidP="001E4A45">
            <w:pPr>
              <w:pStyle w:val="TableParagraph"/>
              <w:spacing w:before="23"/>
              <w:ind w:left="334"/>
              <w:jc w:val="center"/>
              <w:rPr>
                <w:rFonts w:eastAsia="Arial" w:cs="Arial"/>
                <w:sz w:val="16"/>
                <w:szCs w:val="16"/>
              </w:rPr>
            </w:pPr>
            <w:r w:rsidRPr="009C1CB1">
              <w:rPr>
                <w:spacing w:val="-2"/>
                <w:w w:val="105"/>
                <w:sz w:val="16"/>
                <w:szCs w:val="16"/>
              </w:rPr>
              <w:t>904,104</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45.13%</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 xml:space="preserve">The </w:t>
            </w:r>
            <w:r w:rsidRPr="00173E1B">
              <w:rPr>
                <w:b/>
                <w:spacing w:val="-1"/>
                <w:sz w:val="20"/>
                <w:szCs w:val="20"/>
              </w:rPr>
              <w:t>North</w:t>
            </w:r>
            <w:r w:rsidRPr="00173E1B">
              <w:rPr>
                <w:b/>
                <w:spacing w:val="-2"/>
                <w:sz w:val="20"/>
                <w:szCs w:val="20"/>
              </w:rPr>
              <w:t xml:space="preserve"> </w:t>
            </w:r>
            <w:r w:rsidRPr="00173E1B">
              <w:rPr>
                <w:b/>
                <w:sz w:val="20"/>
                <w:szCs w:val="20"/>
              </w:rPr>
              <w:t xml:space="preserve">&amp; </w:t>
            </w:r>
            <w:r w:rsidRPr="00173E1B">
              <w:rPr>
                <w:b/>
                <w:spacing w:val="-1"/>
                <w:sz w:val="20"/>
                <w:szCs w:val="20"/>
              </w:rPr>
              <w:t>South</w:t>
            </w:r>
            <w:r w:rsidRPr="00173E1B">
              <w:rPr>
                <w:b/>
                <w:spacing w:val="-2"/>
                <w:sz w:val="20"/>
                <w:szCs w:val="20"/>
              </w:rPr>
              <w:t xml:space="preserve"> </w:t>
            </w:r>
            <w:r w:rsidRPr="00173E1B">
              <w:rPr>
                <w:b/>
                <w:spacing w:val="-1"/>
                <w:sz w:val="20"/>
                <w:szCs w:val="20"/>
              </w:rPr>
              <w:t>Trust</w:t>
            </w:r>
            <w:r w:rsidRPr="00173E1B">
              <w:rPr>
                <w:b/>
                <w:spacing w:val="1"/>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11,220,684</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4,906,935</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43.73%</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Oxford</w:t>
            </w:r>
            <w:r w:rsidRPr="00173E1B">
              <w:rPr>
                <w:b/>
                <w:spacing w:val="1"/>
                <w:sz w:val="20"/>
                <w:szCs w:val="20"/>
              </w:rPr>
              <w:t xml:space="preserve"> </w:t>
            </w:r>
            <w:r w:rsidRPr="00173E1B">
              <w:rPr>
                <w:b/>
                <w:spacing w:val="-1"/>
                <w:sz w:val="20"/>
                <w:szCs w:val="20"/>
              </w:rPr>
              <w:t>Sports</w:t>
            </w:r>
            <w:r w:rsidRPr="00173E1B">
              <w:rPr>
                <w:b/>
                <w:sz w:val="20"/>
                <w:szCs w:val="20"/>
              </w:rPr>
              <w:t xml:space="preserve"> </w:t>
            </w:r>
            <w:r w:rsidRPr="00173E1B">
              <w:rPr>
                <w:b/>
                <w:spacing w:val="-1"/>
                <w:sz w:val="20"/>
                <w:szCs w:val="20"/>
              </w:rPr>
              <w:t>Trust</w:t>
            </w:r>
            <w:r w:rsidRPr="00173E1B">
              <w:rPr>
                <w:b/>
                <w:spacing w:val="1"/>
                <w:sz w:val="20"/>
                <w:szCs w:val="20"/>
              </w:rPr>
              <w:t xml:space="preserve"> </w:t>
            </w:r>
            <w:r w:rsidRPr="00173E1B">
              <w:rPr>
                <w:b/>
                <w:spacing w:val="-2"/>
                <w:sz w:val="20"/>
                <w:szCs w:val="20"/>
              </w:rPr>
              <w:t>Inc</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10,623,957</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4,621,780</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43.50%</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Trust</w:t>
            </w:r>
            <w:r w:rsidRPr="00173E1B">
              <w:rPr>
                <w:b/>
                <w:spacing w:val="1"/>
                <w:sz w:val="20"/>
                <w:szCs w:val="20"/>
              </w:rPr>
              <w:t xml:space="preserve"> </w:t>
            </w:r>
            <w:r w:rsidRPr="00173E1B">
              <w:rPr>
                <w:b/>
                <w:spacing w:val="-1"/>
                <w:sz w:val="20"/>
                <w:szCs w:val="20"/>
              </w:rPr>
              <w:t>House</w:t>
            </w:r>
            <w:r w:rsidRPr="00173E1B">
              <w:rPr>
                <w:b/>
                <w:sz w:val="20"/>
                <w:szCs w:val="20"/>
              </w:rPr>
              <w:t xml:space="preserve"> Foundation</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6,667,982</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2,852,150</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42.77%</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Kaiwaka</w:t>
            </w:r>
            <w:r w:rsidRPr="00173E1B">
              <w:rPr>
                <w:b/>
                <w:sz w:val="20"/>
                <w:szCs w:val="20"/>
              </w:rPr>
              <w:t xml:space="preserve"> </w:t>
            </w:r>
            <w:r w:rsidRPr="00173E1B">
              <w:rPr>
                <w:b/>
                <w:spacing w:val="-1"/>
                <w:sz w:val="20"/>
                <w:szCs w:val="20"/>
              </w:rPr>
              <w:t>Sports</w:t>
            </w:r>
            <w:r w:rsidRPr="00173E1B">
              <w:rPr>
                <w:b/>
                <w:sz w:val="20"/>
                <w:szCs w:val="20"/>
              </w:rPr>
              <w:t xml:space="preserve"> </w:t>
            </w:r>
            <w:r w:rsidRPr="00173E1B">
              <w:rPr>
                <w:b/>
                <w:spacing w:val="-1"/>
                <w:sz w:val="20"/>
                <w:szCs w:val="20"/>
              </w:rPr>
              <w:t>Association</w:t>
            </w:r>
            <w:r w:rsidRPr="00173E1B">
              <w:rPr>
                <w:b/>
                <w:spacing w:val="-2"/>
                <w:sz w:val="20"/>
                <w:szCs w:val="20"/>
              </w:rPr>
              <w:t xml:space="preserve"> Inc*</w:t>
            </w:r>
          </w:p>
        </w:tc>
        <w:tc>
          <w:tcPr>
            <w:tcW w:w="2079" w:type="dxa"/>
          </w:tcPr>
          <w:p w:rsidR="00D30775" w:rsidRPr="009C1CB1" w:rsidRDefault="00D30775" w:rsidP="001E4A45">
            <w:pPr>
              <w:pStyle w:val="TableParagraph"/>
              <w:spacing w:before="23"/>
              <w:ind w:left="334"/>
              <w:jc w:val="center"/>
              <w:rPr>
                <w:rFonts w:eastAsia="Arial" w:cs="Arial"/>
                <w:sz w:val="16"/>
                <w:szCs w:val="16"/>
              </w:rPr>
            </w:pPr>
            <w:r w:rsidRPr="009C1CB1">
              <w:rPr>
                <w:spacing w:val="-2"/>
                <w:w w:val="105"/>
                <w:sz w:val="16"/>
                <w:szCs w:val="16"/>
              </w:rPr>
              <w:t>174,619</w:t>
            </w:r>
          </w:p>
        </w:tc>
        <w:tc>
          <w:tcPr>
            <w:tcW w:w="2079" w:type="dxa"/>
          </w:tcPr>
          <w:p w:rsidR="00D30775" w:rsidRPr="009C1CB1" w:rsidRDefault="00D30775" w:rsidP="001E4A45">
            <w:pPr>
              <w:pStyle w:val="TableParagraph"/>
              <w:spacing w:before="23"/>
              <w:ind w:left="403"/>
              <w:jc w:val="center"/>
              <w:rPr>
                <w:rFonts w:eastAsia="Arial" w:cs="Arial"/>
                <w:sz w:val="16"/>
                <w:szCs w:val="16"/>
              </w:rPr>
            </w:pPr>
            <w:r w:rsidRPr="009C1CB1">
              <w:rPr>
                <w:spacing w:val="-2"/>
                <w:w w:val="105"/>
                <w:sz w:val="16"/>
                <w:szCs w:val="16"/>
              </w:rPr>
              <w:t>74,575</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42.71%</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Trillian</w:t>
            </w:r>
            <w:r w:rsidRPr="00173E1B">
              <w:rPr>
                <w:b/>
                <w:spacing w:val="-2"/>
                <w:sz w:val="20"/>
                <w:szCs w:val="20"/>
              </w:rPr>
              <w:t xml:space="preserve"> </w:t>
            </w:r>
            <w:r w:rsidRPr="00173E1B">
              <w:rPr>
                <w:b/>
                <w:spacing w:val="-1"/>
                <w:sz w:val="20"/>
                <w:szCs w:val="20"/>
              </w:rPr>
              <w:t>Trust</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22,814,219</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9,561,738</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41.91%</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Mainland</w:t>
            </w:r>
            <w:r w:rsidRPr="00173E1B">
              <w:rPr>
                <w:b/>
                <w:spacing w:val="1"/>
                <w:sz w:val="20"/>
                <w:szCs w:val="20"/>
              </w:rPr>
              <w:t xml:space="preserve"> </w:t>
            </w:r>
            <w:r w:rsidRPr="00173E1B">
              <w:rPr>
                <w:b/>
                <w:sz w:val="20"/>
                <w:szCs w:val="20"/>
              </w:rPr>
              <w:t>Foundation</w:t>
            </w:r>
            <w:r w:rsidRPr="00173E1B">
              <w:rPr>
                <w:b/>
                <w:spacing w:val="-2"/>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10,535,566</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4,415,429</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41.91%</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New</w:t>
            </w:r>
            <w:r w:rsidRPr="00173E1B">
              <w:rPr>
                <w:b/>
                <w:sz w:val="20"/>
                <w:szCs w:val="20"/>
              </w:rPr>
              <w:t xml:space="preserve"> </w:t>
            </w:r>
            <w:r w:rsidRPr="00173E1B">
              <w:rPr>
                <w:b/>
                <w:spacing w:val="-1"/>
                <w:sz w:val="20"/>
                <w:szCs w:val="20"/>
              </w:rPr>
              <w:t>Zealand</w:t>
            </w:r>
            <w:r w:rsidRPr="00173E1B">
              <w:rPr>
                <w:b/>
                <w:spacing w:val="1"/>
                <w:sz w:val="20"/>
                <w:szCs w:val="20"/>
              </w:rPr>
              <w:t xml:space="preserve"> </w:t>
            </w:r>
            <w:r w:rsidRPr="00173E1B">
              <w:rPr>
                <w:b/>
                <w:spacing w:val="-1"/>
                <w:sz w:val="20"/>
                <w:szCs w:val="20"/>
              </w:rPr>
              <w:t>Community</w:t>
            </w:r>
            <w:r w:rsidRPr="00173E1B">
              <w:rPr>
                <w:b/>
                <w:spacing w:val="-2"/>
                <w:sz w:val="20"/>
                <w:szCs w:val="20"/>
              </w:rPr>
              <w:t xml:space="preserve"> </w:t>
            </w:r>
            <w:r w:rsidRPr="00173E1B">
              <w:rPr>
                <w:b/>
                <w:spacing w:val="-1"/>
                <w:sz w:val="20"/>
                <w:szCs w:val="20"/>
              </w:rPr>
              <w:t>Trust</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91,860,000</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38,240,000</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41.63%</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Constellation</w:t>
            </w:r>
            <w:r w:rsidRPr="00173E1B">
              <w:rPr>
                <w:b/>
                <w:spacing w:val="-2"/>
                <w:sz w:val="20"/>
                <w:szCs w:val="20"/>
              </w:rPr>
              <w:t xml:space="preserve"> </w:t>
            </w:r>
            <w:r w:rsidRPr="00173E1B">
              <w:rPr>
                <w:b/>
                <w:spacing w:val="-1"/>
                <w:sz w:val="20"/>
                <w:szCs w:val="20"/>
              </w:rPr>
              <w:t>Communities</w:t>
            </w:r>
            <w:r w:rsidRPr="00173E1B">
              <w:rPr>
                <w:b/>
                <w:sz w:val="20"/>
                <w:szCs w:val="20"/>
              </w:rPr>
              <w:t xml:space="preserve"> </w:t>
            </w:r>
            <w:r w:rsidRPr="00173E1B">
              <w:rPr>
                <w:b/>
                <w:spacing w:val="-1"/>
                <w:sz w:val="20"/>
                <w:szCs w:val="20"/>
              </w:rPr>
              <w:t>Trust</w:t>
            </w:r>
            <w:r w:rsidRPr="00173E1B">
              <w:rPr>
                <w:b/>
                <w:spacing w:val="1"/>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2,861,101</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1,176,912</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41.13%</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Endeavour Community</w:t>
            </w:r>
            <w:r w:rsidRPr="00173E1B">
              <w:rPr>
                <w:b/>
                <w:spacing w:val="-2"/>
                <w:sz w:val="20"/>
                <w:szCs w:val="20"/>
              </w:rPr>
              <w:t xml:space="preserve"> </w:t>
            </w:r>
            <w:r w:rsidRPr="00173E1B">
              <w:rPr>
                <w:b/>
                <w:sz w:val="20"/>
                <w:szCs w:val="20"/>
              </w:rPr>
              <w:t>Foundation</w:t>
            </w:r>
            <w:r w:rsidRPr="00173E1B">
              <w:rPr>
                <w:b/>
                <w:spacing w:val="-2"/>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7,804,661</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3,182,270</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40.77%</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Redwood</w:t>
            </w:r>
            <w:r w:rsidRPr="00173E1B">
              <w:rPr>
                <w:b/>
                <w:spacing w:val="1"/>
                <w:sz w:val="20"/>
                <w:szCs w:val="20"/>
              </w:rPr>
              <w:t xml:space="preserve"> </w:t>
            </w:r>
            <w:r w:rsidRPr="00173E1B">
              <w:rPr>
                <w:b/>
                <w:spacing w:val="-1"/>
                <w:sz w:val="20"/>
                <w:szCs w:val="20"/>
              </w:rPr>
              <w:t>Trust</w:t>
            </w:r>
            <w:r w:rsidRPr="00173E1B">
              <w:rPr>
                <w:b/>
                <w:spacing w:val="1"/>
                <w:sz w:val="20"/>
                <w:szCs w:val="20"/>
              </w:rPr>
              <w:t xml:space="preserve"> </w:t>
            </w:r>
            <w:r w:rsidRPr="00173E1B">
              <w:rPr>
                <w:b/>
                <w:spacing w:val="-1"/>
                <w:sz w:val="20"/>
                <w:szCs w:val="20"/>
              </w:rPr>
              <w:t>Incorporated</w:t>
            </w:r>
          </w:p>
        </w:tc>
        <w:tc>
          <w:tcPr>
            <w:tcW w:w="2079" w:type="dxa"/>
          </w:tcPr>
          <w:p w:rsidR="00D30775" w:rsidRPr="009C1CB1" w:rsidRDefault="00D30775" w:rsidP="001E4A45">
            <w:pPr>
              <w:pStyle w:val="TableParagraph"/>
              <w:spacing w:before="23"/>
              <w:ind w:left="334"/>
              <w:jc w:val="center"/>
              <w:rPr>
                <w:rFonts w:eastAsia="Arial" w:cs="Arial"/>
                <w:sz w:val="16"/>
                <w:szCs w:val="16"/>
              </w:rPr>
            </w:pPr>
            <w:r w:rsidRPr="009C1CB1">
              <w:rPr>
                <w:spacing w:val="-2"/>
                <w:w w:val="105"/>
                <w:sz w:val="16"/>
                <w:szCs w:val="16"/>
              </w:rPr>
              <w:t>980,462</w:t>
            </w:r>
          </w:p>
        </w:tc>
        <w:tc>
          <w:tcPr>
            <w:tcW w:w="2079" w:type="dxa"/>
          </w:tcPr>
          <w:p w:rsidR="00D30775" w:rsidRPr="009C1CB1" w:rsidRDefault="00D30775" w:rsidP="001E4A45">
            <w:pPr>
              <w:pStyle w:val="TableParagraph"/>
              <w:spacing w:before="23"/>
              <w:ind w:left="334"/>
              <w:jc w:val="center"/>
              <w:rPr>
                <w:rFonts w:eastAsia="Arial" w:cs="Arial"/>
                <w:sz w:val="16"/>
                <w:szCs w:val="16"/>
              </w:rPr>
            </w:pPr>
            <w:r w:rsidRPr="009C1CB1">
              <w:rPr>
                <w:spacing w:val="-2"/>
                <w:w w:val="105"/>
                <w:sz w:val="16"/>
                <w:szCs w:val="16"/>
              </w:rPr>
              <w:t>399,237</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40.72%</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Trust</w:t>
            </w:r>
            <w:r w:rsidRPr="00173E1B">
              <w:rPr>
                <w:b/>
                <w:spacing w:val="1"/>
                <w:sz w:val="20"/>
                <w:szCs w:val="20"/>
              </w:rPr>
              <w:t xml:space="preserve"> </w:t>
            </w:r>
            <w:r w:rsidRPr="00173E1B">
              <w:rPr>
                <w:b/>
                <w:spacing w:val="-1"/>
                <w:sz w:val="20"/>
                <w:szCs w:val="20"/>
              </w:rPr>
              <w:t>Aoraki</w:t>
            </w:r>
            <w:r w:rsidRPr="00173E1B">
              <w:rPr>
                <w:b/>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2,888,407</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1,173,988</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40.64%</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 xml:space="preserve">The </w:t>
            </w:r>
            <w:r w:rsidRPr="00173E1B">
              <w:rPr>
                <w:b/>
                <w:spacing w:val="-1"/>
                <w:sz w:val="20"/>
                <w:szCs w:val="20"/>
              </w:rPr>
              <w:t>Bendigo</w:t>
            </w:r>
            <w:r w:rsidRPr="00173E1B">
              <w:rPr>
                <w:b/>
                <w:spacing w:val="1"/>
                <w:sz w:val="20"/>
                <w:szCs w:val="20"/>
              </w:rPr>
              <w:t xml:space="preserve"> </w:t>
            </w:r>
            <w:r w:rsidRPr="00173E1B">
              <w:rPr>
                <w:b/>
                <w:spacing w:val="-1"/>
                <w:sz w:val="20"/>
                <w:szCs w:val="20"/>
              </w:rPr>
              <w:t>Valley</w:t>
            </w:r>
            <w:r w:rsidRPr="00173E1B">
              <w:rPr>
                <w:b/>
                <w:spacing w:val="-2"/>
                <w:sz w:val="20"/>
                <w:szCs w:val="20"/>
              </w:rPr>
              <w:t xml:space="preserve"> </w:t>
            </w:r>
            <w:r w:rsidRPr="00173E1B">
              <w:rPr>
                <w:b/>
                <w:spacing w:val="-1"/>
                <w:sz w:val="20"/>
                <w:szCs w:val="20"/>
              </w:rPr>
              <w:t>Sports</w:t>
            </w:r>
            <w:r w:rsidRPr="00173E1B">
              <w:rPr>
                <w:b/>
                <w:sz w:val="20"/>
                <w:szCs w:val="20"/>
              </w:rPr>
              <w:t xml:space="preserve"> </w:t>
            </w:r>
            <w:r w:rsidRPr="00173E1B">
              <w:rPr>
                <w:b/>
                <w:spacing w:val="-1"/>
                <w:sz w:val="20"/>
                <w:szCs w:val="20"/>
              </w:rPr>
              <w:t>and</w:t>
            </w:r>
            <w:r w:rsidRPr="00173E1B">
              <w:rPr>
                <w:b/>
                <w:spacing w:val="1"/>
                <w:sz w:val="20"/>
                <w:szCs w:val="20"/>
              </w:rPr>
              <w:t xml:space="preserve"> </w:t>
            </w:r>
            <w:r w:rsidRPr="00173E1B">
              <w:rPr>
                <w:b/>
                <w:spacing w:val="-1"/>
                <w:sz w:val="20"/>
                <w:szCs w:val="20"/>
              </w:rPr>
              <w:t>Charity</w:t>
            </w:r>
            <w:r w:rsidRPr="00173E1B">
              <w:rPr>
                <w:b/>
                <w:spacing w:val="-2"/>
                <w:sz w:val="20"/>
                <w:szCs w:val="20"/>
              </w:rPr>
              <w:t xml:space="preserve"> </w:t>
            </w:r>
            <w:r w:rsidRPr="00173E1B">
              <w:rPr>
                <w:b/>
                <w:sz w:val="20"/>
                <w:szCs w:val="20"/>
              </w:rPr>
              <w:t>Foundation</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5,148,058</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2,076,547</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40.34%</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First</w:t>
            </w:r>
            <w:r w:rsidRPr="00173E1B">
              <w:rPr>
                <w:b/>
                <w:spacing w:val="1"/>
                <w:sz w:val="20"/>
                <w:szCs w:val="20"/>
              </w:rPr>
              <w:t xml:space="preserve"> </w:t>
            </w:r>
            <w:r w:rsidRPr="00173E1B">
              <w:rPr>
                <w:b/>
                <w:spacing w:val="-1"/>
                <w:sz w:val="20"/>
                <w:szCs w:val="20"/>
              </w:rPr>
              <w:t>Sovereign</w:t>
            </w:r>
            <w:r w:rsidRPr="00173E1B">
              <w:rPr>
                <w:b/>
                <w:spacing w:val="-2"/>
                <w:sz w:val="20"/>
                <w:szCs w:val="20"/>
              </w:rPr>
              <w:t xml:space="preserve"> </w:t>
            </w:r>
            <w:r w:rsidRPr="00173E1B">
              <w:rPr>
                <w:b/>
                <w:spacing w:val="-1"/>
                <w:sz w:val="20"/>
                <w:szCs w:val="20"/>
              </w:rPr>
              <w:t>Trust</w:t>
            </w:r>
            <w:r w:rsidRPr="00173E1B">
              <w:rPr>
                <w:b/>
                <w:spacing w:val="1"/>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16,627,915</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6,663,503</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40.07%</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Mana</w:t>
            </w:r>
            <w:r w:rsidRPr="00173E1B">
              <w:rPr>
                <w:b/>
                <w:sz w:val="20"/>
                <w:szCs w:val="20"/>
              </w:rPr>
              <w:t xml:space="preserve"> </w:t>
            </w:r>
            <w:r w:rsidRPr="00173E1B">
              <w:rPr>
                <w:b/>
                <w:spacing w:val="-1"/>
                <w:sz w:val="20"/>
                <w:szCs w:val="20"/>
              </w:rPr>
              <w:t>Community</w:t>
            </w:r>
            <w:r w:rsidRPr="00173E1B">
              <w:rPr>
                <w:b/>
                <w:spacing w:val="-2"/>
                <w:sz w:val="20"/>
                <w:szCs w:val="20"/>
              </w:rPr>
              <w:t xml:space="preserve"> </w:t>
            </w:r>
            <w:r w:rsidRPr="00173E1B">
              <w:rPr>
                <w:b/>
                <w:spacing w:val="-1"/>
                <w:sz w:val="20"/>
                <w:szCs w:val="20"/>
              </w:rPr>
              <w:t>Grants</w:t>
            </w:r>
            <w:r w:rsidRPr="00173E1B">
              <w:rPr>
                <w:b/>
                <w:sz w:val="20"/>
                <w:szCs w:val="20"/>
              </w:rPr>
              <w:t xml:space="preserve"> Foundation</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4,637,948</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1,841,225</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39.70%</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Infinity</w:t>
            </w:r>
            <w:r w:rsidRPr="00173E1B">
              <w:rPr>
                <w:b/>
                <w:spacing w:val="-2"/>
                <w:sz w:val="20"/>
                <w:szCs w:val="20"/>
              </w:rPr>
              <w:t xml:space="preserve"> </w:t>
            </w:r>
            <w:r w:rsidRPr="00173E1B">
              <w:rPr>
                <w:b/>
                <w:sz w:val="20"/>
                <w:szCs w:val="20"/>
              </w:rPr>
              <w:t>Foundation</w:t>
            </w:r>
            <w:r w:rsidRPr="00173E1B">
              <w:rPr>
                <w:b/>
                <w:spacing w:val="-2"/>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42,532,012</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16,860,899</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39.64%</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Air Rescue</w:t>
            </w:r>
            <w:r w:rsidRPr="00173E1B">
              <w:rPr>
                <w:b/>
                <w:sz w:val="20"/>
                <w:szCs w:val="20"/>
              </w:rPr>
              <w:t xml:space="preserve"> </w:t>
            </w:r>
            <w:r w:rsidRPr="00173E1B">
              <w:rPr>
                <w:b/>
                <w:spacing w:val="-1"/>
                <w:sz w:val="20"/>
                <w:szCs w:val="20"/>
              </w:rPr>
              <w:t>Services</w:t>
            </w:r>
            <w:r w:rsidRPr="00173E1B">
              <w:rPr>
                <w:b/>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19,571,086</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7,723,879</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39.47%</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 xml:space="preserve">The </w:t>
            </w:r>
            <w:r w:rsidRPr="00173E1B">
              <w:rPr>
                <w:b/>
                <w:spacing w:val="-1"/>
                <w:sz w:val="20"/>
                <w:szCs w:val="20"/>
              </w:rPr>
              <w:t>Southern</w:t>
            </w:r>
            <w:r w:rsidRPr="00173E1B">
              <w:rPr>
                <w:b/>
                <w:spacing w:val="-2"/>
                <w:sz w:val="20"/>
                <w:szCs w:val="20"/>
              </w:rPr>
              <w:t xml:space="preserve"> </w:t>
            </w:r>
            <w:r w:rsidRPr="00173E1B">
              <w:rPr>
                <w:b/>
                <w:spacing w:val="-1"/>
                <w:sz w:val="20"/>
                <w:szCs w:val="20"/>
              </w:rPr>
              <w:t>Trust</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27,346,011</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10,749,880</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39.31%</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The Lion</w:t>
            </w:r>
            <w:r w:rsidRPr="00173E1B">
              <w:rPr>
                <w:b/>
                <w:spacing w:val="-2"/>
                <w:sz w:val="20"/>
                <w:szCs w:val="20"/>
              </w:rPr>
              <w:t xml:space="preserve"> </w:t>
            </w:r>
            <w:r w:rsidRPr="00173E1B">
              <w:rPr>
                <w:b/>
                <w:sz w:val="20"/>
                <w:szCs w:val="20"/>
              </w:rPr>
              <w:t>Foundation</w:t>
            </w:r>
            <w:r w:rsidRPr="00173E1B">
              <w:rPr>
                <w:b/>
                <w:spacing w:val="-2"/>
                <w:sz w:val="20"/>
                <w:szCs w:val="20"/>
              </w:rPr>
              <w:t xml:space="preserve"> </w:t>
            </w:r>
            <w:r w:rsidRPr="00173E1B">
              <w:rPr>
                <w:b/>
                <w:sz w:val="20"/>
                <w:szCs w:val="20"/>
              </w:rPr>
              <w:t>2008</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96,523,640</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37,695,438</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39.05%</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Pub</w:t>
            </w:r>
            <w:r w:rsidRPr="00173E1B">
              <w:rPr>
                <w:b/>
                <w:spacing w:val="1"/>
                <w:sz w:val="20"/>
                <w:szCs w:val="20"/>
              </w:rPr>
              <w:t xml:space="preserve"> </w:t>
            </w:r>
            <w:r w:rsidRPr="00173E1B">
              <w:rPr>
                <w:b/>
                <w:spacing w:val="-1"/>
                <w:sz w:val="20"/>
                <w:szCs w:val="20"/>
              </w:rPr>
              <w:t>Charity</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71,938,793</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27,797,556</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38.64%</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Blue</w:t>
            </w:r>
            <w:r w:rsidRPr="00173E1B">
              <w:rPr>
                <w:b/>
                <w:sz w:val="20"/>
                <w:szCs w:val="20"/>
              </w:rPr>
              <w:t xml:space="preserve"> </w:t>
            </w:r>
            <w:r w:rsidRPr="00173E1B">
              <w:rPr>
                <w:b/>
                <w:spacing w:val="-1"/>
                <w:sz w:val="20"/>
                <w:szCs w:val="20"/>
              </w:rPr>
              <w:t>Waters</w:t>
            </w:r>
            <w:r w:rsidRPr="00173E1B">
              <w:rPr>
                <w:b/>
                <w:sz w:val="20"/>
                <w:szCs w:val="20"/>
              </w:rPr>
              <w:t xml:space="preserve"> </w:t>
            </w:r>
            <w:r w:rsidRPr="00173E1B">
              <w:rPr>
                <w:b/>
                <w:spacing w:val="-1"/>
                <w:sz w:val="20"/>
                <w:szCs w:val="20"/>
              </w:rPr>
              <w:t>Community</w:t>
            </w:r>
            <w:r w:rsidRPr="00173E1B">
              <w:rPr>
                <w:b/>
                <w:spacing w:val="-2"/>
                <w:sz w:val="20"/>
                <w:szCs w:val="20"/>
              </w:rPr>
              <w:t xml:space="preserve"> </w:t>
            </w:r>
            <w:r w:rsidRPr="00173E1B">
              <w:rPr>
                <w:b/>
                <w:spacing w:val="-1"/>
                <w:sz w:val="20"/>
                <w:szCs w:val="20"/>
              </w:rPr>
              <w:t>Trust</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1,404,532</w:t>
            </w:r>
          </w:p>
        </w:tc>
        <w:tc>
          <w:tcPr>
            <w:tcW w:w="2079" w:type="dxa"/>
          </w:tcPr>
          <w:p w:rsidR="00D30775" w:rsidRPr="009C1CB1" w:rsidRDefault="00D30775" w:rsidP="001E4A45">
            <w:pPr>
              <w:pStyle w:val="TableParagraph"/>
              <w:spacing w:before="23"/>
              <w:ind w:left="334"/>
              <w:jc w:val="center"/>
              <w:rPr>
                <w:rFonts w:eastAsia="Arial" w:cs="Arial"/>
                <w:sz w:val="16"/>
                <w:szCs w:val="16"/>
              </w:rPr>
            </w:pPr>
            <w:r w:rsidRPr="009C1CB1">
              <w:rPr>
                <w:spacing w:val="-2"/>
                <w:w w:val="105"/>
                <w:sz w:val="16"/>
                <w:szCs w:val="16"/>
              </w:rPr>
              <w:t>541,289</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38.54%</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Four</w:t>
            </w:r>
            <w:r w:rsidRPr="00173E1B">
              <w:rPr>
                <w:b/>
                <w:spacing w:val="-1"/>
                <w:sz w:val="20"/>
                <w:szCs w:val="20"/>
              </w:rPr>
              <w:t xml:space="preserve"> Winds</w:t>
            </w:r>
            <w:r w:rsidRPr="00173E1B">
              <w:rPr>
                <w:b/>
                <w:sz w:val="20"/>
                <w:szCs w:val="20"/>
              </w:rPr>
              <w:t xml:space="preserve"> Foundation</w:t>
            </w:r>
            <w:r w:rsidRPr="00173E1B">
              <w:rPr>
                <w:b/>
                <w:spacing w:val="-2"/>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15,018,891</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5,735,681</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38.19%</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Youthtown</w:t>
            </w:r>
            <w:r w:rsidRPr="00173E1B">
              <w:rPr>
                <w:b/>
                <w:spacing w:val="-2"/>
                <w:sz w:val="20"/>
                <w:szCs w:val="20"/>
              </w:rPr>
              <w:t xml:space="preserve"> Inc*</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25,015,944</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9,526,867</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38.08%</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Bluesky</w:t>
            </w:r>
            <w:r w:rsidRPr="00173E1B">
              <w:rPr>
                <w:b/>
                <w:spacing w:val="-2"/>
                <w:sz w:val="20"/>
                <w:szCs w:val="20"/>
              </w:rPr>
              <w:t xml:space="preserve"> </w:t>
            </w:r>
            <w:r w:rsidRPr="00173E1B">
              <w:rPr>
                <w:b/>
                <w:spacing w:val="-1"/>
                <w:sz w:val="20"/>
                <w:szCs w:val="20"/>
              </w:rPr>
              <w:t>Community</w:t>
            </w:r>
            <w:r w:rsidRPr="00173E1B">
              <w:rPr>
                <w:b/>
                <w:spacing w:val="-2"/>
                <w:sz w:val="20"/>
                <w:szCs w:val="20"/>
              </w:rPr>
              <w:t xml:space="preserve"> </w:t>
            </w:r>
            <w:r w:rsidRPr="00173E1B">
              <w:rPr>
                <w:b/>
                <w:spacing w:val="-1"/>
                <w:sz w:val="20"/>
                <w:szCs w:val="20"/>
              </w:rPr>
              <w:t>Trust</w:t>
            </w:r>
            <w:r w:rsidRPr="00173E1B">
              <w:rPr>
                <w:b/>
                <w:spacing w:val="1"/>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4,378,294</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1,649,798</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37.68%</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Pelorus</w:t>
            </w:r>
            <w:r w:rsidRPr="00173E1B">
              <w:rPr>
                <w:b/>
                <w:sz w:val="20"/>
                <w:szCs w:val="20"/>
              </w:rPr>
              <w:t xml:space="preserve"> </w:t>
            </w:r>
            <w:r w:rsidRPr="00173E1B">
              <w:rPr>
                <w:b/>
                <w:spacing w:val="-1"/>
                <w:sz w:val="20"/>
                <w:szCs w:val="20"/>
              </w:rPr>
              <w:t>Trust</w:t>
            </w:r>
          </w:p>
        </w:tc>
        <w:tc>
          <w:tcPr>
            <w:tcW w:w="2079" w:type="dxa"/>
          </w:tcPr>
          <w:p w:rsidR="00D30775" w:rsidRPr="009C1CB1" w:rsidRDefault="00D30775" w:rsidP="001E4A45">
            <w:pPr>
              <w:pStyle w:val="TableParagraph"/>
              <w:spacing w:before="23"/>
              <w:ind w:left="159"/>
              <w:jc w:val="center"/>
              <w:rPr>
                <w:rFonts w:eastAsia="Arial" w:cs="Arial"/>
                <w:sz w:val="16"/>
                <w:szCs w:val="16"/>
              </w:rPr>
            </w:pPr>
            <w:r w:rsidRPr="009C1CB1">
              <w:rPr>
                <w:spacing w:val="-2"/>
                <w:w w:val="105"/>
                <w:sz w:val="16"/>
                <w:szCs w:val="16"/>
              </w:rPr>
              <w:t>13,455,392</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5,049,619</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37.53%</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lastRenderedPageBreak/>
              <w:t>Ahaura/Grey</w:t>
            </w:r>
            <w:r w:rsidRPr="00173E1B">
              <w:rPr>
                <w:b/>
                <w:spacing w:val="-2"/>
                <w:sz w:val="20"/>
                <w:szCs w:val="20"/>
              </w:rPr>
              <w:t xml:space="preserve"> </w:t>
            </w:r>
            <w:r w:rsidRPr="00173E1B">
              <w:rPr>
                <w:b/>
                <w:spacing w:val="-1"/>
                <w:sz w:val="20"/>
                <w:szCs w:val="20"/>
              </w:rPr>
              <w:t>Valley</w:t>
            </w:r>
            <w:r w:rsidRPr="00173E1B">
              <w:rPr>
                <w:b/>
                <w:spacing w:val="-2"/>
                <w:sz w:val="20"/>
                <w:szCs w:val="20"/>
              </w:rPr>
              <w:t xml:space="preserve"> </w:t>
            </w:r>
            <w:r w:rsidRPr="00173E1B">
              <w:rPr>
                <w:b/>
                <w:sz w:val="20"/>
                <w:szCs w:val="20"/>
              </w:rPr>
              <w:t xml:space="preserve">Lions </w:t>
            </w:r>
            <w:r w:rsidRPr="00173E1B">
              <w:rPr>
                <w:b/>
                <w:spacing w:val="-1"/>
                <w:sz w:val="20"/>
                <w:szCs w:val="20"/>
              </w:rPr>
              <w:t>Club</w:t>
            </w:r>
            <w:r w:rsidRPr="00173E1B">
              <w:rPr>
                <w:b/>
                <w:spacing w:val="1"/>
                <w:sz w:val="20"/>
                <w:szCs w:val="20"/>
              </w:rPr>
              <w:t xml:space="preserve"> </w:t>
            </w:r>
            <w:r w:rsidRPr="00173E1B">
              <w:rPr>
                <w:b/>
                <w:spacing w:val="-2"/>
                <w:sz w:val="20"/>
                <w:szCs w:val="20"/>
              </w:rPr>
              <w:t>Inc</w:t>
            </w:r>
          </w:p>
        </w:tc>
        <w:tc>
          <w:tcPr>
            <w:tcW w:w="2079" w:type="dxa"/>
          </w:tcPr>
          <w:p w:rsidR="00D30775" w:rsidRPr="009C1CB1" w:rsidRDefault="00D30775" w:rsidP="001E4A45">
            <w:pPr>
              <w:pStyle w:val="TableParagraph"/>
              <w:spacing w:before="23"/>
              <w:ind w:left="334"/>
              <w:jc w:val="center"/>
              <w:rPr>
                <w:rFonts w:eastAsia="Arial" w:cs="Arial"/>
                <w:sz w:val="16"/>
                <w:szCs w:val="16"/>
              </w:rPr>
            </w:pPr>
            <w:r w:rsidRPr="009C1CB1">
              <w:rPr>
                <w:spacing w:val="-2"/>
                <w:w w:val="105"/>
                <w:sz w:val="16"/>
                <w:szCs w:val="16"/>
              </w:rPr>
              <w:t>142,651</w:t>
            </w:r>
          </w:p>
        </w:tc>
        <w:tc>
          <w:tcPr>
            <w:tcW w:w="2079" w:type="dxa"/>
          </w:tcPr>
          <w:p w:rsidR="00D30775" w:rsidRPr="009C1CB1" w:rsidRDefault="00D30775" w:rsidP="001E4A45">
            <w:pPr>
              <w:pStyle w:val="TableParagraph"/>
              <w:spacing w:before="23"/>
              <w:ind w:left="403"/>
              <w:jc w:val="center"/>
              <w:rPr>
                <w:rFonts w:eastAsia="Arial" w:cs="Arial"/>
                <w:sz w:val="16"/>
                <w:szCs w:val="16"/>
              </w:rPr>
            </w:pPr>
            <w:r w:rsidRPr="009C1CB1">
              <w:rPr>
                <w:spacing w:val="-2"/>
                <w:w w:val="105"/>
                <w:sz w:val="16"/>
                <w:szCs w:val="16"/>
              </w:rPr>
              <w:t>53,117</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37.24%</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Southern</w:t>
            </w:r>
            <w:r w:rsidRPr="00173E1B">
              <w:rPr>
                <w:b/>
                <w:spacing w:val="-2"/>
                <w:sz w:val="20"/>
                <w:szCs w:val="20"/>
              </w:rPr>
              <w:t xml:space="preserve"> </w:t>
            </w:r>
            <w:r w:rsidRPr="00173E1B">
              <w:rPr>
                <w:b/>
                <w:spacing w:val="-1"/>
                <w:sz w:val="20"/>
                <w:szCs w:val="20"/>
              </w:rPr>
              <w:t>Victorian</w:t>
            </w:r>
            <w:r w:rsidRPr="00173E1B">
              <w:rPr>
                <w:b/>
                <w:spacing w:val="-2"/>
                <w:sz w:val="20"/>
                <w:szCs w:val="20"/>
              </w:rPr>
              <w:t xml:space="preserve"> </w:t>
            </w:r>
            <w:r w:rsidRPr="00173E1B">
              <w:rPr>
                <w:b/>
                <w:spacing w:val="-1"/>
                <w:sz w:val="20"/>
                <w:szCs w:val="20"/>
              </w:rPr>
              <w:t>Charitable</w:t>
            </w:r>
            <w:r w:rsidRPr="00173E1B">
              <w:rPr>
                <w:b/>
                <w:sz w:val="20"/>
                <w:szCs w:val="20"/>
              </w:rPr>
              <w:t xml:space="preserve"> </w:t>
            </w:r>
            <w:r w:rsidRPr="00173E1B">
              <w:rPr>
                <w:b/>
                <w:spacing w:val="-1"/>
                <w:sz w:val="20"/>
                <w:szCs w:val="20"/>
              </w:rPr>
              <w:t>Trust</w:t>
            </w:r>
            <w:r w:rsidRPr="00173E1B">
              <w:rPr>
                <w:b/>
                <w:spacing w:val="1"/>
                <w:sz w:val="20"/>
                <w:szCs w:val="20"/>
              </w:rPr>
              <w:t xml:space="preserve"> </w:t>
            </w:r>
            <w:r w:rsidRPr="00173E1B">
              <w:rPr>
                <w:b/>
                <w:spacing w:val="-3"/>
                <w:sz w:val="20"/>
                <w:szCs w:val="20"/>
              </w:rPr>
              <w:t>Inc</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1,392,391</w:t>
            </w:r>
          </w:p>
        </w:tc>
        <w:tc>
          <w:tcPr>
            <w:tcW w:w="2079" w:type="dxa"/>
          </w:tcPr>
          <w:p w:rsidR="00D30775" w:rsidRPr="009C1CB1" w:rsidRDefault="00D30775" w:rsidP="001E4A45">
            <w:pPr>
              <w:pStyle w:val="TableParagraph"/>
              <w:spacing w:before="23"/>
              <w:ind w:left="334"/>
              <w:jc w:val="center"/>
              <w:rPr>
                <w:rFonts w:eastAsia="Arial" w:cs="Arial"/>
                <w:sz w:val="16"/>
                <w:szCs w:val="16"/>
              </w:rPr>
            </w:pPr>
            <w:r w:rsidRPr="009C1CB1">
              <w:rPr>
                <w:spacing w:val="-2"/>
                <w:w w:val="105"/>
                <w:sz w:val="16"/>
                <w:szCs w:val="16"/>
              </w:rPr>
              <w:t>517,026</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37.13%</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Dragon</w:t>
            </w:r>
            <w:r w:rsidRPr="00173E1B">
              <w:rPr>
                <w:b/>
                <w:spacing w:val="-2"/>
                <w:sz w:val="20"/>
                <w:szCs w:val="20"/>
              </w:rPr>
              <w:t xml:space="preserve"> </w:t>
            </w:r>
            <w:r w:rsidRPr="00173E1B">
              <w:rPr>
                <w:b/>
                <w:spacing w:val="-1"/>
                <w:sz w:val="20"/>
                <w:szCs w:val="20"/>
              </w:rPr>
              <w:t>Community</w:t>
            </w:r>
            <w:r w:rsidRPr="00173E1B">
              <w:rPr>
                <w:b/>
                <w:spacing w:val="-2"/>
                <w:sz w:val="20"/>
                <w:szCs w:val="20"/>
              </w:rPr>
              <w:t xml:space="preserve"> </w:t>
            </w:r>
            <w:r w:rsidRPr="00173E1B">
              <w:rPr>
                <w:b/>
                <w:spacing w:val="-1"/>
                <w:sz w:val="20"/>
                <w:szCs w:val="20"/>
              </w:rPr>
              <w:t>Trust</w:t>
            </w:r>
            <w:r w:rsidRPr="00173E1B">
              <w:rPr>
                <w:b/>
                <w:spacing w:val="1"/>
                <w:sz w:val="20"/>
                <w:szCs w:val="20"/>
              </w:rPr>
              <w:t xml:space="preserve"> </w:t>
            </w:r>
            <w:r w:rsidRPr="00173E1B">
              <w:rPr>
                <w:b/>
                <w:spacing w:val="-1"/>
                <w:sz w:val="20"/>
                <w:szCs w:val="20"/>
              </w:rPr>
              <w:t>Limited</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2,791,608</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1,036,530</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37.13%</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pacing w:val="-1"/>
                <w:sz w:val="20"/>
                <w:szCs w:val="20"/>
              </w:rPr>
              <w:t>Prime</w:t>
            </w:r>
            <w:r w:rsidRPr="00173E1B">
              <w:rPr>
                <w:b/>
                <w:sz w:val="20"/>
                <w:szCs w:val="20"/>
              </w:rPr>
              <w:t xml:space="preserve"> </w:t>
            </w:r>
            <w:r w:rsidRPr="00173E1B">
              <w:rPr>
                <w:b/>
                <w:spacing w:val="-1"/>
                <w:sz w:val="20"/>
                <w:szCs w:val="20"/>
              </w:rPr>
              <w:t>Community</w:t>
            </w:r>
            <w:r w:rsidRPr="00173E1B">
              <w:rPr>
                <w:b/>
                <w:spacing w:val="-2"/>
                <w:sz w:val="20"/>
                <w:szCs w:val="20"/>
              </w:rPr>
              <w:t xml:space="preserve"> </w:t>
            </w:r>
            <w:r w:rsidRPr="00173E1B">
              <w:rPr>
                <w:b/>
                <w:spacing w:val="-1"/>
                <w:sz w:val="20"/>
                <w:szCs w:val="20"/>
              </w:rPr>
              <w:t>Trust*</w:t>
            </w:r>
          </w:p>
        </w:tc>
        <w:tc>
          <w:tcPr>
            <w:tcW w:w="2079" w:type="dxa"/>
          </w:tcPr>
          <w:p w:rsidR="00D30775" w:rsidRPr="009C1CB1" w:rsidRDefault="00D30775" w:rsidP="001E4A45">
            <w:pPr>
              <w:pStyle w:val="TableParagraph"/>
              <w:spacing w:before="23"/>
              <w:ind w:left="228"/>
              <w:jc w:val="center"/>
              <w:rPr>
                <w:rFonts w:eastAsia="Arial" w:cs="Arial"/>
                <w:sz w:val="16"/>
                <w:szCs w:val="16"/>
              </w:rPr>
            </w:pPr>
            <w:r w:rsidRPr="009C1CB1">
              <w:rPr>
                <w:spacing w:val="-2"/>
                <w:w w:val="105"/>
                <w:sz w:val="16"/>
                <w:szCs w:val="16"/>
              </w:rPr>
              <w:t>1,100,920</w:t>
            </w:r>
          </w:p>
        </w:tc>
        <w:tc>
          <w:tcPr>
            <w:tcW w:w="2079" w:type="dxa"/>
          </w:tcPr>
          <w:p w:rsidR="00D30775" w:rsidRPr="009C1CB1" w:rsidRDefault="00D30775" w:rsidP="001E4A45">
            <w:pPr>
              <w:pStyle w:val="TableParagraph"/>
              <w:spacing w:before="23"/>
              <w:ind w:left="334"/>
              <w:jc w:val="center"/>
              <w:rPr>
                <w:rFonts w:eastAsia="Arial" w:cs="Arial"/>
                <w:sz w:val="16"/>
                <w:szCs w:val="16"/>
              </w:rPr>
            </w:pPr>
            <w:r w:rsidRPr="009C1CB1">
              <w:rPr>
                <w:spacing w:val="-2"/>
                <w:w w:val="105"/>
                <w:sz w:val="16"/>
                <w:szCs w:val="16"/>
              </w:rPr>
              <w:t>397,644</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36.12%</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 xml:space="preserve">The </w:t>
            </w:r>
            <w:r w:rsidRPr="00173E1B">
              <w:rPr>
                <w:b/>
                <w:spacing w:val="-2"/>
                <w:sz w:val="20"/>
                <w:szCs w:val="20"/>
              </w:rPr>
              <w:t>Brunner</w:t>
            </w:r>
            <w:r w:rsidRPr="00173E1B">
              <w:rPr>
                <w:b/>
                <w:spacing w:val="-1"/>
                <w:sz w:val="20"/>
                <w:szCs w:val="20"/>
              </w:rPr>
              <w:t xml:space="preserve"> Rugby</w:t>
            </w:r>
            <w:r w:rsidRPr="00173E1B">
              <w:rPr>
                <w:b/>
                <w:spacing w:val="-2"/>
                <w:sz w:val="20"/>
                <w:szCs w:val="20"/>
              </w:rPr>
              <w:t xml:space="preserve"> </w:t>
            </w:r>
            <w:r w:rsidRPr="00173E1B">
              <w:rPr>
                <w:b/>
                <w:sz w:val="20"/>
                <w:szCs w:val="20"/>
              </w:rPr>
              <w:t xml:space="preserve">League </w:t>
            </w:r>
            <w:r w:rsidRPr="00173E1B">
              <w:rPr>
                <w:b/>
                <w:spacing w:val="-1"/>
                <w:sz w:val="20"/>
                <w:szCs w:val="20"/>
              </w:rPr>
              <w:t>Club*</w:t>
            </w:r>
          </w:p>
        </w:tc>
        <w:tc>
          <w:tcPr>
            <w:tcW w:w="2079" w:type="dxa"/>
          </w:tcPr>
          <w:p w:rsidR="00D30775" w:rsidRPr="009C1CB1" w:rsidRDefault="00D30775" w:rsidP="001E4A45">
            <w:pPr>
              <w:pStyle w:val="TableParagraph"/>
              <w:spacing w:before="23"/>
              <w:ind w:left="403"/>
              <w:jc w:val="center"/>
              <w:rPr>
                <w:rFonts w:eastAsia="Arial" w:cs="Arial"/>
                <w:sz w:val="16"/>
                <w:szCs w:val="16"/>
              </w:rPr>
            </w:pPr>
            <w:r w:rsidRPr="009C1CB1">
              <w:rPr>
                <w:spacing w:val="-2"/>
                <w:w w:val="105"/>
                <w:sz w:val="16"/>
                <w:szCs w:val="16"/>
              </w:rPr>
              <w:t>69,097</w:t>
            </w:r>
          </w:p>
        </w:tc>
        <w:tc>
          <w:tcPr>
            <w:tcW w:w="2079" w:type="dxa"/>
          </w:tcPr>
          <w:p w:rsidR="00D30775" w:rsidRPr="009C1CB1" w:rsidRDefault="00D30775" w:rsidP="001E4A45">
            <w:pPr>
              <w:pStyle w:val="TableParagraph"/>
              <w:spacing w:before="23"/>
              <w:ind w:left="403"/>
              <w:jc w:val="center"/>
              <w:rPr>
                <w:rFonts w:eastAsia="Arial" w:cs="Arial"/>
                <w:sz w:val="16"/>
                <w:szCs w:val="16"/>
              </w:rPr>
            </w:pPr>
            <w:r w:rsidRPr="009C1CB1">
              <w:rPr>
                <w:spacing w:val="-2"/>
                <w:w w:val="105"/>
                <w:sz w:val="16"/>
                <w:szCs w:val="16"/>
              </w:rPr>
              <w:t>22,791</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32.98%</w:t>
            </w:r>
          </w:p>
        </w:tc>
      </w:tr>
      <w:tr w:rsidR="00D30775" w:rsidTr="00C469E7">
        <w:tc>
          <w:tcPr>
            <w:tcW w:w="2977" w:type="dxa"/>
          </w:tcPr>
          <w:p w:rsidR="00D30775" w:rsidRPr="00173E1B" w:rsidRDefault="00D30775" w:rsidP="001E4A45">
            <w:pPr>
              <w:pStyle w:val="TableParagraph"/>
              <w:spacing w:before="21"/>
              <w:ind w:left="18"/>
              <w:rPr>
                <w:rFonts w:eastAsia="Arial" w:cs="Arial"/>
                <w:sz w:val="20"/>
                <w:szCs w:val="20"/>
              </w:rPr>
            </w:pPr>
            <w:r w:rsidRPr="00173E1B">
              <w:rPr>
                <w:b/>
                <w:sz w:val="20"/>
                <w:szCs w:val="20"/>
              </w:rPr>
              <w:t xml:space="preserve">The </w:t>
            </w:r>
            <w:r w:rsidRPr="00173E1B">
              <w:rPr>
                <w:b/>
                <w:spacing w:val="-1"/>
                <w:sz w:val="20"/>
                <w:szCs w:val="20"/>
              </w:rPr>
              <w:t>Runanga</w:t>
            </w:r>
            <w:r w:rsidRPr="00173E1B">
              <w:rPr>
                <w:b/>
                <w:sz w:val="20"/>
                <w:szCs w:val="20"/>
              </w:rPr>
              <w:t xml:space="preserve"> </w:t>
            </w:r>
            <w:r w:rsidRPr="00173E1B">
              <w:rPr>
                <w:b/>
                <w:spacing w:val="-1"/>
                <w:sz w:val="20"/>
                <w:szCs w:val="20"/>
              </w:rPr>
              <w:t>Community</w:t>
            </w:r>
            <w:r w:rsidRPr="00173E1B">
              <w:rPr>
                <w:b/>
                <w:spacing w:val="-2"/>
                <w:sz w:val="20"/>
                <w:szCs w:val="20"/>
              </w:rPr>
              <w:t xml:space="preserve"> </w:t>
            </w:r>
            <w:r w:rsidRPr="00173E1B">
              <w:rPr>
                <w:b/>
                <w:spacing w:val="-1"/>
                <w:sz w:val="20"/>
                <w:szCs w:val="20"/>
              </w:rPr>
              <w:t>Swimming</w:t>
            </w:r>
            <w:r w:rsidRPr="00173E1B">
              <w:rPr>
                <w:b/>
                <w:spacing w:val="1"/>
                <w:sz w:val="20"/>
                <w:szCs w:val="20"/>
              </w:rPr>
              <w:t xml:space="preserve"> </w:t>
            </w:r>
            <w:r w:rsidRPr="00173E1B">
              <w:rPr>
                <w:b/>
                <w:sz w:val="20"/>
                <w:szCs w:val="20"/>
              </w:rPr>
              <w:t xml:space="preserve">Pool </w:t>
            </w:r>
            <w:r w:rsidRPr="00173E1B">
              <w:rPr>
                <w:b/>
                <w:spacing w:val="-1"/>
                <w:sz w:val="20"/>
                <w:szCs w:val="20"/>
              </w:rPr>
              <w:t>Trust*</w:t>
            </w:r>
          </w:p>
        </w:tc>
        <w:tc>
          <w:tcPr>
            <w:tcW w:w="2079" w:type="dxa"/>
          </w:tcPr>
          <w:p w:rsidR="00D30775" w:rsidRPr="009C1CB1" w:rsidRDefault="00D30775" w:rsidP="001E4A45">
            <w:pPr>
              <w:pStyle w:val="Numberedpara3level1"/>
              <w:numPr>
                <w:ilvl w:val="0"/>
                <w:numId w:val="0"/>
              </w:numPr>
              <w:spacing w:before="0" w:after="0"/>
              <w:jc w:val="center"/>
              <w:rPr>
                <w:rFonts w:asciiTheme="minorHAnsi" w:hAnsiTheme="minorHAnsi"/>
                <w:sz w:val="16"/>
                <w:szCs w:val="16"/>
              </w:rPr>
            </w:pPr>
            <w:r>
              <w:rPr>
                <w:rFonts w:asciiTheme="minorHAnsi" w:hAnsiTheme="minorHAnsi"/>
                <w:sz w:val="16"/>
                <w:szCs w:val="16"/>
              </w:rPr>
              <w:t>20,793</w:t>
            </w:r>
          </w:p>
        </w:tc>
        <w:tc>
          <w:tcPr>
            <w:tcW w:w="2079" w:type="dxa"/>
          </w:tcPr>
          <w:p w:rsidR="00D30775" w:rsidRPr="009C1CB1" w:rsidRDefault="00D30775" w:rsidP="001E4A45">
            <w:pPr>
              <w:pStyle w:val="TableParagraph"/>
              <w:spacing w:before="23"/>
              <w:ind w:left="473"/>
              <w:jc w:val="center"/>
              <w:rPr>
                <w:rFonts w:eastAsia="Arial" w:cs="Arial"/>
                <w:sz w:val="16"/>
                <w:szCs w:val="16"/>
              </w:rPr>
            </w:pPr>
            <w:r w:rsidRPr="009C1CB1">
              <w:rPr>
                <w:spacing w:val="-2"/>
                <w:w w:val="105"/>
                <w:sz w:val="16"/>
                <w:szCs w:val="16"/>
              </w:rPr>
              <w:t>2,423</w:t>
            </w:r>
          </w:p>
        </w:tc>
        <w:tc>
          <w:tcPr>
            <w:tcW w:w="2079" w:type="dxa"/>
          </w:tcPr>
          <w:p w:rsidR="00D30775" w:rsidRPr="009C1CB1" w:rsidRDefault="00D30775" w:rsidP="001E4A45">
            <w:pPr>
              <w:pStyle w:val="TableParagraph"/>
              <w:spacing w:before="25"/>
              <w:ind w:left="378"/>
              <w:jc w:val="center"/>
              <w:rPr>
                <w:rFonts w:eastAsia="Arial" w:cs="Arial"/>
                <w:sz w:val="16"/>
                <w:szCs w:val="16"/>
              </w:rPr>
            </w:pPr>
            <w:r w:rsidRPr="009C1CB1">
              <w:rPr>
                <w:b/>
                <w:spacing w:val="-2"/>
                <w:w w:val="105"/>
                <w:sz w:val="16"/>
                <w:szCs w:val="16"/>
              </w:rPr>
              <w:t>11.65%</w:t>
            </w:r>
          </w:p>
        </w:tc>
      </w:tr>
      <w:tr w:rsidR="00D30775" w:rsidTr="00C469E7">
        <w:tc>
          <w:tcPr>
            <w:tcW w:w="2977" w:type="dxa"/>
          </w:tcPr>
          <w:p w:rsidR="00D30775" w:rsidRPr="00173E1B" w:rsidRDefault="00D30775" w:rsidP="001E4A45">
            <w:pPr>
              <w:pStyle w:val="TableParagraph"/>
              <w:spacing w:before="21"/>
              <w:ind w:left="18"/>
              <w:rPr>
                <w:b/>
                <w:sz w:val="20"/>
                <w:szCs w:val="20"/>
              </w:rPr>
            </w:pPr>
            <w:r>
              <w:rPr>
                <w:b/>
                <w:sz w:val="20"/>
                <w:szCs w:val="20"/>
              </w:rPr>
              <w:t>Total</w:t>
            </w:r>
          </w:p>
        </w:tc>
        <w:tc>
          <w:tcPr>
            <w:tcW w:w="2079" w:type="dxa"/>
          </w:tcPr>
          <w:p w:rsidR="00D30775" w:rsidRPr="009C1CB1" w:rsidRDefault="00D30775" w:rsidP="001E4A45">
            <w:pPr>
              <w:pStyle w:val="Numberedpara3level1"/>
              <w:numPr>
                <w:ilvl w:val="0"/>
                <w:numId w:val="0"/>
              </w:numPr>
              <w:spacing w:before="0" w:after="0"/>
              <w:jc w:val="center"/>
              <w:rPr>
                <w:rFonts w:asciiTheme="minorHAnsi" w:hAnsiTheme="minorHAnsi"/>
                <w:sz w:val="16"/>
                <w:szCs w:val="16"/>
              </w:rPr>
            </w:pPr>
            <w:r>
              <w:rPr>
                <w:rFonts w:ascii="Arial"/>
                <w:b/>
                <w:spacing w:val="-2"/>
                <w:w w:val="105"/>
                <w:sz w:val="12"/>
              </w:rPr>
              <w:t>624,672,465</w:t>
            </w:r>
          </w:p>
        </w:tc>
        <w:tc>
          <w:tcPr>
            <w:tcW w:w="2079" w:type="dxa"/>
          </w:tcPr>
          <w:p w:rsidR="00D30775" w:rsidRPr="009C1CB1" w:rsidRDefault="00D30775" w:rsidP="001E4A45">
            <w:pPr>
              <w:pStyle w:val="TableParagraph"/>
              <w:spacing w:before="23"/>
              <w:ind w:left="473"/>
              <w:jc w:val="center"/>
              <w:rPr>
                <w:spacing w:val="-2"/>
                <w:w w:val="105"/>
                <w:sz w:val="16"/>
                <w:szCs w:val="16"/>
              </w:rPr>
            </w:pPr>
            <w:r>
              <w:rPr>
                <w:rFonts w:ascii="Arial"/>
                <w:b/>
                <w:spacing w:val="-2"/>
                <w:w w:val="105"/>
                <w:sz w:val="12"/>
              </w:rPr>
              <w:t>256,626,243</w:t>
            </w:r>
          </w:p>
        </w:tc>
        <w:tc>
          <w:tcPr>
            <w:tcW w:w="2079" w:type="dxa"/>
          </w:tcPr>
          <w:p w:rsidR="00D30775" w:rsidRPr="009C1CB1" w:rsidRDefault="00D30775" w:rsidP="001E4A45">
            <w:pPr>
              <w:pStyle w:val="TableParagraph"/>
              <w:spacing w:before="25"/>
              <w:ind w:left="378"/>
              <w:jc w:val="center"/>
              <w:rPr>
                <w:b/>
                <w:spacing w:val="-2"/>
                <w:w w:val="105"/>
                <w:sz w:val="16"/>
                <w:szCs w:val="16"/>
              </w:rPr>
            </w:pPr>
            <w:r>
              <w:rPr>
                <w:rFonts w:ascii="Arial"/>
                <w:b/>
                <w:spacing w:val="-2"/>
                <w:w w:val="105"/>
                <w:sz w:val="12"/>
              </w:rPr>
              <w:t>41.08%</w:t>
            </w:r>
          </w:p>
        </w:tc>
      </w:tr>
      <w:tr w:rsidR="00D30775" w:rsidTr="00C469E7">
        <w:tc>
          <w:tcPr>
            <w:tcW w:w="2977" w:type="dxa"/>
          </w:tcPr>
          <w:p w:rsidR="00D30775" w:rsidRDefault="00D30775" w:rsidP="001E4A45">
            <w:pPr>
              <w:pStyle w:val="TableParagraph"/>
              <w:spacing w:before="21"/>
              <w:ind w:left="18"/>
              <w:rPr>
                <w:b/>
                <w:sz w:val="20"/>
                <w:szCs w:val="20"/>
              </w:rPr>
            </w:pPr>
            <w:r>
              <w:rPr>
                <w:b/>
                <w:sz w:val="20"/>
                <w:szCs w:val="20"/>
              </w:rPr>
              <w:t>Average</w:t>
            </w:r>
          </w:p>
        </w:tc>
        <w:tc>
          <w:tcPr>
            <w:tcW w:w="2079" w:type="dxa"/>
          </w:tcPr>
          <w:p w:rsidR="00D30775" w:rsidRPr="009C1CB1" w:rsidRDefault="00D30775" w:rsidP="001E4A45">
            <w:pPr>
              <w:pStyle w:val="Numberedpara3level1"/>
              <w:numPr>
                <w:ilvl w:val="0"/>
                <w:numId w:val="0"/>
              </w:numPr>
              <w:spacing w:before="0" w:after="0"/>
              <w:jc w:val="center"/>
              <w:rPr>
                <w:rFonts w:asciiTheme="minorHAnsi" w:hAnsiTheme="minorHAnsi"/>
                <w:sz w:val="16"/>
                <w:szCs w:val="16"/>
              </w:rPr>
            </w:pPr>
            <w:r>
              <w:rPr>
                <w:rFonts w:ascii="Arial"/>
                <w:b/>
                <w:spacing w:val="-2"/>
                <w:w w:val="105"/>
                <w:sz w:val="12"/>
              </w:rPr>
              <w:t>14,527,267</w:t>
            </w:r>
          </w:p>
        </w:tc>
        <w:tc>
          <w:tcPr>
            <w:tcW w:w="2079" w:type="dxa"/>
          </w:tcPr>
          <w:p w:rsidR="00D30775" w:rsidRPr="009C1CB1" w:rsidRDefault="00D30775" w:rsidP="001E4A45">
            <w:pPr>
              <w:pStyle w:val="TableParagraph"/>
              <w:spacing w:before="23"/>
              <w:ind w:left="473"/>
              <w:jc w:val="center"/>
              <w:rPr>
                <w:spacing w:val="-2"/>
                <w:w w:val="105"/>
                <w:sz w:val="16"/>
                <w:szCs w:val="16"/>
              </w:rPr>
            </w:pPr>
            <w:r>
              <w:rPr>
                <w:rFonts w:ascii="Arial"/>
                <w:b/>
                <w:spacing w:val="-2"/>
                <w:w w:val="105"/>
                <w:sz w:val="12"/>
              </w:rPr>
              <w:t>5,968,052</w:t>
            </w:r>
          </w:p>
        </w:tc>
        <w:tc>
          <w:tcPr>
            <w:tcW w:w="2079" w:type="dxa"/>
          </w:tcPr>
          <w:p w:rsidR="00D30775" w:rsidRPr="009C1CB1" w:rsidRDefault="00D30775" w:rsidP="001E4A45">
            <w:pPr>
              <w:pStyle w:val="TableParagraph"/>
              <w:spacing w:before="25"/>
              <w:ind w:left="378"/>
              <w:jc w:val="center"/>
              <w:rPr>
                <w:b/>
                <w:spacing w:val="-2"/>
                <w:w w:val="105"/>
                <w:sz w:val="16"/>
                <w:szCs w:val="16"/>
              </w:rPr>
            </w:pPr>
          </w:p>
        </w:tc>
      </w:tr>
      <w:tr w:rsidR="00BD11DA" w:rsidTr="00FF4E90">
        <w:tc>
          <w:tcPr>
            <w:tcW w:w="9214" w:type="dxa"/>
            <w:gridSpan w:val="4"/>
          </w:tcPr>
          <w:p w:rsidR="00BD11DA" w:rsidRPr="009C1CB1" w:rsidRDefault="00BD11DA" w:rsidP="00BD11DA">
            <w:pPr>
              <w:pStyle w:val="TableParagraph"/>
              <w:spacing w:before="25"/>
              <w:rPr>
                <w:b/>
                <w:spacing w:val="-2"/>
                <w:w w:val="105"/>
                <w:sz w:val="16"/>
                <w:szCs w:val="16"/>
              </w:rPr>
            </w:pPr>
            <w:r>
              <w:rPr>
                <w:rFonts w:ascii="Arial"/>
                <w:b/>
                <w:sz w:val="12"/>
              </w:rPr>
              <w:t>*</w:t>
            </w:r>
            <w:r>
              <w:rPr>
                <w:rFonts w:ascii="Arial"/>
                <w:b/>
                <w:spacing w:val="-1"/>
                <w:sz w:val="12"/>
              </w:rPr>
              <w:t xml:space="preserve"> Mainly</w:t>
            </w:r>
            <w:r>
              <w:rPr>
                <w:rFonts w:ascii="Arial"/>
                <w:b/>
                <w:spacing w:val="-2"/>
                <w:sz w:val="12"/>
              </w:rPr>
              <w:t xml:space="preserve"> </w:t>
            </w:r>
            <w:r>
              <w:rPr>
                <w:rFonts w:ascii="Arial"/>
                <w:b/>
                <w:sz w:val="12"/>
              </w:rPr>
              <w:t>apply</w:t>
            </w:r>
            <w:r>
              <w:rPr>
                <w:rFonts w:ascii="Arial"/>
                <w:b/>
                <w:spacing w:val="-2"/>
                <w:sz w:val="12"/>
              </w:rPr>
              <w:t xml:space="preserve"> </w:t>
            </w:r>
            <w:r>
              <w:rPr>
                <w:rFonts w:ascii="Arial"/>
                <w:b/>
                <w:sz w:val="12"/>
              </w:rPr>
              <w:t xml:space="preserve">societies </w:t>
            </w:r>
            <w:r>
              <w:rPr>
                <w:rFonts w:ascii="Arial"/>
                <w:b/>
                <w:spacing w:val="-1"/>
                <w:sz w:val="12"/>
              </w:rPr>
              <w:t>are</w:t>
            </w:r>
            <w:r>
              <w:rPr>
                <w:rFonts w:ascii="Arial"/>
                <w:b/>
                <w:sz w:val="12"/>
              </w:rPr>
              <w:t xml:space="preserve"> </w:t>
            </w:r>
            <w:r>
              <w:rPr>
                <w:rFonts w:ascii="Arial"/>
                <w:b/>
                <w:spacing w:val="-1"/>
                <w:sz w:val="12"/>
              </w:rPr>
              <w:t>not</w:t>
            </w:r>
            <w:r>
              <w:rPr>
                <w:rFonts w:ascii="Arial"/>
                <w:b/>
                <w:spacing w:val="1"/>
                <w:sz w:val="12"/>
              </w:rPr>
              <w:t xml:space="preserve"> </w:t>
            </w:r>
            <w:r>
              <w:rPr>
                <w:rFonts w:ascii="Arial"/>
                <w:b/>
                <w:spacing w:val="-1"/>
                <w:sz w:val="12"/>
              </w:rPr>
              <w:t>subject</w:t>
            </w:r>
            <w:r>
              <w:rPr>
                <w:rFonts w:ascii="Arial"/>
                <w:b/>
                <w:spacing w:val="1"/>
                <w:sz w:val="12"/>
              </w:rPr>
              <w:t xml:space="preserve"> </w:t>
            </w:r>
            <w:r>
              <w:rPr>
                <w:rFonts w:ascii="Arial"/>
                <w:b/>
                <w:sz w:val="12"/>
              </w:rPr>
              <w:t>to</w:t>
            </w:r>
            <w:r>
              <w:rPr>
                <w:rFonts w:ascii="Arial"/>
                <w:b/>
                <w:spacing w:val="1"/>
                <w:sz w:val="12"/>
              </w:rPr>
              <w:t xml:space="preserve"> </w:t>
            </w:r>
            <w:r>
              <w:rPr>
                <w:rFonts w:ascii="Arial"/>
                <w:b/>
                <w:spacing w:val="-1"/>
                <w:sz w:val="12"/>
              </w:rPr>
              <w:t>Part</w:t>
            </w:r>
            <w:r>
              <w:rPr>
                <w:rFonts w:ascii="Arial"/>
                <w:b/>
                <w:spacing w:val="1"/>
                <w:sz w:val="12"/>
              </w:rPr>
              <w:t xml:space="preserve"> </w:t>
            </w:r>
            <w:r>
              <w:rPr>
                <w:rFonts w:ascii="Arial"/>
                <w:b/>
                <w:sz w:val="12"/>
              </w:rPr>
              <w:t>2 of</w:t>
            </w:r>
            <w:r>
              <w:rPr>
                <w:rFonts w:ascii="Arial"/>
                <w:b/>
                <w:spacing w:val="1"/>
                <w:sz w:val="12"/>
              </w:rPr>
              <w:t xml:space="preserve"> </w:t>
            </w:r>
            <w:r>
              <w:rPr>
                <w:rFonts w:ascii="Arial"/>
                <w:b/>
                <w:spacing w:val="-1"/>
                <w:sz w:val="12"/>
              </w:rPr>
              <w:t>Gambling</w:t>
            </w:r>
            <w:r>
              <w:rPr>
                <w:rFonts w:ascii="Arial"/>
                <w:b/>
                <w:spacing w:val="1"/>
                <w:sz w:val="12"/>
              </w:rPr>
              <w:t xml:space="preserve"> </w:t>
            </w:r>
            <w:r>
              <w:rPr>
                <w:rFonts w:ascii="Arial"/>
                <w:b/>
                <w:spacing w:val="-1"/>
                <w:sz w:val="12"/>
              </w:rPr>
              <w:t>(Class</w:t>
            </w:r>
            <w:r>
              <w:rPr>
                <w:rFonts w:ascii="Arial"/>
                <w:b/>
                <w:sz w:val="12"/>
              </w:rPr>
              <w:t xml:space="preserve"> 4 </w:t>
            </w:r>
            <w:r>
              <w:rPr>
                <w:rFonts w:ascii="Arial"/>
                <w:b/>
                <w:spacing w:val="-1"/>
                <w:sz w:val="12"/>
              </w:rPr>
              <w:t>Net</w:t>
            </w:r>
            <w:r>
              <w:rPr>
                <w:rFonts w:ascii="Arial"/>
                <w:b/>
                <w:spacing w:val="1"/>
                <w:sz w:val="12"/>
              </w:rPr>
              <w:t xml:space="preserve"> </w:t>
            </w:r>
            <w:r>
              <w:rPr>
                <w:rFonts w:ascii="Arial"/>
                <w:b/>
                <w:spacing w:val="-1"/>
                <w:sz w:val="12"/>
              </w:rPr>
              <w:t>Proceeds)</w:t>
            </w:r>
            <w:r>
              <w:rPr>
                <w:rFonts w:ascii="Arial"/>
                <w:b/>
                <w:spacing w:val="1"/>
                <w:sz w:val="12"/>
              </w:rPr>
              <w:t xml:space="preserve"> </w:t>
            </w:r>
            <w:r>
              <w:rPr>
                <w:rFonts w:ascii="Arial"/>
                <w:b/>
                <w:spacing w:val="-1"/>
                <w:sz w:val="12"/>
              </w:rPr>
              <w:t>Regulations</w:t>
            </w:r>
            <w:r>
              <w:rPr>
                <w:rFonts w:ascii="Arial"/>
                <w:b/>
                <w:sz w:val="12"/>
              </w:rPr>
              <w:t xml:space="preserve"> 2004.</w:t>
            </w:r>
          </w:p>
        </w:tc>
      </w:tr>
    </w:tbl>
    <w:p w:rsidR="006822F7" w:rsidRPr="00A9117D" w:rsidRDefault="006822F7" w:rsidP="00A9117D">
      <w:pPr>
        <w:keepLines w:val="0"/>
      </w:pPr>
    </w:p>
    <w:sectPr w:rsidR="006822F7" w:rsidRPr="00A9117D" w:rsidSect="000965B6">
      <w:headerReference w:type="first" r:id="rId17"/>
      <w:footerReference w:type="first" r:id="rId18"/>
      <w:pgSz w:w="11907" w:h="16840" w:code="9"/>
      <w:pgMar w:top="1134" w:right="1418" w:bottom="567"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7D" w:rsidRDefault="00EC197D">
      <w:r>
        <w:separator/>
      </w:r>
    </w:p>
    <w:p w:rsidR="00EC197D" w:rsidRDefault="00EC197D"/>
    <w:p w:rsidR="00EC197D" w:rsidRDefault="00EC197D"/>
  </w:endnote>
  <w:endnote w:type="continuationSeparator" w:id="0">
    <w:p w:rsidR="00EC197D" w:rsidRDefault="00EC197D">
      <w:r>
        <w:continuationSeparator/>
      </w:r>
    </w:p>
    <w:p w:rsidR="00EC197D" w:rsidRDefault="00EC197D"/>
    <w:p w:rsidR="00EC197D" w:rsidRDefault="00EC1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17" w:rsidRDefault="00F56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17" w:rsidRDefault="006F7417" w:rsidP="00460B3F">
    <w:pPr>
      <w:pStyle w:val="Footer"/>
      <w:tabs>
        <w:tab w:val="center" w:pos="5103"/>
        <w:tab w:val="right" w:pos="9071"/>
      </w:tabs>
      <w:ind w:right="-1"/>
    </w:pPr>
    <w:r>
      <w:tab/>
    </w:r>
    <w:r>
      <w:tab/>
      <w:t xml:space="preserve">Page </w:t>
    </w:r>
    <w:r>
      <w:fldChar w:fldCharType="begin"/>
    </w:r>
    <w:r>
      <w:instrText xml:space="preserve"> PAGE  \* Arabic  \* MERGEFORMAT </w:instrText>
    </w:r>
    <w:r>
      <w:fldChar w:fldCharType="separate"/>
    </w:r>
    <w:r w:rsidR="00F56817">
      <w:rPr>
        <w:noProof/>
      </w:rPr>
      <w:t>2</w:t>
    </w:r>
    <w:r>
      <w:fldChar w:fldCharType="end"/>
    </w:r>
    <w:r>
      <w:t xml:space="preserve"> of </w:t>
    </w:r>
    <w:r w:rsidR="00F56817">
      <w:fldChar w:fldCharType="begin"/>
    </w:r>
    <w:r w:rsidR="00F56817">
      <w:instrText xml:space="preserve"> NUMPAGES   \* ME</w:instrText>
    </w:r>
    <w:r w:rsidR="00F56817">
      <w:instrText xml:space="preserve">RGEFORMAT </w:instrText>
    </w:r>
    <w:r w:rsidR="00F56817">
      <w:fldChar w:fldCharType="separate"/>
    </w:r>
    <w:r w:rsidR="00F56817">
      <w:rPr>
        <w:noProof/>
      </w:rPr>
      <w:t>15</w:t>
    </w:r>
    <w:r w:rsidR="00F5681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17" w:rsidRDefault="006F7417" w:rsidP="001D5EC0">
    <w:pPr>
      <w:pStyle w:val="Footersecurityclassification"/>
      <w:tabs>
        <w:tab w:val="center" w:pos="4536"/>
      </w:tabs>
    </w:pPr>
    <w:r>
      <w:rPr>
        <w:rStyle w:val="Headersecurityclassification"/>
      </w:rPr>
      <w:tab/>
      <w:t>in-confidence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D2" w:rsidRDefault="00C658D2" w:rsidP="00C658D2">
    <w:pPr>
      <w:pStyle w:val="Footer"/>
      <w:ind w:left="7371" w:firstLine="567"/>
    </w:pPr>
    <w:r>
      <w:t>Page 10 of 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D2" w:rsidRDefault="00C658D2" w:rsidP="00C658D2">
    <w:pPr>
      <w:pStyle w:val="Footer"/>
      <w:jc w:val="right"/>
    </w:pPr>
    <w:r>
      <w:t>Page 12 of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7D" w:rsidRDefault="00EC197D" w:rsidP="00F86809">
      <w:pPr>
        <w:pStyle w:val="Spacer"/>
      </w:pPr>
      <w:r>
        <w:separator/>
      </w:r>
    </w:p>
  </w:footnote>
  <w:footnote w:type="continuationSeparator" w:id="0">
    <w:p w:rsidR="00EC197D" w:rsidRDefault="00EC197D">
      <w:r>
        <w:continuationSeparator/>
      </w:r>
    </w:p>
    <w:p w:rsidR="00EC197D" w:rsidRDefault="00EC197D"/>
    <w:p w:rsidR="00EC197D" w:rsidRDefault="00EC197D"/>
  </w:footnote>
  <w:footnote w:id="1">
    <w:p w:rsidR="00144FBC" w:rsidRDefault="00144FBC">
      <w:pPr>
        <w:pStyle w:val="FootnoteText"/>
      </w:pPr>
      <w:r>
        <w:rPr>
          <w:rStyle w:val="FootnoteReference"/>
        </w:rPr>
        <w:footnoteRef/>
      </w:r>
      <w:r>
        <w:t xml:space="preserve"> These figures are for a worst case scenario, and are possibly overstated. </w:t>
      </w:r>
    </w:p>
  </w:footnote>
  <w:footnote w:id="2">
    <w:p w:rsidR="00907540" w:rsidRDefault="00907540">
      <w:pPr>
        <w:pStyle w:val="FootnoteText"/>
      </w:pPr>
      <w:r>
        <w:rPr>
          <w:rStyle w:val="FootnoteReference"/>
        </w:rPr>
        <w:footnoteRef/>
      </w:r>
      <w:r>
        <w:t xml:space="preserve"> The highest rate of net proceeds generated was 48 per cent. </w:t>
      </w:r>
    </w:p>
  </w:footnote>
  <w:footnote w:id="3">
    <w:p w:rsidR="00BE0E37" w:rsidRDefault="00BE0E37" w:rsidP="00BE0E37">
      <w:pPr>
        <w:pStyle w:val="FootnoteText"/>
      </w:pPr>
      <w:r>
        <w:rPr>
          <w:rStyle w:val="FootnoteReference"/>
        </w:rPr>
        <w:footnoteRef/>
      </w:r>
      <w:r>
        <w:t xml:space="preserve">Costs used in this model include: 40 per cent increase to the rate of return effective 1 September 2014, replacement of non-downloadable jackpots, increased fees, new banknote acceptors (hardware), new banknote acceptors (software/firmware), and impact of a commission-based payment system.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17" w:rsidRDefault="00F568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417" w:rsidRPr="001D5EC0" w:rsidRDefault="006F7417" w:rsidP="001D5EC0">
    <w:pPr>
      <w:pStyle w:val="Header"/>
      <w:tabs>
        <w:tab w:val="center" w:pos="4536"/>
      </w:tabs>
    </w:pPr>
    <w:r>
      <w:rPr>
        <w:rStyle w:val="Headersecurityclassification"/>
      </w:rPr>
      <w:tab/>
      <w:t>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17" w:rsidRDefault="00F568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8D2" w:rsidRPr="00C658D2" w:rsidRDefault="00C658D2" w:rsidP="00C658D2">
    <w:pPr>
      <w:pStyle w:val="Header"/>
      <w:jc w:val="center"/>
      <w:rPr>
        <w:b/>
        <w:color w:val="000000" w:themeColor="text1"/>
      </w:rPr>
    </w:pPr>
    <w:r w:rsidRPr="00C658D2">
      <w:rPr>
        <w:b/>
        <w:color w:val="000000" w:themeColor="text1"/>
      </w:rPr>
      <w:t>I</w:t>
    </w:r>
    <w:r w:rsidR="00C14633">
      <w:rPr>
        <w:b/>
        <w:color w:val="000000" w:themeColor="text1"/>
      </w:rPr>
      <w:t>N-</w:t>
    </w:r>
    <w:r w:rsidRPr="00C658D2">
      <w:rPr>
        <w:b/>
        <w:color w:val="000000" w:themeColor="text1"/>
      </w:rPr>
      <w:t>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00E913CE"/>
    <w:multiLevelType w:val="hybridMultilevel"/>
    <w:tmpl w:val="F47A7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01456B5E"/>
    <w:multiLevelType w:val="hybridMultilevel"/>
    <w:tmpl w:val="8A3492F6"/>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02BA46F3"/>
    <w:multiLevelType w:val="multilevel"/>
    <w:tmpl w:val="96662BF2"/>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3">
    <w:nsid w:val="0B1F50FE"/>
    <w:multiLevelType w:val="hybridMultilevel"/>
    <w:tmpl w:val="981C0D56"/>
    <w:lvl w:ilvl="0" w:tplc="F37A4368">
      <w:start w:val="1"/>
      <w:numFmt w:val="decimal"/>
      <w:pStyle w:val="Briefingtext"/>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5">
    <w:nsid w:val="0F3B79DC"/>
    <w:multiLevelType w:val="hybridMultilevel"/>
    <w:tmpl w:val="91BEBE0A"/>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6">
    <w:nsid w:val="10C6249E"/>
    <w:multiLevelType w:val="hybridMultilevel"/>
    <w:tmpl w:val="D8F4A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9">
    <w:nsid w:val="28FE4445"/>
    <w:multiLevelType w:val="hybridMultilevel"/>
    <w:tmpl w:val="AAC62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68F5832"/>
    <w:multiLevelType w:val="multilevel"/>
    <w:tmpl w:val="8ACE7E44"/>
    <w:lvl w:ilvl="0">
      <w:start w:val="1"/>
      <w:numFmt w:val="upperLetter"/>
      <w:pStyle w:val="Headingappendix"/>
      <w:suff w:val="space"/>
      <w:lvlText w:val="Appendix %1:"/>
      <w:lvlJc w:val="left"/>
      <w:pPr>
        <w:ind w:left="0" w:firstLine="0"/>
      </w:pPr>
      <w:rPr>
        <w:rFonts w:hint="default"/>
        <w:color w:val="000000" w:themeColor="text1"/>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74F1B62"/>
    <w:multiLevelType w:val="multilevel"/>
    <w:tmpl w:val="3AEAB474"/>
    <w:lvl w:ilvl="0">
      <w:start w:val="1"/>
      <w:numFmt w:val="decimal"/>
      <w:lvlText w:val="%1."/>
      <w:lvlJc w:val="left"/>
      <w:pPr>
        <w:tabs>
          <w:tab w:val="num" w:pos="567"/>
        </w:tabs>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3EF03781"/>
    <w:multiLevelType w:val="multilevel"/>
    <w:tmpl w:val="2DB2798C"/>
    <w:lvl w:ilvl="0">
      <w:start w:val="1"/>
      <w:numFmt w:val="decimal"/>
      <w:pStyle w:val="Numberedpara3level1"/>
      <w:lvlText w:val="%1."/>
      <w:lvlJc w:val="left"/>
      <w:pPr>
        <w:tabs>
          <w:tab w:val="num" w:pos="567"/>
        </w:tabs>
        <w:ind w:left="567" w:hanging="567"/>
      </w:pPr>
      <w:rPr>
        <w:rFonts w:ascii="Calibri" w:hAnsi="Calibri" w:hint="default"/>
        <w:caps w:val="0"/>
        <w:strike w:val="0"/>
        <w:dstrike w:val="0"/>
        <w:vanish w:val="0"/>
        <w:sz w:val="24"/>
        <w:vertAlign w:val="baseline"/>
      </w:rPr>
    </w:lvl>
    <w:lvl w:ilvl="1">
      <w:start w:val="1"/>
      <w:numFmt w:val="decimal"/>
      <w:pStyle w:val="Numberedpara3level211"/>
      <w:lvlText w:val="%1.%2"/>
      <w:lvlJc w:val="left"/>
      <w:pPr>
        <w:ind w:left="1247" w:hanging="680"/>
      </w:pPr>
      <w:rPr>
        <w:rFonts w:ascii="Calibri" w:hAnsi="Calibri" w:hint="default"/>
        <w:caps w:val="0"/>
        <w:strike w:val="0"/>
        <w:dstrike w:val="0"/>
        <w:vanish w:val="0"/>
        <w:vertAlign w:val="baseline"/>
      </w:rPr>
    </w:lvl>
    <w:lvl w:ilvl="2">
      <w:start w:val="1"/>
      <w:numFmt w:val="decimal"/>
      <w:pStyle w:val="Numberedpara3level3111"/>
      <w:lvlText w:val="%1.%2.%3"/>
      <w:lvlJc w:val="left"/>
      <w:pPr>
        <w:ind w:left="2155" w:hanging="908"/>
      </w:pPr>
      <w:rPr>
        <w:rFonts w:ascii="Calibri" w:hAnsi="Calibri" w:hint="default"/>
        <w:caps w:val="0"/>
        <w:strike w:val="0"/>
        <w:dstrike w:val="0"/>
        <w:vanish w:val="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4801477"/>
    <w:multiLevelType w:val="hybridMultilevel"/>
    <w:tmpl w:val="85CC4A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7BC290D"/>
    <w:multiLevelType w:val="hybridMultilevel"/>
    <w:tmpl w:val="34261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7ED0A51"/>
    <w:multiLevelType w:val="hybridMultilevel"/>
    <w:tmpl w:val="DF46452A"/>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7">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24D2B69"/>
    <w:multiLevelType w:val="hybridMultilevel"/>
    <w:tmpl w:val="14A0B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81679C9"/>
    <w:multiLevelType w:val="hybridMultilevel"/>
    <w:tmpl w:val="F30E1A72"/>
    <w:lvl w:ilvl="0" w:tplc="D80A994E">
      <w:start w:val="1"/>
      <w:numFmt w:val="decimal"/>
      <w:pStyle w:val="Recommendations"/>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98E6CEB"/>
    <w:multiLevelType w:val="multilevel"/>
    <w:tmpl w:val="B3147ED6"/>
    <w:lvl w:ilvl="0">
      <w:start w:val="1"/>
      <w:numFmt w:val="decimal"/>
      <w:pStyle w:val="Numberedpara2level1"/>
      <w:lvlText w:val="%1."/>
      <w:lvlJc w:val="left"/>
      <w:pPr>
        <w:tabs>
          <w:tab w:val="num" w:pos="567"/>
        </w:tabs>
        <w:ind w:left="567" w:hanging="567"/>
      </w:pPr>
      <w:rPr>
        <w:rFonts w:hint="default"/>
      </w:rPr>
    </w:lvl>
    <w:lvl w:ilvl="1">
      <w:start w:val="1"/>
      <w:numFmt w:val="decimal"/>
      <w:pStyle w:val="Numberedpara2level2a"/>
      <w:lvlText w:val="%1.%2"/>
      <w:lvlJc w:val="left"/>
      <w:pPr>
        <w:ind w:left="1247" w:hanging="680"/>
      </w:pPr>
      <w:rPr>
        <w:rFonts w:hint="default"/>
      </w:rPr>
    </w:lvl>
    <w:lvl w:ilvl="2">
      <w:start w:val="1"/>
      <w:numFmt w:val="decimal"/>
      <w:pStyle w:val="Numberedpara2level3i"/>
      <w:lvlText w:val="%1.%2.%3"/>
      <w:lvlJc w:val="left"/>
      <w:pPr>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5FD40A31"/>
    <w:multiLevelType w:val="multilevel"/>
    <w:tmpl w:val="D7E882D2"/>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6">
    <w:nsid w:val="6B2A7B0B"/>
    <w:multiLevelType w:val="multilevel"/>
    <w:tmpl w:val="F34E9048"/>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7">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8">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0"/>
  </w:num>
  <w:num w:numId="11">
    <w:abstractNumId w:val="32"/>
  </w:num>
  <w:num w:numId="12">
    <w:abstractNumId w:val="22"/>
  </w:num>
  <w:num w:numId="13">
    <w:abstractNumId w:val="17"/>
  </w:num>
  <w:num w:numId="14">
    <w:abstractNumId w:val="18"/>
  </w:num>
  <w:num w:numId="15">
    <w:abstractNumId w:val="33"/>
  </w:num>
  <w:num w:numId="16">
    <w:abstractNumId w:val="35"/>
  </w:num>
  <w:num w:numId="17">
    <w:abstractNumId w:val="37"/>
  </w:num>
  <w:num w:numId="18">
    <w:abstractNumId w:val="12"/>
  </w:num>
  <w:num w:numId="19">
    <w:abstractNumId w:val="20"/>
  </w:num>
  <w:num w:numId="20">
    <w:abstractNumId w:val="38"/>
  </w:num>
  <w:num w:numId="21">
    <w:abstractNumId w:val="36"/>
  </w:num>
  <w:num w:numId="22">
    <w:abstractNumId w:val="34"/>
  </w:num>
  <w:num w:numId="23">
    <w:abstractNumId w:val="27"/>
  </w:num>
  <w:num w:numId="24">
    <w:abstractNumId w:val="21"/>
  </w:num>
  <w:num w:numId="25">
    <w:abstractNumId w:val="14"/>
  </w:num>
  <w:num w:numId="26">
    <w:abstractNumId w:val="21"/>
    <w:lvlOverride w:ilvl="0">
      <w:lvl w:ilvl="0">
        <w:start w:val="100"/>
        <w:numFmt w:val="decimal"/>
        <w:lvlText w:val="%1."/>
        <w:lvlJc w:val="left"/>
        <w:pPr>
          <w:tabs>
            <w:tab w:val="num" w:pos="567"/>
          </w:tabs>
          <w:ind w:left="567" w:hanging="567"/>
        </w:pPr>
        <w:rPr>
          <w:rFonts w:hint="default"/>
        </w:rPr>
      </w:lvl>
    </w:lvlOverride>
    <w:lvlOverride w:ilvl="1">
      <w:lvl w:ilvl="1">
        <w:start w:val="1"/>
        <w:numFmt w:val="lowerLetter"/>
        <w:lvlText w:val="%2)"/>
        <w:lvlJc w:val="left"/>
        <w:pPr>
          <w:ind w:left="1247" w:hanging="680"/>
        </w:pPr>
        <w:rPr>
          <w:rFonts w:hint="default"/>
        </w:rPr>
      </w:lvl>
    </w:lvlOverride>
    <w:lvlOverride w:ilvl="2">
      <w:lvl w:ilvl="2">
        <w:start w:val="1"/>
        <w:numFmt w:val="lowerRoman"/>
        <w:lvlText w:val="%3)"/>
        <w:lvlJc w:val="left"/>
        <w:pPr>
          <w:ind w:left="2155" w:hanging="90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1"/>
    <w:lvlOverride w:ilvl="0">
      <w:lvl w:ilvl="0">
        <w:start w:val="100"/>
        <w:numFmt w:val="decimal"/>
        <w:lvlText w:val="%1."/>
        <w:lvlJc w:val="left"/>
        <w:pPr>
          <w:tabs>
            <w:tab w:val="num" w:pos="567"/>
          </w:tabs>
          <w:ind w:left="567" w:hanging="567"/>
        </w:pPr>
        <w:rPr>
          <w:rFonts w:hint="default"/>
        </w:rPr>
      </w:lvl>
    </w:lvlOverride>
    <w:lvlOverride w:ilvl="1">
      <w:lvl w:ilvl="1">
        <w:start w:val="1"/>
        <w:numFmt w:val="decimal"/>
        <w:lvlText w:val="%1.%2"/>
        <w:lvlJc w:val="left"/>
        <w:pPr>
          <w:ind w:left="1247" w:hanging="680"/>
        </w:pPr>
        <w:rPr>
          <w:rFonts w:hint="default"/>
        </w:rPr>
      </w:lvl>
    </w:lvlOverride>
    <w:lvlOverride w:ilvl="2">
      <w:lvl w:ilvl="2">
        <w:start w:val="1"/>
        <w:numFmt w:val="decimal"/>
        <w:lvlText w:val="%1.%2.%3"/>
        <w:lvlJc w:val="left"/>
        <w:pPr>
          <w:ind w:left="2155" w:hanging="90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31"/>
  </w:num>
  <w:num w:numId="29">
    <w:abstractNumId w:val="23"/>
  </w:num>
  <w:num w:numId="30">
    <w:abstractNumId w:val="10"/>
  </w:num>
  <w:num w:numId="31">
    <w:abstractNumId w:val="26"/>
  </w:num>
  <w:num w:numId="32">
    <w:abstractNumId w:val="15"/>
  </w:num>
  <w:num w:numId="33">
    <w:abstractNumId w:val="11"/>
  </w:num>
  <w:num w:numId="34">
    <w:abstractNumId w:val="29"/>
  </w:num>
  <w:num w:numId="35">
    <w:abstractNumId w:val="19"/>
  </w:num>
  <w:num w:numId="36">
    <w:abstractNumId w:val="16"/>
  </w:num>
  <w:num w:numId="37">
    <w:abstractNumId w:val="9"/>
  </w:num>
  <w:num w:numId="38">
    <w:abstractNumId w:val="25"/>
  </w:num>
  <w:num w:numId="39">
    <w:abstractNumId w:val="13"/>
  </w:num>
  <w:num w:numId="40">
    <w:abstractNumId w:val="24"/>
  </w:num>
  <w:num w:numId="41">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33"/>
    <w:rsid w:val="00003360"/>
    <w:rsid w:val="00003DB6"/>
    <w:rsid w:val="00004D63"/>
    <w:rsid w:val="00005919"/>
    <w:rsid w:val="00005E76"/>
    <w:rsid w:val="000129EE"/>
    <w:rsid w:val="00014D01"/>
    <w:rsid w:val="00015020"/>
    <w:rsid w:val="0001518D"/>
    <w:rsid w:val="0001647B"/>
    <w:rsid w:val="00020010"/>
    <w:rsid w:val="0002571C"/>
    <w:rsid w:val="00025FE8"/>
    <w:rsid w:val="00026729"/>
    <w:rsid w:val="000305E1"/>
    <w:rsid w:val="00034673"/>
    <w:rsid w:val="00036671"/>
    <w:rsid w:val="00037226"/>
    <w:rsid w:val="000409E2"/>
    <w:rsid w:val="000413EF"/>
    <w:rsid w:val="00044994"/>
    <w:rsid w:val="00044D27"/>
    <w:rsid w:val="00044EA1"/>
    <w:rsid w:val="000472D9"/>
    <w:rsid w:val="00051D16"/>
    <w:rsid w:val="00052152"/>
    <w:rsid w:val="00053A95"/>
    <w:rsid w:val="00053CEA"/>
    <w:rsid w:val="0005649A"/>
    <w:rsid w:val="00063BB2"/>
    <w:rsid w:val="00065F18"/>
    <w:rsid w:val="00066AF4"/>
    <w:rsid w:val="00067005"/>
    <w:rsid w:val="00074ABC"/>
    <w:rsid w:val="00074BC1"/>
    <w:rsid w:val="000754D9"/>
    <w:rsid w:val="00075A9A"/>
    <w:rsid w:val="00076035"/>
    <w:rsid w:val="00076DE3"/>
    <w:rsid w:val="00076FED"/>
    <w:rsid w:val="00077013"/>
    <w:rsid w:val="000775D8"/>
    <w:rsid w:val="000779FD"/>
    <w:rsid w:val="00081DBD"/>
    <w:rsid w:val="000821FD"/>
    <w:rsid w:val="00082F76"/>
    <w:rsid w:val="00084650"/>
    <w:rsid w:val="000848DC"/>
    <w:rsid w:val="00087F87"/>
    <w:rsid w:val="00091C3A"/>
    <w:rsid w:val="000965B6"/>
    <w:rsid w:val="00097FCB"/>
    <w:rsid w:val="000A1353"/>
    <w:rsid w:val="000B6367"/>
    <w:rsid w:val="000B65DA"/>
    <w:rsid w:val="000C0BD4"/>
    <w:rsid w:val="000C1515"/>
    <w:rsid w:val="000C3DAF"/>
    <w:rsid w:val="000D5DC3"/>
    <w:rsid w:val="000D61F6"/>
    <w:rsid w:val="000D70BA"/>
    <w:rsid w:val="000E033F"/>
    <w:rsid w:val="000E094D"/>
    <w:rsid w:val="000E3240"/>
    <w:rsid w:val="000E357A"/>
    <w:rsid w:val="000E677B"/>
    <w:rsid w:val="000F4ADF"/>
    <w:rsid w:val="000F4DA1"/>
    <w:rsid w:val="000F61AF"/>
    <w:rsid w:val="000F71A6"/>
    <w:rsid w:val="0010171C"/>
    <w:rsid w:val="0010280F"/>
    <w:rsid w:val="00102FAD"/>
    <w:rsid w:val="00104951"/>
    <w:rsid w:val="00106520"/>
    <w:rsid w:val="001069E0"/>
    <w:rsid w:val="00107535"/>
    <w:rsid w:val="0011012F"/>
    <w:rsid w:val="001155E2"/>
    <w:rsid w:val="00121870"/>
    <w:rsid w:val="00122E6B"/>
    <w:rsid w:val="00126461"/>
    <w:rsid w:val="0013266C"/>
    <w:rsid w:val="00133251"/>
    <w:rsid w:val="00134531"/>
    <w:rsid w:val="001357C2"/>
    <w:rsid w:val="00140ED2"/>
    <w:rsid w:val="00141B7F"/>
    <w:rsid w:val="00143E7C"/>
    <w:rsid w:val="00144FBC"/>
    <w:rsid w:val="00150107"/>
    <w:rsid w:val="00152C66"/>
    <w:rsid w:val="00153571"/>
    <w:rsid w:val="00153D45"/>
    <w:rsid w:val="00154DFE"/>
    <w:rsid w:val="00156749"/>
    <w:rsid w:val="0015729F"/>
    <w:rsid w:val="00162DEE"/>
    <w:rsid w:val="00163A46"/>
    <w:rsid w:val="0016433D"/>
    <w:rsid w:val="0016672F"/>
    <w:rsid w:val="00171426"/>
    <w:rsid w:val="00173E1B"/>
    <w:rsid w:val="0017523F"/>
    <w:rsid w:val="00176521"/>
    <w:rsid w:val="001829FB"/>
    <w:rsid w:val="00184C0F"/>
    <w:rsid w:val="00185B94"/>
    <w:rsid w:val="0019067D"/>
    <w:rsid w:val="001906A5"/>
    <w:rsid w:val="001973B4"/>
    <w:rsid w:val="001A2E96"/>
    <w:rsid w:val="001A32A0"/>
    <w:rsid w:val="001A5F55"/>
    <w:rsid w:val="001B02B2"/>
    <w:rsid w:val="001B1525"/>
    <w:rsid w:val="001B4F74"/>
    <w:rsid w:val="001B656D"/>
    <w:rsid w:val="001B65BD"/>
    <w:rsid w:val="001B751B"/>
    <w:rsid w:val="001C0031"/>
    <w:rsid w:val="001C0C30"/>
    <w:rsid w:val="001C0CEE"/>
    <w:rsid w:val="001C3FD4"/>
    <w:rsid w:val="001C7CE6"/>
    <w:rsid w:val="001C7E29"/>
    <w:rsid w:val="001D0111"/>
    <w:rsid w:val="001D1221"/>
    <w:rsid w:val="001D5EC0"/>
    <w:rsid w:val="001D7F2C"/>
    <w:rsid w:val="001E207F"/>
    <w:rsid w:val="001E3830"/>
    <w:rsid w:val="001E4A45"/>
    <w:rsid w:val="001E64FC"/>
    <w:rsid w:val="001F0724"/>
    <w:rsid w:val="001F1CC8"/>
    <w:rsid w:val="001F35DB"/>
    <w:rsid w:val="001F36EB"/>
    <w:rsid w:val="001F43AD"/>
    <w:rsid w:val="001F4A92"/>
    <w:rsid w:val="001F6B86"/>
    <w:rsid w:val="002007DF"/>
    <w:rsid w:val="00200E42"/>
    <w:rsid w:val="00202548"/>
    <w:rsid w:val="00203556"/>
    <w:rsid w:val="00205FE8"/>
    <w:rsid w:val="00206BA3"/>
    <w:rsid w:val="002108E4"/>
    <w:rsid w:val="00211462"/>
    <w:rsid w:val="00211E76"/>
    <w:rsid w:val="00212868"/>
    <w:rsid w:val="00215160"/>
    <w:rsid w:val="0021694E"/>
    <w:rsid w:val="002173EA"/>
    <w:rsid w:val="002224B4"/>
    <w:rsid w:val="00223CEB"/>
    <w:rsid w:val="00224531"/>
    <w:rsid w:val="00224DFE"/>
    <w:rsid w:val="00226BE2"/>
    <w:rsid w:val="00226D5E"/>
    <w:rsid w:val="00234A8D"/>
    <w:rsid w:val="00237A3D"/>
    <w:rsid w:val="00237C89"/>
    <w:rsid w:val="00240808"/>
    <w:rsid w:val="002409B6"/>
    <w:rsid w:val="00240E83"/>
    <w:rsid w:val="00242A0A"/>
    <w:rsid w:val="00243290"/>
    <w:rsid w:val="00246CFC"/>
    <w:rsid w:val="002502D1"/>
    <w:rsid w:val="0026092C"/>
    <w:rsid w:val="00260A17"/>
    <w:rsid w:val="00261F02"/>
    <w:rsid w:val="00261F18"/>
    <w:rsid w:val="00264E9B"/>
    <w:rsid w:val="00270EEC"/>
    <w:rsid w:val="00270F77"/>
    <w:rsid w:val="0027162B"/>
    <w:rsid w:val="002728E0"/>
    <w:rsid w:val="00272AE6"/>
    <w:rsid w:val="00275735"/>
    <w:rsid w:val="00277153"/>
    <w:rsid w:val="002806A2"/>
    <w:rsid w:val="00281027"/>
    <w:rsid w:val="0028471D"/>
    <w:rsid w:val="00285D3B"/>
    <w:rsid w:val="0029100C"/>
    <w:rsid w:val="0029121F"/>
    <w:rsid w:val="00297353"/>
    <w:rsid w:val="00297C2A"/>
    <w:rsid w:val="00297CC7"/>
    <w:rsid w:val="00297DC0"/>
    <w:rsid w:val="002A194F"/>
    <w:rsid w:val="002A1D6D"/>
    <w:rsid w:val="002A4616"/>
    <w:rsid w:val="002A46A7"/>
    <w:rsid w:val="002A4BD9"/>
    <w:rsid w:val="002A4FE7"/>
    <w:rsid w:val="002A54E8"/>
    <w:rsid w:val="002B1CEB"/>
    <w:rsid w:val="002B6AAA"/>
    <w:rsid w:val="002C04F1"/>
    <w:rsid w:val="002C3071"/>
    <w:rsid w:val="002C3501"/>
    <w:rsid w:val="002C43F4"/>
    <w:rsid w:val="002D3125"/>
    <w:rsid w:val="002D467E"/>
    <w:rsid w:val="002D4DBE"/>
    <w:rsid w:val="002D4F42"/>
    <w:rsid w:val="002E0717"/>
    <w:rsid w:val="002E0796"/>
    <w:rsid w:val="002E509B"/>
    <w:rsid w:val="002E5426"/>
    <w:rsid w:val="002E70ED"/>
    <w:rsid w:val="002F1AE5"/>
    <w:rsid w:val="002F2F8E"/>
    <w:rsid w:val="002F4A06"/>
    <w:rsid w:val="002F50E1"/>
    <w:rsid w:val="0030084C"/>
    <w:rsid w:val="003037B1"/>
    <w:rsid w:val="003039E1"/>
    <w:rsid w:val="00305461"/>
    <w:rsid w:val="0030675E"/>
    <w:rsid w:val="00310116"/>
    <w:rsid w:val="00310623"/>
    <w:rsid w:val="003129BA"/>
    <w:rsid w:val="003131A7"/>
    <w:rsid w:val="00314768"/>
    <w:rsid w:val="003148FC"/>
    <w:rsid w:val="00326788"/>
    <w:rsid w:val="00330820"/>
    <w:rsid w:val="00331196"/>
    <w:rsid w:val="00331C57"/>
    <w:rsid w:val="00334A07"/>
    <w:rsid w:val="00336D2E"/>
    <w:rsid w:val="003375E3"/>
    <w:rsid w:val="003465C8"/>
    <w:rsid w:val="00346B46"/>
    <w:rsid w:val="003476A5"/>
    <w:rsid w:val="00351B6B"/>
    <w:rsid w:val="0035348B"/>
    <w:rsid w:val="00355721"/>
    <w:rsid w:val="0035789E"/>
    <w:rsid w:val="003609CF"/>
    <w:rsid w:val="0036495E"/>
    <w:rsid w:val="0036619E"/>
    <w:rsid w:val="0037016B"/>
    <w:rsid w:val="00370589"/>
    <w:rsid w:val="00370FC0"/>
    <w:rsid w:val="00370FEF"/>
    <w:rsid w:val="003717FC"/>
    <w:rsid w:val="0037298A"/>
    <w:rsid w:val="00372AA6"/>
    <w:rsid w:val="00373206"/>
    <w:rsid w:val="003737ED"/>
    <w:rsid w:val="00373934"/>
    <w:rsid w:val="00374ABD"/>
    <w:rsid w:val="00375350"/>
    <w:rsid w:val="00375B80"/>
    <w:rsid w:val="00376B75"/>
    <w:rsid w:val="00376BC4"/>
    <w:rsid w:val="00377078"/>
    <w:rsid w:val="00377352"/>
    <w:rsid w:val="0038212C"/>
    <w:rsid w:val="0038422F"/>
    <w:rsid w:val="003849B8"/>
    <w:rsid w:val="00384A47"/>
    <w:rsid w:val="00384E59"/>
    <w:rsid w:val="00386D3C"/>
    <w:rsid w:val="00387863"/>
    <w:rsid w:val="00387874"/>
    <w:rsid w:val="00395687"/>
    <w:rsid w:val="00395A01"/>
    <w:rsid w:val="00397550"/>
    <w:rsid w:val="00397F48"/>
    <w:rsid w:val="003A10DA"/>
    <w:rsid w:val="003A12C8"/>
    <w:rsid w:val="003A15DB"/>
    <w:rsid w:val="003A1C7D"/>
    <w:rsid w:val="003A2E78"/>
    <w:rsid w:val="003A396E"/>
    <w:rsid w:val="003A45BC"/>
    <w:rsid w:val="003A4621"/>
    <w:rsid w:val="003A5809"/>
    <w:rsid w:val="003A6FFE"/>
    <w:rsid w:val="003A7695"/>
    <w:rsid w:val="003B1AFB"/>
    <w:rsid w:val="003B3A23"/>
    <w:rsid w:val="003B6592"/>
    <w:rsid w:val="003B7D3D"/>
    <w:rsid w:val="003C2F52"/>
    <w:rsid w:val="003C3E65"/>
    <w:rsid w:val="003C4841"/>
    <w:rsid w:val="003C4A97"/>
    <w:rsid w:val="003C6391"/>
    <w:rsid w:val="003C772C"/>
    <w:rsid w:val="003D248B"/>
    <w:rsid w:val="003D2A07"/>
    <w:rsid w:val="003D51D9"/>
    <w:rsid w:val="003E22E5"/>
    <w:rsid w:val="003E43CD"/>
    <w:rsid w:val="003E54D4"/>
    <w:rsid w:val="003F1A47"/>
    <w:rsid w:val="003F200F"/>
    <w:rsid w:val="003F2B58"/>
    <w:rsid w:val="003F5886"/>
    <w:rsid w:val="0040020C"/>
    <w:rsid w:val="00401CA0"/>
    <w:rsid w:val="00402246"/>
    <w:rsid w:val="0040280D"/>
    <w:rsid w:val="00404BCE"/>
    <w:rsid w:val="00405C9C"/>
    <w:rsid w:val="0040668B"/>
    <w:rsid w:val="0040700B"/>
    <w:rsid w:val="00407F54"/>
    <w:rsid w:val="0041025F"/>
    <w:rsid w:val="00410A44"/>
    <w:rsid w:val="00411341"/>
    <w:rsid w:val="004115D0"/>
    <w:rsid w:val="00411FD4"/>
    <w:rsid w:val="0041316C"/>
    <w:rsid w:val="004138D9"/>
    <w:rsid w:val="00413966"/>
    <w:rsid w:val="00415CDB"/>
    <w:rsid w:val="00420B2F"/>
    <w:rsid w:val="00421839"/>
    <w:rsid w:val="004218C5"/>
    <w:rsid w:val="004231DC"/>
    <w:rsid w:val="0042551E"/>
    <w:rsid w:val="004263E7"/>
    <w:rsid w:val="00426D7F"/>
    <w:rsid w:val="004277D5"/>
    <w:rsid w:val="00431D04"/>
    <w:rsid w:val="00433AD8"/>
    <w:rsid w:val="00434261"/>
    <w:rsid w:val="00435432"/>
    <w:rsid w:val="00437446"/>
    <w:rsid w:val="00445144"/>
    <w:rsid w:val="00445FC0"/>
    <w:rsid w:val="004552A0"/>
    <w:rsid w:val="00455909"/>
    <w:rsid w:val="00455BEE"/>
    <w:rsid w:val="0045656C"/>
    <w:rsid w:val="00457E34"/>
    <w:rsid w:val="00460A83"/>
    <w:rsid w:val="00460B3F"/>
    <w:rsid w:val="00464752"/>
    <w:rsid w:val="004651E3"/>
    <w:rsid w:val="00467A80"/>
    <w:rsid w:val="00470CE0"/>
    <w:rsid w:val="00473DAF"/>
    <w:rsid w:val="00473E2F"/>
    <w:rsid w:val="0047418A"/>
    <w:rsid w:val="00475C77"/>
    <w:rsid w:val="00475FB1"/>
    <w:rsid w:val="00476068"/>
    <w:rsid w:val="004763B3"/>
    <w:rsid w:val="004769EA"/>
    <w:rsid w:val="00477619"/>
    <w:rsid w:val="00482D2C"/>
    <w:rsid w:val="00485A1A"/>
    <w:rsid w:val="00486E6E"/>
    <w:rsid w:val="004875DF"/>
    <w:rsid w:val="00487C1D"/>
    <w:rsid w:val="004947E1"/>
    <w:rsid w:val="00494C6F"/>
    <w:rsid w:val="0049575C"/>
    <w:rsid w:val="00496F8A"/>
    <w:rsid w:val="004A3E3D"/>
    <w:rsid w:val="004A5823"/>
    <w:rsid w:val="004B0AAF"/>
    <w:rsid w:val="004B1F1D"/>
    <w:rsid w:val="004B3924"/>
    <w:rsid w:val="004B460F"/>
    <w:rsid w:val="004B5ADF"/>
    <w:rsid w:val="004C03FA"/>
    <w:rsid w:val="004C307E"/>
    <w:rsid w:val="004C4DDD"/>
    <w:rsid w:val="004C5391"/>
    <w:rsid w:val="004C6953"/>
    <w:rsid w:val="004C6D16"/>
    <w:rsid w:val="004C7001"/>
    <w:rsid w:val="004D1706"/>
    <w:rsid w:val="004D1B0E"/>
    <w:rsid w:val="004D243F"/>
    <w:rsid w:val="004D6B6C"/>
    <w:rsid w:val="004D6D3E"/>
    <w:rsid w:val="004D7473"/>
    <w:rsid w:val="004E755A"/>
    <w:rsid w:val="004F001E"/>
    <w:rsid w:val="004F0944"/>
    <w:rsid w:val="004F10DD"/>
    <w:rsid w:val="004F23D6"/>
    <w:rsid w:val="004F2A32"/>
    <w:rsid w:val="004F2C49"/>
    <w:rsid w:val="004F3073"/>
    <w:rsid w:val="004F56B2"/>
    <w:rsid w:val="004F5DEF"/>
    <w:rsid w:val="004F79E7"/>
    <w:rsid w:val="00500D22"/>
    <w:rsid w:val="00501C4B"/>
    <w:rsid w:val="005024C9"/>
    <w:rsid w:val="00507B91"/>
    <w:rsid w:val="00510D73"/>
    <w:rsid w:val="00511434"/>
    <w:rsid w:val="00512ACB"/>
    <w:rsid w:val="005140D4"/>
    <w:rsid w:val="005158C6"/>
    <w:rsid w:val="00521A3F"/>
    <w:rsid w:val="0052216D"/>
    <w:rsid w:val="00524461"/>
    <w:rsid w:val="005254A8"/>
    <w:rsid w:val="00525DB4"/>
    <w:rsid w:val="00526115"/>
    <w:rsid w:val="00532C92"/>
    <w:rsid w:val="00533FAF"/>
    <w:rsid w:val="005366B6"/>
    <w:rsid w:val="00541401"/>
    <w:rsid w:val="00542C7B"/>
    <w:rsid w:val="005435BD"/>
    <w:rsid w:val="00545D9E"/>
    <w:rsid w:val="005501F9"/>
    <w:rsid w:val="005517BD"/>
    <w:rsid w:val="0055255C"/>
    <w:rsid w:val="00554BCD"/>
    <w:rsid w:val="00554C6A"/>
    <w:rsid w:val="00555B8C"/>
    <w:rsid w:val="005575DA"/>
    <w:rsid w:val="005603D7"/>
    <w:rsid w:val="00560DBF"/>
    <w:rsid w:val="00561193"/>
    <w:rsid w:val="00561A97"/>
    <w:rsid w:val="0056319E"/>
    <w:rsid w:val="00563DAC"/>
    <w:rsid w:val="0056552F"/>
    <w:rsid w:val="00566C55"/>
    <w:rsid w:val="005675E0"/>
    <w:rsid w:val="00570A71"/>
    <w:rsid w:val="00570C00"/>
    <w:rsid w:val="00571688"/>
    <w:rsid w:val="005748D6"/>
    <w:rsid w:val="0057540E"/>
    <w:rsid w:val="005808B1"/>
    <w:rsid w:val="0058206B"/>
    <w:rsid w:val="0058424A"/>
    <w:rsid w:val="00585690"/>
    <w:rsid w:val="00585D22"/>
    <w:rsid w:val="00595A76"/>
    <w:rsid w:val="00595B33"/>
    <w:rsid w:val="00595E1B"/>
    <w:rsid w:val="00595F91"/>
    <w:rsid w:val="0059662F"/>
    <w:rsid w:val="00597C5C"/>
    <w:rsid w:val="005A2B70"/>
    <w:rsid w:val="005A2EB1"/>
    <w:rsid w:val="005A6F6A"/>
    <w:rsid w:val="005A79FF"/>
    <w:rsid w:val="005B1629"/>
    <w:rsid w:val="005B484F"/>
    <w:rsid w:val="005B56DC"/>
    <w:rsid w:val="005C2DDB"/>
    <w:rsid w:val="005C4891"/>
    <w:rsid w:val="005D3066"/>
    <w:rsid w:val="005D4FE1"/>
    <w:rsid w:val="005D6B98"/>
    <w:rsid w:val="005E2A2D"/>
    <w:rsid w:val="005E2E1E"/>
    <w:rsid w:val="005E3149"/>
    <w:rsid w:val="005E4B13"/>
    <w:rsid w:val="005E4C02"/>
    <w:rsid w:val="005F00D2"/>
    <w:rsid w:val="005F01DF"/>
    <w:rsid w:val="005F2340"/>
    <w:rsid w:val="005F3533"/>
    <w:rsid w:val="005F4CFC"/>
    <w:rsid w:val="005F4D5B"/>
    <w:rsid w:val="005F62DD"/>
    <w:rsid w:val="005F76A6"/>
    <w:rsid w:val="005F76CC"/>
    <w:rsid w:val="005F7FF8"/>
    <w:rsid w:val="006004C4"/>
    <w:rsid w:val="00600995"/>
    <w:rsid w:val="00600CA4"/>
    <w:rsid w:val="0060133F"/>
    <w:rsid w:val="00602416"/>
    <w:rsid w:val="006025CE"/>
    <w:rsid w:val="00603844"/>
    <w:rsid w:val="006041F2"/>
    <w:rsid w:val="00604904"/>
    <w:rsid w:val="00605414"/>
    <w:rsid w:val="006064F5"/>
    <w:rsid w:val="006071D0"/>
    <w:rsid w:val="00617298"/>
    <w:rsid w:val="00623F95"/>
    <w:rsid w:val="00624175"/>
    <w:rsid w:val="0062590E"/>
    <w:rsid w:val="0062606F"/>
    <w:rsid w:val="00632786"/>
    <w:rsid w:val="00632AF6"/>
    <w:rsid w:val="00635C70"/>
    <w:rsid w:val="00637753"/>
    <w:rsid w:val="00640CD9"/>
    <w:rsid w:val="00646B03"/>
    <w:rsid w:val="00647D98"/>
    <w:rsid w:val="00647FBF"/>
    <w:rsid w:val="00652E30"/>
    <w:rsid w:val="006561A8"/>
    <w:rsid w:val="00660282"/>
    <w:rsid w:val="00661DB0"/>
    <w:rsid w:val="00662073"/>
    <w:rsid w:val="00662410"/>
    <w:rsid w:val="00662716"/>
    <w:rsid w:val="00663696"/>
    <w:rsid w:val="00666AAC"/>
    <w:rsid w:val="0066744F"/>
    <w:rsid w:val="00667BC1"/>
    <w:rsid w:val="00670330"/>
    <w:rsid w:val="0067061B"/>
    <w:rsid w:val="00672B5E"/>
    <w:rsid w:val="00676C9F"/>
    <w:rsid w:val="00677B13"/>
    <w:rsid w:val="00677F4E"/>
    <w:rsid w:val="00680E70"/>
    <w:rsid w:val="0068199B"/>
    <w:rsid w:val="00681A08"/>
    <w:rsid w:val="006822F7"/>
    <w:rsid w:val="006825DA"/>
    <w:rsid w:val="00684C0B"/>
    <w:rsid w:val="00685ECF"/>
    <w:rsid w:val="006875B8"/>
    <w:rsid w:val="00687CEA"/>
    <w:rsid w:val="00690418"/>
    <w:rsid w:val="00692D07"/>
    <w:rsid w:val="00694E01"/>
    <w:rsid w:val="00695171"/>
    <w:rsid w:val="00695B75"/>
    <w:rsid w:val="006971C7"/>
    <w:rsid w:val="006A02CB"/>
    <w:rsid w:val="006A10B9"/>
    <w:rsid w:val="006A1A95"/>
    <w:rsid w:val="006A38B7"/>
    <w:rsid w:val="006A3A48"/>
    <w:rsid w:val="006A4142"/>
    <w:rsid w:val="006A5065"/>
    <w:rsid w:val="006A5C31"/>
    <w:rsid w:val="006B02C2"/>
    <w:rsid w:val="006B0659"/>
    <w:rsid w:val="006B1CB2"/>
    <w:rsid w:val="006B1DD1"/>
    <w:rsid w:val="006B3106"/>
    <w:rsid w:val="006B3396"/>
    <w:rsid w:val="006C195E"/>
    <w:rsid w:val="006C36F8"/>
    <w:rsid w:val="006D31D0"/>
    <w:rsid w:val="006D638F"/>
    <w:rsid w:val="006D6BC6"/>
    <w:rsid w:val="006E0FAA"/>
    <w:rsid w:val="006E2D9F"/>
    <w:rsid w:val="006E5CE2"/>
    <w:rsid w:val="006E7BF7"/>
    <w:rsid w:val="006F0673"/>
    <w:rsid w:val="006F0F7B"/>
    <w:rsid w:val="006F2BD4"/>
    <w:rsid w:val="006F407F"/>
    <w:rsid w:val="006F7417"/>
    <w:rsid w:val="00702B76"/>
    <w:rsid w:val="007039DA"/>
    <w:rsid w:val="007068C8"/>
    <w:rsid w:val="00715B8F"/>
    <w:rsid w:val="0072085F"/>
    <w:rsid w:val="00725C17"/>
    <w:rsid w:val="00730CCF"/>
    <w:rsid w:val="0073106E"/>
    <w:rsid w:val="007361D6"/>
    <w:rsid w:val="00736790"/>
    <w:rsid w:val="00740C5C"/>
    <w:rsid w:val="007413DA"/>
    <w:rsid w:val="007439DA"/>
    <w:rsid w:val="0074474F"/>
    <w:rsid w:val="007462CC"/>
    <w:rsid w:val="00755142"/>
    <w:rsid w:val="0075650F"/>
    <w:rsid w:val="00756BB7"/>
    <w:rsid w:val="0075764B"/>
    <w:rsid w:val="007576B8"/>
    <w:rsid w:val="00760C01"/>
    <w:rsid w:val="00761293"/>
    <w:rsid w:val="00761500"/>
    <w:rsid w:val="00763399"/>
    <w:rsid w:val="0076347A"/>
    <w:rsid w:val="00767330"/>
    <w:rsid w:val="00767C04"/>
    <w:rsid w:val="007736A2"/>
    <w:rsid w:val="007772A6"/>
    <w:rsid w:val="007776B3"/>
    <w:rsid w:val="00780F4A"/>
    <w:rsid w:val="0078417F"/>
    <w:rsid w:val="007845F4"/>
    <w:rsid w:val="00786634"/>
    <w:rsid w:val="00791B27"/>
    <w:rsid w:val="00791F1A"/>
    <w:rsid w:val="00792228"/>
    <w:rsid w:val="007936FD"/>
    <w:rsid w:val="0079405C"/>
    <w:rsid w:val="0079440C"/>
    <w:rsid w:val="00795651"/>
    <w:rsid w:val="00796AF9"/>
    <w:rsid w:val="007974D3"/>
    <w:rsid w:val="00797A0F"/>
    <w:rsid w:val="007A6226"/>
    <w:rsid w:val="007B2870"/>
    <w:rsid w:val="007B3C61"/>
    <w:rsid w:val="007B5306"/>
    <w:rsid w:val="007B6466"/>
    <w:rsid w:val="007C28F3"/>
    <w:rsid w:val="007C5555"/>
    <w:rsid w:val="007D0D3D"/>
    <w:rsid w:val="007D1918"/>
    <w:rsid w:val="007D41DE"/>
    <w:rsid w:val="007D49F3"/>
    <w:rsid w:val="007D4DD6"/>
    <w:rsid w:val="007D5121"/>
    <w:rsid w:val="007D6B4D"/>
    <w:rsid w:val="007D70C6"/>
    <w:rsid w:val="007E0660"/>
    <w:rsid w:val="007F03F2"/>
    <w:rsid w:val="007F084A"/>
    <w:rsid w:val="007F33B9"/>
    <w:rsid w:val="007F3EC9"/>
    <w:rsid w:val="007F6497"/>
    <w:rsid w:val="007F6953"/>
    <w:rsid w:val="007F76AE"/>
    <w:rsid w:val="007F7E97"/>
    <w:rsid w:val="0080304B"/>
    <w:rsid w:val="0080543D"/>
    <w:rsid w:val="008065D7"/>
    <w:rsid w:val="008072A9"/>
    <w:rsid w:val="00816E30"/>
    <w:rsid w:val="008213D1"/>
    <w:rsid w:val="0082264B"/>
    <w:rsid w:val="00824B3B"/>
    <w:rsid w:val="00825BB2"/>
    <w:rsid w:val="008266D9"/>
    <w:rsid w:val="008266F7"/>
    <w:rsid w:val="0082765B"/>
    <w:rsid w:val="008310B8"/>
    <w:rsid w:val="00831409"/>
    <w:rsid w:val="008323FD"/>
    <w:rsid w:val="008326DB"/>
    <w:rsid w:val="00833F3F"/>
    <w:rsid w:val="0083431D"/>
    <w:rsid w:val="008352B1"/>
    <w:rsid w:val="008357C2"/>
    <w:rsid w:val="00835BD7"/>
    <w:rsid w:val="00835FFE"/>
    <w:rsid w:val="00842066"/>
    <w:rsid w:val="008428E8"/>
    <w:rsid w:val="00843309"/>
    <w:rsid w:val="00843D71"/>
    <w:rsid w:val="0084439D"/>
    <w:rsid w:val="008454C2"/>
    <w:rsid w:val="0084578F"/>
    <w:rsid w:val="00846F11"/>
    <w:rsid w:val="0084745A"/>
    <w:rsid w:val="00851350"/>
    <w:rsid w:val="00851798"/>
    <w:rsid w:val="00857980"/>
    <w:rsid w:val="0086105B"/>
    <w:rsid w:val="00865F72"/>
    <w:rsid w:val="00866E49"/>
    <w:rsid w:val="00870045"/>
    <w:rsid w:val="00870CBB"/>
    <w:rsid w:val="00873A94"/>
    <w:rsid w:val="00876E2D"/>
    <w:rsid w:val="00876E5F"/>
    <w:rsid w:val="008800CC"/>
    <w:rsid w:val="00884A12"/>
    <w:rsid w:val="00885111"/>
    <w:rsid w:val="0088580E"/>
    <w:rsid w:val="00885FBF"/>
    <w:rsid w:val="0088686D"/>
    <w:rsid w:val="00890526"/>
    <w:rsid w:val="00890CE4"/>
    <w:rsid w:val="00891AA6"/>
    <w:rsid w:val="00891ED7"/>
    <w:rsid w:val="00893492"/>
    <w:rsid w:val="008A12F4"/>
    <w:rsid w:val="008A1C08"/>
    <w:rsid w:val="008A231C"/>
    <w:rsid w:val="008A2A10"/>
    <w:rsid w:val="008A4C6A"/>
    <w:rsid w:val="008A56B7"/>
    <w:rsid w:val="008A58E3"/>
    <w:rsid w:val="008A5E94"/>
    <w:rsid w:val="008A649F"/>
    <w:rsid w:val="008A69BD"/>
    <w:rsid w:val="008B2AF8"/>
    <w:rsid w:val="008B4436"/>
    <w:rsid w:val="008B48AF"/>
    <w:rsid w:val="008B57B7"/>
    <w:rsid w:val="008B7B54"/>
    <w:rsid w:val="008C2D6D"/>
    <w:rsid w:val="008C3187"/>
    <w:rsid w:val="008C51AE"/>
    <w:rsid w:val="008C5E4F"/>
    <w:rsid w:val="008D22B4"/>
    <w:rsid w:val="008D3743"/>
    <w:rsid w:val="008D429B"/>
    <w:rsid w:val="008D5F83"/>
    <w:rsid w:val="008D63B7"/>
    <w:rsid w:val="008D6A03"/>
    <w:rsid w:val="008D6CA7"/>
    <w:rsid w:val="008D79CF"/>
    <w:rsid w:val="008E03E3"/>
    <w:rsid w:val="008E242D"/>
    <w:rsid w:val="008E500B"/>
    <w:rsid w:val="008E582C"/>
    <w:rsid w:val="008E6934"/>
    <w:rsid w:val="008E7127"/>
    <w:rsid w:val="008E7FEE"/>
    <w:rsid w:val="008F21B0"/>
    <w:rsid w:val="008F254B"/>
    <w:rsid w:val="008F31F5"/>
    <w:rsid w:val="008F3254"/>
    <w:rsid w:val="008F67F5"/>
    <w:rsid w:val="008F6A3F"/>
    <w:rsid w:val="008F6BCE"/>
    <w:rsid w:val="008F7732"/>
    <w:rsid w:val="00900774"/>
    <w:rsid w:val="00900D4B"/>
    <w:rsid w:val="00900E70"/>
    <w:rsid w:val="009016A0"/>
    <w:rsid w:val="00902568"/>
    <w:rsid w:val="00902AF3"/>
    <w:rsid w:val="0090368C"/>
    <w:rsid w:val="00905360"/>
    <w:rsid w:val="00905F9B"/>
    <w:rsid w:val="00907540"/>
    <w:rsid w:val="00911999"/>
    <w:rsid w:val="00914D5A"/>
    <w:rsid w:val="00915154"/>
    <w:rsid w:val="009170B9"/>
    <w:rsid w:val="0091751C"/>
    <w:rsid w:val="00923A87"/>
    <w:rsid w:val="00923B15"/>
    <w:rsid w:val="00923F59"/>
    <w:rsid w:val="00924959"/>
    <w:rsid w:val="00926334"/>
    <w:rsid w:val="00927482"/>
    <w:rsid w:val="0093247B"/>
    <w:rsid w:val="009354DD"/>
    <w:rsid w:val="00936965"/>
    <w:rsid w:val="00936FF5"/>
    <w:rsid w:val="00943AD7"/>
    <w:rsid w:val="00944F22"/>
    <w:rsid w:val="00945963"/>
    <w:rsid w:val="00950012"/>
    <w:rsid w:val="0095112B"/>
    <w:rsid w:val="00952513"/>
    <w:rsid w:val="0095612B"/>
    <w:rsid w:val="009565A2"/>
    <w:rsid w:val="00957021"/>
    <w:rsid w:val="0095712A"/>
    <w:rsid w:val="00962203"/>
    <w:rsid w:val="00962383"/>
    <w:rsid w:val="00962CDC"/>
    <w:rsid w:val="00965097"/>
    <w:rsid w:val="00966C11"/>
    <w:rsid w:val="00967ECE"/>
    <w:rsid w:val="00971F29"/>
    <w:rsid w:val="009723D8"/>
    <w:rsid w:val="00973A6D"/>
    <w:rsid w:val="00975502"/>
    <w:rsid w:val="009770DE"/>
    <w:rsid w:val="009815F1"/>
    <w:rsid w:val="009820CF"/>
    <w:rsid w:val="00982E62"/>
    <w:rsid w:val="009857C0"/>
    <w:rsid w:val="009865AA"/>
    <w:rsid w:val="00986B2F"/>
    <w:rsid w:val="00987080"/>
    <w:rsid w:val="0098765A"/>
    <w:rsid w:val="00996069"/>
    <w:rsid w:val="009968B0"/>
    <w:rsid w:val="009A064C"/>
    <w:rsid w:val="009A6CB2"/>
    <w:rsid w:val="009B0982"/>
    <w:rsid w:val="009B16CC"/>
    <w:rsid w:val="009B2949"/>
    <w:rsid w:val="009B4C99"/>
    <w:rsid w:val="009B601E"/>
    <w:rsid w:val="009C13FB"/>
    <w:rsid w:val="009C1CB1"/>
    <w:rsid w:val="009D28CF"/>
    <w:rsid w:val="009D47AA"/>
    <w:rsid w:val="009D4D11"/>
    <w:rsid w:val="009D5A09"/>
    <w:rsid w:val="009D7721"/>
    <w:rsid w:val="009D77FE"/>
    <w:rsid w:val="009E301E"/>
    <w:rsid w:val="009E3583"/>
    <w:rsid w:val="009E3945"/>
    <w:rsid w:val="009E5D36"/>
    <w:rsid w:val="009E6375"/>
    <w:rsid w:val="009E7CA0"/>
    <w:rsid w:val="009F179D"/>
    <w:rsid w:val="009F2384"/>
    <w:rsid w:val="009F3BE7"/>
    <w:rsid w:val="009F3D29"/>
    <w:rsid w:val="009F4BE2"/>
    <w:rsid w:val="009F6EFE"/>
    <w:rsid w:val="00A01A1A"/>
    <w:rsid w:val="00A04392"/>
    <w:rsid w:val="00A069CE"/>
    <w:rsid w:val="00A07C3E"/>
    <w:rsid w:val="00A07E7E"/>
    <w:rsid w:val="00A109D8"/>
    <w:rsid w:val="00A11067"/>
    <w:rsid w:val="00A11505"/>
    <w:rsid w:val="00A15D0E"/>
    <w:rsid w:val="00A16003"/>
    <w:rsid w:val="00A167D7"/>
    <w:rsid w:val="00A21830"/>
    <w:rsid w:val="00A23D39"/>
    <w:rsid w:val="00A23EC2"/>
    <w:rsid w:val="00A24FBB"/>
    <w:rsid w:val="00A30755"/>
    <w:rsid w:val="00A3157D"/>
    <w:rsid w:val="00A32D98"/>
    <w:rsid w:val="00A3453E"/>
    <w:rsid w:val="00A349A1"/>
    <w:rsid w:val="00A415E1"/>
    <w:rsid w:val="00A42ED2"/>
    <w:rsid w:val="00A44B33"/>
    <w:rsid w:val="00A47207"/>
    <w:rsid w:val="00A47580"/>
    <w:rsid w:val="00A47F70"/>
    <w:rsid w:val="00A50E00"/>
    <w:rsid w:val="00A52529"/>
    <w:rsid w:val="00A5302B"/>
    <w:rsid w:val="00A53624"/>
    <w:rsid w:val="00A55EAF"/>
    <w:rsid w:val="00A5766B"/>
    <w:rsid w:val="00A615D1"/>
    <w:rsid w:val="00A62E23"/>
    <w:rsid w:val="00A6757C"/>
    <w:rsid w:val="00A70F21"/>
    <w:rsid w:val="00A72C0E"/>
    <w:rsid w:val="00A72EF4"/>
    <w:rsid w:val="00A76DAB"/>
    <w:rsid w:val="00A77512"/>
    <w:rsid w:val="00A8146B"/>
    <w:rsid w:val="00A863E3"/>
    <w:rsid w:val="00A8774B"/>
    <w:rsid w:val="00A9117D"/>
    <w:rsid w:val="00A96AFE"/>
    <w:rsid w:val="00A97BFB"/>
    <w:rsid w:val="00AA1487"/>
    <w:rsid w:val="00AB033C"/>
    <w:rsid w:val="00AB0BBC"/>
    <w:rsid w:val="00AB2BEF"/>
    <w:rsid w:val="00AB3A92"/>
    <w:rsid w:val="00AB478B"/>
    <w:rsid w:val="00AB47AC"/>
    <w:rsid w:val="00AB4AD9"/>
    <w:rsid w:val="00AC79FB"/>
    <w:rsid w:val="00AD19C6"/>
    <w:rsid w:val="00AD6E77"/>
    <w:rsid w:val="00AD7A25"/>
    <w:rsid w:val="00AE10BE"/>
    <w:rsid w:val="00AE1145"/>
    <w:rsid w:val="00AE2666"/>
    <w:rsid w:val="00AE2ADA"/>
    <w:rsid w:val="00AF03D4"/>
    <w:rsid w:val="00AF3A5A"/>
    <w:rsid w:val="00AF3E15"/>
    <w:rsid w:val="00AF5218"/>
    <w:rsid w:val="00AF5E50"/>
    <w:rsid w:val="00AF64D6"/>
    <w:rsid w:val="00B0041E"/>
    <w:rsid w:val="00B02D62"/>
    <w:rsid w:val="00B02D7F"/>
    <w:rsid w:val="00B03BD2"/>
    <w:rsid w:val="00B0480E"/>
    <w:rsid w:val="00B05581"/>
    <w:rsid w:val="00B07D4D"/>
    <w:rsid w:val="00B1026A"/>
    <w:rsid w:val="00B11609"/>
    <w:rsid w:val="00B15243"/>
    <w:rsid w:val="00B17023"/>
    <w:rsid w:val="00B21166"/>
    <w:rsid w:val="00B22295"/>
    <w:rsid w:val="00B23180"/>
    <w:rsid w:val="00B24D82"/>
    <w:rsid w:val="00B25D0E"/>
    <w:rsid w:val="00B263AE"/>
    <w:rsid w:val="00B302E6"/>
    <w:rsid w:val="00B3298E"/>
    <w:rsid w:val="00B33A6C"/>
    <w:rsid w:val="00B42BC1"/>
    <w:rsid w:val="00B42D30"/>
    <w:rsid w:val="00B442ED"/>
    <w:rsid w:val="00B46770"/>
    <w:rsid w:val="00B47091"/>
    <w:rsid w:val="00B51B6B"/>
    <w:rsid w:val="00B538FF"/>
    <w:rsid w:val="00B56534"/>
    <w:rsid w:val="00B57A21"/>
    <w:rsid w:val="00B624C7"/>
    <w:rsid w:val="00B62C3E"/>
    <w:rsid w:val="00B6310E"/>
    <w:rsid w:val="00B645DE"/>
    <w:rsid w:val="00B646AF"/>
    <w:rsid w:val="00B65857"/>
    <w:rsid w:val="00B65917"/>
    <w:rsid w:val="00B66698"/>
    <w:rsid w:val="00B6772F"/>
    <w:rsid w:val="00B706DF"/>
    <w:rsid w:val="00B71376"/>
    <w:rsid w:val="00B71DDC"/>
    <w:rsid w:val="00B745DC"/>
    <w:rsid w:val="00B809BC"/>
    <w:rsid w:val="00B81A4C"/>
    <w:rsid w:val="00B82200"/>
    <w:rsid w:val="00B83378"/>
    <w:rsid w:val="00B84350"/>
    <w:rsid w:val="00B844AA"/>
    <w:rsid w:val="00B84E9B"/>
    <w:rsid w:val="00B855A6"/>
    <w:rsid w:val="00B85D94"/>
    <w:rsid w:val="00B91098"/>
    <w:rsid w:val="00B91904"/>
    <w:rsid w:val="00B91C3F"/>
    <w:rsid w:val="00B92735"/>
    <w:rsid w:val="00B9395A"/>
    <w:rsid w:val="00B96569"/>
    <w:rsid w:val="00B96595"/>
    <w:rsid w:val="00B969ED"/>
    <w:rsid w:val="00BA1C65"/>
    <w:rsid w:val="00BA3E1C"/>
    <w:rsid w:val="00BA5787"/>
    <w:rsid w:val="00BA69F6"/>
    <w:rsid w:val="00BA77F1"/>
    <w:rsid w:val="00BB0D90"/>
    <w:rsid w:val="00BB1BE0"/>
    <w:rsid w:val="00BB2486"/>
    <w:rsid w:val="00BB3C47"/>
    <w:rsid w:val="00BB586A"/>
    <w:rsid w:val="00BB60C6"/>
    <w:rsid w:val="00BB7984"/>
    <w:rsid w:val="00BC1680"/>
    <w:rsid w:val="00BC19CD"/>
    <w:rsid w:val="00BC22D9"/>
    <w:rsid w:val="00BC2768"/>
    <w:rsid w:val="00BC3282"/>
    <w:rsid w:val="00BC3C61"/>
    <w:rsid w:val="00BC6A06"/>
    <w:rsid w:val="00BD11DA"/>
    <w:rsid w:val="00BD137C"/>
    <w:rsid w:val="00BD250B"/>
    <w:rsid w:val="00BD34E0"/>
    <w:rsid w:val="00BD4B42"/>
    <w:rsid w:val="00BD7871"/>
    <w:rsid w:val="00BE0E37"/>
    <w:rsid w:val="00BE0F28"/>
    <w:rsid w:val="00BE1808"/>
    <w:rsid w:val="00BE1C35"/>
    <w:rsid w:val="00BE24F1"/>
    <w:rsid w:val="00BE2A7B"/>
    <w:rsid w:val="00BE3BC7"/>
    <w:rsid w:val="00BE5615"/>
    <w:rsid w:val="00BE6054"/>
    <w:rsid w:val="00BE7E75"/>
    <w:rsid w:val="00BF1AB7"/>
    <w:rsid w:val="00BF1F79"/>
    <w:rsid w:val="00BF7FE9"/>
    <w:rsid w:val="00C020E2"/>
    <w:rsid w:val="00C02B15"/>
    <w:rsid w:val="00C03596"/>
    <w:rsid w:val="00C05EEC"/>
    <w:rsid w:val="00C065F2"/>
    <w:rsid w:val="00C06C33"/>
    <w:rsid w:val="00C07C7B"/>
    <w:rsid w:val="00C10FF2"/>
    <w:rsid w:val="00C1376D"/>
    <w:rsid w:val="00C14633"/>
    <w:rsid w:val="00C147E9"/>
    <w:rsid w:val="00C14887"/>
    <w:rsid w:val="00C15A13"/>
    <w:rsid w:val="00C20D9A"/>
    <w:rsid w:val="00C238D9"/>
    <w:rsid w:val="00C24A9D"/>
    <w:rsid w:val="00C25081"/>
    <w:rsid w:val="00C2677E"/>
    <w:rsid w:val="00C30F0B"/>
    <w:rsid w:val="00C31542"/>
    <w:rsid w:val="00C340FA"/>
    <w:rsid w:val="00C34A0D"/>
    <w:rsid w:val="00C360E0"/>
    <w:rsid w:val="00C41D71"/>
    <w:rsid w:val="00C422ED"/>
    <w:rsid w:val="00C42D67"/>
    <w:rsid w:val="00C4300C"/>
    <w:rsid w:val="00C4306A"/>
    <w:rsid w:val="00C442CC"/>
    <w:rsid w:val="00C469E7"/>
    <w:rsid w:val="00C5022B"/>
    <w:rsid w:val="00C60055"/>
    <w:rsid w:val="00C6078D"/>
    <w:rsid w:val="00C64056"/>
    <w:rsid w:val="00C649B9"/>
    <w:rsid w:val="00C657CF"/>
    <w:rsid w:val="00C658D2"/>
    <w:rsid w:val="00C673E4"/>
    <w:rsid w:val="00C73DEA"/>
    <w:rsid w:val="00C80281"/>
    <w:rsid w:val="00C80D62"/>
    <w:rsid w:val="00C80FAA"/>
    <w:rsid w:val="00C8388B"/>
    <w:rsid w:val="00C84944"/>
    <w:rsid w:val="00C868C6"/>
    <w:rsid w:val="00C96BFD"/>
    <w:rsid w:val="00C96C98"/>
    <w:rsid w:val="00C972DA"/>
    <w:rsid w:val="00CA03ED"/>
    <w:rsid w:val="00CA1A5C"/>
    <w:rsid w:val="00CA1DA8"/>
    <w:rsid w:val="00CA5358"/>
    <w:rsid w:val="00CA56B2"/>
    <w:rsid w:val="00CA62B0"/>
    <w:rsid w:val="00CA62B2"/>
    <w:rsid w:val="00CB1DCA"/>
    <w:rsid w:val="00CB2F36"/>
    <w:rsid w:val="00CB4F99"/>
    <w:rsid w:val="00CC079D"/>
    <w:rsid w:val="00CC1CDA"/>
    <w:rsid w:val="00CC7329"/>
    <w:rsid w:val="00CD17BC"/>
    <w:rsid w:val="00CD2DE8"/>
    <w:rsid w:val="00CD343A"/>
    <w:rsid w:val="00CD502A"/>
    <w:rsid w:val="00CD64A6"/>
    <w:rsid w:val="00CD6506"/>
    <w:rsid w:val="00CE1A62"/>
    <w:rsid w:val="00CE498D"/>
    <w:rsid w:val="00CE6688"/>
    <w:rsid w:val="00CE73AB"/>
    <w:rsid w:val="00CF12CF"/>
    <w:rsid w:val="00CF1642"/>
    <w:rsid w:val="00CF18DA"/>
    <w:rsid w:val="00CF320E"/>
    <w:rsid w:val="00CF4BE3"/>
    <w:rsid w:val="00CF4CE8"/>
    <w:rsid w:val="00CF4EF0"/>
    <w:rsid w:val="00CF57BC"/>
    <w:rsid w:val="00CF7015"/>
    <w:rsid w:val="00D060D2"/>
    <w:rsid w:val="00D13E2D"/>
    <w:rsid w:val="00D13FC4"/>
    <w:rsid w:val="00D14394"/>
    <w:rsid w:val="00D21D26"/>
    <w:rsid w:val="00D242CD"/>
    <w:rsid w:val="00D260C8"/>
    <w:rsid w:val="00D30775"/>
    <w:rsid w:val="00D32E92"/>
    <w:rsid w:val="00D33586"/>
    <w:rsid w:val="00D341C3"/>
    <w:rsid w:val="00D3678C"/>
    <w:rsid w:val="00D41380"/>
    <w:rsid w:val="00D42843"/>
    <w:rsid w:val="00D42DE1"/>
    <w:rsid w:val="00D45A21"/>
    <w:rsid w:val="00D46C31"/>
    <w:rsid w:val="00D5152A"/>
    <w:rsid w:val="00D54B1A"/>
    <w:rsid w:val="00D553B3"/>
    <w:rsid w:val="00D603C0"/>
    <w:rsid w:val="00D6109A"/>
    <w:rsid w:val="00D63181"/>
    <w:rsid w:val="00D65145"/>
    <w:rsid w:val="00D6781E"/>
    <w:rsid w:val="00D715D4"/>
    <w:rsid w:val="00D71D29"/>
    <w:rsid w:val="00D74314"/>
    <w:rsid w:val="00D74B03"/>
    <w:rsid w:val="00D76F19"/>
    <w:rsid w:val="00D81410"/>
    <w:rsid w:val="00D87913"/>
    <w:rsid w:val="00D905A5"/>
    <w:rsid w:val="00D92397"/>
    <w:rsid w:val="00D92505"/>
    <w:rsid w:val="00DA267C"/>
    <w:rsid w:val="00DA2E80"/>
    <w:rsid w:val="00DA3688"/>
    <w:rsid w:val="00DA4CE1"/>
    <w:rsid w:val="00DA5101"/>
    <w:rsid w:val="00DA607B"/>
    <w:rsid w:val="00DA692E"/>
    <w:rsid w:val="00DA79EF"/>
    <w:rsid w:val="00DB0C0B"/>
    <w:rsid w:val="00DB2BF3"/>
    <w:rsid w:val="00DB3B74"/>
    <w:rsid w:val="00DB4BF3"/>
    <w:rsid w:val="00DB64BC"/>
    <w:rsid w:val="00DC1305"/>
    <w:rsid w:val="00DC5870"/>
    <w:rsid w:val="00DC6021"/>
    <w:rsid w:val="00DC71B0"/>
    <w:rsid w:val="00DC745E"/>
    <w:rsid w:val="00DC768B"/>
    <w:rsid w:val="00DD031D"/>
    <w:rsid w:val="00DD0384"/>
    <w:rsid w:val="00DD0901"/>
    <w:rsid w:val="00DD215E"/>
    <w:rsid w:val="00DD78B6"/>
    <w:rsid w:val="00DE16B6"/>
    <w:rsid w:val="00DE1E35"/>
    <w:rsid w:val="00DE26DC"/>
    <w:rsid w:val="00DE3323"/>
    <w:rsid w:val="00DE36CA"/>
    <w:rsid w:val="00DE4B4C"/>
    <w:rsid w:val="00DE55C9"/>
    <w:rsid w:val="00DE5F86"/>
    <w:rsid w:val="00DE7E63"/>
    <w:rsid w:val="00DF0BD6"/>
    <w:rsid w:val="00DF165E"/>
    <w:rsid w:val="00DF25EE"/>
    <w:rsid w:val="00DF77A2"/>
    <w:rsid w:val="00DF7ACF"/>
    <w:rsid w:val="00E0410A"/>
    <w:rsid w:val="00E0508A"/>
    <w:rsid w:val="00E06F1C"/>
    <w:rsid w:val="00E07AC1"/>
    <w:rsid w:val="00E1017C"/>
    <w:rsid w:val="00E12170"/>
    <w:rsid w:val="00E13252"/>
    <w:rsid w:val="00E14F89"/>
    <w:rsid w:val="00E17A3D"/>
    <w:rsid w:val="00E2405A"/>
    <w:rsid w:val="00E31864"/>
    <w:rsid w:val="00E367C5"/>
    <w:rsid w:val="00E37E71"/>
    <w:rsid w:val="00E4118F"/>
    <w:rsid w:val="00E42486"/>
    <w:rsid w:val="00E42847"/>
    <w:rsid w:val="00E45809"/>
    <w:rsid w:val="00E45BFE"/>
    <w:rsid w:val="00E46064"/>
    <w:rsid w:val="00E50A5C"/>
    <w:rsid w:val="00E52276"/>
    <w:rsid w:val="00E5234F"/>
    <w:rsid w:val="00E52735"/>
    <w:rsid w:val="00E53294"/>
    <w:rsid w:val="00E54CE6"/>
    <w:rsid w:val="00E6014E"/>
    <w:rsid w:val="00E604A1"/>
    <w:rsid w:val="00E62FBD"/>
    <w:rsid w:val="00E65128"/>
    <w:rsid w:val="00E718B8"/>
    <w:rsid w:val="00E72013"/>
    <w:rsid w:val="00E734EE"/>
    <w:rsid w:val="00E73AA8"/>
    <w:rsid w:val="00E742E8"/>
    <w:rsid w:val="00E75B59"/>
    <w:rsid w:val="00E75E13"/>
    <w:rsid w:val="00E76DC8"/>
    <w:rsid w:val="00E770EA"/>
    <w:rsid w:val="00E80228"/>
    <w:rsid w:val="00E86D2A"/>
    <w:rsid w:val="00E86D97"/>
    <w:rsid w:val="00E87379"/>
    <w:rsid w:val="00E90E02"/>
    <w:rsid w:val="00E91BB6"/>
    <w:rsid w:val="00E9477A"/>
    <w:rsid w:val="00E957C7"/>
    <w:rsid w:val="00E95C20"/>
    <w:rsid w:val="00E95E77"/>
    <w:rsid w:val="00E96352"/>
    <w:rsid w:val="00E9759A"/>
    <w:rsid w:val="00EA2ED4"/>
    <w:rsid w:val="00EA3BC6"/>
    <w:rsid w:val="00EA491A"/>
    <w:rsid w:val="00EA727C"/>
    <w:rsid w:val="00EB1583"/>
    <w:rsid w:val="00EB496D"/>
    <w:rsid w:val="00EB54A9"/>
    <w:rsid w:val="00EB5F01"/>
    <w:rsid w:val="00EB7C58"/>
    <w:rsid w:val="00EC0447"/>
    <w:rsid w:val="00EC0D95"/>
    <w:rsid w:val="00EC0E43"/>
    <w:rsid w:val="00EC197D"/>
    <w:rsid w:val="00EC1EF7"/>
    <w:rsid w:val="00EC23FB"/>
    <w:rsid w:val="00EC794C"/>
    <w:rsid w:val="00ED4AFA"/>
    <w:rsid w:val="00ED711F"/>
    <w:rsid w:val="00ED7681"/>
    <w:rsid w:val="00EE118B"/>
    <w:rsid w:val="00EE243C"/>
    <w:rsid w:val="00EE52AF"/>
    <w:rsid w:val="00EE7F97"/>
    <w:rsid w:val="00EF1BCD"/>
    <w:rsid w:val="00EF63C6"/>
    <w:rsid w:val="00EF67E5"/>
    <w:rsid w:val="00F034FB"/>
    <w:rsid w:val="00F05606"/>
    <w:rsid w:val="00F06129"/>
    <w:rsid w:val="00F105F5"/>
    <w:rsid w:val="00F1075A"/>
    <w:rsid w:val="00F123D6"/>
    <w:rsid w:val="00F1376F"/>
    <w:rsid w:val="00F21337"/>
    <w:rsid w:val="00F22E82"/>
    <w:rsid w:val="00F24507"/>
    <w:rsid w:val="00F2483A"/>
    <w:rsid w:val="00F25535"/>
    <w:rsid w:val="00F275E7"/>
    <w:rsid w:val="00F337BF"/>
    <w:rsid w:val="00F33D14"/>
    <w:rsid w:val="00F45832"/>
    <w:rsid w:val="00F458CC"/>
    <w:rsid w:val="00F473B6"/>
    <w:rsid w:val="00F50B4E"/>
    <w:rsid w:val="00F52E57"/>
    <w:rsid w:val="00F53E06"/>
    <w:rsid w:val="00F54188"/>
    <w:rsid w:val="00F54433"/>
    <w:rsid w:val="00F544E6"/>
    <w:rsid w:val="00F54CC0"/>
    <w:rsid w:val="00F55472"/>
    <w:rsid w:val="00F5550F"/>
    <w:rsid w:val="00F557B7"/>
    <w:rsid w:val="00F56817"/>
    <w:rsid w:val="00F6165F"/>
    <w:rsid w:val="00F61BB8"/>
    <w:rsid w:val="00F633BC"/>
    <w:rsid w:val="00F644AE"/>
    <w:rsid w:val="00F71095"/>
    <w:rsid w:val="00F71371"/>
    <w:rsid w:val="00F71A4A"/>
    <w:rsid w:val="00F727A5"/>
    <w:rsid w:val="00F72DA3"/>
    <w:rsid w:val="00F73599"/>
    <w:rsid w:val="00F8035D"/>
    <w:rsid w:val="00F81B2C"/>
    <w:rsid w:val="00F827D7"/>
    <w:rsid w:val="00F82AC1"/>
    <w:rsid w:val="00F8301D"/>
    <w:rsid w:val="00F835C2"/>
    <w:rsid w:val="00F847A9"/>
    <w:rsid w:val="00F862DD"/>
    <w:rsid w:val="00F86809"/>
    <w:rsid w:val="00FA12BE"/>
    <w:rsid w:val="00FA20CD"/>
    <w:rsid w:val="00FA2580"/>
    <w:rsid w:val="00FA2E6E"/>
    <w:rsid w:val="00FA5FE9"/>
    <w:rsid w:val="00FA6753"/>
    <w:rsid w:val="00FA678B"/>
    <w:rsid w:val="00FA67D2"/>
    <w:rsid w:val="00FB0E14"/>
    <w:rsid w:val="00FB287C"/>
    <w:rsid w:val="00FB302F"/>
    <w:rsid w:val="00FB4896"/>
    <w:rsid w:val="00FB5A92"/>
    <w:rsid w:val="00FB6A97"/>
    <w:rsid w:val="00FC1C69"/>
    <w:rsid w:val="00FC276C"/>
    <w:rsid w:val="00FC308E"/>
    <w:rsid w:val="00FC3739"/>
    <w:rsid w:val="00FC417D"/>
    <w:rsid w:val="00FD1838"/>
    <w:rsid w:val="00FE003A"/>
    <w:rsid w:val="00FE0E8E"/>
    <w:rsid w:val="00FE11EC"/>
    <w:rsid w:val="00FE5AD9"/>
    <w:rsid w:val="00FE7A33"/>
    <w:rsid w:val="00FF1EE5"/>
    <w:rsid w:val="00FF2025"/>
    <w:rsid w:val="00FF31A5"/>
    <w:rsid w:val="00FF4E90"/>
    <w:rsid w:val="00FF5F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76"/>
    <w:pPr>
      <w:keepLines/>
    </w:pPr>
    <w:rPr>
      <w:rFonts w:eastAsiaTheme="minorHAnsi"/>
      <w:lang w:eastAsia="en-US"/>
    </w:rPr>
  </w:style>
  <w:style w:type="paragraph" w:styleId="Heading1">
    <w:name w:val="heading 1"/>
    <w:basedOn w:val="Normal"/>
    <w:next w:val="Numberedpara3level1"/>
    <w:link w:val="Heading1Char"/>
    <w:qFormat/>
    <w:rsid w:val="003E54D4"/>
    <w:pPr>
      <w:keepNext/>
      <w:spacing w:before="240" w:after="120"/>
      <w:outlineLvl w:val="0"/>
    </w:pPr>
    <w:rPr>
      <w:b/>
      <w:sz w:val="28"/>
    </w:rPr>
  </w:style>
  <w:style w:type="paragraph" w:styleId="Heading2">
    <w:name w:val="heading 2"/>
    <w:basedOn w:val="Normal"/>
    <w:next w:val="Numberedpara3level1"/>
    <w:link w:val="Heading2Char"/>
    <w:qFormat/>
    <w:rsid w:val="00E52276"/>
    <w:pPr>
      <w:keepNext/>
      <w:spacing w:before="240" w:after="120"/>
      <w:outlineLvl w:val="1"/>
    </w:pPr>
    <w:rPr>
      <w:b/>
      <w:i/>
      <w:sz w:val="26"/>
    </w:rPr>
  </w:style>
  <w:style w:type="paragraph" w:styleId="Heading3">
    <w:name w:val="heading 3"/>
    <w:basedOn w:val="Normal"/>
    <w:next w:val="Normal"/>
    <w:link w:val="Heading3Char"/>
    <w:qFormat/>
    <w:rsid w:val="00E52276"/>
    <w:pPr>
      <w:keepNext/>
      <w:spacing w:before="240" w:after="120"/>
      <w:contextualSpacing/>
      <w:outlineLvl w:val="2"/>
    </w:pPr>
    <w:rPr>
      <w:rFonts w:cs="Arial"/>
      <w:bCs/>
      <w:i/>
      <w:sz w:val="26"/>
      <w:szCs w:val="26"/>
    </w:rPr>
  </w:style>
  <w:style w:type="paragraph" w:styleId="Heading4">
    <w:name w:val="heading 4"/>
    <w:basedOn w:val="Normal"/>
    <w:next w:val="Normal"/>
    <w:link w:val="Heading4Char"/>
    <w:semiHidden/>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3E54D4"/>
    <w:rPr>
      <w:rFonts w:eastAsiaTheme="minorHAnsi"/>
      <w:b/>
      <w:sz w:val="28"/>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4"/>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4"/>
      </w:numPr>
      <w:outlineLvl w:val="5"/>
    </w:pPr>
  </w:style>
  <w:style w:type="paragraph" w:customStyle="1" w:styleId="Headingnumbered2">
    <w:name w:val="Heading numbered 2"/>
    <w:basedOn w:val="Heading2"/>
    <w:next w:val="Normal"/>
    <w:uiPriority w:val="1"/>
    <w:semiHidden/>
    <w:rsid w:val="00065F18"/>
    <w:pPr>
      <w:numPr>
        <w:ilvl w:val="1"/>
        <w:numId w:val="14"/>
      </w:numPr>
      <w:outlineLvl w:val="6"/>
    </w:pPr>
  </w:style>
  <w:style w:type="paragraph" w:customStyle="1" w:styleId="Headingnumbered3">
    <w:name w:val="Heading numbered 3"/>
    <w:basedOn w:val="Normal"/>
    <w:next w:val="Normal"/>
    <w:uiPriority w:val="1"/>
    <w:semiHidden/>
    <w:rsid w:val="00065F18"/>
    <w:pPr>
      <w:numPr>
        <w:ilvl w:val="2"/>
        <w:numId w:val="14"/>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4"/>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unhideWhenUsed/>
    <w:rsid w:val="00065F18"/>
    <w:pPr>
      <w:numPr>
        <w:ilvl w:val="2"/>
        <w:numId w:val="25"/>
      </w:numPr>
      <w:spacing w:after="120"/>
    </w:pPr>
  </w:style>
  <w:style w:type="paragraph" w:customStyle="1" w:styleId="Numberedpara1level4i">
    <w:name w:val="Numbered para (1) level 4 (i)"/>
    <w:basedOn w:val="Normal"/>
    <w:semiHidden/>
    <w:unhideWhenUsed/>
    <w:rsid w:val="00065F18"/>
    <w:pPr>
      <w:numPr>
        <w:ilvl w:val="3"/>
        <w:numId w:val="25"/>
      </w:numPr>
      <w:spacing w:after="120"/>
    </w:pPr>
  </w:style>
  <w:style w:type="paragraph" w:customStyle="1" w:styleId="Bullet">
    <w:name w:val="Bullet"/>
    <w:basedOn w:val="Normal"/>
    <w:rsid w:val="00065F18"/>
    <w:pPr>
      <w:numPr>
        <w:numId w:val="15"/>
      </w:numPr>
      <w:spacing w:before="80" w:after="80"/>
    </w:pPr>
    <w:rPr>
      <w:noProof/>
    </w:rPr>
  </w:style>
  <w:style w:type="paragraph" w:customStyle="1" w:styleId="Bulletlevel2">
    <w:name w:val="Bullet level 2"/>
    <w:basedOn w:val="Normal"/>
    <w:uiPriority w:val="1"/>
    <w:semiHidden/>
    <w:rsid w:val="00065F18"/>
    <w:pPr>
      <w:numPr>
        <w:ilvl w:val="1"/>
        <w:numId w:val="15"/>
      </w:numPr>
      <w:spacing w:before="80" w:after="80"/>
    </w:pPr>
  </w:style>
  <w:style w:type="paragraph" w:customStyle="1" w:styleId="Bulletlevel3">
    <w:name w:val="Bullet level 3"/>
    <w:basedOn w:val="Normal"/>
    <w:uiPriority w:val="1"/>
    <w:semiHidden/>
    <w:rsid w:val="00065F18"/>
    <w:pPr>
      <w:numPr>
        <w:ilvl w:val="2"/>
        <w:numId w:val="15"/>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0"/>
      </w:numPr>
      <w:spacing w:before="80" w:after="80"/>
    </w:pPr>
  </w:style>
  <w:style w:type="paragraph" w:customStyle="1" w:styleId="List123">
    <w:name w:val="List 1 2 3"/>
    <w:basedOn w:val="Normal"/>
    <w:rsid w:val="00065F18"/>
    <w:pPr>
      <w:numPr>
        <w:numId w:val="21"/>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rsid w:val="0037298A"/>
    <w:pPr>
      <w:tabs>
        <w:tab w:val="right" w:leader="dot" w:pos="9072"/>
      </w:tabs>
      <w:spacing w:before="200" w:after="60"/>
      <w:ind w:right="567"/>
    </w:pPr>
    <w:rPr>
      <w:color w:val="000000" w:themeColor="text1"/>
    </w:rPr>
  </w:style>
  <w:style w:type="paragraph" w:styleId="TOC2">
    <w:name w:val="toc 2"/>
    <w:basedOn w:val="Normal"/>
    <w:next w:val="Normal"/>
    <w:uiPriority w:val="39"/>
    <w:rsid w:val="00473E2F"/>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rsid w:val="00E52276"/>
    <w:rPr>
      <w:rFonts w:eastAsiaTheme="minorHAnsi"/>
      <w:b/>
      <w:i/>
      <w:sz w:val="26"/>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6"/>
      </w:numPr>
    </w:pPr>
  </w:style>
  <w:style w:type="paragraph" w:customStyle="1" w:styleId="Tablebulletlevel2">
    <w:name w:val="Table bullet level 2"/>
    <w:basedOn w:val="Tablenormal0"/>
    <w:uiPriority w:val="99"/>
    <w:semiHidden/>
    <w:rsid w:val="00065F18"/>
    <w:pPr>
      <w:numPr>
        <w:ilvl w:val="1"/>
        <w:numId w:val="16"/>
      </w:numPr>
    </w:pPr>
  </w:style>
  <w:style w:type="paragraph" w:customStyle="1" w:styleId="TableBulletListLevel3">
    <w:name w:val="Table Bullet List Level 3"/>
    <w:basedOn w:val="BodyTextTable"/>
    <w:uiPriority w:val="11"/>
    <w:semiHidden/>
    <w:rsid w:val="00065F18"/>
    <w:pPr>
      <w:numPr>
        <w:ilvl w:val="2"/>
        <w:numId w:val="16"/>
      </w:numPr>
      <w:spacing w:before="60" w:after="60"/>
    </w:pPr>
  </w:style>
  <w:style w:type="paragraph" w:customStyle="1" w:styleId="Tablelist123">
    <w:name w:val="Table list 1 2 3"/>
    <w:basedOn w:val="Tablenormal0"/>
    <w:rsid w:val="00065F18"/>
    <w:pPr>
      <w:numPr>
        <w:numId w:val="18"/>
      </w:numPr>
    </w:pPr>
  </w:style>
  <w:style w:type="paragraph" w:customStyle="1" w:styleId="Tablelist123level2">
    <w:name w:val="Table list 1 2 3 level 2"/>
    <w:basedOn w:val="Tablenormal0"/>
    <w:semiHidden/>
    <w:rsid w:val="00065F18"/>
    <w:pPr>
      <w:numPr>
        <w:ilvl w:val="1"/>
        <w:numId w:val="18"/>
      </w:numPr>
    </w:pPr>
  </w:style>
  <w:style w:type="character" w:customStyle="1" w:styleId="Heading4Char">
    <w:name w:val="Heading 4 Char"/>
    <w:basedOn w:val="DefaultParagraphFont"/>
    <w:link w:val="Heading4"/>
    <w:semiHidden/>
    <w:rsid w:val="00264E9B"/>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7"/>
      </w:numPr>
    </w:pPr>
  </w:style>
  <w:style w:type="paragraph" w:customStyle="1" w:styleId="BodyTextTableLevel2">
    <w:name w:val="Body Text Table Level 2"/>
    <w:basedOn w:val="BodyTextTable"/>
    <w:uiPriority w:val="11"/>
    <w:semiHidden/>
    <w:rsid w:val="00065F18"/>
    <w:pPr>
      <w:numPr>
        <w:ilvl w:val="1"/>
        <w:numId w:val="17"/>
      </w:numPr>
    </w:pPr>
  </w:style>
  <w:style w:type="paragraph" w:customStyle="1" w:styleId="BodyTextTableLevel3">
    <w:name w:val="Body Text Table Level 3"/>
    <w:basedOn w:val="BodyTextTable"/>
    <w:uiPriority w:val="11"/>
    <w:semiHidden/>
    <w:rsid w:val="00065F18"/>
    <w:pPr>
      <w:numPr>
        <w:ilvl w:val="3"/>
        <w:numId w:val="18"/>
      </w:numPr>
    </w:pPr>
  </w:style>
  <w:style w:type="paragraph" w:styleId="Caption">
    <w:name w:val="caption"/>
    <w:basedOn w:val="Normal"/>
    <w:next w:val="Normal"/>
    <w:qFormat/>
    <w:rsid w:val="00662410"/>
    <w:pPr>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rsid w:val="001D5EC0"/>
    <w:pPr>
      <w:pageBreakBefore/>
      <w:numPr>
        <w:numId w:val="19"/>
      </w:numPr>
      <w:tabs>
        <w:tab w:val="left" w:pos="2268"/>
      </w:tabs>
      <w:spacing w:before="0"/>
      <w:outlineLvl w:val="7"/>
    </w:pPr>
    <w:rPr>
      <w:color w:val="000000" w:themeColor="text1"/>
    </w:rPr>
  </w:style>
  <w:style w:type="paragraph" w:customStyle="1" w:styleId="NotforContentsheading1">
    <w:name w:val="Not for Contents heading 1"/>
    <w:basedOn w:val="Normal"/>
    <w:next w:val="Normal"/>
    <w:rsid w:val="008C2D6D"/>
    <w:pPr>
      <w:spacing w:before="400"/>
    </w:pPr>
    <w:rPr>
      <w:b/>
      <w:color w:val="000000" w:themeColor="text1"/>
      <w:sz w:val="48"/>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20"/>
      </w:numPr>
      <w:spacing w:before="80" w:after="80"/>
    </w:pPr>
  </w:style>
  <w:style w:type="paragraph" w:customStyle="1" w:styleId="NotforContentsheading2">
    <w:name w:val="Not for Contents heading 2"/>
    <w:basedOn w:val="Normal"/>
    <w:next w:val="Normal"/>
    <w:rsid w:val="00B84E9B"/>
    <w:pPr>
      <w:spacing w:after="120"/>
    </w:pPr>
    <w:rPr>
      <w:b/>
      <w:sz w:val="32"/>
    </w:rPr>
  </w:style>
  <w:style w:type="character" w:customStyle="1" w:styleId="Heading3Char">
    <w:name w:val="Heading 3 Char"/>
    <w:link w:val="Heading3"/>
    <w:rsid w:val="00E52276"/>
    <w:rPr>
      <w:rFonts w:eastAsiaTheme="minorHAnsi" w:cs="Arial"/>
      <w:bCs/>
      <w:i/>
      <w:sz w:val="26"/>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Bullet"/>
    <w:uiPriority w:val="34"/>
    <w:qFormat/>
    <w:rsid w:val="00065F18"/>
    <w:pPr>
      <w:numPr>
        <w:numId w:val="13"/>
      </w:numPr>
    </w:pPr>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B84327"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Footersecurityclassification">
    <w:name w:val="Footer security classification"/>
    <w:basedOn w:val="Footer"/>
    <w:qFormat/>
    <w:rsid w:val="001D5EC0"/>
    <w:rPr>
      <w:i w:val="0"/>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20"/>
      </w:numPr>
      <w:spacing w:before="80" w:after="80"/>
    </w:pPr>
  </w:style>
  <w:style w:type="paragraph" w:customStyle="1" w:styleId="List123level2">
    <w:name w:val="List 1 2 3 level 2"/>
    <w:basedOn w:val="Normal"/>
    <w:uiPriority w:val="1"/>
    <w:semiHidden/>
    <w:qFormat/>
    <w:rsid w:val="00065F18"/>
    <w:pPr>
      <w:numPr>
        <w:ilvl w:val="1"/>
        <w:numId w:val="21"/>
      </w:numPr>
    </w:pPr>
  </w:style>
  <w:style w:type="paragraph" w:customStyle="1" w:styleId="List123level3">
    <w:name w:val="List 1 2 3 level 3"/>
    <w:basedOn w:val="Normal"/>
    <w:uiPriority w:val="1"/>
    <w:semiHidden/>
    <w:qFormat/>
    <w:rsid w:val="00065F18"/>
    <w:pPr>
      <w:numPr>
        <w:ilvl w:val="2"/>
        <w:numId w:val="21"/>
      </w:numPr>
    </w:pPr>
  </w:style>
  <w:style w:type="paragraph" w:customStyle="1" w:styleId="Legislationsection">
    <w:name w:val="Legislation section"/>
    <w:basedOn w:val="Normal"/>
    <w:semiHidden/>
    <w:qFormat/>
    <w:rsid w:val="00065F18"/>
    <w:pPr>
      <w:numPr>
        <w:numId w:val="23"/>
      </w:numPr>
      <w:tabs>
        <w:tab w:val="left" w:pos="567"/>
      </w:tabs>
      <w:spacing w:after="60"/>
    </w:pPr>
    <w:rPr>
      <w:b/>
      <w:sz w:val="22"/>
    </w:rPr>
  </w:style>
  <w:style w:type="paragraph" w:customStyle="1" w:styleId="Legislationnumber">
    <w:name w:val="Legislation number"/>
    <w:basedOn w:val="Normal"/>
    <w:semiHidden/>
    <w:qFormat/>
    <w:rsid w:val="00065F18"/>
    <w:pPr>
      <w:numPr>
        <w:numId w:val="22"/>
      </w:numPr>
      <w:tabs>
        <w:tab w:val="left" w:pos="567"/>
      </w:tabs>
      <w:spacing w:before="60" w:after="60"/>
    </w:pPr>
    <w:rPr>
      <w:sz w:val="22"/>
    </w:rPr>
  </w:style>
  <w:style w:type="paragraph" w:customStyle="1" w:styleId="Legislationa">
    <w:name w:val="Legislation (a)"/>
    <w:basedOn w:val="Normal"/>
    <w:semiHidden/>
    <w:qFormat/>
    <w:rsid w:val="00065F18"/>
    <w:pPr>
      <w:numPr>
        <w:ilvl w:val="2"/>
        <w:numId w:val="23"/>
      </w:numPr>
      <w:spacing w:before="60" w:after="60"/>
    </w:pPr>
    <w:rPr>
      <w:sz w:val="22"/>
    </w:rPr>
  </w:style>
  <w:style w:type="paragraph" w:customStyle="1" w:styleId="Legislationi">
    <w:name w:val="Legislation (i)"/>
    <w:basedOn w:val="Normal"/>
    <w:semiHidden/>
    <w:qFormat/>
    <w:rsid w:val="00065F18"/>
    <w:pPr>
      <w:numPr>
        <w:ilvl w:val="3"/>
        <w:numId w:val="23"/>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level1">
    <w:name w:val="Numbered para (2) level 1"/>
    <w:basedOn w:val="Normal"/>
    <w:semiHidden/>
    <w:qFormat/>
    <w:rsid w:val="00065F18"/>
    <w:pPr>
      <w:numPr>
        <w:numId w:val="28"/>
      </w:numPr>
      <w:spacing w:after="120"/>
    </w:pPr>
  </w:style>
  <w:style w:type="paragraph" w:customStyle="1" w:styleId="Numberedpara2level2a">
    <w:name w:val="Numbered para (2) level 2 (a)"/>
    <w:basedOn w:val="Normal"/>
    <w:semiHidden/>
    <w:qFormat/>
    <w:rsid w:val="00065F18"/>
    <w:pPr>
      <w:numPr>
        <w:ilvl w:val="1"/>
        <w:numId w:val="28"/>
      </w:numPr>
      <w:spacing w:after="120"/>
    </w:pPr>
  </w:style>
  <w:style w:type="paragraph" w:customStyle="1" w:styleId="Numberedpara2level3i">
    <w:name w:val="Numbered para (2) level 3 (i)"/>
    <w:basedOn w:val="Normal"/>
    <w:semiHidden/>
    <w:qFormat/>
    <w:rsid w:val="00065F18"/>
    <w:pPr>
      <w:numPr>
        <w:ilvl w:val="2"/>
        <w:numId w:val="28"/>
      </w:numPr>
      <w:spacing w:after="120"/>
    </w:pPr>
  </w:style>
  <w:style w:type="paragraph" w:customStyle="1" w:styleId="Title2">
    <w:name w:val="Title 2"/>
    <w:basedOn w:val="Title"/>
    <w:semiHidden/>
    <w:qFormat/>
    <w:rsid w:val="00065F18"/>
    <w:rPr>
      <w:sz w:val="52"/>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Headersecurityclassification">
    <w:name w:val="Header security classification"/>
    <w:basedOn w:val="DefaultParagraphFont"/>
    <w:uiPriority w:val="1"/>
    <w:qFormat/>
    <w:rsid w:val="001D5EC0"/>
    <w:rPr>
      <w:rFonts w:ascii="Calibri" w:hAnsi="Calibri"/>
      <w:b/>
      <w:i w:val="0"/>
      <w:caps/>
      <w:smallCaps w:val="0"/>
      <w:color w:val="000000" w:themeColor="text1"/>
      <w:sz w:val="22"/>
    </w:rPr>
  </w:style>
  <w:style w:type="paragraph" w:customStyle="1" w:styleId="Numberedpara1level211">
    <w:name w:val="Numbered para (1) level 2 (1.1)"/>
    <w:basedOn w:val="Normal"/>
    <w:semiHidden/>
    <w:unhideWhenUsed/>
    <w:rsid w:val="00065F18"/>
    <w:pPr>
      <w:numPr>
        <w:ilvl w:val="1"/>
        <w:numId w:val="25"/>
      </w:numPr>
      <w:spacing w:after="120"/>
    </w:pPr>
  </w:style>
  <w:style w:type="paragraph" w:customStyle="1" w:styleId="Numberedpara11headingwithnumber">
    <w:name w:val="Numbered para (1) 1 (heading with number)"/>
    <w:basedOn w:val="Normal"/>
    <w:semiHidden/>
    <w:unhideWhenUsed/>
    <w:qFormat/>
    <w:rsid w:val="00065F18"/>
    <w:pPr>
      <w:numPr>
        <w:numId w:val="25"/>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FinancialtableLHC">
    <w:name w:val="Financial table LHC"/>
    <w:basedOn w:val="Normal"/>
    <w:semiHidden/>
    <w:qFormat/>
    <w:rsid w:val="00A5302B"/>
    <w:pPr>
      <w:spacing w:before="0" w:after="0"/>
      <w:contextualSpacing/>
    </w:pPr>
    <w:rPr>
      <w:sz w:val="22"/>
    </w:rPr>
  </w:style>
  <w:style w:type="paragraph" w:customStyle="1" w:styleId="Financialtablefigures">
    <w:name w:val="Financial table figures"/>
    <w:basedOn w:val="FinancialtableLHC"/>
    <w:semiHidden/>
    <w:qFormat/>
    <w:rsid w:val="00A5302B"/>
    <w:pPr>
      <w:jc w:val="right"/>
    </w:pPr>
  </w:style>
  <w:style w:type="paragraph" w:customStyle="1" w:styleId="Financialtableyears">
    <w:name w:val="Financial table years"/>
    <w:basedOn w:val="Financialtablefigures"/>
    <w:semiHidden/>
    <w:qFormat/>
    <w:rsid w:val="00A5302B"/>
    <w:pPr>
      <w:jc w:val="center"/>
    </w:pPr>
    <w:rPr>
      <w:b/>
      <w:sz w:val="20"/>
    </w:rPr>
  </w:style>
  <w:style w:type="paragraph" w:customStyle="1" w:styleId="Tablesource">
    <w:name w:val="Table source"/>
    <w:basedOn w:val="Normal"/>
    <w:qFormat/>
    <w:rsid w:val="00662410"/>
    <w:pPr>
      <w:spacing w:before="80" w:after="120"/>
      <w:ind w:left="567"/>
    </w:pPr>
    <w:rPr>
      <w:sz w:val="22"/>
    </w:rPr>
  </w:style>
  <w:style w:type="paragraph" w:customStyle="1" w:styleId="Numberedpara3subheading">
    <w:name w:val="Numbered para (3) subheading"/>
    <w:basedOn w:val="Normal"/>
    <w:next w:val="Normal"/>
    <w:semiHidden/>
    <w:qFormat/>
    <w:rsid w:val="0088686D"/>
    <w:pPr>
      <w:spacing w:before="240" w:after="120"/>
    </w:pPr>
    <w:rPr>
      <w:b/>
      <w:i/>
    </w:rPr>
  </w:style>
  <w:style w:type="paragraph" w:customStyle="1" w:styleId="Numberedpara3level1">
    <w:name w:val="Numbered para (3) level 1"/>
    <w:basedOn w:val="Normal"/>
    <w:qFormat/>
    <w:rsid w:val="0088686D"/>
    <w:pPr>
      <w:numPr>
        <w:numId w:val="29"/>
      </w:numPr>
      <w:spacing w:after="120"/>
    </w:pPr>
  </w:style>
  <w:style w:type="paragraph" w:customStyle="1" w:styleId="Numberedpara3level211">
    <w:name w:val="Numbered para (3) level 2 (1.1)"/>
    <w:basedOn w:val="Normal"/>
    <w:qFormat/>
    <w:rsid w:val="0088686D"/>
    <w:pPr>
      <w:numPr>
        <w:ilvl w:val="1"/>
        <w:numId w:val="29"/>
      </w:numPr>
      <w:spacing w:after="120"/>
    </w:pPr>
  </w:style>
  <w:style w:type="paragraph" w:customStyle="1" w:styleId="Numberedpara3level3111">
    <w:name w:val="Numbered para (3) level 3 (1.1.1)"/>
    <w:basedOn w:val="Normal"/>
    <w:qFormat/>
    <w:rsid w:val="0088686D"/>
    <w:pPr>
      <w:numPr>
        <w:ilvl w:val="2"/>
        <w:numId w:val="29"/>
      </w:numPr>
      <w:spacing w:after="120"/>
    </w:pPr>
  </w:style>
  <w:style w:type="paragraph" w:customStyle="1" w:styleId="Numberedpara3heading">
    <w:name w:val="Numbered para (3) heading"/>
    <w:basedOn w:val="Normal"/>
    <w:semiHidden/>
    <w:qFormat/>
    <w:rsid w:val="0088686D"/>
    <w:pPr>
      <w:keepNext/>
      <w:spacing w:before="200" w:after="120"/>
    </w:pPr>
    <w:rPr>
      <w:b/>
    </w:rPr>
  </w:style>
  <w:style w:type="table" w:customStyle="1" w:styleId="RIS">
    <w:name w:val="__RIS"/>
    <w:basedOn w:val="TableNormal"/>
    <w:uiPriority w:val="99"/>
    <w:rsid w:val="00FB0E14"/>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customStyle="1" w:styleId="Crossreferences">
    <w:name w:val="Cross references"/>
    <w:basedOn w:val="DefaultParagraphFont"/>
    <w:uiPriority w:val="1"/>
    <w:qFormat/>
    <w:rsid w:val="00E52276"/>
    <w:rPr>
      <w:i/>
      <w:u w:val="single"/>
    </w:rPr>
  </w:style>
  <w:style w:type="character" w:customStyle="1" w:styleId="FootnoteTextChar">
    <w:name w:val="Footnote Text Char"/>
    <w:link w:val="FootnoteText"/>
    <w:uiPriority w:val="99"/>
    <w:rsid w:val="006B3106"/>
    <w:rPr>
      <w:rFonts w:eastAsiaTheme="minorHAnsi"/>
      <w:sz w:val="20"/>
      <w:szCs w:val="20"/>
      <w:lang w:eastAsia="en-US"/>
    </w:rPr>
  </w:style>
  <w:style w:type="table" w:customStyle="1" w:styleId="DIATable">
    <w:name w:val="_DIA Table"/>
    <w:basedOn w:val="TableNormal"/>
    <w:uiPriority w:val="99"/>
    <w:rsid w:val="00B83378"/>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customStyle="1" w:styleId="TableParagraph">
    <w:name w:val="Table Paragraph"/>
    <w:basedOn w:val="Normal"/>
    <w:uiPriority w:val="1"/>
    <w:qFormat/>
    <w:rsid w:val="00173E1B"/>
    <w:pPr>
      <w:keepLines w:val="0"/>
      <w:widowControl w:val="0"/>
      <w:spacing w:before="0" w:after="0"/>
    </w:pPr>
    <w:rPr>
      <w:rFonts w:asciiTheme="minorHAnsi" w:hAnsiTheme="minorHAnsi" w:cstheme="minorBidi"/>
      <w:sz w:val="22"/>
      <w:szCs w:val="22"/>
      <w:lang w:val="en-US"/>
    </w:rPr>
  </w:style>
  <w:style w:type="paragraph" w:customStyle="1" w:styleId="Briefingparasubheading">
    <w:name w:val="Briefing para subheading"/>
    <w:basedOn w:val="Normal"/>
    <w:next w:val="Numberedpara3level1"/>
    <w:qFormat/>
    <w:rsid w:val="003476A5"/>
    <w:pPr>
      <w:keepNext/>
      <w:keepLines w:val="0"/>
      <w:spacing w:before="240" w:after="120"/>
    </w:pPr>
    <w:rPr>
      <w:b/>
      <w:i/>
    </w:rPr>
  </w:style>
  <w:style w:type="paragraph" w:customStyle="1" w:styleId="Recommendations">
    <w:name w:val="Recommendations"/>
    <w:basedOn w:val="Normal"/>
    <w:semiHidden/>
    <w:qFormat/>
    <w:rsid w:val="003476A5"/>
    <w:pPr>
      <w:keepLines w:val="0"/>
      <w:numPr>
        <w:numId w:val="34"/>
      </w:numPr>
      <w:ind w:left="567" w:hanging="567"/>
    </w:pPr>
  </w:style>
  <w:style w:type="paragraph" w:customStyle="1" w:styleId="Briefingparasubsubheading">
    <w:name w:val="Briefing para subsubheading"/>
    <w:basedOn w:val="Normal"/>
    <w:next w:val="Numberedpara3level1"/>
    <w:qFormat/>
    <w:rsid w:val="003476A5"/>
    <w:pPr>
      <w:keepNext/>
      <w:keepLines w:val="0"/>
      <w:spacing w:before="240" w:after="120"/>
    </w:pPr>
    <w:rPr>
      <w:i/>
    </w:rPr>
  </w:style>
  <w:style w:type="paragraph" w:customStyle="1" w:styleId="Briefingtext">
    <w:name w:val="Briefing text"/>
    <w:basedOn w:val="Normal"/>
    <w:rsid w:val="003B7D3D"/>
    <w:pPr>
      <w:keepLines w:val="0"/>
      <w:numPr>
        <w:numId w:val="39"/>
      </w:numPr>
      <w:tabs>
        <w:tab w:val="left" w:pos="567"/>
      </w:tabs>
      <w:spacing w:before="0" w:after="120"/>
      <w:jc w:val="both"/>
    </w:pPr>
    <w:rPr>
      <w:rFonts w:ascii="Arial Mäori" w:eastAsia="Times New Roman" w:hAnsi="Arial Mäo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76"/>
    <w:pPr>
      <w:keepLines/>
    </w:pPr>
    <w:rPr>
      <w:rFonts w:eastAsiaTheme="minorHAnsi"/>
      <w:lang w:eastAsia="en-US"/>
    </w:rPr>
  </w:style>
  <w:style w:type="paragraph" w:styleId="Heading1">
    <w:name w:val="heading 1"/>
    <w:basedOn w:val="Normal"/>
    <w:next w:val="Numberedpara3level1"/>
    <w:link w:val="Heading1Char"/>
    <w:qFormat/>
    <w:rsid w:val="003E54D4"/>
    <w:pPr>
      <w:keepNext/>
      <w:spacing w:before="240" w:after="120"/>
      <w:outlineLvl w:val="0"/>
    </w:pPr>
    <w:rPr>
      <w:b/>
      <w:sz w:val="28"/>
    </w:rPr>
  </w:style>
  <w:style w:type="paragraph" w:styleId="Heading2">
    <w:name w:val="heading 2"/>
    <w:basedOn w:val="Normal"/>
    <w:next w:val="Numberedpara3level1"/>
    <w:link w:val="Heading2Char"/>
    <w:qFormat/>
    <w:rsid w:val="00E52276"/>
    <w:pPr>
      <w:keepNext/>
      <w:spacing w:before="240" w:after="120"/>
      <w:outlineLvl w:val="1"/>
    </w:pPr>
    <w:rPr>
      <w:b/>
      <w:i/>
      <w:sz w:val="26"/>
    </w:rPr>
  </w:style>
  <w:style w:type="paragraph" w:styleId="Heading3">
    <w:name w:val="heading 3"/>
    <w:basedOn w:val="Normal"/>
    <w:next w:val="Normal"/>
    <w:link w:val="Heading3Char"/>
    <w:qFormat/>
    <w:rsid w:val="00E52276"/>
    <w:pPr>
      <w:keepNext/>
      <w:spacing w:before="240" w:after="120"/>
      <w:contextualSpacing/>
      <w:outlineLvl w:val="2"/>
    </w:pPr>
    <w:rPr>
      <w:rFonts w:cs="Arial"/>
      <w:bCs/>
      <w:i/>
      <w:sz w:val="26"/>
      <w:szCs w:val="26"/>
    </w:rPr>
  </w:style>
  <w:style w:type="paragraph" w:styleId="Heading4">
    <w:name w:val="heading 4"/>
    <w:basedOn w:val="Normal"/>
    <w:next w:val="Normal"/>
    <w:link w:val="Heading4Char"/>
    <w:semiHidden/>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3E54D4"/>
    <w:rPr>
      <w:rFonts w:eastAsiaTheme="minorHAnsi"/>
      <w:b/>
      <w:sz w:val="28"/>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4"/>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4"/>
      </w:numPr>
      <w:outlineLvl w:val="5"/>
    </w:pPr>
  </w:style>
  <w:style w:type="paragraph" w:customStyle="1" w:styleId="Headingnumbered2">
    <w:name w:val="Heading numbered 2"/>
    <w:basedOn w:val="Heading2"/>
    <w:next w:val="Normal"/>
    <w:uiPriority w:val="1"/>
    <w:semiHidden/>
    <w:rsid w:val="00065F18"/>
    <w:pPr>
      <w:numPr>
        <w:ilvl w:val="1"/>
        <w:numId w:val="14"/>
      </w:numPr>
      <w:outlineLvl w:val="6"/>
    </w:pPr>
  </w:style>
  <w:style w:type="paragraph" w:customStyle="1" w:styleId="Headingnumbered3">
    <w:name w:val="Heading numbered 3"/>
    <w:basedOn w:val="Normal"/>
    <w:next w:val="Normal"/>
    <w:uiPriority w:val="1"/>
    <w:semiHidden/>
    <w:rsid w:val="00065F18"/>
    <w:pPr>
      <w:numPr>
        <w:ilvl w:val="2"/>
        <w:numId w:val="14"/>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4"/>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unhideWhenUsed/>
    <w:rsid w:val="00065F18"/>
    <w:pPr>
      <w:numPr>
        <w:ilvl w:val="2"/>
        <w:numId w:val="25"/>
      </w:numPr>
      <w:spacing w:after="120"/>
    </w:pPr>
  </w:style>
  <w:style w:type="paragraph" w:customStyle="1" w:styleId="Numberedpara1level4i">
    <w:name w:val="Numbered para (1) level 4 (i)"/>
    <w:basedOn w:val="Normal"/>
    <w:semiHidden/>
    <w:unhideWhenUsed/>
    <w:rsid w:val="00065F18"/>
    <w:pPr>
      <w:numPr>
        <w:ilvl w:val="3"/>
        <w:numId w:val="25"/>
      </w:numPr>
      <w:spacing w:after="120"/>
    </w:pPr>
  </w:style>
  <w:style w:type="paragraph" w:customStyle="1" w:styleId="Bullet">
    <w:name w:val="Bullet"/>
    <w:basedOn w:val="Normal"/>
    <w:rsid w:val="00065F18"/>
    <w:pPr>
      <w:numPr>
        <w:numId w:val="15"/>
      </w:numPr>
      <w:spacing w:before="80" w:after="80"/>
    </w:pPr>
    <w:rPr>
      <w:noProof/>
    </w:rPr>
  </w:style>
  <w:style w:type="paragraph" w:customStyle="1" w:styleId="Bulletlevel2">
    <w:name w:val="Bullet level 2"/>
    <w:basedOn w:val="Normal"/>
    <w:uiPriority w:val="1"/>
    <w:semiHidden/>
    <w:rsid w:val="00065F18"/>
    <w:pPr>
      <w:numPr>
        <w:ilvl w:val="1"/>
        <w:numId w:val="15"/>
      </w:numPr>
      <w:spacing w:before="80" w:after="80"/>
    </w:pPr>
  </w:style>
  <w:style w:type="paragraph" w:customStyle="1" w:styleId="Bulletlevel3">
    <w:name w:val="Bullet level 3"/>
    <w:basedOn w:val="Normal"/>
    <w:uiPriority w:val="1"/>
    <w:semiHidden/>
    <w:rsid w:val="00065F18"/>
    <w:pPr>
      <w:numPr>
        <w:ilvl w:val="2"/>
        <w:numId w:val="15"/>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0"/>
      </w:numPr>
      <w:spacing w:before="80" w:after="80"/>
    </w:pPr>
  </w:style>
  <w:style w:type="paragraph" w:customStyle="1" w:styleId="List123">
    <w:name w:val="List 1 2 3"/>
    <w:basedOn w:val="Normal"/>
    <w:rsid w:val="00065F18"/>
    <w:pPr>
      <w:numPr>
        <w:numId w:val="21"/>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rsid w:val="0037298A"/>
    <w:pPr>
      <w:tabs>
        <w:tab w:val="right" w:leader="dot" w:pos="9072"/>
      </w:tabs>
      <w:spacing w:before="200" w:after="60"/>
      <w:ind w:right="567"/>
    </w:pPr>
    <w:rPr>
      <w:color w:val="000000" w:themeColor="text1"/>
    </w:rPr>
  </w:style>
  <w:style w:type="paragraph" w:styleId="TOC2">
    <w:name w:val="toc 2"/>
    <w:basedOn w:val="Normal"/>
    <w:next w:val="Normal"/>
    <w:uiPriority w:val="39"/>
    <w:rsid w:val="00473E2F"/>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rsid w:val="00E52276"/>
    <w:rPr>
      <w:rFonts w:eastAsiaTheme="minorHAnsi"/>
      <w:b/>
      <w:i/>
      <w:sz w:val="26"/>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6"/>
      </w:numPr>
    </w:pPr>
  </w:style>
  <w:style w:type="paragraph" w:customStyle="1" w:styleId="Tablebulletlevel2">
    <w:name w:val="Table bullet level 2"/>
    <w:basedOn w:val="Tablenormal0"/>
    <w:uiPriority w:val="99"/>
    <w:semiHidden/>
    <w:rsid w:val="00065F18"/>
    <w:pPr>
      <w:numPr>
        <w:ilvl w:val="1"/>
        <w:numId w:val="16"/>
      </w:numPr>
    </w:pPr>
  </w:style>
  <w:style w:type="paragraph" w:customStyle="1" w:styleId="TableBulletListLevel3">
    <w:name w:val="Table Bullet List Level 3"/>
    <w:basedOn w:val="BodyTextTable"/>
    <w:uiPriority w:val="11"/>
    <w:semiHidden/>
    <w:rsid w:val="00065F18"/>
    <w:pPr>
      <w:numPr>
        <w:ilvl w:val="2"/>
        <w:numId w:val="16"/>
      </w:numPr>
      <w:spacing w:before="60" w:after="60"/>
    </w:pPr>
  </w:style>
  <w:style w:type="paragraph" w:customStyle="1" w:styleId="Tablelist123">
    <w:name w:val="Table list 1 2 3"/>
    <w:basedOn w:val="Tablenormal0"/>
    <w:rsid w:val="00065F18"/>
    <w:pPr>
      <w:numPr>
        <w:numId w:val="18"/>
      </w:numPr>
    </w:pPr>
  </w:style>
  <w:style w:type="paragraph" w:customStyle="1" w:styleId="Tablelist123level2">
    <w:name w:val="Table list 1 2 3 level 2"/>
    <w:basedOn w:val="Tablenormal0"/>
    <w:semiHidden/>
    <w:rsid w:val="00065F18"/>
    <w:pPr>
      <w:numPr>
        <w:ilvl w:val="1"/>
        <w:numId w:val="18"/>
      </w:numPr>
    </w:pPr>
  </w:style>
  <w:style w:type="character" w:customStyle="1" w:styleId="Heading4Char">
    <w:name w:val="Heading 4 Char"/>
    <w:basedOn w:val="DefaultParagraphFont"/>
    <w:link w:val="Heading4"/>
    <w:semiHidden/>
    <w:rsid w:val="00264E9B"/>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7"/>
      </w:numPr>
    </w:pPr>
  </w:style>
  <w:style w:type="paragraph" w:customStyle="1" w:styleId="BodyTextTableLevel2">
    <w:name w:val="Body Text Table Level 2"/>
    <w:basedOn w:val="BodyTextTable"/>
    <w:uiPriority w:val="11"/>
    <w:semiHidden/>
    <w:rsid w:val="00065F18"/>
    <w:pPr>
      <w:numPr>
        <w:ilvl w:val="1"/>
        <w:numId w:val="17"/>
      </w:numPr>
    </w:pPr>
  </w:style>
  <w:style w:type="paragraph" w:customStyle="1" w:styleId="BodyTextTableLevel3">
    <w:name w:val="Body Text Table Level 3"/>
    <w:basedOn w:val="BodyTextTable"/>
    <w:uiPriority w:val="11"/>
    <w:semiHidden/>
    <w:rsid w:val="00065F18"/>
    <w:pPr>
      <w:numPr>
        <w:ilvl w:val="3"/>
        <w:numId w:val="18"/>
      </w:numPr>
    </w:pPr>
  </w:style>
  <w:style w:type="paragraph" w:styleId="Caption">
    <w:name w:val="caption"/>
    <w:basedOn w:val="Normal"/>
    <w:next w:val="Normal"/>
    <w:qFormat/>
    <w:rsid w:val="00662410"/>
    <w:pPr>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rsid w:val="001D5EC0"/>
    <w:pPr>
      <w:pageBreakBefore/>
      <w:numPr>
        <w:numId w:val="19"/>
      </w:numPr>
      <w:tabs>
        <w:tab w:val="left" w:pos="2268"/>
      </w:tabs>
      <w:spacing w:before="0"/>
      <w:outlineLvl w:val="7"/>
    </w:pPr>
    <w:rPr>
      <w:color w:val="000000" w:themeColor="text1"/>
    </w:rPr>
  </w:style>
  <w:style w:type="paragraph" w:customStyle="1" w:styleId="NotforContentsheading1">
    <w:name w:val="Not for Contents heading 1"/>
    <w:basedOn w:val="Normal"/>
    <w:next w:val="Normal"/>
    <w:rsid w:val="008C2D6D"/>
    <w:pPr>
      <w:spacing w:before="400"/>
    </w:pPr>
    <w:rPr>
      <w:b/>
      <w:color w:val="000000" w:themeColor="text1"/>
      <w:sz w:val="48"/>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20"/>
      </w:numPr>
      <w:spacing w:before="80" w:after="80"/>
    </w:pPr>
  </w:style>
  <w:style w:type="paragraph" w:customStyle="1" w:styleId="NotforContentsheading2">
    <w:name w:val="Not for Contents heading 2"/>
    <w:basedOn w:val="Normal"/>
    <w:next w:val="Normal"/>
    <w:rsid w:val="00B84E9B"/>
    <w:pPr>
      <w:spacing w:after="120"/>
    </w:pPr>
    <w:rPr>
      <w:b/>
      <w:sz w:val="32"/>
    </w:rPr>
  </w:style>
  <w:style w:type="character" w:customStyle="1" w:styleId="Heading3Char">
    <w:name w:val="Heading 3 Char"/>
    <w:link w:val="Heading3"/>
    <w:rsid w:val="00E52276"/>
    <w:rPr>
      <w:rFonts w:eastAsiaTheme="minorHAnsi" w:cs="Arial"/>
      <w:bCs/>
      <w:i/>
      <w:sz w:val="26"/>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Bullet"/>
    <w:uiPriority w:val="34"/>
    <w:qFormat/>
    <w:rsid w:val="00065F18"/>
    <w:pPr>
      <w:numPr>
        <w:numId w:val="13"/>
      </w:numPr>
    </w:pPr>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B84327"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Footersecurityclassification">
    <w:name w:val="Footer security classification"/>
    <w:basedOn w:val="Footer"/>
    <w:qFormat/>
    <w:rsid w:val="001D5EC0"/>
    <w:rPr>
      <w:i w:val="0"/>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20"/>
      </w:numPr>
      <w:spacing w:before="80" w:after="80"/>
    </w:pPr>
  </w:style>
  <w:style w:type="paragraph" w:customStyle="1" w:styleId="List123level2">
    <w:name w:val="List 1 2 3 level 2"/>
    <w:basedOn w:val="Normal"/>
    <w:uiPriority w:val="1"/>
    <w:semiHidden/>
    <w:qFormat/>
    <w:rsid w:val="00065F18"/>
    <w:pPr>
      <w:numPr>
        <w:ilvl w:val="1"/>
        <w:numId w:val="21"/>
      </w:numPr>
    </w:pPr>
  </w:style>
  <w:style w:type="paragraph" w:customStyle="1" w:styleId="List123level3">
    <w:name w:val="List 1 2 3 level 3"/>
    <w:basedOn w:val="Normal"/>
    <w:uiPriority w:val="1"/>
    <w:semiHidden/>
    <w:qFormat/>
    <w:rsid w:val="00065F18"/>
    <w:pPr>
      <w:numPr>
        <w:ilvl w:val="2"/>
        <w:numId w:val="21"/>
      </w:numPr>
    </w:pPr>
  </w:style>
  <w:style w:type="paragraph" w:customStyle="1" w:styleId="Legislationsection">
    <w:name w:val="Legislation section"/>
    <w:basedOn w:val="Normal"/>
    <w:semiHidden/>
    <w:qFormat/>
    <w:rsid w:val="00065F18"/>
    <w:pPr>
      <w:numPr>
        <w:numId w:val="23"/>
      </w:numPr>
      <w:tabs>
        <w:tab w:val="left" w:pos="567"/>
      </w:tabs>
      <w:spacing w:after="60"/>
    </w:pPr>
    <w:rPr>
      <w:b/>
      <w:sz w:val="22"/>
    </w:rPr>
  </w:style>
  <w:style w:type="paragraph" w:customStyle="1" w:styleId="Legislationnumber">
    <w:name w:val="Legislation number"/>
    <w:basedOn w:val="Normal"/>
    <w:semiHidden/>
    <w:qFormat/>
    <w:rsid w:val="00065F18"/>
    <w:pPr>
      <w:numPr>
        <w:numId w:val="22"/>
      </w:numPr>
      <w:tabs>
        <w:tab w:val="left" w:pos="567"/>
      </w:tabs>
      <w:spacing w:before="60" w:after="60"/>
    </w:pPr>
    <w:rPr>
      <w:sz w:val="22"/>
    </w:rPr>
  </w:style>
  <w:style w:type="paragraph" w:customStyle="1" w:styleId="Legislationa">
    <w:name w:val="Legislation (a)"/>
    <w:basedOn w:val="Normal"/>
    <w:semiHidden/>
    <w:qFormat/>
    <w:rsid w:val="00065F18"/>
    <w:pPr>
      <w:numPr>
        <w:ilvl w:val="2"/>
        <w:numId w:val="23"/>
      </w:numPr>
      <w:spacing w:before="60" w:after="60"/>
    </w:pPr>
    <w:rPr>
      <w:sz w:val="22"/>
    </w:rPr>
  </w:style>
  <w:style w:type="paragraph" w:customStyle="1" w:styleId="Legislationi">
    <w:name w:val="Legislation (i)"/>
    <w:basedOn w:val="Normal"/>
    <w:semiHidden/>
    <w:qFormat/>
    <w:rsid w:val="00065F18"/>
    <w:pPr>
      <w:numPr>
        <w:ilvl w:val="3"/>
        <w:numId w:val="23"/>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level1">
    <w:name w:val="Numbered para (2) level 1"/>
    <w:basedOn w:val="Normal"/>
    <w:semiHidden/>
    <w:qFormat/>
    <w:rsid w:val="00065F18"/>
    <w:pPr>
      <w:numPr>
        <w:numId w:val="28"/>
      </w:numPr>
      <w:spacing w:after="120"/>
    </w:pPr>
  </w:style>
  <w:style w:type="paragraph" w:customStyle="1" w:styleId="Numberedpara2level2a">
    <w:name w:val="Numbered para (2) level 2 (a)"/>
    <w:basedOn w:val="Normal"/>
    <w:semiHidden/>
    <w:qFormat/>
    <w:rsid w:val="00065F18"/>
    <w:pPr>
      <w:numPr>
        <w:ilvl w:val="1"/>
        <w:numId w:val="28"/>
      </w:numPr>
      <w:spacing w:after="120"/>
    </w:pPr>
  </w:style>
  <w:style w:type="paragraph" w:customStyle="1" w:styleId="Numberedpara2level3i">
    <w:name w:val="Numbered para (2) level 3 (i)"/>
    <w:basedOn w:val="Normal"/>
    <w:semiHidden/>
    <w:qFormat/>
    <w:rsid w:val="00065F18"/>
    <w:pPr>
      <w:numPr>
        <w:ilvl w:val="2"/>
        <w:numId w:val="28"/>
      </w:numPr>
      <w:spacing w:after="120"/>
    </w:pPr>
  </w:style>
  <w:style w:type="paragraph" w:customStyle="1" w:styleId="Title2">
    <w:name w:val="Title 2"/>
    <w:basedOn w:val="Title"/>
    <w:semiHidden/>
    <w:qFormat/>
    <w:rsid w:val="00065F18"/>
    <w:rPr>
      <w:sz w:val="52"/>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Headersecurityclassification">
    <w:name w:val="Header security classification"/>
    <w:basedOn w:val="DefaultParagraphFont"/>
    <w:uiPriority w:val="1"/>
    <w:qFormat/>
    <w:rsid w:val="001D5EC0"/>
    <w:rPr>
      <w:rFonts w:ascii="Calibri" w:hAnsi="Calibri"/>
      <w:b/>
      <w:i w:val="0"/>
      <w:caps/>
      <w:smallCaps w:val="0"/>
      <w:color w:val="000000" w:themeColor="text1"/>
      <w:sz w:val="22"/>
    </w:rPr>
  </w:style>
  <w:style w:type="paragraph" w:customStyle="1" w:styleId="Numberedpara1level211">
    <w:name w:val="Numbered para (1) level 2 (1.1)"/>
    <w:basedOn w:val="Normal"/>
    <w:semiHidden/>
    <w:unhideWhenUsed/>
    <w:rsid w:val="00065F18"/>
    <w:pPr>
      <w:numPr>
        <w:ilvl w:val="1"/>
        <w:numId w:val="25"/>
      </w:numPr>
      <w:spacing w:after="120"/>
    </w:pPr>
  </w:style>
  <w:style w:type="paragraph" w:customStyle="1" w:styleId="Numberedpara11headingwithnumber">
    <w:name w:val="Numbered para (1) 1 (heading with number)"/>
    <w:basedOn w:val="Normal"/>
    <w:semiHidden/>
    <w:unhideWhenUsed/>
    <w:qFormat/>
    <w:rsid w:val="00065F18"/>
    <w:pPr>
      <w:numPr>
        <w:numId w:val="25"/>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FinancialtableLHC">
    <w:name w:val="Financial table LHC"/>
    <w:basedOn w:val="Normal"/>
    <w:semiHidden/>
    <w:qFormat/>
    <w:rsid w:val="00A5302B"/>
    <w:pPr>
      <w:spacing w:before="0" w:after="0"/>
      <w:contextualSpacing/>
    </w:pPr>
    <w:rPr>
      <w:sz w:val="22"/>
    </w:rPr>
  </w:style>
  <w:style w:type="paragraph" w:customStyle="1" w:styleId="Financialtablefigures">
    <w:name w:val="Financial table figures"/>
    <w:basedOn w:val="FinancialtableLHC"/>
    <w:semiHidden/>
    <w:qFormat/>
    <w:rsid w:val="00A5302B"/>
    <w:pPr>
      <w:jc w:val="right"/>
    </w:pPr>
  </w:style>
  <w:style w:type="paragraph" w:customStyle="1" w:styleId="Financialtableyears">
    <w:name w:val="Financial table years"/>
    <w:basedOn w:val="Financialtablefigures"/>
    <w:semiHidden/>
    <w:qFormat/>
    <w:rsid w:val="00A5302B"/>
    <w:pPr>
      <w:jc w:val="center"/>
    </w:pPr>
    <w:rPr>
      <w:b/>
      <w:sz w:val="20"/>
    </w:rPr>
  </w:style>
  <w:style w:type="paragraph" w:customStyle="1" w:styleId="Tablesource">
    <w:name w:val="Table source"/>
    <w:basedOn w:val="Normal"/>
    <w:qFormat/>
    <w:rsid w:val="00662410"/>
    <w:pPr>
      <w:spacing w:before="80" w:after="120"/>
      <w:ind w:left="567"/>
    </w:pPr>
    <w:rPr>
      <w:sz w:val="22"/>
    </w:rPr>
  </w:style>
  <w:style w:type="paragraph" w:customStyle="1" w:styleId="Numberedpara3subheading">
    <w:name w:val="Numbered para (3) subheading"/>
    <w:basedOn w:val="Normal"/>
    <w:next w:val="Normal"/>
    <w:semiHidden/>
    <w:qFormat/>
    <w:rsid w:val="0088686D"/>
    <w:pPr>
      <w:spacing w:before="240" w:after="120"/>
    </w:pPr>
    <w:rPr>
      <w:b/>
      <w:i/>
    </w:rPr>
  </w:style>
  <w:style w:type="paragraph" w:customStyle="1" w:styleId="Numberedpara3level1">
    <w:name w:val="Numbered para (3) level 1"/>
    <w:basedOn w:val="Normal"/>
    <w:qFormat/>
    <w:rsid w:val="0088686D"/>
    <w:pPr>
      <w:numPr>
        <w:numId w:val="29"/>
      </w:numPr>
      <w:spacing w:after="120"/>
    </w:pPr>
  </w:style>
  <w:style w:type="paragraph" w:customStyle="1" w:styleId="Numberedpara3level211">
    <w:name w:val="Numbered para (3) level 2 (1.1)"/>
    <w:basedOn w:val="Normal"/>
    <w:qFormat/>
    <w:rsid w:val="0088686D"/>
    <w:pPr>
      <w:numPr>
        <w:ilvl w:val="1"/>
        <w:numId w:val="29"/>
      </w:numPr>
      <w:spacing w:after="120"/>
    </w:pPr>
  </w:style>
  <w:style w:type="paragraph" w:customStyle="1" w:styleId="Numberedpara3level3111">
    <w:name w:val="Numbered para (3) level 3 (1.1.1)"/>
    <w:basedOn w:val="Normal"/>
    <w:qFormat/>
    <w:rsid w:val="0088686D"/>
    <w:pPr>
      <w:numPr>
        <w:ilvl w:val="2"/>
        <w:numId w:val="29"/>
      </w:numPr>
      <w:spacing w:after="120"/>
    </w:pPr>
  </w:style>
  <w:style w:type="paragraph" w:customStyle="1" w:styleId="Numberedpara3heading">
    <w:name w:val="Numbered para (3) heading"/>
    <w:basedOn w:val="Normal"/>
    <w:semiHidden/>
    <w:qFormat/>
    <w:rsid w:val="0088686D"/>
    <w:pPr>
      <w:keepNext/>
      <w:spacing w:before="200" w:after="120"/>
    </w:pPr>
    <w:rPr>
      <w:b/>
    </w:rPr>
  </w:style>
  <w:style w:type="table" w:customStyle="1" w:styleId="RIS">
    <w:name w:val="__RIS"/>
    <w:basedOn w:val="TableNormal"/>
    <w:uiPriority w:val="99"/>
    <w:rsid w:val="00FB0E14"/>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customStyle="1" w:styleId="Crossreferences">
    <w:name w:val="Cross references"/>
    <w:basedOn w:val="DefaultParagraphFont"/>
    <w:uiPriority w:val="1"/>
    <w:qFormat/>
    <w:rsid w:val="00E52276"/>
    <w:rPr>
      <w:i/>
      <w:u w:val="single"/>
    </w:rPr>
  </w:style>
  <w:style w:type="character" w:customStyle="1" w:styleId="FootnoteTextChar">
    <w:name w:val="Footnote Text Char"/>
    <w:link w:val="FootnoteText"/>
    <w:uiPriority w:val="99"/>
    <w:rsid w:val="006B3106"/>
    <w:rPr>
      <w:rFonts w:eastAsiaTheme="minorHAnsi"/>
      <w:sz w:val="20"/>
      <w:szCs w:val="20"/>
      <w:lang w:eastAsia="en-US"/>
    </w:rPr>
  </w:style>
  <w:style w:type="table" w:customStyle="1" w:styleId="DIATable">
    <w:name w:val="_DIA Table"/>
    <w:basedOn w:val="TableNormal"/>
    <w:uiPriority w:val="99"/>
    <w:rsid w:val="00B83378"/>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customStyle="1" w:styleId="TableParagraph">
    <w:name w:val="Table Paragraph"/>
    <w:basedOn w:val="Normal"/>
    <w:uiPriority w:val="1"/>
    <w:qFormat/>
    <w:rsid w:val="00173E1B"/>
    <w:pPr>
      <w:keepLines w:val="0"/>
      <w:widowControl w:val="0"/>
      <w:spacing w:before="0" w:after="0"/>
    </w:pPr>
    <w:rPr>
      <w:rFonts w:asciiTheme="minorHAnsi" w:hAnsiTheme="minorHAnsi" w:cstheme="minorBidi"/>
      <w:sz w:val="22"/>
      <w:szCs w:val="22"/>
      <w:lang w:val="en-US"/>
    </w:rPr>
  </w:style>
  <w:style w:type="paragraph" w:customStyle="1" w:styleId="Briefingparasubheading">
    <w:name w:val="Briefing para subheading"/>
    <w:basedOn w:val="Normal"/>
    <w:next w:val="Numberedpara3level1"/>
    <w:qFormat/>
    <w:rsid w:val="003476A5"/>
    <w:pPr>
      <w:keepNext/>
      <w:keepLines w:val="0"/>
      <w:spacing w:before="240" w:after="120"/>
    </w:pPr>
    <w:rPr>
      <w:b/>
      <w:i/>
    </w:rPr>
  </w:style>
  <w:style w:type="paragraph" w:customStyle="1" w:styleId="Recommendations">
    <w:name w:val="Recommendations"/>
    <w:basedOn w:val="Normal"/>
    <w:semiHidden/>
    <w:qFormat/>
    <w:rsid w:val="003476A5"/>
    <w:pPr>
      <w:keepLines w:val="0"/>
      <w:numPr>
        <w:numId w:val="34"/>
      </w:numPr>
      <w:ind w:left="567" w:hanging="567"/>
    </w:pPr>
  </w:style>
  <w:style w:type="paragraph" w:customStyle="1" w:styleId="Briefingparasubsubheading">
    <w:name w:val="Briefing para subsubheading"/>
    <w:basedOn w:val="Normal"/>
    <w:next w:val="Numberedpara3level1"/>
    <w:qFormat/>
    <w:rsid w:val="003476A5"/>
    <w:pPr>
      <w:keepNext/>
      <w:keepLines w:val="0"/>
      <w:spacing w:before="240" w:after="120"/>
    </w:pPr>
    <w:rPr>
      <w:i/>
    </w:rPr>
  </w:style>
  <w:style w:type="paragraph" w:customStyle="1" w:styleId="Briefingtext">
    <w:name w:val="Briefing text"/>
    <w:basedOn w:val="Normal"/>
    <w:rsid w:val="003B7D3D"/>
    <w:pPr>
      <w:keepLines w:val="0"/>
      <w:numPr>
        <w:numId w:val="39"/>
      </w:numPr>
      <w:tabs>
        <w:tab w:val="left" w:pos="567"/>
      </w:tabs>
      <w:spacing w:before="0" w:after="120"/>
      <w:jc w:val="both"/>
    </w:pPr>
    <w:rPr>
      <w:rFonts w:ascii="Arial Mäori" w:eastAsia="Times New Roman" w:hAnsi="Arial Mäo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692">
      <w:bodyDiv w:val="1"/>
      <w:marLeft w:val="0"/>
      <w:marRight w:val="0"/>
      <w:marTop w:val="0"/>
      <w:marBottom w:val="0"/>
      <w:divBdr>
        <w:top w:val="none" w:sz="0" w:space="0" w:color="auto"/>
        <w:left w:val="none" w:sz="0" w:space="0" w:color="auto"/>
        <w:bottom w:val="none" w:sz="0" w:space="0" w:color="auto"/>
        <w:right w:val="none" w:sz="0" w:space="0" w:color="auto"/>
      </w:divBdr>
    </w:div>
    <w:div w:id="6561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rnarje\AppData\Local\Microsoft\Windows\Temporary%20Internet%20Files\Content.Outlook\E0BF1UN5\Societal%20Cost%20Pressures%20revised%2008March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NZ"/>
              <a:t>GMP (GST Exclusive) </a:t>
            </a:r>
          </a:p>
        </c:rich>
      </c:tx>
      <c:layout>
        <c:manualLayout>
          <c:xMode val="edge"/>
          <c:yMode val="edge"/>
          <c:x val="0.3790892066740979"/>
          <c:y val="1.618919070631401E-2"/>
        </c:manualLayout>
      </c:layout>
      <c:overlay val="0"/>
    </c:title>
    <c:autoTitleDeleted val="0"/>
    <c:plotArea>
      <c:layout/>
      <c:barChart>
        <c:barDir val="col"/>
        <c:grouping val="stacked"/>
        <c:varyColors val="0"/>
        <c:ser>
          <c:idx val="0"/>
          <c:order val="0"/>
          <c:tx>
            <c:strRef>
              <c:f>'GMP GST Excl'!$A$3</c:f>
              <c:strCache>
                <c:ptCount val="1"/>
                <c:pt idx="0">
                  <c:v>Gaming Duty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'GMP GST Excl'!$B$3</c:f>
              <c:numCache>
                <c:formatCode>0.00%</c:formatCode>
                <c:ptCount val="1"/>
                <c:pt idx="0">
                  <c:v>0.23</c:v>
                </c:pt>
              </c:numCache>
            </c:numRef>
          </c:val>
        </c:ser>
        <c:ser>
          <c:idx val="1"/>
          <c:order val="1"/>
          <c:tx>
            <c:strRef>
              <c:f>'GMP GST Excl'!$A$4</c:f>
              <c:strCache>
                <c:ptCount val="1"/>
                <c:pt idx="0">
                  <c:v>Problem Gambling Levy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'GMP GST Excl'!$B$4</c:f>
              <c:numCache>
                <c:formatCode>0.00%</c:formatCode>
                <c:ptCount val="1"/>
                <c:pt idx="0">
                  <c:v>1.54E-2</c:v>
                </c:pt>
              </c:numCache>
            </c:numRef>
          </c:val>
        </c:ser>
        <c:ser>
          <c:idx val="2"/>
          <c:order val="2"/>
          <c:tx>
            <c:strRef>
              <c:f>'GMP GST Excl'!$A$5</c:f>
              <c:strCache>
                <c:ptCount val="1"/>
                <c:pt idx="0">
                  <c:v>Minimum rate of return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'GMP GST Excl'!$B$5</c:f>
              <c:numCache>
                <c:formatCode>0.00%</c:formatCode>
                <c:ptCount val="1"/>
                <c:pt idx="0">
                  <c:v>0.4</c:v>
                </c:pt>
              </c:numCache>
            </c:numRef>
          </c:val>
        </c:ser>
        <c:ser>
          <c:idx val="3"/>
          <c:order val="3"/>
          <c:tx>
            <c:strRef>
              <c:f>'GMP GST Excl'!$A$6</c:f>
              <c:strCache>
                <c:ptCount val="1"/>
                <c:pt idx="0">
                  <c:v>Venue Costs (1.27% Turnover)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'GMP GST Excl'!$B$6</c:f>
              <c:numCache>
                <c:formatCode>0.00%</c:formatCode>
                <c:ptCount val="1"/>
                <c:pt idx="0">
                  <c:v>0.16</c:v>
                </c:pt>
              </c:numCache>
            </c:numRef>
          </c:val>
        </c:ser>
        <c:ser>
          <c:idx val="4"/>
          <c:order val="4"/>
          <c:tx>
            <c:strRef>
              <c:f>'GMP GST Excl'!$A$7</c:f>
              <c:strCache>
                <c:ptCount val="1"/>
                <c:pt idx="0">
                  <c:v>Remaining (Max Society Costs)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'GMP GST Excl'!$B$7</c:f>
              <c:numCache>
                <c:formatCode>0.00%</c:formatCode>
                <c:ptCount val="1"/>
                <c:pt idx="0">
                  <c:v>0.19460000000000002</c:v>
                </c:pt>
              </c:numCache>
            </c:numRef>
          </c:val>
        </c:ser>
        <c:dLbls>
          <c:dLblPos val="ctr"/>
          <c:showLegendKey val="0"/>
          <c:showVal val="1"/>
          <c:showCatName val="0"/>
          <c:showSerName val="0"/>
          <c:showPercent val="0"/>
          <c:showBubbleSize val="0"/>
        </c:dLbls>
        <c:gapWidth val="79"/>
        <c:overlap val="100"/>
        <c:axId val="223090176"/>
        <c:axId val="223091712"/>
      </c:barChart>
      <c:catAx>
        <c:axId val="22309017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23091712"/>
        <c:crosses val="autoZero"/>
        <c:auto val="1"/>
        <c:lblAlgn val="ctr"/>
        <c:lblOffset val="100"/>
        <c:noMultiLvlLbl val="0"/>
      </c:catAx>
      <c:valAx>
        <c:axId val="223091712"/>
        <c:scaling>
          <c:orientation val="minMax"/>
          <c:max val="1"/>
        </c:scaling>
        <c:delete val="1"/>
        <c:axPos val="l"/>
        <c:numFmt formatCode="0.00%" sourceLinked="1"/>
        <c:majorTickMark val="none"/>
        <c:minorTickMark val="none"/>
        <c:tickLblPos val="nextTo"/>
        <c:crossAx val="2230901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B84327"/>
      </a:accent2>
      <a:accent3>
        <a:srgbClr val="C68D2C"/>
      </a:accent3>
      <a:accent4>
        <a:srgbClr val="63913D"/>
      </a:accent4>
      <a:accent5>
        <a:srgbClr val="563774"/>
      </a:accent5>
      <a:accent6>
        <a:srgbClr val="48949B"/>
      </a:accent6>
      <a:hlink>
        <a:srgbClr val="52879E"/>
      </a:hlink>
      <a:folHlink>
        <a:srgbClr val="F99D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EF32-B8D0-48FD-9E18-C55ECBE3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872C3739</Template>
  <TotalTime>0</TotalTime>
  <Pages>15</Pages>
  <Words>5156</Words>
  <Characters>29390</Characters>
  <Application>Microsoft Office Word</Application>
  <DocSecurity>0</DocSecurity>
  <Lines>244</Lines>
  <Paragraphs>68</Paragraphs>
  <ScaleCrop>false</ScaleCrop>
  <Company/>
  <LinksUpToDate>false</LinksUpToDate>
  <CharactersWithSpaces>34478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2016-04-06T03:18:00Z</dcterms:created>
  <dcterms:modified xsi:type="dcterms:W3CDTF">2016-04-06T03:18:00Z</dcterms:modified>
</cp:coreProperties>
</file>