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8655" w14:textId="7B7718FA" w:rsidR="0029732D" w:rsidRPr="00372FA0" w:rsidRDefault="002E20D3" w:rsidP="00590CA4">
      <w:pPr>
        <w:pStyle w:val="NotforContentsheading1"/>
      </w:pPr>
      <w:r>
        <w:t xml:space="preserve">Prosecution </w:t>
      </w:r>
      <w:r w:rsidR="008055B2">
        <w:t>policy</w:t>
      </w:r>
      <w:r w:rsidR="000D00EB">
        <w:t xml:space="preserve"> 2026</w:t>
      </w:r>
    </w:p>
    <w:tbl>
      <w:tblPr>
        <w:tblStyle w:val="DIATable"/>
        <w:tblW w:w="0" w:type="auto"/>
        <w:tblLook w:val="0480" w:firstRow="0" w:lastRow="0" w:firstColumn="1" w:lastColumn="0" w:noHBand="0" w:noVBand="1"/>
        <w:tblDescription w:val="This table lists the policy details."/>
      </w:tblPr>
      <w:tblGrid>
        <w:gridCol w:w="2776"/>
        <w:gridCol w:w="6157"/>
      </w:tblGrid>
      <w:tr w:rsidR="0029732D" w14:paraId="17B44415" w14:textId="77777777" w:rsidTr="00590CA4">
        <w:tc>
          <w:tcPr>
            <w:tcW w:w="2835" w:type="dxa"/>
            <w:tcBorders>
              <w:top w:val="single" w:sz="12" w:space="0" w:color="1F546B" w:themeColor="text2"/>
              <w:bottom w:val="single" w:sz="6" w:space="0" w:color="FFFFFF" w:themeColor="background1"/>
            </w:tcBorders>
            <w:shd w:val="clear" w:color="auto" w:fill="1F546B" w:themeFill="text2"/>
          </w:tcPr>
          <w:p w14:paraId="0630573B" w14:textId="77777777" w:rsidR="0029732D" w:rsidRPr="00F40C4E" w:rsidRDefault="0029732D" w:rsidP="007576A1">
            <w:pPr>
              <w:pStyle w:val="Tableheading12pt"/>
            </w:pPr>
            <w:r w:rsidRPr="00F40C4E">
              <w:t xml:space="preserve">Date </w:t>
            </w:r>
            <w:r w:rsidR="008055B2">
              <w:t>approved</w:t>
            </w:r>
          </w:p>
        </w:tc>
        <w:tc>
          <w:tcPr>
            <w:tcW w:w="6344" w:type="dxa"/>
          </w:tcPr>
          <w:p w14:paraId="078F18BA" w14:textId="31C28749" w:rsidR="0029732D" w:rsidRPr="008D4CDE" w:rsidRDefault="003F05FA" w:rsidP="00DB7B66">
            <w:pPr>
              <w:pStyle w:val="Tablenormal12pt"/>
            </w:pPr>
            <w:r>
              <w:t>25 March</w:t>
            </w:r>
            <w:r w:rsidR="00AD2557">
              <w:t xml:space="preserve"> 202</w:t>
            </w:r>
            <w:r w:rsidR="000D00EB">
              <w:t>6</w:t>
            </w:r>
          </w:p>
        </w:tc>
      </w:tr>
      <w:tr w:rsidR="0029732D" w14:paraId="5F7EEFFA" w14:textId="77777777" w:rsidTr="00590CA4">
        <w:tc>
          <w:tcPr>
            <w:tcW w:w="2835" w:type="dxa"/>
            <w:tcBorders>
              <w:top w:val="single" w:sz="6" w:space="0" w:color="FFFFFF" w:themeColor="background1"/>
              <w:bottom w:val="single" w:sz="6" w:space="0" w:color="FFFFFF" w:themeColor="background1"/>
            </w:tcBorders>
            <w:shd w:val="clear" w:color="auto" w:fill="1F546B" w:themeFill="text2"/>
          </w:tcPr>
          <w:p w14:paraId="79A4890E" w14:textId="77777777" w:rsidR="0029732D" w:rsidRPr="00F40C4E" w:rsidRDefault="008055B2" w:rsidP="007576A1">
            <w:pPr>
              <w:pStyle w:val="Tableheading12pt"/>
            </w:pPr>
            <w:r>
              <w:t>Review date</w:t>
            </w:r>
          </w:p>
        </w:tc>
        <w:tc>
          <w:tcPr>
            <w:tcW w:w="6344" w:type="dxa"/>
          </w:tcPr>
          <w:p w14:paraId="382ADD77" w14:textId="21F66240" w:rsidR="0029732D" w:rsidRPr="008D4CDE" w:rsidRDefault="003F05FA" w:rsidP="00DB7B66">
            <w:pPr>
              <w:pStyle w:val="Tablenormal12pt"/>
            </w:pPr>
            <w:r>
              <w:t>25 March</w:t>
            </w:r>
            <w:r w:rsidR="000D00EB">
              <w:t xml:space="preserve"> </w:t>
            </w:r>
            <w:r w:rsidR="00AD2557">
              <w:t>202</w:t>
            </w:r>
            <w:r w:rsidR="000D00EB">
              <w:t>9</w:t>
            </w:r>
          </w:p>
        </w:tc>
      </w:tr>
      <w:tr w:rsidR="0029732D" w14:paraId="501A4E0D" w14:textId="77777777" w:rsidTr="00590CA4">
        <w:tc>
          <w:tcPr>
            <w:tcW w:w="2835" w:type="dxa"/>
            <w:tcBorders>
              <w:top w:val="single" w:sz="6" w:space="0" w:color="FFFFFF" w:themeColor="background1"/>
              <w:bottom w:val="single" w:sz="6" w:space="0" w:color="FFFFFF" w:themeColor="background1"/>
            </w:tcBorders>
            <w:shd w:val="clear" w:color="auto" w:fill="1F546B" w:themeFill="text2"/>
          </w:tcPr>
          <w:p w14:paraId="23C92A2E" w14:textId="77777777" w:rsidR="0029732D" w:rsidRPr="00F40C4E" w:rsidRDefault="008055B2" w:rsidP="007576A1">
            <w:pPr>
              <w:pStyle w:val="Tableheading12pt"/>
            </w:pPr>
            <w:r>
              <w:t>Policy owner</w:t>
            </w:r>
          </w:p>
        </w:tc>
        <w:tc>
          <w:tcPr>
            <w:tcW w:w="6344" w:type="dxa"/>
          </w:tcPr>
          <w:p w14:paraId="7763F0D0" w14:textId="08D94DC5" w:rsidR="0029732D" w:rsidRPr="008D4CDE" w:rsidRDefault="00AD2557" w:rsidP="00DB7B66">
            <w:pPr>
              <w:pStyle w:val="Tablenormal12pt"/>
            </w:pPr>
            <w:r>
              <w:t>Legal Services</w:t>
            </w:r>
          </w:p>
        </w:tc>
      </w:tr>
    </w:tbl>
    <w:p w14:paraId="3449D3C9" w14:textId="3AD20CEB" w:rsidR="00016C45" w:rsidRDefault="00590CA4" w:rsidP="00016C45">
      <w:pPr>
        <w:pStyle w:val="NotforContentsheading2"/>
      </w:pPr>
      <w:r>
        <w:t>Contents</w:t>
      </w:r>
      <w:r w:rsidR="00DF18B9">
        <w:fldChar w:fldCharType="begin"/>
      </w:r>
      <w:r w:rsidR="00DF18B9">
        <w:instrText xml:space="preserve"> TOC \o "1-3" \h \z \t "Heading appendix,1" </w:instrText>
      </w:r>
      <w:r w:rsidR="00DF18B9">
        <w:fldChar w:fldCharType="separate"/>
      </w:r>
    </w:p>
    <w:sdt>
      <w:sdtPr>
        <w:rPr>
          <w:rFonts w:ascii="Calibri" w:eastAsiaTheme="minorHAnsi" w:hAnsi="Calibri" w:cs="Times New Roman"/>
          <w:color w:val="auto"/>
          <w:sz w:val="24"/>
          <w:szCs w:val="24"/>
          <w:lang w:val="en-NZ"/>
        </w:rPr>
        <w:id w:val="-1773240951"/>
        <w:docPartObj>
          <w:docPartGallery w:val="Table of Contents"/>
          <w:docPartUnique/>
        </w:docPartObj>
      </w:sdtPr>
      <w:sdtEndPr>
        <w:rPr>
          <w:b/>
          <w:bCs/>
          <w:noProof/>
        </w:rPr>
      </w:sdtEndPr>
      <w:sdtContent>
        <w:p w14:paraId="559BC0E7" w14:textId="773B2D68" w:rsidR="00670BEB" w:rsidRPr="00016C45" w:rsidRDefault="00670BEB" w:rsidP="00016C45">
          <w:pPr>
            <w:pStyle w:val="TOCHeading"/>
          </w:pPr>
          <w:r>
            <w:fldChar w:fldCharType="begin"/>
          </w:r>
          <w:r>
            <w:instrText xml:space="preserve"> TOC \o "1-3" \h \z \u </w:instrText>
          </w:r>
          <w:r>
            <w:fldChar w:fldCharType="separate"/>
          </w:r>
        </w:p>
        <w:p w14:paraId="53444578" w14:textId="23C10EFB" w:rsidR="00670BEB" w:rsidRDefault="00670BEB">
          <w:pPr>
            <w:pStyle w:val="TOC1"/>
            <w:rPr>
              <w:rFonts w:asciiTheme="minorHAnsi" w:eastAsiaTheme="minorEastAsia" w:hAnsiTheme="minorHAnsi" w:cstheme="minorBidi"/>
              <w:b w:val="0"/>
              <w:noProof/>
              <w:color w:val="auto"/>
              <w:kern w:val="2"/>
              <w:lang w:eastAsia="en-NZ"/>
              <w14:ligatures w14:val="standardContextual"/>
            </w:rPr>
          </w:pPr>
          <w:hyperlink w:anchor="_Toc200039354" w:history="1">
            <w:r w:rsidRPr="002C51B3">
              <w:rPr>
                <w:rStyle w:val="Hyperlink"/>
                <w:noProof/>
              </w:rPr>
              <w:t>Policy overview</w:t>
            </w:r>
            <w:r>
              <w:rPr>
                <w:noProof/>
                <w:webHidden/>
              </w:rPr>
              <w:tab/>
            </w:r>
            <w:r>
              <w:rPr>
                <w:noProof/>
                <w:webHidden/>
              </w:rPr>
              <w:fldChar w:fldCharType="begin"/>
            </w:r>
            <w:r>
              <w:rPr>
                <w:noProof/>
                <w:webHidden/>
              </w:rPr>
              <w:instrText xml:space="preserve"> PAGEREF _Toc200039354 \h </w:instrText>
            </w:r>
            <w:r>
              <w:rPr>
                <w:noProof/>
                <w:webHidden/>
              </w:rPr>
            </w:r>
            <w:r>
              <w:rPr>
                <w:noProof/>
                <w:webHidden/>
              </w:rPr>
              <w:fldChar w:fldCharType="separate"/>
            </w:r>
            <w:r w:rsidR="009466B8">
              <w:rPr>
                <w:noProof/>
                <w:webHidden/>
              </w:rPr>
              <w:t>2</w:t>
            </w:r>
            <w:r>
              <w:rPr>
                <w:noProof/>
                <w:webHidden/>
              </w:rPr>
              <w:fldChar w:fldCharType="end"/>
            </w:r>
          </w:hyperlink>
        </w:p>
        <w:p w14:paraId="7D29E77A" w14:textId="270F310B" w:rsidR="00670BEB" w:rsidRDefault="00670BEB">
          <w:pPr>
            <w:pStyle w:val="TOC2"/>
            <w:rPr>
              <w:rFonts w:asciiTheme="minorHAnsi" w:eastAsiaTheme="minorEastAsia" w:hAnsiTheme="minorHAnsi" w:cstheme="minorBidi"/>
              <w:kern w:val="2"/>
              <w:lang w:eastAsia="en-NZ"/>
              <w14:ligatures w14:val="standardContextual"/>
            </w:rPr>
          </w:pPr>
          <w:hyperlink w:anchor="_Toc200039355" w:history="1">
            <w:r w:rsidRPr="002C51B3">
              <w:rPr>
                <w:rStyle w:val="Hyperlink"/>
              </w:rPr>
              <w:t>Application</w:t>
            </w:r>
            <w:r>
              <w:rPr>
                <w:webHidden/>
              </w:rPr>
              <w:tab/>
            </w:r>
            <w:r>
              <w:rPr>
                <w:webHidden/>
              </w:rPr>
              <w:fldChar w:fldCharType="begin"/>
            </w:r>
            <w:r>
              <w:rPr>
                <w:webHidden/>
              </w:rPr>
              <w:instrText xml:space="preserve"> PAGEREF _Toc200039355 \h </w:instrText>
            </w:r>
            <w:r>
              <w:rPr>
                <w:webHidden/>
              </w:rPr>
            </w:r>
            <w:r>
              <w:rPr>
                <w:webHidden/>
              </w:rPr>
              <w:fldChar w:fldCharType="separate"/>
            </w:r>
            <w:r w:rsidR="009466B8">
              <w:rPr>
                <w:webHidden/>
              </w:rPr>
              <w:t>2</w:t>
            </w:r>
            <w:r>
              <w:rPr>
                <w:webHidden/>
              </w:rPr>
              <w:fldChar w:fldCharType="end"/>
            </w:r>
          </w:hyperlink>
        </w:p>
        <w:p w14:paraId="4BA2402F" w14:textId="0312D135" w:rsidR="00670BEB" w:rsidRDefault="00670BEB">
          <w:pPr>
            <w:pStyle w:val="TOC2"/>
            <w:rPr>
              <w:rFonts w:asciiTheme="minorHAnsi" w:eastAsiaTheme="minorEastAsia" w:hAnsiTheme="minorHAnsi" w:cstheme="minorBidi"/>
              <w:kern w:val="2"/>
              <w:lang w:eastAsia="en-NZ"/>
              <w14:ligatures w14:val="standardContextual"/>
            </w:rPr>
          </w:pPr>
          <w:hyperlink w:anchor="_Toc200039356" w:history="1">
            <w:r w:rsidRPr="002C51B3">
              <w:rPr>
                <w:rStyle w:val="Hyperlink"/>
              </w:rPr>
              <w:t>Who this applies to</w:t>
            </w:r>
            <w:r>
              <w:rPr>
                <w:webHidden/>
              </w:rPr>
              <w:tab/>
            </w:r>
            <w:r>
              <w:rPr>
                <w:webHidden/>
              </w:rPr>
              <w:fldChar w:fldCharType="begin"/>
            </w:r>
            <w:r>
              <w:rPr>
                <w:webHidden/>
              </w:rPr>
              <w:instrText xml:space="preserve"> PAGEREF _Toc200039356 \h </w:instrText>
            </w:r>
            <w:r>
              <w:rPr>
                <w:webHidden/>
              </w:rPr>
            </w:r>
            <w:r>
              <w:rPr>
                <w:webHidden/>
              </w:rPr>
              <w:fldChar w:fldCharType="separate"/>
            </w:r>
            <w:r w:rsidR="009466B8">
              <w:rPr>
                <w:webHidden/>
              </w:rPr>
              <w:t>2</w:t>
            </w:r>
            <w:r>
              <w:rPr>
                <w:webHidden/>
              </w:rPr>
              <w:fldChar w:fldCharType="end"/>
            </w:r>
          </w:hyperlink>
        </w:p>
        <w:p w14:paraId="2A85377F" w14:textId="41104DB8" w:rsidR="00670BEB" w:rsidRDefault="00670BEB">
          <w:pPr>
            <w:pStyle w:val="TOC2"/>
            <w:rPr>
              <w:rFonts w:asciiTheme="minorHAnsi" w:eastAsiaTheme="minorEastAsia" w:hAnsiTheme="minorHAnsi" w:cstheme="minorBidi"/>
              <w:kern w:val="2"/>
              <w:lang w:eastAsia="en-NZ"/>
              <w14:ligatures w14:val="standardContextual"/>
            </w:rPr>
          </w:pPr>
          <w:hyperlink w:anchor="_Toc200039357" w:history="1">
            <w:r w:rsidRPr="002C51B3">
              <w:rPr>
                <w:rStyle w:val="Hyperlink"/>
              </w:rPr>
              <w:t>Purpose</w:t>
            </w:r>
            <w:r>
              <w:rPr>
                <w:webHidden/>
              </w:rPr>
              <w:tab/>
            </w:r>
            <w:r>
              <w:rPr>
                <w:webHidden/>
              </w:rPr>
              <w:fldChar w:fldCharType="begin"/>
            </w:r>
            <w:r>
              <w:rPr>
                <w:webHidden/>
              </w:rPr>
              <w:instrText xml:space="preserve"> PAGEREF _Toc200039357 \h </w:instrText>
            </w:r>
            <w:r>
              <w:rPr>
                <w:webHidden/>
              </w:rPr>
            </w:r>
            <w:r>
              <w:rPr>
                <w:webHidden/>
              </w:rPr>
              <w:fldChar w:fldCharType="separate"/>
            </w:r>
            <w:r w:rsidR="009466B8">
              <w:rPr>
                <w:webHidden/>
              </w:rPr>
              <w:t>2</w:t>
            </w:r>
            <w:r>
              <w:rPr>
                <w:webHidden/>
              </w:rPr>
              <w:fldChar w:fldCharType="end"/>
            </w:r>
          </w:hyperlink>
        </w:p>
        <w:p w14:paraId="53AED69B" w14:textId="0810BC6E" w:rsidR="00670BEB" w:rsidRDefault="00670BEB">
          <w:pPr>
            <w:pStyle w:val="TOC2"/>
            <w:rPr>
              <w:rFonts w:asciiTheme="minorHAnsi" w:eastAsiaTheme="minorEastAsia" w:hAnsiTheme="minorHAnsi" w:cstheme="minorBidi"/>
              <w:kern w:val="2"/>
              <w:lang w:eastAsia="en-NZ"/>
              <w14:ligatures w14:val="standardContextual"/>
            </w:rPr>
          </w:pPr>
          <w:hyperlink w:anchor="_Toc200039358" w:history="1">
            <w:r w:rsidRPr="002C51B3">
              <w:rPr>
                <w:rStyle w:val="Hyperlink"/>
              </w:rPr>
              <w:t>Definitions</w:t>
            </w:r>
            <w:r>
              <w:rPr>
                <w:webHidden/>
              </w:rPr>
              <w:tab/>
            </w:r>
            <w:r>
              <w:rPr>
                <w:webHidden/>
              </w:rPr>
              <w:fldChar w:fldCharType="begin"/>
            </w:r>
            <w:r>
              <w:rPr>
                <w:webHidden/>
              </w:rPr>
              <w:instrText xml:space="preserve"> PAGEREF _Toc200039358 \h </w:instrText>
            </w:r>
            <w:r>
              <w:rPr>
                <w:webHidden/>
              </w:rPr>
            </w:r>
            <w:r>
              <w:rPr>
                <w:webHidden/>
              </w:rPr>
              <w:fldChar w:fldCharType="separate"/>
            </w:r>
            <w:r w:rsidR="009466B8">
              <w:rPr>
                <w:webHidden/>
              </w:rPr>
              <w:t>2</w:t>
            </w:r>
            <w:r>
              <w:rPr>
                <w:webHidden/>
              </w:rPr>
              <w:fldChar w:fldCharType="end"/>
            </w:r>
          </w:hyperlink>
        </w:p>
        <w:p w14:paraId="756BDF7B" w14:textId="3FA6B215" w:rsidR="00670BEB" w:rsidRDefault="00670BEB">
          <w:pPr>
            <w:pStyle w:val="TOC1"/>
            <w:rPr>
              <w:rFonts w:asciiTheme="minorHAnsi" w:eastAsiaTheme="minorEastAsia" w:hAnsiTheme="minorHAnsi" w:cstheme="minorBidi"/>
              <w:b w:val="0"/>
              <w:noProof/>
              <w:color w:val="auto"/>
              <w:kern w:val="2"/>
              <w:lang w:eastAsia="en-NZ"/>
              <w14:ligatures w14:val="standardContextual"/>
            </w:rPr>
          </w:pPr>
          <w:hyperlink w:anchor="_Toc200039359" w:history="1">
            <w:r w:rsidRPr="002C51B3">
              <w:rPr>
                <w:rStyle w:val="Hyperlink"/>
                <w:noProof/>
              </w:rPr>
              <w:t>Policy detail</w:t>
            </w:r>
            <w:r>
              <w:rPr>
                <w:noProof/>
                <w:webHidden/>
              </w:rPr>
              <w:tab/>
            </w:r>
            <w:r>
              <w:rPr>
                <w:noProof/>
                <w:webHidden/>
              </w:rPr>
              <w:fldChar w:fldCharType="begin"/>
            </w:r>
            <w:r>
              <w:rPr>
                <w:noProof/>
                <w:webHidden/>
              </w:rPr>
              <w:instrText xml:space="preserve"> PAGEREF _Toc200039359 \h </w:instrText>
            </w:r>
            <w:r>
              <w:rPr>
                <w:noProof/>
                <w:webHidden/>
              </w:rPr>
            </w:r>
            <w:r>
              <w:rPr>
                <w:noProof/>
                <w:webHidden/>
              </w:rPr>
              <w:fldChar w:fldCharType="separate"/>
            </w:r>
            <w:r w:rsidR="009466B8">
              <w:rPr>
                <w:noProof/>
                <w:webHidden/>
              </w:rPr>
              <w:t>3</w:t>
            </w:r>
            <w:r>
              <w:rPr>
                <w:noProof/>
                <w:webHidden/>
              </w:rPr>
              <w:fldChar w:fldCharType="end"/>
            </w:r>
          </w:hyperlink>
        </w:p>
        <w:p w14:paraId="46697675" w14:textId="2714894A" w:rsidR="00670BEB" w:rsidRDefault="00670BEB">
          <w:pPr>
            <w:pStyle w:val="TOC2"/>
            <w:rPr>
              <w:rFonts w:asciiTheme="minorHAnsi" w:eastAsiaTheme="minorEastAsia" w:hAnsiTheme="minorHAnsi" w:cstheme="minorBidi"/>
              <w:kern w:val="2"/>
              <w:lang w:eastAsia="en-NZ"/>
              <w14:ligatures w14:val="standardContextual"/>
            </w:rPr>
          </w:pPr>
          <w:hyperlink w:anchor="_Toc200039360" w:history="1">
            <w:r w:rsidRPr="002C51B3">
              <w:rPr>
                <w:rStyle w:val="Hyperlink"/>
              </w:rPr>
              <w:t>Objectives of the Department’s prosecution activities</w:t>
            </w:r>
            <w:r>
              <w:rPr>
                <w:webHidden/>
              </w:rPr>
              <w:tab/>
            </w:r>
            <w:r>
              <w:rPr>
                <w:webHidden/>
              </w:rPr>
              <w:fldChar w:fldCharType="begin"/>
            </w:r>
            <w:r>
              <w:rPr>
                <w:webHidden/>
              </w:rPr>
              <w:instrText xml:space="preserve"> PAGEREF _Toc200039360 \h </w:instrText>
            </w:r>
            <w:r>
              <w:rPr>
                <w:webHidden/>
              </w:rPr>
            </w:r>
            <w:r>
              <w:rPr>
                <w:webHidden/>
              </w:rPr>
              <w:fldChar w:fldCharType="separate"/>
            </w:r>
            <w:r w:rsidR="009466B8">
              <w:rPr>
                <w:webHidden/>
              </w:rPr>
              <w:t>3</w:t>
            </w:r>
            <w:r>
              <w:rPr>
                <w:webHidden/>
              </w:rPr>
              <w:fldChar w:fldCharType="end"/>
            </w:r>
          </w:hyperlink>
        </w:p>
        <w:p w14:paraId="56F23B3F" w14:textId="6D85699C" w:rsidR="00670BEB" w:rsidRDefault="00670BEB">
          <w:pPr>
            <w:pStyle w:val="TOC2"/>
            <w:rPr>
              <w:rFonts w:asciiTheme="minorHAnsi" w:eastAsiaTheme="minorEastAsia" w:hAnsiTheme="minorHAnsi" w:cstheme="minorBidi"/>
              <w:kern w:val="2"/>
              <w:lang w:eastAsia="en-NZ"/>
              <w14:ligatures w14:val="standardContextual"/>
            </w:rPr>
          </w:pPr>
          <w:hyperlink w:anchor="_Toc200039361" w:history="1">
            <w:r w:rsidRPr="002C51B3">
              <w:rPr>
                <w:rStyle w:val="Hyperlink"/>
              </w:rPr>
              <w:t>Process for assessing a file for prosecution</w:t>
            </w:r>
            <w:r>
              <w:rPr>
                <w:webHidden/>
              </w:rPr>
              <w:tab/>
            </w:r>
            <w:r>
              <w:rPr>
                <w:webHidden/>
              </w:rPr>
              <w:fldChar w:fldCharType="begin"/>
            </w:r>
            <w:r>
              <w:rPr>
                <w:webHidden/>
              </w:rPr>
              <w:instrText xml:space="preserve"> PAGEREF _Toc200039361 \h </w:instrText>
            </w:r>
            <w:r>
              <w:rPr>
                <w:webHidden/>
              </w:rPr>
            </w:r>
            <w:r>
              <w:rPr>
                <w:webHidden/>
              </w:rPr>
              <w:fldChar w:fldCharType="separate"/>
            </w:r>
            <w:r w:rsidR="009466B8">
              <w:rPr>
                <w:webHidden/>
              </w:rPr>
              <w:t>4</w:t>
            </w:r>
            <w:r>
              <w:rPr>
                <w:webHidden/>
              </w:rPr>
              <w:fldChar w:fldCharType="end"/>
            </w:r>
          </w:hyperlink>
        </w:p>
        <w:p w14:paraId="25D7CA70" w14:textId="112473C1" w:rsidR="00670BEB" w:rsidRDefault="00670BEB">
          <w:pPr>
            <w:pStyle w:val="TOC2"/>
            <w:rPr>
              <w:rFonts w:asciiTheme="minorHAnsi" w:eastAsiaTheme="minorEastAsia" w:hAnsiTheme="minorHAnsi" w:cstheme="minorBidi"/>
              <w:kern w:val="2"/>
              <w:lang w:eastAsia="en-NZ"/>
              <w14:ligatures w14:val="standardContextual"/>
            </w:rPr>
          </w:pPr>
          <w:hyperlink w:anchor="_Toc200039362" w:history="1">
            <w:r w:rsidRPr="002C51B3">
              <w:rPr>
                <w:rStyle w:val="Hyperlink"/>
              </w:rPr>
              <w:t>Decision to prosecute</w:t>
            </w:r>
            <w:r>
              <w:rPr>
                <w:webHidden/>
              </w:rPr>
              <w:tab/>
            </w:r>
            <w:r>
              <w:rPr>
                <w:webHidden/>
              </w:rPr>
              <w:fldChar w:fldCharType="begin"/>
            </w:r>
            <w:r>
              <w:rPr>
                <w:webHidden/>
              </w:rPr>
              <w:instrText xml:space="preserve"> PAGEREF _Toc200039362 \h </w:instrText>
            </w:r>
            <w:r>
              <w:rPr>
                <w:webHidden/>
              </w:rPr>
            </w:r>
            <w:r>
              <w:rPr>
                <w:webHidden/>
              </w:rPr>
              <w:fldChar w:fldCharType="separate"/>
            </w:r>
            <w:r w:rsidR="009466B8">
              <w:rPr>
                <w:webHidden/>
              </w:rPr>
              <w:t>5</w:t>
            </w:r>
            <w:r>
              <w:rPr>
                <w:webHidden/>
              </w:rPr>
              <w:fldChar w:fldCharType="end"/>
            </w:r>
          </w:hyperlink>
        </w:p>
        <w:p w14:paraId="5ADF3241" w14:textId="60B5FDDA" w:rsidR="00670BEB" w:rsidRDefault="00670BEB">
          <w:r>
            <w:rPr>
              <w:b/>
              <w:bCs/>
              <w:noProof/>
            </w:rPr>
            <w:fldChar w:fldCharType="end"/>
          </w:r>
        </w:p>
      </w:sdtContent>
    </w:sdt>
    <w:p w14:paraId="4615A611" w14:textId="52023096" w:rsidR="008F207F" w:rsidRDefault="008F207F" w:rsidP="00670BEB">
      <w:pPr>
        <w:pStyle w:val="TOC1"/>
        <w:outlineLvl w:val="1"/>
        <w:rPr>
          <w:rFonts w:asciiTheme="minorHAnsi" w:eastAsiaTheme="minorEastAsia" w:hAnsiTheme="minorHAnsi" w:cstheme="minorBidi"/>
          <w:b w:val="0"/>
          <w:noProof/>
          <w:color w:val="auto"/>
          <w:kern w:val="2"/>
          <w:lang w:eastAsia="en-NZ"/>
          <w14:ligatures w14:val="standardContextual"/>
        </w:rPr>
      </w:pPr>
    </w:p>
    <w:p w14:paraId="4790AB06" w14:textId="7415EFAE" w:rsidR="008F207F" w:rsidRDefault="008F207F">
      <w:pPr>
        <w:pStyle w:val="TOC1"/>
        <w:rPr>
          <w:rFonts w:asciiTheme="minorHAnsi" w:eastAsiaTheme="minorEastAsia" w:hAnsiTheme="minorHAnsi" w:cstheme="minorBidi"/>
          <w:b w:val="0"/>
          <w:noProof/>
          <w:color w:val="auto"/>
          <w:kern w:val="2"/>
          <w:lang w:eastAsia="en-NZ"/>
          <w14:ligatures w14:val="standardContextual"/>
        </w:rPr>
      </w:pPr>
    </w:p>
    <w:p w14:paraId="6642819E" w14:textId="13FDDEA6" w:rsidR="00590CA4" w:rsidRDefault="00DF18B9" w:rsidP="002562AE">
      <w:pPr>
        <w:rPr>
          <w:rFonts w:cs="Arial"/>
          <w:bCs/>
          <w:szCs w:val="32"/>
        </w:rPr>
      </w:pPr>
      <w:r>
        <w:fldChar w:fldCharType="end"/>
      </w:r>
      <w:r w:rsidR="00590CA4">
        <w:br w:type="page"/>
      </w:r>
    </w:p>
    <w:p w14:paraId="20737300" w14:textId="77777777" w:rsidR="003161E9" w:rsidRDefault="003161E9" w:rsidP="00D21522">
      <w:pPr>
        <w:pStyle w:val="Heading1"/>
      </w:pPr>
      <w:bookmarkStart w:id="0" w:name="_Toc200039325"/>
      <w:bookmarkStart w:id="1" w:name="_Toc200039354"/>
      <w:r w:rsidRPr="00590CA4">
        <w:lastRenderedPageBreak/>
        <w:t>Policy overview</w:t>
      </w:r>
      <w:bookmarkEnd w:id="0"/>
      <w:bookmarkEnd w:id="1"/>
    </w:p>
    <w:p w14:paraId="080F905C" w14:textId="77777777" w:rsidR="00590CA4" w:rsidRPr="00DB7B66" w:rsidRDefault="00590CA4" w:rsidP="00DB7B66">
      <w:pPr>
        <w:pStyle w:val="Heading2"/>
      </w:pPr>
      <w:bookmarkStart w:id="2" w:name="_Toc200039326"/>
      <w:bookmarkStart w:id="3" w:name="_Toc200039355"/>
      <w:r w:rsidRPr="00DB7B66">
        <w:t>Application</w:t>
      </w:r>
      <w:bookmarkEnd w:id="2"/>
      <w:bookmarkEnd w:id="3"/>
    </w:p>
    <w:p w14:paraId="22BE90BD" w14:textId="4061A4F5" w:rsidR="00590CA4" w:rsidRDefault="00C36E49" w:rsidP="002E20D3">
      <w:pPr>
        <w:pStyle w:val="Numberedpara2level1"/>
      </w:pPr>
      <w:r>
        <w:t xml:space="preserve">The </w:t>
      </w:r>
      <w:r w:rsidR="00DF6F0A">
        <w:t>Prosecution Policy 2026 (“Policy”) explain</w:t>
      </w:r>
      <w:r w:rsidR="00603D49">
        <w:t>s</w:t>
      </w:r>
      <w:r w:rsidR="00DF6F0A">
        <w:t xml:space="preserve"> the objectives of the Department of Internal Affairs</w:t>
      </w:r>
      <w:r w:rsidR="00D71630">
        <w:t xml:space="preserve"> when undertaking prosecution activities, and set out </w:t>
      </w:r>
      <w:r w:rsidR="00F468AB">
        <w:t>principles</w:t>
      </w:r>
      <w:r w:rsidR="00C9613A">
        <w:t xml:space="preserve"> and </w:t>
      </w:r>
      <w:r w:rsidR="00420A9B">
        <w:t>process</w:t>
      </w:r>
      <w:r w:rsidR="00C9613A">
        <w:t xml:space="preserve"> which </w:t>
      </w:r>
      <w:r w:rsidR="00F468AB">
        <w:t>the Department</w:t>
      </w:r>
      <w:r w:rsidR="00C9613A">
        <w:t xml:space="preserve"> will follow when:</w:t>
      </w:r>
    </w:p>
    <w:p w14:paraId="65CA15AB" w14:textId="05A960F5" w:rsidR="00C9613A" w:rsidRDefault="00E51360" w:rsidP="00C9613A">
      <w:pPr>
        <w:pStyle w:val="Numberedpara2level2a"/>
      </w:pPr>
      <w:r>
        <w:t xml:space="preserve">Deciding </w:t>
      </w:r>
      <w:proofErr w:type="gramStart"/>
      <w:r>
        <w:t>whether or not</w:t>
      </w:r>
      <w:proofErr w:type="gramEnd"/>
      <w:r>
        <w:t xml:space="preserve"> to initiate a prosecution</w:t>
      </w:r>
    </w:p>
    <w:p w14:paraId="6D217F95" w14:textId="5D322B66" w:rsidR="00E51360" w:rsidRDefault="00E51360" w:rsidP="00C9613A">
      <w:pPr>
        <w:pStyle w:val="Numberedpara2level2a"/>
      </w:pPr>
      <w:r w:rsidRPr="00E51360">
        <w:t>Considering alternative enforcement options, such as formal warnings or infringement notices, when an investigation is referred for prosecution; and</w:t>
      </w:r>
    </w:p>
    <w:p w14:paraId="0D291E04" w14:textId="2854F585" w:rsidR="002A4D35" w:rsidRDefault="002A4D35" w:rsidP="00C9613A">
      <w:pPr>
        <w:pStyle w:val="Numberedpara2level2a"/>
      </w:pPr>
      <w:r w:rsidRPr="002A4D35">
        <w:t>Deciding whether to appeal a</w:t>
      </w:r>
      <w:r w:rsidR="00B943EA">
        <w:t>ny</w:t>
      </w:r>
      <w:r w:rsidRPr="002A4D35">
        <w:t xml:space="preserve"> court decisions arising from </w:t>
      </w:r>
      <w:r>
        <w:t>the Department’</w:t>
      </w:r>
      <w:r w:rsidRPr="002A4D35">
        <w:t>s prosecutions.</w:t>
      </w:r>
    </w:p>
    <w:p w14:paraId="03C36B32" w14:textId="1379956C" w:rsidR="003161E9" w:rsidRPr="005936C0" w:rsidRDefault="003161E9" w:rsidP="00590CA4">
      <w:pPr>
        <w:pStyle w:val="Numberedpara2level1"/>
        <w:keepLines/>
      </w:pPr>
      <w:r>
        <w:t xml:space="preserve">This policy </w:t>
      </w:r>
      <w:r w:rsidR="00482CB1">
        <w:t xml:space="preserve">adopts the Solicitor-General’s Prosecution Guidelines </w:t>
      </w:r>
      <w:r w:rsidR="00A6421D">
        <w:t xml:space="preserve">and therefore </w:t>
      </w:r>
      <w:r w:rsidR="002E20D3">
        <w:t>should be read in conjunction with</w:t>
      </w:r>
      <w:r w:rsidR="00A6421D">
        <w:t xml:space="preserve"> them</w:t>
      </w:r>
      <w:r w:rsidR="002E20D3">
        <w:t>.</w:t>
      </w:r>
    </w:p>
    <w:p w14:paraId="7AF40A0B" w14:textId="523C66A0" w:rsidR="00590CA4" w:rsidRDefault="00055851" w:rsidP="00DB7B66">
      <w:pPr>
        <w:pStyle w:val="Heading2"/>
      </w:pPr>
      <w:bookmarkStart w:id="4" w:name="_Toc200039327"/>
      <w:bookmarkStart w:id="5" w:name="_Toc200039356"/>
      <w:r>
        <w:t>Who this applies to</w:t>
      </w:r>
      <w:bookmarkEnd w:id="4"/>
      <w:bookmarkEnd w:id="5"/>
    </w:p>
    <w:p w14:paraId="7F3240A1" w14:textId="79FE806C" w:rsidR="00590CA4" w:rsidRDefault="00590CA4" w:rsidP="003161E9">
      <w:pPr>
        <w:pStyle w:val="Numberedpara2level1"/>
      </w:pPr>
      <w:r>
        <w:t>Th</w:t>
      </w:r>
      <w:r w:rsidR="002E20D3">
        <w:t>is policy applies to all employees, contractors and secondees of the Department</w:t>
      </w:r>
      <w:r w:rsidR="000D11D0">
        <w:t>,</w:t>
      </w:r>
      <w:r w:rsidR="002E20D3">
        <w:t xml:space="preserve"> </w:t>
      </w:r>
      <w:r w:rsidR="000D11D0">
        <w:t>including</w:t>
      </w:r>
      <w:r w:rsidR="002E20D3">
        <w:t xml:space="preserve"> counsel acting on behalf of the Department</w:t>
      </w:r>
      <w:r w:rsidR="000D11D0">
        <w:t>,</w:t>
      </w:r>
      <w:r w:rsidR="002E20D3">
        <w:t xml:space="preserve"> in dealing with prosecutions or potential prosecutions brought by the </w:t>
      </w:r>
      <w:r w:rsidR="004C2347">
        <w:t>Department</w:t>
      </w:r>
      <w:r w:rsidR="00923AF0">
        <w:t xml:space="preserve">, and </w:t>
      </w:r>
      <w:r w:rsidR="006966E5">
        <w:t>instances where enforcement tools are being considered instead of prosecuting</w:t>
      </w:r>
      <w:r w:rsidR="002E20D3">
        <w:t>.</w:t>
      </w:r>
    </w:p>
    <w:p w14:paraId="64E646AE" w14:textId="2DC4D856" w:rsidR="002E20D3" w:rsidRDefault="002E20D3" w:rsidP="003161E9">
      <w:pPr>
        <w:pStyle w:val="Numberedpara2level1"/>
      </w:pPr>
      <w:r>
        <w:t xml:space="preserve">This policy does not apply to prosecutions </w:t>
      </w:r>
      <w:r w:rsidR="0030351D">
        <w:t>once they have been referred to other</w:t>
      </w:r>
      <w:r>
        <w:t xml:space="preserve"> agencies (such as the </w:t>
      </w:r>
      <w:r w:rsidR="000D11D0">
        <w:t xml:space="preserve">New Zealand </w:t>
      </w:r>
      <w:r>
        <w:t>Police).</w:t>
      </w:r>
    </w:p>
    <w:p w14:paraId="031F3563" w14:textId="0547FF5E" w:rsidR="002E20D3" w:rsidRDefault="002E20D3" w:rsidP="002E20D3">
      <w:pPr>
        <w:pStyle w:val="Heading2"/>
      </w:pPr>
      <w:bookmarkStart w:id="6" w:name="_Toc200039328"/>
      <w:bookmarkStart w:id="7" w:name="_Toc200039357"/>
      <w:r>
        <w:t>Purpose</w:t>
      </w:r>
      <w:bookmarkEnd w:id="6"/>
      <w:bookmarkEnd w:id="7"/>
    </w:p>
    <w:p w14:paraId="48B0D7A9" w14:textId="2C2A8A18" w:rsidR="002E20D3" w:rsidRDefault="002E20D3" w:rsidP="002E20D3">
      <w:pPr>
        <w:pStyle w:val="Numberedpara2level1"/>
      </w:pPr>
      <w:r>
        <w:t xml:space="preserve">This policy sets out the </w:t>
      </w:r>
      <w:r w:rsidR="004C2347">
        <w:t>Department</w:t>
      </w:r>
      <w:r>
        <w:t xml:space="preserve">’s procedures and expectations when dealing with </w:t>
      </w:r>
      <w:r w:rsidR="00A60D2D">
        <w:t>enforcement</w:t>
      </w:r>
      <w:r>
        <w:t xml:space="preserve">. It sets out the process to be followed in assessing a </w:t>
      </w:r>
      <w:r w:rsidR="009024CA">
        <w:t>matter</w:t>
      </w:r>
      <w:r>
        <w:t xml:space="preserve"> for prosecution, and how the prosecution decision is to be made. It then sets out how prosecutions are to be conducted</w:t>
      </w:r>
      <w:r w:rsidR="002A1BDC">
        <w:t xml:space="preserve"> including ongoing obligations. The policy also outlines the requirements for issuing warnings</w:t>
      </w:r>
      <w:r w:rsidR="00F13C77">
        <w:t>,</w:t>
      </w:r>
      <w:r w:rsidR="002A1BDC">
        <w:t xml:space="preserve"> and </w:t>
      </w:r>
      <w:r w:rsidR="007D74F4">
        <w:t>infringements</w:t>
      </w:r>
      <w:r w:rsidR="00F13C77">
        <w:t xml:space="preserve"> in certain circumstances</w:t>
      </w:r>
      <w:r w:rsidR="007D74F4">
        <w:t>.</w:t>
      </w:r>
    </w:p>
    <w:p w14:paraId="184EBF82" w14:textId="77007B87" w:rsidR="002E20D3" w:rsidRDefault="002E20D3" w:rsidP="002E20D3">
      <w:pPr>
        <w:pStyle w:val="Numberedpara2level1"/>
      </w:pPr>
      <w:r w:rsidRPr="002E20D3">
        <w:t xml:space="preserve">All public prosecuting agencies have been required by Cabinet, since 1 July 2013, to have a prosecution policy which sets out, among other things, the process for making prosecution decisions and the circumstances in which alternative methods of resolving a matter may be used. This policy </w:t>
      </w:r>
      <w:r w:rsidR="00ED23EB">
        <w:t xml:space="preserve">complies </w:t>
      </w:r>
      <w:r w:rsidRPr="002E20D3">
        <w:t>with that requirement.</w:t>
      </w:r>
    </w:p>
    <w:p w14:paraId="45E64B69" w14:textId="77777777" w:rsidR="002E5A67" w:rsidRDefault="002E5A67" w:rsidP="00DB7B66">
      <w:pPr>
        <w:pStyle w:val="Heading2"/>
      </w:pPr>
      <w:bookmarkStart w:id="8" w:name="_Toc200039329"/>
      <w:bookmarkStart w:id="9" w:name="_Toc200039358"/>
      <w:r>
        <w:t>Definitions</w:t>
      </w:r>
      <w:bookmarkEnd w:id="8"/>
      <w:bookmarkEnd w:id="9"/>
    </w:p>
    <w:p w14:paraId="2EE7DCC7" w14:textId="77777777" w:rsidR="002E5A67" w:rsidRDefault="002E5A67" w:rsidP="003161E9">
      <w:pPr>
        <w:pStyle w:val="Numberedpara2level1"/>
      </w:pPr>
      <w:r>
        <w:t>The following definitions apply when interpreting this policy:</w:t>
      </w:r>
    </w:p>
    <w:p w14:paraId="72B7D75C" w14:textId="2F7CA9E8" w:rsidR="003161E9" w:rsidRDefault="002E20D3" w:rsidP="00DB7B66">
      <w:pPr>
        <w:pStyle w:val="Bullet"/>
      </w:pPr>
      <w:r>
        <w:rPr>
          <w:b/>
        </w:rPr>
        <w:t>Investigator</w:t>
      </w:r>
      <w:r w:rsidR="00DB7B66">
        <w:rPr>
          <w:b/>
        </w:rPr>
        <w:t xml:space="preserve"> </w:t>
      </w:r>
      <w:r w:rsidR="002E5A67">
        <w:t xml:space="preserve">– </w:t>
      </w:r>
      <w:r w:rsidRPr="002E20D3">
        <w:t>any employee (including those warranted under DIA legislation) whose functions include investigation of suspected criminal offending.</w:t>
      </w:r>
    </w:p>
    <w:p w14:paraId="028383A7" w14:textId="3D4415CC" w:rsidR="000000DA" w:rsidRDefault="000000DA" w:rsidP="00DB7B66">
      <w:pPr>
        <w:pStyle w:val="Bullet"/>
      </w:pPr>
      <w:r>
        <w:rPr>
          <w:b/>
        </w:rPr>
        <w:t>Prosecuting lawyer</w:t>
      </w:r>
      <w:r w:rsidRPr="000000DA">
        <w:t>-</w:t>
      </w:r>
      <w:r>
        <w:t xml:space="preserve"> the </w:t>
      </w:r>
      <w:r w:rsidR="005836D7">
        <w:t xml:space="preserve">lawyer assigned to review a file for prosecution and/or the lawyer assigned to </w:t>
      </w:r>
      <w:r w:rsidR="002E5120">
        <w:t>undertake the prosecution once a decision to prosecute has been made</w:t>
      </w:r>
      <w:r w:rsidR="004B5D57">
        <w:t>.</w:t>
      </w:r>
    </w:p>
    <w:p w14:paraId="11CDD99D" w14:textId="33776BC3" w:rsidR="003161E9" w:rsidRDefault="00252888" w:rsidP="00FF74AC">
      <w:pPr>
        <w:pStyle w:val="Bullet"/>
      </w:pPr>
      <w:r>
        <w:rPr>
          <w:b/>
        </w:rPr>
        <w:lastRenderedPageBreak/>
        <w:t>Prosecution decision maker</w:t>
      </w:r>
      <w:r w:rsidRPr="00252888">
        <w:t>-</w:t>
      </w:r>
      <w:r>
        <w:t xml:space="preserve"> </w:t>
      </w:r>
      <w:r w:rsidR="002066A9">
        <w:t>the manager</w:t>
      </w:r>
      <w:r w:rsidR="00645BAE">
        <w:t xml:space="preserve"> </w:t>
      </w:r>
      <w:r w:rsidR="002B5001">
        <w:t>who makes the ultimate decision to prosecute</w:t>
      </w:r>
      <w:r w:rsidR="004C294C">
        <w:t xml:space="preserve"> and </w:t>
      </w:r>
      <w:r w:rsidR="008517C7">
        <w:t xml:space="preserve">who qualifies as “senior manager” under the </w:t>
      </w:r>
      <w:r w:rsidR="00880859">
        <w:t>Solicitor General Prosecution Guidelines.</w:t>
      </w:r>
    </w:p>
    <w:p w14:paraId="2A0E085B" w14:textId="472EAC32" w:rsidR="004161FB" w:rsidRPr="005936C0" w:rsidRDefault="004161FB" w:rsidP="000862DB">
      <w:pPr>
        <w:pStyle w:val="Bullet"/>
        <w:numPr>
          <w:ilvl w:val="0"/>
          <w:numId w:val="0"/>
        </w:numPr>
        <w:ind w:left="567"/>
      </w:pPr>
    </w:p>
    <w:p w14:paraId="212212CF" w14:textId="77777777" w:rsidR="003161E9" w:rsidRPr="003161E9" w:rsidRDefault="003161E9" w:rsidP="003161E9"/>
    <w:p w14:paraId="33386093" w14:textId="77777777" w:rsidR="003161E9" w:rsidRDefault="003161E9" w:rsidP="003161E9">
      <w:pPr>
        <w:pStyle w:val="Heading1"/>
      </w:pPr>
      <w:bookmarkStart w:id="10" w:name="_Toc200039330"/>
      <w:bookmarkStart w:id="11" w:name="_Toc200039359"/>
      <w:r>
        <w:t>Policy detail</w:t>
      </w:r>
      <w:bookmarkEnd w:id="10"/>
      <w:bookmarkEnd w:id="11"/>
    </w:p>
    <w:p w14:paraId="14DDA4EC" w14:textId="3D96FBAF" w:rsidR="00590CA4" w:rsidRPr="00590CA4" w:rsidRDefault="0038709E" w:rsidP="00C36033">
      <w:pPr>
        <w:pStyle w:val="Numberedpara2heading"/>
        <w:outlineLvl w:val="1"/>
      </w:pPr>
      <w:bookmarkStart w:id="12" w:name="_Toc200039360"/>
      <w:r>
        <w:t>Objectives of the Department’s prosecution activities</w:t>
      </w:r>
      <w:bookmarkEnd w:id="12"/>
    </w:p>
    <w:p w14:paraId="383D2B28" w14:textId="1BB70960" w:rsidR="004C2347" w:rsidRPr="004C2347" w:rsidRDefault="0038709E" w:rsidP="004C2347">
      <w:pPr>
        <w:pStyle w:val="Numberedpara2level1"/>
      </w:pPr>
      <w:r>
        <w:t xml:space="preserve">The Department </w:t>
      </w:r>
      <w:r w:rsidR="004C2347">
        <w:t>encompasses</w:t>
      </w:r>
      <w:r>
        <w:t xml:space="preserve"> a broad range of </w:t>
      </w:r>
      <w:r w:rsidR="004C2347">
        <w:t xml:space="preserve">functions including </w:t>
      </w:r>
      <w:r w:rsidR="0E562012">
        <w:t>compliance and law enforcement functions under the:</w:t>
      </w:r>
      <w:r w:rsidR="00A43F89">
        <w:t xml:space="preserve"> </w:t>
      </w:r>
    </w:p>
    <w:p w14:paraId="6D2D7DB9" w14:textId="716F6FA9" w:rsidR="004C2347" w:rsidRPr="004C2347" w:rsidRDefault="00A43F89" w:rsidP="00812081">
      <w:pPr>
        <w:pStyle w:val="Numberedpara2level2a"/>
        <w:numPr>
          <w:ilvl w:val="1"/>
          <w:numId w:val="41"/>
        </w:numPr>
      </w:pPr>
      <w:r>
        <w:t xml:space="preserve">Films, Videos, and Publications Classification Act </w:t>
      </w:r>
      <w:proofErr w:type="gramStart"/>
      <w:r>
        <w:t>1993</w:t>
      </w:r>
      <w:r w:rsidR="002E29B6">
        <w:t>;</w:t>
      </w:r>
      <w:proofErr w:type="gramEnd"/>
    </w:p>
    <w:p w14:paraId="1E262CF4" w14:textId="665D853E" w:rsidR="004C2347" w:rsidRPr="004C2347" w:rsidRDefault="00A43F89" w:rsidP="00812081">
      <w:pPr>
        <w:pStyle w:val="Numberedpara2level2a"/>
        <w:numPr>
          <w:ilvl w:val="1"/>
          <w:numId w:val="41"/>
        </w:numPr>
      </w:pPr>
      <w:r>
        <w:t xml:space="preserve">Gambling Act </w:t>
      </w:r>
      <w:proofErr w:type="gramStart"/>
      <w:r>
        <w:t>2003</w:t>
      </w:r>
      <w:r w:rsidR="002E29B6">
        <w:t>;</w:t>
      </w:r>
      <w:proofErr w:type="gramEnd"/>
    </w:p>
    <w:p w14:paraId="24C1698C" w14:textId="0177C039" w:rsidR="004C2347" w:rsidRPr="004C2347" w:rsidRDefault="00326546" w:rsidP="00812081">
      <w:pPr>
        <w:pStyle w:val="Numberedpara2level2a"/>
        <w:numPr>
          <w:ilvl w:val="1"/>
          <w:numId w:val="41"/>
        </w:numPr>
      </w:pPr>
      <w:r>
        <w:t xml:space="preserve">Anti-Money Laundering and Countering Financing of Terrorism Act </w:t>
      </w:r>
      <w:proofErr w:type="gramStart"/>
      <w:r>
        <w:t>2009</w:t>
      </w:r>
      <w:r w:rsidR="002E29B6">
        <w:t>;</w:t>
      </w:r>
      <w:proofErr w:type="gramEnd"/>
    </w:p>
    <w:p w14:paraId="4C23F4D1" w14:textId="4772E4C5" w:rsidR="004C2347" w:rsidRPr="004C2347" w:rsidRDefault="00326546" w:rsidP="00812081">
      <w:pPr>
        <w:pStyle w:val="Numberedpara2level2a"/>
        <w:numPr>
          <w:ilvl w:val="1"/>
          <w:numId w:val="41"/>
        </w:numPr>
      </w:pPr>
      <w:r>
        <w:t xml:space="preserve">Private Security Personnel and Private Investigators Act </w:t>
      </w:r>
      <w:proofErr w:type="gramStart"/>
      <w:r>
        <w:t>2010</w:t>
      </w:r>
      <w:r w:rsidR="002E29B6">
        <w:t>;</w:t>
      </w:r>
      <w:proofErr w:type="gramEnd"/>
    </w:p>
    <w:p w14:paraId="7F31F346" w14:textId="0B97BC7C" w:rsidR="004C2347" w:rsidRPr="004C2347" w:rsidRDefault="00326546" w:rsidP="00812081">
      <w:pPr>
        <w:pStyle w:val="Numberedpara2level2a"/>
        <w:numPr>
          <w:ilvl w:val="1"/>
          <w:numId w:val="41"/>
        </w:numPr>
      </w:pPr>
      <w:r>
        <w:t xml:space="preserve">Unsolicited Electronic Messages Act </w:t>
      </w:r>
      <w:proofErr w:type="gramStart"/>
      <w:r>
        <w:t>2007</w:t>
      </w:r>
      <w:r w:rsidR="002E29B6">
        <w:t>;</w:t>
      </w:r>
      <w:proofErr w:type="gramEnd"/>
    </w:p>
    <w:p w14:paraId="76E44E5A" w14:textId="4D690E98" w:rsidR="004C2347" w:rsidRPr="004C2347" w:rsidRDefault="004C2347" w:rsidP="00812081">
      <w:pPr>
        <w:pStyle w:val="Numberedpara2level2a"/>
        <w:numPr>
          <w:ilvl w:val="1"/>
          <w:numId w:val="41"/>
        </w:numPr>
      </w:pPr>
      <w:r>
        <w:t xml:space="preserve">Births, Deaths, Marriages, and Relationships Registration Act </w:t>
      </w:r>
      <w:proofErr w:type="gramStart"/>
      <w:r>
        <w:t>2021</w:t>
      </w:r>
      <w:r w:rsidR="002E29B6">
        <w:t>;</w:t>
      </w:r>
      <w:proofErr w:type="gramEnd"/>
    </w:p>
    <w:p w14:paraId="0165A38E" w14:textId="2544ED92" w:rsidR="004C2347" w:rsidRPr="004C2347" w:rsidRDefault="004C2347" w:rsidP="00812081">
      <w:pPr>
        <w:pStyle w:val="Numberedpara2level2a"/>
        <w:numPr>
          <w:ilvl w:val="1"/>
          <w:numId w:val="41"/>
        </w:numPr>
      </w:pPr>
      <w:r>
        <w:t xml:space="preserve"> Passports Act </w:t>
      </w:r>
      <w:proofErr w:type="gramStart"/>
      <w:r>
        <w:t>1992</w:t>
      </w:r>
      <w:r w:rsidR="002E29B6">
        <w:t>;</w:t>
      </w:r>
      <w:proofErr w:type="gramEnd"/>
    </w:p>
    <w:p w14:paraId="5794FC85" w14:textId="26D97997" w:rsidR="004C2347" w:rsidRPr="004C2347" w:rsidRDefault="004C2347" w:rsidP="00812081">
      <w:pPr>
        <w:pStyle w:val="Numberedpara2level2a"/>
        <w:numPr>
          <w:ilvl w:val="1"/>
          <w:numId w:val="41"/>
        </w:numPr>
      </w:pPr>
      <w:r>
        <w:t xml:space="preserve">Citizenship Act </w:t>
      </w:r>
      <w:proofErr w:type="gramStart"/>
      <w:r>
        <w:t>1977</w:t>
      </w:r>
      <w:r w:rsidR="002E29B6">
        <w:t>;</w:t>
      </w:r>
      <w:proofErr w:type="gramEnd"/>
    </w:p>
    <w:p w14:paraId="69D41B3A" w14:textId="3B85E491" w:rsidR="004C2347" w:rsidRPr="004C2347" w:rsidRDefault="009E3BCF" w:rsidP="00812081">
      <w:pPr>
        <w:pStyle w:val="Numberedpara2level2a"/>
        <w:numPr>
          <w:ilvl w:val="1"/>
          <w:numId w:val="41"/>
        </w:numPr>
      </w:pPr>
      <w:r>
        <w:t xml:space="preserve">Public Records Act </w:t>
      </w:r>
      <w:proofErr w:type="gramStart"/>
      <w:r>
        <w:t>2005</w:t>
      </w:r>
      <w:r w:rsidR="002E29B6">
        <w:t>;</w:t>
      </w:r>
      <w:proofErr w:type="gramEnd"/>
    </w:p>
    <w:p w14:paraId="1F56B120" w14:textId="4DA70419" w:rsidR="004C2347" w:rsidRPr="004C2347" w:rsidRDefault="004C2347" w:rsidP="00812081">
      <w:pPr>
        <w:pStyle w:val="Numberedpara2level2a"/>
        <w:numPr>
          <w:ilvl w:val="1"/>
          <w:numId w:val="41"/>
        </w:numPr>
      </w:pPr>
      <w:r>
        <w:t>certain provisions of the Crimes Act 1961.</w:t>
      </w:r>
    </w:p>
    <w:p w14:paraId="5BE84495" w14:textId="35BF3758" w:rsidR="004C2347" w:rsidRDefault="00604F31" w:rsidP="004C2347">
      <w:pPr>
        <w:pStyle w:val="Numberedpara2level1"/>
      </w:pPr>
      <w:r>
        <w:t>The general objectives that apply across all prosecutions undertaken by the Department are:</w:t>
      </w:r>
    </w:p>
    <w:p w14:paraId="39F63C63" w14:textId="0CB9B99E" w:rsidR="00604F31" w:rsidRDefault="00604F31" w:rsidP="00604F31">
      <w:pPr>
        <w:pStyle w:val="Numberedpara2level2a"/>
      </w:pPr>
      <w:r>
        <w:t xml:space="preserve">To ensure that appropriate and proportionate enforcement action is taken in response to breaches of the </w:t>
      </w:r>
      <w:proofErr w:type="gramStart"/>
      <w:r>
        <w:t>law;</w:t>
      </w:r>
      <w:proofErr w:type="gramEnd"/>
    </w:p>
    <w:p w14:paraId="028A715A" w14:textId="6B675843" w:rsidR="007D74F4" w:rsidRDefault="007D74F4" w:rsidP="00604F31">
      <w:pPr>
        <w:pStyle w:val="Numberedpara2level2a"/>
      </w:pPr>
      <w:r>
        <w:t xml:space="preserve">To encourage compliance with the </w:t>
      </w:r>
      <w:proofErr w:type="gramStart"/>
      <w:r>
        <w:t>law</w:t>
      </w:r>
      <w:r w:rsidR="00CA318A">
        <w:t>;</w:t>
      </w:r>
      <w:proofErr w:type="gramEnd"/>
    </w:p>
    <w:p w14:paraId="57131111" w14:textId="23260620" w:rsidR="00282E37" w:rsidRDefault="00282E37" w:rsidP="00604F31">
      <w:pPr>
        <w:pStyle w:val="Numberedpara2level2a"/>
      </w:pPr>
      <w:r>
        <w:t xml:space="preserve">Where </w:t>
      </w:r>
      <w:r w:rsidR="00B26285">
        <w:t>applicable</w:t>
      </w:r>
      <w:r>
        <w:t xml:space="preserve">, to </w:t>
      </w:r>
      <w:r w:rsidR="000F10B4">
        <w:t xml:space="preserve">reduce further </w:t>
      </w:r>
      <w:r>
        <w:t xml:space="preserve">harm to </w:t>
      </w:r>
      <w:r w:rsidR="00981CC5">
        <w:t xml:space="preserve">vulnerable people by enforcing the </w:t>
      </w:r>
      <w:proofErr w:type="gramStart"/>
      <w:r w:rsidR="00981CC5">
        <w:t>law;</w:t>
      </w:r>
      <w:proofErr w:type="gramEnd"/>
    </w:p>
    <w:p w14:paraId="7EB9534E" w14:textId="3FE95690" w:rsidR="00604F31" w:rsidRDefault="00604F31" w:rsidP="00604F31">
      <w:pPr>
        <w:pStyle w:val="Numberedpara2level2a"/>
      </w:pPr>
      <w:r>
        <w:t xml:space="preserve">To ensure, where appropriate, there are adequate deterrents against </w:t>
      </w:r>
      <w:proofErr w:type="gramStart"/>
      <w:r>
        <w:t>offending;</w:t>
      </w:r>
      <w:proofErr w:type="gramEnd"/>
    </w:p>
    <w:p w14:paraId="2D39C142" w14:textId="74C99CAB" w:rsidR="00604F31" w:rsidRDefault="00604F31" w:rsidP="00604F31">
      <w:pPr>
        <w:pStyle w:val="Numberedpara2level2a"/>
      </w:pPr>
      <w:r>
        <w:t xml:space="preserve">To ensure </w:t>
      </w:r>
      <w:r w:rsidR="00DD5069">
        <w:t xml:space="preserve">appropriate </w:t>
      </w:r>
      <w:r>
        <w:t>charges</w:t>
      </w:r>
      <w:r w:rsidR="00AD1E3F">
        <w:t xml:space="preserve"> are laid, including where multiple charges are available under different legislation</w:t>
      </w:r>
      <w:r>
        <w:t>; and</w:t>
      </w:r>
    </w:p>
    <w:p w14:paraId="65839D48" w14:textId="0C962187" w:rsidR="00604F31" w:rsidRPr="004C2347" w:rsidRDefault="00604F31" w:rsidP="00604F31">
      <w:pPr>
        <w:pStyle w:val="Numberedpara2level2a"/>
      </w:pPr>
      <w:r>
        <w:t>To act rationally, impartially, fairly and in accordance with the Solicitor-General’s Prosecution Guidelines</w:t>
      </w:r>
      <w:r w:rsidR="00D55985">
        <w:t>.</w:t>
      </w:r>
    </w:p>
    <w:p w14:paraId="7EE5B1E1" w14:textId="758C36AB" w:rsidR="003161E9" w:rsidRDefault="2A974E02" w:rsidP="003161E9">
      <w:pPr>
        <w:pStyle w:val="Numberedpara2level1"/>
      </w:pPr>
      <w:r>
        <w:t>Some b</w:t>
      </w:r>
      <w:r w:rsidR="5A2A22C4">
        <w:t>usiness</w:t>
      </w:r>
      <w:r w:rsidR="657B1486">
        <w:t xml:space="preserve"> groups within the</w:t>
      </w:r>
      <w:r w:rsidR="10802548">
        <w:t xml:space="preserve"> Department have</w:t>
      </w:r>
      <w:r w:rsidR="004717B2">
        <w:t xml:space="preserve"> additional</w:t>
      </w:r>
      <w:r w:rsidR="10802548">
        <w:t xml:space="preserve"> specific objectives for undertaking prosecutions. </w:t>
      </w:r>
      <w:r w:rsidR="61FDF608">
        <w:t xml:space="preserve">These </w:t>
      </w:r>
      <w:r w:rsidR="720842F4">
        <w:t>are annexed to this policy</w:t>
      </w:r>
      <w:r w:rsidR="00606D9C">
        <w:t>.</w:t>
      </w:r>
    </w:p>
    <w:p w14:paraId="50013557" w14:textId="0BE3CD36" w:rsidR="0007422B" w:rsidRDefault="0007422B" w:rsidP="00823AA9">
      <w:pPr>
        <w:pStyle w:val="Numberedpara2heading"/>
        <w:outlineLvl w:val="1"/>
      </w:pPr>
      <w:r>
        <w:t>Conflicts of interest</w:t>
      </w:r>
    </w:p>
    <w:p w14:paraId="392E2BAD" w14:textId="1D71B4EC" w:rsidR="0007422B" w:rsidRDefault="0007422B" w:rsidP="00823AA9">
      <w:pPr>
        <w:pStyle w:val="Numberedpara2level1"/>
      </w:pPr>
      <w:r>
        <w:lastRenderedPageBreak/>
        <w:t>Staff with responsibilities under this Policy must act without any actual, potential or perceived conflict of interest, and in accordance with this Policy and the law. This is in recognition of the significant impact prosecution-related decisions may have on the public.</w:t>
      </w:r>
    </w:p>
    <w:p w14:paraId="4B11337F" w14:textId="16F4806B" w:rsidR="0007422B" w:rsidRDefault="0007422B" w:rsidP="0007422B">
      <w:pPr>
        <w:pStyle w:val="Numberedpara2level1"/>
      </w:pPr>
      <w:r>
        <w:t>Any person involved in an investigation, or the preparation, or conduct of a prosecution, who may have, or may be aware of, any actual, potential or perceived conflict of interest whatsoever must disclose the potential conflict immediately to th</w:t>
      </w:r>
      <w:r w:rsidR="00CD2329">
        <w:t xml:space="preserve">eir manager in accordance with the Department’s </w:t>
      </w:r>
      <w:r w:rsidR="63878309">
        <w:t>Declaration of</w:t>
      </w:r>
      <w:r w:rsidR="63C5B777">
        <w:t xml:space="preserve"> Interest </w:t>
      </w:r>
      <w:r w:rsidR="168A9F08">
        <w:t>guide</w:t>
      </w:r>
      <w:r>
        <w:t>.</w:t>
      </w:r>
    </w:p>
    <w:p w14:paraId="14F87AFC" w14:textId="37DC8C3E" w:rsidR="0007422B" w:rsidRDefault="0007422B" w:rsidP="0007422B">
      <w:pPr>
        <w:pStyle w:val="Numberedpara2level1"/>
      </w:pPr>
      <w:r>
        <w:t>Where a person has disclosed a conflict of interest (including disclosing a prior relationship with a person or an organisation that is the subject of an investigation or possible prosecution), that person must, unless approved by the</w:t>
      </w:r>
      <w:r w:rsidR="00E543D5">
        <w:t>ir manager</w:t>
      </w:r>
      <w:r w:rsidR="00821E86">
        <w:t xml:space="preserve"> after consulting with the </w:t>
      </w:r>
      <w:r w:rsidR="00DC3770">
        <w:t>L</w:t>
      </w:r>
      <w:r w:rsidR="00821E86">
        <w:t xml:space="preserve">egal </w:t>
      </w:r>
      <w:r w:rsidR="00DC3770">
        <w:t xml:space="preserve">Services </w:t>
      </w:r>
      <w:r w:rsidR="00821E86">
        <w:t>team</w:t>
      </w:r>
      <w:r>
        <w:t>, cease further involvement in the process.</w:t>
      </w:r>
    </w:p>
    <w:p w14:paraId="03370CA4" w14:textId="4BCA4BF8" w:rsidR="00AD5930" w:rsidRDefault="00AD5930" w:rsidP="009C5F12">
      <w:pPr>
        <w:pStyle w:val="Numberedpara2heading"/>
        <w:outlineLvl w:val="1"/>
      </w:pPr>
      <w:r>
        <w:t xml:space="preserve">Test for </w:t>
      </w:r>
      <w:r w:rsidR="009C5F12">
        <w:t>P</w:t>
      </w:r>
      <w:r>
        <w:t>rosecution</w:t>
      </w:r>
    </w:p>
    <w:p w14:paraId="37C84A98" w14:textId="28607AE4" w:rsidR="009C5F12" w:rsidRDefault="00763AE8" w:rsidP="00763AE8">
      <w:pPr>
        <w:pStyle w:val="Numberedpara2level1"/>
      </w:pPr>
      <w:r>
        <w:t>A prosecution will only be initiated if:</w:t>
      </w:r>
    </w:p>
    <w:p w14:paraId="03337535" w14:textId="4676AA4D" w:rsidR="008A010E" w:rsidRDefault="008A010E" w:rsidP="008A010E">
      <w:pPr>
        <w:pStyle w:val="Numberedpara2level2a"/>
      </w:pPr>
      <w:r>
        <w:t>There is sufficient evidence to prove the charge beyond reasonable doubt (the evidential sufficiency test); and</w:t>
      </w:r>
    </w:p>
    <w:p w14:paraId="5A9D7399" w14:textId="13C568AB" w:rsidR="00D12AFE" w:rsidRDefault="008A010E" w:rsidP="00EF2029">
      <w:pPr>
        <w:pStyle w:val="Numberedpara2level2a"/>
      </w:pPr>
      <w:r>
        <w:t>The public interest requires a prosecution to be brought rather than an alternative enforcement option (the public interest test).</w:t>
      </w:r>
    </w:p>
    <w:p w14:paraId="4CE6052A" w14:textId="0DEA3932" w:rsidR="003161E9" w:rsidRPr="00590CA4" w:rsidRDefault="007233D4" w:rsidP="00E16345">
      <w:pPr>
        <w:pStyle w:val="Numberedpara2heading"/>
        <w:outlineLvl w:val="1"/>
      </w:pPr>
      <w:bookmarkStart w:id="13" w:name="_Toc200039361"/>
      <w:r>
        <w:t>Process for assessing a file for prosecution</w:t>
      </w:r>
      <w:bookmarkEnd w:id="13"/>
    </w:p>
    <w:p w14:paraId="2950D003" w14:textId="7A6833E3" w:rsidR="00EF2029" w:rsidRDefault="00EF2029" w:rsidP="00EF2029">
      <w:pPr>
        <w:pStyle w:val="Numberedpara2level1"/>
      </w:pPr>
      <w:r>
        <w:t xml:space="preserve">Although both the evidentiary sufficiency and public interest tests are required to be satisfied for prosecution, the process for determining both is different. This is because evidentiary sufficiency is primarily a legal issue but assessing the public interest often requires a more nuanced understanding of the case and regulatory scheme. </w:t>
      </w:r>
      <w:r w:rsidR="004E380F">
        <w:t xml:space="preserve">The following table outlines the role each </w:t>
      </w:r>
      <w:r w:rsidR="00A23A12">
        <w:t>person plays in relation to each test.</w:t>
      </w:r>
    </w:p>
    <w:p w14:paraId="04251C89" w14:textId="41A4DCCD" w:rsidR="00090E41" w:rsidRDefault="00090E41" w:rsidP="00090E41">
      <w:pPr>
        <w:pStyle w:val="Numberedpara2subheading"/>
      </w:pPr>
      <w:r>
        <w:t>Evidential sufficiency</w:t>
      </w:r>
    </w:p>
    <w:p w14:paraId="1EC459D6" w14:textId="4DC5054D" w:rsidR="00090E41" w:rsidRDefault="00090E41" w:rsidP="00090E41">
      <w:pPr>
        <w:pStyle w:val="Numberedpara2level1"/>
      </w:pPr>
      <w:r>
        <w:t xml:space="preserve">It is the responsibility of the prosecuting lawyer reviewing the file to determine whether there is evidential sufficiency for the proposed charges selected or alternatives. </w:t>
      </w:r>
    </w:p>
    <w:p w14:paraId="6DB724B5" w14:textId="77777777" w:rsidR="00090E41" w:rsidRDefault="00090E41" w:rsidP="00090E41">
      <w:pPr>
        <w:pStyle w:val="Numberedpara2level1"/>
      </w:pPr>
      <w:r>
        <w:t>To meet the evidential test, the prosecuting lawyer must be satisfied that the proposed evidence is sufficient to provide a reasonable prospect of conviction. A reasonable prospect of conviction will exist if, in relation to an identifiable person, there is credible evidence which could be given before a Court and upon which an impartial Judge or jury could reasonably be expected to be satisfied beyond a reasonable doubt that the person has committed a criminal offence.</w:t>
      </w:r>
    </w:p>
    <w:p w14:paraId="3617010A" w14:textId="77777777" w:rsidR="00082DE8" w:rsidRDefault="00090E41" w:rsidP="00090E41">
      <w:pPr>
        <w:pStyle w:val="Numberedpara2level1"/>
      </w:pPr>
      <w:r>
        <w:t>If the prosecuting lawyer considers that the evidential sufficiency test is not met, then no charge may be laid, no matter how important or serious the matter may be.</w:t>
      </w:r>
    </w:p>
    <w:p w14:paraId="260815E9" w14:textId="08F8FCCF" w:rsidR="00090E41" w:rsidRDefault="00082DE8" w:rsidP="00090E41">
      <w:pPr>
        <w:pStyle w:val="Numberedpara2level1"/>
      </w:pPr>
      <w:r>
        <w:t>Even if the evidential sufficiency test is met, it is not mandatory to prosecute. Prosecuting agencies have discretion and must consider their enforcement priorities, resources, and costs.</w:t>
      </w:r>
    </w:p>
    <w:p w14:paraId="1F3D63B0" w14:textId="77777777" w:rsidR="00090E41" w:rsidRDefault="00090E41" w:rsidP="00090E41">
      <w:pPr>
        <w:pStyle w:val="Numberedpara2subheading"/>
      </w:pPr>
      <w:r>
        <w:t>Public interest test</w:t>
      </w:r>
    </w:p>
    <w:p w14:paraId="11261AD3" w14:textId="6DD37148" w:rsidR="00090E41" w:rsidRDefault="00090E41" w:rsidP="00090E41">
      <w:pPr>
        <w:pStyle w:val="Numberedpara2level1"/>
      </w:pPr>
      <w:r>
        <w:lastRenderedPageBreak/>
        <w:t>If the evidential sufficiency test is met</w:t>
      </w:r>
      <w:r w:rsidR="00BA1A55">
        <w:t>,</w:t>
      </w:r>
      <w:r>
        <w:t xml:space="preserve"> </w:t>
      </w:r>
      <w:r w:rsidR="00B05E86">
        <w:t xml:space="preserve">to proceed with the prosecution the public interest test must also be </w:t>
      </w:r>
      <w:r w:rsidR="00F63036">
        <w:t>met.</w:t>
      </w:r>
    </w:p>
    <w:p w14:paraId="7DDFD9DB" w14:textId="77777777" w:rsidR="00090E41" w:rsidRDefault="00090E41" w:rsidP="00090E41">
      <w:pPr>
        <w:pStyle w:val="Numberedpara2level1"/>
      </w:pPr>
      <w:r w:rsidRPr="00832E19">
        <w:t xml:space="preserve">In general, </w:t>
      </w:r>
      <w:r>
        <w:t>decision makers</w:t>
      </w:r>
      <w:r w:rsidRPr="00832E19">
        <w:t xml:space="preserve"> should consider four broad questions when assessing whether the public interest requires prosecution: </w:t>
      </w:r>
    </w:p>
    <w:p w14:paraId="0FB59229" w14:textId="63ADC500" w:rsidR="00090E41" w:rsidRDefault="00090E41" w:rsidP="00090E41">
      <w:pPr>
        <w:pStyle w:val="Numberedpara2level2a"/>
      </w:pPr>
      <w:r w:rsidRPr="00832E19">
        <w:t>How do the features of the offending weigh for or against prosecution?</w:t>
      </w:r>
    </w:p>
    <w:p w14:paraId="43B4DC14" w14:textId="77777777" w:rsidR="00090E41" w:rsidRDefault="00090E41" w:rsidP="00090E41">
      <w:pPr>
        <w:pStyle w:val="Numberedpara2level2a"/>
      </w:pPr>
      <w:r w:rsidRPr="00832E19">
        <w:t xml:space="preserve">How do the personal characteristics and circumstances of the suspect weigh for or against prosecution? </w:t>
      </w:r>
    </w:p>
    <w:p w14:paraId="0C6BB30D" w14:textId="77777777" w:rsidR="00090E41" w:rsidRDefault="00090E41" w:rsidP="00090E41">
      <w:pPr>
        <w:pStyle w:val="Numberedpara2level2a"/>
      </w:pPr>
      <w:r w:rsidRPr="00832E19">
        <w:t xml:space="preserve">How do the interests of the victim(s) (if there are any) weigh for or against prosecution? </w:t>
      </w:r>
    </w:p>
    <w:p w14:paraId="1AC0ADA7" w14:textId="77777777" w:rsidR="00090E41" w:rsidRDefault="00090E41" w:rsidP="00090E41">
      <w:pPr>
        <w:pStyle w:val="Numberedpara2level2a"/>
      </w:pPr>
      <w:r w:rsidRPr="00832E19">
        <w:t>Are there any alternative methods of resolving the matter short of prosecution which are available and appropriate in the circumstances?</w:t>
      </w:r>
      <w:r>
        <w:t xml:space="preserve"> </w:t>
      </w:r>
    </w:p>
    <w:p w14:paraId="6CD28E6C" w14:textId="77777777" w:rsidR="00090E41" w:rsidRDefault="00090E41" w:rsidP="00090E41">
      <w:pPr>
        <w:pStyle w:val="Numberedpara2level1"/>
      </w:pPr>
      <w:r>
        <w:t xml:space="preserve">When assessing the public interest, the Department only needs to </w:t>
      </w:r>
      <w:proofErr w:type="gramStart"/>
      <w:r>
        <w:t>take into account</w:t>
      </w:r>
      <w:proofErr w:type="gramEnd"/>
      <w:r>
        <w:t xml:space="preserve"> matters known to the Department. In other words, it is unnecessary for the Department to make enquiries into the circumstances of the suspect unless the facts suggest that they should. </w:t>
      </w:r>
    </w:p>
    <w:p w14:paraId="69807DD6" w14:textId="1056F122" w:rsidR="006C436F" w:rsidRDefault="006C436F" w:rsidP="005E54EC">
      <w:pPr>
        <w:pStyle w:val="Numberedpara2subheading"/>
      </w:pPr>
      <w:r>
        <w:t>Cost of prosecution</w:t>
      </w:r>
    </w:p>
    <w:p w14:paraId="71A33DFE" w14:textId="500DDA72" w:rsidR="004E380F" w:rsidRDefault="005E54EC" w:rsidP="00090E41">
      <w:pPr>
        <w:pStyle w:val="Numberedpara2level1"/>
      </w:pPr>
      <w:r>
        <w:rPr>
          <w:lang w:eastAsia="en-NZ"/>
        </w:rPr>
        <w:t xml:space="preserve">In general, prosecutions should be cost effective. </w:t>
      </w:r>
      <w:r w:rsidR="00090E41">
        <w:rPr>
          <w:lang w:eastAsia="en-NZ"/>
        </w:rPr>
        <w:t>When making prosecution decisions the decision maker</w:t>
      </w:r>
      <w:r w:rsidR="00090E41" w:rsidRPr="00330041">
        <w:rPr>
          <w:lang w:eastAsia="en-NZ"/>
        </w:rPr>
        <w:t xml:space="preserve"> must consider not just the</w:t>
      </w:r>
      <w:r w:rsidR="00090E41">
        <w:rPr>
          <w:lang w:eastAsia="en-NZ"/>
        </w:rPr>
        <w:t xml:space="preserve"> costs of prosecution to the Department</w:t>
      </w:r>
      <w:r w:rsidR="00090E41" w:rsidRPr="00330041">
        <w:rPr>
          <w:lang w:eastAsia="en-NZ"/>
        </w:rPr>
        <w:t>, but also the broader </w:t>
      </w:r>
      <w:r w:rsidR="00090E41" w:rsidRPr="009D1ECE">
        <w:rPr>
          <w:lang w:eastAsia="en-NZ"/>
        </w:rPr>
        <w:t xml:space="preserve">systemic costs (e.g., court time, impact on victims and whānau). However, high-cost prosecutions may still </w:t>
      </w:r>
      <w:bookmarkStart w:id="14" w:name="_Toc200039362"/>
      <w:r w:rsidR="00090E41">
        <w:t>be appropriate to prosecute</w:t>
      </w:r>
      <w:bookmarkEnd w:id="14"/>
      <w:r w:rsidR="00090E41">
        <w:t>, particularly if the offending is serious.</w:t>
      </w:r>
    </w:p>
    <w:p w14:paraId="2F6102FC" w14:textId="01C19DA3" w:rsidR="003161E9" w:rsidRDefault="00B26285" w:rsidP="003161E9">
      <w:pPr>
        <w:pStyle w:val="Numberedpara2subheading"/>
      </w:pPr>
      <w:r>
        <w:t>Referral and assessment of prosecution file</w:t>
      </w:r>
    </w:p>
    <w:p w14:paraId="37BC5883" w14:textId="49A5CECB" w:rsidR="00D21522" w:rsidRDefault="008B0219" w:rsidP="00E47644">
      <w:pPr>
        <w:pStyle w:val="Numberedpara2level1"/>
      </w:pPr>
      <w:r>
        <w:t xml:space="preserve">The decision to refer a </w:t>
      </w:r>
      <w:r w:rsidR="00AC478A">
        <w:t xml:space="preserve">file for potential prosecution may be made by any </w:t>
      </w:r>
      <w:r w:rsidR="00646980">
        <w:t xml:space="preserve">employee </w:t>
      </w:r>
      <w:r w:rsidR="001A3E86">
        <w:t>who</w:t>
      </w:r>
      <w:r w:rsidR="00646980" w:rsidRPr="002E20D3">
        <w:t>s</w:t>
      </w:r>
      <w:r w:rsidR="001A3E86">
        <w:t>e function</w:t>
      </w:r>
      <w:r w:rsidR="00646980" w:rsidRPr="002E20D3">
        <w:t xml:space="preserve"> include</w:t>
      </w:r>
      <w:r w:rsidR="001A3E86">
        <w:t>s the</w:t>
      </w:r>
      <w:r w:rsidR="00646980" w:rsidRPr="002E20D3">
        <w:t xml:space="preserve"> investigation of suspected criminal offending.</w:t>
      </w:r>
      <w:r w:rsidR="001A3E86">
        <w:t xml:space="preserve"> This </w:t>
      </w:r>
      <w:r w:rsidR="00F555B3">
        <w:t xml:space="preserve">employee </w:t>
      </w:r>
      <w:r w:rsidR="001A3E86">
        <w:t xml:space="preserve">may </w:t>
      </w:r>
      <w:r w:rsidR="00F555B3">
        <w:t xml:space="preserve">have a different job title such as “regulator” </w:t>
      </w:r>
      <w:r w:rsidR="00F730E9">
        <w:t>but for the purposes of this policy they will be referred to as an “investigator”.</w:t>
      </w:r>
    </w:p>
    <w:p w14:paraId="247C3BC6" w14:textId="1C6B75EE" w:rsidR="00F55BF5" w:rsidRDefault="00EA6AF8" w:rsidP="005C0675">
      <w:pPr>
        <w:pStyle w:val="Numberedpara2level1"/>
      </w:pPr>
      <w:r>
        <w:t xml:space="preserve">If an investigator </w:t>
      </w:r>
      <w:r w:rsidR="00625BA9">
        <w:t xml:space="preserve">suspects </w:t>
      </w:r>
      <w:r w:rsidR="27BB0FB9">
        <w:t>that an offence has occurred</w:t>
      </w:r>
      <w:r w:rsidR="007D016A">
        <w:t>,</w:t>
      </w:r>
      <w:r w:rsidR="00625BA9">
        <w:t xml:space="preserve"> </w:t>
      </w:r>
      <w:r w:rsidR="00A34246">
        <w:t xml:space="preserve">they must undertake an </w:t>
      </w:r>
      <w:r w:rsidR="008E71BB">
        <w:t xml:space="preserve">assessment of the available evidence to determine if the </w:t>
      </w:r>
      <w:r w:rsidR="00D043DD">
        <w:t xml:space="preserve">file is reasonably likely to meet the </w:t>
      </w:r>
      <w:r w:rsidR="005C7150">
        <w:t>two tests for prosecution.</w:t>
      </w:r>
      <w:r w:rsidR="007D016A">
        <w:t xml:space="preserve"> </w:t>
      </w:r>
      <w:r w:rsidR="00F55BF5">
        <w:t xml:space="preserve">Investigators must also consider if there are any suitable </w:t>
      </w:r>
      <w:r w:rsidR="00E91078">
        <w:t xml:space="preserve">alternatives to prosecution such as </w:t>
      </w:r>
      <w:r w:rsidR="00470326">
        <w:t xml:space="preserve">issuing </w:t>
      </w:r>
      <w:r w:rsidR="00E91078">
        <w:t>a warning</w:t>
      </w:r>
      <w:r w:rsidR="008E0AA7">
        <w:t xml:space="preserve"> (formal or otherwise)</w:t>
      </w:r>
      <w:r w:rsidR="00E91078">
        <w:t xml:space="preserve">, </w:t>
      </w:r>
      <w:r w:rsidR="00AB7D71">
        <w:t>infringement</w:t>
      </w:r>
      <w:r w:rsidR="00C05EA0">
        <w:t>,</w:t>
      </w:r>
      <w:r w:rsidR="0011740C">
        <w:t xml:space="preserve"> or other sanction.</w:t>
      </w:r>
    </w:p>
    <w:p w14:paraId="047439B5" w14:textId="1D2AC5E1" w:rsidR="00E86860" w:rsidRDefault="00E86860" w:rsidP="007D016A">
      <w:pPr>
        <w:pStyle w:val="Numberedpara2level1"/>
      </w:pPr>
      <w:r>
        <w:t>If the investigator is satisfied that both tests are reasonably likely to be met</w:t>
      </w:r>
      <w:r w:rsidR="008A4116">
        <w:t>,</w:t>
      </w:r>
      <w:r>
        <w:t xml:space="preserve"> then</w:t>
      </w:r>
      <w:r w:rsidR="00615280">
        <w:t xml:space="preserve"> they should refer the f</w:t>
      </w:r>
      <w:r w:rsidR="002E0A7B">
        <w:t xml:space="preserve">ile to their manager. If the manager </w:t>
      </w:r>
      <w:r w:rsidR="001E254F">
        <w:t>agrees</w:t>
      </w:r>
      <w:r w:rsidR="00BE4179">
        <w:t xml:space="preserve"> </w:t>
      </w:r>
      <w:r w:rsidR="002E0A7B">
        <w:t>that the tests</w:t>
      </w:r>
      <w:r>
        <w:t xml:space="preserve"> </w:t>
      </w:r>
      <w:r w:rsidR="00094594">
        <w:t>are likely met</w:t>
      </w:r>
      <w:r w:rsidR="0011740C">
        <w:t>, and there is no suitable alternative</w:t>
      </w:r>
      <w:r w:rsidR="00BF5D51">
        <w:t xml:space="preserve"> to prosecution</w:t>
      </w:r>
      <w:r w:rsidR="00284284">
        <w:t>,</w:t>
      </w:r>
      <w:r w:rsidR="00094594">
        <w:t xml:space="preserve"> then </w:t>
      </w:r>
      <w:r w:rsidR="00C95A96">
        <w:t xml:space="preserve">the </w:t>
      </w:r>
      <w:r w:rsidR="002B5E63">
        <w:t>matter</w:t>
      </w:r>
      <w:r w:rsidR="00C95A96">
        <w:t xml:space="preserve"> may be referred to </w:t>
      </w:r>
      <w:r w:rsidR="00032742">
        <w:t>the L</w:t>
      </w:r>
      <w:r w:rsidR="00C95A96">
        <w:t xml:space="preserve">egal </w:t>
      </w:r>
      <w:r w:rsidR="002B5E63">
        <w:t xml:space="preserve">Services team </w:t>
      </w:r>
      <w:r w:rsidR="00C95A96">
        <w:t>for review.</w:t>
      </w:r>
    </w:p>
    <w:p w14:paraId="3B763272" w14:textId="0CF606B5" w:rsidR="00C95A96" w:rsidRDefault="00DF416B" w:rsidP="007D016A">
      <w:pPr>
        <w:pStyle w:val="Numberedpara2level1"/>
      </w:pPr>
      <w:r>
        <w:t xml:space="preserve">Business groups may have </w:t>
      </w:r>
      <w:r w:rsidR="00666569">
        <w:t xml:space="preserve">additional </w:t>
      </w:r>
      <w:r>
        <w:t xml:space="preserve">operational procedures when considering prosecutions decisions such as </w:t>
      </w:r>
      <w:r w:rsidR="00F60CE6">
        <w:t xml:space="preserve">referral to panels </w:t>
      </w:r>
      <w:r w:rsidR="00F75671">
        <w:t>for endorsement</w:t>
      </w:r>
      <w:r w:rsidR="00F60CE6">
        <w:t xml:space="preserve">. </w:t>
      </w:r>
      <w:r w:rsidR="0098258B">
        <w:t xml:space="preserve">These procedures must be followed alongside this policy. </w:t>
      </w:r>
    </w:p>
    <w:p w14:paraId="3BB2B7C4" w14:textId="6B4CDC63" w:rsidR="00670576" w:rsidRDefault="008A2804" w:rsidP="00670576">
      <w:pPr>
        <w:pStyle w:val="Numberedpara2subheading"/>
      </w:pPr>
      <w:r>
        <w:t>Legal review</w:t>
      </w:r>
    </w:p>
    <w:p w14:paraId="206A0C96" w14:textId="55F24D89" w:rsidR="00B2371B" w:rsidRDefault="00093224" w:rsidP="007D016A">
      <w:pPr>
        <w:pStyle w:val="Numberedpara2level1"/>
      </w:pPr>
      <w:r>
        <w:t xml:space="preserve">Once a </w:t>
      </w:r>
      <w:r w:rsidR="00992F2F">
        <w:t>matter</w:t>
      </w:r>
      <w:r>
        <w:t xml:space="preserve"> has been referred to </w:t>
      </w:r>
      <w:r w:rsidR="00992F2F">
        <w:t>the L</w:t>
      </w:r>
      <w:r>
        <w:t xml:space="preserve">egal </w:t>
      </w:r>
      <w:r w:rsidR="00992F2F">
        <w:t xml:space="preserve">Services team </w:t>
      </w:r>
      <w:r>
        <w:t xml:space="preserve">it must be assigned to a </w:t>
      </w:r>
      <w:r w:rsidR="007E4741">
        <w:t xml:space="preserve">DIA </w:t>
      </w:r>
      <w:r>
        <w:t>lawyer</w:t>
      </w:r>
      <w:r w:rsidR="00B452F7">
        <w:t xml:space="preserve"> </w:t>
      </w:r>
      <w:r w:rsidR="00A216E7">
        <w:t>who will brief it out to an external lawyer</w:t>
      </w:r>
      <w:r>
        <w:t xml:space="preserve"> for </w:t>
      </w:r>
      <w:r w:rsidR="00670576">
        <w:t xml:space="preserve">a full file review to </w:t>
      </w:r>
      <w:r w:rsidR="00992F2F">
        <w:t>assess</w:t>
      </w:r>
      <w:r w:rsidR="008A2804">
        <w:t xml:space="preserve"> evidential sufficiency and public interest</w:t>
      </w:r>
      <w:r w:rsidR="00521249">
        <w:t xml:space="preserve">, and </w:t>
      </w:r>
      <w:r w:rsidR="00BC3F99">
        <w:t xml:space="preserve">asses any legal </w:t>
      </w:r>
      <w:r w:rsidR="009E3E08">
        <w:t>risks</w:t>
      </w:r>
      <w:r w:rsidR="008A2804">
        <w:t xml:space="preserve">. </w:t>
      </w:r>
      <w:r w:rsidR="00AA4792">
        <w:t xml:space="preserve">This review will </w:t>
      </w:r>
      <w:r w:rsidR="00AA4792">
        <w:lastRenderedPageBreak/>
        <w:t xml:space="preserve">most commonly be undertaken by </w:t>
      </w:r>
      <w:r w:rsidR="007335AC">
        <w:t>the</w:t>
      </w:r>
      <w:r w:rsidR="00AA4792">
        <w:t xml:space="preserve"> </w:t>
      </w:r>
      <w:r w:rsidR="00992F2F">
        <w:t xml:space="preserve">local </w:t>
      </w:r>
      <w:r w:rsidR="00AA4792">
        <w:t>Crown Solicitor</w:t>
      </w:r>
      <w:r w:rsidR="007335AC">
        <w:t xml:space="preserve">. </w:t>
      </w:r>
      <w:r w:rsidR="00B2371B">
        <w:t>This person is known as the prosecuting lawyer.</w:t>
      </w:r>
    </w:p>
    <w:p w14:paraId="282D8361" w14:textId="77777777" w:rsidR="00BE4501" w:rsidRDefault="007335AC" w:rsidP="007D016A">
      <w:pPr>
        <w:pStyle w:val="Numberedpara2level1"/>
      </w:pPr>
      <w:r>
        <w:t>In rare circumstances</w:t>
      </w:r>
      <w:r w:rsidR="00F24902">
        <w:t xml:space="preserve">, where there are good reasons for it, the file review </w:t>
      </w:r>
      <w:r w:rsidR="005D6AE7">
        <w:t>may be completed by any suitably qualified and experienced lawyer</w:t>
      </w:r>
      <w:r w:rsidR="009F0915">
        <w:t xml:space="preserve"> </w:t>
      </w:r>
      <w:r w:rsidR="0046460E">
        <w:t xml:space="preserve">assigned to the file by </w:t>
      </w:r>
      <w:r w:rsidR="00992F2F">
        <w:t>a manager within the Legal Services team</w:t>
      </w:r>
      <w:r w:rsidR="0046460E">
        <w:t>.</w:t>
      </w:r>
      <w:r w:rsidR="009D4FF6">
        <w:t xml:space="preserve"> This lawyer is not a prosecuting lawyer</w:t>
      </w:r>
      <w:r w:rsidR="00755AB0">
        <w:t xml:space="preserve"> (despite the definition in this policy)</w:t>
      </w:r>
      <w:r w:rsidR="009D4FF6">
        <w:t>, and later the file will need to be briefed out to a Crown Solicitor for prosecution.</w:t>
      </w:r>
    </w:p>
    <w:p w14:paraId="66489509" w14:textId="6264CFC1" w:rsidR="00DB25F5" w:rsidRDefault="00D64666" w:rsidP="007D016A">
      <w:pPr>
        <w:pStyle w:val="Numberedpara2level1"/>
      </w:pPr>
      <w:r>
        <w:t>Th</w:t>
      </w:r>
      <w:r w:rsidR="00BE6DEB">
        <w:t>e DIA lawyer</w:t>
      </w:r>
      <w:r w:rsidR="0029324D">
        <w:t xml:space="preserve"> allocated to the prosecution</w:t>
      </w:r>
      <w:r w:rsidR="00BE6DEB">
        <w:t xml:space="preserve"> will </w:t>
      </w:r>
      <w:r w:rsidR="00222891">
        <w:t xml:space="preserve">act as a </w:t>
      </w:r>
      <w:r w:rsidR="00BB32C9">
        <w:t>liaison</w:t>
      </w:r>
      <w:r w:rsidR="00222891">
        <w:t xml:space="preserve"> between DIA and the prosecut</w:t>
      </w:r>
      <w:r w:rsidR="00F06247">
        <w:t>ing lawyer, consider the file review performed by the external lawyer and raise any issue</w:t>
      </w:r>
      <w:r w:rsidR="00232AC6">
        <w:t>s that may require further consideration</w:t>
      </w:r>
      <w:r>
        <w:t xml:space="preserve"> by the prosecuting lawyer</w:t>
      </w:r>
      <w:r w:rsidR="008C1A41">
        <w:t>. The DIA lawyer will also assist</w:t>
      </w:r>
      <w:r w:rsidR="00BE6DEB">
        <w:t xml:space="preserve"> </w:t>
      </w:r>
      <w:r w:rsidR="00730FE6">
        <w:t>DIA’s investigators and decision makers with</w:t>
      </w:r>
      <w:r w:rsidR="00232AC6">
        <w:t xml:space="preserve"> more strategic deci</w:t>
      </w:r>
      <w:r w:rsidR="00826BC9">
        <w:t xml:space="preserve">sions relating to the conduct of the prosecution or </w:t>
      </w:r>
      <w:r w:rsidR="00657AE8">
        <w:t xml:space="preserve">use of </w:t>
      </w:r>
      <w:r w:rsidR="00826BC9">
        <w:t>enforcement tools.</w:t>
      </w:r>
      <w:r w:rsidR="00730FE6">
        <w:t xml:space="preserve"> </w:t>
      </w:r>
    </w:p>
    <w:p w14:paraId="6B2FCFFF" w14:textId="1F847034" w:rsidR="00D10D43" w:rsidRDefault="008C1A41" w:rsidP="0098609C">
      <w:pPr>
        <w:pStyle w:val="Numberedpara2level1"/>
      </w:pPr>
      <w:r>
        <w:t>C</w:t>
      </w:r>
      <w:r w:rsidR="00A73167">
        <w:t xml:space="preserve">onsideration of the suitability of a </w:t>
      </w:r>
      <w:r w:rsidR="00682880">
        <w:t>matter</w:t>
      </w:r>
      <w:r w:rsidR="00A73167">
        <w:t xml:space="preserve"> for prosecution is an ongoing obligation</w:t>
      </w:r>
      <w:r>
        <w:t>. Therefore,</w:t>
      </w:r>
      <w:r w:rsidR="00A73167">
        <w:t xml:space="preserve"> </w:t>
      </w:r>
      <w:r w:rsidR="00DB0734">
        <w:t xml:space="preserve">investigators are responsible for </w:t>
      </w:r>
      <w:r w:rsidR="00D8407D">
        <w:t xml:space="preserve">advising the prosecuting lawyer of </w:t>
      </w:r>
      <w:r w:rsidR="002B5779">
        <w:t xml:space="preserve">any relevant information that comes to their attention for the duration of the </w:t>
      </w:r>
      <w:r w:rsidR="00E00266">
        <w:t>file review and potential prosecution.</w:t>
      </w:r>
      <w:r w:rsidR="00684E05">
        <w:t xml:space="preserve"> The investigator will do this via the </w:t>
      </w:r>
      <w:r w:rsidR="007E4741">
        <w:t>internal DIA lawyer allocated to manage the prosecution.</w:t>
      </w:r>
    </w:p>
    <w:p w14:paraId="206BB2B8" w14:textId="1E1555B6" w:rsidR="002F159F" w:rsidRDefault="002F159F" w:rsidP="0098609C">
      <w:pPr>
        <w:pStyle w:val="Numberedpara2level1"/>
      </w:pPr>
      <w:r>
        <w:t>The prosecuting lawyer reviewing the file will:</w:t>
      </w:r>
    </w:p>
    <w:p w14:paraId="32227F41" w14:textId="48A30CB5" w:rsidR="002F159F" w:rsidRDefault="002F159F" w:rsidP="002F159F">
      <w:pPr>
        <w:pStyle w:val="Numberedpara2level2a"/>
      </w:pPr>
      <w:r>
        <w:t>Ensure th</w:t>
      </w:r>
      <w:r w:rsidR="00F352E4">
        <w:t xml:space="preserve">at sufficient evidence to bring a successful prosecution is available, admissible, credible, and </w:t>
      </w:r>
      <w:proofErr w:type="gramStart"/>
      <w:r w:rsidR="00F352E4">
        <w:t>reliable</w:t>
      </w:r>
      <w:r w:rsidR="00FC637C">
        <w:t>;</w:t>
      </w:r>
      <w:proofErr w:type="gramEnd"/>
    </w:p>
    <w:p w14:paraId="4177314C" w14:textId="36D13E1A" w:rsidR="00FC637C" w:rsidRDefault="00FC637C" w:rsidP="002F159F">
      <w:pPr>
        <w:pStyle w:val="Numberedpara2level2a"/>
      </w:pPr>
      <w:r>
        <w:t>Provide written advice on whether there is sufficient evidence to prosecute, an</w:t>
      </w:r>
      <w:r w:rsidR="009F5233">
        <w:t>y</w:t>
      </w:r>
      <w:r>
        <w:t xml:space="preserve"> potential defences and legal risks posed </w:t>
      </w:r>
      <w:r w:rsidR="00123231">
        <w:t xml:space="preserve">by a </w:t>
      </w:r>
      <w:proofErr w:type="gramStart"/>
      <w:r w:rsidR="00123231">
        <w:t>prosecution;</w:t>
      </w:r>
      <w:proofErr w:type="gramEnd"/>
    </w:p>
    <w:p w14:paraId="7F5F44F1" w14:textId="7FAC0287" w:rsidR="00123231" w:rsidRDefault="00123231" w:rsidP="002F159F">
      <w:pPr>
        <w:pStyle w:val="Numberedpara2level2a"/>
      </w:pPr>
      <w:r>
        <w:t xml:space="preserve">If the evidential sufficiency test is met, </w:t>
      </w:r>
      <w:r w:rsidRPr="00123231">
        <w:t xml:space="preserve">identify relevant public interest factors, and whether an alternative enforcement option may be more </w:t>
      </w:r>
      <w:proofErr w:type="gramStart"/>
      <w:r w:rsidRPr="00123231">
        <w:t>appropriate</w:t>
      </w:r>
      <w:r w:rsidR="00CC4A09">
        <w:t>;</w:t>
      </w:r>
      <w:proofErr w:type="gramEnd"/>
    </w:p>
    <w:p w14:paraId="78C4CADF" w14:textId="04E9E716" w:rsidR="00CC4A09" w:rsidRDefault="00CC4A09" w:rsidP="002F159F">
      <w:pPr>
        <w:pStyle w:val="Numberedpara2level2a"/>
      </w:pPr>
      <w:r w:rsidRPr="00CC4A09">
        <w:t xml:space="preserve">If the evidential sufficiency test is met, recommend the most appropriate charge or charges, and note applicable limitation </w:t>
      </w:r>
      <w:proofErr w:type="gramStart"/>
      <w:r w:rsidRPr="00CC4A09">
        <w:t>periods</w:t>
      </w:r>
      <w:r>
        <w:t>;</w:t>
      </w:r>
      <w:proofErr w:type="gramEnd"/>
    </w:p>
    <w:p w14:paraId="36A030BF" w14:textId="33D70CB8" w:rsidR="00CC4A09" w:rsidRDefault="00CC4A09" w:rsidP="002F159F">
      <w:pPr>
        <w:pStyle w:val="Numberedpara2level2a"/>
      </w:pPr>
      <w:r w:rsidRPr="00CC4A09">
        <w:t xml:space="preserve">Identify any weaknesses in the evidence and suggest any further enquiries or additional information required to satisfy the evidential sufficiency </w:t>
      </w:r>
      <w:proofErr w:type="gramStart"/>
      <w:r w:rsidRPr="00CC4A09">
        <w:t>test;</w:t>
      </w:r>
      <w:proofErr w:type="gramEnd"/>
    </w:p>
    <w:p w14:paraId="7AA4BCA9" w14:textId="451F3344" w:rsidR="002D4B17" w:rsidRDefault="002D4B17" w:rsidP="002F159F">
      <w:pPr>
        <w:pStyle w:val="Numberedpara2level2a"/>
      </w:pPr>
      <w:r>
        <w:t xml:space="preserve">Identify if any </w:t>
      </w:r>
      <w:r w:rsidR="008252A4">
        <w:t>consent needs to be granted before the filing of charges, i.e. the Registrar-General or Attorney-General</w:t>
      </w:r>
    </w:p>
    <w:p w14:paraId="44B8AE91" w14:textId="77777777" w:rsidR="00775CC6" w:rsidRDefault="00775CC6" w:rsidP="00775CC6">
      <w:pPr>
        <w:pStyle w:val="Numberedpara2subheading"/>
      </w:pPr>
      <w:r>
        <w:t>Prosecution decision maker</w:t>
      </w:r>
    </w:p>
    <w:p w14:paraId="7C0DB754" w14:textId="07D5546B" w:rsidR="00775CC6" w:rsidRDefault="00775CC6" w:rsidP="00775CC6">
      <w:pPr>
        <w:pStyle w:val="Numberedpara2level1"/>
      </w:pPr>
      <w:r>
        <w:t xml:space="preserve">The ultimate decision to prosecute must be made by the appropriate prosecution maker considering advice provided by the investigator, prosecuting lawyer </w:t>
      </w:r>
      <w:proofErr w:type="gramStart"/>
      <w:r>
        <w:t>and,</w:t>
      </w:r>
      <w:proofErr w:type="gramEnd"/>
      <w:r>
        <w:t xml:space="preserve"> </w:t>
      </w:r>
      <w:r w:rsidR="0009257F">
        <w:t xml:space="preserve">the </w:t>
      </w:r>
      <w:r w:rsidR="00882957">
        <w:t xml:space="preserve">relevant </w:t>
      </w:r>
      <w:r w:rsidR="0009257F">
        <w:t xml:space="preserve">DIA </w:t>
      </w:r>
      <w:r>
        <w:t>lawyer</w:t>
      </w:r>
      <w:r w:rsidR="00D65B86">
        <w:t>,</w:t>
      </w:r>
      <w:r>
        <w:t xml:space="preserve"> and any other person or group (such as an advisory panel) who has advised on the decision. </w:t>
      </w:r>
    </w:p>
    <w:p w14:paraId="353F1CBC" w14:textId="77777777" w:rsidR="00775CC6" w:rsidRDefault="00775CC6" w:rsidP="00775CC6">
      <w:pPr>
        <w:pStyle w:val="Numberedpara2level1"/>
      </w:pPr>
      <w:r>
        <w:t>The prosecution decision maker must consider advice on:</w:t>
      </w:r>
    </w:p>
    <w:p w14:paraId="513E1EA7" w14:textId="1E143A81" w:rsidR="00775CC6" w:rsidRPr="002B5310" w:rsidRDefault="00D65B86" w:rsidP="00775CC6">
      <w:pPr>
        <w:pStyle w:val="Numberedpara2level2a"/>
      </w:pPr>
      <w:r>
        <w:t>W</w:t>
      </w:r>
      <w:r w:rsidR="0066218E">
        <w:t>hether</w:t>
      </w:r>
      <w:r w:rsidR="00775CC6" w:rsidRPr="002B5310">
        <w:t xml:space="preserve"> the </w:t>
      </w:r>
      <w:r w:rsidR="00BC27D0">
        <w:t>e</w:t>
      </w:r>
      <w:r w:rsidR="00775CC6" w:rsidRPr="002B5310">
        <w:t xml:space="preserve">vidential </w:t>
      </w:r>
      <w:r w:rsidR="00BC27D0">
        <w:t>s</w:t>
      </w:r>
      <w:r w:rsidR="00775CC6" w:rsidRPr="002B5310">
        <w:t xml:space="preserve">ufficiency test has been </w:t>
      </w:r>
      <w:proofErr w:type="gramStart"/>
      <w:r w:rsidR="00775CC6" w:rsidRPr="002B5310">
        <w:t>met</w:t>
      </w:r>
      <w:r>
        <w:t>;</w:t>
      </w:r>
      <w:proofErr w:type="gramEnd"/>
    </w:p>
    <w:p w14:paraId="572ADC03" w14:textId="09153218" w:rsidR="00775CC6" w:rsidRPr="002B5310" w:rsidRDefault="00D65B86" w:rsidP="00775CC6">
      <w:pPr>
        <w:pStyle w:val="Numberedpara2level2a"/>
      </w:pPr>
      <w:r>
        <w:t>W</w:t>
      </w:r>
      <w:r w:rsidR="0066218E">
        <w:t>hether</w:t>
      </w:r>
      <w:r w:rsidR="00775CC6" w:rsidRPr="002B5310">
        <w:t xml:space="preserve"> the prosecution meets the </w:t>
      </w:r>
      <w:r w:rsidR="0056370C">
        <w:t>p</w:t>
      </w:r>
      <w:r w:rsidR="00775CC6" w:rsidRPr="002B5310">
        <w:t xml:space="preserve">ublic </w:t>
      </w:r>
      <w:r w:rsidR="0056370C">
        <w:t>i</w:t>
      </w:r>
      <w:r w:rsidR="00775CC6" w:rsidRPr="002B5310">
        <w:t xml:space="preserve">nterest </w:t>
      </w:r>
      <w:proofErr w:type="gramStart"/>
      <w:r w:rsidR="0056370C">
        <w:t>t</w:t>
      </w:r>
      <w:r w:rsidR="00775CC6" w:rsidRPr="002B5310">
        <w:t>est</w:t>
      </w:r>
      <w:r>
        <w:t>;</w:t>
      </w:r>
      <w:proofErr w:type="gramEnd"/>
    </w:p>
    <w:p w14:paraId="224735C9" w14:textId="7AFA089C" w:rsidR="00775CC6" w:rsidRPr="002B5310" w:rsidRDefault="00775CC6" w:rsidP="00775CC6">
      <w:pPr>
        <w:pStyle w:val="Numberedpara2level2a"/>
      </w:pPr>
      <w:r w:rsidRPr="002B5310">
        <w:t xml:space="preserve">Alternatives to </w:t>
      </w:r>
      <w:proofErr w:type="gramStart"/>
      <w:r w:rsidRPr="002B5310">
        <w:t>prosecution</w:t>
      </w:r>
      <w:r w:rsidR="00D65B86">
        <w:t>;</w:t>
      </w:r>
      <w:proofErr w:type="gramEnd"/>
    </w:p>
    <w:p w14:paraId="20E71991" w14:textId="3AA72911" w:rsidR="00775CC6" w:rsidRPr="002B5310" w:rsidRDefault="00775CC6" w:rsidP="00775CC6">
      <w:pPr>
        <w:pStyle w:val="Numberedpara2level2a"/>
      </w:pPr>
      <w:r w:rsidRPr="002B5310">
        <w:t>Cost and resourcing implications of taking the prosecution</w:t>
      </w:r>
      <w:r w:rsidR="0066218E">
        <w:t>.</w:t>
      </w:r>
    </w:p>
    <w:p w14:paraId="3420C258" w14:textId="04AA3FF8" w:rsidR="00FC42AF" w:rsidRDefault="00FC42AF" w:rsidP="00775CC6">
      <w:pPr>
        <w:pStyle w:val="Numberedpara2level1"/>
      </w:pPr>
      <w:r>
        <w:t xml:space="preserve">The advice of the prosecuting lawyer as to </w:t>
      </w:r>
      <w:proofErr w:type="gramStart"/>
      <w:r>
        <w:t>whether or not</w:t>
      </w:r>
      <w:proofErr w:type="gramEnd"/>
      <w:r>
        <w:t xml:space="preserve"> the public interest test is met will be considered by the decision maker. </w:t>
      </w:r>
      <w:r w:rsidR="000D34E2">
        <w:t>U</w:t>
      </w:r>
      <w:r>
        <w:t xml:space="preserve">nlike the evidential sufficiency test, the </w:t>
      </w:r>
      <w:r>
        <w:lastRenderedPageBreak/>
        <w:t>prosecution decision maker can still choose to prosecute or not prosecute, based on their own assessment of the public interest.</w:t>
      </w:r>
    </w:p>
    <w:p w14:paraId="38F2BA84" w14:textId="4463F3F7" w:rsidR="00775CC6" w:rsidRDefault="0044565B" w:rsidP="00775CC6">
      <w:pPr>
        <w:pStyle w:val="Numberedpara2level1"/>
      </w:pPr>
      <w:r>
        <w:t xml:space="preserve">All potential prosecutions considered by </w:t>
      </w:r>
      <w:r w:rsidR="00E93D85">
        <w:t xml:space="preserve">the prosecution decision maker must be recorded in writing, </w:t>
      </w:r>
      <w:proofErr w:type="gramStart"/>
      <w:r w:rsidR="00E93D85">
        <w:t>whether or not</w:t>
      </w:r>
      <w:proofErr w:type="gramEnd"/>
      <w:r w:rsidR="00E93D85">
        <w:t xml:space="preserve"> they decide to proceed with</w:t>
      </w:r>
      <w:r w:rsidR="000D34E2">
        <w:t xml:space="preserve"> a</w:t>
      </w:r>
      <w:r w:rsidR="00E93D85">
        <w:t xml:space="preserve"> pro</w:t>
      </w:r>
      <w:r w:rsidR="00A82E83">
        <w:t>secution. The decision should record what factors the decision maker considered</w:t>
      </w:r>
      <w:r w:rsidR="00E045C3">
        <w:t>, alternatives to prosecution considered,</w:t>
      </w:r>
      <w:r w:rsidR="00A82E83">
        <w:t xml:space="preserve"> and why they did or did not </w:t>
      </w:r>
      <w:r w:rsidR="008922D3">
        <w:t>decide to proceed with</w:t>
      </w:r>
      <w:r w:rsidR="000D34E2">
        <w:t xml:space="preserve"> the</w:t>
      </w:r>
      <w:r w:rsidR="008922D3">
        <w:t xml:space="preserve"> prosecution.</w:t>
      </w:r>
    </w:p>
    <w:p w14:paraId="5CCC9655" w14:textId="1DBEBA03" w:rsidR="00775CC6" w:rsidRDefault="00775CC6" w:rsidP="00775CC6">
      <w:pPr>
        <w:pStyle w:val="Numberedpara2level1"/>
      </w:pPr>
      <w:r>
        <w:t xml:space="preserve">The decision to prosecute must be made by a fourth-tier manager such as a </w:t>
      </w:r>
      <w:proofErr w:type="gramStart"/>
      <w:r>
        <w:t>Director</w:t>
      </w:r>
      <w:proofErr w:type="gramEnd"/>
      <w:r>
        <w:t xml:space="preserve">. While all prosecutions carry risk, in some circumstances a prosecution will naturally carry higher legal or reputational risk. In those cases, the decision maker must ensure that they have identified and understood the </w:t>
      </w:r>
      <w:proofErr w:type="gramStart"/>
      <w:r>
        <w:t>particular risks</w:t>
      </w:r>
      <w:proofErr w:type="gramEnd"/>
      <w:r>
        <w:t xml:space="preserve"> of prosecution.</w:t>
      </w:r>
    </w:p>
    <w:p w14:paraId="2FB01FBC" w14:textId="22F4949C" w:rsidR="00775CC6" w:rsidRDefault="00775CC6" w:rsidP="00775CC6">
      <w:pPr>
        <w:pStyle w:val="Numberedpara2level1"/>
      </w:pPr>
      <w:r>
        <w:t>The following circumstances are deemed to be higher risk</w:t>
      </w:r>
      <w:r w:rsidR="005E6A2D">
        <w:t>, and should be discussed with the Chief Legal Advisor</w:t>
      </w:r>
      <w:r>
        <w:t>:</w:t>
      </w:r>
    </w:p>
    <w:p w14:paraId="12BE3582" w14:textId="0D2F8449" w:rsidR="00775CC6" w:rsidRPr="00A644D9" w:rsidRDefault="006D703B" w:rsidP="00775CC6">
      <w:pPr>
        <w:pStyle w:val="Numberedpara2level2a"/>
        <w:rPr>
          <w:lang w:eastAsia="en-NZ"/>
        </w:rPr>
      </w:pPr>
      <w:r>
        <w:rPr>
          <w:lang w:eastAsia="en-NZ"/>
        </w:rPr>
        <w:t>T</w:t>
      </w:r>
      <w:r w:rsidR="00775CC6" w:rsidRPr="00A644D9">
        <w:rPr>
          <w:lang w:eastAsia="en-NZ"/>
        </w:rPr>
        <w:t xml:space="preserve">he legislation, or the particular provision breached, is new or </w:t>
      </w:r>
      <w:proofErr w:type="gramStart"/>
      <w:r w:rsidR="00775CC6" w:rsidRPr="00A644D9">
        <w:rPr>
          <w:lang w:eastAsia="en-NZ"/>
        </w:rPr>
        <w:t>untested</w:t>
      </w:r>
      <w:r w:rsidR="00727007">
        <w:rPr>
          <w:lang w:eastAsia="en-NZ"/>
        </w:rPr>
        <w:t>;</w:t>
      </w:r>
      <w:proofErr w:type="gramEnd"/>
      <w:r w:rsidR="00775CC6" w:rsidRPr="00A644D9">
        <w:rPr>
          <w:lang w:eastAsia="en-NZ"/>
        </w:rPr>
        <w:t xml:space="preserve">  </w:t>
      </w:r>
    </w:p>
    <w:p w14:paraId="26177746" w14:textId="72F29585" w:rsidR="00775CC6" w:rsidRPr="00A644D9" w:rsidRDefault="006D703B" w:rsidP="00775CC6">
      <w:pPr>
        <w:pStyle w:val="Numberedpara2level2a"/>
        <w:rPr>
          <w:lang w:eastAsia="en-NZ"/>
        </w:rPr>
      </w:pPr>
      <w:r>
        <w:rPr>
          <w:lang w:eastAsia="en-NZ"/>
        </w:rPr>
        <w:t>T</w:t>
      </w:r>
      <w:r w:rsidR="00775CC6" w:rsidRPr="00A644D9">
        <w:rPr>
          <w:lang w:eastAsia="en-NZ"/>
        </w:rPr>
        <w:t>here are potential issues with the exercise of search and seizure powers (whether under a search warrant or exercising a statutory power</w:t>
      </w:r>
      <w:proofErr w:type="gramStart"/>
      <w:r w:rsidR="00775CC6" w:rsidRPr="00A644D9">
        <w:rPr>
          <w:lang w:eastAsia="en-NZ"/>
        </w:rPr>
        <w:t>)</w:t>
      </w:r>
      <w:r w:rsidR="00727007">
        <w:rPr>
          <w:lang w:eastAsia="en-NZ"/>
        </w:rPr>
        <w:t>;</w:t>
      </w:r>
      <w:proofErr w:type="gramEnd"/>
      <w:r w:rsidR="00775CC6" w:rsidRPr="00A644D9">
        <w:rPr>
          <w:lang w:eastAsia="en-NZ"/>
        </w:rPr>
        <w:t xml:space="preserve">  </w:t>
      </w:r>
    </w:p>
    <w:p w14:paraId="6D477100" w14:textId="5BB280C5" w:rsidR="00775CC6" w:rsidRPr="00A644D9" w:rsidRDefault="006D703B" w:rsidP="00775CC6">
      <w:pPr>
        <w:pStyle w:val="Numberedpara2level2a"/>
        <w:rPr>
          <w:lang w:eastAsia="en-NZ"/>
        </w:rPr>
      </w:pPr>
      <w:r>
        <w:rPr>
          <w:lang w:eastAsia="en-NZ"/>
        </w:rPr>
        <w:t>T</w:t>
      </w:r>
      <w:r w:rsidR="00775CC6" w:rsidRPr="00A644D9">
        <w:rPr>
          <w:lang w:eastAsia="en-NZ"/>
        </w:rPr>
        <w:t xml:space="preserve">here are human rights </w:t>
      </w:r>
      <w:proofErr w:type="gramStart"/>
      <w:r w:rsidR="00775CC6" w:rsidRPr="00A644D9">
        <w:rPr>
          <w:lang w:eastAsia="en-NZ"/>
        </w:rPr>
        <w:t>issues</w:t>
      </w:r>
      <w:r w:rsidR="00727007">
        <w:rPr>
          <w:lang w:eastAsia="en-NZ"/>
        </w:rPr>
        <w:t>;</w:t>
      </w:r>
      <w:proofErr w:type="gramEnd"/>
    </w:p>
    <w:p w14:paraId="68C6EC28" w14:textId="2C01A05F" w:rsidR="00775CC6" w:rsidRPr="00A644D9" w:rsidRDefault="006D703B" w:rsidP="00775CC6">
      <w:pPr>
        <w:pStyle w:val="Numberedpara2level2a"/>
        <w:rPr>
          <w:lang w:eastAsia="en-NZ"/>
        </w:rPr>
      </w:pPr>
      <w:r>
        <w:rPr>
          <w:lang w:eastAsia="en-NZ"/>
        </w:rPr>
        <w:t>T</w:t>
      </w:r>
      <w:r w:rsidR="71407D81" w:rsidRPr="1E124C9A">
        <w:rPr>
          <w:lang w:eastAsia="en-NZ"/>
        </w:rPr>
        <w:t xml:space="preserve">here are (or may be) allegations made that the </w:t>
      </w:r>
      <w:r w:rsidR="001013B5" w:rsidRPr="1AD2D232">
        <w:rPr>
          <w:lang w:eastAsia="en-NZ"/>
        </w:rPr>
        <w:t>Department</w:t>
      </w:r>
      <w:r w:rsidR="71407D81" w:rsidRPr="1E124C9A">
        <w:rPr>
          <w:lang w:eastAsia="en-NZ"/>
        </w:rPr>
        <w:t xml:space="preserve"> had acted negligently or unlawfully</w:t>
      </w:r>
      <w:r w:rsidR="00727007">
        <w:rPr>
          <w:lang w:eastAsia="en-NZ"/>
        </w:rPr>
        <w:t>;</w:t>
      </w:r>
      <w:r w:rsidR="71407D81" w:rsidRPr="1E124C9A">
        <w:rPr>
          <w:lang w:eastAsia="en-NZ"/>
        </w:rPr>
        <w:t xml:space="preserve"> or  </w:t>
      </w:r>
    </w:p>
    <w:p w14:paraId="780738EB" w14:textId="5572226B" w:rsidR="00443E71" w:rsidRDefault="00775CC6" w:rsidP="00775CC6">
      <w:pPr>
        <w:pStyle w:val="Numberedpara2level2a"/>
        <w:rPr>
          <w:lang w:eastAsia="en-NZ"/>
        </w:rPr>
      </w:pPr>
      <w:r w:rsidRPr="00A644D9">
        <w:rPr>
          <w:lang w:eastAsia="en-NZ"/>
        </w:rPr>
        <w:t xml:space="preserve"> </w:t>
      </w:r>
      <w:r w:rsidR="006D703B">
        <w:rPr>
          <w:lang w:eastAsia="en-NZ"/>
        </w:rPr>
        <w:t>A</w:t>
      </w:r>
      <w:r w:rsidRPr="00A644D9">
        <w:rPr>
          <w:lang w:eastAsia="en-NZ"/>
        </w:rPr>
        <w:t>ny other reason exists that may indicate special sensitivity.</w:t>
      </w:r>
    </w:p>
    <w:p w14:paraId="3B78AF72" w14:textId="493AAB04" w:rsidR="0089617F" w:rsidRDefault="0089617F" w:rsidP="0089617F">
      <w:pPr>
        <w:pStyle w:val="Numberedpara2level1"/>
        <w:rPr>
          <w:lang w:eastAsia="en-NZ"/>
        </w:rPr>
      </w:pPr>
      <w:r w:rsidRPr="47B162D0">
        <w:rPr>
          <w:lang w:eastAsia="en-NZ"/>
        </w:rPr>
        <w:t xml:space="preserve">The </w:t>
      </w:r>
      <w:r w:rsidR="00FD5851" w:rsidRPr="47B162D0">
        <w:rPr>
          <w:lang w:eastAsia="en-NZ"/>
        </w:rPr>
        <w:t xml:space="preserve">test for prosecution should be periodically reviewed throughout the prosecution, particularly if </w:t>
      </w:r>
      <w:r w:rsidR="00AD5AAF" w:rsidRPr="47B162D0">
        <w:rPr>
          <w:lang w:eastAsia="en-NZ"/>
        </w:rPr>
        <w:t>any new information or evidence comes to light during the prosecution relevant to the decision to prosecute.</w:t>
      </w:r>
      <w:r w:rsidR="00561352" w:rsidRPr="47B162D0">
        <w:rPr>
          <w:lang w:eastAsia="en-NZ"/>
        </w:rPr>
        <w:t xml:space="preserve"> This is the responsibility of the investigator, manager</w:t>
      </w:r>
      <w:r w:rsidR="1B0378D4" w:rsidRPr="47B162D0">
        <w:rPr>
          <w:lang w:eastAsia="en-NZ"/>
        </w:rPr>
        <w:t>, prosecuting lawyer</w:t>
      </w:r>
      <w:r w:rsidR="00561352" w:rsidRPr="47B162D0">
        <w:rPr>
          <w:lang w:eastAsia="en-NZ"/>
        </w:rPr>
        <w:t xml:space="preserve"> and prosecution decision maker.</w:t>
      </w:r>
    </w:p>
    <w:p w14:paraId="5F6732F0" w14:textId="3A635BA6" w:rsidR="1C24BFAD" w:rsidRDefault="006713E7" w:rsidP="47B162D0">
      <w:pPr>
        <w:pStyle w:val="Numberedpara2level1"/>
      </w:pPr>
      <w:r>
        <w:t xml:space="preserve">Any </w:t>
      </w:r>
      <w:r w:rsidR="00F42493">
        <w:t xml:space="preserve">potential decisions about </w:t>
      </w:r>
      <w:r w:rsidR="00ED7029">
        <w:t xml:space="preserve">prosecutions or the conduct of prosecution that may be contrary to legal advice provided by the prosecuting lawyer or the DIA lawyer should be </w:t>
      </w:r>
      <w:r w:rsidR="00DC1877">
        <w:t>discussed with the Chief Legal Advisor</w:t>
      </w:r>
      <w:r w:rsidR="1C24BFAD">
        <w:t>.</w:t>
      </w:r>
      <w:r w:rsidR="005A0503">
        <w:t xml:space="preserve"> Refer to the Dispute Resolution section of this Policy</w:t>
      </w:r>
      <w:r w:rsidR="00727007">
        <w:t xml:space="preserve"> for more details on this</w:t>
      </w:r>
      <w:r w:rsidR="005A0503">
        <w:t>.</w:t>
      </w:r>
    </w:p>
    <w:p w14:paraId="4C1B53B4" w14:textId="77777777" w:rsidR="00CB2F12" w:rsidRDefault="00CB2F12" w:rsidP="00CB2F12">
      <w:pPr>
        <w:pStyle w:val="Numberedpara2heading"/>
        <w:outlineLvl w:val="1"/>
      </w:pPr>
      <w:r>
        <w:t xml:space="preserve">Alternatives to prosecution </w:t>
      </w:r>
    </w:p>
    <w:p w14:paraId="4F670385" w14:textId="77777777" w:rsidR="00CB2F12" w:rsidRDefault="00CB2F12" w:rsidP="00CB2F12">
      <w:pPr>
        <w:pStyle w:val="Numberedpara2level1"/>
      </w:pPr>
      <w:r>
        <w:t>Alternatives to prosecution must be assessed at two stages:</w:t>
      </w:r>
    </w:p>
    <w:p w14:paraId="3DFEEB12" w14:textId="555DB0C9" w:rsidR="00CB2F12" w:rsidRDefault="00CB2F12" w:rsidP="00CB2F12">
      <w:pPr>
        <w:pStyle w:val="Numberedpara2level2a"/>
      </w:pPr>
      <w:r>
        <w:t xml:space="preserve">Before considering prosecution: </w:t>
      </w:r>
      <w:r w:rsidR="00DA7A53">
        <w:t>i</w:t>
      </w:r>
      <w:r>
        <w:t>f an alternative response (e.g., educational approaches, warnings, infringements, civil penalties) is appropriate and effective, prosecution may not be necessary.</w:t>
      </w:r>
    </w:p>
    <w:p w14:paraId="778CDEA3" w14:textId="0653F766" w:rsidR="00CB2F12" w:rsidRDefault="00CB2F12" w:rsidP="00CB2F12">
      <w:pPr>
        <w:pStyle w:val="Numberedpara2level2a"/>
      </w:pPr>
      <w:r>
        <w:t xml:space="preserve">After the evidential sufficiency test is </w:t>
      </w:r>
      <w:proofErr w:type="gramStart"/>
      <w:r>
        <w:t>met:</w:t>
      </w:r>
      <w:proofErr w:type="gramEnd"/>
      <w:r>
        <w:t xml:space="preserve"> </w:t>
      </w:r>
      <w:r w:rsidR="00DA7A53">
        <w:t>p</w:t>
      </w:r>
      <w:r>
        <w:t>rosecution should not be the default. For example, if the offence is minor and the individual denies it, alternatives may be preferable.</w:t>
      </w:r>
    </w:p>
    <w:p w14:paraId="72460FE5" w14:textId="77777777" w:rsidR="00CB2F12" w:rsidRDefault="00CB2F12" w:rsidP="00CB2F12">
      <w:pPr>
        <w:pStyle w:val="Numberedpara2level1"/>
      </w:pPr>
      <w:r>
        <w:t>At a minimum the following options must be considered if available in the relevant regulatory scheme:</w:t>
      </w:r>
    </w:p>
    <w:p w14:paraId="04DCA7A0" w14:textId="28F05DFA" w:rsidR="00CB2F12" w:rsidRDefault="00CB2F12" w:rsidP="00CB2F12">
      <w:pPr>
        <w:pStyle w:val="Numberedpara2level2a"/>
      </w:pPr>
      <w:r>
        <w:t xml:space="preserve">Taking no action- </w:t>
      </w:r>
      <w:r w:rsidR="00727007">
        <w:t>t</w:t>
      </w:r>
      <w:r>
        <w:t>aking no action is used for trivial matters or when evidential sufficiency may not be met. Generally, this approach should only be taken when enforcement action is disproportionate or unnecessary. Decisions to take no action, including reasoning, should be recorded in writing.</w:t>
      </w:r>
    </w:p>
    <w:p w14:paraId="20175A1A" w14:textId="7A1054B6" w:rsidR="00CB2F12" w:rsidRDefault="00CB2F12" w:rsidP="00CB2F12">
      <w:pPr>
        <w:pStyle w:val="Numberedpara2level2a"/>
      </w:pPr>
      <w:r>
        <w:lastRenderedPageBreak/>
        <w:t xml:space="preserve">Taking an educational approach such as the provision of guidance to encourage compliance- </w:t>
      </w:r>
      <w:r w:rsidR="00727007">
        <w:t>a</w:t>
      </w:r>
      <w:r>
        <w:t xml:space="preserve">n educational approach </w:t>
      </w:r>
      <w:r w:rsidR="00F305D3">
        <w:t xml:space="preserve">is most appropriate </w:t>
      </w:r>
      <w:r>
        <w:t xml:space="preserve">for first offences or when there is </w:t>
      </w:r>
      <w:r w:rsidR="00A32442">
        <w:t xml:space="preserve">ambiguity </w:t>
      </w:r>
      <w:r>
        <w:t>about the law</w:t>
      </w:r>
      <w:r w:rsidR="008E3458">
        <w:t>, and/or the department’s position on it</w:t>
      </w:r>
      <w:r>
        <w:t xml:space="preserve">. </w:t>
      </w:r>
    </w:p>
    <w:p w14:paraId="3AE85B08" w14:textId="5F8EB557" w:rsidR="00CB2F12" w:rsidRDefault="00CB2F12" w:rsidP="00CB2F12">
      <w:pPr>
        <w:pStyle w:val="Numberedpara2level2a"/>
      </w:pPr>
      <w:r>
        <w:t xml:space="preserve">Issuing a warning, whether formal or informal- </w:t>
      </w:r>
      <w:r w:rsidR="00727007">
        <w:t>w</w:t>
      </w:r>
      <w:r>
        <w:t xml:space="preserve">arnings should </w:t>
      </w:r>
      <w:r w:rsidRPr="00D56C6D">
        <w:t>identify</w:t>
      </w:r>
      <w:r>
        <w:t xml:space="preserve"> </w:t>
      </w:r>
      <w:r w:rsidRPr="00D56C6D">
        <w:t xml:space="preserve">the relevant law, potential penalties, and expected compliance, without stating or implying guilt (although evidential sufficiency must be met). Formal warnings are used for minor offending where remediation may be possible, and prosecution would be disproportionate. The offender is advised that formal warnings are recorded for future </w:t>
      </w:r>
      <w:proofErr w:type="gramStart"/>
      <w:r w:rsidRPr="00D56C6D">
        <w:t>reference, and</w:t>
      </w:r>
      <w:proofErr w:type="gramEnd"/>
      <w:r w:rsidRPr="00D56C6D">
        <w:t xml:space="preserve"> may influence </w:t>
      </w:r>
      <w:r>
        <w:t>the Department</w:t>
      </w:r>
      <w:r w:rsidRPr="00D56C6D">
        <w:t>’s response to repeat offending.</w:t>
      </w:r>
    </w:p>
    <w:p w14:paraId="7EF91599" w14:textId="00CFA1C0" w:rsidR="00CB2F12" w:rsidRDefault="00CB2F12" w:rsidP="00CB2F12">
      <w:pPr>
        <w:pStyle w:val="Numberedpara2level2a"/>
      </w:pPr>
      <w:r>
        <w:t xml:space="preserve">Issuing an infringement- </w:t>
      </w:r>
      <w:r w:rsidR="00727007">
        <w:t>i</w:t>
      </w:r>
      <w:r w:rsidRPr="009B6769">
        <w:t>nfringement notices are used for lower-level offending that is too serious for a formal warning but not serious enough for prosecution. Evidential sufficiency must be met, and an infringement notice must be proportionate to the offending. Infringement notices do not result in a criminal record but are recorded and considered in future enforcement decisions.</w:t>
      </w:r>
    </w:p>
    <w:p w14:paraId="34BE8AAA" w14:textId="387CFFBE" w:rsidR="00CB2F12" w:rsidRDefault="00CB2F12" w:rsidP="00CB2F12">
      <w:pPr>
        <w:pStyle w:val="Numberedpara2level2a"/>
      </w:pPr>
      <w:r>
        <w:t xml:space="preserve">Enforceable undertakings- </w:t>
      </w:r>
      <w:r w:rsidR="00727007">
        <w:t>e</w:t>
      </w:r>
      <w:r>
        <w:t xml:space="preserve">nforceable undertakings </w:t>
      </w:r>
      <w:r w:rsidR="00050052">
        <w:t>may be appropriate</w:t>
      </w:r>
      <w:r>
        <w:t xml:space="preserve"> when the Department considers that there is evidence of a breach of the law but considers that an enforceable undertaking is more proportionate in the circumstances.</w:t>
      </w:r>
    </w:p>
    <w:p w14:paraId="0CDA6DCF" w14:textId="2E6BF052" w:rsidR="00CB2F12" w:rsidRDefault="00CB2F12" w:rsidP="00CB2F12">
      <w:pPr>
        <w:pStyle w:val="Numberedpara2level2a"/>
      </w:pPr>
      <w:r>
        <w:t xml:space="preserve">Diversion, consistent with DIA’s Diversion Policy- </w:t>
      </w:r>
      <w:r w:rsidR="00727007">
        <w:t>d</w:t>
      </w:r>
      <w:r>
        <w:t xml:space="preserve">iversion may be appropriate for first time offenders if the Department considers that it would help prevent re-offending and help the individual understand the impact of their behaviour on their victims. </w:t>
      </w:r>
    </w:p>
    <w:p w14:paraId="32857E42" w14:textId="7DEF45FD" w:rsidR="00061255" w:rsidRDefault="00CB2F12" w:rsidP="00FE2A01">
      <w:pPr>
        <w:pStyle w:val="Numberedpara2level2a"/>
      </w:pPr>
      <w:r>
        <w:t xml:space="preserve">Civil penalties- </w:t>
      </w:r>
      <w:r w:rsidR="00727007">
        <w:t>c</w:t>
      </w:r>
      <w:r>
        <w:t xml:space="preserve">ivil penalties should be considered when there has been a significant failure to comply with legislative </w:t>
      </w:r>
      <w:proofErr w:type="gramStart"/>
      <w:r>
        <w:t>requirements</w:t>
      </w:r>
      <w:proofErr w:type="gramEnd"/>
      <w:r>
        <w:t xml:space="preserve"> but the Department does not consider that the higher threshold of criminal liability is met. Pecuniary penalties can be significant so any decision to pursue them should be considered carefully, much like the decision to prosecute.</w:t>
      </w:r>
    </w:p>
    <w:p w14:paraId="5DA48DCB" w14:textId="28BF2DC7" w:rsidR="00FE2A01" w:rsidRDefault="00F46024" w:rsidP="00FE2A01">
      <w:pPr>
        <w:pStyle w:val="Numberedpara2level1"/>
      </w:pPr>
      <w:r>
        <w:t>As noted above, any decision to take an alternative to prosecution</w:t>
      </w:r>
      <w:r w:rsidR="009F4CC0">
        <w:t xml:space="preserve"> should be recorded in writing by the prosecution decision maker.</w:t>
      </w:r>
    </w:p>
    <w:p w14:paraId="3F33B2AD" w14:textId="1F788745" w:rsidR="004D7BC8" w:rsidRDefault="004D26C6" w:rsidP="004D7BC8">
      <w:pPr>
        <w:pStyle w:val="Numberedpara2subheading"/>
      </w:pPr>
      <w:r>
        <w:t>Dispute</w:t>
      </w:r>
      <w:r w:rsidR="00355DF5">
        <w:t xml:space="preserve"> resolution</w:t>
      </w:r>
    </w:p>
    <w:p w14:paraId="6C5056CE" w14:textId="29F79909" w:rsidR="00052806" w:rsidRDefault="00AE71DF" w:rsidP="00156101">
      <w:pPr>
        <w:pStyle w:val="Numberedpara2level1"/>
      </w:pPr>
      <w:r>
        <w:t>In the case of a di</w:t>
      </w:r>
      <w:r w:rsidR="00516EF6">
        <w:t>fference</w:t>
      </w:r>
      <w:r>
        <w:t xml:space="preserve"> </w:t>
      </w:r>
      <w:r w:rsidR="005175F3">
        <w:t xml:space="preserve">of opinion </w:t>
      </w:r>
      <w:r>
        <w:t xml:space="preserve">between </w:t>
      </w:r>
      <w:r w:rsidR="00F13044">
        <w:t>any of the p</w:t>
      </w:r>
      <w:r w:rsidR="00EF3B2A">
        <w:t>ersons</w:t>
      </w:r>
      <w:r w:rsidR="00F13044">
        <w:t xml:space="preserve"> involved in </w:t>
      </w:r>
      <w:r w:rsidR="00EA5CF6">
        <w:t>the making of a recommendation to prosecute</w:t>
      </w:r>
      <w:r w:rsidR="008E5831">
        <w:t>,</w:t>
      </w:r>
      <w:r w:rsidR="00EA5CF6">
        <w:t xml:space="preserve"> </w:t>
      </w:r>
      <w:r w:rsidR="00F13044">
        <w:t xml:space="preserve">including the investigator, </w:t>
      </w:r>
      <w:r w:rsidR="003D57C6">
        <w:t>prosecuting lawyer</w:t>
      </w:r>
      <w:r w:rsidR="008E5831">
        <w:t xml:space="preserve"> and</w:t>
      </w:r>
      <w:r w:rsidR="003D57C6">
        <w:t xml:space="preserve"> in-house legal</w:t>
      </w:r>
      <w:r w:rsidR="008E5831">
        <w:t xml:space="preserve">, </w:t>
      </w:r>
      <w:r w:rsidR="0001202E">
        <w:t xml:space="preserve">the </w:t>
      </w:r>
      <w:r w:rsidR="00E24C07">
        <w:t>relevant persons</w:t>
      </w:r>
      <w:r w:rsidR="0001202E">
        <w:t xml:space="preserve"> will first meet to </w:t>
      </w:r>
      <w:r w:rsidR="00A229E9">
        <w:t xml:space="preserve">attempt to resolve the dispute. If the </w:t>
      </w:r>
      <w:r w:rsidR="00E321BF">
        <w:t>dispute</w:t>
      </w:r>
      <w:r w:rsidR="009D0B83">
        <w:t xml:space="preserve"> is unable to be resolved</w:t>
      </w:r>
      <w:r w:rsidR="005E6774">
        <w:t>,</w:t>
      </w:r>
      <w:r w:rsidR="008E5831">
        <w:t xml:space="preserve"> th</w:t>
      </w:r>
      <w:r w:rsidR="004D26C6">
        <w:t>e mat</w:t>
      </w:r>
      <w:r w:rsidR="00052806">
        <w:t xml:space="preserve">ter </w:t>
      </w:r>
      <w:r w:rsidR="008E5831">
        <w:t xml:space="preserve">will be escalated to the prosecution decision maker. </w:t>
      </w:r>
    </w:p>
    <w:p w14:paraId="6E520508" w14:textId="38441878" w:rsidR="003F041B" w:rsidRDefault="00115E5B" w:rsidP="00156101">
      <w:pPr>
        <w:pStyle w:val="Numberedpara2level1"/>
      </w:pPr>
      <w:r>
        <w:t>If the investigator or decision maker does not agree with legal advice</w:t>
      </w:r>
      <w:r w:rsidR="002A5CA4">
        <w:t xml:space="preserve"> (internal or external)</w:t>
      </w:r>
      <w:r>
        <w:t xml:space="preserve"> relating to the </w:t>
      </w:r>
      <w:r w:rsidR="004E6EC6">
        <w:t>decision to prosecute and/ or the manner of conducting the prosecution</w:t>
      </w:r>
      <w:r w:rsidR="002A5CA4">
        <w:t xml:space="preserve">, this will be discussed with the DIA lawyer allocated to manage the </w:t>
      </w:r>
      <w:r w:rsidR="00C5404D">
        <w:t>matter</w:t>
      </w:r>
      <w:r w:rsidR="002A5CA4">
        <w:t xml:space="preserve">. </w:t>
      </w:r>
    </w:p>
    <w:p w14:paraId="10125C7E" w14:textId="5E46B881" w:rsidR="00156101" w:rsidRDefault="0012430C" w:rsidP="00156101">
      <w:pPr>
        <w:pStyle w:val="Numberedpara2level1"/>
      </w:pPr>
      <w:r>
        <w:t>If the prosecution decision maker i</w:t>
      </w:r>
      <w:r w:rsidR="00052806">
        <w:t xml:space="preserve">ntends </w:t>
      </w:r>
      <w:r>
        <w:t xml:space="preserve">to act </w:t>
      </w:r>
      <w:r w:rsidR="00052806">
        <w:t xml:space="preserve">in a way that is inconsistent with a </w:t>
      </w:r>
      <w:r>
        <w:t xml:space="preserve">recommendation of </w:t>
      </w:r>
      <w:r w:rsidR="00052806">
        <w:t>the investigator</w:t>
      </w:r>
      <w:r w:rsidR="00140FB8">
        <w:t>, manager</w:t>
      </w:r>
      <w:r w:rsidR="3DB9C93A">
        <w:t xml:space="preserve">, </w:t>
      </w:r>
      <w:r w:rsidR="00676733">
        <w:t>the DIA lawyer allocated to</w:t>
      </w:r>
      <w:r w:rsidR="00F62483">
        <w:t xml:space="preserve"> the matter,</w:t>
      </w:r>
      <w:r w:rsidR="00676733">
        <w:t xml:space="preserve"> </w:t>
      </w:r>
      <w:r w:rsidR="004F6801">
        <w:t>or prosecuting lawyer</w:t>
      </w:r>
      <w:r>
        <w:t>,</w:t>
      </w:r>
      <w:r w:rsidR="009D0B83">
        <w:t xml:space="preserve"> then the matter will be </w:t>
      </w:r>
      <w:r w:rsidR="003C7909">
        <w:t>escalated</w:t>
      </w:r>
      <w:r w:rsidR="009D0B83">
        <w:t xml:space="preserve"> </w:t>
      </w:r>
      <w:r w:rsidR="00B70530">
        <w:t xml:space="preserve">to the Chief Legal Adviser and </w:t>
      </w:r>
      <w:r w:rsidR="00773D85">
        <w:t>the</w:t>
      </w:r>
      <w:r w:rsidR="00AA41A4">
        <w:t xml:space="preserve"> appropriate General-Manager. </w:t>
      </w:r>
    </w:p>
    <w:p w14:paraId="005B4E87" w14:textId="6EB62A97" w:rsidR="00B46CA7" w:rsidRDefault="005A0503" w:rsidP="00C17450">
      <w:pPr>
        <w:pStyle w:val="Numberedpara2level1"/>
        <w:rPr>
          <w:lang w:val="en-AU" w:eastAsia="en-AU"/>
        </w:rPr>
      </w:pPr>
      <w:r w:rsidRPr="005A0503">
        <w:rPr>
          <w:lang w:val="en-AU" w:eastAsia="en-AU"/>
        </w:rPr>
        <w:t>The Solicitor</w:t>
      </w:r>
      <w:r w:rsidRPr="005A0503">
        <w:rPr>
          <w:lang w:val="en-AU" w:eastAsia="en-AU"/>
        </w:rPr>
        <w:noBreakHyphen/>
        <w:t xml:space="preserve">General has overall responsibility for the Crown prosecution function in New Zealand. Within the Department, the Chief Legal Adviser is responsible for assessing and managing legal risk. Accordingly, any proposed decision about whether </w:t>
      </w:r>
      <w:r w:rsidRPr="005A0503">
        <w:rPr>
          <w:lang w:val="en-AU" w:eastAsia="en-AU"/>
        </w:rPr>
        <w:lastRenderedPageBreak/>
        <w:t>to prosecute, or about the conduct of a prosecution,</w:t>
      </w:r>
      <w:r w:rsidR="00C17450">
        <w:rPr>
          <w:lang w:val="en-AU" w:eastAsia="en-AU"/>
        </w:rPr>
        <w:t xml:space="preserve"> or the use of enforcement tools</w:t>
      </w:r>
      <w:r w:rsidR="00B46CA7">
        <w:rPr>
          <w:lang w:val="en-AU" w:eastAsia="en-AU"/>
        </w:rPr>
        <w:t>,</w:t>
      </w:r>
      <w:r w:rsidRPr="005A0503">
        <w:rPr>
          <w:lang w:val="en-AU" w:eastAsia="en-AU"/>
        </w:rPr>
        <w:t xml:space="preserve"> that may be inconsistent with</w:t>
      </w:r>
      <w:r w:rsidR="00C5404D">
        <w:rPr>
          <w:lang w:val="en-AU" w:eastAsia="en-AU"/>
        </w:rPr>
        <w:t xml:space="preserve"> legal</w:t>
      </w:r>
      <w:r w:rsidRPr="005A0503">
        <w:rPr>
          <w:lang w:val="en-AU" w:eastAsia="en-AU"/>
        </w:rPr>
        <w:t xml:space="preserve"> advice provided by the prosecuting lawyer or the Department’s legal team should be discussed with the Chief Legal Adviser.</w:t>
      </w:r>
      <w:r>
        <w:rPr>
          <w:lang w:val="en-AU" w:eastAsia="en-AU"/>
        </w:rPr>
        <w:t xml:space="preserve"> </w:t>
      </w:r>
    </w:p>
    <w:p w14:paraId="00EED932" w14:textId="7AFD84F0" w:rsidR="00741DD7" w:rsidRPr="00B46CA7" w:rsidRDefault="00B46CA7" w:rsidP="00C17450">
      <w:pPr>
        <w:pStyle w:val="Numberedpara2level1"/>
        <w:rPr>
          <w:lang w:val="en-AU" w:eastAsia="en-AU"/>
        </w:rPr>
      </w:pPr>
      <w:r>
        <w:rPr>
          <w:lang w:val="en-AU" w:eastAsia="en-AU"/>
        </w:rPr>
        <w:t>F</w:t>
      </w:r>
      <w:r w:rsidR="00961787">
        <w:t>or the avoidance of doubt, no prosecution may be taken without</w:t>
      </w:r>
      <w:r w:rsidR="00791E70">
        <w:t xml:space="preserve"> a prosecuting lawyer </w:t>
      </w:r>
      <w:r w:rsidR="004D7BC8">
        <w:t>confirming that the evidential sufficiency test is met.</w:t>
      </w:r>
    </w:p>
    <w:p w14:paraId="72078FED" w14:textId="7F1C4C2C" w:rsidR="00F536E4" w:rsidRDefault="00F536E4" w:rsidP="0053109B">
      <w:pPr>
        <w:pStyle w:val="Numberedpara2heading"/>
        <w:outlineLvl w:val="1"/>
      </w:pPr>
      <w:r>
        <w:t>Infringements</w:t>
      </w:r>
    </w:p>
    <w:p w14:paraId="3B0E9B3B" w14:textId="03600340" w:rsidR="00D62E06" w:rsidRDefault="75ABB9F9" w:rsidP="00156101">
      <w:pPr>
        <w:pStyle w:val="Numberedpara2level1"/>
      </w:pPr>
      <w:proofErr w:type="gramStart"/>
      <w:r>
        <w:t>Generally</w:t>
      </w:r>
      <w:proofErr w:type="gramEnd"/>
      <w:r w:rsidR="00112A3C">
        <w:t xml:space="preserve"> </w:t>
      </w:r>
      <w:r w:rsidR="00C218FB">
        <w:t>i</w:t>
      </w:r>
      <w:r w:rsidR="00D62E06">
        <w:t>nfringement</w:t>
      </w:r>
      <w:r w:rsidR="00C218FB">
        <w:t xml:space="preserve"> offences apply to </w:t>
      </w:r>
      <w:r w:rsidR="006920E6">
        <w:t>moni</w:t>
      </w:r>
      <w:r w:rsidR="6ED44E2A">
        <w:t>to</w:t>
      </w:r>
      <w:r w:rsidR="006920E6">
        <w:t>r offending, do not result in criminal convictio</w:t>
      </w:r>
      <w:r w:rsidR="4E58690E">
        <w:t>n</w:t>
      </w:r>
      <w:r w:rsidR="006920E6">
        <w:t xml:space="preserve">s and involve </w:t>
      </w:r>
      <w:r w:rsidR="00C218FB">
        <w:t>low level</w:t>
      </w:r>
      <w:r w:rsidR="00FC46EE">
        <w:t xml:space="preserve"> fees</w:t>
      </w:r>
      <w:r w:rsidR="00F025A8">
        <w:t xml:space="preserve"> and therefore can generally be dealt with without </w:t>
      </w:r>
      <w:r w:rsidR="0039396C">
        <w:t>legal advice</w:t>
      </w:r>
      <w:r w:rsidR="00F025A8">
        <w:t>. However, some infringements carry more legal risk</w:t>
      </w:r>
      <w:r w:rsidR="00F56ED0">
        <w:t xml:space="preserve"> than others</w:t>
      </w:r>
      <w:r w:rsidR="00F025A8">
        <w:t>.</w:t>
      </w:r>
    </w:p>
    <w:p w14:paraId="7A10929D" w14:textId="40E56F3C" w:rsidR="00F025A8" w:rsidRDefault="00F025A8" w:rsidP="00156101">
      <w:pPr>
        <w:pStyle w:val="Numberedpara2level1"/>
      </w:pPr>
      <w:r>
        <w:t>Therefore</w:t>
      </w:r>
      <w:r w:rsidR="00F536E4">
        <w:t>,</w:t>
      </w:r>
      <w:r>
        <w:t xml:space="preserve"> infringements that meet the following criteria must be </w:t>
      </w:r>
      <w:r w:rsidR="007B0B0B">
        <w:t>referred to</w:t>
      </w:r>
      <w:r w:rsidR="0002663A">
        <w:t xml:space="preserve"> </w:t>
      </w:r>
      <w:r w:rsidR="007B0B0B">
        <w:t xml:space="preserve">the </w:t>
      </w:r>
      <w:r w:rsidR="0002663A">
        <w:t>Legal Services team</w:t>
      </w:r>
      <w:r w:rsidR="00257271">
        <w:t>:</w:t>
      </w:r>
    </w:p>
    <w:p w14:paraId="17C6706E" w14:textId="0EAEA348" w:rsidR="00257271" w:rsidRPr="00257271" w:rsidRDefault="0036584E" w:rsidP="00257271">
      <w:pPr>
        <w:pStyle w:val="Numberedpara2level2a"/>
        <w:rPr>
          <w:lang w:eastAsia="en-NZ"/>
        </w:rPr>
      </w:pPr>
      <w:r>
        <w:rPr>
          <w:lang w:eastAsia="en-NZ"/>
        </w:rPr>
        <w:t>T</w:t>
      </w:r>
      <w:r w:rsidR="00257271" w:rsidRPr="00257271">
        <w:rPr>
          <w:lang w:eastAsia="en-NZ"/>
        </w:rPr>
        <w:t>he legislation</w:t>
      </w:r>
      <w:r w:rsidR="00F536E4">
        <w:rPr>
          <w:lang w:eastAsia="en-NZ"/>
        </w:rPr>
        <w:t xml:space="preserve"> or regulations</w:t>
      </w:r>
      <w:r w:rsidR="00257271" w:rsidRPr="00257271">
        <w:rPr>
          <w:lang w:eastAsia="en-NZ"/>
        </w:rPr>
        <w:t xml:space="preserve">, or the particular provision breached, is new or </w:t>
      </w:r>
      <w:proofErr w:type="gramStart"/>
      <w:r w:rsidR="00257271" w:rsidRPr="00257271">
        <w:rPr>
          <w:lang w:eastAsia="en-NZ"/>
        </w:rPr>
        <w:t>untested</w:t>
      </w:r>
      <w:r>
        <w:rPr>
          <w:lang w:eastAsia="en-NZ"/>
        </w:rPr>
        <w:t>;</w:t>
      </w:r>
      <w:proofErr w:type="gramEnd"/>
      <w:r w:rsidR="00257271" w:rsidRPr="00257271">
        <w:rPr>
          <w:lang w:eastAsia="en-NZ"/>
        </w:rPr>
        <w:t xml:space="preserve">  </w:t>
      </w:r>
    </w:p>
    <w:p w14:paraId="32D3EB34" w14:textId="5CBAC531" w:rsidR="00257271" w:rsidRPr="00257271" w:rsidRDefault="0036584E" w:rsidP="00F536E4">
      <w:pPr>
        <w:pStyle w:val="Numberedpara2level2a"/>
        <w:rPr>
          <w:lang w:eastAsia="en-NZ"/>
        </w:rPr>
      </w:pPr>
      <w:r>
        <w:rPr>
          <w:lang w:eastAsia="en-NZ"/>
        </w:rPr>
        <w:t>T</w:t>
      </w:r>
      <w:r w:rsidR="00257271" w:rsidRPr="00257271">
        <w:rPr>
          <w:lang w:eastAsia="en-NZ"/>
        </w:rPr>
        <w:t xml:space="preserve">here are human rights </w:t>
      </w:r>
      <w:proofErr w:type="gramStart"/>
      <w:r w:rsidR="00257271" w:rsidRPr="00257271">
        <w:rPr>
          <w:lang w:eastAsia="en-NZ"/>
        </w:rPr>
        <w:t>issues</w:t>
      </w:r>
      <w:r>
        <w:rPr>
          <w:lang w:eastAsia="en-NZ"/>
        </w:rPr>
        <w:t>;</w:t>
      </w:r>
      <w:proofErr w:type="gramEnd"/>
      <w:r w:rsidR="00257271" w:rsidRPr="00257271">
        <w:rPr>
          <w:lang w:eastAsia="en-NZ"/>
        </w:rPr>
        <w:t xml:space="preserve">  </w:t>
      </w:r>
    </w:p>
    <w:p w14:paraId="06F2E90F" w14:textId="1D6F63E8" w:rsidR="00257271" w:rsidRPr="00257271" w:rsidRDefault="0036584E" w:rsidP="00F536E4">
      <w:pPr>
        <w:pStyle w:val="Numberedpara2level2a"/>
        <w:rPr>
          <w:lang w:eastAsia="en-NZ"/>
        </w:rPr>
      </w:pPr>
      <w:r>
        <w:rPr>
          <w:lang w:eastAsia="en-NZ"/>
        </w:rPr>
        <w:t>T</w:t>
      </w:r>
      <w:r w:rsidR="00257271" w:rsidRPr="00257271">
        <w:rPr>
          <w:lang w:eastAsia="en-NZ"/>
        </w:rPr>
        <w:t>here are (or may be) allegations made that the agency had acted negligently or unlawfully</w:t>
      </w:r>
      <w:r>
        <w:rPr>
          <w:lang w:eastAsia="en-NZ"/>
        </w:rPr>
        <w:t>;</w:t>
      </w:r>
      <w:r w:rsidR="00257271" w:rsidRPr="00257271">
        <w:rPr>
          <w:lang w:eastAsia="en-NZ"/>
        </w:rPr>
        <w:t xml:space="preserve"> or  </w:t>
      </w:r>
    </w:p>
    <w:p w14:paraId="18DEF171" w14:textId="55588F93" w:rsidR="00257271" w:rsidRDefault="0036584E" w:rsidP="004934FD">
      <w:pPr>
        <w:pStyle w:val="Numberedpara2level2a"/>
        <w:rPr>
          <w:lang w:eastAsia="en-NZ"/>
        </w:rPr>
      </w:pPr>
      <w:r>
        <w:rPr>
          <w:lang w:eastAsia="en-NZ"/>
        </w:rPr>
        <w:t>A</w:t>
      </w:r>
      <w:r w:rsidR="00257271" w:rsidRPr="00257271">
        <w:rPr>
          <w:lang w:eastAsia="en-NZ"/>
        </w:rPr>
        <w:t>ny other reason exists that may indicate special sensitivity such as the vulnerability or age of the person being infringed.</w:t>
      </w:r>
    </w:p>
    <w:p w14:paraId="1C6B74BF" w14:textId="168AFB10" w:rsidR="002B1053" w:rsidRDefault="000C0DA2" w:rsidP="000C0DA2">
      <w:pPr>
        <w:pStyle w:val="Numberedpara2heading"/>
        <w:outlineLvl w:val="1"/>
      </w:pPr>
      <w:bookmarkStart w:id="15" w:name="relateddocuments"/>
      <w:r>
        <w:t>Warnings</w:t>
      </w:r>
    </w:p>
    <w:p w14:paraId="47031780" w14:textId="1118B432" w:rsidR="000C0DA2" w:rsidRDefault="00993E28" w:rsidP="00832D46">
      <w:pPr>
        <w:pStyle w:val="Numberedpara2level1"/>
      </w:pPr>
      <w:r>
        <w:t xml:space="preserve">When considering prosecution, decision makers should always consider if a formal warning would </w:t>
      </w:r>
      <w:r w:rsidR="005B7534">
        <w:t xml:space="preserve">be more proportionate than </w:t>
      </w:r>
      <w:r w:rsidR="00AA411B">
        <w:t xml:space="preserve">other regulatory actions. </w:t>
      </w:r>
      <w:r w:rsidR="00AF71F1">
        <w:t xml:space="preserve">Warnings should be considered </w:t>
      </w:r>
      <w:proofErr w:type="gramStart"/>
      <w:r w:rsidR="00AF71F1">
        <w:t>in light of</w:t>
      </w:r>
      <w:proofErr w:type="gramEnd"/>
      <w:r w:rsidR="00AF71F1">
        <w:t xml:space="preserve"> the Department’s prosecution policy and the </w:t>
      </w:r>
      <w:r w:rsidR="00CB0DEA">
        <w:t xml:space="preserve">Solicitor-General’s </w:t>
      </w:r>
      <w:r w:rsidR="00D208EF">
        <w:t>Warnings Guidelines.</w:t>
      </w:r>
    </w:p>
    <w:p w14:paraId="64895794" w14:textId="4188E181" w:rsidR="00D208EF" w:rsidRDefault="00D208EF" w:rsidP="00832D46">
      <w:pPr>
        <w:pStyle w:val="Numberedpara2level1"/>
      </w:pPr>
      <w:r>
        <w:t>Broadly</w:t>
      </w:r>
      <w:r w:rsidR="00A447D8">
        <w:t xml:space="preserve">, a warning must not be </w:t>
      </w:r>
      <w:proofErr w:type="gramStart"/>
      <w:r w:rsidR="00A447D8">
        <w:t>issued</w:t>
      </w:r>
      <w:r w:rsidR="00FD2245">
        <w:t xml:space="preserve"> </w:t>
      </w:r>
      <w:r w:rsidR="00A447D8">
        <w:t xml:space="preserve"> unless</w:t>
      </w:r>
      <w:proofErr w:type="gramEnd"/>
      <w:r w:rsidR="00A447D8">
        <w:t xml:space="preserve"> the d</w:t>
      </w:r>
      <w:r w:rsidR="00313B63">
        <w:t xml:space="preserve">ecision maker </w:t>
      </w:r>
      <w:r w:rsidR="00FD2245">
        <w:t xml:space="preserve">considers </w:t>
      </w:r>
      <w:r w:rsidR="009D5EFB">
        <w:t>that the behaviour in question could result in criminal conduct.</w:t>
      </w:r>
      <w:r w:rsidR="007B6F02">
        <w:t xml:space="preserve"> </w:t>
      </w:r>
      <w:r w:rsidR="00F73FC8">
        <w:t xml:space="preserve">Before issuing a </w:t>
      </w:r>
      <w:proofErr w:type="gramStart"/>
      <w:r w:rsidR="00F73FC8">
        <w:t>warning</w:t>
      </w:r>
      <w:proofErr w:type="gramEnd"/>
      <w:r w:rsidR="00F73FC8">
        <w:t xml:space="preserve"> </w:t>
      </w:r>
      <w:r w:rsidR="004F5CE8">
        <w:t>the person or entity who is the subject of the warning must be given the oppo</w:t>
      </w:r>
      <w:r w:rsidR="00FA3376">
        <w:t>rtunity to respond to allegations and other principles of natural justice must be observed.</w:t>
      </w:r>
    </w:p>
    <w:p w14:paraId="78B178A9" w14:textId="5EE254FA" w:rsidR="007C1916" w:rsidRDefault="007C1916" w:rsidP="007C1916">
      <w:pPr>
        <w:pStyle w:val="Numberedpara2heading"/>
        <w:outlineLvl w:val="1"/>
      </w:pPr>
      <w:r>
        <w:t>Appeals</w:t>
      </w:r>
    </w:p>
    <w:p w14:paraId="2C92FF99" w14:textId="77777777" w:rsidR="007B301A" w:rsidRDefault="007B301A" w:rsidP="00832D46">
      <w:pPr>
        <w:pStyle w:val="Numberedpara2level1"/>
      </w:pPr>
      <w:r w:rsidRPr="007B301A">
        <w:t>No appeal may be brought from any D</w:t>
      </w:r>
      <w:r>
        <w:t>IA</w:t>
      </w:r>
      <w:r w:rsidRPr="007B301A">
        <w:t xml:space="preserve"> prosecution unless: </w:t>
      </w:r>
    </w:p>
    <w:p w14:paraId="2FB05FAC" w14:textId="4D0EC6FD" w:rsidR="007B301A" w:rsidRDefault="007B301A" w:rsidP="007B301A">
      <w:pPr>
        <w:pStyle w:val="Numberedpara2level2a"/>
      </w:pPr>
      <w:r w:rsidRPr="007B301A">
        <w:t xml:space="preserve">The </w:t>
      </w:r>
      <w:r>
        <w:t>prosecution decision maker</w:t>
      </w:r>
      <w:r w:rsidRPr="007B301A">
        <w:t xml:space="preserve">, and any other relevant staff, have been </w:t>
      </w:r>
      <w:proofErr w:type="gramStart"/>
      <w:r w:rsidRPr="007B301A">
        <w:t>consulted;</w:t>
      </w:r>
      <w:proofErr w:type="gramEnd"/>
      <w:r w:rsidRPr="007B301A">
        <w:t xml:space="preserve"> </w:t>
      </w:r>
    </w:p>
    <w:p w14:paraId="668942F3" w14:textId="77777777" w:rsidR="007B301A" w:rsidRDefault="007B301A" w:rsidP="007B301A">
      <w:pPr>
        <w:pStyle w:val="Numberedpara2level2a"/>
      </w:pPr>
      <w:r w:rsidRPr="007B301A">
        <w:t xml:space="preserve">The Chief Legal Adviser has agreed to refer the proposed appeal to the Solicitor-General for consideration; and </w:t>
      </w:r>
    </w:p>
    <w:p w14:paraId="64BFB6CA" w14:textId="393CA4C1" w:rsidR="002E509B" w:rsidRDefault="007B301A" w:rsidP="007B301A">
      <w:pPr>
        <w:pStyle w:val="Numberedpara2level2a"/>
      </w:pPr>
      <w:r w:rsidRPr="007B301A">
        <w:t>The Solicitor-General approves the appeal in accordance with the Criminal Procedure Act 2011.</w:t>
      </w:r>
    </w:p>
    <w:p w14:paraId="6458BA90" w14:textId="2FF98EB2" w:rsidR="007C1916" w:rsidRDefault="007C1916" w:rsidP="000608BF">
      <w:pPr>
        <w:pStyle w:val="Numberedpara2heading"/>
        <w:outlineLvl w:val="1"/>
      </w:pPr>
      <w:r>
        <w:t>Review procedure</w:t>
      </w:r>
    </w:p>
    <w:p w14:paraId="04D25C29" w14:textId="52FEDDC4" w:rsidR="000608BF" w:rsidRDefault="00156480" w:rsidP="007C1916">
      <w:pPr>
        <w:pStyle w:val="Numberedpara2level2a"/>
        <w:numPr>
          <w:ilvl w:val="0"/>
          <w:numId w:val="0"/>
        </w:numPr>
      </w:pPr>
      <w:r>
        <w:t xml:space="preserve">Any person affected by a decision under this Policy, including a decision to take no action, may seek a review </w:t>
      </w:r>
      <w:r w:rsidR="00316CB7">
        <w:t xml:space="preserve">via DIA’s complaint procedure by emailing </w:t>
      </w:r>
      <w:hyperlink r:id="rId12" w:history="1">
        <w:r w:rsidR="00316CB7" w:rsidRPr="00316CB7">
          <w:rPr>
            <w:rStyle w:val="Hyperlink"/>
          </w:rPr>
          <w:t>complaints@dia.govt.nz</w:t>
        </w:r>
      </w:hyperlink>
      <w:r w:rsidR="00316CB7" w:rsidRPr="00316CB7">
        <w:t>. </w:t>
      </w:r>
    </w:p>
    <w:bookmarkEnd w:id="15"/>
    <w:p w14:paraId="0D2D7B68" w14:textId="60EBCD33" w:rsidR="009C64BE" w:rsidRDefault="009C64BE" w:rsidP="007576A1"/>
    <w:p w14:paraId="512C0FF1" w14:textId="77777777" w:rsidR="009C64BE" w:rsidRDefault="009C64BE">
      <w:r>
        <w:br w:type="page"/>
      </w:r>
    </w:p>
    <w:p w14:paraId="71BFAA0E" w14:textId="4F757F4E" w:rsidR="003161E9" w:rsidRDefault="009C64BE" w:rsidP="00D07D24">
      <w:pPr>
        <w:pStyle w:val="Heading2"/>
      </w:pPr>
      <w:r>
        <w:lastRenderedPageBreak/>
        <w:t>Appendix 1</w:t>
      </w:r>
      <w:r w:rsidR="009F3A76">
        <w:t>: Objectives of Prosecution under the Gambling Act 2003</w:t>
      </w:r>
    </w:p>
    <w:p w14:paraId="792D1826" w14:textId="77777777" w:rsidR="009F3A76" w:rsidRDefault="009F3A76" w:rsidP="007576A1"/>
    <w:p w14:paraId="15BBD3E1" w14:textId="53E0A122" w:rsidR="00D07D24" w:rsidRPr="00D07D24" w:rsidRDefault="00D07D24" w:rsidP="009A3A93">
      <w:r w:rsidRPr="00D07D24">
        <w:t>The objectives of prosecution under th</w:t>
      </w:r>
      <w:r>
        <w:t>e Gambling</w:t>
      </w:r>
      <w:r w:rsidRPr="00D07D24">
        <w:t xml:space="preserve"> Act</w:t>
      </w:r>
      <w:r>
        <w:t xml:space="preserve"> 2003</w:t>
      </w:r>
      <w:r w:rsidRPr="00D07D24">
        <w:t xml:space="preserve"> are to:</w:t>
      </w:r>
    </w:p>
    <w:p w14:paraId="61BC0AA5" w14:textId="77777777" w:rsidR="00D07D24" w:rsidRPr="00D07D24" w:rsidRDefault="00D07D24" w:rsidP="00D07D24">
      <w:pPr>
        <w:numPr>
          <w:ilvl w:val="0"/>
          <w:numId w:val="36"/>
        </w:numPr>
      </w:pPr>
      <w:r w:rsidRPr="00D07D24">
        <w:rPr>
          <w:b/>
          <w:bCs/>
        </w:rPr>
        <w:t>Promote compliance with the regulatory framework</w:t>
      </w:r>
      <w:r w:rsidRPr="00D07D24">
        <w:br/>
        <w:t>Ensure that individuals and entities engaged in gambling activities adhere to the Act, its regulations, and licensing conditions, thereby supporting the Act’s overall purpose of controlling the growth of gambling.</w:t>
      </w:r>
    </w:p>
    <w:p w14:paraId="05F146B8" w14:textId="52152719" w:rsidR="00D07D24" w:rsidRPr="00D07D24" w:rsidRDefault="00D07D24" w:rsidP="00D07D24">
      <w:pPr>
        <w:numPr>
          <w:ilvl w:val="0"/>
          <w:numId w:val="36"/>
        </w:numPr>
      </w:pPr>
      <w:r w:rsidRPr="00D07D24">
        <w:rPr>
          <w:b/>
          <w:bCs/>
        </w:rPr>
        <w:t>Prevent and minimise gambling</w:t>
      </w:r>
      <w:r w:rsidRPr="00D07D24">
        <w:rPr>
          <w:b/>
          <w:bCs/>
        </w:rPr>
        <w:noBreakHyphen/>
        <w:t>related harm</w:t>
      </w:r>
      <w:r w:rsidRPr="00D07D24">
        <w:br/>
      </w:r>
      <w:r w:rsidR="00EC226F">
        <w:t>T</w:t>
      </w:r>
      <w:r w:rsidRPr="00D07D24">
        <w:t>o deter conduct that contributes to gambling harm, including problem gambling, unsafe gambling environments, and practices that elevate risk to vulnerable people.</w:t>
      </w:r>
    </w:p>
    <w:p w14:paraId="1432AE1A" w14:textId="77777777" w:rsidR="00D07D24" w:rsidRPr="00D07D24" w:rsidRDefault="00D07D24" w:rsidP="00D07D24">
      <w:pPr>
        <w:numPr>
          <w:ilvl w:val="0"/>
          <w:numId w:val="36"/>
        </w:numPr>
      </w:pPr>
      <w:r w:rsidRPr="00D07D24">
        <w:rPr>
          <w:b/>
          <w:bCs/>
        </w:rPr>
        <w:t>Uphold the boundary between authorised and prohibited gambling</w:t>
      </w:r>
      <w:r w:rsidRPr="00D07D24">
        <w:br/>
        <w:t xml:space="preserve">Respond firmly to activities that fall outside the scope of authorised gambling, </w:t>
      </w:r>
      <w:proofErr w:type="gramStart"/>
      <w:r w:rsidRPr="00D07D24">
        <w:t>in order to</w:t>
      </w:r>
      <w:proofErr w:type="gramEnd"/>
      <w:r w:rsidRPr="00D07D24">
        <w:t xml:space="preserve"> reinforce that only specified forms of gambling may be conducted lawfully and that all other gambling is prohibited.</w:t>
      </w:r>
    </w:p>
    <w:p w14:paraId="774DEA31" w14:textId="77777777" w:rsidR="00D07D24" w:rsidRPr="00D07D24" w:rsidRDefault="00D07D24" w:rsidP="00D07D24">
      <w:pPr>
        <w:numPr>
          <w:ilvl w:val="0"/>
          <w:numId w:val="36"/>
        </w:numPr>
      </w:pPr>
      <w:r w:rsidRPr="00D07D24">
        <w:rPr>
          <w:b/>
          <w:bCs/>
        </w:rPr>
        <w:t>Promote responsible gambling practices</w:t>
      </w:r>
      <w:r w:rsidRPr="00D07D24">
        <w:br/>
        <w:t>Encourage operators to take active steps to support responsible gambling, including through compliance with harm</w:t>
      </w:r>
      <w:r w:rsidRPr="00D07D24">
        <w:noBreakHyphen/>
        <w:t>minimisation obligations, host responsibility requirements, and player</w:t>
      </w:r>
      <w:r w:rsidRPr="00D07D24">
        <w:noBreakHyphen/>
        <w:t>safeguard measures.</w:t>
      </w:r>
    </w:p>
    <w:p w14:paraId="031E5656" w14:textId="77777777" w:rsidR="00D07D24" w:rsidRPr="00D07D24" w:rsidRDefault="00D07D24" w:rsidP="00D07D24">
      <w:pPr>
        <w:numPr>
          <w:ilvl w:val="0"/>
          <w:numId w:val="36"/>
        </w:numPr>
      </w:pPr>
      <w:r w:rsidRPr="00D07D24">
        <w:rPr>
          <w:b/>
          <w:bCs/>
        </w:rPr>
        <w:t>Protect the integrity and fairness of gambling</w:t>
      </w:r>
      <w:r w:rsidRPr="00D07D24">
        <w:br/>
        <w:t>Ensure that gambling is conducted honestly, transparently, and fairly by prosecuting conduct that undermines game integrity, manipulation of outcomes, or deceptive practices that erode public trust.</w:t>
      </w:r>
    </w:p>
    <w:p w14:paraId="3DE2D086" w14:textId="77777777" w:rsidR="00D07D24" w:rsidRPr="00D07D24" w:rsidRDefault="00D07D24" w:rsidP="00D07D24">
      <w:pPr>
        <w:numPr>
          <w:ilvl w:val="0"/>
          <w:numId w:val="36"/>
        </w:numPr>
      </w:pPr>
      <w:r w:rsidRPr="00D07D24">
        <w:rPr>
          <w:b/>
          <w:bCs/>
        </w:rPr>
        <w:t>Deter crime, dishonesty, and misuse of gambling operations</w:t>
      </w:r>
      <w:r w:rsidRPr="00D07D24">
        <w:br/>
        <w:t>Address criminal behaviour associated with gambling—such as fraud, false declarations, misappropriation of gambling proceeds, or unlawful financial gain—to uphold the integrity of the sector.</w:t>
      </w:r>
    </w:p>
    <w:p w14:paraId="41666FC3" w14:textId="77777777" w:rsidR="00D07D24" w:rsidRPr="00D07D24" w:rsidRDefault="00D07D24" w:rsidP="00D07D24">
      <w:pPr>
        <w:numPr>
          <w:ilvl w:val="0"/>
          <w:numId w:val="36"/>
        </w:numPr>
      </w:pPr>
      <w:r w:rsidRPr="00D07D24">
        <w:rPr>
          <w:b/>
          <w:bCs/>
        </w:rPr>
        <w:t>Ensure gambling proceeds benefit the community as intended</w:t>
      </w:r>
      <w:r w:rsidRPr="00D07D24">
        <w:br/>
        <w:t>Enforce compliance with requirements relating to the application and distribution of gambling funds so that communities receive the benefit the Act envisages and misuse of funds is prevented.</w:t>
      </w:r>
    </w:p>
    <w:p w14:paraId="11DA5679" w14:textId="77777777" w:rsidR="00D07D24" w:rsidRPr="00D07D24" w:rsidRDefault="00D07D24" w:rsidP="00D07D24">
      <w:pPr>
        <w:numPr>
          <w:ilvl w:val="0"/>
          <w:numId w:val="36"/>
        </w:numPr>
      </w:pPr>
      <w:r w:rsidRPr="00D07D24">
        <w:rPr>
          <w:b/>
          <w:bCs/>
        </w:rPr>
        <w:t>Support informed and transparent community participation</w:t>
      </w:r>
      <w:r w:rsidRPr="00D07D24">
        <w:br/>
        <w:t>Maintain public confidence in the regulatory system by prosecuting conduct that undermines transparency or obstructs community involvement in decisions about gambling provision.</w:t>
      </w:r>
    </w:p>
    <w:p w14:paraId="00341024" w14:textId="1089BC5B" w:rsidR="00D07D24" w:rsidRPr="00D07D24" w:rsidRDefault="00D07D24" w:rsidP="00D07D24">
      <w:pPr>
        <w:numPr>
          <w:ilvl w:val="0"/>
          <w:numId w:val="36"/>
        </w:numPr>
      </w:pPr>
      <w:r w:rsidRPr="00D07D24">
        <w:rPr>
          <w:b/>
          <w:bCs/>
        </w:rPr>
        <w:t>Deter future offending and reinforce industry</w:t>
      </w:r>
      <w:r w:rsidRPr="00D07D24">
        <w:rPr>
          <w:b/>
          <w:bCs/>
        </w:rPr>
        <w:noBreakHyphen/>
        <w:t>wide standards</w:t>
      </w:r>
      <w:r w:rsidRPr="00D07D24">
        <w:br/>
      </w:r>
      <w:r w:rsidR="00442A51">
        <w:t>S</w:t>
      </w:r>
      <w:r w:rsidRPr="00D07D24">
        <w:t>end clear signals to the sector about unacceptable conduct, thereby encouraging voluntary compliance and reducing the need for future enforcement action.</w:t>
      </w:r>
    </w:p>
    <w:p w14:paraId="685BE0AF" w14:textId="4409AC48" w:rsidR="009A3A93" w:rsidRDefault="00D07D24" w:rsidP="00D07D24">
      <w:pPr>
        <w:numPr>
          <w:ilvl w:val="0"/>
          <w:numId w:val="36"/>
        </w:numPr>
      </w:pPr>
      <w:r w:rsidRPr="00D07D24">
        <w:rPr>
          <w:b/>
          <w:bCs/>
        </w:rPr>
        <w:t>Protect the credibility of the regulatory system</w:t>
      </w:r>
      <w:r w:rsidRPr="00D07D24">
        <w:br/>
        <w:t>Take proportionate enforcement action—including prosecution when appropriate—</w:t>
      </w:r>
      <w:r w:rsidRPr="00D07D24">
        <w:lastRenderedPageBreak/>
        <w:t>to demonstrate that breaches of the Act are taken seriously, ensuring fairness and public confidence in gambling regulation.</w:t>
      </w:r>
    </w:p>
    <w:p w14:paraId="42231368" w14:textId="77777777" w:rsidR="009A3A93" w:rsidRDefault="009A3A93">
      <w:r>
        <w:br w:type="page"/>
      </w:r>
    </w:p>
    <w:p w14:paraId="0CD16D80" w14:textId="77777777" w:rsidR="00542FED" w:rsidRPr="00542FED" w:rsidRDefault="009A3A93" w:rsidP="00542FED">
      <w:pPr>
        <w:pStyle w:val="Heading2"/>
        <w:rPr>
          <w:bCs/>
        </w:rPr>
      </w:pPr>
      <w:r>
        <w:lastRenderedPageBreak/>
        <w:t xml:space="preserve">Appendix 2: Objectives of Prosecution under the </w:t>
      </w:r>
      <w:r w:rsidR="00542FED" w:rsidRPr="00542FED">
        <w:rPr>
          <w:bCs/>
        </w:rPr>
        <w:t>Anti-Money Laundering and Countering Financing of Terrorism Act 2009</w:t>
      </w:r>
    </w:p>
    <w:p w14:paraId="50BCFD34" w14:textId="77777777" w:rsidR="00FA712A" w:rsidRPr="00FA712A" w:rsidRDefault="00FA712A" w:rsidP="00FA712A">
      <w:pPr>
        <w:spacing w:before="100" w:beforeAutospacing="1" w:after="100" w:afterAutospacing="1" w:line="300" w:lineRule="atLeast"/>
        <w:rPr>
          <w:rFonts w:ascii="Segoe UI" w:eastAsia="Times New Roman" w:hAnsi="Segoe UI" w:cs="Segoe UI"/>
          <w:sz w:val="21"/>
          <w:szCs w:val="21"/>
          <w:lang w:eastAsia="en-NZ"/>
        </w:rPr>
      </w:pPr>
      <w:r w:rsidRPr="00FA712A">
        <w:rPr>
          <w:rFonts w:ascii="Segoe UI" w:eastAsia="Times New Roman" w:hAnsi="Segoe UI" w:cs="Segoe UI"/>
          <w:sz w:val="21"/>
          <w:szCs w:val="21"/>
          <w:lang w:eastAsia="en-NZ"/>
        </w:rPr>
        <w:t>The objectives of prosecution under this Act are to:</w:t>
      </w:r>
    </w:p>
    <w:p w14:paraId="7D4A8F56" w14:textId="0F0BB379" w:rsidR="00FA712A" w:rsidRPr="00FA712A" w:rsidRDefault="00FA712A" w:rsidP="001C3F8A">
      <w:pPr>
        <w:numPr>
          <w:ilvl w:val="0"/>
          <w:numId w:val="38"/>
        </w:numPr>
        <w:rPr>
          <w:rFonts w:ascii="Segoe UI" w:eastAsia="Times New Roman" w:hAnsi="Segoe UI" w:cs="Segoe UI"/>
          <w:sz w:val="21"/>
          <w:szCs w:val="21"/>
          <w:lang w:eastAsia="en-NZ"/>
        </w:rPr>
      </w:pPr>
      <w:r w:rsidRPr="00FA712A">
        <w:rPr>
          <w:rFonts w:ascii="Segoe UI" w:eastAsia="Times New Roman" w:hAnsi="Segoe UI" w:cs="Segoe UI"/>
          <w:b/>
          <w:bCs/>
          <w:sz w:val="21"/>
          <w:szCs w:val="21"/>
          <w:lang w:eastAsia="en-NZ"/>
        </w:rPr>
        <w:t>Detect and disrupt money laundering and terrorism financing activities</w:t>
      </w:r>
      <w:r w:rsidRPr="00FA712A">
        <w:rPr>
          <w:rFonts w:ascii="Segoe UI" w:eastAsia="Times New Roman" w:hAnsi="Segoe UI" w:cs="Segoe UI"/>
          <w:sz w:val="21"/>
          <w:szCs w:val="21"/>
          <w:lang w:eastAsia="en-NZ"/>
        </w:rPr>
        <w:br/>
      </w:r>
      <w:r w:rsidR="000F592A">
        <w:rPr>
          <w:rFonts w:ascii="Segoe UI" w:eastAsia="Times New Roman" w:hAnsi="Segoe UI" w:cs="Segoe UI"/>
          <w:sz w:val="21"/>
          <w:szCs w:val="21"/>
          <w:lang w:eastAsia="en-NZ"/>
        </w:rPr>
        <w:t>I</w:t>
      </w:r>
      <w:r w:rsidRPr="00FA712A">
        <w:rPr>
          <w:rFonts w:ascii="Segoe UI" w:eastAsia="Times New Roman" w:hAnsi="Segoe UI" w:cs="Segoe UI"/>
          <w:sz w:val="21"/>
          <w:szCs w:val="21"/>
          <w:lang w:eastAsia="en-NZ"/>
        </w:rPr>
        <w:t>dentify, stop, and prevent conduct that enables the concealment of criminal proceeds or the funding of terrorism, ensuring that such activity is met with a strong regulatory response.</w:t>
      </w:r>
    </w:p>
    <w:p w14:paraId="3069DDDD" w14:textId="77777777" w:rsidR="00FA712A" w:rsidRPr="00FA712A" w:rsidRDefault="00FA712A" w:rsidP="001C3F8A">
      <w:pPr>
        <w:numPr>
          <w:ilvl w:val="0"/>
          <w:numId w:val="38"/>
        </w:numPr>
        <w:rPr>
          <w:rFonts w:ascii="Segoe UI" w:eastAsia="Times New Roman" w:hAnsi="Segoe UI" w:cs="Segoe UI"/>
          <w:sz w:val="21"/>
          <w:szCs w:val="21"/>
          <w:lang w:eastAsia="en-NZ"/>
        </w:rPr>
      </w:pPr>
      <w:r w:rsidRPr="00FA712A">
        <w:rPr>
          <w:rFonts w:ascii="Segoe UI" w:eastAsia="Times New Roman" w:hAnsi="Segoe UI" w:cs="Segoe UI"/>
          <w:b/>
          <w:bCs/>
          <w:sz w:val="21"/>
          <w:szCs w:val="21"/>
          <w:lang w:eastAsia="en-NZ"/>
        </w:rPr>
        <w:t>Deter non</w:t>
      </w:r>
      <w:r w:rsidRPr="00FA712A">
        <w:rPr>
          <w:rFonts w:ascii="Segoe UI" w:eastAsia="Times New Roman" w:hAnsi="Segoe UI" w:cs="Segoe UI"/>
          <w:b/>
          <w:bCs/>
          <w:sz w:val="21"/>
          <w:szCs w:val="21"/>
          <w:lang w:eastAsia="en-NZ"/>
        </w:rPr>
        <w:noBreakHyphen/>
        <w:t>compliance across reporting entities and associated sectors</w:t>
      </w:r>
      <w:r w:rsidRPr="00FA712A">
        <w:rPr>
          <w:rFonts w:ascii="Segoe UI" w:eastAsia="Times New Roman" w:hAnsi="Segoe UI" w:cs="Segoe UI"/>
          <w:sz w:val="21"/>
          <w:szCs w:val="21"/>
          <w:lang w:eastAsia="en-NZ"/>
        </w:rPr>
        <w:br/>
        <w:t>Promote a high level of voluntary compliance by signalling that breaches of AML/CFT obligations—such as failures to conduct customer due diligence, report suspicious activities, keep records, or maintain effective risk</w:t>
      </w:r>
      <w:r w:rsidRPr="00FA712A">
        <w:rPr>
          <w:rFonts w:ascii="Segoe UI" w:eastAsia="Times New Roman" w:hAnsi="Segoe UI" w:cs="Segoe UI"/>
          <w:sz w:val="21"/>
          <w:szCs w:val="21"/>
          <w:lang w:eastAsia="en-NZ"/>
        </w:rPr>
        <w:noBreakHyphen/>
        <w:t>based systems—will result in proportionate enforcement action, including prosecution where appropriate.</w:t>
      </w:r>
    </w:p>
    <w:p w14:paraId="6871386E" w14:textId="77777777" w:rsidR="00FA712A" w:rsidRPr="00FA712A" w:rsidRDefault="00FA712A" w:rsidP="001C3F8A">
      <w:pPr>
        <w:numPr>
          <w:ilvl w:val="0"/>
          <w:numId w:val="38"/>
        </w:numPr>
        <w:rPr>
          <w:rFonts w:ascii="Segoe UI" w:eastAsia="Times New Roman" w:hAnsi="Segoe UI" w:cs="Segoe UI"/>
          <w:sz w:val="21"/>
          <w:szCs w:val="21"/>
          <w:lang w:eastAsia="en-NZ"/>
        </w:rPr>
      </w:pPr>
      <w:r w:rsidRPr="00FA712A">
        <w:rPr>
          <w:rFonts w:ascii="Segoe UI" w:eastAsia="Times New Roman" w:hAnsi="Segoe UI" w:cs="Segoe UI"/>
          <w:b/>
          <w:bCs/>
          <w:sz w:val="21"/>
          <w:szCs w:val="21"/>
          <w:lang w:eastAsia="en-NZ"/>
        </w:rPr>
        <w:t>Protect the integrity of New Zealand’s financial system</w:t>
      </w:r>
      <w:r w:rsidRPr="00FA712A">
        <w:rPr>
          <w:rFonts w:ascii="Segoe UI" w:eastAsia="Times New Roman" w:hAnsi="Segoe UI" w:cs="Segoe UI"/>
          <w:sz w:val="21"/>
          <w:szCs w:val="21"/>
          <w:lang w:eastAsia="en-NZ"/>
        </w:rPr>
        <w:br/>
        <w:t>Address conduct that undermines trust in the financial system by enforcing obligations designed to ensure transparency, traceability of transactions, and robust monitoring of financial activity.</w:t>
      </w:r>
    </w:p>
    <w:p w14:paraId="5A8EC94C" w14:textId="77777777" w:rsidR="00FA712A" w:rsidRPr="00FA712A" w:rsidRDefault="00FA712A" w:rsidP="001C3F8A">
      <w:pPr>
        <w:numPr>
          <w:ilvl w:val="0"/>
          <w:numId w:val="38"/>
        </w:numPr>
        <w:rPr>
          <w:rFonts w:ascii="Segoe UI" w:eastAsia="Times New Roman" w:hAnsi="Segoe UI" w:cs="Segoe UI"/>
          <w:sz w:val="21"/>
          <w:szCs w:val="21"/>
          <w:lang w:eastAsia="en-NZ"/>
        </w:rPr>
      </w:pPr>
      <w:r w:rsidRPr="00FA712A">
        <w:rPr>
          <w:rFonts w:ascii="Segoe UI" w:eastAsia="Times New Roman" w:hAnsi="Segoe UI" w:cs="Segoe UI"/>
          <w:b/>
          <w:bCs/>
          <w:sz w:val="21"/>
          <w:szCs w:val="21"/>
          <w:lang w:eastAsia="en-NZ"/>
        </w:rPr>
        <w:t>Support New Zealand’s adherence to international AML/CFT standards</w:t>
      </w:r>
      <w:r w:rsidRPr="00FA712A">
        <w:rPr>
          <w:rFonts w:ascii="Segoe UI" w:eastAsia="Times New Roman" w:hAnsi="Segoe UI" w:cs="Segoe UI"/>
          <w:sz w:val="21"/>
          <w:szCs w:val="21"/>
          <w:lang w:eastAsia="en-NZ"/>
        </w:rPr>
        <w:br/>
        <w:t>Reinforce New Zealand’s commitment to implementing the Financial Action Task Force (FATF) Recommendations by prosecuting conduct that materially departs from these standards and thereby risks damaging New Zealand’s international reputation.</w:t>
      </w:r>
    </w:p>
    <w:p w14:paraId="32CD53AF" w14:textId="4EF0D637" w:rsidR="00FA712A" w:rsidRPr="00FA712A" w:rsidRDefault="00FA712A" w:rsidP="001C3F8A">
      <w:pPr>
        <w:numPr>
          <w:ilvl w:val="0"/>
          <w:numId w:val="38"/>
        </w:numPr>
        <w:rPr>
          <w:rFonts w:ascii="Segoe UI" w:eastAsia="Times New Roman" w:hAnsi="Segoe UI" w:cs="Segoe UI"/>
          <w:sz w:val="21"/>
          <w:szCs w:val="21"/>
          <w:lang w:eastAsia="en-NZ"/>
        </w:rPr>
      </w:pPr>
      <w:r w:rsidRPr="00FA712A">
        <w:rPr>
          <w:rFonts w:ascii="Segoe UI" w:eastAsia="Times New Roman" w:hAnsi="Segoe UI" w:cs="Segoe UI"/>
          <w:b/>
          <w:bCs/>
          <w:sz w:val="21"/>
          <w:szCs w:val="21"/>
          <w:lang w:eastAsia="en-NZ"/>
        </w:rPr>
        <w:t>Promote international confidence in New Zealand as a safe and transparent jurisdiction</w:t>
      </w:r>
      <w:r w:rsidRPr="00FA712A">
        <w:rPr>
          <w:rFonts w:ascii="Segoe UI" w:eastAsia="Times New Roman" w:hAnsi="Segoe UI" w:cs="Segoe UI"/>
          <w:sz w:val="21"/>
          <w:szCs w:val="21"/>
          <w:lang w:eastAsia="en-NZ"/>
        </w:rPr>
        <w:br/>
        <w:t>Demonstrate that New Zealand takes AML/CFT obligations seriously, supporting global financial partners, correspondent banks, and financial markets to maintain confidence in New Zealand’s financial system.</w:t>
      </w:r>
    </w:p>
    <w:p w14:paraId="0A1029B5" w14:textId="0856CABC" w:rsidR="00FA712A" w:rsidRPr="00FA712A" w:rsidRDefault="00FA712A" w:rsidP="001C3F8A">
      <w:pPr>
        <w:numPr>
          <w:ilvl w:val="0"/>
          <w:numId w:val="38"/>
        </w:numPr>
        <w:rPr>
          <w:rFonts w:ascii="Segoe UI" w:eastAsia="Times New Roman" w:hAnsi="Segoe UI" w:cs="Segoe UI"/>
          <w:sz w:val="21"/>
          <w:szCs w:val="21"/>
          <w:lang w:eastAsia="en-NZ"/>
        </w:rPr>
      </w:pPr>
      <w:r w:rsidRPr="00FA712A">
        <w:rPr>
          <w:rFonts w:ascii="Segoe UI" w:eastAsia="Times New Roman" w:hAnsi="Segoe UI" w:cs="Segoe UI"/>
          <w:b/>
          <w:bCs/>
          <w:sz w:val="21"/>
          <w:szCs w:val="21"/>
          <w:lang w:eastAsia="en-NZ"/>
        </w:rPr>
        <w:t>Ensure that serious or repeated non</w:t>
      </w:r>
      <w:r w:rsidRPr="00FA712A">
        <w:rPr>
          <w:rFonts w:ascii="Segoe UI" w:eastAsia="Times New Roman" w:hAnsi="Segoe UI" w:cs="Segoe UI"/>
          <w:b/>
          <w:bCs/>
          <w:sz w:val="21"/>
          <w:szCs w:val="21"/>
          <w:lang w:eastAsia="en-NZ"/>
        </w:rPr>
        <w:noBreakHyphen/>
        <w:t>compliance is met with a proportionate response</w:t>
      </w:r>
      <w:r w:rsidRPr="00FA712A">
        <w:rPr>
          <w:rFonts w:ascii="Segoe UI" w:eastAsia="Times New Roman" w:hAnsi="Segoe UI" w:cs="Segoe UI"/>
          <w:sz w:val="21"/>
          <w:szCs w:val="21"/>
          <w:lang w:eastAsia="en-NZ"/>
        </w:rPr>
        <w:br/>
      </w:r>
      <w:r w:rsidR="00184740">
        <w:rPr>
          <w:rFonts w:ascii="Segoe UI" w:eastAsia="Times New Roman" w:hAnsi="Segoe UI" w:cs="Segoe UI"/>
          <w:sz w:val="21"/>
          <w:szCs w:val="21"/>
          <w:lang w:eastAsia="en-NZ"/>
        </w:rPr>
        <w:t>Address</w:t>
      </w:r>
      <w:r w:rsidRPr="00FA712A">
        <w:rPr>
          <w:rFonts w:ascii="Segoe UI" w:eastAsia="Times New Roman" w:hAnsi="Segoe UI" w:cs="Segoe UI"/>
          <w:sz w:val="21"/>
          <w:szCs w:val="21"/>
          <w:lang w:eastAsia="en-NZ"/>
        </w:rPr>
        <w:t xml:space="preserve"> conduct that is deliberate, reckless, concealed, systemic, or persistent, thereby protecting compliant businesses and responding appropriately to behaviour that creates significant ML/TF risk.</w:t>
      </w:r>
    </w:p>
    <w:p w14:paraId="291CC305" w14:textId="77777777" w:rsidR="00FA712A" w:rsidRPr="00FA712A" w:rsidRDefault="00FA712A" w:rsidP="001C3F8A">
      <w:pPr>
        <w:numPr>
          <w:ilvl w:val="0"/>
          <w:numId w:val="38"/>
        </w:numPr>
        <w:rPr>
          <w:rFonts w:ascii="Segoe UI" w:eastAsia="Times New Roman" w:hAnsi="Segoe UI" w:cs="Segoe UI"/>
          <w:sz w:val="21"/>
          <w:szCs w:val="21"/>
          <w:lang w:eastAsia="en-NZ"/>
        </w:rPr>
      </w:pPr>
      <w:r w:rsidRPr="00FA712A">
        <w:rPr>
          <w:rFonts w:ascii="Segoe UI" w:eastAsia="Times New Roman" w:hAnsi="Segoe UI" w:cs="Segoe UI"/>
          <w:b/>
          <w:bCs/>
          <w:sz w:val="21"/>
          <w:szCs w:val="21"/>
          <w:lang w:eastAsia="en-NZ"/>
        </w:rPr>
        <w:t>Enhance public confidence in the AML/CFT regime</w:t>
      </w:r>
      <w:r w:rsidRPr="00FA712A">
        <w:rPr>
          <w:rFonts w:ascii="Segoe UI" w:eastAsia="Times New Roman" w:hAnsi="Segoe UI" w:cs="Segoe UI"/>
          <w:sz w:val="21"/>
          <w:szCs w:val="21"/>
          <w:lang w:eastAsia="en-NZ"/>
        </w:rPr>
        <w:br/>
        <w:t>Strengthen public trust by showing that breaches of obligations intended to combat money laundering and terrorism financing are acted upon firmly and transparently, reinforcing the credibility of the regulatory framework.</w:t>
      </w:r>
    </w:p>
    <w:p w14:paraId="4F726E7B" w14:textId="79A1ED2A" w:rsidR="009F019F" w:rsidRDefault="00FA712A" w:rsidP="001C3F8A">
      <w:pPr>
        <w:numPr>
          <w:ilvl w:val="0"/>
          <w:numId w:val="38"/>
        </w:numPr>
        <w:rPr>
          <w:rFonts w:ascii="Segoe UI" w:eastAsia="Times New Roman" w:hAnsi="Segoe UI" w:cs="Segoe UI"/>
          <w:sz w:val="21"/>
          <w:szCs w:val="21"/>
          <w:lang w:eastAsia="en-NZ"/>
        </w:rPr>
      </w:pPr>
      <w:r w:rsidRPr="00FA712A">
        <w:rPr>
          <w:rFonts w:ascii="Segoe UI" w:eastAsia="Times New Roman" w:hAnsi="Segoe UI" w:cs="Segoe UI"/>
          <w:b/>
          <w:bCs/>
          <w:sz w:val="21"/>
          <w:szCs w:val="21"/>
          <w:lang w:eastAsia="en-NZ"/>
        </w:rPr>
        <w:t>Promote effective implementation of risk-based AML/CFT measures</w:t>
      </w:r>
      <w:r w:rsidRPr="00FA712A">
        <w:rPr>
          <w:rFonts w:ascii="Segoe UI" w:eastAsia="Times New Roman" w:hAnsi="Segoe UI" w:cs="Segoe UI"/>
          <w:sz w:val="21"/>
          <w:szCs w:val="21"/>
          <w:lang w:eastAsia="en-NZ"/>
        </w:rPr>
        <w:br/>
        <w:t>Encourage entities to maintain and apply robust, risk</w:t>
      </w:r>
      <w:r w:rsidRPr="00FA712A">
        <w:rPr>
          <w:rFonts w:ascii="Segoe UI" w:eastAsia="Times New Roman" w:hAnsi="Segoe UI" w:cs="Segoe UI"/>
          <w:sz w:val="21"/>
          <w:szCs w:val="21"/>
          <w:lang w:eastAsia="en-NZ"/>
        </w:rPr>
        <w:noBreakHyphen/>
        <w:t>based controls by prosecuting conduct that undermines these foundations—such as inadequate customer due diligence, ineffective transaction monitoring, or failure to escalate suspicious matters.</w:t>
      </w:r>
    </w:p>
    <w:p w14:paraId="541465BC" w14:textId="77777777" w:rsidR="009F019F" w:rsidRDefault="009F019F">
      <w:pPr>
        <w:rPr>
          <w:rFonts w:ascii="Segoe UI" w:eastAsia="Times New Roman" w:hAnsi="Segoe UI" w:cs="Segoe UI"/>
          <w:sz w:val="21"/>
          <w:szCs w:val="21"/>
          <w:lang w:eastAsia="en-NZ"/>
        </w:rPr>
      </w:pPr>
      <w:r>
        <w:rPr>
          <w:rFonts w:ascii="Segoe UI" w:eastAsia="Times New Roman" w:hAnsi="Segoe UI" w:cs="Segoe UI"/>
          <w:sz w:val="21"/>
          <w:szCs w:val="21"/>
          <w:lang w:eastAsia="en-NZ"/>
        </w:rPr>
        <w:br w:type="page"/>
      </w:r>
    </w:p>
    <w:p w14:paraId="7F9EB65E" w14:textId="77777777" w:rsidR="006713CE" w:rsidRPr="006713CE" w:rsidRDefault="009F019F" w:rsidP="006713CE">
      <w:pPr>
        <w:pStyle w:val="Heading2"/>
      </w:pPr>
      <w:r>
        <w:lastRenderedPageBreak/>
        <w:t xml:space="preserve">Appendix 3: Objectives of Prosecution under the </w:t>
      </w:r>
      <w:r w:rsidR="006713CE" w:rsidRPr="006713CE">
        <w:t>Charities Act 2005</w:t>
      </w:r>
    </w:p>
    <w:p w14:paraId="63769E2A" w14:textId="77777777" w:rsidR="006747BB" w:rsidRPr="006747BB" w:rsidRDefault="006747BB" w:rsidP="006747BB">
      <w:pPr>
        <w:numPr>
          <w:ilvl w:val="0"/>
          <w:numId w:val="2"/>
        </w:numPr>
        <w:tabs>
          <w:tab w:val="clear" w:pos="360"/>
        </w:tabs>
        <w:spacing w:before="100" w:beforeAutospacing="1" w:after="100" w:afterAutospacing="1" w:line="300" w:lineRule="atLeast"/>
        <w:ind w:left="0" w:firstLine="0"/>
        <w:rPr>
          <w:rFonts w:ascii="Segoe UI" w:eastAsia="Times New Roman" w:hAnsi="Segoe UI" w:cs="Segoe UI"/>
          <w:sz w:val="21"/>
          <w:szCs w:val="21"/>
          <w:lang w:eastAsia="en-NZ"/>
        </w:rPr>
      </w:pPr>
      <w:r w:rsidRPr="006747BB">
        <w:rPr>
          <w:rFonts w:ascii="Segoe UI" w:eastAsia="Times New Roman" w:hAnsi="Segoe UI" w:cs="Segoe UI"/>
          <w:sz w:val="21"/>
          <w:szCs w:val="21"/>
          <w:lang w:eastAsia="en-NZ"/>
        </w:rPr>
        <w:t>The objectives of prosecution under this Act are to:</w:t>
      </w:r>
    </w:p>
    <w:p w14:paraId="589EA446" w14:textId="77777777" w:rsidR="006747BB" w:rsidRPr="006747BB" w:rsidRDefault="006747BB" w:rsidP="006747BB">
      <w:pPr>
        <w:numPr>
          <w:ilvl w:val="0"/>
          <w:numId w:val="40"/>
        </w:numPr>
        <w:rPr>
          <w:rFonts w:ascii="Segoe UI" w:eastAsia="Times New Roman" w:hAnsi="Segoe UI" w:cs="Segoe UI"/>
          <w:sz w:val="21"/>
          <w:szCs w:val="21"/>
          <w:lang w:eastAsia="en-NZ"/>
        </w:rPr>
      </w:pPr>
      <w:r w:rsidRPr="006747BB">
        <w:rPr>
          <w:rFonts w:ascii="Segoe UI" w:eastAsia="Times New Roman" w:hAnsi="Segoe UI" w:cs="Segoe UI"/>
          <w:b/>
          <w:bCs/>
          <w:sz w:val="21"/>
          <w:szCs w:val="21"/>
          <w:lang w:eastAsia="en-NZ"/>
        </w:rPr>
        <w:t>Promote public trust and confidence in the charitable sector</w:t>
      </w:r>
      <w:r w:rsidRPr="006747BB">
        <w:rPr>
          <w:rFonts w:ascii="Segoe UI" w:eastAsia="Times New Roman" w:hAnsi="Segoe UI" w:cs="Segoe UI"/>
          <w:sz w:val="21"/>
          <w:szCs w:val="21"/>
          <w:lang w:eastAsia="en-NZ"/>
        </w:rPr>
        <w:br/>
        <w:t>Ensure that serious or deliberate breaches of the Act are met with a firm response, demonstrating that misconduct, dishonesty, or misuse of charitable structures will not be tolerated and reinforcing trust in the charitable system.</w:t>
      </w:r>
    </w:p>
    <w:p w14:paraId="5910E44D" w14:textId="04AC3E1B" w:rsidR="006747BB" w:rsidRPr="006747BB" w:rsidRDefault="006747BB" w:rsidP="006747BB">
      <w:pPr>
        <w:numPr>
          <w:ilvl w:val="0"/>
          <w:numId w:val="40"/>
        </w:numPr>
        <w:rPr>
          <w:rFonts w:ascii="Segoe UI" w:eastAsia="Times New Roman" w:hAnsi="Segoe UI" w:cs="Segoe UI"/>
          <w:sz w:val="21"/>
          <w:szCs w:val="21"/>
          <w:lang w:eastAsia="en-NZ"/>
        </w:rPr>
      </w:pPr>
      <w:r w:rsidRPr="006747BB">
        <w:rPr>
          <w:rFonts w:ascii="Segoe UI" w:eastAsia="Times New Roman" w:hAnsi="Segoe UI" w:cs="Segoe UI"/>
          <w:b/>
          <w:bCs/>
          <w:sz w:val="21"/>
          <w:szCs w:val="21"/>
          <w:lang w:eastAsia="en-NZ"/>
        </w:rPr>
        <w:t>Protect and promote the effective use of charitable resources</w:t>
      </w:r>
      <w:r w:rsidRPr="006747BB">
        <w:rPr>
          <w:rFonts w:ascii="Segoe UI" w:eastAsia="Times New Roman" w:hAnsi="Segoe UI" w:cs="Segoe UI"/>
          <w:sz w:val="21"/>
          <w:szCs w:val="21"/>
          <w:lang w:eastAsia="en-NZ"/>
        </w:rPr>
        <w:br/>
      </w:r>
      <w:r w:rsidR="002C40E9">
        <w:rPr>
          <w:rFonts w:ascii="Segoe UI" w:eastAsia="Times New Roman" w:hAnsi="Segoe UI" w:cs="Segoe UI"/>
          <w:sz w:val="21"/>
          <w:szCs w:val="21"/>
          <w:lang w:eastAsia="en-NZ"/>
        </w:rPr>
        <w:t>A</w:t>
      </w:r>
      <w:r w:rsidRPr="006747BB">
        <w:rPr>
          <w:rFonts w:ascii="Segoe UI" w:eastAsia="Times New Roman" w:hAnsi="Segoe UI" w:cs="Segoe UI"/>
          <w:sz w:val="21"/>
          <w:szCs w:val="21"/>
          <w:lang w:eastAsia="en-NZ"/>
        </w:rPr>
        <w:t>ddress conduct that diverts, misappropriates, or wastes charitable assets, ensuring that resources intended for charitable purposes are applied properly and safeguarded for the benefit of the public.</w:t>
      </w:r>
    </w:p>
    <w:p w14:paraId="781333C3" w14:textId="7FE4C565" w:rsidR="006747BB" w:rsidRPr="006747BB" w:rsidRDefault="006747BB" w:rsidP="006747BB">
      <w:pPr>
        <w:numPr>
          <w:ilvl w:val="0"/>
          <w:numId w:val="40"/>
        </w:numPr>
        <w:rPr>
          <w:rFonts w:ascii="Segoe UI" w:eastAsia="Times New Roman" w:hAnsi="Segoe UI" w:cs="Segoe UI"/>
          <w:sz w:val="21"/>
          <w:szCs w:val="21"/>
          <w:lang w:eastAsia="en-NZ"/>
        </w:rPr>
      </w:pPr>
      <w:r w:rsidRPr="006747BB">
        <w:rPr>
          <w:rFonts w:ascii="Segoe UI" w:eastAsia="Times New Roman" w:hAnsi="Segoe UI" w:cs="Segoe UI"/>
          <w:b/>
          <w:bCs/>
          <w:sz w:val="21"/>
          <w:szCs w:val="21"/>
          <w:lang w:eastAsia="en-NZ"/>
        </w:rPr>
        <w:t>Support the integrity of the registration regime for charitable entities</w:t>
      </w:r>
      <w:r w:rsidRPr="006747BB">
        <w:rPr>
          <w:rFonts w:ascii="Segoe UI" w:eastAsia="Times New Roman" w:hAnsi="Segoe UI" w:cs="Segoe UI"/>
          <w:sz w:val="21"/>
          <w:szCs w:val="21"/>
          <w:lang w:eastAsia="en-NZ"/>
        </w:rPr>
        <w:br/>
      </w:r>
      <w:r w:rsidR="008E06DB">
        <w:rPr>
          <w:rFonts w:ascii="Segoe UI" w:eastAsia="Times New Roman" w:hAnsi="Segoe UI" w:cs="Segoe UI"/>
          <w:sz w:val="21"/>
          <w:szCs w:val="21"/>
          <w:lang w:eastAsia="en-NZ"/>
        </w:rPr>
        <w:t>Address</w:t>
      </w:r>
      <w:r w:rsidR="00593AD3">
        <w:rPr>
          <w:rFonts w:ascii="Segoe UI" w:eastAsia="Times New Roman" w:hAnsi="Segoe UI" w:cs="Segoe UI"/>
          <w:sz w:val="21"/>
          <w:szCs w:val="21"/>
          <w:lang w:eastAsia="en-NZ"/>
        </w:rPr>
        <w:t xml:space="preserve"> </w:t>
      </w:r>
      <w:r w:rsidRPr="006747BB">
        <w:rPr>
          <w:rFonts w:ascii="Segoe UI" w:eastAsia="Times New Roman" w:hAnsi="Segoe UI" w:cs="Segoe UI"/>
          <w:sz w:val="21"/>
          <w:szCs w:val="21"/>
          <w:lang w:eastAsia="en-NZ"/>
        </w:rPr>
        <w:t>conduct that undermines the registration framework—such as providing false or misleading information, concealing relevant facts, or improperly holding out as a registered charitable entity—to uphold a transparent and reliable register.</w:t>
      </w:r>
    </w:p>
    <w:p w14:paraId="13B5BF39" w14:textId="42C718C3" w:rsidR="006747BB" w:rsidRPr="006747BB" w:rsidRDefault="006747BB" w:rsidP="006747BB">
      <w:pPr>
        <w:numPr>
          <w:ilvl w:val="0"/>
          <w:numId w:val="40"/>
        </w:numPr>
        <w:rPr>
          <w:rFonts w:ascii="Segoe UI" w:eastAsia="Times New Roman" w:hAnsi="Segoe UI" w:cs="Segoe UI"/>
          <w:sz w:val="21"/>
          <w:szCs w:val="21"/>
          <w:lang w:eastAsia="en-NZ"/>
        </w:rPr>
      </w:pPr>
      <w:r w:rsidRPr="006747BB">
        <w:rPr>
          <w:rFonts w:ascii="Segoe UI" w:eastAsia="Times New Roman" w:hAnsi="Segoe UI" w:cs="Segoe UI"/>
          <w:b/>
          <w:bCs/>
          <w:sz w:val="21"/>
          <w:szCs w:val="21"/>
          <w:lang w:eastAsia="en-NZ"/>
        </w:rPr>
        <w:t>Ensure compliance with statutory obligations by charitable entities and related persons</w:t>
      </w:r>
      <w:r w:rsidRPr="006747BB">
        <w:rPr>
          <w:rFonts w:ascii="Segoe UI" w:eastAsia="Times New Roman" w:hAnsi="Segoe UI" w:cs="Segoe UI"/>
          <w:sz w:val="21"/>
          <w:szCs w:val="21"/>
          <w:lang w:eastAsia="en-NZ"/>
        </w:rPr>
        <w:br/>
        <w:t>Enforce adherence to legal duties, including record</w:t>
      </w:r>
      <w:r w:rsidRPr="006747BB">
        <w:rPr>
          <w:rFonts w:ascii="Segoe UI" w:eastAsia="Times New Roman" w:hAnsi="Segoe UI" w:cs="Segoe UI"/>
          <w:sz w:val="21"/>
          <w:szCs w:val="21"/>
          <w:lang w:eastAsia="en-NZ"/>
        </w:rPr>
        <w:noBreakHyphen/>
        <w:t>keeping, reporting, governance, and disclosure obligations, and respond to serious or repeated failures that compromise sector integrity or public confidence.</w:t>
      </w:r>
    </w:p>
    <w:p w14:paraId="3E759917" w14:textId="77777777" w:rsidR="006747BB" w:rsidRPr="006747BB" w:rsidRDefault="006747BB" w:rsidP="006747BB">
      <w:pPr>
        <w:numPr>
          <w:ilvl w:val="0"/>
          <w:numId w:val="40"/>
        </w:numPr>
        <w:rPr>
          <w:rFonts w:ascii="Segoe UI" w:eastAsia="Times New Roman" w:hAnsi="Segoe UI" w:cs="Segoe UI"/>
          <w:sz w:val="21"/>
          <w:szCs w:val="21"/>
          <w:lang w:eastAsia="en-NZ"/>
        </w:rPr>
      </w:pPr>
      <w:r w:rsidRPr="006747BB">
        <w:rPr>
          <w:rFonts w:ascii="Segoe UI" w:eastAsia="Times New Roman" w:hAnsi="Segoe UI" w:cs="Segoe UI"/>
          <w:b/>
          <w:bCs/>
          <w:sz w:val="21"/>
          <w:szCs w:val="21"/>
          <w:lang w:eastAsia="en-NZ"/>
        </w:rPr>
        <w:t>Enable effective regulatory decision-making by the Charities Registration Board</w:t>
      </w:r>
      <w:r w:rsidRPr="006747BB">
        <w:rPr>
          <w:rFonts w:ascii="Segoe UI" w:eastAsia="Times New Roman" w:hAnsi="Segoe UI" w:cs="Segoe UI"/>
          <w:sz w:val="21"/>
          <w:szCs w:val="21"/>
          <w:lang w:eastAsia="en-NZ"/>
        </w:rPr>
        <w:br/>
        <w:t>Address conduct that obstructs or undermines the Board’s registration and deregistration functions—such as non</w:t>
      </w:r>
      <w:r w:rsidRPr="006747BB">
        <w:rPr>
          <w:rFonts w:ascii="Segoe UI" w:eastAsia="Times New Roman" w:hAnsi="Segoe UI" w:cs="Segoe UI"/>
          <w:sz w:val="21"/>
          <w:szCs w:val="21"/>
          <w:lang w:eastAsia="en-NZ"/>
        </w:rPr>
        <w:noBreakHyphen/>
        <w:t>cooperation, concealment of information, or deliberate evasion—to ensure the Board can make accurate, lawful, and evidence</w:t>
      </w:r>
      <w:r w:rsidRPr="006747BB">
        <w:rPr>
          <w:rFonts w:ascii="Segoe UI" w:eastAsia="Times New Roman" w:hAnsi="Segoe UI" w:cs="Segoe UI"/>
          <w:sz w:val="21"/>
          <w:szCs w:val="21"/>
          <w:lang w:eastAsia="en-NZ"/>
        </w:rPr>
        <w:noBreakHyphen/>
        <w:t>based decisions.</w:t>
      </w:r>
    </w:p>
    <w:p w14:paraId="407EE7B7" w14:textId="77777777" w:rsidR="006747BB" w:rsidRPr="006747BB" w:rsidRDefault="006747BB" w:rsidP="006747BB">
      <w:pPr>
        <w:numPr>
          <w:ilvl w:val="0"/>
          <w:numId w:val="40"/>
        </w:numPr>
        <w:rPr>
          <w:rFonts w:ascii="Segoe UI" w:eastAsia="Times New Roman" w:hAnsi="Segoe UI" w:cs="Segoe UI"/>
          <w:sz w:val="21"/>
          <w:szCs w:val="21"/>
          <w:lang w:eastAsia="en-NZ"/>
        </w:rPr>
      </w:pPr>
      <w:r w:rsidRPr="006747BB">
        <w:rPr>
          <w:rFonts w:ascii="Segoe UI" w:eastAsia="Times New Roman" w:hAnsi="Segoe UI" w:cs="Segoe UI"/>
          <w:b/>
          <w:bCs/>
          <w:sz w:val="21"/>
          <w:szCs w:val="21"/>
          <w:lang w:eastAsia="en-NZ"/>
        </w:rPr>
        <w:t>Support the effective performance of statutory functions by the chief executive</w:t>
      </w:r>
      <w:r w:rsidRPr="006747BB">
        <w:rPr>
          <w:rFonts w:ascii="Segoe UI" w:eastAsia="Times New Roman" w:hAnsi="Segoe UI" w:cs="Segoe UI"/>
          <w:sz w:val="21"/>
          <w:szCs w:val="21"/>
          <w:lang w:eastAsia="en-NZ"/>
        </w:rPr>
        <w:br/>
        <w:t>Respond to conduct that frustrates investigations, inhibits monitoring, or obstructs compliance activities, ensuring that the chief executive’s powers can be exercised effectively in the public interest.</w:t>
      </w:r>
    </w:p>
    <w:p w14:paraId="5F8C2195" w14:textId="02E31AB2" w:rsidR="006747BB" w:rsidRPr="006747BB" w:rsidRDefault="006747BB" w:rsidP="006747BB">
      <w:pPr>
        <w:numPr>
          <w:ilvl w:val="0"/>
          <w:numId w:val="40"/>
        </w:numPr>
        <w:rPr>
          <w:rFonts w:ascii="Segoe UI" w:eastAsia="Times New Roman" w:hAnsi="Segoe UI" w:cs="Segoe UI"/>
          <w:sz w:val="21"/>
          <w:szCs w:val="21"/>
          <w:lang w:eastAsia="en-NZ"/>
        </w:rPr>
      </w:pPr>
      <w:r w:rsidRPr="006747BB">
        <w:rPr>
          <w:rFonts w:ascii="Segoe UI" w:eastAsia="Times New Roman" w:hAnsi="Segoe UI" w:cs="Segoe UI"/>
          <w:b/>
          <w:bCs/>
          <w:sz w:val="21"/>
          <w:szCs w:val="21"/>
          <w:lang w:eastAsia="en-NZ"/>
        </w:rPr>
        <w:t>Deter non</w:t>
      </w:r>
      <w:r w:rsidRPr="006747BB">
        <w:rPr>
          <w:rFonts w:ascii="Segoe UI" w:eastAsia="Times New Roman" w:hAnsi="Segoe UI" w:cs="Segoe UI"/>
          <w:b/>
          <w:bCs/>
          <w:sz w:val="21"/>
          <w:szCs w:val="21"/>
          <w:lang w:eastAsia="en-NZ"/>
        </w:rPr>
        <w:noBreakHyphen/>
        <w:t>compliance across the charitable sector</w:t>
      </w:r>
      <w:r w:rsidRPr="006747BB">
        <w:rPr>
          <w:rFonts w:ascii="Segoe UI" w:eastAsia="Times New Roman" w:hAnsi="Segoe UI" w:cs="Segoe UI"/>
          <w:sz w:val="21"/>
          <w:szCs w:val="21"/>
          <w:lang w:eastAsia="en-NZ"/>
        </w:rPr>
        <w:br/>
      </w:r>
      <w:r w:rsidR="008E06DB">
        <w:rPr>
          <w:rFonts w:ascii="Segoe UI" w:eastAsia="Times New Roman" w:hAnsi="Segoe UI" w:cs="Segoe UI"/>
          <w:sz w:val="21"/>
          <w:szCs w:val="21"/>
          <w:lang w:eastAsia="en-NZ"/>
        </w:rPr>
        <w:t>S</w:t>
      </w:r>
      <w:r w:rsidRPr="006747BB">
        <w:rPr>
          <w:rFonts w:ascii="Segoe UI" w:eastAsia="Times New Roman" w:hAnsi="Segoe UI" w:cs="Segoe UI"/>
          <w:sz w:val="21"/>
          <w:szCs w:val="21"/>
          <w:lang w:eastAsia="en-NZ"/>
        </w:rPr>
        <w:t>ignal that deliberate, reckless, or fraudulent conduct carries significant consequences, encouraging voluntary compliance and reinforcing sector-wide governance standards.</w:t>
      </w:r>
    </w:p>
    <w:p w14:paraId="1DF1439F" w14:textId="5D83DA88" w:rsidR="006747BB" w:rsidRPr="006747BB" w:rsidRDefault="006747BB" w:rsidP="006747BB">
      <w:pPr>
        <w:numPr>
          <w:ilvl w:val="0"/>
          <w:numId w:val="40"/>
        </w:numPr>
        <w:rPr>
          <w:rFonts w:ascii="Segoe UI" w:eastAsia="Times New Roman" w:hAnsi="Segoe UI" w:cs="Segoe UI"/>
          <w:sz w:val="21"/>
          <w:szCs w:val="21"/>
          <w:lang w:eastAsia="en-NZ"/>
        </w:rPr>
      </w:pPr>
      <w:r w:rsidRPr="006747BB">
        <w:rPr>
          <w:rFonts w:ascii="Segoe UI" w:eastAsia="Times New Roman" w:hAnsi="Segoe UI" w:cs="Segoe UI"/>
          <w:b/>
          <w:bCs/>
          <w:sz w:val="21"/>
          <w:szCs w:val="21"/>
          <w:lang w:eastAsia="en-NZ"/>
        </w:rPr>
        <w:t>Maintain the credibility and robustness of the charitable regulatory framework</w:t>
      </w:r>
      <w:r w:rsidRPr="006747BB">
        <w:rPr>
          <w:rFonts w:ascii="Segoe UI" w:eastAsia="Times New Roman" w:hAnsi="Segoe UI" w:cs="Segoe UI"/>
          <w:sz w:val="21"/>
          <w:szCs w:val="21"/>
          <w:lang w:eastAsia="en-NZ"/>
        </w:rPr>
        <w:br/>
        <w:t>Demonstrate that the regime is credible, fair, and effective, thereby strengthening overall confidence in charitable regulation and public administration.</w:t>
      </w:r>
    </w:p>
    <w:p w14:paraId="43D41A62" w14:textId="06C72704" w:rsidR="009F019F" w:rsidRPr="00542FED" w:rsidRDefault="009F019F" w:rsidP="009F019F">
      <w:pPr>
        <w:pStyle w:val="Heading2"/>
        <w:rPr>
          <w:bCs/>
        </w:rPr>
      </w:pPr>
    </w:p>
    <w:p w14:paraId="3DD39903" w14:textId="7662B559" w:rsidR="00FA712A" w:rsidRPr="00FA712A" w:rsidRDefault="00FA712A" w:rsidP="009F019F">
      <w:pPr>
        <w:rPr>
          <w:rFonts w:ascii="Segoe UI" w:eastAsia="Times New Roman" w:hAnsi="Segoe UI" w:cs="Segoe UI"/>
          <w:sz w:val="21"/>
          <w:szCs w:val="21"/>
          <w:lang w:eastAsia="en-NZ"/>
        </w:rPr>
      </w:pPr>
    </w:p>
    <w:p w14:paraId="62154E17" w14:textId="59628E62" w:rsidR="009A3A93" w:rsidRDefault="009A3A93" w:rsidP="009A3A93">
      <w:pPr>
        <w:pStyle w:val="Heading2"/>
      </w:pPr>
    </w:p>
    <w:p w14:paraId="79476C10" w14:textId="6661AC3C" w:rsidR="00D07D24" w:rsidRPr="00D07D24" w:rsidRDefault="00D07D24" w:rsidP="009A3A93"/>
    <w:p w14:paraId="0BD71DC2" w14:textId="77777777" w:rsidR="009F3A76" w:rsidRPr="007576A1" w:rsidRDefault="009F3A76" w:rsidP="007576A1"/>
    <w:sectPr w:rsidR="009F3A76" w:rsidRPr="007576A1" w:rsidSect="00FF766B">
      <w:headerReference w:type="default" r:id="rId13"/>
      <w:footerReference w:type="default" r:id="rId14"/>
      <w:headerReference w:type="first" r:id="rId15"/>
      <w:footerReference w:type="first" r:id="rId16"/>
      <w:pgSz w:w="11907" w:h="16840" w:code="9"/>
      <w:pgMar w:top="1191" w:right="1418" w:bottom="992"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69B4" w14:textId="77777777" w:rsidR="00BC5B0E" w:rsidRDefault="00BC5B0E">
      <w:r>
        <w:separator/>
      </w:r>
    </w:p>
  </w:endnote>
  <w:endnote w:type="continuationSeparator" w:id="0">
    <w:p w14:paraId="42BD4F13" w14:textId="77777777" w:rsidR="00BC5B0E" w:rsidRDefault="00BC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757D" w14:textId="77777777" w:rsidR="00F72705" w:rsidRPr="00FF766B" w:rsidRDefault="00FF766B" w:rsidP="00FF766B">
    <w:pPr>
      <w:pStyle w:val="Footer"/>
      <w:tabs>
        <w:tab w:val="right" w:pos="9071"/>
      </w:tabs>
    </w:pPr>
    <w:r>
      <w:tab/>
      <w:t xml:space="preserve">Page </w:t>
    </w:r>
    <w:r>
      <w:fldChar w:fldCharType="begin"/>
    </w:r>
    <w:r>
      <w:instrText xml:space="preserve"> PAGE  \* Arabic  \* MERGEFORMAT </w:instrText>
    </w:r>
    <w:r>
      <w:fldChar w:fldCharType="separate"/>
    </w:r>
    <w:r w:rsidR="000D524C">
      <w:rPr>
        <w:noProof/>
      </w:rPr>
      <w:t>2</w:t>
    </w:r>
    <w:r>
      <w:fldChar w:fldCharType="end"/>
    </w:r>
    <w:r>
      <w:t xml:space="preserve"> of </w:t>
    </w:r>
    <w:fldSimple w:instr="NUMPAGES   \* MERGEFORMAT">
      <w:r w:rsidR="000D524C">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6F11" w14:textId="77777777" w:rsidR="008E7CCF" w:rsidRDefault="008E7CCF" w:rsidP="008E7CCF">
    <w:pPr>
      <w:pStyle w:val="Footer"/>
      <w:tabs>
        <w:tab w:val="right" w:pos="9071"/>
      </w:tabs>
      <w:ind w:right="-1"/>
    </w:pPr>
    <w:r>
      <w:t>Department of Internal Affairs</w:t>
    </w:r>
    <w:r>
      <w:tab/>
      <w:t xml:space="preserve">Page </w:t>
    </w:r>
    <w:r>
      <w:fldChar w:fldCharType="begin"/>
    </w:r>
    <w:r>
      <w:instrText xml:space="preserve"> PAGE  \* Arabic  \* MERGEFORMAT </w:instrText>
    </w:r>
    <w:r>
      <w:fldChar w:fldCharType="separate"/>
    </w:r>
    <w:r w:rsidR="000D524C">
      <w:rPr>
        <w:noProof/>
      </w:rPr>
      <w:t>1</w:t>
    </w:r>
    <w:r>
      <w:fldChar w:fldCharType="end"/>
    </w:r>
    <w:r>
      <w:t xml:space="preserve"> of </w:t>
    </w:r>
    <w:fldSimple w:instr="NUMPAGES   \* MERGEFORMAT">
      <w:r w:rsidR="000D524C">
        <w:rPr>
          <w:noProof/>
        </w:rPr>
        <w:t>3</w:t>
      </w:r>
    </w:fldSimple>
  </w:p>
  <w:p w14:paraId="1168C767" w14:textId="502389E5" w:rsidR="00FF766B" w:rsidRPr="008E7CCF" w:rsidRDefault="003B3750" w:rsidP="008E7CCF">
    <w:pPr>
      <w:pStyle w:val="Footer"/>
      <w:tabs>
        <w:tab w:val="right" w:pos="9071"/>
      </w:tabs>
      <w:ind w:right="-1"/>
    </w:pPr>
    <w:proofErr w:type="spellStart"/>
    <w:r>
      <w:t>Hukatai</w:t>
    </w:r>
    <w:proofErr w:type="spellEnd"/>
    <w:r>
      <w:t xml:space="preserve"> </w:t>
    </w:r>
    <w:r w:rsidR="004A6A3B">
      <w:t xml:space="preserve">reference: </w:t>
    </w:r>
    <w:hyperlink r:id="rId1" w:history="1">
      <w:r w:rsidR="00C01189" w:rsidRPr="00C01189">
        <w:rPr>
          <w:rStyle w:val="Hyperlink"/>
        </w:rPr>
        <w:t xml:space="preserve">2025-06-04 Prosecution policy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7BE6" w14:textId="77777777" w:rsidR="00BC5B0E" w:rsidRDefault="00BC5B0E">
      <w:r>
        <w:separator/>
      </w:r>
    </w:p>
  </w:footnote>
  <w:footnote w:type="continuationSeparator" w:id="0">
    <w:p w14:paraId="17CAC8EA" w14:textId="77777777" w:rsidR="00BC5B0E" w:rsidRDefault="00BC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A742" w14:textId="26637245" w:rsidR="007576A1" w:rsidRDefault="007576A1">
    <w:pPr>
      <w:pStyle w:val="Header"/>
    </w:pPr>
    <w:r>
      <w:t xml:space="preserve">Policy: </w:t>
    </w:r>
    <w:r w:rsidR="00C01189">
      <w:t>Prosecution Policy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225B" w14:textId="77777777" w:rsidR="00FF766B" w:rsidRDefault="009B2075" w:rsidP="009B2075">
    <w:pPr>
      <w:pStyle w:val="Header"/>
      <w:jc w:val="right"/>
    </w:pPr>
    <w:r>
      <w:rPr>
        <w:noProof/>
        <w:lang w:eastAsia="en-NZ"/>
      </w:rPr>
      <w:drawing>
        <wp:inline distT="0" distB="0" distL="0" distR="0" wp14:anchorId="254C1FB0" wp14:editId="74685DAE">
          <wp:extent cx="2294971" cy="633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4971" cy="633095"/>
                  </a:xfrm>
                  <a:prstGeom prst="rect">
                    <a:avLst/>
                  </a:prstGeom>
                  <a:noFill/>
                  <a:ln>
                    <a:noFill/>
                  </a:ln>
                </pic:spPr>
              </pic:pic>
            </a:graphicData>
          </a:graphic>
        </wp:inline>
      </w:drawing>
    </w:r>
  </w:p>
  <w:p w14:paraId="11B8D46E" w14:textId="77777777" w:rsidR="009B2075" w:rsidRDefault="009B2075" w:rsidP="009B20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9428BA"/>
    <w:multiLevelType w:val="hybridMultilevel"/>
    <w:tmpl w:val="EBBC27CC"/>
    <w:lvl w:ilvl="0" w:tplc="8BF84A90">
      <w:start w:val="1"/>
      <w:numFmt w:val="bullet"/>
      <w:pStyle w:val="ListParagraph"/>
      <w:lvlText w:val=""/>
      <w:lvlJc w:val="left"/>
      <w:pPr>
        <w:ind w:left="1287" w:hanging="360"/>
      </w:pPr>
      <w:rPr>
        <w:rFonts w:ascii="Symbol" w:hAnsi="Symbol" w:hint="default"/>
        <w:sz w:val="18"/>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FE8274E"/>
    <w:multiLevelType w:val="hybridMultilevel"/>
    <w:tmpl w:val="B72A7362"/>
    <w:lvl w:ilvl="0" w:tplc="E1E0148C">
      <w:start w:val="1"/>
      <w:numFmt w:val="bullet"/>
      <w:lvlText w:val=""/>
      <w:lvlJc w:val="left"/>
      <w:pPr>
        <w:ind w:left="720" w:hanging="360"/>
      </w:pPr>
      <w:rPr>
        <w:rFonts w:ascii="Symbol" w:hAnsi="Symbol" w:hint="default"/>
      </w:rPr>
    </w:lvl>
    <w:lvl w:ilvl="1" w:tplc="B7EAFDBC">
      <w:start w:val="1"/>
      <w:numFmt w:val="bullet"/>
      <w:lvlText w:val="o"/>
      <w:lvlJc w:val="left"/>
      <w:pPr>
        <w:ind w:left="1440" w:hanging="360"/>
      </w:pPr>
      <w:rPr>
        <w:rFonts w:ascii="Courier New" w:hAnsi="Courier New" w:hint="default"/>
      </w:rPr>
    </w:lvl>
    <w:lvl w:ilvl="2" w:tplc="D100A472">
      <w:start w:val="1"/>
      <w:numFmt w:val="bullet"/>
      <w:lvlText w:val=""/>
      <w:lvlJc w:val="left"/>
      <w:pPr>
        <w:ind w:left="2160" w:hanging="360"/>
      </w:pPr>
      <w:rPr>
        <w:rFonts w:ascii="Wingdings" w:hAnsi="Wingdings" w:hint="default"/>
      </w:rPr>
    </w:lvl>
    <w:lvl w:ilvl="3" w:tplc="4F54CDCA">
      <w:start w:val="1"/>
      <w:numFmt w:val="bullet"/>
      <w:lvlText w:val=""/>
      <w:lvlJc w:val="left"/>
      <w:pPr>
        <w:ind w:left="2880" w:hanging="360"/>
      </w:pPr>
      <w:rPr>
        <w:rFonts w:ascii="Symbol" w:hAnsi="Symbol" w:hint="default"/>
      </w:rPr>
    </w:lvl>
    <w:lvl w:ilvl="4" w:tplc="6A302F08">
      <w:start w:val="1"/>
      <w:numFmt w:val="bullet"/>
      <w:lvlText w:val="o"/>
      <w:lvlJc w:val="left"/>
      <w:pPr>
        <w:ind w:left="3600" w:hanging="360"/>
      </w:pPr>
      <w:rPr>
        <w:rFonts w:ascii="Courier New" w:hAnsi="Courier New" w:hint="default"/>
      </w:rPr>
    </w:lvl>
    <w:lvl w:ilvl="5" w:tplc="CECA9FE8">
      <w:start w:val="1"/>
      <w:numFmt w:val="bullet"/>
      <w:lvlText w:val=""/>
      <w:lvlJc w:val="left"/>
      <w:pPr>
        <w:ind w:left="4320" w:hanging="360"/>
      </w:pPr>
      <w:rPr>
        <w:rFonts w:ascii="Wingdings" w:hAnsi="Wingdings" w:hint="default"/>
      </w:rPr>
    </w:lvl>
    <w:lvl w:ilvl="6" w:tplc="FCD88B86">
      <w:start w:val="1"/>
      <w:numFmt w:val="bullet"/>
      <w:lvlText w:val=""/>
      <w:lvlJc w:val="left"/>
      <w:pPr>
        <w:ind w:left="5040" w:hanging="360"/>
      </w:pPr>
      <w:rPr>
        <w:rFonts w:ascii="Symbol" w:hAnsi="Symbol" w:hint="default"/>
      </w:rPr>
    </w:lvl>
    <w:lvl w:ilvl="7" w:tplc="2F30C3E0">
      <w:start w:val="1"/>
      <w:numFmt w:val="bullet"/>
      <w:lvlText w:val="o"/>
      <w:lvlJc w:val="left"/>
      <w:pPr>
        <w:ind w:left="5760" w:hanging="360"/>
      </w:pPr>
      <w:rPr>
        <w:rFonts w:ascii="Courier New" w:hAnsi="Courier New" w:hint="default"/>
      </w:rPr>
    </w:lvl>
    <w:lvl w:ilvl="8" w:tplc="14EABD64">
      <w:start w:val="1"/>
      <w:numFmt w:val="bullet"/>
      <w:lvlText w:val=""/>
      <w:lvlJc w:val="left"/>
      <w:pPr>
        <w:ind w:left="6480" w:hanging="360"/>
      </w:pPr>
      <w:rPr>
        <w:rFonts w:ascii="Wingdings" w:hAnsi="Wingdings" w:hint="default"/>
      </w:rPr>
    </w:lvl>
  </w:abstractNum>
  <w:abstractNum w:abstractNumId="15" w15:restartNumberingAfterBreak="0">
    <w:nsid w:val="249A5D1F"/>
    <w:multiLevelType w:val="multilevel"/>
    <w:tmpl w:val="BD668D76"/>
    <w:lvl w:ilvl="0">
      <w:start w:val="1"/>
      <w:numFmt w:val="decimal"/>
      <w:lvlText w:val="%1."/>
      <w:lvlJc w:val="left"/>
      <w:pPr>
        <w:tabs>
          <w:tab w:val="num" w:pos="567"/>
        </w:tabs>
        <w:ind w:left="567" w:hanging="567"/>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B44FF3"/>
    <w:multiLevelType w:val="multilevel"/>
    <w:tmpl w:val="E96A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2738E8"/>
    <w:multiLevelType w:val="multilevel"/>
    <w:tmpl w:val="E96A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F5832"/>
    <w:multiLevelType w:val="multilevel"/>
    <w:tmpl w:val="C4C408A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4F6CBA"/>
    <w:multiLevelType w:val="multilevel"/>
    <w:tmpl w:val="E96A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F2A75AE"/>
    <w:multiLevelType w:val="multilevel"/>
    <w:tmpl w:val="A80C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26B2B5E"/>
    <w:multiLevelType w:val="multilevel"/>
    <w:tmpl w:val="E96A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216CBB"/>
    <w:multiLevelType w:val="multilevel"/>
    <w:tmpl w:val="26D2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1" w15:restartNumberingAfterBreak="0">
    <w:nsid w:val="6B2A7B0B"/>
    <w:multiLevelType w:val="multilevel"/>
    <w:tmpl w:val="F4B43A18"/>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4" w15:restartNumberingAfterBreak="0">
    <w:nsid w:val="7FEF38AE"/>
    <w:multiLevelType w:val="multilevel"/>
    <w:tmpl w:val="71C0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8640704">
    <w:abstractNumId w:val="14"/>
  </w:num>
  <w:num w:numId="2" w16cid:durableId="855846255">
    <w:abstractNumId w:val="27"/>
  </w:num>
  <w:num w:numId="3" w16cid:durableId="283267335">
    <w:abstractNumId w:val="25"/>
  </w:num>
  <w:num w:numId="4" w16cid:durableId="273824403">
    <w:abstractNumId w:val="21"/>
  </w:num>
  <w:num w:numId="5" w16cid:durableId="803818060">
    <w:abstractNumId w:val="32"/>
  </w:num>
  <w:num w:numId="6" w16cid:durableId="20981045">
    <w:abstractNumId w:val="28"/>
  </w:num>
  <w:num w:numId="7" w16cid:durableId="34038970">
    <w:abstractNumId w:val="30"/>
  </w:num>
  <w:num w:numId="8" w16cid:durableId="8877142">
    <w:abstractNumId w:val="18"/>
  </w:num>
  <w:num w:numId="9" w16cid:durableId="1007170510">
    <w:abstractNumId w:val="13"/>
  </w:num>
  <w:num w:numId="10" w16cid:durableId="394204697">
    <w:abstractNumId w:val="9"/>
  </w:num>
  <w:num w:numId="11" w16cid:durableId="1586721374">
    <w:abstractNumId w:val="7"/>
  </w:num>
  <w:num w:numId="12" w16cid:durableId="1801066891">
    <w:abstractNumId w:val="6"/>
  </w:num>
  <w:num w:numId="13" w16cid:durableId="725027620">
    <w:abstractNumId w:val="5"/>
  </w:num>
  <w:num w:numId="14" w16cid:durableId="1347634228">
    <w:abstractNumId w:val="4"/>
  </w:num>
  <w:num w:numId="15" w16cid:durableId="1555193675">
    <w:abstractNumId w:val="8"/>
  </w:num>
  <w:num w:numId="16" w16cid:durableId="1957909303">
    <w:abstractNumId w:val="3"/>
  </w:num>
  <w:num w:numId="17" w16cid:durableId="39522363">
    <w:abstractNumId w:val="2"/>
  </w:num>
  <w:num w:numId="18" w16cid:durableId="1736128882">
    <w:abstractNumId w:val="1"/>
  </w:num>
  <w:num w:numId="19" w16cid:durableId="1033383758">
    <w:abstractNumId w:val="0"/>
  </w:num>
  <w:num w:numId="20" w16cid:durableId="422921788">
    <w:abstractNumId w:val="10"/>
  </w:num>
  <w:num w:numId="21" w16cid:durableId="1285119059">
    <w:abstractNumId w:val="12"/>
  </w:num>
  <w:num w:numId="22" w16cid:durableId="1585801484">
    <w:abstractNumId w:val="33"/>
  </w:num>
  <w:num w:numId="23" w16cid:durableId="168255933">
    <w:abstractNumId w:val="31"/>
  </w:num>
  <w:num w:numId="24" w16cid:durableId="923878169">
    <w:abstractNumId w:val="29"/>
  </w:num>
  <w:num w:numId="25" w16cid:durableId="1223905792">
    <w:abstractNumId w:val="23"/>
  </w:num>
  <w:num w:numId="26" w16cid:durableId="781190072">
    <w:abstractNumId w:val="19"/>
  </w:num>
  <w:num w:numId="27" w16cid:durableId="1952861459">
    <w:abstractNumId w:val="11"/>
  </w:num>
  <w:num w:numId="28" w16cid:durableId="840438553">
    <w:abstractNumId w:val="19"/>
  </w:num>
  <w:num w:numId="29" w16cid:durableId="1374303551">
    <w:abstractNumId w:val="19"/>
  </w:num>
  <w:num w:numId="30" w16cid:durableId="698706097">
    <w:abstractNumId w:val="19"/>
  </w:num>
  <w:num w:numId="31" w16cid:durableId="1533810129">
    <w:abstractNumId w:val="34"/>
  </w:num>
  <w:num w:numId="32" w16cid:durableId="1698458956">
    <w:abstractNumId w:val="19"/>
  </w:num>
  <w:num w:numId="33" w16cid:durableId="1541672564">
    <w:abstractNumId w:val="19"/>
  </w:num>
  <w:num w:numId="34" w16cid:durableId="1589921034">
    <w:abstractNumId w:val="28"/>
  </w:num>
  <w:num w:numId="35" w16cid:durableId="1519540964">
    <w:abstractNumId w:val="19"/>
  </w:num>
  <w:num w:numId="36" w16cid:durableId="749155422">
    <w:abstractNumId w:val="20"/>
  </w:num>
  <w:num w:numId="37" w16cid:durableId="910389902">
    <w:abstractNumId w:val="26"/>
  </w:num>
  <w:num w:numId="38" w16cid:durableId="1611813708">
    <w:abstractNumId w:val="16"/>
  </w:num>
  <w:num w:numId="39" w16cid:durableId="1639534909">
    <w:abstractNumId w:val="24"/>
  </w:num>
  <w:num w:numId="40" w16cid:durableId="1584558965">
    <w:abstractNumId w:val="17"/>
  </w:num>
  <w:num w:numId="41" w16cid:durableId="1046025893">
    <w:abstractNumId w:val="15"/>
  </w:num>
  <w:num w:numId="42" w16cid:durableId="498276713">
    <w:abstractNumId w:val="19"/>
  </w:num>
  <w:num w:numId="43" w16cid:durableId="650907651">
    <w:abstractNumId w:val="19"/>
  </w:num>
  <w:num w:numId="44" w16cid:durableId="1733116185">
    <w:abstractNumId w:val="19"/>
  </w:num>
  <w:num w:numId="45" w16cid:durableId="169333854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D3"/>
    <w:rsid w:val="000000DA"/>
    <w:rsid w:val="000031EA"/>
    <w:rsid w:val="00003227"/>
    <w:rsid w:val="00003360"/>
    <w:rsid w:val="00004E08"/>
    <w:rsid w:val="00007589"/>
    <w:rsid w:val="0001202E"/>
    <w:rsid w:val="00012F2A"/>
    <w:rsid w:val="00015E7D"/>
    <w:rsid w:val="00016C45"/>
    <w:rsid w:val="00017A4C"/>
    <w:rsid w:val="00020010"/>
    <w:rsid w:val="00020FC9"/>
    <w:rsid w:val="0002246B"/>
    <w:rsid w:val="00025D35"/>
    <w:rsid w:val="0002663A"/>
    <w:rsid w:val="00027824"/>
    <w:rsid w:val="00031BC1"/>
    <w:rsid w:val="00032742"/>
    <w:rsid w:val="00032E13"/>
    <w:rsid w:val="000336B5"/>
    <w:rsid w:val="00034673"/>
    <w:rsid w:val="000350B2"/>
    <w:rsid w:val="0003692D"/>
    <w:rsid w:val="00037229"/>
    <w:rsid w:val="00037A76"/>
    <w:rsid w:val="000409E2"/>
    <w:rsid w:val="00042630"/>
    <w:rsid w:val="000428D2"/>
    <w:rsid w:val="00042BFE"/>
    <w:rsid w:val="00042E89"/>
    <w:rsid w:val="00042F1E"/>
    <w:rsid w:val="0004305B"/>
    <w:rsid w:val="00043651"/>
    <w:rsid w:val="00044EA1"/>
    <w:rsid w:val="000453B2"/>
    <w:rsid w:val="00050052"/>
    <w:rsid w:val="000526E0"/>
    <w:rsid w:val="00052806"/>
    <w:rsid w:val="00053A97"/>
    <w:rsid w:val="0005540E"/>
    <w:rsid w:val="00055851"/>
    <w:rsid w:val="00057327"/>
    <w:rsid w:val="000573C1"/>
    <w:rsid w:val="0005787B"/>
    <w:rsid w:val="0006069E"/>
    <w:rsid w:val="000608BF"/>
    <w:rsid w:val="00060D80"/>
    <w:rsid w:val="00061255"/>
    <w:rsid w:val="000619A3"/>
    <w:rsid w:val="0006257F"/>
    <w:rsid w:val="00063BB2"/>
    <w:rsid w:val="00067889"/>
    <w:rsid w:val="00071277"/>
    <w:rsid w:val="0007422B"/>
    <w:rsid w:val="00075224"/>
    <w:rsid w:val="00076035"/>
    <w:rsid w:val="00077013"/>
    <w:rsid w:val="00082DE8"/>
    <w:rsid w:val="00086222"/>
    <w:rsid w:val="000862DB"/>
    <w:rsid w:val="0008734D"/>
    <w:rsid w:val="00090168"/>
    <w:rsid w:val="000901DE"/>
    <w:rsid w:val="00090E41"/>
    <w:rsid w:val="00091C3A"/>
    <w:rsid w:val="0009257F"/>
    <w:rsid w:val="00092DA7"/>
    <w:rsid w:val="00093224"/>
    <w:rsid w:val="00094594"/>
    <w:rsid w:val="0009593E"/>
    <w:rsid w:val="00096C9E"/>
    <w:rsid w:val="000A1E31"/>
    <w:rsid w:val="000A2ECF"/>
    <w:rsid w:val="000A5913"/>
    <w:rsid w:val="000A5EDB"/>
    <w:rsid w:val="000A661E"/>
    <w:rsid w:val="000A7A93"/>
    <w:rsid w:val="000A7BDD"/>
    <w:rsid w:val="000A7D2D"/>
    <w:rsid w:val="000B2503"/>
    <w:rsid w:val="000B2A2A"/>
    <w:rsid w:val="000B424A"/>
    <w:rsid w:val="000B42AF"/>
    <w:rsid w:val="000B461C"/>
    <w:rsid w:val="000B509A"/>
    <w:rsid w:val="000C086E"/>
    <w:rsid w:val="000C0DA2"/>
    <w:rsid w:val="000C2697"/>
    <w:rsid w:val="000C4425"/>
    <w:rsid w:val="000D00EB"/>
    <w:rsid w:val="000D04F5"/>
    <w:rsid w:val="000D11D0"/>
    <w:rsid w:val="000D2DAD"/>
    <w:rsid w:val="000D34E2"/>
    <w:rsid w:val="000D39AB"/>
    <w:rsid w:val="000D524C"/>
    <w:rsid w:val="000D5B84"/>
    <w:rsid w:val="000E2ED9"/>
    <w:rsid w:val="000E59D1"/>
    <w:rsid w:val="000E677B"/>
    <w:rsid w:val="000E7657"/>
    <w:rsid w:val="000F10B4"/>
    <w:rsid w:val="000F2958"/>
    <w:rsid w:val="000F38D0"/>
    <w:rsid w:val="000F3EA8"/>
    <w:rsid w:val="000F4ADF"/>
    <w:rsid w:val="000F592A"/>
    <w:rsid w:val="000F5C20"/>
    <w:rsid w:val="000F61AF"/>
    <w:rsid w:val="000F6382"/>
    <w:rsid w:val="000F7713"/>
    <w:rsid w:val="001013B5"/>
    <w:rsid w:val="0010171C"/>
    <w:rsid w:val="001025AF"/>
    <w:rsid w:val="001025E8"/>
    <w:rsid w:val="00102FAD"/>
    <w:rsid w:val="00107904"/>
    <w:rsid w:val="001100DA"/>
    <w:rsid w:val="00110C81"/>
    <w:rsid w:val="00111EBB"/>
    <w:rsid w:val="00112A3C"/>
    <w:rsid w:val="0011368F"/>
    <w:rsid w:val="0011501F"/>
    <w:rsid w:val="00115E5B"/>
    <w:rsid w:val="0011740C"/>
    <w:rsid w:val="00117A3B"/>
    <w:rsid w:val="00117F35"/>
    <w:rsid w:val="001209D6"/>
    <w:rsid w:val="00122090"/>
    <w:rsid w:val="00123231"/>
    <w:rsid w:val="00123789"/>
    <w:rsid w:val="001241DF"/>
    <w:rsid w:val="0012430C"/>
    <w:rsid w:val="001252F0"/>
    <w:rsid w:val="0013046A"/>
    <w:rsid w:val="00130DEC"/>
    <w:rsid w:val="00134376"/>
    <w:rsid w:val="001359DE"/>
    <w:rsid w:val="00135D65"/>
    <w:rsid w:val="001362D3"/>
    <w:rsid w:val="00140B93"/>
    <w:rsid w:val="00140D71"/>
    <w:rsid w:val="00140FB8"/>
    <w:rsid w:val="00141592"/>
    <w:rsid w:val="00146B86"/>
    <w:rsid w:val="001470A2"/>
    <w:rsid w:val="00147ED0"/>
    <w:rsid w:val="001542FF"/>
    <w:rsid w:val="0015463C"/>
    <w:rsid w:val="0015506D"/>
    <w:rsid w:val="00155A09"/>
    <w:rsid w:val="00156101"/>
    <w:rsid w:val="00156480"/>
    <w:rsid w:val="00160011"/>
    <w:rsid w:val="001612C7"/>
    <w:rsid w:val="0016433D"/>
    <w:rsid w:val="001660C4"/>
    <w:rsid w:val="001703AA"/>
    <w:rsid w:val="001723B6"/>
    <w:rsid w:val="00172E5A"/>
    <w:rsid w:val="001743EF"/>
    <w:rsid w:val="0017716A"/>
    <w:rsid w:val="00183008"/>
    <w:rsid w:val="00184115"/>
    <w:rsid w:val="00184505"/>
    <w:rsid w:val="0018464A"/>
    <w:rsid w:val="00184740"/>
    <w:rsid w:val="0018614A"/>
    <w:rsid w:val="00191F93"/>
    <w:rsid w:val="00194094"/>
    <w:rsid w:val="001979EF"/>
    <w:rsid w:val="001A1E07"/>
    <w:rsid w:val="001A2B88"/>
    <w:rsid w:val="001A3E86"/>
    <w:rsid w:val="001A5F55"/>
    <w:rsid w:val="001B0EC0"/>
    <w:rsid w:val="001B46B5"/>
    <w:rsid w:val="001B5AB5"/>
    <w:rsid w:val="001B7174"/>
    <w:rsid w:val="001C0031"/>
    <w:rsid w:val="001C26D0"/>
    <w:rsid w:val="001C31AD"/>
    <w:rsid w:val="001C3F8A"/>
    <w:rsid w:val="001C654C"/>
    <w:rsid w:val="001C65CD"/>
    <w:rsid w:val="001C722A"/>
    <w:rsid w:val="001C7868"/>
    <w:rsid w:val="001D0111"/>
    <w:rsid w:val="001D191A"/>
    <w:rsid w:val="001D2DF4"/>
    <w:rsid w:val="001D327F"/>
    <w:rsid w:val="001D527C"/>
    <w:rsid w:val="001D53D8"/>
    <w:rsid w:val="001D55E0"/>
    <w:rsid w:val="001D6172"/>
    <w:rsid w:val="001D69DF"/>
    <w:rsid w:val="001D742D"/>
    <w:rsid w:val="001E0CF8"/>
    <w:rsid w:val="001E254F"/>
    <w:rsid w:val="001E6EC6"/>
    <w:rsid w:val="001F03AE"/>
    <w:rsid w:val="001F7F40"/>
    <w:rsid w:val="0020070A"/>
    <w:rsid w:val="00202628"/>
    <w:rsid w:val="00203027"/>
    <w:rsid w:val="002031CE"/>
    <w:rsid w:val="002042E3"/>
    <w:rsid w:val="00205FE8"/>
    <w:rsid w:val="002066A9"/>
    <w:rsid w:val="00206BA3"/>
    <w:rsid w:val="002109FF"/>
    <w:rsid w:val="00210A27"/>
    <w:rsid w:val="00211C84"/>
    <w:rsid w:val="00215160"/>
    <w:rsid w:val="00217499"/>
    <w:rsid w:val="00217980"/>
    <w:rsid w:val="00220160"/>
    <w:rsid w:val="002224B4"/>
    <w:rsid w:val="00222891"/>
    <w:rsid w:val="00222DC1"/>
    <w:rsid w:val="0022325A"/>
    <w:rsid w:val="00223E9D"/>
    <w:rsid w:val="002242A6"/>
    <w:rsid w:val="00225A90"/>
    <w:rsid w:val="00226D5E"/>
    <w:rsid w:val="00227F78"/>
    <w:rsid w:val="002324A2"/>
    <w:rsid w:val="00232AC6"/>
    <w:rsid w:val="00237298"/>
    <w:rsid w:val="00237A3D"/>
    <w:rsid w:val="00240965"/>
    <w:rsid w:val="00240E83"/>
    <w:rsid w:val="002420B8"/>
    <w:rsid w:val="00244130"/>
    <w:rsid w:val="00244581"/>
    <w:rsid w:val="00245018"/>
    <w:rsid w:val="00246651"/>
    <w:rsid w:val="00246AF6"/>
    <w:rsid w:val="002502D1"/>
    <w:rsid w:val="00251324"/>
    <w:rsid w:val="00252888"/>
    <w:rsid w:val="00252F2E"/>
    <w:rsid w:val="00254006"/>
    <w:rsid w:val="002557E6"/>
    <w:rsid w:val="002562AE"/>
    <w:rsid w:val="0025689D"/>
    <w:rsid w:val="00257271"/>
    <w:rsid w:val="00260AAF"/>
    <w:rsid w:val="00261B33"/>
    <w:rsid w:val="002643BD"/>
    <w:rsid w:val="00264419"/>
    <w:rsid w:val="002671EE"/>
    <w:rsid w:val="00270EEC"/>
    <w:rsid w:val="002713D4"/>
    <w:rsid w:val="00275D92"/>
    <w:rsid w:val="002762E2"/>
    <w:rsid w:val="002806A2"/>
    <w:rsid w:val="00281F40"/>
    <w:rsid w:val="00282E37"/>
    <w:rsid w:val="00284284"/>
    <w:rsid w:val="002848DD"/>
    <w:rsid w:val="00285D44"/>
    <w:rsid w:val="002874D5"/>
    <w:rsid w:val="00290D32"/>
    <w:rsid w:val="00290E75"/>
    <w:rsid w:val="0029324D"/>
    <w:rsid w:val="00294719"/>
    <w:rsid w:val="00294B15"/>
    <w:rsid w:val="0029732D"/>
    <w:rsid w:val="00297941"/>
    <w:rsid w:val="00297CC7"/>
    <w:rsid w:val="002A0AEE"/>
    <w:rsid w:val="002A11C2"/>
    <w:rsid w:val="002A194F"/>
    <w:rsid w:val="002A1BDC"/>
    <w:rsid w:val="002A37A7"/>
    <w:rsid w:val="002A47DF"/>
    <w:rsid w:val="002A4BD9"/>
    <w:rsid w:val="002A4D35"/>
    <w:rsid w:val="002A4FE7"/>
    <w:rsid w:val="002A5CA4"/>
    <w:rsid w:val="002A6327"/>
    <w:rsid w:val="002B0372"/>
    <w:rsid w:val="002B0609"/>
    <w:rsid w:val="002B1053"/>
    <w:rsid w:val="002B1CEB"/>
    <w:rsid w:val="002B3471"/>
    <w:rsid w:val="002B358E"/>
    <w:rsid w:val="002B5001"/>
    <w:rsid w:val="002B5016"/>
    <w:rsid w:val="002B5310"/>
    <w:rsid w:val="002B536E"/>
    <w:rsid w:val="002B5779"/>
    <w:rsid w:val="002B5E63"/>
    <w:rsid w:val="002B61D4"/>
    <w:rsid w:val="002B690A"/>
    <w:rsid w:val="002B7B98"/>
    <w:rsid w:val="002C12B6"/>
    <w:rsid w:val="002C24F8"/>
    <w:rsid w:val="002C2F71"/>
    <w:rsid w:val="002C3630"/>
    <w:rsid w:val="002C40E9"/>
    <w:rsid w:val="002C48DB"/>
    <w:rsid w:val="002D142E"/>
    <w:rsid w:val="002D44BF"/>
    <w:rsid w:val="002D4B17"/>
    <w:rsid w:val="002D7209"/>
    <w:rsid w:val="002E0A7B"/>
    <w:rsid w:val="002E194A"/>
    <w:rsid w:val="002E20D3"/>
    <w:rsid w:val="002E29B6"/>
    <w:rsid w:val="002E4574"/>
    <w:rsid w:val="002E509B"/>
    <w:rsid w:val="002E5120"/>
    <w:rsid w:val="002E5845"/>
    <w:rsid w:val="002E5A67"/>
    <w:rsid w:val="002E651E"/>
    <w:rsid w:val="002E7C1C"/>
    <w:rsid w:val="002F159F"/>
    <w:rsid w:val="002F2CC0"/>
    <w:rsid w:val="002F3110"/>
    <w:rsid w:val="002F5D09"/>
    <w:rsid w:val="003000E1"/>
    <w:rsid w:val="0030084C"/>
    <w:rsid w:val="003016A9"/>
    <w:rsid w:val="0030351D"/>
    <w:rsid w:val="00305FE5"/>
    <w:rsid w:val="00310EE8"/>
    <w:rsid w:val="003129BA"/>
    <w:rsid w:val="00313B63"/>
    <w:rsid w:val="003141F7"/>
    <w:rsid w:val="003148FC"/>
    <w:rsid w:val="00315408"/>
    <w:rsid w:val="003161E9"/>
    <w:rsid w:val="00316433"/>
    <w:rsid w:val="00316CB7"/>
    <w:rsid w:val="003171C9"/>
    <w:rsid w:val="0032143F"/>
    <w:rsid w:val="003244B3"/>
    <w:rsid w:val="003244E4"/>
    <w:rsid w:val="00326546"/>
    <w:rsid w:val="0032705B"/>
    <w:rsid w:val="00327996"/>
    <w:rsid w:val="00330041"/>
    <w:rsid w:val="00330820"/>
    <w:rsid w:val="0033180F"/>
    <w:rsid w:val="00332473"/>
    <w:rsid w:val="003329CC"/>
    <w:rsid w:val="00334ADC"/>
    <w:rsid w:val="00335BE1"/>
    <w:rsid w:val="00335BE8"/>
    <w:rsid w:val="003374A0"/>
    <w:rsid w:val="00341AD6"/>
    <w:rsid w:val="00342B37"/>
    <w:rsid w:val="00342C2B"/>
    <w:rsid w:val="00347855"/>
    <w:rsid w:val="003501D0"/>
    <w:rsid w:val="003504DB"/>
    <w:rsid w:val="00351AD2"/>
    <w:rsid w:val="00353898"/>
    <w:rsid w:val="00354EF1"/>
    <w:rsid w:val="00355DF5"/>
    <w:rsid w:val="00356243"/>
    <w:rsid w:val="0036259B"/>
    <w:rsid w:val="0036584E"/>
    <w:rsid w:val="00366A65"/>
    <w:rsid w:val="00367229"/>
    <w:rsid w:val="003707A4"/>
    <w:rsid w:val="00370FC0"/>
    <w:rsid w:val="00372E0D"/>
    <w:rsid w:val="00372FA0"/>
    <w:rsid w:val="00373206"/>
    <w:rsid w:val="003736E0"/>
    <w:rsid w:val="0037390B"/>
    <w:rsid w:val="00374D3C"/>
    <w:rsid w:val="003756FF"/>
    <w:rsid w:val="00376E40"/>
    <w:rsid w:val="00377640"/>
    <w:rsid w:val="00381724"/>
    <w:rsid w:val="00381DF9"/>
    <w:rsid w:val="00385631"/>
    <w:rsid w:val="0038709E"/>
    <w:rsid w:val="00387AF2"/>
    <w:rsid w:val="003911D3"/>
    <w:rsid w:val="003927D4"/>
    <w:rsid w:val="0039396C"/>
    <w:rsid w:val="003A011D"/>
    <w:rsid w:val="003A10DA"/>
    <w:rsid w:val="003A12C8"/>
    <w:rsid w:val="003A15F5"/>
    <w:rsid w:val="003A1C33"/>
    <w:rsid w:val="003A2365"/>
    <w:rsid w:val="003A284E"/>
    <w:rsid w:val="003A602A"/>
    <w:rsid w:val="003A6FFE"/>
    <w:rsid w:val="003B18E5"/>
    <w:rsid w:val="003B3750"/>
    <w:rsid w:val="003B3A23"/>
    <w:rsid w:val="003B3E85"/>
    <w:rsid w:val="003B5396"/>
    <w:rsid w:val="003C0423"/>
    <w:rsid w:val="003C06D6"/>
    <w:rsid w:val="003C0F29"/>
    <w:rsid w:val="003C1362"/>
    <w:rsid w:val="003C1B7F"/>
    <w:rsid w:val="003C78FA"/>
    <w:rsid w:val="003C7909"/>
    <w:rsid w:val="003C7A15"/>
    <w:rsid w:val="003D0380"/>
    <w:rsid w:val="003D0FB9"/>
    <w:rsid w:val="003D57C6"/>
    <w:rsid w:val="003E1E7E"/>
    <w:rsid w:val="003E27F6"/>
    <w:rsid w:val="003E29C8"/>
    <w:rsid w:val="003E2C85"/>
    <w:rsid w:val="003E2DFC"/>
    <w:rsid w:val="003E3529"/>
    <w:rsid w:val="003E4EA7"/>
    <w:rsid w:val="003E7D3E"/>
    <w:rsid w:val="003F041B"/>
    <w:rsid w:val="003F05FA"/>
    <w:rsid w:val="003F2A10"/>
    <w:rsid w:val="003F5886"/>
    <w:rsid w:val="003F6188"/>
    <w:rsid w:val="003F6DBD"/>
    <w:rsid w:val="0040020C"/>
    <w:rsid w:val="0040377F"/>
    <w:rsid w:val="00403FCE"/>
    <w:rsid w:val="00405BC3"/>
    <w:rsid w:val="0040700B"/>
    <w:rsid w:val="00407F54"/>
    <w:rsid w:val="004109F8"/>
    <w:rsid w:val="00411341"/>
    <w:rsid w:val="0041147E"/>
    <w:rsid w:val="00413966"/>
    <w:rsid w:val="00415CDB"/>
    <w:rsid w:val="004161FB"/>
    <w:rsid w:val="004177CE"/>
    <w:rsid w:val="004205B0"/>
    <w:rsid w:val="00420A9B"/>
    <w:rsid w:val="004221A2"/>
    <w:rsid w:val="0042551E"/>
    <w:rsid w:val="00427567"/>
    <w:rsid w:val="0043057F"/>
    <w:rsid w:val="004323F9"/>
    <w:rsid w:val="00433581"/>
    <w:rsid w:val="00433AD8"/>
    <w:rsid w:val="00434AFC"/>
    <w:rsid w:val="00436BDF"/>
    <w:rsid w:val="00440755"/>
    <w:rsid w:val="00441189"/>
    <w:rsid w:val="0044163D"/>
    <w:rsid w:val="00442A51"/>
    <w:rsid w:val="00443E71"/>
    <w:rsid w:val="0044565B"/>
    <w:rsid w:val="00446E70"/>
    <w:rsid w:val="00447B47"/>
    <w:rsid w:val="00447D03"/>
    <w:rsid w:val="0045200A"/>
    <w:rsid w:val="00452E0A"/>
    <w:rsid w:val="0045428C"/>
    <w:rsid w:val="004552A0"/>
    <w:rsid w:val="004576F7"/>
    <w:rsid w:val="00460A83"/>
    <w:rsid w:val="004614B1"/>
    <w:rsid w:val="0046460E"/>
    <w:rsid w:val="00464ABE"/>
    <w:rsid w:val="00465B37"/>
    <w:rsid w:val="00465BFA"/>
    <w:rsid w:val="00466904"/>
    <w:rsid w:val="004673B9"/>
    <w:rsid w:val="00470326"/>
    <w:rsid w:val="004717B2"/>
    <w:rsid w:val="00472D6F"/>
    <w:rsid w:val="004737D8"/>
    <w:rsid w:val="0047508B"/>
    <w:rsid w:val="00477102"/>
    <w:rsid w:val="00477619"/>
    <w:rsid w:val="004776DF"/>
    <w:rsid w:val="0048067B"/>
    <w:rsid w:val="00482CB1"/>
    <w:rsid w:val="0048325C"/>
    <w:rsid w:val="004848AA"/>
    <w:rsid w:val="00486A8B"/>
    <w:rsid w:val="00486E6E"/>
    <w:rsid w:val="00490051"/>
    <w:rsid w:val="0049112A"/>
    <w:rsid w:val="004915DD"/>
    <w:rsid w:val="004934FD"/>
    <w:rsid w:val="00493D59"/>
    <w:rsid w:val="004A0295"/>
    <w:rsid w:val="004A1087"/>
    <w:rsid w:val="004A2ABA"/>
    <w:rsid w:val="004A345E"/>
    <w:rsid w:val="004A421D"/>
    <w:rsid w:val="004A5823"/>
    <w:rsid w:val="004A5F43"/>
    <w:rsid w:val="004A6A3B"/>
    <w:rsid w:val="004B025E"/>
    <w:rsid w:val="004B0AAF"/>
    <w:rsid w:val="004B3924"/>
    <w:rsid w:val="004B49D3"/>
    <w:rsid w:val="004B4B33"/>
    <w:rsid w:val="004B5106"/>
    <w:rsid w:val="004B5D57"/>
    <w:rsid w:val="004B630E"/>
    <w:rsid w:val="004C05EA"/>
    <w:rsid w:val="004C14A6"/>
    <w:rsid w:val="004C1C13"/>
    <w:rsid w:val="004C2347"/>
    <w:rsid w:val="004C294C"/>
    <w:rsid w:val="004C47DD"/>
    <w:rsid w:val="004C4DDD"/>
    <w:rsid w:val="004C5EF8"/>
    <w:rsid w:val="004C6CD3"/>
    <w:rsid w:val="004C7E2C"/>
    <w:rsid w:val="004D1706"/>
    <w:rsid w:val="004D243F"/>
    <w:rsid w:val="004D26C6"/>
    <w:rsid w:val="004D427A"/>
    <w:rsid w:val="004D4949"/>
    <w:rsid w:val="004D7473"/>
    <w:rsid w:val="004D7BC8"/>
    <w:rsid w:val="004E1BEB"/>
    <w:rsid w:val="004E380F"/>
    <w:rsid w:val="004E3AB9"/>
    <w:rsid w:val="004E3C1C"/>
    <w:rsid w:val="004E6EC6"/>
    <w:rsid w:val="004E7E2C"/>
    <w:rsid w:val="004F0134"/>
    <w:rsid w:val="004F26A3"/>
    <w:rsid w:val="004F5CE8"/>
    <w:rsid w:val="004F6801"/>
    <w:rsid w:val="005059DF"/>
    <w:rsid w:val="00511A79"/>
    <w:rsid w:val="005122F2"/>
    <w:rsid w:val="00512ACB"/>
    <w:rsid w:val="00512BCE"/>
    <w:rsid w:val="00512F16"/>
    <w:rsid w:val="00516EF6"/>
    <w:rsid w:val="005175F3"/>
    <w:rsid w:val="00517EBC"/>
    <w:rsid w:val="00521081"/>
    <w:rsid w:val="00521249"/>
    <w:rsid w:val="005220F3"/>
    <w:rsid w:val="0052216D"/>
    <w:rsid w:val="00525CB4"/>
    <w:rsid w:val="00525FEA"/>
    <w:rsid w:val="00526115"/>
    <w:rsid w:val="00527F61"/>
    <w:rsid w:val="00530A06"/>
    <w:rsid w:val="00530DB8"/>
    <w:rsid w:val="0053109B"/>
    <w:rsid w:val="00532DE2"/>
    <w:rsid w:val="00533FAF"/>
    <w:rsid w:val="005366B6"/>
    <w:rsid w:val="00536BA1"/>
    <w:rsid w:val="00537EC2"/>
    <w:rsid w:val="00542047"/>
    <w:rsid w:val="00542FED"/>
    <w:rsid w:val="00544822"/>
    <w:rsid w:val="0054734E"/>
    <w:rsid w:val="00550992"/>
    <w:rsid w:val="00552DCA"/>
    <w:rsid w:val="0055587F"/>
    <w:rsid w:val="00557D40"/>
    <w:rsid w:val="00560231"/>
    <w:rsid w:val="0056042C"/>
    <w:rsid w:val="00561120"/>
    <w:rsid w:val="00561352"/>
    <w:rsid w:val="00561A97"/>
    <w:rsid w:val="0056370C"/>
    <w:rsid w:val="00563DAC"/>
    <w:rsid w:val="00564180"/>
    <w:rsid w:val="00565B56"/>
    <w:rsid w:val="005675E0"/>
    <w:rsid w:val="005709B8"/>
    <w:rsid w:val="00570C00"/>
    <w:rsid w:val="00573FDE"/>
    <w:rsid w:val="00577525"/>
    <w:rsid w:val="00577662"/>
    <w:rsid w:val="00577E92"/>
    <w:rsid w:val="00580F7C"/>
    <w:rsid w:val="0058206B"/>
    <w:rsid w:val="005836D7"/>
    <w:rsid w:val="00583C5F"/>
    <w:rsid w:val="005841D3"/>
    <w:rsid w:val="00584A6E"/>
    <w:rsid w:val="00585690"/>
    <w:rsid w:val="00587C5B"/>
    <w:rsid w:val="0059033E"/>
    <w:rsid w:val="00590CA4"/>
    <w:rsid w:val="00590ED5"/>
    <w:rsid w:val="00591338"/>
    <w:rsid w:val="005936C0"/>
    <w:rsid w:val="00593AD3"/>
    <w:rsid w:val="00594520"/>
    <w:rsid w:val="00595982"/>
    <w:rsid w:val="00595B33"/>
    <w:rsid w:val="005961E2"/>
    <w:rsid w:val="0059662F"/>
    <w:rsid w:val="00597B58"/>
    <w:rsid w:val="005A0503"/>
    <w:rsid w:val="005A31B9"/>
    <w:rsid w:val="005A41AB"/>
    <w:rsid w:val="005A7CBC"/>
    <w:rsid w:val="005B023E"/>
    <w:rsid w:val="005B1A04"/>
    <w:rsid w:val="005B2AAF"/>
    <w:rsid w:val="005B33CE"/>
    <w:rsid w:val="005B33EE"/>
    <w:rsid w:val="005B3478"/>
    <w:rsid w:val="005B3A60"/>
    <w:rsid w:val="005B7534"/>
    <w:rsid w:val="005B7A3C"/>
    <w:rsid w:val="005C0675"/>
    <w:rsid w:val="005C2AD7"/>
    <w:rsid w:val="005C4896"/>
    <w:rsid w:val="005C59C9"/>
    <w:rsid w:val="005C5C6A"/>
    <w:rsid w:val="005C5DD9"/>
    <w:rsid w:val="005C7150"/>
    <w:rsid w:val="005C7B35"/>
    <w:rsid w:val="005D0094"/>
    <w:rsid w:val="005D117A"/>
    <w:rsid w:val="005D19CD"/>
    <w:rsid w:val="005D1D49"/>
    <w:rsid w:val="005D3066"/>
    <w:rsid w:val="005D4ED4"/>
    <w:rsid w:val="005D5D97"/>
    <w:rsid w:val="005D69DE"/>
    <w:rsid w:val="005D6AE7"/>
    <w:rsid w:val="005E270E"/>
    <w:rsid w:val="005E2A9F"/>
    <w:rsid w:val="005E33A7"/>
    <w:rsid w:val="005E3F80"/>
    <w:rsid w:val="005E4B13"/>
    <w:rsid w:val="005E4C02"/>
    <w:rsid w:val="005E54EC"/>
    <w:rsid w:val="005E5630"/>
    <w:rsid w:val="005E6393"/>
    <w:rsid w:val="005E63D1"/>
    <w:rsid w:val="005E6774"/>
    <w:rsid w:val="005E6A2D"/>
    <w:rsid w:val="005E7A69"/>
    <w:rsid w:val="005E7FCC"/>
    <w:rsid w:val="005F01DF"/>
    <w:rsid w:val="005F18E1"/>
    <w:rsid w:val="005F1970"/>
    <w:rsid w:val="005F21C0"/>
    <w:rsid w:val="005F3D9A"/>
    <w:rsid w:val="005F5A00"/>
    <w:rsid w:val="005F76CC"/>
    <w:rsid w:val="005F778D"/>
    <w:rsid w:val="005F7FF8"/>
    <w:rsid w:val="00600CA4"/>
    <w:rsid w:val="00601515"/>
    <w:rsid w:val="00602416"/>
    <w:rsid w:val="006027E5"/>
    <w:rsid w:val="00602A5A"/>
    <w:rsid w:val="00603D49"/>
    <w:rsid w:val="00603DAB"/>
    <w:rsid w:val="006041F2"/>
    <w:rsid w:val="00604F31"/>
    <w:rsid w:val="00606B8E"/>
    <w:rsid w:val="00606D9C"/>
    <w:rsid w:val="00611B19"/>
    <w:rsid w:val="00611D1D"/>
    <w:rsid w:val="006129F4"/>
    <w:rsid w:val="00612F9F"/>
    <w:rsid w:val="006140A5"/>
    <w:rsid w:val="00615280"/>
    <w:rsid w:val="00617B56"/>
    <w:rsid w:val="00621E55"/>
    <w:rsid w:val="0062211A"/>
    <w:rsid w:val="00622932"/>
    <w:rsid w:val="00622D40"/>
    <w:rsid w:val="00623EF0"/>
    <w:rsid w:val="0062553C"/>
    <w:rsid w:val="00625BA9"/>
    <w:rsid w:val="00627357"/>
    <w:rsid w:val="00631A09"/>
    <w:rsid w:val="00631BDE"/>
    <w:rsid w:val="00632E66"/>
    <w:rsid w:val="00632EE0"/>
    <w:rsid w:val="00632F1D"/>
    <w:rsid w:val="00633A83"/>
    <w:rsid w:val="006435B2"/>
    <w:rsid w:val="0064379B"/>
    <w:rsid w:val="00643836"/>
    <w:rsid w:val="00645BAE"/>
    <w:rsid w:val="006466B3"/>
    <w:rsid w:val="00646980"/>
    <w:rsid w:val="0065022B"/>
    <w:rsid w:val="0065769B"/>
    <w:rsid w:val="00657AE8"/>
    <w:rsid w:val="00657E49"/>
    <w:rsid w:val="0066135F"/>
    <w:rsid w:val="0066218E"/>
    <w:rsid w:val="00662716"/>
    <w:rsid w:val="00663786"/>
    <w:rsid w:val="00665ED5"/>
    <w:rsid w:val="00666569"/>
    <w:rsid w:val="00667926"/>
    <w:rsid w:val="00670576"/>
    <w:rsid w:val="00670869"/>
    <w:rsid w:val="00670BEB"/>
    <w:rsid w:val="006713CE"/>
    <w:rsid w:val="006713E7"/>
    <w:rsid w:val="00671EE1"/>
    <w:rsid w:val="00671F4D"/>
    <w:rsid w:val="0067385B"/>
    <w:rsid w:val="006738F9"/>
    <w:rsid w:val="006747BB"/>
    <w:rsid w:val="006750A0"/>
    <w:rsid w:val="0067523F"/>
    <w:rsid w:val="00675FDF"/>
    <w:rsid w:val="00676733"/>
    <w:rsid w:val="006769BA"/>
    <w:rsid w:val="00677B13"/>
    <w:rsid w:val="00677F4E"/>
    <w:rsid w:val="00681A08"/>
    <w:rsid w:val="00682880"/>
    <w:rsid w:val="00684E05"/>
    <w:rsid w:val="00685ECF"/>
    <w:rsid w:val="006875B8"/>
    <w:rsid w:val="00687A44"/>
    <w:rsid w:val="00687CEA"/>
    <w:rsid w:val="006920E6"/>
    <w:rsid w:val="00694C48"/>
    <w:rsid w:val="00695634"/>
    <w:rsid w:val="0069577F"/>
    <w:rsid w:val="00695B75"/>
    <w:rsid w:val="006966E5"/>
    <w:rsid w:val="006A1A95"/>
    <w:rsid w:val="006A38B7"/>
    <w:rsid w:val="006A66E8"/>
    <w:rsid w:val="006A7362"/>
    <w:rsid w:val="006A767D"/>
    <w:rsid w:val="006B1817"/>
    <w:rsid w:val="006B1CB2"/>
    <w:rsid w:val="006B1DD1"/>
    <w:rsid w:val="006B3396"/>
    <w:rsid w:val="006B6B03"/>
    <w:rsid w:val="006B7FE3"/>
    <w:rsid w:val="006C2E9F"/>
    <w:rsid w:val="006C436F"/>
    <w:rsid w:val="006D10F5"/>
    <w:rsid w:val="006D1E2D"/>
    <w:rsid w:val="006D3D31"/>
    <w:rsid w:val="006D5BCA"/>
    <w:rsid w:val="006D638F"/>
    <w:rsid w:val="006D703B"/>
    <w:rsid w:val="006E04D9"/>
    <w:rsid w:val="006E07AA"/>
    <w:rsid w:val="006E0ADC"/>
    <w:rsid w:val="006E4E66"/>
    <w:rsid w:val="006E6B9B"/>
    <w:rsid w:val="006E6D25"/>
    <w:rsid w:val="006E7BF7"/>
    <w:rsid w:val="006E7D71"/>
    <w:rsid w:val="006F015B"/>
    <w:rsid w:val="006F420B"/>
    <w:rsid w:val="006F4759"/>
    <w:rsid w:val="006F79BC"/>
    <w:rsid w:val="00701700"/>
    <w:rsid w:val="00701CAA"/>
    <w:rsid w:val="007054C0"/>
    <w:rsid w:val="007068C8"/>
    <w:rsid w:val="00706A2B"/>
    <w:rsid w:val="007114BC"/>
    <w:rsid w:val="00711F82"/>
    <w:rsid w:val="00713DEE"/>
    <w:rsid w:val="00714A8B"/>
    <w:rsid w:val="00714EC9"/>
    <w:rsid w:val="00715B8F"/>
    <w:rsid w:val="0071657A"/>
    <w:rsid w:val="00716A1D"/>
    <w:rsid w:val="00717DB6"/>
    <w:rsid w:val="00720253"/>
    <w:rsid w:val="00721D86"/>
    <w:rsid w:val="007233D4"/>
    <w:rsid w:val="00726651"/>
    <w:rsid w:val="00727007"/>
    <w:rsid w:val="00730FE6"/>
    <w:rsid w:val="0073106E"/>
    <w:rsid w:val="00732529"/>
    <w:rsid w:val="007335AC"/>
    <w:rsid w:val="0073441F"/>
    <w:rsid w:val="00736429"/>
    <w:rsid w:val="00741504"/>
    <w:rsid w:val="00741DD7"/>
    <w:rsid w:val="00742535"/>
    <w:rsid w:val="00744504"/>
    <w:rsid w:val="00751B6E"/>
    <w:rsid w:val="0075244C"/>
    <w:rsid w:val="00752987"/>
    <w:rsid w:val="00752BAC"/>
    <w:rsid w:val="00754E83"/>
    <w:rsid w:val="00754EFB"/>
    <w:rsid w:val="0075554D"/>
    <w:rsid w:val="00755AB0"/>
    <w:rsid w:val="00756BB7"/>
    <w:rsid w:val="0075764B"/>
    <w:rsid w:val="007576A1"/>
    <w:rsid w:val="00760C01"/>
    <w:rsid w:val="00760F38"/>
    <w:rsid w:val="00761293"/>
    <w:rsid w:val="00762711"/>
    <w:rsid w:val="00763A92"/>
    <w:rsid w:val="00763AE8"/>
    <w:rsid w:val="00763F45"/>
    <w:rsid w:val="00763FE0"/>
    <w:rsid w:val="007641DE"/>
    <w:rsid w:val="007649A8"/>
    <w:rsid w:val="00766952"/>
    <w:rsid w:val="0076799C"/>
    <w:rsid w:val="00767C04"/>
    <w:rsid w:val="00767F0E"/>
    <w:rsid w:val="0077085E"/>
    <w:rsid w:val="00770AE3"/>
    <w:rsid w:val="007736A2"/>
    <w:rsid w:val="00773AFC"/>
    <w:rsid w:val="00773D85"/>
    <w:rsid w:val="00775CC6"/>
    <w:rsid w:val="00783623"/>
    <w:rsid w:val="00791E70"/>
    <w:rsid w:val="0079437D"/>
    <w:rsid w:val="0079483D"/>
    <w:rsid w:val="007953EE"/>
    <w:rsid w:val="00795F48"/>
    <w:rsid w:val="00797800"/>
    <w:rsid w:val="00797AC4"/>
    <w:rsid w:val="007A1725"/>
    <w:rsid w:val="007A4215"/>
    <w:rsid w:val="007A5DB8"/>
    <w:rsid w:val="007A6226"/>
    <w:rsid w:val="007B0B0B"/>
    <w:rsid w:val="007B181C"/>
    <w:rsid w:val="007B2D00"/>
    <w:rsid w:val="007B301A"/>
    <w:rsid w:val="007B3C61"/>
    <w:rsid w:val="007B4DE8"/>
    <w:rsid w:val="007B5EF6"/>
    <w:rsid w:val="007B69D9"/>
    <w:rsid w:val="007B6F02"/>
    <w:rsid w:val="007C1916"/>
    <w:rsid w:val="007C1A5A"/>
    <w:rsid w:val="007C2A6B"/>
    <w:rsid w:val="007C3924"/>
    <w:rsid w:val="007C3C03"/>
    <w:rsid w:val="007C5978"/>
    <w:rsid w:val="007D016A"/>
    <w:rsid w:val="007D0A06"/>
    <w:rsid w:val="007D1918"/>
    <w:rsid w:val="007D2690"/>
    <w:rsid w:val="007D2E9E"/>
    <w:rsid w:val="007D4EFD"/>
    <w:rsid w:val="007D4FA2"/>
    <w:rsid w:val="007D60BC"/>
    <w:rsid w:val="007D683A"/>
    <w:rsid w:val="007D74F4"/>
    <w:rsid w:val="007E4741"/>
    <w:rsid w:val="007E4EA1"/>
    <w:rsid w:val="007E5601"/>
    <w:rsid w:val="007E5ACA"/>
    <w:rsid w:val="007F03BF"/>
    <w:rsid w:val="007F1BE1"/>
    <w:rsid w:val="007F28E4"/>
    <w:rsid w:val="007F2C4F"/>
    <w:rsid w:val="007F3EC7"/>
    <w:rsid w:val="007F4244"/>
    <w:rsid w:val="007F50FE"/>
    <w:rsid w:val="007F57B8"/>
    <w:rsid w:val="0080115F"/>
    <w:rsid w:val="008039A7"/>
    <w:rsid w:val="00805231"/>
    <w:rsid w:val="008055B2"/>
    <w:rsid w:val="00811C39"/>
    <w:rsid w:val="0081200B"/>
    <w:rsid w:val="00812081"/>
    <w:rsid w:val="008162E3"/>
    <w:rsid w:val="008203B0"/>
    <w:rsid w:val="00821E86"/>
    <w:rsid w:val="00822477"/>
    <w:rsid w:val="0082264B"/>
    <w:rsid w:val="00823AA9"/>
    <w:rsid w:val="00823F9D"/>
    <w:rsid w:val="008252A4"/>
    <w:rsid w:val="00826BC9"/>
    <w:rsid w:val="0082765B"/>
    <w:rsid w:val="00830545"/>
    <w:rsid w:val="00832D46"/>
    <w:rsid w:val="00832E19"/>
    <w:rsid w:val="008334AB"/>
    <w:rsid w:val="008344F8"/>
    <w:rsid w:val="00835BD7"/>
    <w:rsid w:val="00837C7E"/>
    <w:rsid w:val="00840894"/>
    <w:rsid w:val="00843D71"/>
    <w:rsid w:val="00844808"/>
    <w:rsid w:val="00844C9C"/>
    <w:rsid w:val="00846AE9"/>
    <w:rsid w:val="00846D60"/>
    <w:rsid w:val="0084745A"/>
    <w:rsid w:val="008517C7"/>
    <w:rsid w:val="00852A3C"/>
    <w:rsid w:val="008530FE"/>
    <w:rsid w:val="00853A5F"/>
    <w:rsid w:val="00856463"/>
    <w:rsid w:val="00857F65"/>
    <w:rsid w:val="00860A22"/>
    <w:rsid w:val="00861552"/>
    <w:rsid w:val="0086253E"/>
    <w:rsid w:val="00864721"/>
    <w:rsid w:val="00864C25"/>
    <w:rsid w:val="00864EB4"/>
    <w:rsid w:val="008658E8"/>
    <w:rsid w:val="0086662E"/>
    <w:rsid w:val="0086717D"/>
    <w:rsid w:val="00870045"/>
    <w:rsid w:val="008707C8"/>
    <w:rsid w:val="00872A09"/>
    <w:rsid w:val="0087339A"/>
    <w:rsid w:val="00875543"/>
    <w:rsid w:val="008762AD"/>
    <w:rsid w:val="0087656F"/>
    <w:rsid w:val="00876E5F"/>
    <w:rsid w:val="00877B45"/>
    <w:rsid w:val="00880859"/>
    <w:rsid w:val="008811E4"/>
    <w:rsid w:val="00881809"/>
    <w:rsid w:val="00881DA3"/>
    <w:rsid w:val="00882957"/>
    <w:rsid w:val="00884859"/>
    <w:rsid w:val="00886AA3"/>
    <w:rsid w:val="00886E3E"/>
    <w:rsid w:val="008875EB"/>
    <w:rsid w:val="008877AD"/>
    <w:rsid w:val="00887B49"/>
    <w:rsid w:val="00890CE4"/>
    <w:rsid w:val="008922D3"/>
    <w:rsid w:val="00892EA5"/>
    <w:rsid w:val="00893357"/>
    <w:rsid w:val="0089492B"/>
    <w:rsid w:val="00895269"/>
    <w:rsid w:val="00895F69"/>
    <w:rsid w:val="0089617F"/>
    <w:rsid w:val="008A00E0"/>
    <w:rsid w:val="008A010E"/>
    <w:rsid w:val="008A08F1"/>
    <w:rsid w:val="008A2804"/>
    <w:rsid w:val="008A30BB"/>
    <w:rsid w:val="008A4116"/>
    <w:rsid w:val="008A511E"/>
    <w:rsid w:val="008A534F"/>
    <w:rsid w:val="008A593F"/>
    <w:rsid w:val="008A60D2"/>
    <w:rsid w:val="008A622F"/>
    <w:rsid w:val="008A6B52"/>
    <w:rsid w:val="008B0219"/>
    <w:rsid w:val="008B03DA"/>
    <w:rsid w:val="008B1D1C"/>
    <w:rsid w:val="008B5949"/>
    <w:rsid w:val="008B6D41"/>
    <w:rsid w:val="008B7F79"/>
    <w:rsid w:val="008C08D1"/>
    <w:rsid w:val="008C1A41"/>
    <w:rsid w:val="008C3187"/>
    <w:rsid w:val="008C4208"/>
    <w:rsid w:val="008C5E4F"/>
    <w:rsid w:val="008D25C9"/>
    <w:rsid w:val="008D4CDE"/>
    <w:rsid w:val="008D5DE7"/>
    <w:rsid w:val="008D63B7"/>
    <w:rsid w:val="008D669F"/>
    <w:rsid w:val="008D6A03"/>
    <w:rsid w:val="008D6E1F"/>
    <w:rsid w:val="008D7C32"/>
    <w:rsid w:val="008E0265"/>
    <w:rsid w:val="008E06DB"/>
    <w:rsid w:val="008E0AA7"/>
    <w:rsid w:val="008E3458"/>
    <w:rsid w:val="008E4CD8"/>
    <w:rsid w:val="008E4FD9"/>
    <w:rsid w:val="008E54EE"/>
    <w:rsid w:val="008E5831"/>
    <w:rsid w:val="008E5EAD"/>
    <w:rsid w:val="008E71BB"/>
    <w:rsid w:val="008E7C48"/>
    <w:rsid w:val="008E7CCF"/>
    <w:rsid w:val="008E7DB6"/>
    <w:rsid w:val="008E7FEE"/>
    <w:rsid w:val="008F0D45"/>
    <w:rsid w:val="008F207F"/>
    <w:rsid w:val="008F2842"/>
    <w:rsid w:val="008F28D5"/>
    <w:rsid w:val="008F328A"/>
    <w:rsid w:val="008F416F"/>
    <w:rsid w:val="008F43F5"/>
    <w:rsid w:val="008F67F5"/>
    <w:rsid w:val="008F6BCE"/>
    <w:rsid w:val="008F7C4D"/>
    <w:rsid w:val="008F7EEE"/>
    <w:rsid w:val="00900D4B"/>
    <w:rsid w:val="00900E43"/>
    <w:rsid w:val="009024CA"/>
    <w:rsid w:val="009033BE"/>
    <w:rsid w:val="00904DDF"/>
    <w:rsid w:val="00905157"/>
    <w:rsid w:val="009070A4"/>
    <w:rsid w:val="009114DB"/>
    <w:rsid w:val="009151E7"/>
    <w:rsid w:val="00916B00"/>
    <w:rsid w:val="00916FD6"/>
    <w:rsid w:val="009170B9"/>
    <w:rsid w:val="009202BE"/>
    <w:rsid w:val="00922F34"/>
    <w:rsid w:val="00923AF0"/>
    <w:rsid w:val="00926EED"/>
    <w:rsid w:val="00927482"/>
    <w:rsid w:val="00931829"/>
    <w:rsid w:val="00934400"/>
    <w:rsid w:val="00935837"/>
    <w:rsid w:val="00936704"/>
    <w:rsid w:val="00942B44"/>
    <w:rsid w:val="0094613F"/>
    <w:rsid w:val="009466B8"/>
    <w:rsid w:val="009466E1"/>
    <w:rsid w:val="0095112B"/>
    <w:rsid w:val="0095252C"/>
    <w:rsid w:val="009527DB"/>
    <w:rsid w:val="00954309"/>
    <w:rsid w:val="00957E9B"/>
    <w:rsid w:val="009602C2"/>
    <w:rsid w:val="00961773"/>
    <w:rsid w:val="00961787"/>
    <w:rsid w:val="00963823"/>
    <w:rsid w:val="009652E8"/>
    <w:rsid w:val="00966AFB"/>
    <w:rsid w:val="00970F15"/>
    <w:rsid w:val="00973451"/>
    <w:rsid w:val="00973675"/>
    <w:rsid w:val="00973A6D"/>
    <w:rsid w:val="00974954"/>
    <w:rsid w:val="00977E03"/>
    <w:rsid w:val="00980A06"/>
    <w:rsid w:val="009816C4"/>
    <w:rsid w:val="00981CC5"/>
    <w:rsid w:val="0098258B"/>
    <w:rsid w:val="00983002"/>
    <w:rsid w:val="00985794"/>
    <w:rsid w:val="0098609C"/>
    <w:rsid w:val="009862C3"/>
    <w:rsid w:val="009865AA"/>
    <w:rsid w:val="00987080"/>
    <w:rsid w:val="0098765A"/>
    <w:rsid w:val="00990E87"/>
    <w:rsid w:val="009921A1"/>
    <w:rsid w:val="009924B1"/>
    <w:rsid w:val="00992F2F"/>
    <w:rsid w:val="009937D9"/>
    <w:rsid w:val="00993E28"/>
    <w:rsid w:val="009968B0"/>
    <w:rsid w:val="009A24E8"/>
    <w:rsid w:val="009A2EDA"/>
    <w:rsid w:val="009A3A93"/>
    <w:rsid w:val="009A52C2"/>
    <w:rsid w:val="009A5FCD"/>
    <w:rsid w:val="009A6CB2"/>
    <w:rsid w:val="009A763A"/>
    <w:rsid w:val="009B0982"/>
    <w:rsid w:val="009B2075"/>
    <w:rsid w:val="009B3E36"/>
    <w:rsid w:val="009B3EF0"/>
    <w:rsid w:val="009B4C99"/>
    <w:rsid w:val="009B54D4"/>
    <w:rsid w:val="009B60EE"/>
    <w:rsid w:val="009B6139"/>
    <w:rsid w:val="009B6769"/>
    <w:rsid w:val="009C159E"/>
    <w:rsid w:val="009C516A"/>
    <w:rsid w:val="009C5CA6"/>
    <w:rsid w:val="009C5F12"/>
    <w:rsid w:val="009C64BE"/>
    <w:rsid w:val="009C689C"/>
    <w:rsid w:val="009C7707"/>
    <w:rsid w:val="009D0B83"/>
    <w:rsid w:val="009D1D55"/>
    <w:rsid w:val="009D1ECE"/>
    <w:rsid w:val="009D28CF"/>
    <w:rsid w:val="009D4FF6"/>
    <w:rsid w:val="009D5EFB"/>
    <w:rsid w:val="009D643E"/>
    <w:rsid w:val="009D7631"/>
    <w:rsid w:val="009E112C"/>
    <w:rsid w:val="009E1437"/>
    <w:rsid w:val="009E18BE"/>
    <w:rsid w:val="009E1E2A"/>
    <w:rsid w:val="009E21F7"/>
    <w:rsid w:val="009E3868"/>
    <w:rsid w:val="009E3BCF"/>
    <w:rsid w:val="009E3E08"/>
    <w:rsid w:val="009E3FB8"/>
    <w:rsid w:val="009E5646"/>
    <w:rsid w:val="009E5D36"/>
    <w:rsid w:val="009E6597"/>
    <w:rsid w:val="009E7CA0"/>
    <w:rsid w:val="009F019F"/>
    <w:rsid w:val="009F0915"/>
    <w:rsid w:val="009F3A76"/>
    <w:rsid w:val="009F4CC0"/>
    <w:rsid w:val="009F5233"/>
    <w:rsid w:val="009F6108"/>
    <w:rsid w:val="00A00822"/>
    <w:rsid w:val="00A0099D"/>
    <w:rsid w:val="00A01FC5"/>
    <w:rsid w:val="00A022E9"/>
    <w:rsid w:val="00A0391A"/>
    <w:rsid w:val="00A04392"/>
    <w:rsid w:val="00A05582"/>
    <w:rsid w:val="00A0694A"/>
    <w:rsid w:val="00A118AC"/>
    <w:rsid w:val="00A11B98"/>
    <w:rsid w:val="00A1463C"/>
    <w:rsid w:val="00A16003"/>
    <w:rsid w:val="00A167D7"/>
    <w:rsid w:val="00A2046E"/>
    <w:rsid w:val="00A216E7"/>
    <w:rsid w:val="00A229E9"/>
    <w:rsid w:val="00A22F55"/>
    <w:rsid w:val="00A23A12"/>
    <w:rsid w:val="00A2416E"/>
    <w:rsid w:val="00A24FBB"/>
    <w:rsid w:val="00A2753E"/>
    <w:rsid w:val="00A27694"/>
    <w:rsid w:val="00A27909"/>
    <w:rsid w:val="00A32442"/>
    <w:rsid w:val="00A34246"/>
    <w:rsid w:val="00A34D7F"/>
    <w:rsid w:val="00A35B25"/>
    <w:rsid w:val="00A35EBD"/>
    <w:rsid w:val="00A37610"/>
    <w:rsid w:val="00A37907"/>
    <w:rsid w:val="00A37ACD"/>
    <w:rsid w:val="00A409B5"/>
    <w:rsid w:val="00A42ED2"/>
    <w:rsid w:val="00A43F89"/>
    <w:rsid w:val="00A442B1"/>
    <w:rsid w:val="00A447D8"/>
    <w:rsid w:val="00A448CD"/>
    <w:rsid w:val="00A44B33"/>
    <w:rsid w:val="00A45328"/>
    <w:rsid w:val="00A45AEE"/>
    <w:rsid w:val="00A4659F"/>
    <w:rsid w:val="00A50E00"/>
    <w:rsid w:val="00A51B5D"/>
    <w:rsid w:val="00A52406"/>
    <w:rsid w:val="00A52529"/>
    <w:rsid w:val="00A52E81"/>
    <w:rsid w:val="00A53329"/>
    <w:rsid w:val="00A53624"/>
    <w:rsid w:val="00A5615A"/>
    <w:rsid w:val="00A56680"/>
    <w:rsid w:val="00A5766B"/>
    <w:rsid w:val="00A57BC2"/>
    <w:rsid w:val="00A601BE"/>
    <w:rsid w:val="00A604DB"/>
    <w:rsid w:val="00A60D2D"/>
    <w:rsid w:val="00A61C7C"/>
    <w:rsid w:val="00A6262E"/>
    <w:rsid w:val="00A639C3"/>
    <w:rsid w:val="00A6421D"/>
    <w:rsid w:val="00A644D9"/>
    <w:rsid w:val="00A70F1F"/>
    <w:rsid w:val="00A71B63"/>
    <w:rsid w:val="00A71E88"/>
    <w:rsid w:val="00A73167"/>
    <w:rsid w:val="00A74ED6"/>
    <w:rsid w:val="00A775D6"/>
    <w:rsid w:val="00A81B47"/>
    <w:rsid w:val="00A81EF0"/>
    <w:rsid w:val="00A82E83"/>
    <w:rsid w:val="00A831AD"/>
    <w:rsid w:val="00A863E3"/>
    <w:rsid w:val="00A86B4C"/>
    <w:rsid w:val="00A8761B"/>
    <w:rsid w:val="00A91E38"/>
    <w:rsid w:val="00A93CBA"/>
    <w:rsid w:val="00AA3299"/>
    <w:rsid w:val="00AA40A5"/>
    <w:rsid w:val="00AA411B"/>
    <w:rsid w:val="00AA41A4"/>
    <w:rsid w:val="00AA4792"/>
    <w:rsid w:val="00AB0700"/>
    <w:rsid w:val="00AB26BA"/>
    <w:rsid w:val="00AB3808"/>
    <w:rsid w:val="00AB3A92"/>
    <w:rsid w:val="00AB478B"/>
    <w:rsid w:val="00AB4A96"/>
    <w:rsid w:val="00AB4AD9"/>
    <w:rsid w:val="00AB5D78"/>
    <w:rsid w:val="00AB61CA"/>
    <w:rsid w:val="00AB78DD"/>
    <w:rsid w:val="00AB7D71"/>
    <w:rsid w:val="00AC0829"/>
    <w:rsid w:val="00AC26CF"/>
    <w:rsid w:val="00AC478A"/>
    <w:rsid w:val="00AC50E6"/>
    <w:rsid w:val="00AC5CF5"/>
    <w:rsid w:val="00AC6829"/>
    <w:rsid w:val="00AD0A36"/>
    <w:rsid w:val="00AD121A"/>
    <w:rsid w:val="00AD1E3F"/>
    <w:rsid w:val="00AD2557"/>
    <w:rsid w:val="00AD262C"/>
    <w:rsid w:val="00AD2B61"/>
    <w:rsid w:val="00AD5069"/>
    <w:rsid w:val="00AD5930"/>
    <w:rsid w:val="00AD5AAF"/>
    <w:rsid w:val="00AD6E77"/>
    <w:rsid w:val="00AD7046"/>
    <w:rsid w:val="00AD7A25"/>
    <w:rsid w:val="00AD7EDE"/>
    <w:rsid w:val="00AE0468"/>
    <w:rsid w:val="00AE401F"/>
    <w:rsid w:val="00AE65F2"/>
    <w:rsid w:val="00AE71DF"/>
    <w:rsid w:val="00AE72CA"/>
    <w:rsid w:val="00AF3A5A"/>
    <w:rsid w:val="00AF5218"/>
    <w:rsid w:val="00AF5AF5"/>
    <w:rsid w:val="00AF65A6"/>
    <w:rsid w:val="00AF71F1"/>
    <w:rsid w:val="00AF7900"/>
    <w:rsid w:val="00B021CA"/>
    <w:rsid w:val="00B02E4B"/>
    <w:rsid w:val="00B0452D"/>
    <w:rsid w:val="00B04743"/>
    <w:rsid w:val="00B0480E"/>
    <w:rsid w:val="00B049F4"/>
    <w:rsid w:val="00B05E86"/>
    <w:rsid w:val="00B062B5"/>
    <w:rsid w:val="00B1026A"/>
    <w:rsid w:val="00B10702"/>
    <w:rsid w:val="00B11020"/>
    <w:rsid w:val="00B13469"/>
    <w:rsid w:val="00B14966"/>
    <w:rsid w:val="00B1657F"/>
    <w:rsid w:val="00B21166"/>
    <w:rsid w:val="00B23152"/>
    <w:rsid w:val="00B2371B"/>
    <w:rsid w:val="00B2429C"/>
    <w:rsid w:val="00B24D1A"/>
    <w:rsid w:val="00B26285"/>
    <w:rsid w:val="00B263AE"/>
    <w:rsid w:val="00B3104F"/>
    <w:rsid w:val="00B315EE"/>
    <w:rsid w:val="00B31E19"/>
    <w:rsid w:val="00B343DB"/>
    <w:rsid w:val="00B345F4"/>
    <w:rsid w:val="00B347DE"/>
    <w:rsid w:val="00B43AB3"/>
    <w:rsid w:val="00B44018"/>
    <w:rsid w:val="00B452F7"/>
    <w:rsid w:val="00B46CA7"/>
    <w:rsid w:val="00B47091"/>
    <w:rsid w:val="00B53EF2"/>
    <w:rsid w:val="00B54301"/>
    <w:rsid w:val="00B561B0"/>
    <w:rsid w:val="00B57A33"/>
    <w:rsid w:val="00B57D91"/>
    <w:rsid w:val="00B6146B"/>
    <w:rsid w:val="00B61F7F"/>
    <w:rsid w:val="00B62A92"/>
    <w:rsid w:val="00B62C3E"/>
    <w:rsid w:val="00B645DE"/>
    <w:rsid w:val="00B65857"/>
    <w:rsid w:val="00B66476"/>
    <w:rsid w:val="00B66698"/>
    <w:rsid w:val="00B70530"/>
    <w:rsid w:val="00B72F48"/>
    <w:rsid w:val="00B745DC"/>
    <w:rsid w:val="00B74638"/>
    <w:rsid w:val="00B75D86"/>
    <w:rsid w:val="00B82139"/>
    <w:rsid w:val="00B83FBD"/>
    <w:rsid w:val="00B841C8"/>
    <w:rsid w:val="00B84350"/>
    <w:rsid w:val="00B8456D"/>
    <w:rsid w:val="00B851CE"/>
    <w:rsid w:val="00B855A6"/>
    <w:rsid w:val="00B8736C"/>
    <w:rsid w:val="00B9092E"/>
    <w:rsid w:val="00B91098"/>
    <w:rsid w:val="00B91904"/>
    <w:rsid w:val="00B92735"/>
    <w:rsid w:val="00B943EA"/>
    <w:rsid w:val="00B94619"/>
    <w:rsid w:val="00B94CA2"/>
    <w:rsid w:val="00B95D08"/>
    <w:rsid w:val="00B9680A"/>
    <w:rsid w:val="00B969ED"/>
    <w:rsid w:val="00BA18AC"/>
    <w:rsid w:val="00BA1A55"/>
    <w:rsid w:val="00BA40E3"/>
    <w:rsid w:val="00BA6EC9"/>
    <w:rsid w:val="00BA72A0"/>
    <w:rsid w:val="00BB1762"/>
    <w:rsid w:val="00BB21D5"/>
    <w:rsid w:val="00BB2EE5"/>
    <w:rsid w:val="00BB32C9"/>
    <w:rsid w:val="00BB4DF0"/>
    <w:rsid w:val="00BB60C6"/>
    <w:rsid w:val="00BB7984"/>
    <w:rsid w:val="00BC27D0"/>
    <w:rsid w:val="00BC3F99"/>
    <w:rsid w:val="00BC4ADD"/>
    <w:rsid w:val="00BC4C12"/>
    <w:rsid w:val="00BC4D84"/>
    <w:rsid w:val="00BC5A8B"/>
    <w:rsid w:val="00BC5B0E"/>
    <w:rsid w:val="00BC6A06"/>
    <w:rsid w:val="00BD137C"/>
    <w:rsid w:val="00BD3100"/>
    <w:rsid w:val="00BD363B"/>
    <w:rsid w:val="00BD4D61"/>
    <w:rsid w:val="00BD53E6"/>
    <w:rsid w:val="00BE2227"/>
    <w:rsid w:val="00BE288B"/>
    <w:rsid w:val="00BE4179"/>
    <w:rsid w:val="00BE4501"/>
    <w:rsid w:val="00BE6331"/>
    <w:rsid w:val="00BE680E"/>
    <w:rsid w:val="00BE6B21"/>
    <w:rsid w:val="00BE6DEB"/>
    <w:rsid w:val="00BF0D22"/>
    <w:rsid w:val="00BF223F"/>
    <w:rsid w:val="00BF5D51"/>
    <w:rsid w:val="00BF6F27"/>
    <w:rsid w:val="00C00695"/>
    <w:rsid w:val="00C01189"/>
    <w:rsid w:val="00C03596"/>
    <w:rsid w:val="00C045E6"/>
    <w:rsid w:val="00C0487C"/>
    <w:rsid w:val="00C0555F"/>
    <w:rsid w:val="00C058BC"/>
    <w:rsid w:val="00C05EA0"/>
    <w:rsid w:val="00C069E1"/>
    <w:rsid w:val="00C07150"/>
    <w:rsid w:val="00C07EA1"/>
    <w:rsid w:val="00C138F5"/>
    <w:rsid w:val="00C13BA6"/>
    <w:rsid w:val="00C15A13"/>
    <w:rsid w:val="00C17450"/>
    <w:rsid w:val="00C207A7"/>
    <w:rsid w:val="00C214F6"/>
    <w:rsid w:val="00C2183F"/>
    <w:rsid w:val="00C218FB"/>
    <w:rsid w:val="00C225B2"/>
    <w:rsid w:val="00C225FE"/>
    <w:rsid w:val="00C238D9"/>
    <w:rsid w:val="00C23FA3"/>
    <w:rsid w:val="00C24A9D"/>
    <w:rsid w:val="00C2677E"/>
    <w:rsid w:val="00C26DB3"/>
    <w:rsid w:val="00C2759E"/>
    <w:rsid w:val="00C276E6"/>
    <w:rsid w:val="00C31542"/>
    <w:rsid w:val="00C3384E"/>
    <w:rsid w:val="00C34A12"/>
    <w:rsid w:val="00C358AE"/>
    <w:rsid w:val="00C36033"/>
    <w:rsid w:val="00C36070"/>
    <w:rsid w:val="00C36E49"/>
    <w:rsid w:val="00C4325F"/>
    <w:rsid w:val="00C43718"/>
    <w:rsid w:val="00C52AF1"/>
    <w:rsid w:val="00C53A78"/>
    <w:rsid w:val="00C5404D"/>
    <w:rsid w:val="00C55436"/>
    <w:rsid w:val="00C57478"/>
    <w:rsid w:val="00C6078D"/>
    <w:rsid w:val="00C60927"/>
    <w:rsid w:val="00C623A1"/>
    <w:rsid w:val="00C657CF"/>
    <w:rsid w:val="00C6603E"/>
    <w:rsid w:val="00C71BD5"/>
    <w:rsid w:val="00C72633"/>
    <w:rsid w:val="00C763BC"/>
    <w:rsid w:val="00C768CA"/>
    <w:rsid w:val="00C80D62"/>
    <w:rsid w:val="00C820B9"/>
    <w:rsid w:val="00C82CC0"/>
    <w:rsid w:val="00C85202"/>
    <w:rsid w:val="00C861C1"/>
    <w:rsid w:val="00C86BDF"/>
    <w:rsid w:val="00C8742D"/>
    <w:rsid w:val="00C87761"/>
    <w:rsid w:val="00C9228E"/>
    <w:rsid w:val="00C945BA"/>
    <w:rsid w:val="00C94E03"/>
    <w:rsid w:val="00C9521C"/>
    <w:rsid w:val="00C95A96"/>
    <w:rsid w:val="00C9613A"/>
    <w:rsid w:val="00C96BFD"/>
    <w:rsid w:val="00C97ED1"/>
    <w:rsid w:val="00CA011A"/>
    <w:rsid w:val="00CA318A"/>
    <w:rsid w:val="00CA5358"/>
    <w:rsid w:val="00CB0DEA"/>
    <w:rsid w:val="00CB20F8"/>
    <w:rsid w:val="00CB28B6"/>
    <w:rsid w:val="00CB2F12"/>
    <w:rsid w:val="00CC166C"/>
    <w:rsid w:val="00CC4A09"/>
    <w:rsid w:val="00CD0732"/>
    <w:rsid w:val="00CD2322"/>
    <w:rsid w:val="00CD2329"/>
    <w:rsid w:val="00CD3211"/>
    <w:rsid w:val="00CD348A"/>
    <w:rsid w:val="00CD36B6"/>
    <w:rsid w:val="00CD502A"/>
    <w:rsid w:val="00CD5134"/>
    <w:rsid w:val="00CD67E7"/>
    <w:rsid w:val="00CD7463"/>
    <w:rsid w:val="00CE1987"/>
    <w:rsid w:val="00CE6435"/>
    <w:rsid w:val="00CF12CF"/>
    <w:rsid w:val="00CF269F"/>
    <w:rsid w:val="00CF450D"/>
    <w:rsid w:val="00D00BA6"/>
    <w:rsid w:val="00D01317"/>
    <w:rsid w:val="00D0258E"/>
    <w:rsid w:val="00D02D69"/>
    <w:rsid w:val="00D043DD"/>
    <w:rsid w:val="00D05755"/>
    <w:rsid w:val="00D0585E"/>
    <w:rsid w:val="00D060D2"/>
    <w:rsid w:val="00D07D24"/>
    <w:rsid w:val="00D10D43"/>
    <w:rsid w:val="00D12AFE"/>
    <w:rsid w:val="00D12EC2"/>
    <w:rsid w:val="00D14394"/>
    <w:rsid w:val="00D14778"/>
    <w:rsid w:val="00D14A24"/>
    <w:rsid w:val="00D152C2"/>
    <w:rsid w:val="00D15B71"/>
    <w:rsid w:val="00D208EF"/>
    <w:rsid w:val="00D2145D"/>
    <w:rsid w:val="00D21522"/>
    <w:rsid w:val="00D21B0C"/>
    <w:rsid w:val="00D22840"/>
    <w:rsid w:val="00D242CD"/>
    <w:rsid w:val="00D25BFD"/>
    <w:rsid w:val="00D321D5"/>
    <w:rsid w:val="00D33378"/>
    <w:rsid w:val="00D341C3"/>
    <w:rsid w:val="00D34900"/>
    <w:rsid w:val="00D361C8"/>
    <w:rsid w:val="00D3699A"/>
    <w:rsid w:val="00D36B80"/>
    <w:rsid w:val="00D40544"/>
    <w:rsid w:val="00D40B1D"/>
    <w:rsid w:val="00D40C2B"/>
    <w:rsid w:val="00D42843"/>
    <w:rsid w:val="00D42E83"/>
    <w:rsid w:val="00D442FB"/>
    <w:rsid w:val="00D46724"/>
    <w:rsid w:val="00D476D7"/>
    <w:rsid w:val="00D50160"/>
    <w:rsid w:val="00D5039F"/>
    <w:rsid w:val="00D5152A"/>
    <w:rsid w:val="00D52821"/>
    <w:rsid w:val="00D55985"/>
    <w:rsid w:val="00D56C6D"/>
    <w:rsid w:val="00D614A9"/>
    <w:rsid w:val="00D62334"/>
    <w:rsid w:val="00D62E06"/>
    <w:rsid w:val="00D64666"/>
    <w:rsid w:val="00D65145"/>
    <w:rsid w:val="00D65B86"/>
    <w:rsid w:val="00D67DEE"/>
    <w:rsid w:val="00D702D2"/>
    <w:rsid w:val="00D71182"/>
    <w:rsid w:val="00D71630"/>
    <w:rsid w:val="00D722C8"/>
    <w:rsid w:val="00D73516"/>
    <w:rsid w:val="00D73662"/>
    <w:rsid w:val="00D737FC"/>
    <w:rsid w:val="00D73BB3"/>
    <w:rsid w:val="00D74314"/>
    <w:rsid w:val="00D76C2C"/>
    <w:rsid w:val="00D7734B"/>
    <w:rsid w:val="00D8122F"/>
    <w:rsid w:val="00D835D6"/>
    <w:rsid w:val="00D83DDA"/>
    <w:rsid w:val="00D83DE4"/>
    <w:rsid w:val="00D8407D"/>
    <w:rsid w:val="00D90F31"/>
    <w:rsid w:val="00D912B2"/>
    <w:rsid w:val="00D92505"/>
    <w:rsid w:val="00D954D0"/>
    <w:rsid w:val="00DA267C"/>
    <w:rsid w:val="00DA35C2"/>
    <w:rsid w:val="00DA3732"/>
    <w:rsid w:val="00DA5101"/>
    <w:rsid w:val="00DA6E51"/>
    <w:rsid w:val="00DA79EF"/>
    <w:rsid w:val="00DA7A53"/>
    <w:rsid w:val="00DB0734"/>
    <w:rsid w:val="00DB0C0B"/>
    <w:rsid w:val="00DB0C9D"/>
    <w:rsid w:val="00DB25F5"/>
    <w:rsid w:val="00DB32D4"/>
    <w:rsid w:val="00DB3B74"/>
    <w:rsid w:val="00DB499E"/>
    <w:rsid w:val="00DB704C"/>
    <w:rsid w:val="00DB708C"/>
    <w:rsid w:val="00DB7B66"/>
    <w:rsid w:val="00DC15A4"/>
    <w:rsid w:val="00DC1652"/>
    <w:rsid w:val="00DC1877"/>
    <w:rsid w:val="00DC35C7"/>
    <w:rsid w:val="00DC36CE"/>
    <w:rsid w:val="00DC3770"/>
    <w:rsid w:val="00DC4431"/>
    <w:rsid w:val="00DC496E"/>
    <w:rsid w:val="00DC5870"/>
    <w:rsid w:val="00DC66DC"/>
    <w:rsid w:val="00DD0384"/>
    <w:rsid w:val="00DD0901"/>
    <w:rsid w:val="00DD2AD6"/>
    <w:rsid w:val="00DD4A58"/>
    <w:rsid w:val="00DD5069"/>
    <w:rsid w:val="00DD7854"/>
    <w:rsid w:val="00DE08C3"/>
    <w:rsid w:val="00DE16B6"/>
    <w:rsid w:val="00DE2CB7"/>
    <w:rsid w:val="00DE36CA"/>
    <w:rsid w:val="00DE7E63"/>
    <w:rsid w:val="00DF15C4"/>
    <w:rsid w:val="00DF18B9"/>
    <w:rsid w:val="00DF3FC6"/>
    <w:rsid w:val="00DF416B"/>
    <w:rsid w:val="00DF425D"/>
    <w:rsid w:val="00DF6F0A"/>
    <w:rsid w:val="00DF7B3F"/>
    <w:rsid w:val="00E000FF"/>
    <w:rsid w:val="00E00266"/>
    <w:rsid w:val="00E004E9"/>
    <w:rsid w:val="00E013B5"/>
    <w:rsid w:val="00E0246D"/>
    <w:rsid w:val="00E045C3"/>
    <w:rsid w:val="00E04715"/>
    <w:rsid w:val="00E04FCB"/>
    <w:rsid w:val="00E102DF"/>
    <w:rsid w:val="00E10DDD"/>
    <w:rsid w:val="00E14FE0"/>
    <w:rsid w:val="00E16345"/>
    <w:rsid w:val="00E16D34"/>
    <w:rsid w:val="00E24A2E"/>
    <w:rsid w:val="00E24C07"/>
    <w:rsid w:val="00E30CDD"/>
    <w:rsid w:val="00E321BF"/>
    <w:rsid w:val="00E32EA7"/>
    <w:rsid w:val="00E3310B"/>
    <w:rsid w:val="00E367C5"/>
    <w:rsid w:val="00E372EC"/>
    <w:rsid w:val="00E37E71"/>
    <w:rsid w:val="00E40AFE"/>
    <w:rsid w:val="00E42847"/>
    <w:rsid w:val="00E45DBD"/>
    <w:rsid w:val="00E46064"/>
    <w:rsid w:val="00E470F9"/>
    <w:rsid w:val="00E47644"/>
    <w:rsid w:val="00E50268"/>
    <w:rsid w:val="00E50781"/>
    <w:rsid w:val="00E51360"/>
    <w:rsid w:val="00E543D5"/>
    <w:rsid w:val="00E56E2C"/>
    <w:rsid w:val="00E5707D"/>
    <w:rsid w:val="00E604A1"/>
    <w:rsid w:val="00E60B83"/>
    <w:rsid w:val="00E6291E"/>
    <w:rsid w:val="00E7204F"/>
    <w:rsid w:val="00E7275C"/>
    <w:rsid w:val="00E73AA8"/>
    <w:rsid w:val="00E74DC4"/>
    <w:rsid w:val="00E75044"/>
    <w:rsid w:val="00E80228"/>
    <w:rsid w:val="00E829AC"/>
    <w:rsid w:val="00E82C3E"/>
    <w:rsid w:val="00E83776"/>
    <w:rsid w:val="00E83AD7"/>
    <w:rsid w:val="00E83E19"/>
    <w:rsid w:val="00E848FB"/>
    <w:rsid w:val="00E8499E"/>
    <w:rsid w:val="00E85714"/>
    <w:rsid w:val="00E86860"/>
    <w:rsid w:val="00E91078"/>
    <w:rsid w:val="00E92528"/>
    <w:rsid w:val="00E930D7"/>
    <w:rsid w:val="00E93D85"/>
    <w:rsid w:val="00E959A7"/>
    <w:rsid w:val="00E96672"/>
    <w:rsid w:val="00E97C4D"/>
    <w:rsid w:val="00EA0564"/>
    <w:rsid w:val="00EA2ED4"/>
    <w:rsid w:val="00EA3467"/>
    <w:rsid w:val="00EA44E6"/>
    <w:rsid w:val="00EA491A"/>
    <w:rsid w:val="00EA4B8F"/>
    <w:rsid w:val="00EA4F17"/>
    <w:rsid w:val="00EA57D6"/>
    <w:rsid w:val="00EA5A95"/>
    <w:rsid w:val="00EA5B10"/>
    <w:rsid w:val="00EA5CF6"/>
    <w:rsid w:val="00EA6AF8"/>
    <w:rsid w:val="00EB11E6"/>
    <w:rsid w:val="00EB1583"/>
    <w:rsid w:val="00EB1AFF"/>
    <w:rsid w:val="00EB1C42"/>
    <w:rsid w:val="00EB60CC"/>
    <w:rsid w:val="00EB62B9"/>
    <w:rsid w:val="00EB7694"/>
    <w:rsid w:val="00EC226F"/>
    <w:rsid w:val="00EC23FB"/>
    <w:rsid w:val="00EC32DE"/>
    <w:rsid w:val="00EC51B7"/>
    <w:rsid w:val="00EC6956"/>
    <w:rsid w:val="00ED0620"/>
    <w:rsid w:val="00ED0883"/>
    <w:rsid w:val="00ED1615"/>
    <w:rsid w:val="00ED1E19"/>
    <w:rsid w:val="00ED23EB"/>
    <w:rsid w:val="00ED35C9"/>
    <w:rsid w:val="00ED7029"/>
    <w:rsid w:val="00ED7681"/>
    <w:rsid w:val="00ED7881"/>
    <w:rsid w:val="00ED7F7D"/>
    <w:rsid w:val="00EE1506"/>
    <w:rsid w:val="00EE22A0"/>
    <w:rsid w:val="00EE31F4"/>
    <w:rsid w:val="00EE4829"/>
    <w:rsid w:val="00EE4F5C"/>
    <w:rsid w:val="00EF0977"/>
    <w:rsid w:val="00EF0CA4"/>
    <w:rsid w:val="00EF1314"/>
    <w:rsid w:val="00EF2029"/>
    <w:rsid w:val="00EF29B4"/>
    <w:rsid w:val="00EF3B2A"/>
    <w:rsid w:val="00EF3CC1"/>
    <w:rsid w:val="00EF4C8E"/>
    <w:rsid w:val="00EF4E05"/>
    <w:rsid w:val="00EF528D"/>
    <w:rsid w:val="00EF5FBF"/>
    <w:rsid w:val="00EF63C6"/>
    <w:rsid w:val="00EF650E"/>
    <w:rsid w:val="00EF6690"/>
    <w:rsid w:val="00F0093A"/>
    <w:rsid w:val="00F025A8"/>
    <w:rsid w:val="00F034FB"/>
    <w:rsid w:val="00F05606"/>
    <w:rsid w:val="00F05BA5"/>
    <w:rsid w:val="00F06247"/>
    <w:rsid w:val="00F105F5"/>
    <w:rsid w:val="00F1075A"/>
    <w:rsid w:val="00F10ECF"/>
    <w:rsid w:val="00F13044"/>
    <w:rsid w:val="00F13C77"/>
    <w:rsid w:val="00F14648"/>
    <w:rsid w:val="00F153EF"/>
    <w:rsid w:val="00F22E82"/>
    <w:rsid w:val="00F23AF1"/>
    <w:rsid w:val="00F24109"/>
    <w:rsid w:val="00F24902"/>
    <w:rsid w:val="00F2673A"/>
    <w:rsid w:val="00F26EDA"/>
    <w:rsid w:val="00F305D3"/>
    <w:rsid w:val="00F3257C"/>
    <w:rsid w:val="00F337BF"/>
    <w:rsid w:val="00F33D14"/>
    <w:rsid w:val="00F352E4"/>
    <w:rsid w:val="00F3607A"/>
    <w:rsid w:val="00F372F4"/>
    <w:rsid w:val="00F409AE"/>
    <w:rsid w:val="00F40C4E"/>
    <w:rsid w:val="00F42493"/>
    <w:rsid w:val="00F44913"/>
    <w:rsid w:val="00F45993"/>
    <w:rsid w:val="00F45F08"/>
    <w:rsid w:val="00F46024"/>
    <w:rsid w:val="00F468AB"/>
    <w:rsid w:val="00F46CD1"/>
    <w:rsid w:val="00F473B6"/>
    <w:rsid w:val="00F51115"/>
    <w:rsid w:val="00F51390"/>
    <w:rsid w:val="00F513B1"/>
    <w:rsid w:val="00F515C4"/>
    <w:rsid w:val="00F51B28"/>
    <w:rsid w:val="00F52E57"/>
    <w:rsid w:val="00F536E4"/>
    <w:rsid w:val="00F53E06"/>
    <w:rsid w:val="00F54188"/>
    <w:rsid w:val="00F54CC0"/>
    <w:rsid w:val="00F555B3"/>
    <w:rsid w:val="00F55BF5"/>
    <w:rsid w:val="00F56ED0"/>
    <w:rsid w:val="00F60CE6"/>
    <w:rsid w:val="00F61BB4"/>
    <w:rsid w:val="00F62483"/>
    <w:rsid w:val="00F62DC3"/>
    <w:rsid w:val="00F63036"/>
    <w:rsid w:val="00F66D96"/>
    <w:rsid w:val="00F675E2"/>
    <w:rsid w:val="00F72705"/>
    <w:rsid w:val="00F72793"/>
    <w:rsid w:val="00F727A5"/>
    <w:rsid w:val="00F730E9"/>
    <w:rsid w:val="00F73FC8"/>
    <w:rsid w:val="00F74D78"/>
    <w:rsid w:val="00F755B2"/>
    <w:rsid w:val="00F75671"/>
    <w:rsid w:val="00F76C7F"/>
    <w:rsid w:val="00F76ECD"/>
    <w:rsid w:val="00F772A5"/>
    <w:rsid w:val="00F77410"/>
    <w:rsid w:val="00F77FAC"/>
    <w:rsid w:val="00F80394"/>
    <w:rsid w:val="00F824F0"/>
    <w:rsid w:val="00F82C84"/>
    <w:rsid w:val="00F83BF8"/>
    <w:rsid w:val="00F847A9"/>
    <w:rsid w:val="00F8495A"/>
    <w:rsid w:val="00F85067"/>
    <w:rsid w:val="00F86544"/>
    <w:rsid w:val="00F8698C"/>
    <w:rsid w:val="00F879C0"/>
    <w:rsid w:val="00F90DBA"/>
    <w:rsid w:val="00F91556"/>
    <w:rsid w:val="00F91C6E"/>
    <w:rsid w:val="00F91DA9"/>
    <w:rsid w:val="00F925BB"/>
    <w:rsid w:val="00F954EA"/>
    <w:rsid w:val="00F95B97"/>
    <w:rsid w:val="00F95ED0"/>
    <w:rsid w:val="00F967F1"/>
    <w:rsid w:val="00FA03B5"/>
    <w:rsid w:val="00FA1FF8"/>
    <w:rsid w:val="00FA32B8"/>
    <w:rsid w:val="00FA3376"/>
    <w:rsid w:val="00FA5580"/>
    <w:rsid w:val="00FA5FE9"/>
    <w:rsid w:val="00FA67D2"/>
    <w:rsid w:val="00FA712A"/>
    <w:rsid w:val="00FB302F"/>
    <w:rsid w:val="00FB3D86"/>
    <w:rsid w:val="00FB47E2"/>
    <w:rsid w:val="00FB54AF"/>
    <w:rsid w:val="00FB5A92"/>
    <w:rsid w:val="00FB74C7"/>
    <w:rsid w:val="00FC1C69"/>
    <w:rsid w:val="00FC1E30"/>
    <w:rsid w:val="00FC256C"/>
    <w:rsid w:val="00FC3739"/>
    <w:rsid w:val="00FC42AF"/>
    <w:rsid w:val="00FC458F"/>
    <w:rsid w:val="00FC46EE"/>
    <w:rsid w:val="00FC49B0"/>
    <w:rsid w:val="00FC4BBE"/>
    <w:rsid w:val="00FC637C"/>
    <w:rsid w:val="00FD15ED"/>
    <w:rsid w:val="00FD1A81"/>
    <w:rsid w:val="00FD1B9D"/>
    <w:rsid w:val="00FD2245"/>
    <w:rsid w:val="00FD5851"/>
    <w:rsid w:val="00FE0937"/>
    <w:rsid w:val="00FE2A01"/>
    <w:rsid w:val="00FE5AD9"/>
    <w:rsid w:val="00FE5C4C"/>
    <w:rsid w:val="00FE6F5C"/>
    <w:rsid w:val="00FE77A9"/>
    <w:rsid w:val="00FE7A33"/>
    <w:rsid w:val="00FE7B82"/>
    <w:rsid w:val="00FE7F90"/>
    <w:rsid w:val="00FF1E1C"/>
    <w:rsid w:val="00FF74AC"/>
    <w:rsid w:val="00FF766B"/>
    <w:rsid w:val="01C7B5D4"/>
    <w:rsid w:val="04AD9647"/>
    <w:rsid w:val="0672096D"/>
    <w:rsid w:val="077B645D"/>
    <w:rsid w:val="07956956"/>
    <w:rsid w:val="08C5550A"/>
    <w:rsid w:val="0B1EC749"/>
    <w:rsid w:val="0C48F711"/>
    <w:rsid w:val="0E562012"/>
    <w:rsid w:val="0FBE2DCA"/>
    <w:rsid w:val="10802548"/>
    <w:rsid w:val="11CB6C23"/>
    <w:rsid w:val="1418EDBD"/>
    <w:rsid w:val="168A9F08"/>
    <w:rsid w:val="16B0717F"/>
    <w:rsid w:val="1831B6EC"/>
    <w:rsid w:val="1AD2D232"/>
    <w:rsid w:val="1AD9AFAE"/>
    <w:rsid w:val="1B0378D4"/>
    <w:rsid w:val="1B292CBE"/>
    <w:rsid w:val="1B4F60AF"/>
    <w:rsid w:val="1B8D3B54"/>
    <w:rsid w:val="1C1C8A6D"/>
    <w:rsid w:val="1C24BFAD"/>
    <w:rsid w:val="1DC4816B"/>
    <w:rsid w:val="1E124C9A"/>
    <w:rsid w:val="1E5C7F35"/>
    <w:rsid w:val="247B2704"/>
    <w:rsid w:val="2607B304"/>
    <w:rsid w:val="27753C4D"/>
    <w:rsid w:val="27A46014"/>
    <w:rsid w:val="27BB0FB9"/>
    <w:rsid w:val="28955FD7"/>
    <w:rsid w:val="295EE6E2"/>
    <w:rsid w:val="29ECE8B3"/>
    <w:rsid w:val="2A974E02"/>
    <w:rsid w:val="2BE03B96"/>
    <w:rsid w:val="2CAFED61"/>
    <w:rsid w:val="2CEDA0EC"/>
    <w:rsid w:val="2DFE6C53"/>
    <w:rsid w:val="2EDD19A9"/>
    <w:rsid w:val="30E2E79F"/>
    <w:rsid w:val="31D92F0F"/>
    <w:rsid w:val="32C80E10"/>
    <w:rsid w:val="33494362"/>
    <w:rsid w:val="352D3598"/>
    <w:rsid w:val="35B6FEA2"/>
    <w:rsid w:val="3993001A"/>
    <w:rsid w:val="3CFC459F"/>
    <w:rsid w:val="3DB9C93A"/>
    <w:rsid w:val="3ECC9887"/>
    <w:rsid w:val="40E2518D"/>
    <w:rsid w:val="416FE43B"/>
    <w:rsid w:val="41BC028B"/>
    <w:rsid w:val="47B162D0"/>
    <w:rsid w:val="49E0D192"/>
    <w:rsid w:val="4E58690E"/>
    <w:rsid w:val="4EA58A4F"/>
    <w:rsid w:val="4EAD745F"/>
    <w:rsid w:val="508C5FCF"/>
    <w:rsid w:val="50E4C936"/>
    <w:rsid w:val="5155FC6B"/>
    <w:rsid w:val="5183197D"/>
    <w:rsid w:val="54AE09C2"/>
    <w:rsid w:val="555920C8"/>
    <w:rsid w:val="55B3CC9C"/>
    <w:rsid w:val="593A2FE2"/>
    <w:rsid w:val="5941FB44"/>
    <w:rsid w:val="5A2A22C4"/>
    <w:rsid w:val="5AEC1D74"/>
    <w:rsid w:val="5B2884E7"/>
    <w:rsid w:val="5D41D761"/>
    <w:rsid w:val="5F64852B"/>
    <w:rsid w:val="5FA91D75"/>
    <w:rsid w:val="6037BD3B"/>
    <w:rsid w:val="617386E3"/>
    <w:rsid w:val="61FDF608"/>
    <w:rsid w:val="6322AD61"/>
    <w:rsid w:val="63878309"/>
    <w:rsid w:val="63C5B777"/>
    <w:rsid w:val="6506A3E6"/>
    <w:rsid w:val="657B1486"/>
    <w:rsid w:val="657BFFC9"/>
    <w:rsid w:val="684DB0F4"/>
    <w:rsid w:val="68FAA703"/>
    <w:rsid w:val="6921A49D"/>
    <w:rsid w:val="6B56D453"/>
    <w:rsid w:val="6CA8249F"/>
    <w:rsid w:val="6CFB181B"/>
    <w:rsid w:val="6ED44E2A"/>
    <w:rsid w:val="71407D81"/>
    <w:rsid w:val="720842F4"/>
    <w:rsid w:val="75ABB9F9"/>
    <w:rsid w:val="78268014"/>
    <w:rsid w:val="78E0AB6C"/>
    <w:rsid w:val="7A7740B5"/>
    <w:rsid w:val="7B04DF5F"/>
    <w:rsid w:val="7D811F7B"/>
    <w:rsid w:val="7DA040D5"/>
    <w:rsid w:val="7E4037C1"/>
    <w:rsid w:val="7E92896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0C793"/>
  <w15:docId w15:val="{6B257336-F8D5-4EEF-A717-CA94D596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2AE"/>
    <w:rPr>
      <w:rFonts w:eastAsiaTheme="minorHAnsi"/>
      <w:lang w:eastAsia="en-US"/>
    </w:rPr>
  </w:style>
  <w:style w:type="paragraph" w:styleId="Heading1">
    <w:name w:val="heading 1"/>
    <w:basedOn w:val="Normal"/>
    <w:next w:val="Normal"/>
    <w:link w:val="Heading1Char"/>
    <w:qFormat/>
    <w:rsid w:val="00B53EF2"/>
    <w:pPr>
      <w:keepNext/>
      <w:spacing w:before="480" w:after="120"/>
      <w:contextualSpacing/>
      <w:outlineLvl w:val="0"/>
    </w:pPr>
    <w:rPr>
      <w:rFonts w:cs="Arial"/>
      <w:b/>
      <w:bCs/>
      <w:color w:val="1F546B"/>
      <w:kern w:val="32"/>
      <w:sz w:val="52"/>
      <w:szCs w:val="32"/>
    </w:rPr>
  </w:style>
  <w:style w:type="paragraph" w:styleId="Heading2">
    <w:name w:val="heading 2"/>
    <w:basedOn w:val="Numberedpara2heading"/>
    <w:next w:val="Normal"/>
    <w:link w:val="Heading2Char"/>
    <w:qFormat/>
    <w:rsid w:val="00DB7B66"/>
    <w:pPr>
      <w:outlineLvl w:val="1"/>
    </w:pPr>
  </w:style>
  <w:style w:type="paragraph" w:styleId="Heading3">
    <w:name w:val="heading 3"/>
    <w:basedOn w:val="Normal"/>
    <w:next w:val="Normal"/>
    <w:link w:val="Heading3Char"/>
    <w:semiHidden/>
    <w:qFormat/>
    <w:rsid w:val="00B53EF2"/>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semiHidden/>
    <w:qFormat/>
    <w:rsid w:val="00B53EF2"/>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B53EF2"/>
    <w:pPr>
      <w:keepNext/>
      <w:spacing w:before="360"/>
      <w:outlineLvl w:val="4"/>
    </w:pPr>
    <w:rPr>
      <w:b/>
      <w:bCs/>
      <w:iCs/>
      <w:szCs w:val="26"/>
    </w:rPr>
  </w:style>
  <w:style w:type="paragraph" w:styleId="Heading6">
    <w:name w:val="heading 6"/>
    <w:basedOn w:val="Normal"/>
    <w:next w:val="Normal"/>
    <w:link w:val="Heading6Char"/>
    <w:uiPriority w:val="1"/>
    <w:semiHidden/>
    <w:qFormat/>
    <w:rsid w:val="00B53EF2"/>
    <w:pPr>
      <w:spacing w:before="360"/>
      <w:outlineLvl w:val="5"/>
    </w:pPr>
    <w:rPr>
      <w:b/>
      <w:bCs/>
      <w:i/>
      <w:szCs w:val="22"/>
    </w:rPr>
  </w:style>
  <w:style w:type="paragraph" w:styleId="Heading7">
    <w:name w:val="heading 7"/>
    <w:basedOn w:val="Normal"/>
    <w:next w:val="Normal"/>
    <w:uiPriority w:val="99"/>
    <w:semiHidden/>
    <w:qFormat/>
    <w:rsid w:val="00B53EF2"/>
    <w:pPr>
      <w:spacing w:after="60"/>
      <w:outlineLvl w:val="6"/>
    </w:pPr>
  </w:style>
  <w:style w:type="paragraph" w:styleId="Heading8">
    <w:name w:val="heading 8"/>
    <w:basedOn w:val="Normal"/>
    <w:next w:val="Normal"/>
    <w:uiPriority w:val="99"/>
    <w:semiHidden/>
    <w:qFormat/>
    <w:rsid w:val="00B53EF2"/>
    <w:pPr>
      <w:spacing w:after="60"/>
      <w:outlineLvl w:val="7"/>
    </w:pPr>
    <w:rPr>
      <w:i/>
      <w:iCs/>
    </w:rPr>
  </w:style>
  <w:style w:type="paragraph" w:styleId="Heading9">
    <w:name w:val="heading 9"/>
    <w:basedOn w:val="Normal"/>
    <w:next w:val="Normal"/>
    <w:uiPriority w:val="99"/>
    <w:semiHidden/>
    <w:qFormat/>
    <w:rsid w:val="00B53EF2"/>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2"/>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3"/>
      </w:numPr>
    </w:pPr>
  </w:style>
  <w:style w:type="numbering" w:styleId="ArticleSection">
    <w:name w:val="Outline List 3"/>
    <w:basedOn w:val="NoList"/>
    <w:semiHidden/>
    <w:rsid w:val="005675E0"/>
    <w:pPr>
      <w:numPr>
        <w:numId w:val="4"/>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B53EF2"/>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rsid w:val="005F76CC"/>
    <w:pPr>
      <w:spacing w:before="40" w:after="40"/>
      <w:contextualSpacing/>
    </w:pPr>
    <w:rPr>
      <w:i/>
      <w:sz w:val="20"/>
    </w:rPr>
  </w:style>
  <w:style w:type="paragraph" w:styleId="Header">
    <w:name w:val="header"/>
    <w:basedOn w:val="Normal"/>
    <w:rsid w:val="007576A1"/>
    <w:pPr>
      <w:spacing w:before="40" w:after="40"/>
    </w:pPr>
    <w:rPr>
      <w:color w:val="A6A6A6" w:themeColor="background1" w:themeShade="A6"/>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10"/>
      </w:numPr>
    </w:pPr>
  </w:style>
  <w:style w:type="paragraph" w:styleId="ListBullet2">
    <w:name w:val="List Bullet 2"/>
    <w:basedOn w:val="Normal"/>
    <w:uiPriority w:val="99"/>
    <w:semiHidden/>
    <w:rsid w:val="005675E0"/>
    <w:pPr>
      <w:numPr>
        <w:numId w:val="11"/>
      </w:numPr>
    </w:pPr>
  </w:style>
  <w:style w:type="paragraph" w:styleId="ListBullet3">
    <w:name w:val="List Bullet 3"/>
    <w:basedOn w:val="Normal"/>
    <w:uiPriority w:val="99"/>
    <w:semiHidden/>
    <w:rsid w:val="005675E0"/>
    <w:pPr>
      <w:numPr>
        <w:numId w:val="12"/>
      </w:numPr>
    </w:pPr>
  </w:style>
  <w:style w:type="paragraph" w:styleId="ListBullet4">
    <w:name w:val="List Bullet 4"/>
    <w:basedOn w:val="Normal"/>
    <w:uiPriority w:val="99"/>
    <w:semiHidden/>
    <w:rsid w:val="005675E0"/>
    <w:pPr>
      <w:numPr>
        <w:numId w:val="13"/>
      </w:numPr>
    </w:pPr>
  </w:style>
  <w:style w:type="paragraph" w:styleId="ListBullet5">
    <w:name w:val="List Bullet 5"/>
    <w:basedOn w:val="Normal"/>
    <w:uiPriority w:val="99"/>
    <w:semiHidden/>
    <w:rsid w:val="005675E0"/>
    <w:pPr>
      <w:numPr>
        <w:numId w:val="14"/>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5"/>
      </w:numPr>
    </w:pPr>
  </w:style>
  <w:style w:type="paragraph" w:styleId="ListNumber2">
    <w:name w:val="List Number 2"/>
    <w:basedOn w:val="Normal"/>
    <w:uiPriority w:val="99"/>
    <w:semiHidden/>
    <w:rsid w:val="005675E0"/>
    <w:pPr>
      <w:numPr>
        <w:numId w:val="16"/>
      </w:numPr>
    </w:pPr>
  </w:style>
  <w:style w:type="paragraph" w:styleId="ListNumber3">
    <w:name w:val="List Number 3"/>
    <w:basedOn w:val="Normal"/>
    <w:uiPriority w:val="99"/>
    <w:semiHidden/>
    <w:rsid w:val="005675E0"/>
    <w:pPr>
      <w:numPr>
        <w:numId w:val="17"/>
      </w:numPr>
    </w:pPr>
  </w:style>
  <w:style w:type="paragraph" w:styleId="ListNumber4">
    <w:name w:val="List Number 4"/>
    <w:basedOn w:val="Normal"/>
    <w:uiPriority w:val="99"/>
    <w:semiHidden/>
    <w:rsid w:val="005675E0"/>
    <w:pPr>
      <w:numPr>
        <w:numId w:val="18"/>
      </w:numPr>
    </w:pPr>
  </w:style>
  <w:style w:type="paragraph" w:styleId="ListNumber5">
    <w:name w:val="List Number 5"/>
    <w:basedOn w:val="Normal"/>
    <w:uiPriority w:val="99"/>
    <w:semiHidden/>
    <w:rsid w:val="005675E0"/>
    <w:pPr>
      <w:numPr>
        <w:numId w:val="19"/>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B53EF2"/>
    <w:rPr>
      <w:rFonts w:eastAsiaTheme="minorHAnsi" w:cs="Arial"/>
      <w:b/>
      <w:bCs/>
      <w:color w:val="1F546B"/>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22"/>
    <w:qFormat/>
    <w:rsid w:val="00B53EF2"/>
    <w:rPr>
      <w:b/>
      <w:bCs/>
    </w:rPr>
  </w:style>
  <w:style w:type="paragraph" w:styleId="Subtitle">
    <w:name w:val="Subtitle"/>
    <w:basedOn w:val="Normal"/>
    <w:uiPriority w:val="1"/>
    <w:semiHidden/>
    <w:qFormat/>
    <w:rsid w:val="00B53EF2"/>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B53EF2"/>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9"/>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9"/>
      </w:numPr>
      <w:outlineLvl w:val="5"/>
    </w:pPr>
  </w:style>
  <w:style w:type="paragraph" w:customStyle="1" w:styleId="Headingnumbered2">
    <w:name w:val="Heading numbered 2"/>
    <w:basedOn w:val="Heading2"/>
    <w:next w:val="Normal"/>
    <w:uiPriority w:val="1"/>
    <w:semiHidden/>
    <w:rsid w:val="00E367C5"/>
    <w:pPr>
      <w:numPr>
        <w:ilvl w:val="1"/>
        <w:numId w:val="9"/>
      </w:numPr>
      <w:outlineLvl w:val="6"/>
    </w:pPr>
  </w:style>
  <w:style w:type="paragraph" w:customStyle="1" w:styleId="Headingnumbered3">
    <w:name w:val="Heading numbered 3"/>
    <w:basedOn w:val="Normal"/>
    <w:next w:val="Normal"/>
    <w:uiPriority w:val="1"/>
    <w:semiHidden/>
    <w:rsid w:val="00E367C5"/>
    <w:pPr>
      <w:numPr>
        <w:ilvl w:val="2"/>
        <w:numId w:val="9"/>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9"/>
      </w:numPr>
      <w:spacing w:before="360"/>
    </w:pPr>
    <w:rPr>
      <w:b/>
      <w:i/>
      <w:color w:val="1F546B"/>
    </w:rPr>
  </w:style>
  <w:style w:type="paragraph" w:customStyle="1" w:styleId="Numberedpara1">
    <w:name w:val="Numbered para 1"/>
    <w:basedOn w:val="Normal"/>
    <w:semiHidden/>
    <w:rsid w:val="00590CA4"/>
    <w:rPr>
      <w:b/>
      <w:sz w:val="28"/>
    </w:rPr>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8530FE"/>
    <w:pPr>
      <w:numPr>
        <w:numId w:val="6"/>
      </w:numPr>
      <w:spacing w:before="80" w:after="80"/>
    </w:pPr>
  </w:style>
  <w:style w:type="paragraph" w:customStyle="1" w:styleId="Bulletlevel2">
    <w:name w:val="Bullet level 2"/>
    <w:basedOn w:val="Normal"/>
    <w:uiPriority w:val="1"/>
    <w:semiHidden/>
    <w:rsid w:val="00A167D7"/>
    <w:pPr>
      <w:numPr>
        <w:ilvl w:val="1"/>
        <w:numId w:val="6"/>
      </w:numPr>
      <w:spacing w:before="80" w:after="80"/>
    </w:pPr>
  </w:style>
  <w:style w:type="paragraph" w:customStyle="1" w:styleId="Bulletlevel3">
    <w:name w:val="Bullet level 3"/>
    <w:basedOn w:val="Normal"/>
    <w:uiPriority w:val="1"/>
    <w:semiHidden/>
    <w:rsid w:val="00A167D7"/>
    <w:pPr>
      <w:numPr>
        <w:ilvl w:val="2"/>
        <w:numId w:val="6"/>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2"/>
      </w:numPr>
      <w:spacing w:before="80" w:after="80"/>
    </w:pPr>
  </w:style>
  <w:style w:type="paragraph" w:customStyle="1" w:styleId="List123">
    <w:name w:val="List 1 2 3"/>
    <w:basedOn w:val="Normal"/>
    <w:rsid w:val="00CF12CF"/>
    <w:pPr>
      <w:numPr>
        <w:numId w:val="23"/>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link w:val="TableheadingChar"/>
    <w:rsid w:val="008D4CDE"/>
    <w:pPr>
      <w:spacing w:before="40" w:after="40"/>
    </w:pPr>
    <w:rPr>
      <w:b/>
      <w:color w:val="FFFFFF" w:themeColor="background1"/>
      <w:sz w:val="22"/>
    </w:rPr>
  </w:style>
  <w:style w:type="character" w:customStyle="1" w:styleId="Heading2Char">
    <w:name w:val="Heading 2 Char"/>
    <w:basedOn w:val="DefaultParagraphFont"/>
    <w:link w:val="Heading2"/>
    <w:rsid w:val="00DB7B66"/>
    <w:rPr>
      <w:rFonts w:eastAsiaTheme="minorHAnsi"/>
      <w:b/>
      <w:sz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7"/>
      </w:numPr>
    </w:pPr>
  </w:style>
  <w:style w:type="paragraph" w:customStyle="1" w:styleId="Tablebulletlevel2">
    <w:name w:val="Table bullet level 2"/>
    <w:basedOn w:val="Tablenormal0"/>
    <w:uiPriority w:val="99"/>
    <w:semiHidden/>
    <w:rsid w:val="00CF12CF"/>
    <w:pPr>
      <w:numPr>
        <w:ilvl w:val="1"/>
        <w:numId w:val="7"/>
      </w:numPr>
    </w:pPr>
  </w:style>
  <w:style w:type="paragraph" w:customStyle="1" w:styleId="TableBulletListLevel3">
    <w:name w:val="Table Bullet List Level 3"/>
    <w:basedOn w:val="BodyTextTable"/>
    <w:uiPriority w:val="11"/>
    <w:semiHidden/>
    <w:rsid w:val="009D28CF"/>
    <w:pPr>
      <w:numPr>
        <w:ilvl w:val="2"/>
        <w:numId w:val="7"/>
      </w:numPr>
      <w:spacing w:before="60" w:after="60"/>
    </w:pPr>
  </w:style>
  <w:style w:type="paragraph" w:customStyle="1" w:styleId="Tablelist123">
    <w:name w:val="Table list 1 2 3"/>
    <w:basedOn w:val="Tablenormal0"/>
    <w:rsid w:val="00CF12CF"/>
    <w:pPr>
      <w:numPr>
        <w:numId w:val="20"/>
      </w:numPr>
    </w:pPr>
  </w:style>
  <w:style w:type="paragraph" w:customStyle="1" w:styleId="Tablelist123level2">
    <w:name w:val="Table list 1 2 3 level 2"/>
    <w:basedOn w:val="Tablenormal0"/>
    <w:semiHidden/>
    <w:rsid w:val="00CF12CF"/>
    <w:pPr>
      <w:numPr>
        <w:ilvl w:val="1"/>
        <w:numId w:val="20"/>
      </w:numPr>
    </w:pPr>
  </w:style>
  <w:style w:type="character" w:customStyle="1" w:styleId="Heading4Char">
    <w:name w:val="Heading 4 Char"/>
    <w:basedOn w:val="DefaultParagraphFont"/>
    <w:link w:val="Heading4"/>
    <w:semiHidden/>
    <w:rsid w:val="007576A1"/>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5"/>
      </w:numPr>
    </w:pPr>
  </w:style>
  <w:style w:type="paragraph" w:customStyle="1" w:styleId="BodyTextTableLevel2">
    <w:name w:val="Body Text Table Level 2"/>
    <w:basedOn w:val="BodyTextTable"/>
    <w:uiPriority w:val="11"/>
    <w:semiHidden/>
    <w:rsid w:val="005675E0"/>
    <w:pPr>
      <w:numPr>
        <w:ilvl w:val="1"/>
        <w:numId w:val="5"/>
      </w:numPr>
    </w:pPr>
  </w:style>
  <w:style w:type="paragraph" w:customStyle="1" w:styleId="BodyTextTableLevel3">
    <w:name w:val="Body Text Table Level 3"/>
    <w:basedOn w:val="BodyTextTable"/>
    <w:uiPriority w:val="11"/>
    <w:semiHidden/>
    <w:rsid w:val="005675E0"/>
    <w:pPr>
      <w:numPr>
        <w:ilvl w:val="3"/>
        <w:numId w:val="20"/>
      </w:numPr>
    </w:pPr>
  </w:style>
  <w:style w:type="paragraph" w:styleId="Caption">
    <w:name w:val="caption"/>
    <w:basedOn w:val="Normal"/>
    <w:next w:val="Normal"/>
    <w:qFormat/>
    <w:rsid w:val="00B53EF2"/>
    <w:pPr>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pageBreakBefore/>
      <w:numPr>
        <w:numId w:val="8"/>
      </w:numPr>
      <w:tabs>
        <w:tab w:val="left" w:pos="2268"/>
      </w:tabs>
      <w:spacing w:before="0"/>
      <w:outlineLvl w:val="7"/>
    </w:pPr>
  </w:style>
  <w:style w:type="paragraph" w:customStyle="1" w:styleId="NotforContentsheading1">
    <w:name w:val="Not for Contents heading 1"/>
    <w:basedOn w:val="Normal"/>
    <w:next w:val="Normal"/>
    <w:rsid w:val="00E367C5"/>
    <w:pPr>
      <w:keepNext/>
      <w:spacing w:before="480"/>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B53EF2"/>
    <w:pPr>
      <w:numPr>
        <w:ilvl w:val="1"/>
        <w:numId w:val="22"/>
      </w:numPr>
      <w:spacing w:before="80" w:after="80"/>
    </w:pPr>
  </w:style>
  <w:style w:type="paragraph" w:customStyle="1" w:styleId="NotforContentsheading2">
    <w:name w:val="Not for Contents heading 2"/>
    <w:basedOn w:val="Normal"/>
    <w:next w:val="Normal"/>
    <w:rsid w:val="00DB7B66"/>
    <w:pPr>
      <w:keepNext/>
      <w:spacing w:before="360" w:after="120"/>
    </w:pPr>
    <w:rPr>
      <w:b/>
      <w:color w:val="1F546B"/>
      <w:sz w:val="36"/>
    </w:rPr>
  </w:style>
  <w:style w:type="character" w:customStyle="1" w:styleId="Heading3Char">
    <w:name w:val="Heading 3 Char"/>
    <w:link w:val="Heading3"/>
    <w:semiHidden/>
    <w:rsid w:val="007576A1"/>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keepLines/>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65ED5"/>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B53EF2"/>
    <w:rPr>
      <w:i/>
      <w:iCs/>
    </w:rPr>
  </w:style>
  <w:style w:type="character" w:styleId="IntenseEmphasis">
    <w:name w:val="Intense Emphasis"/>
    <w:uiPriority w:val="99"/>
    <w:semiHidden/>
    <w:qFormat/>
    <w:rsid w:val="00B53EF2"/>
    <w:rPr>
      <w:b/>
      <w:i/>
    </w:rPr>
  </w:style>
  <w:style w:type="paragraph" w:styleId="ListParagraph">
    <w:name w:val="List Paragraph"/>
    <w:basedOn w:val="Bullet"/>
    <w:uiPriority w:val="34"/>
    <w:semiHidden/>
    <w:qFormat/>
    <w:rsid w:val="00B53EF2"/>
    <w:pPr>
      <w:numPr>
        <w:numId w:val="21"/>
      </w:numPr>
    </w:pPr>
  </w:style>
  <w:style w:type="character" w:customStyle="1" w:styleId="Heading5Char">
    <w:name w:val="Heading 5 Char"/>
    <w:basedOn w:val="DefaultParagraphFont"/>
    <w:link w:val="Heading5"/>
    <w:uiPriority w:val="1"/>
    <w:semiHidden/>
    <w:rsid w:val="00B53EF2"/>
    <w:rPr>
      <w:rFonts w:eastAsiaTheme="minorHAnsi"/>
      <w:b/>
      <w:bCs/>
      <w:iCs/>
      <w:szCs w:val="26"/>
      <w:lang w:eastAsia="en-US"/>
    </w:rPr>
  </w:style>
  <w:style w:type="character" w:styleId="SubtleReference">
    <w:name w:val="Subtle Reference"/>
    <w:basedOn w:val="DefaultParagraphFont"/>
    <w:uiPriority w:val="99"/>
    <w:semiHidden/>
    <w:qFormat/>
    <w:rsid w:val="00B53EF2"/>
    <w:rPr>
      <w:rFonts w:ascii="Calibri" w:hAnsi="Calibri"/>
      <w:smallCaps/>
      <w:color w:val="B84327" w:themeColor="accent2"/>
      <w:u w:val="single"/>
    </w:rPr>
  </w:style>
  <w:style w:type="character" w:styleId="BookTitle">
    <w:name w:val="Book Title"/>
    <w:basedOn w:val="DefaultParagraphFont"/>
    <w:uiPriority w:val="33"/>
    <w:semiHidden/>
    <w:qFormat/>
    <w:rsid w:val="00B53EF2"/>
    <w:rPr>
      <w:rFonts w:ascii="Calibri" w:hAnsi="Calibri"/>
      <w:b/>
      <w:bCs/>
      <w:smallCaps/>
      <w:spacing w:val="5"/>
    </w:rPr>
  </w:style>
  <w:style w:type="character" w:styleId="IntenseReference">
    <w:name w:val="Intense Reference"/>
    <w:basedOn w:val="DefaultParagraphFont"/>
    <w:uiPriority w:val="99"/>
    <w:semiHidden/>
    <w:qFormat/>
    <w:rsid w:val="00B53EF2"/>
    <w:rPr>
      <w:rFonts w:ascii="Calibri" w:hAnsi="Calibri"/>
      <w:b/>
      <w:bCs/>
      <w:smallCaps/>
      <w:color w:val="B84327"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B53EF2"/>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B53EF2"/>
    <w:rPr>
      <w:rFonts w:eastAsiaTheme="minorHAnsi"/>
      <w:b/>
      <w:bCs/>
      <w:i/>
      <w:iCs/>
      <w:color w:val="1F546B"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B53EF2"/>
    <w:pPr>
      <w:spacing w:before="40" w:after="40"/>
    </w:pPr>
    <w:rPr>
      <w:sz w:val="22"/>
    </w:rPr>
  </w:style>
  <w:style w:type="character" w:customStyle="1" w:styleId="Heading6Char">
    <w:name w:val="Heading 6 Char"/>
    <w:basedOn w:val="DefaultParagraphFont"/>
    <w:link w:val="Heading6"/>
    <w:uiPriority w:val="1"/>
    <w:semiHidden/>
    <w:rsid w:val="00B53EF2"/>
    <w:rPr>
      <w:rFonts w:eastAsiaTheme="minorHAnsi"/>
      <w:b/>
      <w:bCs/>
      <w:i/>
      <w:szCs w:val="22"/>
      <w:lang w:eastAsia="en-US"/>
    </w:rPr>
  </w:style>
  <w:style w:type="paragraph" w:customStyle="1" w:styleId="ListABClevel3">
    <w:name w:val="List A B C level 3"/>
    <w:basedOn w:val="Normal"/>
    <w:uiPriority w:val="1"/>
    <w:semiHidden/>
    <w:qFormat/>
    <w:rsid w:val="00B53EF2"/>
    <w:pPr>
      <w:numPr>
        <w:ilvl w:val="2"/>
        <w:numId w:val="22"/>
      </w:numPr>
      <w:spacing w:before="80" w:after="80"/>
    </w:pPr>
  </w:style>
  <w:style w:type="paragraph" w:customStyle="1" w:styleId="List123level2">
    <w:name w:val="List 1 2 3 level 2"/>
    <w:basedOn w:val="Normal"/>
    <w:uiPriority w:val="1"/>
    <w:semiHidden/>
    <w:qFormat/>
    <w:rsid w:val="00B53EF2"/>
    <w:pPr>
      <w:numPr>
        <w:ilvl w:val="1"/>
        <w:numId w:val="23"/>
      </w:numPr>
    </w:pPr>
  </w:style>
  <w:style w:type="paragraph" w:customStyle="1" w:styleId="List123level3">
    <w:name w:val="List 1 2 3 level 3"/>
    <w:basedOn w:val="Normal"/>
    <w:uiPriority w:val="1"/>
    <w:semiHidden/>
    <w:qFormat/>
    <w:rsid w:val="00B53EF2"/>
    <w:pPr>
      <w:numPr>
        <w:ilvl w:val="2"/>
        <w:numId w:val="23"/>
      </w:numPr>
    </w:pPr>
  </w:style>
  <w:style w:type="paragraph" w:customStyle="1" w:styleId="Legislationsection">
    <w:name w:val="Legislation section"/>
    <w:basedOn w:val="Normal"/>
    <w:semiHidden/>
    <w:qFormat/>
    <w:rsid w:val="00B53EF2"/>
    <w:pPr>
      <w:numPr>
        <w:numId w:val="25"/>
      </w:numPr>
      <w:tabs>
        <w:tab w:val="left" w:pos="567"/>
      </w:tabs>
      <w:spacing w:after="60"/>
    </w:pPr>
    <w:rPr>
      <w:b/>
      <w:sz w:val="22"/>
    </w:rPr>
  </w:style>
  <w:style w:type="paragraph" w:customStyle="1" w:styleId="Legislationnumber">
    <w:name w:val="Legislation number"/>
    <w:basedOn w:val="Normal"/>
    <w:semiHidden/>
    <w:qFormat/>
    <w:rsid w:val="00B53EF2"/>
    <w:pPr>
      <w:numPr>
        <w:numId w:val="24"/>
      </w:numPr>
      <w:tabs>
        <w:tab w:val="left" w:pos="567"/>
      </w:tabs>
      <w:spacing w:before="60" w:after="60"/>
    </w:pPr>
    <w:rPr>
      <w:sz w:val="22"/>
    </w:rPr>
  </w:style>
  <w:style w:type="paragraph" w:customStyle="1" w:styleId="Legislationa">
    <w:name w:val="Legislation (a)"/>
    <w:basedOn w:val="Normal"/>
    <w:semiHidden/>
    <w:qFormat/>
    <w:rsid w:val="00B53EF2"/>
    <w:pPr>
      <w:numPr>
        <w:ilvl w:val="2"/>
        <w:numId w:val="25"/>
      </w:numPr>
      <w:spacing w:before="60" w:after="60"/>
    </w:pPr>
    <w:rPr>
      <w:sz w:val="22"/>
    </w:rPr>
  </w:style>
  <w:style w:type="paragraph" w:customStyle="1" w:styleId="Legislationi">
    <w:name w:val="Legislation (i)"/>
    <w:basedOn w:val="Normal"/>
    <w:semiHidden/>
    <w:qFormat/>
    <w:rsid w:val="00B53EF2"/>
    <w:pPr>
      <w:numPr>
        <w:ilvl w:val="3"/>
        <w:numId w:val="25"/>
      </w:numPr>
      <w:spacing w:before="60" w:after="60"/>
    </w:pPr>
    <w:rPr>
      <w:sz w:val="22"/>
    </w:rPr>
  </w:style>
  <w:style w:type="paragraph" w:customStyle="1" w:styleId="Numberedparaindentonly">
    <w:name w:val="Numbered para indent only"/>
    <w:basedOn w:val="Normal"/>
    <w:qFormat/>
    <w:rsid w:val="00B53EF2"/>
    <w:pPr>
      <w:spacing w:after="120"/>
      <w:ind w:left="567"/>
    </w:pPr>
  </w:style>
  <w:style w:type="paragraph" w:customStyle="1" w:styleId="Numberedparaheading">
    <w:name w:val="Numbered para heading"/>
    <w:basedOn w:val="BodyText"/>
    <w:next w:val="Numberedpara1"/>
    <w:semiHidden/>
    <w:rsid w:val="008E7CCF"/>
    <w:pPr>
      <w:keepNext/>
    </w:pPr>
    <w:rPr>
      <w:b/>
      <w:sz w:val="28"/>
    </w:rPr>
  </w:style>
  <w:style w:type="paragraph" w:customStyle="1" w:styleId="Spacer">
    <w:name w:val="Spacer"/>
    <w:basedOn w:val="Normal"/>
    <w:qFormat/>
    <w:rsid w:val="00B53EF2"/>
    <w:pPr>
      <w:spacing w:before="0" w:after="0"/>
    </w:pPr>
  </w:style>
  <w:style w:type="paragraph" w:customStyle="1" w:styleId="Page">
    <w:name w:val="Page"/>
    <w:basedOn w:val="Spacer"/>
    <w:semiHidden/>
    <w:qFormat/>
    <w:rsid w:val="00B53EF2"/>
    <w:pPr>
      <w:jc w:val="right"/>
    </w:pPr>
    <w:rPr>
      <w:color w:val="000000" w:themeColor="text1"/>
    </w:rPr>
  </w:style>
  <w:style w:type="table" w:customStyle="1" w:styleId="Blanktable">
    <w:name w:val="Blank table"/>
    <w:basedOn w:val="TableNormal"/>
    <w:uiPriority w:val="99"/>
    <w:rsid w:val="000F4ADF"/>
    <w:pPr>
      <w:spacing w:before="0" w:after="0"/>
    </w:pPr>
    <w:tblPr>
      <w:tblInd w:w="108" w:type="dxa"/>
    </w:tblPr>
  </w:style>
  <w:style w:type="paragraph" w:customStyle="1" w:styleId="NumbersLevel1">
    <w:name w:val="Numbers Level 1"/>
    <w:basedOn w:val="BodyText"/>
    <w:semiHidden/>
    <w:rsid w:val="0029732D"/>
    <w:pPr>
      <w:tabs>
        <w:tab w:val="num" w:pos="709"/>
      </w:tabs>
      <w:spacing w:before="0" w:line="280" w:lineRule="atLeast"/>
      <w:ind w:left="709" w:hanging="709"/>
    </w:pPr>
    <w:rPr>
      <w:rFonts w:ascii="Arial" w:hAnsi="Arial"/>
      <w:sz w:val="22"/>
    </w:rPr>
  </w:style>
  <w:style w:type="paragraph" w:customStyle="1" w:styleId="NumbersLevel2">
    <w:name w:val="Numbers Level 2"/>
    <w:basedOn w:val="BodyText"/>
    <w:semiHidden/>
    <w:rsid w:val="0029732D"/>
    <w:pPr>
      <w:tabs>
        <w:tab w:val="num" w:pos="709"/>
      </w:tabs>
      <w:spacing w:before="0" w:line="280" w:lineRule="atLeast"/>
      <w:ind w:left="709" w:hanging="709"/>
    </w:pPr>
    <w:rPr>
      <w:rFonts w:ascii="Arial" w:hAnsi="Arial"/>
      <w:sz w:val="22"/>
    </w:rPr>
  </w:style>
  <w:style w:type="paragraph" w:customStyle="1" w:styleId="NumbersLevel3">
    <w:name w:val="Numbers Level 3"/>
    <w:basedOn w:val="BodyText"/>
    <w:semiHidden/>
    <w:rsid w:val="0029732D"/>
    <w:pPr>
      <w:tabs>
        <w:tab w:val="num" w:pos="1276"/>
      </w:tabs>
      <w:spacing w:before="0" w:line="280" w:lineRule="atLeast"/>
      <w:ind w:left="1276" w:hanging="567"/>
    </w:pPr>
    <w:rPr>
      <w:rFonts w:ascii="Arial" w:hAnsi="Arial"/>
      <w:sz w:val="22"/>
    </w:rPr>
  </w:style>
  <w:style w:type="paragraph" w:customStyle="1" w:styleId="NumbersLevel4">
    <w:name w:val="Numbers Level 4"/>
    <w:basedOn w:val="BodyText"/>
    <w:semiHidden/>
    <w:rsid w:val="0029732D"/>
    <w:pPr>
      <w:tabs>
        <w:tab w:val="num" w:pos="1843"/>
      </w:tabs>
      <w:spacing w:before="0" w:line="280" w:lineRule="atLeast"/>
      <w:ind w:left="1843" w:hanging="567"/>
    </w:pPr>
    <w:rPr>
      <w:rFonts w:ascii="Arial" w:hAnsi="Arial"/>
      <w:sz w:val="22"/>
    </w:rPr>
  </w:style>
  <w:style w:type="paragraph" w:customStyle="1" w:styleId="ListAlpha">
    <w:name w:val="List Alpha"/>
    <w:basedOn w:val="BodyText"/>
    <w:semiHidden/>
    <w:rsid w:val="0029732D"/>
    <w:pPr>
      <w:tabs>
        <w:tab w:val="num" w:pos="567"/>
      </w:tabs>
      <w:spacing w:before="0" w:line="280" w:lineRule="atLeast"/>
      <w:ind w:left="567" w:hanging="567"/>
    </w:pPr>
    <w:rPr>
      <w:rFonts w:ascii="Arial" w:hAnsi="Arial"/>
      <w:sz w:val="22"/>
    </w:rPr>
  </w:style>
  <w:style w:type="paragraph" w:customStyle="1" w:styleId="Tablemeetingdetailsheading">
    <w:name w:val="Table meeting details heading"/>
    <w:basedOn w:val="Tableheading"/>
    <w:semiHidden/>
    <w:rsid w:val="00F40C4E"/>
    <w:rPr>
      <w:rFonts w:cstheme="minorBidi"/>
      <w:sz w:val="24"/>
    </w:rPr>
  </w:style>
  <w:style w:type="paragraph" w:customStyle="1" w:styleId="Tablemeetingdetailsnormal">
    <w:name w:val="Table meeting details normal"/>
    <w:basedOn w:val="Tablenormal0"/>
    <w:semiHidden/>
    <w:qFormat/>
    <w:rsid w:val="00F40C4E"/>
    <w:rPr>
      <w:rFonts w:cstheme="minorBidi"/>
      <w:sz w:val="24"/>
    </w:rPr>
  </w:style>
  <w:style w:type="character" w:customStyle="1" w:styleId="TableheadingChar">
    <w:name w:val="Table heading Char"/>
    <w:basedOn w:val="DefaultParagraphFont"/>
    <w:link w:val="Tableheading"/>
    <w:rsid w:val="00F40C4E"/>
    <w:rPr>
      <w:rFonts w:eastAsiaTheme="minorHAnsi"/>
      <w:b/>
      <w:color w:val="FFFFFF" w:themeColor="background1"/>
      <w:sz w:val="22"/>
      <w:lang w:eastAsia="en-US"/>
    </w:rPr>
  </w:style>
  <w:style w:type="character" w:styleId="PlaceholderText">
    <w:name w:val="Placeholder Text"/>
    <w:basedOn w:val="DefaultParagraphFont"/>
    <w:uiPriority w:val="99"/>
    <w:semiHidden/>
    <w:rsid w:val="00472D6F"/>
    <w:rPr>
      <w:color w:val="B84327" w:themeColor="accent2"/>
    </w:rPr>
  </w:style>
  <w:style w:type="paragraph" w:customStyle="1" w:styleId="Numberedparasubheading">
    <w:name w:val="Numbered para sub heading"/>
    <w:basedOn w:val="Numberedparaheading"/>
    <w:next w:val="Numberedpara1"/>
    <w:semiHidden/>
    <w:rsid w:val="008E7CCF"/>
    <w:rPr>
      <w:i/>
      <w:sz w:val="24"/>
    </w:rPr>
  </w:style>
  <w:style w:type="paragraph" w:customStyle="1" w:styleId="Tinyline">
    <w:name w:val="Tiny line"/>
    <w:basedOn w:val="Normal"/>
    <w:qFormat/>
    <w:rsid w:val="00B53EF2"/>
    <w:pPr>
      <w:spacing w:before="0" w:after="0"/>
    </w:pPr>
    <w:rPr>
      <w:sz w:val="8"/>
    </w:rPr>
  </w:style>
  <w:style w:type="paragraph" w:customStyle="1" w:styleId="Numberedpara1heading">
    <w:name w:val="Numbered para 1 (heading)"/>
    <w:basedOn w:val="Normal"/>
    <w:semiHidden/>
    <w:qFormat/>
    <w:rsid w:val="00E47644"/>
    <w:rPr>
      <w:b/>
    </w:rPr>
  </w:style>
  <w:style w:type="paragraph" w:customStyle="1" w:styleId="Tablenormal12pt">
    <w:name w:val="Table normal 12pt"/>
    <w:basedOn w:val="Tablenormal0"/>
    <w:qFormat/>
    <w:rsid w:val="00B53EF2"/>
    <w:rPr>
      <w:sz w:val="24"/>
    </w:rPr>
  </w:style>
  <w:style w:type="paragraph" w:customStyle="1" w:styleId="Tableheading12pt">
    <w:name w:val="Table heading 12pt"/>
    <w:basedOn w:val="Tableheading"/>
    <w:qFormat/>
    <w:rsid w:val="00B53EF2"/>
    <w:rPr>
      <w:sz w:val="24"/>
    </w:rPr>
  </w:style>
  <w:style w:type="paragraph" w:customStyle="1" w:styleId="Documentationpageheading">
    <w:name w:val="Documentation page heading"/>
    <w:basedOn w:val="Normal"/>
    <w:semiHidden/>
    <w:qFormat/>
    <w:rsid w:val="00B53EF2"/>
    <w:pPr>
      <w:spacing w:after="0"/>
    </w:pPr>
    <w:rPr>
      <w:b/>
      <w:color w:val="1F546B" w:themeColor="text2"/>
      <w:sz w:val="36"/>
    </w:rPr>
  </w:style>
  <w:style w:type="paragraph" w:customStyle="1" w:styleId="Documentationpagesubheading">
    <w:name w:val="Documentation page subheading"/>
    <w:basedOn w:val="Documentationpageheading"/>
    <w:semiHidden/>
    <w:qFormat/>
    <w:rsid w:val="00B53EF2"/>
    <w:rPr>
      <w:sz w:val="28"/>
    </w:rPr>
  </w:style>
  <w:style w:type="paragraph" w:customStyle="1" w:styleId="Documentationpagetable">
    <w:name w:val="Documentation page table"/>
    <w:basedOn w:val="Normal"/>
    <w:semiHidden/>
    <w:qFormat/>
    <w:rsid w:val="00B53EF2"/>
    <w:pPr>
      <w:spacing w:before="44" w:after="24"/>
    </w:pPr>
    <w:rPr>
      <w:rFonts w:cstheme="minorBidi"/>
      <w:sz w:val="20"/>
    </w:rPr>
  </w:style>
  <w:style w:type="paragraph" w:customStyle="1" w:styleId="Documentationpagetableheading">
    <w:name w:val="Documentation page table heading"/>
    <w:basedOn w:val="Normal"/>
    <w:semiHidden/>
    <w:qFormat/>
    <w:rsid w:val="00B53EF2"/>
    <w:pPr>
      <w:spacing w:before="40" w:after="40"/>
    </w:pPr>
    <w:rPr>
      <w:rFonts w:cstheme="minorBidi"/>
      <w:b/>
      <w:color w:val="FFFFFF" w:themeColor="background1"/>
      <w:sz w:val="20"/>
    </w:rPr>
  </w:style>
  <w:style w:type="paragraph" w:customStyle="1" w:styleId="Numberedparasubheading0">
    <w:name w:val="Numbered para subheading"/>
    <w:basedOn w:val="Normal"/>
    <w:next w:val="Numberedpara2"/>
    <w:semiHidden/>
    <w:rsid w:val="00E47644"/>
    <w:rPr>
      <w:b/>
      <w:i/>
    </w:rPr>
  </w:style>
  <w:style w:type="paragraph" w:customStyle="1" w:styleId="Numberedpara2subheading">
    <w:name w:val="Numbered para (2) subheading"/>
    <w:basedOn w:val="Normal"/>
    <w:next w:val="Normal"/>
    <w:qFormat/>
    <w:rsid w:val="00B53EF2"/>
    <w:pPr>
      <w:spacing w:before="240" w:after="120"/>
    </w:pPr>
    <w:rPr>
      <w:b/>
      <w:i/>
    </w:rPr>
  </w:style>
  <w:style w:type="paragraph" w:customStyle="1" w:styleId="Numberedpara2level1">
    <w:name w:val="Numbered para (2) level 1"/>
    <w:basedOn w:val="Normal"/>
    <w:qFormat/>
    <w:rsid w:val="00B53EF2"/>
    <w:pPr>
      <w:numPr>
        <w:numId w:val="26"/>
      </w:numPr>
      <w:spacing w:after="120"/>
    </w:pPr>
  </w:style>
  <w:style w:type="paragraph" w:customStyle="1" w:styleId="Numberedpara2level2a">
    <w:name w:val="Numbered para (2) level 2 (a)"/>
    <w:basedOn w:val="Normal"/>
    <w:qFormat/>
    <w:rsid w:val="00B53EF2"/>
    <w:pPr>
      <w:numPr>
        <w:ilvl w:val="1"/>
        <w:numId w:val="26"/>
      </w:numPr>
      <w:spacing w:after="120"/>
    </w:pPr>
  </w:style>
  <w:style w:type="paragraph" w:customStyle="1" w:styleId="Numberedpara2level3i">
    <w:name w:val="Numbered para (2) level 3 (i)"/>
    <w:basedOn w:val="Normal"/>
    <w:qFormat/>
    <w:rsid w:val="00B53EF2"/>
    <w:pPr>
      <w:numPr>
        <w:ilvl w:val="2"/>
        <w:numId w:val="26"/>
      </w:numPr>
      <w:spacing w:after="120"/>
    </w:pPr>
  </w:style>
  <w:style w:type="paragraph" w:customStyle="1" w:styleId="Title2">
    <w:name w:val="Title 2"/>
    <w:basedOn w:val="Title"/>
    <w:semiHidden/>
    <w:qFormat/>
    <w:rsid w:val="00B53EF2"/>
    <w:rPr>
      <w:sz w:val="52"/>
    </w:rPr>
  </w:style>
  <w:style w:type="paragraph" w:customStyle="1" w:styleId="Numberedpara2heading">
    <w:name w:val="Numbered para (2) heading"/>
    <w:basedOn w:val="Normal"/>
    <w:qFormat/>
    <w:rsid w:val="00B53EF2"/>
    <w:pPr>
      <w:spacing w:before="240" w:after="120"/>
    </w:pPr>
    <w:rPr>
      <w:b/>
      <w:sz w:val="28"/>
    </w:rPr>
  </w:style>
  <w:style w:type="character" w:customStyle="1" w:styleId="Footersecurityclassification">
    <w:name w:val="Footer security classification"/>
    <w:basedOn w:val="DefaultParagraphFont"/>
    <w:uiPriority w:val="1"/>
    <w:semiHidden/>
    <w:qFormat/>
    <w:rsid w:val="00B53EF2"/>
    <w:rPr>
      <w:b/>
      <w:i/>
      <w:caps/>
      <w:smallCaps w:val="0"/>
      <w:sz w:val="22"/>
    </w:rPr>
  </w:style>
  <w:style w:type="paragraph" w:customStyle="1" w:styleId="Numberedpara11headingwithnumber">
    <w:name w:val="Numbered para (1) 1 (heading with number)"/>
    <w:basedOn w:val="Normal"/>
    <w:semiHidden/>
    <w:qFormat/>
    <w:rsid w:val="00B53EF2"/>
    <w:pPr>
      <w:numPr>
        <w:numId w:val="27"/>
      </w:numPr>
      <w:spacing w:before="240" w:after="120"/>
    </w:pPr>
    <w:rPr>
      <w:b/>
      <w:sz w:val="28"/>
    </w:rPr>
  </w:style>
  <w:style w:type="paragraph" w:customStyle="1" w:styleId="Crossreference">
    <w:name w:val="Cross reference"/>
    <w:basedOn w:val="Normal"/>
    <w:link w:val="CrossreferenceChar"/>
    <w:semiHidden/>
    <w:qFormat/>
    <w:rsid w:val="00B53EF2"/>
    <w:rPr>
      <w:i/>
      <w:color w:val="1F546B" w:themeColor="text2"/>
      <w:u w:val="single"/>
    </w:rPr>
  </w:style>
  <w:style w:type="character" w:customStyle="1" w:styleId="CrossreferenceChar">
    <w:name w:val="Cross reference Char"/>
    <w:basedOn w:val="DefaultParagraphFont"/>
    <w:link w:val="Crossreference"/>
    <w:semiHidden/>
    <w:rsid w:val="002562AE"/>
    <w:rPr>
      <w:rFonts w:eastAsiaTheme="minorHAnsi"/>
      <w:i/>
      <w:color w:val="1F546B" w:themeColor="text2"/>
      <w:u w:val="single"/>
      <w:lang w:eastAsia="en-US"/>
    </w:rPr>
  </w:style>
  <w:style w:type="character" w:customStyle="1" w:styleId="Crossreferences">
    <w:name w:val="Cross references"/>
    <w:basedOn w:val="DefaultParagraphFont"/>
    <w:uiPriority w:val="1"/>
    <w:qFormat/>
    <w:rsid w:val="002562AE"/>
    <w:rPr>
      <w:i/>
      <w:color w:val="1F546B" w:themeColor="text2"/>
      <w:u w:val="single"/>
    </w:rPr>
  </w:style>
  <w:style w:type="paragraph" w:styleId="CommentText">
    <w:name w:val="annotation text"/>
    <w:basedOn w:val="Normal"/>
    <w:link w:val="CommentTextChar"/>
    <w:uiPriority w:val="99"/>
    <w:unhideWhenUsed/>
    <w:rsid w:val="004C2347"/>
    <w:rPr>
      <w:sz w:val="20"/>
      <w:szCs w:val="20"/>
    </w:rPr>
  </w:style>
  <w:style w:type="character" w:customStyle="1" w:styleId="CommentTextChar">
    <w:name w:val="Comment Text Char"/>
    <w:basedOn w:val="DefaultParagraphFont"/>
    <w:link w:val="CommentText"/>
    <w:uiPriority w:val="99"/>
    <w:rsid w:val="004C23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C2347"/>
    <w:rPr>
      <w:b/>
      <w:bCs/>
    </w:rPr>
  </w:style>
  <w:style w:type="character" w:customStyle="1" w:styleId="CommentSubjectChar">
    <w:name w:val="Comment Subject Char"/>
    <w:basedOn w:val="CommentTextChar"/>
    <w:link w:val="CommentSubject"/>
    <w:uiPriority w:val="99"/>
    <w:semiHidden/>
    <w:rsid w:val="004C2347"/>
    <w:rPr>
      <w:rFonts w:eastAsiaTheme="minorHAnsi"/>
      <w:b/>
      <w:bCs/>
      <w:sz w:val="20"/>
      <w:szCs w:val="20"/>
      <w:lang w:eastAsia="en-US"/>
    </w:rPr>
  </w:style>
  <w:style w:type="paragraph" w:styleId="TOCHeading">
    <w:name w:val="TOC Heading"/>
    <w:basedOn w:val="Heading1"/>
    <w:next w:val="Normal"/>
    <w:uiPriority w:val="39"/>
    <w:unhideWhenUsed/>
    <w:qFormat/>
    <w:rsid w:val="00E16345"/>
    <w:pPr>
      <w:keepLines/>
      <w:spacing w:before="240" w:after="0" w:line="259" w:lineRule="auto"/>
      <w:contextualSpacing w:val="0"/>
      <w:outlineLvl w:val="9"/>
    </w:pPr>
    <w:rPr>
      <w:rFonts w:asciiTheme="majorHAnsi" w:eastAsiaTheme="majorEastAsia" w:hAnsiTheme="majorHAnsi" w:cstheme="majorBidi"/>
      <w:b w:val="0"/>
      <w:bCs w:val="0"/>
      <w:color w:val="42A9B3" w:themeColor="accent1" w:themeShade="BF"/>
      <w:kern w:val="0"/>
      <w:sz w:val="32"/>
      <w:lang w:val="en-US"/>
    </w:rPr>
  </w:style>
  <w:style w:type="table" w:styleId="PlainTable3">
    <w:name w:val="Plain Table 3"/>
    <w:basedOn w:val="TableNormal"/>
    <w:uiPriority w:val="43"/>
    <w:rsid w:val="00354EF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6">
    <w:name w:val="Grid Table 5 Dark Accent 6"/>
    <w:basedOn w:val="TableNormal"/>
    <w:uiPriority w:val="50"/>
    <w:rsid w:val="000D5B8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B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94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94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94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949B" w:themeFill="accent6"/>
      </w:tcPr>
    </w:tblStylePr>
    <w:tblStylePr w:type="band1Vert">
      <w:tblPr/>
      <w:tcPr>
        <w:shd w:val="clear" w:color="auto" w:fill="B1D7DB" w:themeFill="accent6" w:themeFillTint="66"/>
      </w:tcPr>
    </w:tblStylePr>
    <w:tblStylePr w:type="band1Horz">
      <w:tblPr/>
      <w:tcPr>
        <w:shd w:val="clear" w:color="auto" w:fill="B1D7DB" w:themeFill="accent6" w:themeFillTint="66"/>
      </w:tcPr>
    </w:tblStylePr>
  </w:style>
  <w:style w:type="character" w:styleId="UnresolvedMention">
    <w:name w:val="Unresolved Mention"/>
    <w:basedOn w:val="DefaultParagraphFont"/>
    <w:uiPriority w:val="99"/>
    <w:semiHidden/>
    <w:unhideWhenUsed/>
    <w:rsid w:val="00316CB7"/>
    <w:rPr>
      <w:color w:val="605E5C"/>
      <w:shd w:val="clear" w:color="auto" w:fill="E1DFDD"/>
    </w:rPr>
  </w:style>
  <w:style w:type="paragraph" w:styleId="Revision">
    <w:name w:val="Revision"/>
    <w:hidden/>
    <w:uiPriority w:val="99"/>
    <w:semiHidden/>
    <w:rsid w:val="00ED23EB"/>
    <w:pPr>
      <w:spacing w:before="0" w:after="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9219">
      <w:bodyDiv w:val="1"/>
      <w:marLeft w:val="0"/>
      <w:marRight w:val="0"/>
      <w:marTop w:val="0"/>
      <w:marBottom w:val="0"/>
      <w:divBdr>
        <w:top w:val="none" w:sz="0" w:space="0" w:color="auto"/>
        <w:left w:val="none" w:sz="0" w:space="0" w:color="auto"/>
        <w:bottom w:val="none" w:sz="0" w:space="0" w:color="auto"/>
        <w:right w:val="none" w:sz="0" w:space="0" w:color="auto"/>
      </w:divBdr>
    </w:div>
    <w:div w:id="309478124">
      <w:bodyDiv w:val="1"/>
      <w:marLeft w:val="0"/>
      <w:marRight w:val="0"/>
      <w:marTop w:val="0"/>
      <w:marBottom w:val="0"/>
      <w:divBdr>
        <w:top w:val="none" w:sz="0" w:space="0" w:color="auto"/>
        <w:left w:val="none" w:sz="0" w:space="0" w:color="auto"/>
        <w:bottom w:val="none" w:sz="0" w:space="0" w:color="auto"/>
        <w:right w:val="none" w:sz="0" w:space="0" w:color="auto"/>
      </w:divBdr>
    </w:div>
    <w:div w:id="465469325">
      <w:bodyDiv w:val="1"/>
      <w:marLeft w:val="0"/>
      <w:marRight w:val="0"/>
      <w:marTop w:val="0"/>
      <w:marBottom w:val="0"/>
      <w:divBdr>
        <w:top w:val="none" w:sz="0" w:space="0" w:color="auto"/>
        <w:left w:val="none" w:sz="0" w:space="0" w:color="auto"/>
        <w:bottom w:val="none" w:sz="0" w:space="0" w:color="auto"/>
        <w:right w:val="none" w:sz="0" w:space="0" w:color="auto"/>
      </w:divBdr>
    </w:div>
    <w:div w:id="610743837">
      <w:bodyDiv w:val="1"/>
      <w:marLeft w:val="0"/>
      <w:marRight w:val="0"/>
      <w:marTop w:val="0"/>
      <w:marBottom w:val="0"/>
      <w:divBdr>
        <w:top w:val="none" w:sz="0" w:space="0" w:color="auto"/>
        <w:left w:val="none" w:sz="0" w:space="0" w:color="auto"/>
        <w:bottom w:val="none" w:sz="0" w:space="0" w:color="auto"/>
        <w:right w:val="none" w:sz="0" w:space="0" w:color="auto"/>
      </w:divBdr>
    </w:div>
    <w:div w:id="717239507">
      <w:bodyDiv w:val="1"/>
      <w:marLeft w:val="0"/>
      <w:marRight w:val="0"/>
      <w:marTop w:val="0"/>
      <w:marBottom w:val="0"/>
      <w:divBdr>
        <w:top w:val="none" w:sz="0" w:space="0" w:color="auto"/>
        <w:left w:val="none" w:sz="0" w:space="0" w:color="auto"/>
        <w:bottom w:val="none" w:sz="0" w:space="0" w:color="auto"/>
        <w:right w:val="none" w:sz="0" w:space="0" w:color="auto"/>
      </w:divBdr>
    </w:div>
    <w:div w:id="877737281">
      <w:bodyDiv w:val="1"/>
      <w:marLeft w:val="0"/>
      <w:marRight w:val="0"/>
      <w:marTop w:val="0"/>
      <w:marBottom w:val="0"/>
      <w:divBdr>
        <w:top w:val="none" w:sz="0" w:space="0" w:color="auto"/>
        <w:left w:val="none" w:sz="0" w:space="0" w:color="auto"/>
        <w:bottom w:val="none" w:sz="0" w:space="0" w:color="auto"/>
        <w:right w:val="none" w:sz="0" w:space="0" w:color="auto"/>
      </w:divBdr>
    </w:div>
    <w:div w:id="984503678">
      <w:bodyDiv w:val="1"/>
      <w:marLeft w:val="0"/>
      <w:marRight w:val="0"/>
      <w:marTop w:val="0"/>
      <w:marBottom w:val="0"/>
      <w:divBdr>
        <w:top w:val="none" w:sz="0" w:space="0" w:color="auto"/>
        <w:left w:val="none" w:sz="0" w:space="0" w:color="auto"/>
        <w:bottom w:val="none" w:sz="0" w:space="0" w:color="auto"/>
        <w:right w:val="none" w:sz="0" w:space="0" w:color="auto"/>
      </w:divBdr>
    </w:div>
    <w:div w:id="1109662530">
      <w:bodyDiv w:val="1"/>
      <w:marLeft w:val="0"/>
      <w:marRight w:val="0"/>
      <w:marTop w:val="0"/>
      <w:marBottom w:val="0"/>
      <w:divBdr>
        <w:top w:val="none" w:sz="0" w:space="0" w:color="auto"/>
        <w:left w:val="none" w:sz="0" w:space="0" w:color="auto"/>
        <w:bottom w:val="none" w:sz="0" w:space="0" w:color="auto"/>
        <w:right w:val="none" w:sz="0" w:space="0" w:color="auto"/>
      </w:divBdr>
    </w:div>
    <w:div w:id="1188062236">
      <w:bodyDiv w:val="1"/>
      <w:marLeft w:val="0"/>
      <w:marRight w:val="0"/>
      <w:marTop w:val="0"/>
      <w:marBottom w:val="0"/>
      <w:divBdr>
        <w:top w:val="none" w:sz="0" w:space="0" w:color="auto"/>
        <w:left w:val="none" w:sz="0" w:space="0" w:color="auto"/>
        <w:bottom w:val="none" w:sz="0" w:space="0" w:color="auto"/>
        <w:right w:val="none" w:sz="0" w:space="0" w:color="auto"/>
      </w:divBdr>
    </w:div>
    <w:div w:id="1285697603">
      <w:bodyDiv w:val="1"/>
      <w:marLeft w:val="0"/>
      <w:marRight w:val="0"/>
      <w:marTop w:val="0"/>
      <w:marBottom w:val="0"/>
      <w:divBdr>
        <w:top w:val="none" w:sz="0" w:space="0" w:color="auto"/>
        <w:left w:val="none" w:sz="0" w:space="0" w:color="auto"/>
        <w:bottom w:val="none" w:sz="0" w:space="0" w:color="auto"/>
        <w:right w:val="none" w:sz="0" w:space="0" w:color="auto"/>
      </w:divBdr>
    </w:div>
    <w:div w:id="1383484836">
      <w:bodyDiv w:val="1"/>
      <w:marLeft w:val="0"/>
      <w:marRight w:val="0"/>
      <w:marTop w:val="0"/>
      <w:marBottom w:val="0"/>
      <w:divBdr>
        <w:top w:val="none" w:sz="0" w:space="0" w:color="auto"/>
        <w:left w:val="none" w:sz="0" w:space="0" w:color="auto"/>
        <w:bottom w:val="none" w:sz="0" w:space="0" w:color="auto"/>
        <w:right w:val="none" w:sz="0" w:space="0" w:color="auto"/>
      </w:divBdr>
    </w:div>
    <w:div w:id="1528451215">
      <w:bodyDiv w:val="1"/>
      <w:marLeft w:val="0"/>
      <w:marRight w:val="0"/>
      <w:marTop w:val="0"/>
      <w:marBottom w:val="0"/>
      <w:divBdr>
        <w:top w:val="none" w:sz="0" w:space="0" w:color="auto"/>
        <w:left w:val="none" w:sz="0" w:space="0" w:color="auto"/>
        <w:bottom w:val="none" w:sz="0" w:space="0" w:color="auto"/>
        <w:right w:val="none" w:sz="0" w:space="0" w:color="auto"/>
      </w:divBdr>
    </w:div>
    <w:div w:id="1593975899">
      <w:bodyDiv w:val="1"/>
      <w:marLeft w:val="0"/>
      <w:marRight w:val="0"/>
      <w:marTop w:val="0"/>
      <w:marBottom w:val="0"/>
      <w:divBdr>
        <w:top w:val="none" w:sz="0" w:space="0" w:color="auto"/>
        <w:left w:val="none" w:sz="0" w:space="0" w:color="auto"/>
        <w:bottom w:val="none" w:sz="0" w:space="0" w:color="auto"/>
        <w:right w:val="none" w:sz="0" w:space="0" w:color="auto"/>
      </w:divBdr>
    </w:div>
    <w:div w:id="17705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plaints@dia.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azurediagovt.sharepoint.com/:w:/r/sites/ECMS-LGL/InternalPolicyandProcedureDevelopment/Prosecutions%20policy/2025-06-04%20Prosecution%20policy.docx?d=wca29b67f5c2646d8b78d404514e4da9d&amp;e=4%3ab17bb3bbb7fb4b2d82c28661d228db8b&amp;sharingv2=true&amp;fromShare=true&amp;at=9&amp;xsdata=MDV8MDJ8VGFuaWEuTmVkZWxjaGV2YS1QZWFyc29uQGRpYS5nb3Z0Lm56fDdkMWUxZjZiNGNkYjRjNjQxMmYzMDhkZTc0Y2M5MDhkfGY2NTljYTVjZmM0NzRlOTZiMjRkMTRjOTVkZjEzYWNifDB8MHw2MzkwNzY2MTkxMDgwMTU5MzF8VW5rbm93bnxUV0ZwYkdac2IzZDhleUpGYlhCMGVVMWhjR2tpT25SeWRXVXNJbFlpT2lJd0xqQXVNREF3TUNJc0lsQWlPaUpYYVc0ek1pSXNJa0ZPSWpvaVRXRnBiQ0lzSWxkVUlqb3lmUT09fDB8fHw%3d&amp;sdata=Z01VbUN0MzIvUlBRYlJ0L2ZiMWtqZjNKWndGRzJyZ2dKL1lZa3dvWUF4TT0%3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B84327"/>
      </a:accent2>
      <a:accent3>
        <a:srgbClr val="C68D2C"/>
      </a:accent3>
      <a:accent4>
        <a:srgbClr val="63913D"/>
      </a:accent4>
      <a:accent5>
        <a:srgbClr val="563774"/>
      </a:accent5>
      <a:accent6>
        <a:srgbClr val="48949B"/>
      </a:accent6>
      <a:hlink>
        <a:srgbClr val="52879E"/>
      </a:hlink>
      <a:folHlink>
        <a:srgbClr val="F99D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eeting Document" ma:contentTypeID="0x0101002E6B9CE7C52D54428DB8F4EC91546FF5540091995A36DC596D418D9FBF6483E29670" ma:contentTypeVersion="22" ma:contentTypeDescription="Meeting Document Content Type" ma:contentTypeScope="" ma:versionID="c27483ba9145d4d238261dca60688f0a">
  <xsd:schema xmlns:xsd="http://www.w3.org/2001/XMLSchema" xmlns:xs="http://www.w3.org/2001/XMLSchema" xmlns:p="http://schemas.microsoft.com/office/2006/metadata/properties" xmlns:ns2="266a8540-46a1-4e02-bdeb-e643ab4d4fdd" xmlns:ns3="5750afb1-007a-481a-96df-a71c539b9a3e" xmlns:ns4="c94bbadc-bdd2-403b-b7b1-c80e7f5f120c" targetNamespace="http://schemas.microsoft.com/office/2006/metadata/properties" ma:root="true" ma:fieldsID="9281b271bc1b9545104353f2d9a1e62c" ns2:_="" ns3:_="" ns4:_="">
    <xsd:import namespace="266a8540-46a1-4e02-bdeb-e643ab4d4fdd"/>
    <xsd:import namespace="5750afb1-007a-481a-96df-a71c539b9a3e"/>
    <xsd:import namespace="c94bbadc-bdd2-403b-b7b1-c80e7f5f120c"/>
    <xsd:element name="properties">
      <xsd:complexType>
        <xsd:sequence>
          <xsd:element name="documentManagement">
            <xsd:complexType>
              <xsd:all>
                <xsd:element ref="ns3:TaxCatchAll" minOccurs="0"/>
                <xsd:element ref="ns2:C3DateOfMeeting" minOccurs="0"/>
                <xsd:element ref="ns2:DIANotes" minOccurs="0"/>
                <xsd:element ref="ns2:DIAPolicyProcedureProcessName" minOccurs="0"/>
                <xsd:element ref="ns2:C3TopicNote" minOccurs="0"/>
                <xsd:element ref="ns3:TaxKeywordTaxHTField" minOccurs="0"/>
                <xsd:element ref="ns3:TaxCatchAllLabel" minOccurs="0"/>
                <xsd:element ref="ns2:of009451d8bf4a9bb40f02762826c835" minOccurs="0"/>
                <xsd:element ref="ns2:gd335bb59f234ebd82c0e5693e75aad5"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8540-46a1-4e02-bdeb-e643ab4d4fdd" elementFormDefault="qualified">
    <xsd:import namespace="http://schemas.microsoft.com/office/2006/documentManagement/types"/>
    <xsd:import namespace="http://schemas.microsoft.com/office/infopath/2007/PartnerControls"/>
    <xsd:element name="C3DateOfMeeting" ma:index="11" nillable="true" ma:displayName="Date Of Meeting" ma:format="DateOnly" ma:internalName="C3DateOfMeeting" ma:readOnly="false">
      <xsd:simpleType>
        <xsd:restriction base="dms:DateTime"/>
      </xsd:simpleType>
    </xsd:element>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olicyProcedureProcessName" ma:index="15" nillable="true" ma:displayName="Policy Procedure Process Name" ma:description="Use to indicate the name of the policy, procedure or process to which the content relates" ma:internalName="DIAPolicyProcedureProcessName" ma:readOnly="false">
      <xsd:simpleType>
        <xsd:restriction base="dms:Text"/>
      </xsd:simpleType>
    </xsd:element>
    <xsd:element name="C3TopicNote" ma:index="16" nillable="true" ma:taxonomy="true" ma:internalName="C3TopicNote" ma:taxonomyFieldName="C3Topic" ma:displayName="Topic" ma:indexed="true" ma:readOnly="false" ma:fieldId="{6a3fe89f-a6dd-4490-a9c1-3ef38d67b8c7}" ma:sspId="220cfdc9-10b9-451b-a41a-57414fe47a11" ma:termSetId="2fb0573f-7a4d-4efc-a626-3eef81a8baf3" ma:anchorId="66ea852f-5803-49d7-a486-79f65d479fc2" ma:open="true" ma:isKeyword="false">
      <xsd:complexType>
        <xsd:sequence>
          <xsd:element ref="pc:Terms" minOccurs="0" maxOccurs="1"/>
        </xsd:sequence>
      </xsd:complexType>
    </xsd:element>
    <xsd:element name="of009451d8bf4a9bb40f02762826c835" ma:index="19" ma:taxonomy="true" ma:internalName="of009451d8bf4a9bb40f02762826c835" ma:taxonomyFieldName="DIASecurityClassification" ma:displayName="Security Classification" ma:readOnly="false" ma:default="-1;#UNCLASSIFIED|2c10f15e-4fe4-4bec-ae91-1116436da94b" ma:fieldId="{8f009451-d8bf-4a9b-b40f-02762826c835}"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gd335bb59f234ebd82c0e5693e75aad5" ma:index="20" nillable="true" ma:taxonomy="true" ma:internalName="gd335bb59f234ebd82c0e5693e75aad5" ma:taxonomyFieldName="DIAMeetingDocumentType" ma:displayName="Meeting Document Type" ma:readOnly="false" ma:fieldId="{0d335bb5-9f23-4ebd-82c0-e5693e75aad5}" ma:sspId="220cfdc9-10b9-451b-a41a-57414fe47a11" ma:termSetId="0d041afb-87db-434b-b501-3a332a44338a"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da59e87-06d8-492c-b274-9dd28492de6e}" ma:internalName="TaxCatchAll" ma:readOnly="false" ma:showField="CatchAllData" ma:web="266a8540-46a1-4e02-bdeb-e643ab4d4fdd">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8" nillable="true" ma:displayName="Taxonomy Catch All Column1" ma:hidden="true" ma:list="{3da59e87-06d8-492c-b274-9dd28492de6e}" ma:internalName="TaxCatchAllLabel" ma:readOnly="true" ma:showField="CatchAllDataLabel" ma:web="266a8540-46a1-4e02-bdeb-e643ab4d4f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4bbadc-bdd2-403b-b7b1-c80e7f5f120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APolicyProcedureProcessName xmlns="266a8540-46a1-4e02-bdeb-e643ab4d4fdd" xsi:nil="true"/>
    <TaxKeywordTaxHTField xmlns="5750afb1-007a-481a-96df-a71c539b9a3e">
      <Terms xmlns="http://schemas.microsoft.com/office/infopath/2007/PartnerControls"/>
    </TaxKeywordTaxHTField>
    <of009451d8bf4a9bb40f02762826c835 xmlns="266a8540-46a1-4e02-bdeb-e643ab4d4fd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of009451d8bf4a9bb40f02762826c835>
    <C3DateOfMeeting xmlns="266a8540-46a1-4e02-bdeb-e643ab4d4fdd" xsi:nil="true"/>
    <TaxCatchAll xmlns="5750afb1-007a-481a-96df-a71c539b9a3e">
      <Value>2</Value>
      <Value>3</Value>
    </TaxCatchAll>
    <DIANotes xmlns="266a8540-46a1-4e02-bdeb-e643ab4d4fdd" xsi:nil="true"/>
    <C3TopicNote xmlns="266a8540-46a1-4e02-bdeb-e643ab4d4fdd">
      <Terms xmlns="http://schemas.microsoft.com/office/infopath/2007/PartnerControls"/>
    </C3TopicNote>
    <gd335bb59f234ebd82c0e5693e75aad5 xmlns="266a8540-46a1-4e02-bdeb-e643ab4d4fdd">
      <Terms xmlns="http://schemas.microsoft.com/office/infopath/2007/PartnerControls"/>
    </gd335bb59f234ebd82c0e5693e75aad5>
    <_dlc_DocId xmlns="266a8540-46a1-4e02-bdeb-e643ab4d4fdd">VEJR4DF2P2HH-1128903940-65</_dlc_DocId>
    <_dlc_DocIdUrl xmlns="266a8540-46a1-4e02-bdeb-e643ab4d4fdd">
      <Url>https://azurediagovt.sharepoint.com/sites/ECMS-LGL/_layouts/15/DocIdRedir.aspx?ID=VEJR4DF2P2HH-1128903940-65</Url>
      <Description>VEJR4DF2P2HH-1128903940-65</Description>
    </_dlc_DocIdUrl>
    <i0f84bba906045b4af568ee102a52dcb xmlns="266a8540-46a1-4e02-bdeb-e643ab4d4fdd">
      <Terms xmlns="http://schemas.microsoft.com/office/infopath/2007/PartnerControls"/>
    </i0f84bba906045b4af568ee102a52dcb>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8581E2BB-1BAF-4321-87FC-866A86F43805}">
  <ds:schemaRefs>
    <ds:schemaRef ds:uri="http://schemas.microsoft.com/sharepoint/events"/>
  </ds:schemaRefs>
</ds:datastoreItem>
</file>

<file path=customXml/itemProps2.xml><?xml version="1.0" encoding="utf-8"?>
<ds:datastoreItem xmlns:ds="http://schemas.openxmlformats.org/officeDocument/2006/customXml" ds:itemID="{4648261C-453C-46A8-9EA5-FCAE2B6D9CED}">
  <ds:schemaRefs>
    <ds:schemaRef ds:uri="http://schemas.openxmlformats.org/officeDocument/2006/bibliography"/>
  </ds:schemaRefs>
</ds:datastoreItem>
</file>

<file path=customXml/itemProps3.xml><?xml version="1.0" encoding="utf-8"?>
<ds:datastoreItem xmlns:ds="http://schemas.openxmlformats.org/officeDocument/2006/customXml" ds:itemID="{A6BB80EE-0EF2-48A1-A857-982E5D47A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8540-46a1-4e02-bdeb-e643ab4d4fdd"/>
    <ds:schemaRef ds:uri="5750afb1-007a-481a-96df-a71c539b9a3e"/>
    <ds:schemaRef ds:uri="c94bbadc-bdd2-403b-b7b1-c80e7f5f1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9FBCE-DFB7-4425-AF5A-55A9E44B8469}">
  <ds:schemaRefs>
    <ds:schemaRef ds:uri="http://schemas.microsoft.com/office/2006/metadata/properties"/>
    <ds:schemaRef ds:uri="http://schemas.microsoft.com/office/infopath/2007/PartnerControls"/>
    <ds:schemaRef ds:uri="266a8540-46a1-4e02-bdeb-e643ab4d4fdd"/>
    <ds:schemaRef ds:uri="5750afb1-007a-481a-96df-a71c539b9a3e"/>
  </ds:schemaRefs>
</ds:datastoreItem>
</file>

<file path=customXml/itemProps5.xml><?xml version="1.0" encoding="utf-8"?>
<ds:datastoreItem xmlns:ds="http://schemas.openxmlformats.org/officeDocument/2006/customXml" ds:itemID="{7D04E4C4-A7BF-4AB2-B09F-0DC57D7A9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4302</Words>
  <Characters>24866</Characters>
  <Application>Microsoft Office Word</Application>
  <DocSecurity>0</DocSecurity>
  <Lines>469</Lines>
  <Paragraphs>217</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O'Connor</dc:creator>
  <cp:keywords/>
  <dc:description/>
  <cp:lastModifiedBy>Tim Bollinger</cp:lastModifiedBy>
  <cp:revision>2</cp:revision>
  <cp:lastPrinted>2026-03-17T08:36:00Z</cp:lastPrinted>
  <dcterms:created xsi:type="dcterms:W3CDTF">2026-04-01T01:58:00Z</dcterms:created>
  <dcterms:modified xsi:type="dcterms:W3CDTF">2026-04-01T01:58:00Z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0x0101002E6B9CE7C52D54428DB8F4EC91546FF5540091995A36DC596D418D9FBF6483E29670</vt:lpwstr>
  </property>
  <property fmtid="{D5CDD505-2E9C-101B-9397-08002B2CF9AE}" pid="3" name="a019f27d5c624bd0a01e6bf5859451e7">
    <vt:lpwstr>Correspondence|dcd6b05f-dc80-4336-b228-09aebf3d212c</vt:lpwstr>
  </property>
  <property fmtid="{D5CDD505-2E9C-101B-9397-08002B2CF9AE}" pid="4" name="DIASecurityClassification">
    <vt:lpwstr>2;#UNCLASSIFIED|2c10f15e-4fe4-4bec-ae91-1116436da94b</vt:lpwstr>
  </property>
  <property fmtid="{D5CDD505-2E9C-101B-9397-08002B2CF9AE}" pid="5" name="_dlc_DocIdItemGuid">
    <vt:lpwstr>ca29b67f-5c26-46d8-b78d-404514e4da9d</vt:lpwstr>
  </property>
  <property fmtid="{D5CDD505-2E9C-101B-9397-08002B2CF9AE}" pid="6" name="DIAPolicyorProcedureType">
    <vt:lpwstr/>
  </property>
  <property fmtid="{D5CDD505-2E9C-101B-9397-08002B2CF9AE}" pid="7" name="TaxKeyword">
    <vt:lpwstr/>
  </property>
  <property fmtid="{D5CDD505-2E9C-101B-9397-08002B2CF9AE}" pid="8" name="DIAEmailContentType">
    <vt:lpwstr>3;#Correspondence|dcd6b05f-dc80-4336-b228-09aebf3d212c</vt:lpwstr>
  </property>
  <property fmtid="{D5CDD505-2E9C-101B-9397-08002B2CF9AE}" pid="9" name="DIAMeetingDocumentType">
    <vt:lpwstr/>
  </property>
  <property fmtid="{D5CDD505-2E9C-101B-9397-08002B2CF9AE}" pid="10" name="c2ac2bc1c5d645f0b22f31aba26bf927">
    <vt:lpwstr/>
  </property>
  <property fmtid="{D5CDD505-2E9C-101B-9397-08002B2CF9AE}" pid="11" name="C3Topic">
    <vt:lpwstr/>
  </property>
  <property fmtid="{D5CDD505-2E9C-101B-9397-08002B2CF9AE}" pid="12" name="docLang">
    <vt:lpwstr>en</vt:lpwstr>
  </property>
  <property fmtid="{D5CDD505-2E9C-101B-9397-08002B2CF9AE}" pid="13" name="RevIMBCS">
    <vt:lpwstr/>
  </property>
</Properties>
</file>