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9" w:rsidRDefault="00A36309" w:rsidP="00A36309">
      <w:bookmarkStart w:id="0" w:name="_GoBack"/>
      <w:bookmarkEnd w:id="0"/>
    </w:p>
    <w:tbl>
      <w:tblPr>
        <w:tblStyle w:val="Blanktable"/>
        <w:tblW w:w="0" w:type="auto"/>
        <w:tblLook w:val="04A0" w:firstRow="1" w:lastRow="0" w:firstColumn="1" w:lastColumn="0" w:noHBand="0" w:noVBand="1"/>
        <w:tblDescription w:val="This table is for layout only."/>
      </w:tblPr>
      <w:tblGrid>
        <w:gridCol w:w="8819"/>
      </w:tblGrid>
      <w:tr w:rsidR="00E404EA" w:rsidTr="00342DBF">
        <w:trPr>
          <w:trHeight w:hRule="exact" w:val="5897"/>
        </w:trPr>
        <w:tc>
          <w:tcPr>
            <w:tcW w:w="8819" w:type="dxa"/>
            <w:vAlign w:val="bottom"/>
          </w:tcPr>
          <w:p w:rsidR="00A36309" w:rsidRDefault="000E09DC" w:rsidP="002840D0">
            <w:pPr>
              <w:pStyle w:val="Title"/>
            </w:pPr>
            <w:r>
              <w:t>Report</w:t>
            </w:r>
            <w:r w:rsidR="00A36309">
              <w:t>:</w:t>
            </w:r>
          </w:p>
          <w:p w:rsidR="00A36309" w:rsidRDefault="00A36309" w:rsidP="002840D0">
            <w:pPr>
              <w:pStyle w:val="Title"/>
            </w:pPr>
            <w:r>
              <w:t xml:space="preserve"> </w:t>
            </w:r>
            <w:r w:rsidR="0044221D">
              <w:t>Multi Venue Exclusion</w:t>
            </w:r>
          </w:p>
          <w:p w:rsidR="00773F2E" w:rsidRPr="0013424E" w:rsidRDefault="00E404EA" w:rsidP="00773F2E">
            <w:pPr>
              <w:pStyle w:val="Title2"/>
            </w:pPr>
            <w:r>
              <w:t>Recommendations</w:t>
            </w:r>
            <w:r w:rsidR="00143173">
              <w:t xml:space="preserve"> </w:t>
            </w:r>
          </w:p>
          <w:p w:rsidR="006B0386" w:rsidRDefault="00E404EA" w:rsidP="006B0386">
            <w:pPr>
              <w:pStyle w:val="Title2"/>
            </w:pPr>
            <w:r>
              <w:t>August 2016</w:t>
            </w:r>
          </w:p>
          <w:p w:rsidR="00E404EA" w:rsidRDefault="00E404EA" w:rsidP="006B0386">
            <w:pPr>
              <w:pStyle w:val="Title2"/>
            </w:pPr>
          </w:p>
        </w:tc>
      </w:tr>
      <w:tr w:rsidR="00E404EA" w:rsidTr="007D3469">
        <w:trPr>
          <w:trHeight w:val="7258"/>
        </w:trPr>
        <w:tc>
          <w:tcPr>
            <w:tcW w:w="8819" w:type="dxa"/>
            <w:vAlign w:val="bottom"/>
          </w:tcPr>
          <w:p w:rsidR="00A36309" w:rsidRDefault="0020697F" w:rsidP="00E404EA">
            <w:pPr>
              <w:pStyle w:val="Coverimage"/>
            </w:pPr>
            <w:r>
              <w:rPr>
                <w:noProof/>
                <w:lang w:eastAsia="en-NZ"/>
              </w:rPr>
              <w:drawing>
                <wp:inline distT="0" distB="0" distL="0" distR="0">
                  <wp:extent cx="2237047" cy="360243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fern.png"/>
                          <pic:cNvPicPr/>
                        </pic:nvPicPr>
                        <pic:blipFill>
                          <a:blip r:embed="rId9">
                            <a:extLst>
                              <a:ext uri="{28A0092B-C50C-407E-A947-70E740481C1C}">
                                <a14:useLocalDpi xmlns:a14="http://schemas.microsoft.com/office/drawing/2010/main" val="0"/>
                              </a:ext>
                            </a:extLst>
                          </a:blip>
                          <a:stretch>
                            <a:fillRect/>
                          </a:stretch>
                        </pic:blipFill>
                        <pic:spPr>
                          <a:xfrm>
                            <a:off x="0" y="0"/>
                            <a:ext cx="2237047" cy="3602438"/>
                          </a:xfrm>
                          <a:prstGeom prst="rect">
                            <a:avLst/>
                          </a:prstGeom>
                        </pic:spPr>
                      </pic:pic>
                    </a:graphicData>
                  </a:graphic>
                </wp:inline>
              </w:drawing>
            </w:r>
          </w:p>
        </w:tc>
      </w:tr>
    </w:tbl>
    <w:p w:rsidR="00B62134" w:rsidRPr="00B62134" w:rsidRDefault="00B62134" w:rsidP="00B62134"/>
    <w:p w:rsidR="00B62134" w:rsidRDefault="00B62134" w:rsidP="00B62134">
      <w:pPr>
        <w:sectPr w:rsidR="00B62134" w:rsidSect="0023113D">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992" w:left="1418" w:header="425" w:footer="454" w:gutter="0"/>
          <w:cols w:space="708"/>
          <w:docGrid w:linePitch="360"/>
        </w:sectPr>
      </w:pPr>
    </w:p>
    <w:p w:rsidR="00DE4E1D" w:rsidRDefault="00DE4E1D" w:rsidP="00DE4E1D">
      <w:pPr>
        <w:pStyle w:val="NotforContentsheading1"/>
      </w:pPr>
      <w:r>
        <w:lastRenderedPageBreak/>
        <w:t>Foreword</w:t>
      </w:r>
    </w:p>
    <w:tbl>
      <w:tblPr>
        <w:tblStyle w:val="TableGrid"/>
        <w:tblW w:w="91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layout only."/>
      </w:tblPr>
      <w:tblGrid>
        <w:gridCol w:w="9185"/>
      </w:tblGrid>
      <w:tr w:rsidR="007D3469" w:rsidTr="00BC2235">
        <w:tc>
          <w:tcPr>
            <w:tcW w:w="9185" w:type="dxa"/>
          </w:tcPr>
          <w:p w:rsidR="0023113D" w:rsidRDefault="0023113D" w:rsidP="0023113D">
            <w:pPr>
              <w:rPr>
                <w:sz w:val="22"/>
                <w:szCs w:val="22"/>
              </w:rPr>
            </w:pPr>
            <w:r>
              <w:rPr>
                <w:sz w:val="22"/>
                <w:szCs w:val="22"/>
              </w:rPr>
              <w:t xml:space="preserve">The recommendations in this paper were developed following a national review of the Multi Venue Exclusion (MVE) framework. </w:t>
            </w:r>
          </w:p>
          <w:p w:rsidR="00237FCE" w:rsidRDefault="0023113D" w:rsidP="00237FCE">
            <w:pPr>
              <w:rPr>
                <w:sz w:val="22"/>
                <w:szCs w:val="22"/>
              </w:rPr>
            </w:pPr>
            <w:r>
              <w:rPr>
                <w:sz w:val="22"/>
                <w:szCs w:val="22"/>
              </w:rPr>
              <w:t xml:space="preserve">The review provided </w:t>
            </w:r>
            <w:r w:rsidRPr="008A2DA2">
              <w:rPr>
                <w:sz w:val="22"/>
                <w:szCs w:val="22"/>
              </w:rPr>
              <w:t>a sector</w:t>
            </w:r>
            <w:r>
              <w:rPr>
                <w:sz w:val="22"/>
                <w:szCs w:val="22"/>
              </w:rPr>
              <w:t>-</w:t>
            </w:r>
            <w:r w:rsidRPr="008A2DA2">
              <w:rPr>
                <w:sz w:val="22"/>
                <w:szCs w:val="22"/>
              </w:rPr>
              <w:t xml:space="preserve">wide </w:t>
            </w:r>
            <w:r>
              <w:rPr>
                <w:sz w:val="22"/>
                <w:szCs w:val="22"/>
              </w:rPr>
              <w:t xml:space="preserve">view </w:t>
            </w:r>
            <w:r w:rsidRPr="008A2DA2">
              <w:rPr>
                <w:sz w:val="22"/>
                <w:szCs w:val="22"/>
              </w:rPr>
              <w:t xml:space="preserve">of the </w:t>
            </w:r>
            <w:r>
              <w:rPr>
                <w:sz w:val="22"/>
                <w:szCs w:val="22"/>
              </w:rPr>
              <w:t xml:space="preserve">current </w:t>
            </w:r>
            <w:r w:rsidRPr="008A2DA2">
              <w:rPr>
                <w:sz w:val="22"/>
                <w:szCs w:val="22"/>
              </w:rPr>
              <w:t xml:space="preserve">MVE </w:t>
            </w:r>
            <w:r w:rsidR="00237FCE">
              <w:rPr>
                <w:sz w:val="22"/>
                <w:szCs w:val="22"/>
              </w:rPr>
              <w:t>practices based on a survey of stakeholders</w:t>
            </w:r>
            <w:r>
              <w:rPr>
                <w:sz w:val="22"/>
                <w:szCs w:val="22"/>
              </w:rPr>
              <w:t xml:space="preserve">. </w:t>
            </w:r>
            <w:r w:rsidR="00237FCE">
              <w:rPr>
                <w:sz w:val="22"/>
                <w:szCs w:val="22"/>
              </w:rPr>
              <w:t xml:space="preserve">It was led by a project group that </w:t>
            </w:r>
            <w:r w:rsidR="00237FCE" w:rsidRPr="00763EDB">
              <w:rPr>
                <w:sz w:val="22"/>
                <w:szCs w:val="22"/>
              </w:rPr>
              <w:t xml:space="preserve">included </w:t>
            </w:r>
            <w:r w:rsidR="00237FCE">
              <w:rPr>
                <w:sz w:val="22"/>
                <w:szCs w:val="22"/>
              </w:rPr>
              <w:t xml:space="preserve">representatives from the Department of Internal Affairs (DIA), the Ministry of Health and </w:t>
            </w:r>
            <w:r w:rsidR="00237FCE" w:rsidRPr="00763EDB">
              <w:rPr>
                <w:sz w:val="22"/>
                <w:szCs w:val="22"/>
              </w:rPr>
              <w:t>the Ministry’s service providers</w:t>
            </w:r>
            <w:r w:rsidR="00237FCE">
              <w:rPr>
                <w:sz w:val="22"/>
                <w:szCs w:val="22"/>
              </w:rPr>
              <w:t>, as follows:</w:t>
            </w:r>
          </w:p>
          <w:p w:rsidR="00237FCE" w:rsidRPr="00423AC6" w:rsidRDefault="00237FCE" w:rsidP="00BC2235">
            <w:pPr>
              <w:pStyle w:val="ListParagraph"/>
              <w:keepLines w:val="0"/>
              <w:numPr>
                <w:ilvl w:val="0"/>
                <w:numId w:val="28"/>
              </w:numPr>
              <w:spacing w:before="0" w:after="200" w:line="276" w:lineRule="auto"/>
              <w:contextualSpacing/>
              <w:rPr>
                <w:sz w:val="22"/>
              </w:rPr>
            </w:pPr>
            <w:r w:rsidRPr="00423AC6">
              <w:rPr>
                <w:sz w:val="22"/>
              </w:rPr>
              <w:t>Pauline Fallon (the Ministry</w:t>
            </w:r>
            <w:r>
              <w:rPr>
                <w:sz w:val="22"/>
              </w:rPr>
              <w:t xml:space="preserve"> of Health</w:t>
            </w:r>
            <w:r w:rsidRPr="00423AC6">
              <w:rPr>
                <w:sz w:val="22"/>
              </w:rPr>
              <w:t>)</w:t>
            </w:r>
          </w:p>
          <w:p w:rsidR="00237FCE" w:rsidRPr="00423AC6" w:rsidRDefault="00237FCE" w:rsidP="00BC2235">
            <w:pPr>
              <w:pStyle w:val="ListParagraph"/>
              <w:keepLines w:val="0"/>
              <w:numPr>
                <w:ilvl w:val="0"/>
                <w:numId w:val="28"/>
              </w:numPr>
              <w:spacing w:before="0" w:after="200" w:line="276" w:lineRule="auto"/>
              <w:contextualSpacing/>
              <w:rPr>
                <w:sz w:val="22"/>
              </w:rPr>
            </w:pPr>
            <w:r w:rsidRPr="00423AC6">
              <w:rPr>
                <w:sz w:val="22"/>
              </w:rPr>
              <w:t>Neove Christoforou (DIA)</w:t>
            </w:r>
          </w:p>
          <w:p w:rsidR="00237FCE" w:rsidRPr="00423AC6" w:rsidRDefault="00237FCE" w:rsidP="00BC2235">
            <w:pPr>
              <w:pStyle w:val="ListParagraph"/>
              <w:keepLines w:val="0"/>
              <w:numPr>
                <w:ilvl w:val="0"/>
                <w:numId w:val="28"/>
              </w:numPr>
              <w:spacing w:before="0" w:after="200" w:line="276" w:lineRule="auto"/>
              <w:contextualSpacing/>
              <w:rPr>
                <w:sz w:val="22"/>
              </w:rPr>
            </w:pPr>
            <w:r w:rsidRPr="00423AC6">
              <w:rPr>
                <w:sz w:val="22"/>
              </w:rPr>
              <w:t xml:space="preserve">Eru Loach (Problem Gambling </w:t>
            </w:r>
            <w:r>
              <w:rPr>
                <w:sz w:val="22"/>
              </w:rPr>
              <w:t>Foundation of New Zealand (PGF)</w:t>
            </w:r>
          </w:p>
          <w:p w:rsidR="00237FCE" w:rsidRPr="00423AC6" w:rsidRDefault="00237FCE" w:rsidP="00BC2235">
            <w:pPr>
              <w:pStyle w:val="ListParagraph"/>
              <w:keepLines w:val="0"/>
              <w:numPr>
                <w:ilvl w:val="0"/>
                <w:numId w:val="28"/>
              </w:numPr>
              <w:spacing w:before="0" w:after="200" w:line="276" w:lineRule="auto"/>
              <w:contextualSpacing/>
              <w:rPr>
                <w:sz w:val="22"/>
              </w:rPr>
            </w:pPr>
            <w:r w:rsidRPr="00423AC6">
              <w:rPr>
                <w:sz w:val="22"/>
              </w:rPr>
              <w:t xml:space="preserve">Lisa Campbell </w:t>
            </w:r>
            <w:r>
              <w:rPr>
                <w:sz w:val="22"/>
              </w:rPr>
              <w:t>(The Salvation Army, Oasis (SA)</w:t>
            </w:r>
          </w:p>
          <w:p w:rsidR="00237FCE" w:rsidRPr="00423AC6" w:rsidRDefault="00237FCE" w:rsidP="00BC2235">
            <w:pPr>
              <w:pStyle w:val="ListParagraph"/>
              <w:keepLines w:val="0"/>
              <w:numPr>
                <w:ilvl w:val="0"/>
                <w:numId w:val="28"/>
              </w:numPr>
              <w:spacing w:before="0" w:after="200" w:line="276" w:lineRule="auto"/>
              <w:contextualSpacing/>
              <w:rPr>
                <w:sz w:val="22"/>
              </w:rPr>
            </w:pPr>
            <w:r w:rsidRPr="00423AC6">
              <w:rPr>
                <w:sz w:val="22"/>
              </w:rPr>
              <w:t>Alison Penfold (ABACUS counselling, Training &amp; Supervision Ltd)</w:t>
            </w:r>
          </w:p>
          <w:p w:rsidR="00237FCE" w:rsidRPr="0023113D" w:rsidRDefault="00237FCE" w:rsidP="00237FCE">
            <w:pPr>
              <w:pStyle w:val="NoSpacing"/>
              <w:rPr>
                <w:rFonts w:asciiTheme="minorHAnsi" w:hAnsiTheme="minorHAnsi" w:cs="Arial"/>
                <w:sz w:val="22"/>
              </w:rPr>
            </w:pPr>
            <w:r w:rsidRPr="0023113D">
              <w:rPr>
                <w:rFonts w:asciiTheme="minorHAnsi" w:hAnsiTheme="minorHAnsi" w:cs="Arial"/>
                <w:sz w:val="22"/>
              </w:rPr>
              <w:t xml:space="preserve">Key themes that emerged from the findings of the survey were: </w:t>
            </w:r>
          </w:p>
          <w:p w:rsidR="00237FCE" w:rsidRPr="0023113D" w:rsidRDefault="00237FCE" w:rsidP="00BC2235">
            <w:pPr>
              <w:pStyle w:val="NoSpacing"/>
              <w:numPr>
                <w:ilvl w:val="0"/>
                <w:numId w:val="27"/>
              </w:numPr>
              <w:rPr>
                <w:rFonts w:asciiTheme="minorHAnsi" w:hAnsiTheme="minorHAnsi" w:cs="Arial"/>
                <w:sz w:val="22"/>
              </w:rPr>
            </w:pPr>
            <w:r w:rsidRPr="0023113D">
              <w:rPr>
                <w:rFonts w:asciiTheme="minorHAnsi" w:hAnsiTheme="minorHAnsi" w:cs="Arial"/>
                <w:sz w:val="22"/>
              </w:rPr>
              <w:t xml:space="preserve">the need for more effective communication and relationships </w:t>
            </w:r>
          </w:p>
          <w:p w:rsidR="00237FCE" w:rsidRPr="0023113D" w:rsidRDefault="00237FCE" w:rsidP="00BC2235">
            <w:pPr>
              <w:pStyle w:val="NoSpacing"/>
              <w:numPr>
                <w:ilvl w:val="0"/>
                <w:numId w:val="27"/>
              </w:numPr>
              <w:rPr>
                <w:rFonts w:asciiTheme="minorHAnsi" w:hAnsiTheme="minorHAnsi" w:cs="Arial"/>
                <w:sz w:val="22"/>
              </w:rPr>
            </w:pPr>
            <w:r w:rsidRPr="0023113D">
              <w:rPr>
                <w:rFonts w:asciiTheme="minorHAnsi" w:hAnsiTheme="minorHAnsi" w:cs="Arial"/>
                <w:sz w:val="22"/>
              </w:rPr>
              <w:t xml:space="preserve">issues around enforcement and implementation </w:t>
            </w:r>
          </w:p>
          <w:p w:rsidR="00237FCE" w:rsidRPr="0023113D" w:rsidRDefault="00237FCE" w:rsidP="00BC2235">
            <w:pPr>
              <w:pStyle w:val="NoSpacing"/>
              <w:numPr>
                <w:ilvl w:val="0"/>
                <w:numId w:val="27"/>
              </w:numPr>
              <w:rPr>
                <w:rFonts w:asciiTheme="minorHAnsi" w:hAnsiTheme="minorHAnsi" w:cs="Arial"/>
                <w:sz w:val="22"/>
              </w:rPr>
            </w:pPr>
            <w:r w:rsidRPr="0023113D">
              <w:rPr>
                <w:rFonts w:asciiTheme="minorHAnsi" w:hAnsiTheme="minorHAnsi" w:cs="Arial"/>
                <w:sz w:val="22"/>
              </w:rPr>
              <w:t xml:space="preserve">the advantages of more consistent training and processes </w:t>
            </w:r>
          </w:p>
          <w:p w:rsidR="00237FCE" w:rsidRPr="0023113D" w:rsidRDefault="00237FCE" w:rsidP="00BC2235">
            <w:pPr>
              <w:pStyle w:val="NoSpacing"/>
              <w:numPr>
                <w:ilvl w:val="0"/>
                <w:numId w:val="27"/>
              </w:numPr>
              <w:rPr>
                <w:rFonts w:asciiTheme="minorHAnsi" w:hAnsiTheme="minorHAnsi" w:cs="Arial"/>
                <w:sz w:val="22"/>
              </w:rPr>
            </w:pPr>
            <w:r w:rsidRPr="0023113D">
              <w:rPr>
                <w:rFonts w:asciiTheme="minorHAnsi" w:hAnsiTheme="minorHAnsi" w:cs="Arial"/>
                <w:sz w:val="22"/>
              </w:rPr>
              <w:t>the need for more clarity around roles and responsibilities</w:t>
            </w:r>
          </w:p>
          <w:p w:rsidR="00237FCE" w:rsidRPr="0023113D" w:rsidRDefault="00237FCE" w:rsidP="00BC2235">
            <w:pPr>
              <w:pStyle w:val="NoSpacing"/>
              <w:numPr>
                <w:ilvl w:val="0"/>
                <w:numId w:val="27"/>
              </w:numPr>
              <w:rPr>
                <w:rFonts w:asciiTheme="minorHAnsi" w:hAnsiTheme="minorHAnsi" w:cs="Arial"/>
                <w:sz w:val="22"/>
              </w:rPr>
            </w:pPr>
            <w:proofErr w:type="gramStart"/>
            <w:r w:rsidRPr="0023113D">
              <w:rPr>
                <w:rFonts w:asciiTheme="minorHAnsi" w:hAnsiTheme="minorHAnsi" w:cs="Arial"/>
                <w:sz w:val="22"/>
              </w:rPr>
              <w:t>the</w:t>
            </w:r>
            <w:proofErr w:type="gramEnd"/>
            <w:r w:rsidRPr="0023113D">
              <w:rPr>
                <w:rFonts w:asciiTheme="minorHAnsi" w:hAnsiTheme="minorHAnsi" w:cs="Arial"/>
                <w:sz w:val="22"/>
              </w:rPr>
              <w:t xml:space="preserve"> benefits of upgrading the MVE process to an electronic system with a centralised data base.</w:t>
            </w:r>
          </w:p>
          <w:p w:rsidR="000D4EC3" w:rsidRDefault="000D4EC3" w:rsidP="0023113D">
            <w:pPr>
              <w:rPr>
                <w:sz w:val="22"/>
                <w:szCs w:val="22"/>
              </w:rPr>
            </w:pPr>
            <w:r>
              <w:rPr>
                <w:sz w:val="22"/>
                <w:szCs w:val="22"/>
              </w:rPr>
              <w:t>An Implementation Working Group that includes industry representatives, DIA, MOH and the Ministry’s service providers has been formed to progress the recommendations.</w:t>
            </w:r>
          </w:p>
          <w:p w:rsidR="00237FCE" w:rsidRDefault="00237FCE" w:rsidP="0023113D">
            <w:pPr>
              <w:rPr>
                <w:sz w:val="22"/>
                <w:szCs w:val="22"/>
              </w:rPr>
            </w:pPr>
            <w:r>
              <w:rPr>
                <w:sz w:val="22"/>
                <w:szCs w:val="22"/>
              </w:rPr>
              <w:t>The full report can be obtained from:</w:t>
            </w:r>
          </w:p>
          <w:p w:rsidR="00237FCE" w:rsidRDefault="00237FCE" w:rsidP="000D4EC3">
            <w:pPr>
              <w:tabs>
                <w:tab w:val="left" w:pos="6225"/>
              </w:tabs>
              <w:spacing w:after="0"/>
              <w:rPr>
                <w:sz w:val="22"/>
                <w:szCs w:val="22"/>
              </w:rPr>
            </w:pPr>
            <w:r>
              <w:rPr>
                <w:sz w:val="22"/>
                <w:szCs w:val="22"/>
              </w:rPr>
              <w:t>Pauline Fallon</w:t>
            </w:r>
          </w:p>
          <w:p w:rsidR="0023113D" w:rsidRDefault="00237FCE" w:rsidP="00237FCE">
            <w:pPr>
              <w:spacing w:before="0" w:after="0"/>
              <w:rPr>
                <w:sz w:val="22"/>
                <w:szCs w:val="22"/>
              </w:rPr>
            </w:pPr>
            <w:r w:rsidRPr="00237FCE">
              <w:rPr>
                <w:sz w:val="22"/>
                <w:szCs w:val="22"/>
              </w:rPr>
              <w:t xml:space="preserve">Senior Advisor </w:t>
            </w:r>
            <w:r w:rsidRPr="00237FCE">
              <w:rPr>
                <w:sz w:val="22"/>
                <w:szCs w:val="22"/>
              </w:rPr>
              <w:br/>
              <w:t xml:space="preserve">Gambling Harm Prevention and Minimisation </w:t>
            </w:r>
            <w:r w:rsidRPr="00237FCE">
              <w:rPr>
                <w:sz w:val="22"/>
                <w:szCs w:val="22"/>
              </w:rPr>
              <w:br/>
              <w:t xml:space="preserve">Service Commissioning </w:t>
            </w:r>
            <w:r w:rsidRPr="00237FCE">
              <w:rPr>
                <w:sz w:val="22"/>
                <w:szCs w:val="22"/>
              </w:rPr>
              <w:br/>
              <w:t xml:space="preserve">Ministry of Health </w:t>
            </w:r>
            <w:r w:rsidRPr="00237FCE">
              <w:rPr>
                <w:sz w:val="22"/>
                <w:szCs w:val="22"/>
              </w:rPr>
              <w:br/>
            </w:r>
            <w:hyperlink r:id="rId16" w:history="1">
              <w:r w:rsidR="000D4EC3" w:rsidRPr="00F55BA1">
                <w:rPr>
                  <w:rStyle w:val="Hyperlink"/>
                  <w:sz w:val="22"/>
                  <w:szCs w:val="22"/>
                </w:rPr>
                <w:t>Pauline_Fallon@moh.govt.nz</w:t>
              </w:r>
            </w:hyperlink>
          </w:p>
          <w:p w:rsidR="000D4EC3" w:rsidRDefault="000D4EC3" w:rsidP="00237FCE">
            <w:pPr>
              <w:spacing w:before="0" w:after="0"/>
              <w:rPr>
                <w:sz w:val="22"/>
                <w:szCs w:val="22"/>
              </w:rPr>
            </w:pPr>
          </w:p>
          <w:p w:rsidR="000D4EC3" w:rsidRDefault="000D4EC3" w:rsidP="00237FCE">
            <w:pPr>
              <w:spacing w:before="0" w:after="0"/>
              <w:rPr>
                <w:sz w:val="22"/>
                <w:szCs w:val="22"/>
              </w:rPr>
            </w:pPr>
            <w:r>
              <w:rPr>
                <w:sz w:val="22"/>
                <w:szCs w:val="22"/>
              </w:rPr>
              <w:t>Or</w:t>
            </w:r>
          </w:p>
          <w:p w:rsidR="000D4EC3" w:rsidRDefault="000D4EC3" w:rsidP="00237FCE">
            <w:pPr>
              <w:spacing w:before="0" w:after="0"/>
              <w:rPr>
                <w:sz w:val="22"/>
                <w:szCs w:val="22"/>
              </w:rPr>
            </w:pPr>
          </w:p>
          <w:p w:rsidR="000D4EC3" w:rsidRDefault="000D4EC3" w:rsidP="00237FCE">
            <w:pPr>
              <w:spacing w:before="0" w:after="0"/>
              <w:rPr>
                <w:sz w:val="22"/>
                <w:szCs w:val="22"/>
              </w:rPr>
            </w:pPr>
            <w:r>
              <w:rPr>
                <w:sz w:val="22"/>
                <w:szCs w:val="22"/>
              </w:rPr>
              <w:t>Neove Christoforou</w:t>
            </w:r>
          </w:p>
          <w:p w:rsidR="000D4EC3" w:rsidRDefault="000D4EC3" w:rsidP="00237FCE">
            <w:pPr>
              <w:spacing w:before="0" w:after="0"/>
              <w:rPr>
                <w:sz w:val="22"/>
                <w:szCs w:val="22"/>
              </w:rPr>
            </w:pPr>
            <w:r>
              <w:rPr>
                <w:sz w:val="22"/>
                <w:szCs w:val="22"/>
              </w:rPr>
              <w:t>Senior Advisor</w:t>
            </w:r>
          </w:p>
          <w:p w:rsidR="000D4EC3" w:rsidRDefault="000D4EC3" w:rsidP="00237FCE">
            <w:pPr>
              <w:spacing w:before="0" w:after="0"/>
              <w:rPr>
                <w:sz w:val="22"/>
                <w:szCs w:val="22"/>
              </w:rPr>
            </w:pPr>
            <w:r>
              <w:rPr>
                <w:sz w:val="22"/>
                <w:szCs w:val="22"/>
              </w:rPr>
              <w:t>Sector Initiatives, Gambling Compliance Group</w:t>
            </w:r>
          </w:p>
          <w:p w:rsidR="000D4EC3" w:rsidRDefault="000D4EC3" w:rsidP="00237FCE">
            <w:pPr>
              <w:spacing w:before="0" w:after="0"/>
              <w:rPr>
                <w:sz w:val="22"/>
                <w:szCs w:val="22"/>
              </w:rPr>
            </w:pPr>
            <w:r>
              <w:rPr>
                <w:sz w:val="22"/>
                <w:szCs w:val="22"/>
              </w:rPr>
              <w:t>Department of Internal Affairs</w:t>
            </w:r>
          </w:p>
          <w:p w:rsidR="007D3469" w:rsidRDefault="00AD3294" w:rsidP="00BC2235">
            <w:pPr>
              <w:spacing w:before="0" w:after="0"/>
            </w:pPr>
            <w:hyperlink r:id="rId17" w:history="1">
              <w:r w:rsidR="000D4EC3" w:rsidRPr="00F55BA1">
                <w:rPr>
                  <w:rStyle w:val="Hyperlink"/>
                  <w:sz w:val="22"/>
                  <w:szCs w:val="22"/>
                </w:rPr>
                <w:t>neove.christoforou@dia.govt.nz</w:t>
              </w:r>
            </w:hyperlink>
          </w:p>
        </w:tc>
      </w:tr>
      <w:tr w:rsidR="007D3469" w:rsidTr="00BC2235">
        <w:tc>
          <w:tcPr>
            <w:tcW w:w="9185" w:type="dxa"/>
          </w:tcPr>
          <w:p w:rsidR="007D3469" w:rsidRPr="001B04E1" w:rsidRDefault="007D3469" w:rsidP="002840D0"/>
        </w:tc>
      </w:tr>
    </w:tbl>
    <w:p w:rsidR="0013424E" w:rsidRDefault="0013424E" w:rsidP="001420E8"/>
    <w:p w:rsidR="006871D3" w:rsidRDefault="006871D3" w:rsidP="001420E8">
      <w:pPr>
        <w:sectPr w:rsidR="006871D3" w:rsidSect="004518B7">
          <w:headerReference w:type="default" r:id="rId18"/>
          <w:footerReference w:type="default" r:id="rId19"/>
          <w:pgSz w:w="11907" w:h="16840" w:code="9"/>
          <w:pgMar w:top="1418" w:right="1418" w:bottom="992" w:left="1418" w:header="425" w:footer="641" w:gutter="0"/>
          <w:pgNumType w:start="1"/>
          <w:cols w:space="708"/>
          <w:docGrid w:linePitch="360"/>
        </w:sectPr>
      </w:pPr>
    </w:p>
    <w:p w:rsidR="00070072" w:rsidRDefault="00070072" w:rsidP="004B488F">
      <w:pPr>
        <w:pStyle w:val="Heading1"/>
        <w:rPr>
          <w:sz w:val="32"/>
        </w:rPr>
      </w:pPr>
      <w:bookmarkStart w:id="1" w:name="_Toc462845733"/>
      <w:r w:rsidRPr="004B488F">
        <w:rPr>
          <w:color w:val="1F546B"/>
          <w:sz w:val="32"/>
        </w:rPr>
        <w:lastRenderedPageBreak/>
        <w:t>Recommendations</w:t>
      </w:r>
      <w:r w:rsidRPr="00F46372">
        <w:rPr>
          <w:sz w:val="32"/>
        </w:rPr>
        <w:t xml:space="preserve"> from </w:t>
      </w:r>
      <w:r>
        <w:rPr>
          <w:sz w:val="32"/>
        </w:rPr>
        <w:t>questionnaire</w:t>
      </w:r>
      <w:r w:rsidRPr="00F46372">
        <w:rPr>
          <w:sz w:val="32"/>
        </w:rPr>
        <w:t xml:space="preserve"> findings</w:t>
      </w:r>
      <w:bookmarkEnd w:id="1"/>
      <w:r w:rsidRPr="00F46372">
        <w:rPr>
          <w:sz w:val="32"/>
        </w:rPr>
        <w:t xml:space="preserve"> </w:t>
      </w:r>
      <w:r>
        <w:rPr>
          <w:sz w:val="32"/>
        </w:rPr>
        <w:t xml:space="preserve"> </w:t>
      </w:r>
    </w:p>
    <w:p w:rsidR="004B488F" w:rsidRDefault="004B488F" w:rsidP="004B488F">
      <w:pPr>
        <w:rPr>
          <w:sz w:val="22"/>
          <w:szCs w:val="22"/>
        </w:rPr>
      </w:pPr>
      <w:r>
        <w:rPr>
          <w:sz w:val="22"/>
          <w:szCs w:val="22"/>
        </w:rPr>
        <w:t>The key themes from the survey show a number of potential areas where amendments to the MVE process can be made to improve its effectiveness and have informed the recommendations below.</w:t>
      </w:r>
    </w:p>
    <w:p w:rsidR="004B488F" w:rsidRDefault="004B488F" w:rsidP="004B488F">
      <w:pPr>
        <w:spacing w:after="120"/>
        <w:rPr>
          <w:b/>
          <w:color w:val="1F546B"/>
          <w:sz w:val="32"/>
          <w:szCs w:val="32"/>
        </w:rPr>
      </w:pPr>
      <w:r w:rsidRPr="004B488F">
        <w:rPr>
          <w:b/>
          <w:color w:val="1F546B"/>
          <w:sz w:val="32"/>
          <w:szCs w:val="32"/>
        </w:rPr>
        <w:t xml:space="preserve">National Administrator </w:t>
      </w:r>
    </w:p>
    <w:p w:rsidR="004B488F" w:rsidRDefault="004B488F" w:rsidP="00DA50DD">
      <w:pPr>
        <w:rPr>
          <w:rFonts w:cs="Arial"/>
          <w:sz w:val="22"/>
          <w:szCs w:val="22"/>
        </w:rPr>
      </w:pPr>
      <w:r>
        <w:rPr>
          <w:sz w:val="22"/>
          <w:szCs w:val="22"/>
        </w:rPr>
        <w:t xml:space="preserve">The Project Group believe that the creation of a National Administrator role is important to the ongoing success of MVE. </w:t>
      </w:r>
      <w:r w:rsidRPr="00291102">
        <w:rPr>
          <w:rFonts w:cs="Arial"/>
          <w:sz w:val="22"/>
          <w:szCs w:val="22"/>
        </w:rPr>
        <w:t xml:space="preserve">The </w:t>
      </w:r>
      <w:r>
        <w:rPr>
          <w:rFonts w:cs="Arial"/>
          <w:sz w:val="22"/>
          <w:szCs w:val="22"/>
        </w:rPr>
        <w:t>N</w:t>
      </w:r>
      <w:r w:rsidRPr="00291102">
        <w:rPr>
          <w:rFonts w:cs="Arial"/>
          <w:sz w:val="22"/>
          <w:szCs w:val="22"/>
        </w:rPr>
        <w:t xml:space="preserve">ational </w:t>
      </w:r>
      <w:r>
        <w:rPr>
          <w:rFonts w:cs="Arial"/>
          <w:sz w:val="22"/>
          <w:szCs w:val="22"/>
        </w:rPr>
        <w:t>A</w:t>
      </w:r>
      <w:r w:rsidRPr="00291102">
        <w:rPr>
          <w:rFonts w:cs="Arial"/>
          <w:sz w:val="22"/>
          <w:szCs w:val="22"/>
        </w:rPr>
        <w:t xml:space="preserve">dministrator role would </w:t>
      </w:r>
      <w:r>
        <w:rPr>
          <w:rFonts w:cs="Arial"/>
          <w:sz w:val="22"/>
          <w:szCs w:val="22"/>
        </w:rPr>
        <w:t>enable a process for the other</w:t>
      </w:r>
      <w:r w:rsidRPr="00291102">
        <w:rPr>
          <w:rFonts w:cs="Arial"/>
          <w:sz w:val="22"/>
          <w:szCs w:val="22"/>
        </w:rPr>
        <w:t xml:space="preserve"> </w:t>
      </w:r>
      <w:r>
        <w:rPr>
          <w:rFonts w:cs="Arial"/>
          <w:sz w:val="22"/>
          <w:szCs w:val="22"/>
        </w:rPr>
        <w:t>recommendations, identified by the key themes from the questionnaire, to be considered and progressed.</w:t>
      </w:r>
    </w:p>
    <w:p w:rsidR="004B488F" w:rsidRDefault="004B488F" w:rsidP="00DA50DD">
      <w:pPr>
        <w:spacing w:after="120"/>
        <w:rPr>
          <w:rFonts w:cs="Arial"/>
          <w:sz w:val="22"/>
          <w:szCs w:val="22"/>
        </w:rPr>
      </w:pPr>
      <w:r w:rsidRPr="0066060E">
        <w:rPr>
          <w:rFonts w:cs="Arial"/>
          <w:sz w:val="22"/>
          <w:szCs w:val="22"/>
        </w:rPr>
        <w:t>This recommendation requires resourcing and the development of a job description.</w:t>
      </w:r>
      <w:r>
        <w:rPr>
          <w:rFonts w:cs="Arial"/>
          <w:sz w:val="22"/>
          <w:szCs w:val="22"/>
        </w:rPr>
        <w:t xml:space="preserve"> It is envisaged that the National Administrator role would:</w:t>
      </w:r>
    </w:p>
    <w:p w:rsidR="004B488F" w:rsidRPr="004B488F" w:rsidRDefault="004B488F" w:rsidP="00BC2235">
      <w:pPr>
        <w:pStyle w:val="NoSpacing"/>
        <w:numPr>
          <w:ilvl w:val="0"/>
          <w:numId w:val="32"/>
        </w:numPr>
        <w:rPr>
          <w:rFonts w:asciiTheme="minorHAnsi" w:hAnsiTheme="minorHAnsi"/>
          <w:sz w:val="22"/>
        </w:rPr>
      </w:pPr>
      <w:r w:rsidRPr="004B488F">
        <w:rPr>
          <w:rFonts w:asciiTheme="minorHAnsi" w:hAnsiTheme="minorHAnsi"/>
          <w:sz w:val="22"/>
        </w:rPr>
        <w:t>undertake the administrative role of the MVE process</w:t>
      </w:r>
    </w:p>
    <w:p w:rsidR="004B488F" w:rsidRPr="004B488F" w:rsidRDefault="004B488F" w:rsidP="00BC2235">
      <w:pPr>
        <w:pStyle w:val="NoSpacing"/>
        <w:numPr>
          <w:ilvl w:val="0"/>
          <w:numId w:val="32"/>
        </w:numPr>
        <w:rPr>
          <w:rFonts w:asciiTheme="minorHAnsi" w:hAnsiTheme="minorHAnsi"/>
          <w:sz w:val="22"/>
        </w:rPr>
      </w:pPr>
      <w:r w:rsidRPr="004B488F">
        <w:rPr>
          <w:rFonts w:asciiTheme="minorHAnsi" w:hAnsiTheme="minorHAnsi"/>
          <w:sz w:val="22"/>
        </w:rPr>
        <w:t>support the efficient and effective functioning of the MVE Implementation Working Group</w:t>
      </w:r>
    </w:p>
    <w:p w:rsidR="004B488F" w:rsidRPr="004B488F" w:rsidRDefault="004B488F" w:rsidP="00BC2235">
      <w:pPr>
        <w:pStyle w:val="NoSpacing"/>
        <w:numPr>
          <w:ilvl w:val="0"/>
          <w:numId w:val="32"/>
        </w:numPr>
        <w:rPr>
          <w:rFonts w:asciiTheme="minorHAnsi" w:hAnsiTheme="minorHAnsi"/>
          <w:sz w:val="22"/>
        </w:rPr>
      </w:pPr>
      <w:r w:rsidRPr="004B488F">
        <w:rPr>
          <w:rFonts w:asciiTheme="minorHAnsi" w:hAnsiTheme="minorHAnsi"/>
          <w:sz w:val="22"/>
        </w:rPr>
        <w:t>liaise with MVE coordinators as required</w:t>
      </w:r>
    </w:p>
    <w:p w:rsidR="004B488F" w:rsidRPr="004B488F" w:rsidRDefault="004B488F" w:rsidP="00BC2235">
      <w:pPr>
        <w:pStyle w:val="NoSpacing"/>
        <w:numPr>
          <w:ilvl w:val="0"/>
          <w:numId w:val="32"/>
        </w:numPr>
        <w:rPr>
          <w:rFonts w:asciiTheme="minorHAnsi" w:hAnsiTheme="minorHAnsi"/>
          <w:sz w:val="22"/>
        </w:rPr>
      </w:pPr>
      <w:r w:rsidRPr="004B488F">
        <w:rPr>
          <w:rFonts w:asciiTheme="minorHAnsi" w:hAnsiTheme="minorHAnsi"/>
          <w:sz w:val="22"/>
        </w:rPr>
        <w:t>help ensure the systems required for clarity and consistency are set up and maintained</w:t>
      </w:r>
    </w:p>
    <w:p w:rsidR="004B488F" w:rsidRPr="004B488F" w:rsidRDefault="004B488F" w:rsidP="00BC2235">
      <w:pPr>
        <w:pStyle w:val="NoSpacing"/>
        <w:numPr>
          <w:ilvl w:val="0"/>
          <w:numId w:val="32"/>
        </w:numPr>
        <w:ind w:left="357" w:hanging="357"/>
        <w:rPr>
          <w:rFonts w:asciiTheme="minorHAnsi" w:hAnsiTheme="minorHAnsi"/>
          <w:sz w:val="22"/>
        </w:rPr>
      </w:pPr>
      <w:r w:rsidRPr="004B488F">
        <w:rPr>
          <w:rFonts w:asciiTheme="minorHAnsi" w:hAnsiTheme="minorHAnsi"/>
          <w:sz w:val="22"/>
        </w:rPr>
        <w:t>ensure that stakeholders are kept informed and notifications are current and updated</w:t>
      </w:r>
    </w:p>
    <w:p w:rsidR="004B488F" w:rsidRPr="004B488F" w:rsidRDefault="004B488F" w:rsidP="00BC2235">
      <w:pPr>
        <w:pStyle w:val="NoSpacing"/>
        <w:numPr>
          <w:ilvl w:val="0"/>
          <w:numId w:val="32"/>
        </w:numPr>
        <w:ind w:left="357" w:hanging="357"/>
        <w:rPr>
          <w:rFonts w:asciiTheme="minorHAnsi" w:hAnsiTheme="minorHAnsi"/>
          <w:sz w:val="22"/>
        </w:rPr>
      </w:pPr>
      <w:r w:rsidRPr="004B488F">
        <w:rPr>
          <w:rFonts w:asciiTheme="minorHAnsi" w:hAnsiTheme="minorHAnsi"/>
          <w:sz w:val="22"/>
        </w:rPr>
        <w:t>manage the regular updating of procedures and guidelines and administration</w:t>
      </w:r>
    </w:p>
    <w:p w:rsidR="004B488F" w:rsidRPr="004B488F" w:rsidRDefault="004B488F" w:rsidP="00BC2235">
      <w:pPr>
        <w:pStyle w:val="NoSpacing"/>
        <w:numPr>
          <w:ilvl w:val="0"/>
          <w:numId w:val="32"/>
        </w:numPr>
        <w:spacing w:after="240"/>
        <w:ind w:left="357" w:hanging="357"/>
        <w:rPr>
          <w:sz w:val="32"/>
          <w:szCs w:val="32"/>
        </w:rPr>
      </w:pPr>
      <w:proofErr w:type="gramStart"/>
      <w:r w:rsidRPr="004B488F">
        <w:rPr>
          <w:rFonts w:asciiTheme="minorHAnsi" w:hAnsiTheme="minorHAnsi"/>
          <w:sz w:val="22"/>
        </w:rPr>
        <w:t>facilitate</w:t>
      </w:r>
      <w:proofErr w:type="gramEnd"/>
      <w:r w:rsidRPr="004B488F">
        <w:rPr>
          <w:rFonts w:asciiTheme="minorHAnsi" w:hAnsiTheme="minorHAnsi"/>
          <w:sz w:val="22"/>
        </w:rPr>
        <w:t xml:space="preserve"> information sharing by acting as a conduit between the stakeholder groups and facilitate constructive inter-stakeholder contact.</w:t>
      </w:r>
    </w:p>
    <w:p w:rsidR="004B488F" w:rsidRPr="004B488F" w:rsidRDefault="004B488F" w:rsidP="00DA50DD">
      <w:pPr>
        <w:pStyle w:val="NoSpacing"/>
        <w:spacing w:before="120" w:after="120"/>
        <w:rPr>
          <w:rFonts w:asciiTheme="minorHAnsi" w:hAnsiTheme="minorHAnsi"/>
          <w:color w:val="1F546B"/>
          <w:sz w:val="32"/>
          <w:szCs w:val="32"/>
        </w:rPr>
      </w:pPr>
      <w:r w:rsidRPr="004B488F">
        <w:rPr>
          <w:rFonts w:asciiTheme="minorHAnsi" w:hAnsiTheme="minorHAnsi"/>
          <w:b/>
          <w:color w:val="1F546B"/>
          <w:sz w:val="32"/>
          <w:szCs w:val="32"/>
        </w:rPr>
        <w:t>Standardisation</w:t>
      </w:r>
    </w:p>
    <w:p w:rsidR="004B488F" w:rsidRPr="00291102" w:rsidRDefault="004B488F" w:rsidP="004B488F">
      <w:pPr>
        <w:rPr>
          <w:rFonts w:cs="Arial"/>
          <w:sz w:val="22"/>
          <w:szCs w:val="22"/>
        </w:rPr>
      </w:pPr>
      <w:r w:rsidRPr="00291102">
        <w:rPr>
          <w:rFonts w:cs="Arial"/>
          <w:sz w:val="22"/>
          <w:szCs w:val="22"/>
        </w:rPr>
        <w:t>Measures to improve the standardisation of the MVE pr</w:t>
      </w:r>
      <w:r>
        <w:rPr>
          <w:rFonts w:cs="Arial"/>
          <w:sz w:val="22"/>
          <w:szCs w:val="22"/>
        </w:rPr>
        <w:t>ocess are needed. Although</w:t>
      </w:r>
      <w:r w:rsidRPr="00291102">
        <w:rPr>
          <w:rFonts w:cs="Arial"/>
          <w:sz w:val="22"/>
          <w:szCs w:val="22"/>
        </w:rPr>
        <w:t xml:space="preserve"> there is a national framework and guidelines, not everyone is using these consistently</w:t>
      </w:r>
      <w:r>
        <w:rPr>
          <w:rFonts w:cs="Arial"/>
          <w:sz w:val="22"/>
          <w:szCs w:val="22"/>
        </w:rPr>
        <w:t xml:space="preserve"> and</w:t>
      </w:r>
      <w:r w:rsidRPr="00291102">
        <w:rPr>
          <w:rFonts w:cs="Arial"/>
          <w:sz w:val="22"/>
          <w:szCs w:val="22"/>
        </w:rPr>
        <w:t xml:space="preserve"> there are no formal systems in place </w:t>
      </w:r>
      <w:r>
        <w:rPr>
          <w:rFonts w:cs="Arial"/>
          <w:sz w:val="22"/>
          <w:szCs w:val="22"/>
        </w:rPr>
        <w:t>to ensure standardisation.</w:t>
      </w:r>
      <w:r w:rsidRPr="00291102">
        <w:rPr>
          <w:rFonts w:cs="Arial"/>
          <w:sz w:val="22"/>
          <w:szCs w:val="22"/>
        </w:rPr>
        <w:t xml:space="preserve">  </w:t>
      </w:r>
      <w:r w:rsidRPr="009C61A8">
        <w:rPr>
          <w:rFonts w:cs="Arial"/>
          <w:sz w:val="22"/>
          <w:szCs w:val="22"/>
        </w:rPr>
        <w:t>It would be the National Administrator’s role to</w:t>
      </w:r>
      <w:r>
        <w:rPr>
          <w:rFonts w:cs="Arial"/>
          <w:sz w:val="22"/>
          <w:szCs w:val="22"/>
        </w:rPr>
        <w:t xml:space="preserve"> liaise with MVE coordinators to</w:t>
      </w:r>
      <w:r w:rsidRPr="009C61A8">
        <w:rPr>
          <w:rFonts w:cs="Arial"/>
          <w:sz w:val="22"/>
          <w:szCs w:val="22"/>
        </w:rPr>
        <w:t xml:space="preserve"> implement such measures, </w:t>
      </w:r>
      <w:r>
        <w:rPr>
          <w:rFonts w:cs="Arial"/>
          <w:sz w:val="22"/>
          <w:szCs w:val="22"/>
        </w:rPr>
        <w:t xml:space="preserve">and to review </w:t>
      </w:r>
      <w:r w:rsidRPr="009C61A8">
        <w:rPr>
          <w:rFonts w:cs="Arial"/>
          <w:sz w:val="22"/>
          <w:szCs w:val="22"/>
        </w:rPr>
        <w:t>the MVE process map.</w:t>
      </w:r>
    </w:p>
    <w:p w:rsidR="004B488F" w:rsidRPr="007E7823" w:rsidRDefault="004B488F" w:rsidP="00DA50DD">
      <w:pPr>
        <w:spacing w:after="120"/>
        <w:rPr>
          <w:rFonts w:cs="Arial"/>
          <w:sz w:val="22"/>
          <w:szCs w:val="22"/>
        </w:rPr>
      </w:pPr>
      <w:r w:rsidRPr="007E7823">
        <w:rPr>
          <w:rFonts w:cs="Arial"/>
          <w:sz w:val="22"/>
          <w:szCs w:val="22"/>
        </w:rPr>
        <w:t>The following</w:t>
      </w:r>
      <w:r>
        <w:rPr>
          <w:rFonts w:cs="Arial"/>
          <w:sz w:val="22"/>
          <w:szCs w:val="22"/>
        </w:rPr>
        <w:t xml:space="preserve"> suggestions are made: </w:t>
      </w:r>
    </w:p>
    <w:p w:rsidR="004B488F" w:rsidRPr="004B488F" w:rsidRDefault="004B488F" w:rsidP="00BC2235">
      <w:pPr>
        <w:pStyle w:val="NoSpacing"/>
        <w:numPr>
          <w:ilvl w:val="0"/>
          <w:numId w:val="34"/>
        </w:numPr>
        <w:rPr>
          <w:rFonts w:asciiTheme="minorHAnsi" w:hAnsiTheme="minorHAnsi"/>
          <w:sz w:val="22"/>
        </w:rPr>
      </w:pPr>
      <w:r w:rsidRPr="004B488F">
        <w:rPr>
          <w:rFonts w:asciiTheme="minorHAnsi" w:hAnsiTheme="minorHAnsi"/>
          <w:sz w:val="22"/>
        </w:rPr>
        <w:t>standard photo criteria to be revised and maintained by all stakeholders</w:t>
      </w:r>
    </w:p>
    <w:p w:rsidR="004B488F" w:rsidRPr="004B488F" w:rsidRDefault="004B488F" w:rsidP="00BC2235">
      <w:pPr>
        <w:pStyle w:val="NoSpacing"/>
        <w:numPr>
          <w:ilvl w:val="0"/>
          <w:numId w:val="34"/>
        </w:numPr>
        <w:rPr>
          <w:rFonts w:asciiTheme="minorHAnsi" w:hAnsiTheme="minorHAnsi"/>
          <w:sz w:val="22"/>
        </w:rPr>
      </w:pPr>
      <w:r w:rsidRPr="004B488F">
        <w:rPr>
          <w:rFonts w:asciiTheme="minorHAnsi" w:hAnsiTheme="minorHAnsi"/>
          <w:sz w:val="22"/>
        </w:rPr>
        <w:t xml:space="preserve">standardised forms, processes and procedures to be used by all stakeholders </w:t>
      </w:r>
    </w:p>
    <w:p w:rsidR="004B488F" w:rsidRPr="004B488F" w:rsidRDefault="004B488F" w:rsidP="00BC2235">
      <w:pPr>
        <w:pStyle w:val="NoSpacing"/>
        <w:numPr>
          <w:ilvl w:val="0"/>
          <w:numId w:val="34"/>
        </w:numPr>
        <w:rPr>
          <w:rFonts w:asciiTheme="minorHAnsi" w:hAnsiTheme="minorHAnsi"/>
          <w:sz w:val="22"/>
        </w:rPr>
      </w:pPr>
      <w:r w:rsidRPr="004B488F">
        <w:rPr>
          <w:rFonts w:asciiTheme="minorHAnsi" w:hAnsiTheme="minorHAnsi"/>
          <w:sz w:val="22"/>
        </w:rPr>
        <w:t xml:space="preserve">national standardised templates to be enforced and training on these to be provided regularly  </w:t>
      </w:r>
    </w:p>
    <w:p w:rsidR="004B488F" w:rsidRPr="004B488F" w:rsidRDefault="004B488F" w:rsidP="00BC2235">
      <w:pPr>
        <w:pStyle w:val="NoSpacing"/>
        <w:numPr>
          <w:ilvl w:val="0"/>
          <w:numId w:val="34"/>
        </w:numPr>
        <w:rPr>
          <w:rFonts w:asciiTheme="minorHAnsi" w:hAnsiTheme="minorHAnsi"/>
          <w:sz w:val="22"/>
        </w:rPr>
      </w:pPr>
      <w:proofErr w:type="gramStart"/>
      <w:r w:rsidRPr="004B488F">
        <w:rPr>
          <w:rFonts w:asciiTheme="minorHAnsi" w:hAnsiTheme="minorHAnsi"/>
          <w:sz w:val="22"/>
        </w:rPr>
        <w:t>standardised</w:t>
      </w:r>
      <w:proofErr w:type="gramEnd"/>
      <w:r w:rsidRPr="004B488F">
        <w:rPr>
          <w:rFonts w:asciiTheme="minorHAnsi" w:hAnsiTheme="minorHAnsi"/>
          <w:sz w:val="22"/>
        </w:rPr>
        <w:t xml:space="preserve"> of re-entry criteria be developed for gamblers once their exclusion period is completed.</w:t>
      </w:r>
    </w:p>
    <w:p w:rsidR="004B488F" w:rsidRPr="004B488F" w:rsidRDefault="004B488F" w:rsidP="00DA50DD">
      <w:pPr>
        <w:spacing w:after="120"/>
        <w:rPr>
          <w:rFonts w:cs="Arial"/>
          <w:b/>
          <w:color w:val="1F546B"/>
          <w:sz w:val="32"/>
          <w:szCs w:val="32"/>
        </w:rPr>
      </w:pPr>
      <w:r w:rsidRPr="004B488F">
        <w:rPr>
          <w:rFonts w:cs="Arial"/>
          <w:b/>
          <w:color w:val="1F546B"/>
          <w:sz w:val="32"/>
          <w:szCs w:val="32"/>
        </w:rPr>
        <w:t>Training</w:t>
      </w:r>
    </w:p>
    <w:p w:rsidR="004B488F" w:rsidRPr="00D54A4B" w:rsidRDefault="004B488F" w:rsidP="00DA50DD">
      <w:pPr>
        <w:rPr>
          <w:rFonts w:cs="Arial"/>
          <w:sz w:val="22"/>
          <w:szCs w:val="22"/>
        </w:rPr>
      </w:pPr>
      <w:r>
        <w:rPr>
          <w:sz w:val="22"/>
          <w:szCs w:val="22"/>
        </w:rPr>
        <w:t xml:space="preserve">It is important for the effectiveness of the MVE process that all stakeholders carry out their role appropriately and take responsibility for their part in the process. </w:t>
      </w:r>
      <w:r w:rsidRPr="00291102">
        <w:rPr>
          <w:rFonts w:cs="Arial"/>
          <w:sz w:val="22"/>
          <w:szCs w:val="22"/>
        </w:rPr>
        <w:t xml:space="preserve">It is </w:t>
      </w:r>
      <w:r>
        <w:rPr>
          <w:rFonts w:cs="Arial"/>
          <w:sz w:val="22"/>
          <w:szCs w:val="22"/>
        </w:rPr>
        <w:t>suggested</w:t>
      </w:r>
      <w:r w:rsidRPr="00291102">
        <w:rPr>
          <w:rFonts w:cs="Arial"/>
          <w:sz w:val="22"/>
          <w:szCs w:val="22"/>
        </w:rPr>
        <w:t xml:space="preserve"> that suitable, appropriate and regular training be provided for all sector groups.</w:t>
      </w:r>
      <w:r>
        <w:rPr>
          <w:rFonts w:cs="Arial"/>
          <w:sz w:val="22"/>
          <w:szCs w:val="22"/>
        </w:rPr>
        <w:t xml:space="preserve"> </w:t>
      </w:r>
      <w:r w:rsidRPr="2822A39B">
        <w:rPr>
          <w:rFonts w:eastAsia="Arial" w:cs="Arial"/>
          <w:sz w:val="22"/>
          <w:szCs w:val="22"/>
        </w:rPr>
        <w:t xml:space="preserve">In addition it is recommended that collaborative training of cross-sector groups be provided as a component of any training package. </w:t>
      </w:r>
      <w:r>
        <w:rPr>
          <w:sz w:val="22"/>
        </w:rPr>
        <w:t xml:space="preserve">ABACUS </w:t>
      </w:r>
      <w:r w:rsidRPr="008A7F33">
        <w:rPr>
          <w:rFonts w:eastAsia="Arial" w:cs="Arial"/>
          <w:sz w:val="22"/>
          <w:szCs w:val="22"/>
        </w:rPr>
        <w:t>the Ministry’s clinical services trainer would</w:t>
      </w:r>
      <w:r>
        <w:rPr>
          <w:rFonts w:eastAsia="Arial" w:cs="Arial"/>
          <w:sz w:val="22"/>
          <w:szCs w:val="22"/>
        </w:rPr>
        <w:t xml:space="preserve"> collaborate with the National Administrator to</w:t>
      </w:r>
      <w:r w:rsidRPr="008A7F33">
        <w:rPr>
          <w:rFonts w:eastAsia="Arial" w:cs="Arial"/>
          <w:sz w:val="22"/>
          <w:szCs w:val="22"/>
        </w:rPr>
        <w:t xml:space="preserve"> lead training speci</w:t>
      </w:r>
      <w:r>
        <w:rPr>
          <w:rFonts w:eastAsia="Arial" w:cs="Arial"/>
          <w:sz w:val="22"/>
          <w:szCs w:val="22"/>
        </w:rPr>
        <w:t>fic</w:t>
      </w:r>
      <w:r w:rsidRPr="008A7F33">
        <w:rPr>
          <w:rFonts w:eastAsia="Arial" w:cs="Arial"/>
          <w:sz w:val="22"/>
          <w:szCs w:val="22"/>
        </w:rPr>
        <w:t xml:space="preserve">ally for service providers and </w:t>
      </w:r>
      <w:r>
        <w:rPr>
          <w:rFonts w:eastAsia="Arial" w:cs="Arial"/>
          <w:sz w:val="22"/>
          <w:szCs w:val="22"/>
        </w:rPr>
        <w:t>to facilitate training for industry groups</w:t>
      </w:r>
      <w:r w:rsidRPr="2822A39B">
        <w:rPr>
          <w:rFonts w:eastAsia="Arial" w:cs="Arial"/>
          <w:sz w:val="22"/>
          <w:szCs w:val="22"/>
        </w:rPr>
        <w:t>.</w:t>
      </w:r>
    </w:p>
    <w:p w:rsidR="004B488F" w:rsidRPr="004B488F" w:rsidRDefault="004B488F" w:rsidP="00DA50DD">
      <w:pPr>
        <w:pStyle w:val="NoSpacing"/>
        <w:spacing w:before="120" w:after="120"/>
        <w:rPr>
          <w:rFonts w:asciiTheme="minorHAnsi" w:hAnsiTheme="minorHAnsi" w:cs="Arial"/>
          <w:color w:val="000000" w:themeColor="text1"/>
          <w:sz w:val="22"/>
        </w:rPr>
      </w:pPr>
      <w:r w:rsidRPr="004B488F">
        <w:rPr>
          <w:rFonts w:asciiTheme="minorHAnsi" w:hAnsiTheme="minorHAnsi" w:cs="Arial"/>
          <w:color w:val="000000" w:themeColor="text1"/>
          <w:sz w:val="22"/>
        </w:rPr>
        <w:t xml:space="preserve">Possible areas suggested for targeted training are: </w:t>
      </w:r>
    </w:p>
    <w:p w:rsidR="004B488F" w:rsidRPr="004B488F" w:rsidRDefault="004B488F" w:rsidP="00BC2235">
      <w:pPr>
        <w:pStyle w:val="NoSpacing"/>
        <w:numPr>
          <w:ilvl w:val="0"/>
          <w:numId w:val="29"/>
        </w:numPr>
        <w:rPr>
          <w:rFonts w:asciiTheme="minorHAnsi" w:hAnsiTheme="minorHAnsi" w:cs="Arial"/>
          <w:color w:val="000000" w:themeColor="text1"/>
          <w:sz w:val="22"/>
        </w:rPr>
      </w:pPr>
      <w:r w:rsidRPr="004B488F">
        <w:rPr>
          <w:rFonts w:asciiTheme="minorHAnsi" w:hAnsiTheme="minorHAnsi" w:cs="Arial"/>
          <w:color w:val="000000" w:themeColor="text1"/>
          <w:sz w:val="22"/>
        </w:rPr>
        <w:t>regular MVE process orientation for counsellors and a similar type of training for industry</w:t>
      </w:r>
    </w:p>
    <w:p w:rsidR="004B488F" w:rsidRPr="004B488F" w:rsidRDefault="004B488F" w:rsidP="00BC2235">
      <w:pPr>
        <w:pStyle w:val="NoSpacing"/>
        <w:numPr>
          <w:ilvl w:val="0"/>
          <w:numId w:val="29"/>
        </w:numPr>
        <w:rPr>
          <w:rFonts w:asciiTheme="minorHAnsi" w:hAnsiTheme="minorHAnsi" w:cs="Arial"/>
          <w:color w:val="000000" w:themeColor="text1"/>
          <w:sz w:val="22"/>
        </w:rPr>
      </w:pPr>
      <w:r w:rsidRPr="004B488F">
        <w:rPr>
          <w:rFonts w:asciiTheme="minorHAnsi" w:hAnsiTheme="minorHAnsi" w:cs="Arial"/>
          <w:color w:val="000000" w:themeColor="text1"/>
          <w:sz w:val="22"/>
        </w:rPr>
        <w:t xml:space="preserve">counsellors/clinical service providers in the appropriate use of MVE as the correct tool for individual clients and circumstances </w:t>
      </w:r>
    </w:p>
    <w:p w:rsidR="004B488F" w:rsidRPr="004B488F" w:rsidRDefault="004B488F" w:rsidP="00BC2235">
      <w:pPr>
        <w:pStyle w:val="NoSpacing"/>
        <w:numPr>
          <w:ilvl w:val="0"/>
          <w:numId w:val="29"/>
        </w:numPr>
        <w:rPr>
          <w:rFonts w:asciiTheme="minorHAnsi" w:hAnsiTheme="minorHAnsi" w:cs="Arial"/>
          <w:color w:val="000000" w:themeColor="text1"/>
          <w:sz w:val="22"/>
        </w:rPr>
      </w:pPr>
      <w:r w:rsidRPr="004B488F">
        <w:rPr>
          <w:rFonts w:asciiTheme="minorHAnsi" w:hAnsiTheme="minorHAnsi" w:cs="Arial"/>
          <w:color w:val="000000" w:themeColor="text1"/>
          <w:sz w:val="22"/>
        </w:rPr>
        <w:t>venue staff training in the enforcement of exclusion orders – identifying excluded patrons and removing them from venues</w:t>
      </w:r>
    </w:p>
    <w:p w:rsidR="004B488F" w:rsidRPr="004B488F" w:rsidRDefault="004B488F" w:rsidP="00BC2235">
      <w:pPr>
        <w:pStyle w:val="NoSpacing"/>
        <w:numPr>
          <w:ilvl w:val="0"/>
          <w:numId w:val="29"/>
        </w:numPr>
        <w:spacing w:after="240"/>
        <w:ind w:left="357" w:hanging="357"/>
        <w:rPr>
          <w:rFonts w:asciiTheme="minorHAnsi" w:hAnsiTheme="minorHAnsi" w:cs="Arial"/>
          <w:color w:val="000000" w:themeColor="text1"/>
          <w:sz w:val="22"/>
        </w:rPr>
      </w:pPr>
      <w:proofErr w:type="gramStart"/>
      <w:r w:rsidRPr="004B488F">
        <w:rPr>
          <w:rFonts w:asciiTheme="minorHAnsi" w:hAnsiTheme="minorHAnsi" w:cs="Arial"/>
          <w:color w:val="000000" w:themeColor="text1"/>
          <w:sz w:val="22"/>
        </w:rPr>
        <w:t>clarity</w:t>
      </w:r>
      <w:proofErr w:type="gramEnd"/>
      <w:r w:rsidRPr="004B488F">
        <w:rPr>
          <w:rFonts w:asciiTheme="minorHAnsi" w:hAnsiTheme="minorHAnsi" w:cs="Arial"/>
          <w:color w:val="000000" w:themeColor="text1"/>
          <w:sz w:val="22"/>
        </w:rPr>
        <w:t xml:space="preserve"> around roles and responsibilities for all stakeholders. </w:t>
      </w:r>
    </w:p>
    <w:p w:rsidR="004B488F" w:rsidRPr="00DA50DD" w:rsidRDefault="004B488F" w:rsidP="00DA50DD">
      <w:pPr>
        <w:pStyle w:val="NoSpacing"/>
        <w:spacing w:before="120" w:after="120"/>
        <w:rPr>
          <w:rFonts w:asciiTheme="minorHAnsi" w:hAnsiTheme="minorHAnsi" w:cs="Arial"/>
          <w:b/>
          <w:color w:val="1F546B"/>
          <w:sz w:val="32"/>
          <w:szCs w:val="32"/>
        </w:rPr>
      </w:pPr>
      <w:r w:rsidRPr="00DA50DD">
        <w:rPr>
          <w:rFonts w:asciiTheme="minorHAnsi" w:hAnsiTheme="minorHAnsi" w:cs="Arial"/>
          <w:b/>
          <w:color w:val="1F546B"/>
          <w:sz w:val="32"/>
          <w:szCs w:val="32"/>
        </w:rPr>
        <w:lastRenderedPageBreak/>
        <w:t xml:space="preserve">Enforcement of Exclusion Orders </w:t>
      </w:r>
    </w:p>
    <w:p w:rsidR="004B488F" w:rsidRPr="00DA50DD" w:rsidRDefault="004B488F" w:rsidP="00DA50DD">
      <w:r w:rsidRPr="00DA50DD">
        <w:t xml:space="preserve">Improvement in the workability of enforcing exclusions is recommended. This is primarily the responsibility of venue stakeholders. Improvements that help venue staff better manage exclusion orders and ensure enforcement exclusions are suggested. </w:t>
      </w:r>
    </w:p>
    <w:p w:rsidR="004B488F" w:rsidRPr="00DA50DD" w:rsidRDefault="004B488F" w:rsidP="00DA50DD">
      <w:pPr>
        <w:pStyle w:val="NoSpacing"/>
        <w:spacing w:before="120" w:after="120"/>
        <w:rPr>
          <w:rFonts w:asciiTheme="minorHAnsi" w:hAnsiTheme="minorHAnsi"/>
          <w:sz w:val="22"/>
        </w:rPr>
      </w:pPr>
      <w:r w:rsidRPr="00DA50DD">
        <w:rPr>
          <w:rFonts w:asciiTheme="minorHAnsi" w:hAnsiTheme="minorHAnsi"/>
          <w:sz w:val="22"/>
        </w:rPr>
        <w:t xml:space="preserve">Enforcement of MVE could be aided by: </w:t>
      </w:r>
    </w:p>
    <w:p w:rsidR="004B488F" w:rsidRPr="00DA50DD" w:rsidRDefault="004B488F" w:rsidP="00BC2235">
      <w:pPr>
        <w:pStyle w:val="NoSpacing"/>
        <w:numPr>
          <w:ilvl w:val="0"/>
          <w:numId w:val="36"/>
        </w:numPr>
        <w:rPr>
          <w:rFonts w:asciiTheme="minorHAnsi" w:hAnsiTheme="minorHAnsi"/>
          <w:color w:val="000000" w:themeColor="text1"/>
          <w:sz w:val="22"/>
        </w:rPr>
      </w:pPr>
      <w:r w:rsidRPr="00DA50DD">
        <w:rPr>
          <w:rFonts w:asciiTheme="minorHAnsi" w:hAnsiTheme="minorHAnsi"/>
          <w:sz w:val="22"/>
        </w:rPr>
        <w:t>improved training for venues on identifying and approaching excluded patrons</w:t>
      </w:r>
    </w:p>
    <w:p w:rsidR="004B488F" w:rsidRPr="00DA50DD" w:rsidRDefault="004B488F" w:rsidP="00BC2235">
      <w:pPr>
        <w:pStyle w:val="NoSpacing"/>
        <w:numPr>
          <w:ilvl w:val="0"/>
          <w:numId w:val="33"/>
        </w:numPr>
        <w:rPr>
          <w:rFonts w:asciiTheme="minorHAnsi" w:hAnsiTheme="minorHAnsi"/>
          <w:sz w:val="22"/>
        </w:rPr>
      </w:pPr>
      <w:r w:rsidRPr="00DA50DD">
        <w:rPr>
          <w:rFonts w:asciiTheme="minorHAnsi" w:hAnsiTheme="minorHAnsi"/>
          <w:sz w:val="22"/>
        </w:rPr>
        <w:t>use of monitoring systems by venues along with checks by DIA</w:t>
      </w:r>
    </w:p>
    <w:p w:rsidR="004B488F" w:rsidRPr="00DA50DD" w:rsidRDefault="004B488F" w:rsidP="00BC2235">
      <w:pPr>
        <w:pStyle w:val="NoSpacing"/>
        <w:numPr>
          <w:ilvl w:val="0"/>
          <w:numId w:val="33"/>
        </w:numPr>
        <w:spacing w:after="240"/>
        <w:ind w:left="357" w:hanging="357"/>
        <w:rPr>
          <w:rFonts w:asciiTheme="minorHAnsi" w:hAnsiTheme="minorHAnsi"/>
          <w:sz w:val="22"/>
        </w:rPr>
      </w:pPr>
      <w:proofErr w:type="gramStart"/>
      <w:r w:rsidRPr="00DA50DD">
        <w:rPr>
          <w:rFonts w:asciiTheme="minorHAnsi" w:hAnsiTheme="minorHAnsi"/>
          <w:sz w:val="22"/>
        </w:rPr>
        <w:t>development</w:t>
      </w:r>
      <w:proofErr w:type="gramEnd"/>
      <w:r w:rsidRPr="00DA50DD">
        <w:rPr>
          <w:rFonts w:asciiTheme="minorHAnsi" w:hAnsiTheme="minorHAnsi"/>
          <w:sz w:val="22"/>
        </w:rPr>
        <w:t xml:space="preserve"> of the relationship </w:t>
      </w:r>
      <w:r w:rsidRPr="00DA50DD">
        <w:rPr>
          <w:rFonts w:asciiTheme="minorHAnsi" w:hAnsiTheme="minorHAnsi" w:cs="Arial"/>
          <w:sz w:val="22"/>
        </w:rPr>
        <w:t>between venue stakeholders and gambling harm providers.</w:t>
      </w:r>
    </w:p>
    <w:p w:rsidR="004B488F" w:rsidRPr="00DA50DD" w:rsidRDefault="004B488F" w:rsidP="00DA50DD">
      <w:pPr>
        <w:rPr>
          <w:rFonts w:cs="Arial"/>
          <w:b/>
          <w:color w:val="1F546B"/>
          <w:sz w:val="32"/>
          <w:szCs w:val="32"/>
        </w:rPr>
      </w:pPr>
      <w:r w:rsidRPr="00DA50DD">
        <w:rPr>
          <w:rFonts w:cs="Arial"/>
          <w:b/>
          <w:color w:val="1F546B"/>
          <w:sz w:val="32"/>
          <w:szCs w:val="32"/>
        </w:rPr>
        <w:t>Electronic Upgrade</w:t>
      </w:r>
    </w:p>
    <w:p w:rsidR="004B488F" w:rsidRPr="00DA50DD" w:rsidRDefault="004B488F" w:rsidP="00DA50DD">
      <w:r w:rsidRPr="00DA50DD">
        <w:t xml:space="preserve">A national centralised secure database to streamline the MVE process for all stakeholders is recommended. It is also suggested that a solution is found regarding the use of emails to ease the administration burden as well as protect the privacy rights of an excluded gambler.  Where possible, the use of technology to bolster enforcement is recommended. </w:t>
      </w:r>
    </w:p>
    <w:p w:rsidR="004B488F" w:rsidRPr="00DA50DD" w:rsidRDefault="004B488F" w:rsidP="00DA50DD">
      <w:pPr>
        <w:pStyle w:val="NoSpacing"/>
        <w:spacing w:before="120" w:after="120"/>
        <w:rPr>
          <w:rFonts w:asciiTheme="minorHAnsi" w:hAnsiTheme="minorHAnsi" w:cs="Arial"/>
          <w:sz w:val="22"/>
        </w:rPr>
      </w:pPr>
      <w:r w:rsidRPr="00DA50DD">
        <w:rPr>
          <w:rFonts w:asciiTheme="minorHAnsi" w:hAnsiTheme="minorHAnsi" w:cs="Arial"/>
          <w:sz w:val="22"/>
        </w:rPr>
        <w:t>Examples of an electronic upgrade could be:</w:t>
      </w:r>
    </w:p>
    <w:p w:rsidR="004B488F" w:rsidRPr="00DA50DD" w:rsidRDefault="004B488F" w:rsidP="00BC2235">
      <w:pPr>
        <w:pStyle w:val="NoSpacing"/>
        <w:keepNext/>
        <w:numPr>
          <w:ilvl w:val="0"/>
          <w:numId w:val="30"/>
        </w:numPr>
        <w:rPr>
          <w:rFonts w:asciiTheme="minorHAnsi" w:hAnsiTheme="minorHAnsi" w:cs="Arial"/>
          <w:sz w:val="22"/>
        </w:rPr>
      </w:pPr>
      <w:r w:rsidRPr="00DA50DD">
        <w:rPr>
          <w:rFonts w:asciiTheme="minorHAnsi" w:hAnsiTheme="minorHAnsi" w:cs="Arial"/>
          <w:sz w:val="22"/>
        </w:rPr>
        <w:t xml:space="preserve">using digital photo display technology to identify patrons who have self-excluded </w:t>
      </w:r>
    </w:p>
    <w:p w:rsidR="004B488F" w:rsidRPr="00DA50DD" w:rsidRDefault="004B488F" w:rsidP="00BC2235">
      <w:pPr>
        <w:pStyle w:val="NoSpacing"/>
        <w:numPr>
          <w:ilvl w:val="0"/>
          <w:numId w:val="30"/>
        </w:numPr>
        <w:rPr>
          <w:rFonts w:asciiTheme="minorHAnsi" w:hAnsiTheme="minorHAnsi" w:cs="Arial"/>
          <w:sz w:val="22"/>
        </w:rPr>
      </w:pPr>
      <w:r w:rsidRPr="00DA50DD">
        <w:rPr>
          <w:rFonts w:asciiTheme="minorHAnsi" w:hAnsiTheme="minorHAnsi" w:cs="Arial"/>
          <w:sz w:val="22"/>
        </w:rPr>
        <w:t>Incorporating facial recognition technology within gaming areas.</w:t>
      </w:r>
    </w:p>
    <w:p w:rsidR="004B488F" w:rsidRPr="00DA50DD" w:rsidRDefault="004B488F" w:rsidP="00DA50DD">
      <w:pPr>
        <w:rPr>
          <w:rFonts w:cs="Arial"/>
          <w:b/>
          <w:color w:val="1F546B"/>
          <w:sz w:val="32"/>
          <w:szCs w:val="32"/>
        </w:rPr>
      </w:pPr>
      <w:r w:rsidRPr="00DA50DD">
        <w:rPr>
          <w:rFonts w:cs="Arial"/>
          <w:b/>
          <w:color w:val="1F546B"/>
          <w:sz w:val="32"/>
          <w:szCs w:val="32"/>
        </w:rPr>
        <w:t>Information and Reporting</w:t>
      </w:r>
    </w:p>
    <w:p w:rsidR="004B488F" w:rsidRDefault="004B488F" w:rsidP="004B488F">
      <w:pPr>
        <w:keepNext/>
        <w:rPr>
          <w:rFonts w:cs="Arial"/>
          <w:sz w:val="22"/>
          <w:szCs w:val="22"/>
        </w:rPr>
      </w:pPr>
      <w:proofErr w:type="gramStart"/>
      <w:r w:rsidRPr="007E7823">
        <w:rPr>
          <w:rFonts w:cs="Arial"/>
          <w:sz w:val="22"/>
          <w:szCs w:val="22"/>
        </w:rPr>
        <w:t>A regular</w:t>
      </w:r>
      <w:proofErr w:type="gramEnd"/>
      <w:r w:rsidRPr="007E7823">
        <w:rPr>
          <w:rFonts w:cs="Arial"/>
          <w:sz w:val="22"/>
          <w:szCs w:val="22"/>
        </w:rPr>
        <w:t xml:space="preserve"> information and reporting</w:t>
      </w:r>
      <w:r>
        <w:rPr>
          <w:rFonts w:cs="Arial"/>
          <w:sz w:val="22"/>
          <w:szCs w:val="22"/>
        </w:rPr>
        <w:t xml:space="preserve"> dissemination</w:t>
      </w:r>
      <w:r w:rsidRPr="007E7823">
        <w:rPr>
          <w:rFonts w:cs="Arial"/>
          <w:sz w:val="22"/>
          <w:szCs w:val="22"/>
        </w:rPr>
        <w:t xml:space="preserve"> function is recommended including clear reporting lines. This function should involve all stakeholders and include clarity around timely information and updates. It will provide an opportunity for quality assurance data for key measures for all stakeholders to be collected, collated and reported.  </w:t>
      </w:r>
      <w:r w:rsidRPr="009C61A8">
        <w:rPr>
          <w:rFonts w:cs="Arial"/>
          <w:sz w:val="22"/>
          <w:szCs w:val="22"/>
        </w:rPr>
        <w:t>Information and reporting dissemination would be included in the National Administrator’s</w:t>
      </w:r>
      <w:r>
        <w:rPr>
          <w:rFonts w:cs="Arial"/>
          <w:sz w:val="22"/>
          <w:szCs w:val="22"/>
        </w:rPr>
        <w:t xml:space="preserve"> role.</w:t>
      </w:r>
    </w:p>
    <w:p w:rsidR="004B488F" w:rsidRDefault="004B488F" w:rsidP="00DA50DD">
      <w:pPr>
        <w:keepNext/>
        <w:spacing w:after="120"/>
        <w:rPr>
          <w:rFonts w:cs="Arial"/>
          <w:sz w:val="22"/>
          <w:szCs w:val="22"/>
        </w:rPr>
      </w:pPr>
      <w:r>
        <w:rPr>
          <w:rFonts w:cs="Arial"/>
          <w:sz w:val="22"/>
          <w:szCs w:val="22"/>
        </w:rPr>
        <w:t>Information and Reporting could be improved in the following ways:</w:t>
      </w:r>
    </w:p>
    <w:p w:rsidR="004B488F" w:rsidRPr="00DA50DD" w:rsidRDefault="004B488F" w:rsidP="00BC2235">
      <w:pPr>
        <w:pStyle w:val="NoSpacing"/>
        <w:numPr>
          <w:ilvl w:val="0"/>
          <w:numId w:val="31"/>
        </w:numPr>
        <w:rPr>
          <w:rFonts w:asciiTheme="minorHAnsi" w:hAnsiTheme="minorHAnsi"/>
          <w:sz w:val="22"/>
        </w:rPr>
      </w:pPr>
      <w:r w:rsidRPr="00DA50DD">
        <w:rPr>
          <w:rFonts w:asciiTheme="minorHAnsi" w:hAnsiTheme="minorHAnsi"/>
          <w:sz w:val="22"/>
        </w:rPr>
        <w:t>sector wide reporting, which could involve statistics, local qualitative case studies for context and a quarterly information newsletter</w:t>
      </w:r>
    </w:p>
    <w:p w:rsidR="004B488F" w:rsidRPr="00DA50DD" w:rsidRDefault="004B488F" w:rsidP="00BC2235">
      <w:pPr>
        <w:pStyle w:val="NoSpacing"/>
        <w:numPr>
          <w:ilvl w:val="0"/>
          <w:numId w:val="31"/>
        </w:numPr>
        <w:rPr>
          <w:rFonts w:asciiTheme="minorHAnsi" w:hAnsiTheme="minorHAnsi"/>
          <w:sz w:val="22"/>
        </w:rPr>
      </w:pPr>
      <w:proofErr w:type="gramStart"/>
      <w:r w:rsidRPr="00DA50DD">
        <w:rPr>
          <w:rFonts w:asciiTheme="minorHAnsi" w:hAnsiTheme="minorHAnsi"/>
          <w:sz w:val="22"/>
        </w:rPr>
        <w:t>development</w:t>
      </w:r>
      <w:proofErr w:type="gramEnd"/>
      <w:r w:rsidRPr="00DA50DD">
        <w:rPr>
          <w:rFonts w:asciiTheme="minorHAnsi" w:hAnsiTheme="minorHAnsi"/>
          <w:sz w:val="22"/>
        </w:rPr>
        <w:t xml:space="preserve"> of suitable and appropriate feedback processes.</w:t>
      </w:r>
    </w:p>
    <w:p w:rsidR="004B488F" w:rsidRPr="00881800" w:rsidRDefault="004B488F" w:rsidP="00DA50DD">
      <w:pPr>
        <w:rPr>
          <w:rFonts w:cs="Arial"/>
          <w:b/>
          <w:sz w:val="32"/>
          <w:szCs w:val="32"/>
        </w:rPr>
      </w:pPr>
      <w:r w:rsidRPr="00DA50DD">
        <w:rPr>
          <w:rFonts w:cs="Arial"/>
          <w:b/>
          <w:color w:val="1F546B"/>
          <w:sz w:val="32"/>
          <w:szCs w:val="32"/>
        </w:rPr>
        <w:t>Governance</w:t>
      </w:r>
      <w:r>
        <w:rPr>
          <w:rFonts w:cs="Arial"/>
          <w:b/>
          <w:sz w:val="32"/>
          <w:szCs w:val="32"/>
        </w:rPr>
        <w:t xml:space="preserve"> </w:t>
      </w:r>
    </w:p>
    <w:p w:rsidR="004B488F" w:rsidRPr="00DA50DD" w:rsidRDefault="004B488F" w:rsidP="00DA50DD">
      <w:pPr>
        <w:rPr>
          <w:sz w:val="22"/>
          <w:szCs w:val="22"/>
        </w:rPr>
      </w:pPr>
      <w:r w:rsidRPr="00DA50DD">
        <w:rPr>
          <w:sz w:val="22"/>
          <w:szCs w:val="22"/>
        </w:rPr>
        <w:t>The MVE framework has evolved to be jointly led by DIA, the Ministry and representatives of the Ministry’s provider organisations. The day-to-day work has been largely carried out by MVE administrators and coordinators. In response to the survey of the MVE process it is recommended that a new governance framework is developed. Two groups will be established to ensure the MVE benefits from clear leadership structures, an agreed strategic direction and relevant timely advice from the sector. In addition a new role of National Administrator is envisaged, funded by the Ministry.</w:t>
      </w:r>
    </w:p>
    <w:p w:rsidR="004B488F" w:rsidRPr="00DA50DD" w:rsidRDefault="004B488F" w:rsidP="00DA50DD">
      <w:pPr>
        <w:pStyle w:val="Heading3"/>
      </w:pPr>
      <w:r w:rsidRPr="00DA50DD">
        <w:t>New MVE Governance Framework</w:t>
      </w:r>
    </w:p>
    <w:p w:rsidR="004B488F" w:rsidRPr="00DA50DD" w:rsidRDefault="004B488F" w:rsidP="00BC2235">
      <w:pPr>
        <w:pStyle w:val="NoSpacing"/>
        <w:numPr>
          <w:ilvl w:val="0"/>
          <w:numId w:val="38"/>
        </w:numPr>
        <w:rPr>
          <w:rFonts w:asciiTheme="minorHAnsi" w:hAnsiTheme="minorHAnsi" w:cs="Arial"/>
          <w:sz w:val="22"/>
        </w:rPr>
      </w:pPr>
      <w:r w:rsidRPr="00DA50DD">
        <w:rPr>
          <w:rFonts w:asciiTheme="minorHAnsi" w:hAnsiTheme="minorHAnsi" w:cs="Arial"/>
          <w:sz w:val="22"/>
        </w:rPr>
        <w:t>Governance Group – with representatives from the Ministry and DIA</w:t>
      </w:r>
    </w:p>
    <w:p w:rsidR="004B488F" w:rsidRPr="00DA50DD" w:rsidRDefault="004B488F" w:rsidP="00BC2235">
      <w:pPr>
        <w:pStyle w:val="NoSpacing"/>
        <w:numPr>
          <w:ilvl w:val="0"/>
          <w:numId w:val="38"/>
        </w:numPr>
        <w:rPr>
          <w:rFonts w:asciiTheme="minorHAnsi" w:hAnsiTheme="minorHAnsi" w:cs="Arial"/>
          <w:sz w:val="22"/>
        </w:rPr>
      </w:pPr>
      <w:r w:rsidRPr="00DA50DD">
        <w:rPr>
          <w:rFonts w:asciiTheme="minorHAnsi" w:hAnsiTheme="minorHAnsi" w:cs="Arial"/>
          <w:sz w:val="22"/>
        </w:rPr>
        <w:t>Implementation Working Group with experts from the broader sector.</w:t>
      </w:r>
    </w:p>
    <w:p w:rsidR="004B488F" w:rsidRPr="00DA50DD" w:rsidRDefault="004B488F" w:rsidP="004B488F">
      <w:pPr>
        <w:pStyle w:val="NoSpacing"/>
        <w:rPr>
          <w:rFonts w:asciiTheme="minorHAnsi" w:hAnsiTheme="minorHAnsi" w:cs="Arial"/>
          <w:sz w:val="22"/>
        </w:rPr>
      </w:pPr>
    </w:p>
    <w:p w:rsidR="004B488F" w:rsidRPr="00DA50DD" w:rsidRDefault="004B488F" w:rsidP="00DA50DD">
      <w:pPr>
        <w:rPr>
          <w:sz w:val="22"/>
          <w:szCs w:val="22"/>
        </w:rPr>
      </w:pPr>
      <w:r w:rsidRPr="00DA50DD">
        <w:rPr>
          <w:sz w:val="22"/>
          <w:szCs w:val="22"/>
        </w:rPr>
        <w:lastRenderedPageBreak/>
        <w:t>Both groups will have Terms of Reference that set out their respective roles, membership responsibilities and accountabilities. This review outlines their general roles and responsibilities.</w:t>
      </w:r>
    </w:p>
    <w:p w:rsidR="004B488F" w:rsidRDefault="004B488F" w:rsidP="00BC2235">
      <w:pPr>
        <w:pStyle w:val="Heading4"/>
        <w:spacing w:before="120" w:after="240"/>
      </w:pPr>
      <w:r>
        <w:t>Governance Group</w:t>
      </w:r>
    </w:p>
    <w:p w:rsidR="004B488F" w:rsidRDefault="004B488F" w:rsidP="00BC2235">
      <w:pPr>
        <w:rPr>
          <w:rFonts w:cs="Arial"/>
          <w:sz w:val="22"/>
          <w:szCs w:val="22"/>
        </w:rPr>
      </w:pPr>
      <w:r>
        <w:rPr>
          <w:rFonts w:cs="Arial"/>
          <w:sz w:val="22"/>
          <w:szCs w:val="22"/>
        </w:rPr>
        <w:t xml:space="preserve">This group would be made up of two representatives from DIA and two representatives from the Ministry. The MVE programme is largely funded by the Ministry with input for compliance issues from DIA. Two members from each agency will form the MVE Governance Group. </w:t>
      </w:r>
    </w:p>
    <w:p w:rsidR="004B488F" w:rsidRDefault="004B488F" w:rsidP="00DA50DD">
      <w:pPr>
        <w:spacing w:after="120"/>
        <w:rPr>
          <w:rFonts w:cs="Arial"/>
          <w:sz w:val="22"/>
          <w:szCs w:val="22"/>
        </w:rPr>
      </w:pPr>
      <w:r>
        <w:rPr>
          <w:rFonts w:cs="Arial"/>
          <w:sz w:val="22"/>
          <w:szCs w:val="22"/>
        </w:rPr>
        <w:t>The role of the Governance Group is to:</w:t>
      </w:r>
    </w:p>
    <w:p w:rsidR="004B488F" w:rsidRPr="00A9223B" w:rsidRDefault="004B488F" w:rsidP="00BC2235">
      <w:pPr>
        <w:pStyle w:val="ListParagraph"/>
        <w:keepLines w:val="0"/>
        <w:numPr>
          <w:ilvl w:val="0"/>
          <w:numId w:val="39"/>
        </w:numPr>
        <w:spacing w:before="0" w:after="200" w:line="276" w:lineRule="auto"/>
        <w:contextualSpacing/>
        <w:rPr>
          <w:rFonts w:cs="Arial"/>
          <w:sz w:val="22"/>
        </w:rPr>
      </w:pPr>
      <w:r>
        <w:rPr>
          <w:rFonts w:cs="Arial"/>
          <w:sz w:val="22"/>
        </w:rPr>
        <w:t>s</w:t>
      </w:r>
      <w:r w:rsidRPr="00A9223B">
        <w:rPr>
          <w:rFonts w:cs="Arial"/>
          <w:sz w:val="22"/>
        </w:rPr>
        <w:t>upport the establishment and maintenance of the Implementation Working Group</w:t>
      </w:r>
    </w:p>
    <w:p w:rsidR="004B488F" w:rsidRPr="00A9223B" w:rsidRDefault="004B488F" w:rsidP="00BC2235">
      <w:pPr>
        <w:pStyle w:val="ListParagraph"/>
        <w:keepLines w:val="0"/>
        <w:numPr>
          <w:ilvl w:val="0"/>
          <w:numId w:val="39"/>
        </w:numPr>
        <w:spacing w:before="0" w:after="200" w:line="276" w:lineRule="auto"/>
        <w:contextualSpacing/>
        <w:rPr>
          <w:rFonts w:cs="Arial"/>
          <w:sz w:val="22"/>
        </w:rPr>
      </w:pPr>
      <w:r>
        <w:rPr>
          <w:rFonts w:cs="Arial"/>
          <w:sz w:val="22"/>
        </w:rPr>
        <w:t>o</w:t>
      </w:r>
      <w:r w:rsidRPr="00A9223B">
        <w:rPr>
          <w:rFonts w:cs="Arial"/>
          <w:sz w:val="22"/>
        </w:rPr>
        <w:t>versee the strategic plan of the Implementation Working Group while allowing the Implementation Working Group to progress agreed initiatives and activities</w:t>
      </w:r>
    </w:p>
    <w:p w:rsidR="004B488F" w:rsidRPr="00A9223B" w:rsidRDefault="004B488F" w:rsidP="00BC2235">
      <w:pPr>
        <w:pStyle w:val="ListParagraph"/>
        <w:keepLines w:val="0"/>
        <w:numPr>
          <w:ilvl w:val="0"/>
          <w:numId w:val="39"/>
        </w:numPr>
        <w:spacing w:before="0" w:after="200" w:line="276" w:lineRule="auto"/>
        <w:contextualSpacing/>
        <w:rPr>
          <w:rFonts w:cs="Arial"/>
          <w:sz w:val="22"/>
        </w:rPr>
      </w:pPr>
      <w:r>
        <w:rPr>
          <w:rFonts w:cs="Arial"/>
          <w:sz w:val="22"/>
        </w:rPr>
        <w:t>p</w:t>
      </w:r>
      <w:r w:rsidRPr="00A9223B">
        <w:rPr>
          <w:rFonts w:cs="Arial"/>
          <w:sz w:val="22"/>
        </w:rPr>
        <w:t>rovide leadership and guidance to unblock barriers and progress opportunities</w:t>
      </w:r>
    </w:p>
    <w:p w:rsidR="004B488F" w:rsidRPr="00A9223B" w:rsidRDefault="004B488F" w:rsidP="00BC2235">
      <w:pPr>
        <w:pStyle w:val="ListParagraph"/>
        <w:keepLines w:val="0"/>
        <w:numPr>
          <w:ilvl w:val="0"/>
          <w:numId w:val="39"/>
        </w:numPr>
        <w:spacing w:before="0" w:after="200" w:line="276" w:lineRule="auto"/>
        <w:contextualSpacing/>
        <w:rPr>
          <w:rFonts w:cs="Arial"/>
          <w:sz w:val="22"/>
        </w:rPr>
      </w:pPr>
      <w:r>
        <w:rPr>
          <w:rFonts w:cs="Arial"/>
          <w:sz w:val="22"/>
        </w:rPr>
        <w:t>p</w:t>
      </w:r>
      <w:r w:rsidRPr="00A9223B">
        <w:rPr>
          <w:rFonts w:cs="Arial"/>
          <w:sz w:val="22"/>
        </w:rPr>
        <w:t>rovide direction and feedback to the National Administrator on the progress of work</w:t>
      </w:r>
    </w:p>
    <w:p w:rsidR="004B488F" w:rsidRPr="00A9223B" w:rsidRDefault="004B488F" w:rsidP="00BC2235">
      <w:pPr>
        <w:pStyle w:val="ListParagraph"/>
        <w:keepLines w:val="0"/>
        <w:numPr>
          <w:ilvl w:val="0"/>
          <w:numId w:val="39"/>
        </w:numPr>
        <w:spacing w:before="0" w:after="200" w:line="276" w:lineRule="auto"/>
        <w:contextualSpacing/>
        <w:rPr>
          <w:rFonts w:cs="Arial"/>
          <w:sz w:val="22"/>
        </w:rPr>
      </w:pPr>
      <w:r>
        <w:rPr>
          <w:rFonts w:cs="Arial"/>
          <w:sz w:val="22"/>
        </w:rPr>
        <w:t>m</w:t>
      </w:r>
      <w:r w:rsidRPr="00A9223B">
        <w:rPr>
          <w:rFonts w:cs="Arial"/>
          <w:sz w:val="22"/>
        </w:rPr>
        <w:t>ake final decisions in areas of funding</w:t>
      </w:r>
    </w:p>
    <w:p w:rsidR="004B488F" w:rsidRPr="00A9223B" w:rsidRDefault="004B488F" w:rsidP="00BC2235">
      <w:pPr>
        <w:pStyle w:val="ListParagraph"/>
        <w:keepLines w:val="0"/>
        <w:numPr>
          <w:ilvl w:val="0"/>
          <w:numId w:val="39"/>
        </w:numPr>
        <w:spacing w:before="0" w:after="200" w:line="276" w:lineRule="auto"/>
        <w:contextualSpacing/>
        <w:rPr>
          <w:rFonts w:cs="Arial"/>
          <w:sz w:val="22"/>
        </w:rPr>
      </w:pPr>
      <w:r>
        <w:rPr>
          <w:rFonts w:cs="Arial"/>
          <w:sz w:val="22"/>
        </w:rPr>
        <w:t>a</w:t>
      </w:r>
      <w:r w:rsidRPr="00A9223B">
        <w:rPr>
          <w:rFonts w:cs="Arial"/>
          <w:sz w:val="22"/>
        </w:rPr>
        <w:t>ct on the advice and or recommendations of the Implementation Working Group</w:t>
      </w:r>
    </w:p>
    <w:p w:rsidR="004B488F" w:rsidRPr="00A9223B" w:rsidRDefault="004B488F" w:rsidP="00BC2235">
      <w:pPr>
        <w:pStyle w:val="ListParagraph"/>
        <w:keepLines w:val="0"/>
        <w:numPr>
          <w:ilvl w:val="0"/>
          <w:numId w:val="39"/>
        </w:numPr>
        <w:spacing w:before="0" w:after="200" w:line="276" w:lineRule="auto"/>
        <w:contextualSpacing/>
        <w:rPr>
          <w:rFonts w:cs="Arial"/>
          <w:sz w:val="22"/>
        </w:rPr>
      </w:pPr>
      <w:r>
        <w:rPr>
          <w:rFonts w:cs="Arial"/>
          <w:sz w:val="22"/>
        </w:rPr>
        <w:t>i</w:t>
      </w:r>
      <w:r w:rsidRPr="00A9223B">
        <w:rPr>
          <w:rFonts w:cs="Arial"/>
          <w:sz w:val="22"/>
        </w:rPr>
        <w:t>dentify opportunities to align priorities and initiatives, and better integrate and coordinate plans and activities</w:t>
      </w:r>
    </w:p>
    <w:p w:rsidR="004B488F" w:rsidRPr="00A9223B" w:rsidRDefault="004B488F" w:rsidP="00BC2235">
      <w:pPr>
        <w:pStyle w:val="ListParagraph"/>
        <w:keepLines w:val="0"/>
        <w:numPr>
          <w:ilvl w:val="0"/>
          <w:numId w:val="39"/>
        </w:numPr>
        <w:spacing w:before="0" w:after="200" w:line="276" w:lineRule="auto"/>
        <w:contextualSpacing/>
        <w:rPr>
          <w:rFonts w:cs="Arial"/>
          <w:sz w:val="22"/>
        </w:rPr>
      </w:pPr>
      <w:r>
        <w:rPr>
          <w:rFonts w:cs="Arial"/>
          <w:sz w:val="22"/>
        </w:rPr>
        <w:t>p</w:t>
      </w:r>
      <w:r w:rsidRPr="00A9223B">
        <w:rPr>
          <w:rFonts w:cs="Arial"/>
          <w:sz w:val="22"/>
        </w:rPr>
        <w:t>romote communication about MVE to the gambling sector</w:t>
      </w:r>
    </w:p>
    <w:p w:rsidR="004B488F" w:rsidRPr="00A9223B" w:rsidRDefault="004B488F" w:rsidP="00BC2235">
      <w:pPr>
        <w:pStyle w:val="ListParagraph"/>
        <w:keepLines w:val="0"/>
        <w:numPr>
          <w:ilvl w:val="0"/>
          <w:numId w:val="39"/>
        </w:numPr>
        <w:spacing w:before="0" w:after="200" w:line="276" w:lineRule="auto"/>
        <w:contextualSpacing/>
        <w:rPr>
          <w:rFonts w:cs="Arial"/>
          <w:sz w:val="22"/>
        </w:rPr>
      </w:pPr>
      <w:r>
        <w:rPr>
          <w:rFonts w:cs="Arial"/>
          <w:sz w:val="22"/>
        </w:rPr>
        <w:t>e</w:t>
      </w:r>
      <w:r w:rsidRPr="00A9223B">
        <w:rPr>
          <w:rFonts w:cs="Arial"/>
          <w:sz w:val="22"/>
        </w:rPr>
        <w:t>nsure the Ministry and DIA’</w:t>
      </w:r>
      <w:r>
        <w:rPr>
          <w:rFonts w:cs="Arial"/>
          <w:sz w:val="22"/>
        </w:rPr>
        <w:t>s Executive L</w:t>
      </w:r>
      <w:r w:rsidRPr="00A9223B">
        <w:rPr>
          <w:rFonts w:cs="Arial"/>
          <w:sz w:val="22"/>
        </w:rPr>
        <w:t>eadership and Ministers are appropriately kept informed</w:t>
      </w:r>
    </w:p>
    <w:p w:rsidR="004B488F" w:rsidRPr="00A9223B" w:rsidRDefault="004B488F" w:rsidP="00BC2235">
      <w:pPr>
        <w:pStyle w:val="ListParagraph"/>
        <w:keepLines w:val="0"/>
        <w:numPr>
          <w:ilvl w:val="0"/>
          <w:numId w:val="39"/>
        </w:numPr>
        <w:spacing w:before="0" w:after="240" w:line="276" w:lineRule="auto"/>
        <w:ind w:left="357" w:hanging="357"/>
        <w:contextualSpacing/>
        <w:rPr>
          <w:rFonts w:cs="Arial"/>
          <w:sz w:val="22"/>
        </w:rPr>
      </w:pPr>
      <w:r>
        <w:rPr>
          <w:rFonts w:cs="Arial"/>
          <w:sz w:val="22"/>
        </w:rPr>
        <w:t>p</w:t>
      </w:r>
      <w:r w:rsidRPr="00A9223B">
        <w:rPr>
          <w:rFonts w:cs="Arial"/>
          <w:sz w:val="22"/>
        </w:rPr>
        <w:t>romote and demonstrate collaborative behaviour</w:t>
      </w:r>
    </w:p>
    <w:p w:rsidR="004B488F" w:rsidRPr="00DA50DD" w:rsidRDefault="004B488F" w:rsidP="00BC2235">
      <w:pPr>
        <w:pStyle w:val="Heading4"/>
        <w:spacing w:before="120" w:after="240"/>
      </w:pPr>
      <w:r w:rsidRPr="00DA50DD">
        <w:t>Implementation Working Group</w:t>
      </w:r>
    </w:p>
    <w:p w:rsidR="004B488F" w:rsidRDefault="004B488F" w:rsidP="00BC2235">
      <w:pPr>
        <w:spacing w:after="120"/>
        <w:rPr>
          <w:rFonts w:cs="Arial"/>
          <w:sz w:val="22"/>
          <w:szCs w:val="22"/>
        </w:rPr>
      </w:pPr>
      <w:r>
        <w:rPr>
          <w:rFonts w:cs="Arial"/>
          <w:sz w:val="22"/>
          <w:szCs w:val="22"/>
        </w:rPr>
        <w:t>The new role of National Administrator will sit on this group. The current Project Group</w:t>
      </w:r>
      <w:r>
        <w:rPr>
          <w:rStyle w:val="FootnoteReference"/>
          <w:rFonts w:cs="Arial"/>
          <w:sz w:val="22"/>
          <w:szCs w:val="22"/>
        </w:rPr>
        <w:footnoteReference w:id="1"/>
      </w:r>
      <w:r>
        <w:rPr>
          <w:rFonts w:cs="Arial"/>
          <w:sz w:val="22"/>
          <w:szCs w:val="22"/>
        </w:rPr>
        <w:t xml:space="preserve"> will determine the initial composition of the Implementation Working Group, which would likely include:</w:t>
      </w:r>
    </w:p>
    <w:p w:rsidR="004B488F" w:rsidRPr="00AE604C" w:rsidRDefault="004B488F" w:rsidP="00BC2235">
      <w:pPr>
        <w:pStyle w:val="ListParagraph"/>
        <w:keepLines w:val="0"/>
        <w:numPr>
          <w:ilvl w:val="0"/>
          <w:numId w:val="37"/>
        </w:numPr>
        <w:spacing w:before="0" w:after="200" w:line="276" w:lineRule="auto"/>
        <w:ind w:left="360"/>
        <w:contextualSpacing/>
        <w:rPr>
          <w:rFonts w:cs="Arial"/>
          <w:sz w:val="22"/>
        </w:rPr>
      </w:pPr>
      <w:r>
        <w:rPr>
          <w:rFonts w:cs="Arial"/>
          <w:sz w:val="22"/>
        </w:rPr>
        <w:t>t</w:t>
      </w:r>
      <w:r w:rsidRPr="00AE604C">
        <w:rPr>
          <w:rFonts w:cs="Arial"/>
          <w:sz w:val="22"/>
        </w:rPr>
        <w:t xml:space="preserve">he </w:t>
      </w:r>
      <w:r>
        <w:rPr>
          <w:rFonts w:cs="Arial"/>
          <w:sz w:val="22"/>
        </w:rPr>
        <w:t xml:space="preserve">(new role of) </w:t>
      </w:r>
      <w:r w:rsidRPr="00AE604C">
        <w:rPr>
          <w:rFonts w:cs="Arial"/>
          <w:sz w:val="22"/>
        </w:rPr>
        <w:t>National Administrator</w:t>
      </w:r>
    </w:p>
    <w:p w:rsidR="004B488F" w:rsidRPr="00D03CF8" w:rsidRDefault="004B488F" w:rsidP="00BC2235">
      <w:pPr>
        <w:pStyle w:val="ListParagraph"/>
        <w:keepLines w:val="0"/>
        <w:numPr>
          <w:ilvl w:val="0"/>
          <w:numId w:val="35"/>
        </w:numPr>
        <w:spacing w:before="0" w:after="200" w:line="276" w:lineRule="auto"/>
        <w:ind w:left="360"/>
        <w:contextualSpacing/>
        <w:rPr>
          <w:rFonts w:cs="Arial"/>
          <w:sz w:val="22"/>
        </w:rPr>
      </w:pPr>
      <w:r>
        <w:rPr>
          <w:rFonts w:cs="Arial"/>
          <w:sz w:val="22"/>
        </w:rPr>
        <w:t xml:space="preserve">members of </w:t>
      </w:r>
      <w:r w:rsidRPr="00D03CF8">
        <w:rPr>
          <w:rFonts w:cs="Arial"/>
          <w:sz w:val="22"/>
        </w:rPr>
        <w:t xml:space="preserve">the </w:t>
      </w:r>
      <w:r>
        <w:rPr>
          <w:rFonts w:cs="Arial"/>
          <w:sz w:val="22"/>
        </w:rPr>
        <w:t xml:space="preserve">current </w:t>
      </w:r>
      <w:r w:rsidRPr="00D03CF8">
        <w:rPr>
          <w:rFonts w:cs="Arial"/>
          <w:sz w:val="22"/>
        </w:rPr>
        <w:t xml:space="preserve">Project Group </w:t>
      </w:r>
    </w:p>
    <w:p w:rsidR="004B488F" w:rsidRPr="00D03CF8" w:rsidRDefault="004B488F" w:rsidP="00BC2235">
      <w:pPr>
        <w:pStyle w:val="ListParagraph"/>
        <w:keepLines w:val="0"/>
        <w:numPr>
          <w:ilvl w:val="0"/>
          <w:numId w:val="35"/>
        </w:numPr>
        <w:spacing w:before="0" w:after="200" w:line="276" w:lineRule="auto"/>
        <w:ind w:left="360"/>
        <w:contextualSpacing/>
        <w:rPr>
          <w:rFonts w:cs="Arial"/>
          <w:sz w:val="22"/>
        </w:rPr>
      </w:pPr>
      <w:r>
        <w:rPr>
          <w:rFonts w:cs="Arial"/>
          <w:sz w:val="22"/>
        </w:rPr>
        <w:t xml:space="preserve">representatives from </w:t>
      </w:r>
      <w:r w:rsidRPr="00D03CF8">
        <w:rPr>
          <w:rFonts w:cs="Arial"/>
          <w:sz w:val="22"/>
        </w:rPr>
        <w:t xml:space="preserve">industry stakeholders  </w:t>
      </w:r>
    </w:p>
    <w:p w:rsidR="004B488F" w:rsidRPr="00D03CF8" w:rsidRDefault="004B488F" w:rsidP="00BC2235">
      <w:pPr>
        <w:pStyle w:val="ListParagraph"/>
        <w:keepLines w:val="0"/>
        <w:numPr>
          <w:ilvl w:val="0"/>
          <w:numId w:val="35"/>
        </w:numPr>
        <w:spacing w:before="0" w:after="200" w:line="276" w:lineRule="auto"/>
        <w:ind w:left="360"/>
        <w:contextualSpacing/>
        <w:rPr>
          <w:rFonts w:cs="Arial"/>
          <w:sz w:val="22"/>
        </w:rPr>
      </w:pPr>
      <w:r w:rsidRPr="00D03CF8">
        <w:rPr>
          <w:rFonts w:cs="Arial"/>
          <w:sz w:val="22"/>
        </w:rPr>
        <w:t xml:space="preserve">representatives from the Ministry’s provider organisations (in addition to PGF and SA)  </w:t>
      </w:r>
    </w:p>
    <w:p w:rsidR="004B488F" w:rsidRPr="00D03CF8" w:rsidRDefault="004B488F" w:rsidP="00BC2235">
      <w:pPr>
        <w:pStyle w:val="ListParagraph"/>
        <w:keepLines w:val="0"/>
        <w:numPr>
          <w:ilvl w:val="0"/>
          <w:numId w:val="35"/>
        </w:numPr>
        <w:spacing w:before="0" w:after="200" w:line="276" w:lineRule="auto"/>
        <w:ind w:left="360"/>
        <w:contextualSpacing/>
        <w:rPr>
          <w:rFonts w:cs="Arial"/>
          <w:sz w:val="22"/>
        </w:rPr>
      </w:pPr>
      <w:r w:rsidRPr="00D03CF8">
        <w:rPr>
          <w:rFonts w:cs="Arial"/>
          <w:sz w:val="22"/>
        </w:rPr>
        <w:t xml:space="preserve">representatives from other organisations such as the Health Promotion Agency </w:t>
      </w:r>
    </w:p>
    <w:p w:rsidR="004B488F" w:rsidRPr="00D03CF8" w:rsidRDefault="004B488F" w:rsidP="00BC2235">
      <w:pPr>
        <w:pStyle w:val="ListParagraph"/>
        <w:keepLines w:val="0"/>
        <w:numPr>
          <w:ilvl w:val="0"/>
          <w:numId w:val="35"/>
        </w:numPr>
        <w:spacing w:before="0" w:after="200" w:line="276" w:lineRule="auto"/>
        <w:ind w:left="360"/>
        <w:contextualSpacing/>
        <w:rPr>
          <w:rFonts w:cs="Arial"/>
          <w:sz w:val="22"/>
        </w:rPr>
      </w:pPr>
      <w:r w:rsidRPr="00D03CF8">
        <w:rPr>
          <w:rFonts w:cs="Arial"/>
          <w:sz w:val="22"/>
        </w:rPr>
        <w:t>consumer representation</w:t>
      </w:r>
    </w:p>
    <w:p w:rsidR="004B488F" w:rsidRDefault="004B488F" w:rsidP="00BC2235">
      <w:pPr>
        <w:spacing w:after="120"/>
        <w:rPr>
          <w:rFonts w:eastAsia="Arial" w:cs="Arial"/>
          <w:sz w:val="22"/>
          <w:szCs w:val="22"/>
        </w:rPr>
      </w:pPr>
      <w:r w:rsidRPr="00815575">
        <w:rPr>
          <w:rFonts w:eastAsia="Arial" w:cs="Arial"/>
          <w:sz w:val="22"/>
          <w:szCs w:val="22"/>
        </w:rPr>
        <w:t xml:space="preserve">The role of the </w:t>
      </w:r>
      <w:r>
        <w:rPr>
          <w:rFonts w:eastAsia="Arial" w:cs="Arial"/>
          <w:sz w:val="22"/>
          <w:szCs w:val="22"/>
        </w:rPr>
        <w:t xml:space="preserve">Implementation </w:t>
      </w:r>
      <w:r w:rsidRPr="00815575">
        <w:rPr>
          <w:rFonts w:eastAsia="Arial" w:cs="Arial"/>
          <w:sz w:val="22"/>
          <w:szCs w:val="22"/>
        </w:rPr>
        <w:t xml:space="preserve">Working Group </w:t>
      </w:r>
      <w:r>
        <w:rPr>
          <w:rFonts w:eastAsia="Arial" w:cs="Arial"/>
          <w:sz w:val="22"/>
          <w:szCs w:val="22"/>
        </w:rPr>
        <w:t>is to:</w:t>
      </w:r>
    </w:p>
    <w:p w:rsidR="004B488F" w:rsidRPr="005D67EA" w:rsidRDefault="004B488F" w:rsidP="00BC2235">
      <w:pPr>
        <w:pStyle w:val="ListParagraph"/>
        <w:numPr>
          <w:ilvl w:val="0"/>
          <w:numId w:val="40"/>
        </w:numPr>
        <w:spacing w:before="0" w:after="0"/>
        <w:ind w:left="357" w:hanging="357"/>
        <w:rPr>
          <w:rFonts w:eastAsia="Arial" w:cs="Arial"/>
          <w:sz w:val="22"/>
        </w:rPr>
      </w:pPr>
      <w:r>
        <w:rPr>
          <w:rFonts w:eastAsia="Arial" w:cs="Arial"/>
          <w:sz w:val="22"/>
        </w:rPr>
        <w:t>d</w:t>
      </w:r>
      <w:r w:rsidRPr="005D67EA">
        <w:rPr>
          <w:rFonts w:eastAsia="Arial" w:cs="Arial"/>
          <w:sz w:val="22"/>
        </w:rPr>
        <w:t>evelop the Terms of Reference for the Working Group and the Governance Group</w:t>
      </w:r>
    </w:p>
    <w:p w:rsidR="004B488F" w:rsidRPr="005D67EA" w:rsidRDefault="004B488F" w:rsidP="00BC2235">
      <w:pPr>
        <w:pStyle w:val="ListParagraph"/>
        <w:numPr>
          <w:ilvl w:val="0"/>
          <w:numId w:val="40"/>
        </w:numPr>
        <w:spacing w:before="0" w:after="0"/>
        <w:ind w:left="357" w:hanging="357"/>
        <w:rPr>
          <w:rFonts w:eastAsia="Arial" w:cs="Arial"/>
          <w:sz w:val="22"/>
        </w:rPr>
      </w:pPr>
      <w:r>
        <w:rPr>
          <w:rFonts w:eastAsia="Arial" w:cs="Arial"/>
          <w:sz w:val="22"/>
        </w:rPr>
        <w:t>d</w:t>
      </w:r>
      <w:r w:rsidRPr="005D67EA">
        <w:rPr>
          <w:rFonts w:eastAsia="Arial" w:cs="Arial"/>
          <w:sz w:val="22"/>
        </w:rPr>
        <w:t xml:space="preserve">evelop a strategic plan that builds on the MVE review report and identifies the outcomes and pathway to achieve improvements in the MVE process </w:t>
      </w:r>
    </w:p>
    <w:p w:rsidR="004B488F" w:rsidRDefault="004B488F" w:rsidP="00BC2235">
      <w:pPr>
        <w:pStyle w:val="ListParagraph"/>
        <w:numPr>
          <w:ilvl w:val="0"/>
          <w:numId w:val="40"/>
        </w:numPr>
        <w:spacing w:before="0" w:after="0"/>
        <w:ind w:left="357" w:hanging="357"/>
        <w:rPr>
          <w:rFonts w:eastAsia="Arial" w:cs="Arial"/>
          <w:sz w:val="22"/>
        </w:rPr>
      </w:pPr>
      <w:r>
        <w:rPr>
          <w:rFonts w:eastAsia="Arial" w:cs="Arial"/>
          <w:sz w:val="22"/>
        </w:rPr>
        <w:t>p</w:t>
      </w:r>
      <w:r w:rsidRPr="005D67EA">
        <w:rPr>
          <w:rFonts w:eastAsia="Arial" w:cs="Arial"/>
          <w:sz w:val="22"/>
        </w:rPr>
        <w:t>rogress agreed initiatives and activities</w:t>
      </w:r>
    </w:p>
    <w:p w:rsidR="004B488F" w:rsidRDefault="004B488F" w:rsidP="00BC2235">
      <w:pPr>
        <w:pStyle w:val="ListParagraph"/>
        <w:numPr>
          <w:ilvl w:val="0"/>
          <w:numId w:val="40"/>
        </w:numPr>
        <w:spacing w:before="0" w:after="0"/>
        <w:ind w:left="357" w:hanging="357"/>
        <w:rPr>
          <w:rFonts w:eastAsia="Arial" w:cs="Arial"/>
          <w:sz w:val="22"/>
        </w:rPr>
      </w:pPr>
      <w:r>
        <w:rPr>
          <w:rFonts w:eastAsia="Arial" w:cs="Arial"/>
          <w:sz w:val="22"/>
        </w:rPr>
        <w:t>ensure MVE initiatives and activities are robust, feasible and fit for purpose</w:t>
      </w:r>
    </w:p>
    <w:p w:rsidR="004B488F" w:rsidRPr="00480537" w:rsidRDefault="004B488F" w:rsidP="00BC2235">
      <w:pPr>
        <w:pStyle w:val="ListParagraph"/>
        <w:numPr>
          <w:ilvl w:val="0"/>
          <w:numId w:val="40"/>
        </w:numPr>
        <w:spacing w:before="0" w:after="0"/>
        <w:ind w:left="363"/>
        <w:rPr>
          <w:rFonts w:eastAsia="Arial" w:cs="Arial"/>
          <w:sz w:val="22"/>
        </w:rPr>
      </w:pPr>
      <w:r w:rsidRPr="00480537">
        <w:rPr>
          <w:rFonts w:eastAsia="Arial" w:cs="Arial"/>
          <w:sz w:val="22"/>
        </w:rPr>
        <w:t>provide leadership and guidance to unblock barriers and progress proposals/initiatives</w:t>
      </w:r>
    </w:p>
    <w:p w:rsidR="004B488F" w:rsidRDefault="004B488F" w:rsidP="00BC2235">
      <w:pPr>
        <w:pStyle w:val="ListParagraph"/>
        <w:numPr>
          <w:ilvl w:val="0"/>
          <w:numId w:val="40"/>
        </w:numPr>
        <w:spacing w:before="0" w:after="0"/>
        <w:ind w:left="357" w:hanging="357"/>
        <w:rPr>
          <w:rFonts w:eastAsia="Arial" w:cs="Arial"/>
          <w:sz w:val="22"/>
        </w:rPr>
      </w:pPr>
      <w:r>
        <w:rPr>
          <w:rFonts w:eastAsia="Arial" w:cs="Arial"/>
          <w:sz w:val="22"/>
        </w:rPr>
        <w:t>d</w:t>
      </w:r>
      <w:r w:rsidRPr="005D67EA">
        <w:rPr>
          <w:rFonts w:eastAsia="Arial" w:cs="Arial"/>
          <w:sz w:val="22"/>
        </w:rPr>
        <w:t xml:space="preserve">iscuss issues regarding the MVE framework and implementation issues and make decisions as necessary </w:t>
      </w:r>
    </w:p>
    <w:p w:rsidR="004B488F" w:rsidRPr="00480537" w:rsidRDefault="004B488F" w:rsidP="00BC2235">
      <w:pPr>
        <w:numPr>
          <w:ilvl w:val="0"/>
          <w:numId w:val="40"/>
        </w:numPr>
        <w:spacing w:before="0" w:after="0"/>
        <w:ind w:left="363"/>
        <w:rPr>
          <w:sz w:val="22"/>
          <w:szCs w:val="22"/>
        </w:rPr>
      </w:pPr>
      <w:r w:rsidRPr="00480537">
        <w:rPr>
          <w:sz w:val="22"/>
          <w:szCs w:val="22"/>
        </w:rPr>
        <w:lastRenderedPageBreak/>
        <w:t xml:space="preserve">reconcile or escalate differences in opinion and approach, and resolve any conflicts arising </w:t>
      </w:r>
    </w:p>
    <w:p w:rsidR="004B488F" w:rsidRPr="00480537" w:rsidRDefault="004B488F" w:rsidP="00BC2235">
      <w:pPr>
        <w:numPr>
          <w:ilvl w:val="0"/>
          <w:numId w:val="40"/>
        </w:numPr>
        <w:spacing w:before="0" w:after="0"/>
        <w:ind w:left="363"/>
        <w:rPr>
          <w:sz w:val="22"/>
          <w:szCs w:val="22"/>
        </w:rPr>
      </w:pPr>
      <w:r w:rsidRPr="00480537">
        <w:rPr>
          <w:sz w:val="22"/>
          <w:szCs w:val="22"/>
        </w:rPr>
        <w:t>make decisions on technical matters or on points of detail arising that add value</w:t>
      </w:r>
    </w:p>
    <w:p w:rsidR="004B488F" w:rsidRDefault="004B488F" w:rsidP="00BC2235">
      <w:pPr>
        <w:pStyle w:val="ListParagraph"/>
        <w:numPr>
          <w:ilvl w:val="0"/>
          <w:numId w:val="40"/>
        </w:numPr>
        <w:spacing w:before="0" w:after="0"/>
        <w:ind w:left="357" w:hanging="357"/>
        <w:rPr>
          <w:rFonts w:eastAsia="Arial" w:cs="Arial"/>
          <w:sz w:val="22"/>
        </w:rPr>
      </w:pPr>
      <w:r>
        <w:rPr>
          <w:rFonts w:eastAsia="Arial" w:cs="Arial"/>
          <w:sz w:val="22"/>
        </w:rPr>
        <w:t>p</w:t>
      </w:r>
      <w:r w:rsidRPr="005D67EA">
        <w:rPr>
          <w:rFonts w:eastAsia="Arial" w:cs="Arial"/>
          <w:sz w:val="22"/>
        </w:rPr>
        <w:t xml:space="preserve">rovide </w:t>
      </w:r>
      <w:r>
        <w:rPr>
          <w:rFonts w:eastAsia="Arial" w:cs="Arial"/>
          <w:sz w:val="22"/>
        </w:rPr>
        <w:t xml:space="preserve">timely </w:t>
      </w:r>
      <w:r w:rsidRPr="005D67EA">
        <w:rPr>
          <w:rFonts w:eastAsia="Arial" w:cs="Arial"/>
          <w:sz w:val="22"/>
        </w:rPr>
        <w:t>advice and make recommendations to the Governance Group</w:t>
      </w:r>
    </w:p>
    <w:p w:rsidR="004B488F" w:rsidRPr="00480537" w:rsidRDefault="004B488F" w:rsidP="00BC2235">
      <w:pPr>
        <w:numPr>
          <w:ilvl w:val="0"/>
          <w:numId w:val="40"/>
        </w:numPr>
        <w:spacing w:before="0" w:after="0"/>
        <w:ind w:left="357" w:hanging="357"/>
        <w:rPr>
          <w:sz w:val="22"/>
          <w:szCs w:val="22"/>
        </w:rPr>
      </w:pPr>
      <w:r w:rsidRPr="00480537">
        <w:rPr>
          <w:sz w:val="22"/>
          <w:szCs w:val="22"/>
        </w:rPr>
        <w:t xml:space="preserve">provide necessary skills, experience, and knowledge to guide and influence improvements to the MVE process </w:t>
      </w:r>
    </w:p>
    <w:p w:rsidR="004B488F" w:rsidRPr="00480537" w:rsidRDefault="004B488F" w:rsidP="00BC2235">
      <w:pPr>
        <w:numPr>
          <w:ilvl w:val="0"/>
          <w:numId w:val="40"/>
        </w:numPr>
        <w:spacing w:before="0" w:after="0"/>
        <w:ind w:left="357" w:hanging="357"/>
        <w:rPr>
          <w:sz w:val="22"/>
          <w:szCs w:val="22"/>
        </w:rPr>
      </w:pPr>
      <w:r w:rsidRPr="00480537">
        <w:rPr>
          <w:sz w:val="22"/>
          <w:szCs w:val="22"/>
        </w:rPr>
        <w:t>highlight capability gaps that might arise in the short and long term and resolve or escalate to the Governance Group</w:t>
      </w:r>
    </w:p>
    <w:p w:rsidR="004B488F" w:rsidRDefault="004B488F" w:rsidP="00BC2235">
      <w:pPr>
        <w:pStyle w:val="ListParagraph"/>
        <w:numPr>
          <w:ilvl w:val="0"/>
          <w:numId w:val="40"/>
        </w:numPr>
        <w:spacing w:before="0" w:after="0"/>
        <w:ind w:left="357" w:hanging="357"/>
        <w:rPr>
          <w:rFonts w:eastAsia="Arial" w:cs="Arial"/>
          <w:sz w:val="22"/>
        </w:rPr>
      </w:pPr>
      <w:r>
        <w:rPr>
          <w:rFonts w:eastAsia="Arial" w:cs="Arial"/>
          <w:sz w:val="22"/>
        </w:rPr>
        <w:t>r</w:t>
      </w:r>
      <w:r w:rsidRPr="005D67EA">
        <w:rPr>
          <w:rFonts w:eastAsia="Arial" w:cs="Arial"/>
          <w:sz w:val="22"/>
        </w:rPr>
        <w:t>efer issues of funding and additional resource to the Governance Group</w:t>
      </w:r>
    </w:p>
    <w:p w:rsidR="004B488F" w:rsidRDefault="004B488F" w:rsidP="00BC2235">
      <w:pPr>
        <w:pStyle w:val="ListParagraph"/>
        <w:numPr>
          <w:ilvl w:val="0"/>
          <w:numId w:val="40"/>
        </w:numPr>
        <w:spacing w:before="0" w:after="0"/>
        <w:ind w:left="357" w:hanging="357"/>
        <w:rPr>
          <w:rFonts w:eastAsia="Arial" w:cs="Arial"/>
          <w:sz w:val="22"/>
        </w:rPr>
      </w:pPr>
      <w:r>
        <w:rPr>
          <w:rFonts w:eastAsia="Arial" w:cs="Arial"/>
          <w:sz w:val="22"/>
        </w:rPr>
        <w:t>respond promptly to any requests sought by the Governance Group</w:t>
      </w:r>
    </w:p>
    <w:p w:rsidR="004B488F" w:rsidRPr="00D144A7" w:rsidRDefault="004B488F" w:rsidP="00BC2235">
      <w:pPr>
        <w:pStyle w:val="ListParagraph"/>
        <w:keepLines w:val="0"/>
        <w:numPr>
          <w:ilvl w:val="0"/>
          <w:numId w:val="40"/>
        </w:numPr>
        <w:spacing w:before="0" w:after="240" w:line="276" w:lineRule="auto"/>
        <w:ind w:left="363" w:hanging="357"/>
        <w:contextualSpacing/>
        <w:rPr>
          <w:rFonts w:cs="Arial"/>
          <w:b/>
          <w:sz w:val="22"/>
        </w:rPr>
      </w:pPr>
      <w:proofErr w:type="gramStart"/>
      <w:r w:rsidRPr="00D144A7">
        <w:rPr>
          <w:sz w:val="22"/>
        </w:rPr>
        <w:t>promote</w:t>
      </w:r>
      <w:proofErr w:type="gramEnd"/>
      <w:r w:rsidRPr="00D144A7">
        <w:rPr>
          <w:sz w:val="22"/>
        </w:rPr>
        <w:t xml:space="preserve"> and demonstrate collaborative behaviour</w:t>
      </w:r>
      <w:r w:rsidR="00BC2235">
        <w:rPr>
          <w:sz w:val="22"/>
        </w:rPr>
        <w:t>.</w:t>
      </w:r>
    </w:p>
    <w:p w:rsidR="004B488F" w:rsidRPr="00BC2235" w:rsidRDefault="004B488F" w:rsidP="004B488F">
      <w:pPr>
        <w:rPr>
          <w:rFonts w:cs="Arial"/>
          <w:b/>
          <w:color w:val="1F546B"/>
          <w:sz w:val="32"/>
          <w:szCs w:val="32"/>
        </w:rPr>
      </w:pPr>
      <w:r w:rsidRPr="00BC2235">
        <w:rPr>
          <w:rFonts w:cs="Arial"/>
          <w:b/>
          <w:color w:val="1F546B"/>
          <w:sz w:val="32"/>
          <w:szCs w:val="32"/>
        </w:rPr>
        <w:t>Conclusion</w:t>
      </w:r>
    </w:p>
    <w:p w:rsidR="004B488F" w:rsidRPr="00BC2235" w:rsidRDefault="004B488F" w:rsidP="004B488F">
      <w:pPr>
        <w:pStyle w:val="NoSpacing"/>
        <w:rPr>
          <w:rFonts w:asciiTheme="minorHAnsi" w:hAnsiTheme="minorHAnsi"/>
          <w:sz w:val="22"/>
        </w:rPr>
      </w:pPr>
      <w:r w:rsidRPr="00BC2235">
        <w:rPr>
          <w:rFonts w:asciiTheme="minorHAnsi" w:hAnsiTheme="minorHAnsi"/>
          <w:sz w:val="22"/>
        </w:rPr>
        <w:t xml:space="preserve">The MVE in New Zealand is a relatively new system and one that has evolved gradually from a regional programme to national distribution. Information gathered through the review process from service users indicates that the availability of MVE can be a valuable tool for preventing and minimising gambling harm. This finding is backed up by international research. </w:t>
      </w:r>
    </w:p>
    <w:p w:rsidR="004B488F" w:rsidRPr="00BC2235" w:rsidRDefault="004B488F" w:rsidP="004B488F">
      <w:pPr>
        <w:pStyle w:val="NoSpacing"/>
        <w:rPr>
          <w:rFonts w:asciiTheme="minorHAnsi" w:hAnsiTheme="minorHAnsi"/>
          <w:sz w:val="22"/>
        </w:rPr>
      </w:pPr>
    </w:p>
    <w:p w:rsidR="004B488F" w:rsidRPr="00BC2235" w:rsidRDefault="004B488F" w:rsidP="004B488F">
      <w:pPr>
        <w:pStyle w:val="NoSpacing"/>
        <w:rPr>
          <w:rFonts w:asciiTheme="minorHAnsi" w:hAnsiTheme="minorHAnsi"/>
          <w:sz w:val="22"/>
        </w:rPr>
      </w:pPr>
      <w:r w:rsidRPr="00BC2235">
        <w:rPr>
          <w:rFonts w:asciiTheme="minorHAnsi" w:hAnsiTheme="minorHAnsi"/>
          <w:sz w:val="22"/>
        </w:rPr>
        <w:t>This review of how the scheme is working provides information that has been used to develop a set of recommendations that will help improve the MVE process and its implementation. At the heart of the recommendations is the development of a new governance structure which, with the advent of a dedicated national administrator role, is seen as an important step forward in the effectiveness of the MVE framework.</w:t>
      </w:r>
    </w:p>
    <w:p w:rsidR="004B488F" w:rsidRPr="00BC2235" w:rsidRDefault="004B488F" w:rsidP="004B488F">
      <w:pPr>
        <w:pStyle w:val="NoSpacing"/>
        <w:rPr>
          <w:rFonts w:asciiTheme="minorHAnsi" w:hAnsiTheme="minorHAnsi"/>
          <w:sz w:val="22"/>
        </w:rPr>
      </w:pPr>
    </w:p>
    <w:p w:rsidR="004B488F" w:rsidRPr="00BC2235" w:rsidRDefault="004B488F" w:rsidP="004B488F">
      <w:pPr>
        <w:pStyle w:val="NoSpacing"/>
        <w:rPr>
          <w:rFonts w:asciiTheme="minorHAnsi" w:hAnsiTheme="minorHAnsi"/>
          <w:sz w:val="22"/>
        </w:rPr>
      </w:pPr>
      <w:r w:rsidRPr="00BC2235">
        <w:rPr>
          <w:rFonts w:asciiTheme="minorHAnsi" w:hAnsiTheme="minorHAnsi"/>
          <w:sz w:val="22"/>
        </w:rPr>
        <w:t xml:space="preserve">There is opportunity now to build collaboration and foster partnership among MVE stakeholders, to adopt the recommendations and to use them as the starting point for further improvements that will be part of the future. </w:t>
      </w:r>
    </w:p>
    <w:p w:rsidR="004B488F" w:rsidRPr="002D5D16" w:rsidRDefault="004B488F" w:rsidP="004B488F">
      <w:pPr>
        <w:spacing w:after="200" w:line="276" w:lineRule="auto"/>
        <w:rPr>
          <w:b/>
          <w:sz w:val="32"/>
          <w:szCs w:val="32"/>
          <w:highlight w:val="yellow"/>
        </w:rPr>
      </w:pPr>
    </w:p>
    <w:sectPr w:rsidR="004B488F" w:rsidRPr="002D5D16" w:rsidSect="004518B7">
      <w:footerReference w:type="default" r:id="rId20"/>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1D" w:rsidRDefault="0044221D">
      <w:r>
        <w:separator/>
      </w:r>
    </w:p>
  </w:endnote>
  <w:endnote w:type="continuationSeparator" w:id="0">
    <w:p w:rsidR="0044221D" w:rsidRDefault="0044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94" w:rsidRDefault="00AD32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04" w:rsidRPr="00F60476" w:rsidRDefault="00B456E6" w:rsidP="00F60476">
    <w:pPr>
      <w:pStyle w:val="Footer"/>
    </w:pPr>
    <w:r>
      <w:rPr>
        <w:noProof/>
        <w:lang w:eastAsia="en-NZ"/>
      </w:rPr>
      <w:drawing>
        <wp:anchor distT="0" distB="0" distL="114300" distR="114300" simplePos="0" relativeHeight="251666432" behindDoc="1" locked="0" layoutInCell="1" allowOverlap="1" wp14:anchorId="56865927" wp14:editId="7B171158">
          <wp:simplePos x="0" y="0"/>
          <wp:positionH relativeFrom="page">
            <wp:posOffset>953135</wp:posOffset>
          </wp:positionH>
          <wp:positionV relativeFrom="line">
            <wp:posOffset>-283845</wp:posOffset>
          </wp:positionV>
          <wp:extent cx="2771775" cy="492760"/>
          <wp:effectExtent l="0" t="0" r="9525" b="2540"/>
          <wp:wrapSquare wrapText="right"/>
          <wp:docPr id="10" name="Picture 10"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404EA">
      <w:rPr>
        <w:noProof/>
        <w:lang w:eastAsia="en-NZ"/>
      </w:rPr>
      <w:drawing>
        <wp:anchor distT="0" distB="0" distL="114300" distR="114300" simplePos="0" relativeHeight="251667456" behindDoc="0" locked="0" layoutInCell="1" allowOverlap="1" wp14:anchorId="3F01578D" wp14:editId="31889C5B">
          <wp:simplePos x="901700" y="9859010"/>
          <wp:positionH relativeFrom="page">
            <wp:posOffset>5220970</wp:posOffset>
          </wp:positionH>
          <wp:positionV relativeFrom="paragraph">
            <wp:posOffset>-284480</wp:posOffset>
          </wp:positionV>
          <wp:extent cx="1440000" cy="547200"/>
          <wp:effectExtent l="0" t="0" r="825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0000" cy="5472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D0" w:rsidRDefault="00DD3BD0" w:rsidP="00510D73">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sidR="00B62134">
      <w:rPr>
        <w:noProof/>
      </w:rPr>
      <w:t>1</w:t>
    </w:r>
    <w:r>
      <w:fldChar w:fldCharType="end"/>
    </w:r>
    <w:r>
      <w:t xml:space="preserve"> of </w:t>
    </w:r>
    <w:r w:rsidR="00AD3294">
      <w:fldChar w:fldCharType="begin"/>
    </w:r>
    <w:r w:rsidR="00AD3294">
      <w:instrText xml:space="preserve"> NUMPAGES   \* MERGEFORMAT </w:instrText>
    </w:r>
    <w:r w:rsidR="00AD3294">
      <w:fldChar w:fldCharType="separate"/>
    </w:r>
    <w:r w:rsidR="00AD3294">
      <w:rPr>
        <w:noProof/>
      </w:rPr>
      <w:t>1</w:t>
    </w:r>
    <w:r w:rsidR="00AD3294">
      <w:rPr>
        <w:noProof/>
      </w:rPr>
      <w:fldChar w:fldCharType="end"/>
    </w:r>
  </w:p>
  <w:p w:rsidR="008F5F9C" w:rsidRDefault="00DD3BD0"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B7" w:rsidRPr="00391C7C" w:rsidRDefault="004518B7" w:rsidP="004518B7">
    <w:pPr>
      <w:pStyle w:val="Footer"/>
      <w:tabs>
        <w:tab w:val="center" w:pos="4678"/>
        <w:tab w:val="right" w:pos="9071"/>
      </w:tabs>
      <w:ind w:right="-1"/>
    </w:pPr>
    <w:r>
      <w:tab/>
    </w:r>
    <w:r>
      <w:tab/>
    </w:r>
    <w:r>
      <w:fldChar w:fldCharType="begin"/>
    </w:r>
    <w:r>
      <w:instrText xml:space="preserve"> PAGE  \* roman  \* MERGEFORMAT </w:instrText>
    </w:r>
    <w:r>
      <w:fldChar w:fldCharType="separate"/>
    </w:r>
    <w:r w:rsidR="00AD3294">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B7" w:rsidRPr="00391C7C" w:rsidRDefault="004518B7" w:rsidP="004518B7">
    <w:pPr>
      <w:pStyle w:val="Footer"/>
      <w:tabs>
        <w:tab w:val="center" w:pos="4678"/>
        <w:tab w:val="right" w:pos="9071"/>
      </w:tabs>
      <w:ind w:right="-1"/>
    </w:pPr>
    <w:r>
      <w:tab/>
    </w:r>
    <w:r>
      <w:tab/>
      <w:t xml:space="preserve">Page </w:t>
    </w:r>
    <w:r>
      <w:fldChar w:fldCharType="begin"/>
    </w:r>
    <w:r>
      <w:instrText xml:space="preserve"> PAGE  \* Arabic  \* MERGEFORMAT </w:instrText>
    </w:r>
    <w:r>
      <w:fldChar w:fldCharType="separate"/>
    </w:r>
    <w:r w:rsidR="00AD329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1D" w:rsidRDefault="0044221D" w:rsidP="006E29CC">
      <w:pPr>
        <w:pStyle w:val="Spacer"/>
      </w:pPr>
      <w:r>
        <w:separator/>
      </w:r>
    </w:p>
    <w:p w:rsidR="0044221D" w:rsidRDefault="0044221D" w:rsidP="006E29CC">
      <w:pPr>
        <w:pStyle w:val="Spacer"/>
      </w:pPr>
    </w:p>
  </w:footnote>
  <w:footnote w:type="continuationSeparator" w:id="0">
    <w:p w:rsidR="0044221D" w:rsidRDefault="0044221D">
      <w:r>
        <w:continuationSeparator/>
      </w:r>
    </w:p>
  </w:footnote>
  <w:footnote w:id="1">
    <w:p w:rsidR="004B488F" w:rsidRDefault="004B488F" w:rsidP="004B488F">
      <w:pPr>
        <w:pStyle w:val="FootnoteText"/>
      </w:pPr>
      <w:r>
        <w:rPr>
          <w:rStyle w:val="FootnoteReference"/>
        </w:rPr>
        <w:footnoteRef/>
      </w:r>
      <w:r>
        <w:t xml:space="preserve"> </w:t>
      </w:r>
      <w:r w:rsidRPr="00BE753A">
        <w:rPr>
          <w:sz w:val="18"/>
          <w:szCs w:val="18"/>
        </w:rPr>
        <w:t xml:space="preserve">Pauline Fallon (the Ministry), Neove Christoforou (DIA), Eru Loach (Problem Gambling Foundation of New Zealand (PGF), Lisa Campbell (The Salvation Army </w:t>
      </w:r>
      <w:r>
        <w:rPr>
          <w:sz w:val="18"/>
          <w:szCs w:val="18"/>
        </w:rPr>
        <w:t>Oasis (SA), Alison Penfold (ABAC</w:t>
      </w:r>
      <w:r w:rsidRPr="00BE753A">
        <w:rPr>
          <w:sz w:val="18"/>
          <w:szCs w:val="18"/>
        </w:rPr>
        <w:t>US Counselling, Training &amp; Supervision Ltd)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94" w:rsidRDefault="00AD3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04" w:rsidRPr="00143173" w:rsidRDefault="00B456E6" w:rsidP="00143173">
    <w:pPr>
      <w:pStyle w:val="Securityclassificiation"/>
      <w:rPr>
        <w:bCs/>
      </w:rPr>
    </w:pPr>
    <w:r w:rsidRPr="00143173">
      <w:rPr>
        <w:bCs/>
        <w:noProof/>
        <w:lang w:eastAsia="en-NZ"/>
      </w:rPr>
      <w:drawing>
        <wp:anchor distT="0" distB="0" distL="114300" distR="114300" simplePos="0" relativeHeight="251661312" behindDoc="0" locked="0" layoutInCell="1" allowOverlap="1" wp14:anchorId="7E1E5C6B" wp14:editId="6DCC6D34">
          <wp:simplePos x="0" y="0"/>
          <wp:positionH relativeFrom="column">
            <wp:align>left</wp:align>
          </wp:positionH>
          <wp:positionV relativeFrom="page">
            <wp:posOffset>504190</wp:posOffset>
          </wp:positionV>
          <wp:extent cx="108000" cy="3240000"/>
          <wp:effectExtent l="0" t="0" r="6350" b="0"/>
          <wp:wrapSquare wrapText="bothSides"/>
          <wp:docPr id="9" name="Picture 9"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294" w:rsidRDefault="00AD32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D5" w:rsidRDefault="007202D5" w:rsidP="0046577B">
    <w:pPr>
      <w:pStyle w:val="Header"/>
    </w:pPr>
    <w:r>
      <w:t xml:space="preserve">Report: </w:t>
    </w:r>
    <w:r w:rsidR="0023113D">
      <w:t>Multi Venue Exclusion Recommendations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3906A22"/>
    <w:multiLevelType w:val="hybridMultilevel"/>
    <w:tmpl w:val="C0D07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0D4419C0"/>
    <w:multiLevelType w:val="hybridMultilevel"/>
    <w:tmpl w:val="409858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6">
    <w:nsid w:val="1F9B2B69"/>
    <w:multiLevelType w:val="hybridMultilevel"/>
    <w:tmpl w:val="369A0F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28200C1E"/>
    <w:multiLevelType w:val="hybridMultilevel"/>
    <w:tmpl w:val="3F3A06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2B964543"/>
    <w:multiLevelType w:val="hybridMultilevel"/>
    <w:tmpl w:val="670A8418"/>
    <w:lvl w:ilvl="0" w:tplc="2820E010">
      <w:start w:val="1"/>
      <w:numFmt w:val="bullet"/>
      <w:lvlText w:val=""/>
      <w:lvlJc w:val="left"/>
      <w:pPr>
        <w:ind w:left="360" w:hanging="360"/>
      </w:pPr>
      <w:rPr>
        <w:rFonts w:ascii="Symbol" w:hAnsi="Symbol" w:hint="default"/>
        <w:sz w:val="22"/>
        <w:szCs w:val="22"/>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2C754234"/>
    <w:multiLevelType w:val="hybridMultilevel"/>
    <w:tmpl w:val="123E2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55E173AA"/>
    <w:multiLevelType w:val="hybridMultilevel"/>
    <w:tmpl w:val="36607C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nsid w:val="664E0E56"/>
    <w:multiLevelType w:val="hybridMultilevel"/>
    <w:tmpl w:val="D50CB0C8"/>
    <w:lvl w:ilvl="0" w:tplc="71E86C64">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67D25A1"/>
    <w:multiLevelType w:val="hybridMultilevel"/>
    <w:tmpl w:val="B9AEE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3">
    <w:nsid w:val="6C264386"/>
    <w:multiLevelType w:val="hybridMultilevel"/>
    <w:tmpl w:val="82464E5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5">
    <w:nsid w:val="74302B2D"/>
    <w:multiLevelType w:val="hybridMultilevel"/>
    <w:tmpl w:val="439E56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7">
    <w:nsid w:val="76F5763F"/>
    <w:multiLevelType w:val="hybridMultilevel"/>
    <w:tmpl w:val="2D627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C692AED"/>
    <w:multiLevelType w:val="hybridMultilevel"/>
    <w:tmpl w:val="FB685A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7FC202F2"/>
    <w:multiLevelType w:val="hybridMultilevel"/>
    <w:tmpl w:val="664ABBE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6"/>
  </w:num>
  <w:num w:numId="2">
    <w:abstractNumId w:val="25"/>
  </w:num>
  <w:num w:numId="3">
    <w:abstractNumId w:val="22"/>
  </w:num>
  <w:num w:numId="4">
    <w:abstractNumId w:val="34"/>
  </w:num>
  <w:num w:numId="5">
    <w:abstractNumId w:val="27"/>
  </w:num>
  <w:num w:numId="6">
    <w:abstractNumId w:val="31"/>
  </w:num>
  <w:num w:numId="7">
    <w:abstractNumId w:val="2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36"/>
  </w:num>
  <w:num w:numId="21">
    <w:abstractNumId w:val="32"/>
  </w:num>
  <w:num w:numId="22">
    <w:abstractNumId w:val="28"/>
  </w:num>
  <w:num w:numId="23">
    <w:abstractNumId w:val="23"/>
  </w:num>
  <w:num w:numId="24">
    <w:abstractNumId w:val="21"/>
  </w:num>
  <w:num w:numId="25">
    <w:abstractNumId w:val="13"/>
  </w:num>
  <w:num w:numId="26">
    <w:abstractNumId w:val="10"/>
  </w:num>
  <w:num w:numId="27">
    <w:abstractNumId w:val="11"/>
  </w:num>
  <w:num w:numId="28">
    <w:abstractNumId w:val="37"/>
  </w:num>
  <w:num w:numId="29">
    <w:abstractNumId w:val="33"/>
  </w:num>
  <w:num w:numId="30">
    <w:abstractNumId w:val="35"/>
  </w:num>
  <w:num w:numId="31">
    <w:abstractNumId w:val="16"/>
  </w:num>
  <w:num w:numId="32">
    <w:abstractNumId w:val="18"/>
  </w:num>
  <w:num w:numId="33">
    <w:abstractNumId w:val="38"/>
  </w:num>
  <w:num w:numId="34">
    <w:abstractNumId w:val="39"/>
  </w:num>
  <w:num w:numId="35">
    <w:abstractNumId w:val="30"/>
  </w:num>
  <w:num w:numId="36">
    <w:abstractNumId w:val="14"/>
  </w:num>
  <w:num w:numId="37">
    <w:abstractNumId w:val="19"/>
  </w:num>
  <w:num w:numId="38">
    <w:abstractNumId w:val="24"/>
  </w:num>
  <w:num w:numId="39">
    <w:abstractNumId w:val="17"/>
  </w:num>
  <w:num w:numId="4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21D"/>
    <w:rsid w:val="00003360"/>
    <w:rsid w:val="00020010"/>
    <w:rsid w:val="00034673"/>
    <w:rsid w:val="000409E2"/>
    <w:rsid w:val="00044EA1"/>
    <w:rsid w:val="00063BB2"/>
    <w:rsid w:val="00070072"/>
    <w:rsid w:val="00076035"/>
    <w:rsid w:val="00077013"/>
    <w:rsid w:val="00091C3A"/>
    <w:rsid w:val="00092587"/>
    <w:rsid w:val="000953BD"/>
    <w:rsid w:val="000B76A4"/>
    <w:rsid w:val="000D4EC3"/>
    <w:rsid w:val="000D7EDD"/>
    <w:rsid w:val="000E09DC"/>
    <w:rsid w:val="000E677B"/>
    <w:rsid w:val="000F4ADF"/>
    <w:rsid w:val="000F61AF"/>
    <w:rsid w:val="00100AAB"/>
    <w:rsid w:val="0010171C"/>
    <w:rsid w:val="00102FAD"/>
    <w:rsid w:val="00121870"/>
    <w:rsid w:val="0013424E"/>
    <w:rsid w:val="001420E8"/>
    <w:rsid w:val="00143173"/>
    <w:rsid w:val="0015404E"/>
    <w:rsid w:val="0016433D"/>
    <w:rsid w:val="001A5F55"/>
    <w:rsid w:val="001B646D"/>
    <w:rsid w:val="001C0031"/>
    <w:rsid w:val="001D0111"/>
    <w:rsid w:val="00205FE8"/>
    <w:rsid w:val="0020697F"/>
    <w:rsid w:val="00206BA3"/>
    <w:rsid w:val="00215160"/>
    <w:rsid w:val="002224B4"/>
    <w:rsid w:val="00226D5E"/>
    <w:rsid w:val="0023113D"/>
    <w:rsid w:val="00237A3D"/>
    <w:rsid w:val="00237FCE"/>
    <w:rsid w:val="00240E83"/>
    <w:rsid w:val="002502D1"/>
    <w:rsid w:val="00270EEC"/>
    <w:rsid w:val="002806A2"/>
    <w:rsid w:val="00297CC7"/>
    <w:rsid w:val="002A194F"/>
    <w:rsid w:val="002A4BD9"/>
    <w:rsid w:val="002A4FE7"/>
    <w:rsid w:val="002B1CEB"/>
    <w:rsid w:val="003004C1"/>
    <w:rsid w:val="0030084C"/>
    <w:rsid w:val="003129BA"/>
    <w:rsid w:val="003148FC"/>
    <w:rsid w:val="00330820"/>
    <w:rsid w:val="00342DBF"/>
    <w:rsid w:val="00370FC0"/>
    <w:rsid w:val="00373206"/>
    <w:rsid w:val="00391C7C"/>
    <w:rsid w:val="003A10DA"/>
    <w:rsid w:val="003A12C8"/>
    <w:rsid w:val="003A6FFE"/>
    <w:rsid w:val="003B3A23"/>
    <w:rsid w:val="003C63D0"/>
    <w:rsid w:val="003D353C"/>
    <w:rsid w:val="003F5886"/>
    <w:rsid w:val="0040020C"/>
    <w:rsid w:val="0040700B"/>
    <w:rsid w:val="00407F54"/>
    <w:rsid w:val="00411341"/>
    <w:rsid w:val="00413966"/>
    <w:rsid w:val="00415CDB"/>
    <w:rsid w:val="00424863"/>
    <w:rsid w:val="0042551E"/>
    <w:rsid w:val="00426491"/>
    <w:rsid w:val="00433AD8"/>
    <w:rsid w:val="0044221D"/>
    <w:rsid w:val="004518B7"/>
    <w:rsid w:val="004550CF"/>
    <w:rsid w:val="004552A0"/>
    <w:rsid w:val="00460A83"/>
    <w:rsid w:val="0046577B"/>
    <w:rsid w:val="004734F8"/>
    <w:rsid w:val="00477619"/>
    <w:rsid w:val="00486E6E"/>
    <w:rsid w:val="004A5823"/>
    <w:rsid w:val="004B0AAF"/>
    <w:rsid w:val="004B3924"/>
    <w:rsid w:val="004B488F"/>
    <w:rsid w:val="004C4DDD"/>
    <w:rsid w:val="004D06BB"/>
    <w:rsid w:val="004D1706"/>
    <w:rsid w:val="004D243F"/>
    <w:rsid w:val="004D7473"/>
    <w:rsid w:val="0051048E"/>
    <w:rsid w:val="0051119C"/>
    <w:rsid w:val="00512ACB"/>
    <w:rsid w:val="0052216D"/>
    <w:rsid w:val="00526115"/>
    <w:rsid w:val="00533FAF"/>
    <w:rsid w:val="005366B6"/>
    <w:rsid w:val="00555832"/>
    <w:rsid w:val="00561A97"/>
    <w:rsid w:val="00563DAC"/>
    <w:rsid w:val="005675E0"/>
    <w:rsid w:val="00570C00"/>
    <w:rsid w:val="0058206B"/>
    <w:rsid w:val="00585690"/>
    <w:rsid w:val="00593B07"/>
    <w:rsid w:val="00595B33"/>
    <w:rsid w:val="0059662F"/>
    <w:rsid w:val="005D3066"/>
    <w:rsid w:val="005D3404"/>
    <w:rsid w:val="005E1818"/>
    <w:rsid w:val="005E4B13"/>
    <w:rsid w:val="005E4C02"/>
    <w:rsid w:val="005F01DF"/>
    <w:rsid w:val="005F76CC"/>
    <w:rsid w:val="005F7FF8"/>
    <w:rsid w:val="00600CA4"/>
    <w:rsid w:val="00602416"/>
    <w:rsid w:val="006041F2"/>
    <w:rsid w:val="006225CA"/>
    <w:rsid w:val="00662716"/>
    <w:rsid w:val="00667187"/>
    <w:rsid w:val="00677B13"/>
    <w:rsid w:val="00677F4E"/>
    <w:rsid w:val="00681A08"/>
    <w:rsid w:val="00685ECF"/>
    <w:rsid w:val="006871D3"/>
    <w:rsid w:val="006875B8"/>
    <w:rsid w:val="00687CA4"/>
    <w:rsid w:val="00687CEA"/>
    <w:rsid w:val="00695B75"/>
    <w:rsid w:val="006A1A95"/>
    <w:rsid w:val="006A38B7"/>
    <w:rsid w:val="006B0386"/>
    <w:rsid w:val="006B1CB2"/>
    <w:rsid w:val="006B1DD1"/>
    <w:rsid w:val="006B3396"/>
    <w:rsid w:val="006D638F"/>
    <w:rsid w:val="006E29CC"/>
    <w:rsid w:val="006E7BF7"/>
    <w:rsid w:val="007068C8"/>
    <w:rsid w:val="00715B8F"/>
    <w:rsid w:val="007202D5"/>
    <w:rsid w:val="0073106E"/>
    <w:rsid w:val="00756BB7"/>
    <w:rsid w:val="0075764B"/>
    <w:rsid w:val="00760C01"/>
    <w:rsid w:val="00761293"/>
    <w:rsid w:val="00761439"/>
    <w:rsid w:val="00767C04"/>
    <w:rsid w:val="007736A2"/>
    <w:rsid w:val="00773F2E"/>
    <w:rsid w:val="007A6226"/>
    <w:rsid w:val="007B3C61"/>
    <w:rsid w:val="007C42FA"/>
    <w:rsid w:val="007D1918"/>
    <w:rsid w:val="007D3469"/>
    <w:rsid w:val="007D3BAF"/>
    <w:rsid w:val="00802AA4"/>
    <w:rsid w:val="0082264B"/>
    <w:rsid w:val="008260F8"/>
    <w:rsid w:val="0082765B"/>
    <w:rsid w:val="00835BD7"/>
    <w:rsid w:val="00843D71"/>
    <w:rsid w:val="0084745A"/>
    <w:rsid w:val="00860B2B"/>
    <w:rsid w:val="00870045"/>
    <w:rsid w:val="00876E5F"/>
    <w:rsid w:val="00890CE4"/>
    <w:rsid w:val="008C3187"/>
    <w:rsid w:val="008C5E4F"/>
    <w:rsid w:val="008D29AD"/>
    <w:rsid w:val="008D63B7"/>
    <w:rsid w:val="008D6A03"/>
    <w:rsid w:val="008E7FEE"/>
    <w:rsid w:val="008F5F9C"/>
    <w:rsid w:val="008F67F5"/>
    <w:rsid w:val="008F6BCE"/>
    <w:rsid w:val="00900D4B"/>
    <w:rsid w:val="00907486"/>
    <w:rsid w:val="009170B9"/>
    <w:rsid w:val="00927482"/>
    <w:rsid w:val="0095112B"/>
    <w:rsid w:val="009669CF"/>
    <w:rsid w:val="00973A6D"/>
    <w:rsid w:val="009865AA"/>
    <w:rsid w:val="00987080"/>
    <w:rsid w:val="0098765A"/>
    <w:rsid w:val="009968B0"/>
    <w:rsid w:val="009A6CB2"/>
    <w:rsid w:val="009B0982"/>
    <w:rsid w:val="009B4C99"/>
    <w:rsid w:val="009D28CF"/>
    <w:rsid w:val="009E4272"/>
    <w:rsid w:val="009E5D36"/>
    <w:rsid w:val="009E7CA0"/>
    <w:rsid w:val="00A02048"/>
    <w:rsid w:val="00A04392"/>
    <w:rsid w:val="00A16003"/>
    <w:rsid w:val="00A167D7"/>
    <w:rsid w:val="00A24FBB"/>
    <w:rsid w:val="00A313C6"/>
    <w:rsid w:val="00A36309"/>
    <w:rsid w:val="00A42ED2"/>
    <w:rsid w:val="00A44B33"/>
    <w:rsid w:val="00A50E00"/>
    <w:rsid w:val="00A52529"/>
    <w:rsid w:val="00A53624"/>
    <w:rsid w:val="00A5766B"/>
    <w:rsid w:val="00A840D6"/>
    <w:rsid w:val="00A863E3"/>
    <w:rsid w:val="00AA4DDE"/>
    <w:rsid w:val="00AB3A92"/>
    <w:rsid w:val="00AB478B"/>
    <w:rsid w:val="00AB4AD9"/>
    <w:rsid w:val="00AD3294"/>
    <w:rsid w:val="00AD6E77"/>
    <w:rsid w:val="00AD7A25"/>
    <w:rsid w:val="00AF3A5A"/>
    <w:rsid w:val="00AF5218"/>
    <w:rsid w:val="00B0480E"/>
    <w:rsid w:val="00B1026A"/>
    <w:rsid w:val="00B21166"/>
    <w:rsid w:val="00B263AE"/>
    <w:rsid w:val="00B456E6"/>
    <w:rsid w:val="00B47091"/>
    <w:rsid w:val="00B62134"/>
    <w:rsid w:val="00B62C3E"/>
    <w:rsid w:val="00B645DE"/>
    <w:rsid w:val="00B65857"/>
    <w:rsid w:val="00B66698"/>
    <w:rsid w:val="00B745DC"/>
    <w:rsid w:val="00B84350"/>
    <w:rsid w:val="00B855A6"/>
    <w:rsid w:val="00B91098"/>
    <w:rsid w:val="00B91904"/>
    <w:rsid w:val="00B92735"/>
    <w:rsid w:val="00B969ED"/>
    <w:rsid w:val="00BB0D90"/>
    <w:rsid w:val="00BB60C6"/>
    <w:rsid w:val="00BB7984"/>
    <w:rsid w:val="00BC2235"/>
    <w:rsid w:val="00BC6A06"/>
    <w:rsid w:val="00BD137C"/>
    <w:rsid w:val="00BE2FA3"/>
    <w:rsid w:val="00C03596"/>
    <w:rsid w:val="00C15A13"/>
    <w:rsid w:val="00C238D9"/>
    <w:rsid w:val="00C24A9D"/>
    <w:rsid w:val="00C2677E"/>
    <w:rsid w:val="00C31542"/>
    <w:rsid w:val="00C6078D"/>
    <w:rsid w:val="00C657CF"/>
    <w:rsid w:val="00C80D62"/>
    <w:rsid w:val="00C96BFD"/>
    <w:rsid w:val="00CA5358"/>
    <w:rsid w:val="00CD502A"/>
    <w:rsid w:val="00CF12CF"/>
    <w:rsid w:val="00D060D2"/>
    <w:rsid w:val="00D14394"/>
    <w:rsid w:val="00D242CD"/>
    <w:rsid w:val="00D341C3"/>
    <w:rsid w:val="00D42843"/>
    <w:rsid w:val="00D45DDE"/>
    <w:rsid w:val="00D5152A"/>
    <w:rsid w:val="00D52371"/>
    <w:rsid w:val="00D65145"/>
    <w:rsid w:val="00D74314"/>
    <w:rsid w:val="00D92505"/>
    <w:rsid w:val="00DA267C"/>
    <w:rsid w:val="00DA50DD"/>
    <w:rsid w:val="00DA5101"/>
    <w:rsid w:val="00DA79EF"/>
    <w:rsid w:val="00DB0C0B"/>
    <w:rsid w:val="00DB3B74"/>
    <w:rsid w:val="00DC5870"/>
    <w:rsid w:val="00DD0384"/>
    <w:rsid w:val="00DD0901"/>
    <w:rsid w:val="00DD3BD0"/>
    <w:rsid w:val="00DD3DD8"/>
    <w:rsid w:val="00DE16B6"/>
    <w:rsid w:val="00DE36CA"/>
    <w:rsid w:val="00DE4E1D"/>
    <w:rsid w:val="00DE7E63"/>
    <w:rsid w:val="00DF2911"/>
    <w:rsid w:val="00E01E02"/>
    <w:rsid w:val="00E26D66"/>
    <w:rsid w:val="00E367C5"/>
    <w:rsid w:val="00E37E71"/>
    <w:rsid w:val="00E404EA"/>
    <w:rsid w:val="00E42847"/>
    <w:rsid w:val="00E45F25"/>
    <w:rsid w:val="00E46064"/>
    <w:rsid w:val="00E57F71"/>
    <w:rsid w:val="00E604A1"/>
    <w:rsid w:val="00E73AA8"/>
    <w:rsid w:val="00E80228"/>
    <w:rsid w:val="00E84D4A"/>
    <w:rsid w:val="00EA2ED4"/>
    <w:rsid w:val="00EA491A"/>
    <w:rsid w:val="00EB1583"/>
    <w:rsid w:val="00EC23FB"/>
    <w:rsid w:val="00ED51A7"/>
    <w:rsid w:val="00ED6E52"/>
    <w:rsid w:val="00ED7681"/>
    <w:rsid w:val="00EE41C2"/>
    <w:rsid w:val="00EF5034"/>
    <w:rsid w:val="00EF63C6"/>
    <w:rsid w:val="00F034FB"/>
    <w:rsid w:val="00F036E0"/>
    <w:rsid w:val="00F05606"/>
    <w:rsid w:val="00F105F5"/>
    <w:rsid w:val="00F1075A"/>
    <w:rsid w:val="00F22E82"/>
    <w:rsid w:val="00F3277D"/>
    <w:rsid w:val="00F337BF"/>
    <w:rsid w:val="00F33D14"/>
    <w:rsid w:val="00F473B6"/>
    <w:rsid w:val="00F52E57"/>
    <w:rsid w:val="00F53E06"/>
    <w:rsid w:val="00F54188"/>
    <w:rsid w:val="00F54CC0"/>
    <w:rsid w:val="00F60476"/>
    <w:rsid w:val="00F652C7"/>
    <w:rsid w:val="00F727A5"/>
    <w:rsid w:val="00F847A9"/>
    <w:rsid w:val="00FA5CC1"/>
    <w:rsid w:val="00FA5FE9"/>
    <w:rsid w:val="00FA67D2"/>
    <w:rsid w:val="00FB302F"/>
    <w:rsid w:val="00FB5A92"/>
    <w:rsid w:val="00FC1C69"/>
    <w:rsid w:val="00FC3739"/>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footnote text" w:uiPriority="99"/>
    <w:lsdException w:name="annotation text" w:uiPriority="99"/>
    <w:lsdException w:name="caption" w:qFormat="1"/>
    <w:lsdException w:name="table of figures" w:uiPriority="99"/>
    <w:lsdException w:name="footnote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uiPriority w:val="99"/>
    <w:semiHidden/>
    <w:rsid w:val="00890CE4"/>
    <w:pPr>
      <w:spacing w:before="60" w:after="60" w:line="192" w:lineRule="auto"/>
      <w:ind w:left="130" w:hanging="130"/>
    </w:pPr>
    <w:rPr>
      <w:sz w:val="20"/>
      <w:szCs w:val="20"/>
    </w:rPr>
  </w:style>
  <w:style w:type="character" w:styleId="FootnoteReference">
    <w:name w:val="footnote reference"/>
    <w:uiPriority w:val="99"/>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paragraph" w:styleId="NoSpacing">
    <w:name w:val="No Spacing"/>
    <w:uiPriority w:val="1"/>
    <w:qFormat/>
    <w:rsid w:val="0023113D"/>
    <w:pPr>
      <w:spacing w:before="0" w:after="0"/>
    </w:pPr>
    <w:rPr>
      <w:rFonts w:ascii="Arial" w:eastAsia="Calibri" w:hAnsi="Arial"/>
      <w:szCs w:val="22"/>
      <w:lang w:eastAsia="en-US"/>
    </w:rPr>
  </w:style>
  <w:style w:type="character" w:customStyle="1" w:styleId="FootnoteTextChar">
    <w:name w:val="Footnote Text Char"/>
    <w:basedOn w:val="DefaultParagraphFont"/>
    <w:link w:val="FootnoteText"/>
    <w:uiPriority w:val="99"/>
    <w:semiHidden/>
    <w:rsid w:val="004B488F"/>
    <w:rPr>
      <w:rFonts w:eastAsiaTheme="minorHAnsi"/>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footnote text" w:uiPriority="99"/>
    <w:lsdException w:name="annotation text" w:uiPriority="99"/>
    <w:lsdException w:name="caption" w:qFormat="1"/>
    <w:lsdException w:name="table of figures" w:uiPriority="99"/>
    <w:lsdException w:name="footnote reference"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uiPriority w:val="99"/>
    <w:semiHidden/>
    <w:rsid w:val="00890CE4"/>
    <w:pPr>
      <w:spacing w:before="60" w:after="60" w:line="192" w:lineRule="auto"/>
      <w:ind w:left="130" w:hanging="130"/>
    </w:pPr>
    <w:rPr>
      <w:sz w:val="20"/>
      <w:szCs w:val="20"/>
    </w:rPr>
  </w:style>
  <w:style w:type="character" w:styleId="FootnoteReference">
    <w:name w:val="footnote reference"/>
    <w:uiPriority w:val="99"/>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0"/>
      </w:numPr>
      <w:spacing w:before="80" w:after="80"/>
    </w:pPr>
  </w:style>
  <w:style w:type="paragraph" w:customStyle="1" w:styleId="List123level2">
    <w:name w:val="List 1 2 3 level 2"/>
    <w:basedOn w:val="Normal"/>
    <w:uiPriority w:val="1"/>
    <w:semiHidden/>
    <w:qFormat/>
    <w:rsid w:val="007D3469"/>
    <w:pPr>
      <w:numPr>
        <w:ilvl w:val="1"/>
        <w:numId w:val="21"/>
      </w:numPr>
      <w:spacing w:before="80" w:after="80"/>
    </w:pPr>
  </w:style>
  <w:style w:type="paragraph" w:customStyle="1" w:styleId="List123level3">
    <w:name w:val="List 1 2 3 level 3"/>
    <w:basedOn w:val="Normal"/>
    <w:uiPriority w:val="1"/>
    <w:semiHidden/>
    <w:qFormat/>
    <w:rsid w:val="007D3469"/>
    <w:pPr>
      <w:numPr>
        <w:ilvl w:val="2"/>
        <w:numId w:val="21"/>
      </w:numPr>
      <w:spacing w:before="80" w:after="80"/>
    </w:pPr>
  </w:style>
  <w:style w:type="paragraph" w:customStyle="1" w:styleId="Legislationsection">
    <w:name w:val="Legislation section"/>
    <w:basedOn w:val="Normal"/>
    <w:semiHidden/>
    <w:qFormat/>
    <w:rsid w:val="007D3469"/>
    <w:pPr>
      <w:keepNext/>
      <w:numPr>
        <w:numId w:val="23"/>
      </w:numPr>
      <w:tabs>
        <w:tab w:val="left" w:pos="567"/>
      </w:tabs>
      <w:spacing w:after="60"/>
    </w:pPr>
    <w:rPr>
      <w:b/>
      <w:sz w:val="22"/>
    </w:rPr>
  </w:style>
  <w:style w:type="paragraph" w:customStyle="1" w:styleId="Legislationnumber">
    <w:name w:val="Legislation number"/>
    <w:basedOn w:val="Normal"/>
    <w:semiHidden/>
    <w:qFormat/>
    <w:rsid w:val="007D3469"/>
    <w:pPr>
      <w:numPr>
        <w:numId w:val="2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23"/>
      </w:numPr>
      <w:spacing w:before="60" w:after="60"/>
    </w:pPr>
    <w:rPr>
      <w:sz w:val="22"/>
    </w:rPr>
  </w:style>
  <w:style w:type="paragraph" w:customStyle="1" w:styleId="Legislationi">
    <w:name w:val="Legislation (i)"/>
    <w:basedOn w:val="Normal"/>
    <w:semiHidden/>
    <w:qFormat/>
    <w:rsid w:val="007D3469"/>
    <w:pPr>
      <w:numPr>
        <w:ilvl w:val="3"/>
        <w:numId w:val="23"/>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24"/>
      </w:numPr>
      <w:spacing w:after="120"/>
    </w:pPr>
  </w:style>
  <w:style w:type="paragraph" w:customStyle="1" w:styleId="Numberedpara2level2a">
    <w:name w:val="Numbered para (2) level 2 (a)"/>
    <w:basedOn w:val="Normal"/>
    <w:semiHidden/>
    <w:qFormat/>
    <w:rsid w:val="007D3469"/>
    <w:pPr>
      <w:numPr>
        <w:ilvl w:val="1"/>
        <w:numId w:val="24"/>
      </w:numPr>
      <w:spacing w:after="120"/>
    </w:pPr>
  </w:style>
  <w:style w:type="paragraph" w:customStyle="1" w:styleId="Numberedpara2level3i">
    <w:name w:val="Numbered para (2) level 3 (i)"/>
    <w:basedOn w:val="Normal"/>
    <w:semiHidden/>
    <w:qFormat/>
    <w:rsid w:val="007D3469"/>
    <w:pPr>
      <w:numPr>
        <w:ilvl w:val="2"/>
        <w:numId w:val="24"/>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25"/>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26"/>
      </w:numPr>
      <w:spacing w:after="120"/>
    </w:pPr>
  </w:style>
  <w:style w:type="paragraph" w:customStyle="1" w:styleId="Numberedpara3level211">
    <w:name w:val="Numbered para (3) level 2 (1.1)"/>
    <w:basedOn w:val="Normal"/>
    <w:semiHidden/>
    <w:qFormat/>
    <w:rsid w:val="007D3469"/>
    <w:pPr>
      <w:numPr>
        <w:ilvl w:val="1"/>
        <w:numId w:val="26"/>
      </w:numPr>
      <w:spacing w:after="120"/>
    </w:pPr>
  </w:style>
  <w:style w:type="paragraph" w:customStyle="1" w:styleId="Numberedpara3level3111">
    <w:name w:val="Numbered para (3) level 3 (1.1.1)"/>
    <w:basedOn w:val="Normal"/>
    <w:semiHidden/>
    <w:qFormat/>
    <w:rsid w:val="007D3469"/>
    <w:pPr>
      <w:numPr>
        <w:ilvl w:val="2"/>
        <w:numId w:val="26"/>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paragraph" w:styleId="NoSpacing">
    <w:name w:val="No Spacing"/>
    <w:uiPriority w:val="1"/>
    <w:qFormat/>
    <w:rsid w:val="0023113D"/>
    <w:pPr>
      <w:spacing w:before="0" w:after="0"/>
    </w:pPr>
    <w:rPr>
      <w:rFonts w:ascii="Arial" w:eastAsia="Calibri" w:hAnsi="Arial"/>
      <w:szCs w:val="22"/>
      <w:lang w:eastAsia="en-US"/>
    </w:rPr>
  </w:style>
  <w:style w:type="character" w:customStyle="1" w:styleId="FootnoteTextChar">
    <w:name w:val="Footnote Text Char"/>
    <w:basedOn w:val="DefaultParagraphFont"/>
    <w:link w:val="FootnoteText"/>
    <w:uiPriority w:val="99"/>
    <w:semiHidden/>
    <w:rsid w:val="004B488F"/>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neove.christoforou@dia.govt.nz" TargetMode="External"/><Relationship Id="rId2" Type="http://schemas.openxmlformats.org/officeDocument/2006/relationships/numbering" Target="numbering.xml"/><Relationship Id="rId16" Type="http://schemas.openxmlformats.org/officeDocument/2006/relationships/hyperlink" Target="mailto:Pauline_Fallon@moh.govt.nz"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7FD04-EB87-4F8D-A1E9-0A098FBD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2766C4FC</Template>
  <TotalTime>0</TotalTime>
  <Pages>6</Pages>
  <Words>1650</Words>
  <Characters>9911</Characters>
  <Application>Microsoft Office Word</Application>
  <DocSecurity>0</DocSecurity>
  <Lines>82</Lines>
  <Paragraphs>23</Paragraphs>
  <ScaleCrop>false</ScaleCrop>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2016-10-05T23:00:00Z</dcterms:created>
  <dcterms:modified xsi:type="dcterms:W3CDTF">2016-10-05T23:00:00Z</dcterms:modified>
</cp:coreProperties>
</file>