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60B93" w14:textId="77777777" w:rsidR="00015020" w:rsidRDefault="00C15436" w:rsidP="001C0C30">
      <w:r>
        <w:t xml:space="preserve">Office of the </w:t>
      </w:r>
      <w:r w:rsidR="00AA559E">
        <w:t xml:space="preserve">Associate </w:t>
      </w:r>
      <w:r>
        <w:t xml:space="preserve">Minister of </w:t>
      </w:r>
      <w:r w:rsidR="00AA559E">
        <w:t>Local Government</w:t>
      </w:r>
    </w:p>
    <w:p w14:paraId="7DC6B5AE" w14:textId="77777777" w:rsidR="00C265B4" w:rsidRDefault="00C265B4" w:rsidP="001C0C30"/>
    <w:p w14:paraId="4B34C5A7" w14:textId="77777777" w:rsidR="00AA559E" w:rsidRDefault="00AA559E" w:rsidP="00AA559E">
      <w:r>
        <w:t>Cabinet Economic Growth and Infrastructure C</w:t>
      </w:r>
      <w:r w:rsidRPr="00E4405F">
        <w:t>ommitt</w:t>
      </w:r>
      <w:r>
        <w:t>ee</w:t>
      </w:r>
    </w:p>
    <w:p w14:paraId="428F71CF" w14:textId="77777777" w:rsidR="00C15436" w:rsidRDefault="00AA559E" w:rsidP="00C15436">
      <w:pPr>
        <w:pStyle w:val="Headingpage"/>
      </w:pPr>
      <w:r>
        <w:t>Councils’ progress on plans to trial online voting in the 2016 local elections</w:t>
      </w:r>
    </w:p>
    <w:p w14:paraId="140DD962" w14:textId="77777777" w:rsidR="00C15436" w:rsidRDefault="00C15436" w:rsidP="00FA6558">
      <w:pPr>
        <w:pStyle w:val="Cabinetpaperparaheading"/>
      </w:pPr>
      <w:r>
        <w:t>Proposal</w:t>
      </w:r>
    </w:p>
    <w:p w14:paraId="72594D81" w14:textId="77777777" w:rsidR="00BF0BE0" w:rsidRPr="00A8658A" w:rsidRDefault="007A5696" w:rsidP="00BF0BE0">
      <w:pPr>
        <w:pStyle w:val="Numberedpara3level1"/>
        <w:rPr>
          <w:i/>
        </w:rPr>
      </w:pPr>
      <w:r>
        <w:t xml:space="preserve">I propose </w:t>
      </w:r>
      <w:r w:rsidR="00B4493D">
        <w:t xml:space="preserve">Cabinet note </w:t>
      </w:r>
      <w:r w:rsidR="007C54B9">
        <w:t xml:space="preserve">that I do not consider a trial of online voting can be enabled to proceed in the 2016 local elections. </w:t>
      </w:r>
      <w:r w:rsidR="00C9336F">
        <w:t xml:space="preserve">In the context of this decision, </w:t>
      </w:r>
      <w:r w:rsidRPr="00B4493D">
        <w:t xml:space="preserve">the </w:t>
      </w:r>
      <w:r w:rsidR="00B4493D" w:rsidRPr="00B4493D">
        <w:t>local government</w:t>
      </w:r>
      <w:r w:rsidRPr="00B4493D">
        <w:t xml:space="preserve"> sector</w:t>
      </w:r>
      <w:r>
        <w:t xml:space="preserve"> </w:t>
      </w:r>
      <w:r w:rsidR="00C9336F">
        <w:t>should</w:t>
      </w:r>
      <w:r>
        <w:t xml:space="preserve"> </w:t>
      </w:r>
      <w:r w:rsidR="00C9336F">
        <w:t xml:space="preserve">consider </w:t>
      </w:r>
      <w:r w:rsidR="00C9336F" w:rsidRPr="00885053">
        <w:t xml:space="preserve">how </w:t>
      </w:r>
      <w:r w:rsidR="00C9336F">
        <w:t xml:space="preserve">to </w:t>
      </w:r>
      <w:r w:rsidR="00C9336F" w:rsidRPr="00885053">
        <w:t>proceed</w:t>
      </w:r>
      <w:r w:rsidR="00C9336F">
        <w:t xml:space="preserve">, </w:t>
      </w:r>
      <w:r w:rsidR="00952531">
        <w:t xml:space="preserve">including whether it wishes to </w:t>
      </w:r>
      <w:r w:rsidR="00952531" w:rsidRPr="00A8658A">
        <w:rPr>
          <w:i/>
        </w:rPr>
        <w:t>work towards a trial in future local elections.</w:t>
      </w:r>
    </w:p>
    <w:p w14:paraId="66FF43F3" w14:textId="77777777" w:rsidR="00C15436" w:rsidRPr="00A8658A" w:rsidRDefault="00C15436" w:rsidP="00FA6558">
      <w:pPr>
        <w:pStyle w:val="Cabinetpaperparaheading"/>
        <w:rPr>
          <w:i/>
        </w:rPr>
      </w:pPr>
      <w:r w:rsidRPr="00A8658A">
        <w:rPr>
          <w:i/>
        </w:rPr>
        <w:t>Executive summary</w:t>
      </w:r>
    </w:p>
    <w:p w14:paraId="69DEA54E" w14:textId="77777777" w:rsidR="0027035E" w:rsidRDefault="0027035E" w:rsidP="006612F0">
      <w:pPr>
        <w:pStyle w:val="Numberedpara3level1"/>
      </w:pPr>
      <w:r>
        <w:t>E</w:t>
      </w:r>
      <w:r w:rsidR="006612F0">
        <w:t xml:space="preserve">ight territorial authorities interested in trialling online voting in the 2016 local elections </w:t>
      </w:r>
      <w:r>
        <w:t>were invited to</w:t>
      </w:r>
      <w:r w:rsidR="006612F0">
        <w:t xml:space="preserve"> </w:t>
      </w:r>
      <w:r w:rsidR="006612F0" w:rsidRPr="007330A1">
        <w:t>demons</w:t>
      </w:r>
      <w:r w:rsidR="008A7B22">
        <w:t xml:space="preserve">trate </w:t>
      </w:r>
      <w:r w:rsidR="006612F0" w:rsidRPr="007330A1">
        <w:t xml:space="preserve">that online voting can be trialled in a manner that meets the </w:t>
      </w:r>
      <w:r w:rsidR="006612F0">
        <w:t xml:space="preserve">Government’s </w:t>
      </w:r>
      <w:r w:rsidR="006612F0" w:rsidRPr="007330A1">
        <w:t xml:space="preserve">trial requirements and the </w:t>
      </w:r>
      <w:r w:rsidR="006612F0">
        <w:t xml:space="preserve">principles of </w:t>
      </w:r>
      <w:r w:rsidR="006612F0" w:rsidRPr="007330A1">
        <w:t>Local Electoral Act 2001.</w:t>
      </w:r>
      <w:r>
        <w:t xml:space="preserve"> In early February</w:t>
      </w:r>
      <w:r w:rsidR="002160F8">
        <w:t xml:space="preserve"> 2016</w:t>
      </w:r>
      <w:r>
        <w:t>, t</w:t>
      </w:r>
      <w:r w:rsidR="006612F0">
        <w:t>he</w:t>
      </w:r>
      <w:r>
        <w:t>se</w:t>
      </w:r>
      <w:r w:rsidR="006612F0">
        <w:t xml:space="preserve"> c</w:t>
      </w:r>
      <w:r w:rsidR="007330A1">
        <w:t xml:space="preserve">ouncils </w:t>
      </w:r>
      <w:r>
        <w:t xml:space="preserve">submitted reports discussing the extent to which these requirements can be met. </w:t>
      </w:r>
    </w:p>
    <w:p w14:paraId="1D788DFC" w14:textId="77777777" w:rsidR="009A2D0E" w:rsidRDefault="00F82EF9" w:rsidP="00F82EF9">
      <w:pPr>
        <w:pStyle w:val="Numberedpara3level1"/>
      </w:pPr>
      <w:r>
        <w:t xml:space="preserve">Councils have well-developed plans for a trial in 2016. </w:t>
      </w:r>
      <w:r w:rsidR="009A2D0E">
        <w:t>However,</w:t>
      </w:r>
      <w:r>
        <w:t xml:space="preserve"> many of the key mi</w:t>
      </w:r>
      <w:r w:rsidR="009A2D0E">
        <w:t>lestones are yet to be achieved. B</w:t>
      </w:r>
      <w:r>
        <w:t xml:space="preserve">ased on the progress to date, </w:t>
      </w:r>
      <w:r w:rsidRPr="006329C8">
        <w:t>I cannot be confident</w:t>
      </w:r>
      <w:r>
        <w:t xml:space="preserve"> the statutory preconditions for authorising regulations will be met. In these circumstances, I do not consider that a trial can be enabled to proceed in the 2016 local elections. </w:t>
      </w:r>
    </w:p>
    <w:p w14:paraId="34EBBE8F" w14:textId="77777777" w:rsidR="00F82EF9" w:rsidRDefault="005F4CAD" w:rsidP="00F82EF9">
      <w:pPr>
        <w:pStyle w:val="Numberedpara3level1"/>
      </w:pPr>
      <w:r>
        <w:t>I</w:t>
      </w:r>
      <w:r w:rsidRPr="00885053">
        <w:t xml:space="preserve">n </w:t>
      </w:r>
      <w:r>
        <w:t>the context</w:t>
      </w:r>
      <w:r w:rsidRPr="00885053">
        <w:t xml:space="preserve"> of the decision </w:t>
      </w:r>
      <w:r>
        <w:t>not to authorise</w:t>
      </w:r>
      <w:r w:rsidRPr="00885053">
        <w:t xml:space="preserve"> a trial of online voting at the 2016 local elections</w:t>
      </w:r>
      <w:r>
        <w:t xml:space="preserve">, </w:t>
      </w:r>
      <w:r w:rsidR="00F82EF9">
        <w:t xml:space="preserve">I </w:t>
      </w:r>
      <w:r w:rsidR="0036551E">
        <w:t>will invite</w:t>
      </w:r>
      <w:r w:rsidR="00F82EF9">
        <w:t xml:space="preserve"> </w:t>
      </w:r>
      <w:r w:rsidR="00F82EF9" w:rsidRPr="00885053">
        <w:t xml:space="preserve">the local government sector </w:t>
      </w:r>
      <w:r w:rsidR="00F82EF9">
        <w:t>to</w:t>
      </w:r>
      <w:r w:rsidR="00F82EF9" w:rsidRPr="00885053">
        <w:t xml:space="preserve"> </w:t>
      </w:r>
      <w:r w:rsidR="00F82EF9">
        <w:t xml:space="preserve">consider </w:t>
      </w:r>
      <w:r w:rsidR="00F82EF9" w:rsidRPr="00885053">
        <w:t xml:space="preserve">how it </w:t>
      </w:r>
      <w:r w:rsidR="00F82EF9">
        <w:t xml:space="preserve">should </w:t>
      </w:r>
      <w:r w:rsidR="00F82EF9" w:rsidRPr="00885053">
        <w:t>proceed</w:t>
      </w:r>
      <w:r w:rsidR="00F82EF9">
        <w:t>. This is an opportunity for the sector to think strategically about the local electoral system, and plan for incremental and dem</w:t>
      </w:r>
      <w:r w:rsidR="002160F8">
        <w:t>onstrable progress towards the potential</w:t>
      </w:r>
      <w:r w:rsidR="00F82EF9">
        <w:t xml:space="preserve"> introduction of online voting in local elections.</w:t>
      </w:r>
      <w:r w:rsidR="0036551E" w:rsidRPr="0036551E">
        <w:t xml:space="preserve"> </w:t>
      </w:r>
      <w:r w:rsidR="0036551E">
        <w:t>It</w:t>
      </w:r>
      <w:r w:rsidR="0036551E" w:rsidRPr="00D71B3F">
        <w:t xml:space="preserve"> is</w:t>
      </w:r>
      <w:r w:rsidR="00CD3D44">
        <w:t xml:space="preserve"> </w:t>
      </w:r>
      <w:r w:rsidR="0036551E" w:rsidRPr="00D71B3F">
        <w:t xml:space="preserve">also an opportunity to consider </w:t>
      </w:r>
      <w:r>
        <w:t xml:space="preserve">more immediate ways of </w:t>
      </w:r>
      <w:r w:rsidR="009D3391">
        <w:t>improving accessibility and participation in the local electoral system.</w:t>
      </w:r>
    </w:p>
    <w:p w14:paraId="52FA4EC3" w14:textId="77777777" w:rsidR="00C15436" w:rsidRDefault="00C15436" w:rsidP="00FA6558">
      <w:pPr>
        <w:pStyle w:val="Cabinetpaperparaheading"/>
      </w:pPr>
      <w:r>
        <w:t>Background</w:t>
      </w:r>
    </w:p>
    <w:p w14:paraId="67AC6E5F" w14:textId="77777777" w:rsidR="009602B5" w:rsidRDefault="00D95CEA" w:rsidP="00EB359C">
      <w:pPr>
        <w:pStyle w:val="Numberedpara3level1"/>
      </w:pPr>
      <w:r>
        <w:t>In</w:t>
      </w:r>
      <w:r w:rsidR="00EB359C">
        <w:t xml:space="preserve"> recent years, </w:t>
      </w:r>
      <w:r w:rsidR="00EB359C" w:rsidRPr="000A2C60">
        <w:t xml:space="preserve">the Justice and Electoral Committee, </w:t>
      </w:r>
      <w:proofErr w:type="gramStart"/>
      <w:r w:rsidR="00EB359C">
        <w:t>a number of</w:t>
      </w:r>
      <w:proofErr w:type="gramEnd"/>
      <w:r w:rsidR="00EB359C" w:rsidRPr="000A2C60">
        <w:t xml:space="preserve"> local authorities, Local Government New Zealand</w:t>
      </w:r>
      <w:r w:rsidR="00EB359C">
        <w:t xml:space="preserve"> (LGNZ)</w:t>
      </w:r>
      <w:r w:rsidR="00EB359C" w:rsidRPr="000A2C60">
        <w:t xml:space="preserve"> and the New Zealand Society of Local Government Managers</w:t>
      </w:r>
      <w:r w:rsidR="00EB359C">
        <w:t xml:space="preserve"> (SOLGM)</w:t>
      </w:r>
      <w:r w:rsidR="00EB359C" w:rsidRPr="000A2C60">
        <w:t xml:space="preserve"> </w:t>
      </w:r>
      <w:r w:rsidR="00EB359C">
        <w:t xml:space="preserve">have all called for </w:t>
      </w:r>
      <w:r w:rsidR="005D4F7C">
        <w:t xml:space="preserve">exploration of </w:t>
      </w:r>
      <w:r w:rsidR="00EB359C">
        <w:t>the potential of online voting for</w:t>
      </w:r>
      <w:r w:rsidR="00EB359C" w:rsidRPr="000A2C60">
        <w:t xml:space="preserve"> local elections.</w:t>
      </w:r>
      <w:r w:rsidR="00EB359C">
        <w:t xml:space="preserve"> </w:t>
      </w:r>
    </w:p>
    <w:p w14:paraId="5D13230D" w14:textId="77777777" w:rsidR="00EB359C" w:rsidRPr="00D95CEA" w:rsidRDefault="00EB359C" w:rsidP="00D95CEA">
      <w:pPr>
        <w:pStyle w:val="Numberedpara3level1"/>
        <w:tabs>
          <w:tab w:val="clear" w:pos="567"/>
        </w:tabs>
      </w:pPr>
      <w:r w:rsidRPr="00EB359C">
        <w:t xml:space="preserve">In September 2013, Cabinet agreed to </w:t>
      </w:r>
      <w:r>
        <w:t>establish</w:t>
      </w:r>
      <w:r w:rsidRPr="00EB359C">
        <w:t xml:space="preserve"> an Online Voting Working Party (the Working Party) to consider the options, costs and security issues of online voting in local elections </w:t>
      </w:r>
      <w:r w:rsidRPr="009026AF">
        <w:rPr>
          <w:i/>
        </w:rPr>
        <w:t>[Cab Min (13) 29/7 refers]</w:t>
      </w:r>
      <w:r w:rsidRPr="00EB359C">
        <w:t xml:space="preserve">. </w:t>
      </w:r>
      <w:r w:rsidR="00601123" w:rsidRPr="00EB359C">
        <w:t xml:space="preserve">Cabinet considered the Working Party’s report in </w:t>
      </w:r>
      <w:proofErr w:type="gramStart"/>
      <w:r w:rsidR="00601123" w:rsidRPr="00EB359C">
        <w:t>J</w:t>
      </w:r>
      <w:r w:rsidR="00601123">
        <w:t>uly 2014, and</w:t>
      </w:r>
      <w:proofErr w:type="gramEnd"/>
      <w:r w:rsidR="00601123">
        <w:t xml:space="preserve"> noted its findings </w:t>
      </w:r>
      <w:r w:rsidR="00601123" w:rsidRPr="009026AF">
        <w:rPr>
          <w:i/>
        </w:rPr>
        <w:t>[Cab Min (14) 405 refers]</w:t>
      </w:r>
      <w:r w:rsidR="00601123" w:rsidRPr="00EB359C">
        <w:t>.</w:t>
      </w:r>
      <w:r w:rsidR="00601123">
        <w:rPr>
          <w:rStyle w:val="FootnoteReference"/>
        </w:rPr>
        <w:footnoteReference w:id="1"/>
      </w:r>
      <w:r w:rsidR="00601123" w:rsidRPr="00EB359C">
        <w:t xml:space="preserve">  </w:t>
      </w:r>
      <w:r w:rsidR="00D95CEA">
        <w:t xml:space="preserve">The Working Party’s key finding was that a trial of online voting in the 2016 local elections is feasible, but that </w:t>
      </w:r>
      <w:r w:rsidR="00601123">
        <w:t xml:space="preserve">the </w:t>
      </w:r>
      <w:r w:rsidR="00D95CEA">
        <w:t xml:space="preserve">Government should take the lead on the development and testing of one online voting system for use by councils. </w:t>
      </w:r>
    </w:p>
    <w:p w14:paraId="4234A32E" w14:textId="77777777" w:rsidR="00601123" w:rsidRDefault="00EB359C" w:rsidP="005020D4">
      <w:pPr>
        <w:pStyle w:val="Numberedpara3level1"/>
        <w:numPr>
          <w:ilvl w:val="0"/>
          <w:numId w:val="19"/>
        </w:numPr>
        <w:tabs>
          <w:tab w:val="clear" w:pos="567"/>
          <w:tab w:val="num" w:pos="0"/>
        </w:tabs>
      </w:pPr>
      <w:r w:rsidRPr="00D95CEA">
        <w:lastRenderedPageBreak/>
        <w:t>In</w:t>
      </w:r>
      <w:r w:rsidR="009026AF">
        <w:t xml:space="preserve"> December 2014, Cabinet agreed </w:t>
      </w:r>
      <w:r w:rsidR="009026AF" w:rsidRPr="009026AF">
        <w:rPr>
          <w:i/>
        </w:rPr>
        <w:t>[</w:t>
      </w:r>
      <w:r w:rsidRPr="009026AF">
        <w:rPr>
          <w:i/>
        </w:rPr>
        <w:t>EGI Min (</w:t>
      </w:r>
      <w:proofErr w:type="gramStart"/>
      <w:r w:rsidRPr="009026AF">
        <w:rPr>
          <w:i/>
        </w:rPr>
        <w:t>14)(</w:t>
      </w:r>
      <w:proofErr w:type="gramEnd"/>
      <w:r w:rsidRPr="009026AF">
        <w:rPr>
          <w:i/>
        </w:rPr>
        <w:t>20/14)</w:t>
      </w:r>
      <w:r w:rsidR="009026AF">
        <w:rPr>
          <w:i/>
        </w:rPr>
        <w:t xml:space="preserve"> refers</w:t>
      </w:r>
      <w:r w:rsidR="009026AF" w:rsidRPr="009026AF">
        <w:rPr>
          <w:i/>
        </w:rPr>
        <w:t>]</w:t>
      </w:r>
      <w:r w:rsidRPr="009026AF">
        <w:rPr>
          <w:i/>
        </w:rPr>
        <w:t xml:space="preserve"> </w:t>
      </w:r>
      <w:r w:rsidRPr="00D95CEA">
        <w:t>that while there was no principled objection to a trial of online voting for local elections in 2016 or as reasonably practicable thereafter, any trial would have</w:t>
      </w:r>
      <w:r w:rsidR="00601123">
        <w:t xml:space="preserve"> to be led by local government. </w:t>
      </w:r>
      <w:r w:rsidRPr="00D95CEA">
        <w:t xml:space="preserve">It was </w:t>
      </w:r>
      <w:r w:rsidR="00CE530D">
        <w:t xml:space="preserve">also </w:t>
      </w:r>
      <w:r w:rsidRPr="00D95CEA">
        <w:t xml:space="preserve">agreed that a trial would not be enabled until local government demonstrated that an online voting trial can meet security expectations and operate in accordance with the principles of the </w:t>
      </w:r>
      <w:r w:rsidR="009A2D0E">
        <w:t xml:space="preserve">Local Electoral </w:t>
      </w:r>
      <w:r w:rsidRPr="00D95CEA">
        <w:t>Act</w:t>
      </w:r>
      <w:r w:rsidR="009A2D0E">
        <w:t xml:space="preserve"> 2001</w:t>
      </w:r>
      <w:r w:rsidRPr="00D95CEA">
        <w:t>.</w:t>
      </w:r>
      <w:r w:rsidR="00FD4D70" w:rsidRPr="00FD4D70">
        <w:rPr>
          <w:rStyle w:val="FootnoteReference"/>
        </w:rPr>
        <w:t xml:space="preserve"> </w:t>
      </w:r>
      <w:r w:rsidR="00FD4D70">
        <w:rPr>
          <w:rStyle w:val="FootnoteReference"/>
        </w:rPr>
        <w:footnoteReference w:id="2"/>
      </w:r>
      <w:r w:rsidRPr="00D95CEA">
        <w:t xml:space="preserve"> </w:t>
      </w:r>
      <w:r w:rsidR="00C7000C" w:rsidRPr="001C42B2">
        <w:t xml:space="preserve">The Government’s requirements for a trial of online voting in the 2016 local elections were </w:t>
      </w:r>
      <w:r w:rsidR="00C7000C">
        <w:t>agreed</w:t>
      </w:r>
      <w:r w:rsidR="00C7000C" w:rsidRPr="001C42B2">
        <w:t xml:space="preserve">, </w:t>
      </w:r>
      <w:r w:rsidR="00C7000C" w:rsidRPr="00657076">
        <w:t xml:space="preserve">as a </w:t>
      </w:r>
      <w:r w:rsidR="00C7000C">
        <w:t>yardstick against which</w:t>
      </w:r>
      <w:r w:rsidR="00C7000C" w:rsidRPr="001C42B2">
        <w:t xml:space="preserve"> councils </w:t>
      </w:r>
      <w:r w:rsidR="00C7000C">
        <w:t>could</w:t>
      </w:r>
      <w:r w:rsidR="00C7000C" w:rsidRPr="001C42B2">
        <w:t xml:space="preserve"> demonstrate they can meet </w:t>
      </w:r>
      <w:r w:rsidR="00C7000C">
        <w:t>these objectives</w:t>
      </w:r>
      <w:r w:rsidR="00C7000C" w:rsidRPr="001C42B2">
        <w:t>.</w:t>
      </w:r>
      <w:r w:rsidR="0052453A" w:rsidRPr="0052453A">
        <w:rPr>
          <w:rStyle w:val="FootnoteReference"/>
        </w:rPr>
        <w:t xml:space="preserve"> </w:t>
      </w:r>
    </w:p>
    <w:p w14:paraId="78650668" w14:textId="77777777" w:rsidR="00581F29" w:rsidRPr="001C42B2" w:rsidRDefault="00581F29" w:rsidP="00581F29">
      <w:pPr>
        <w:pStyle w:val="Numberedpara3level1"/>
      </w:pPr>
      <w:r w:rsidRPr="001C42B2">
        <w:t xml:space="preserve">In November 2015, </w:t>
      </w:r>
      <w:r>
        <w:t>I</w:t>
      </w:r>
      <w:r w:rsidRPr="001C42B2">
        <w:t xml:space="preserve"> informed Cabinet that eight territorial authorities had confirmed their interest in participating in a trial of online voting in the 2016 local elections and </w:t>
      </w:r>
      <w:r w:rsidR="00C7000C">
        <w:t xml:space="preserve">obtained </w:t>
      </w:r>
      <w:r w:rsidRPr="001C42B2">
        <w:t>agreement to publish a se</w:t>
      </w:r>
      <w:r>
        <w:t>t of revised trial requirements. The</w:t>
      </w:r>
      <w:r w:rsidR="009026AF">
        <w:t xml:space="preserve"> eight councils</w:t>
      </w:r>
      <w:r>
        <w:t xml:space="preserve"> are </w:t>
      </w:r>
      <w:r w:rsidRPr="00581F29">
        <w:t xml:space="preserve">Whanganui, Rotorua, Matamata </w:t>
      </w:r>
      <w:proofErr w:type="spellStart"/>
      <w:r w:rsidRPr="00581F29">
        <w:t>Piako</w:t>
      </w:r>
      <w:proofErr w:type="spellEnd"/>
      <w:r w:rsidRPr="00581F29">
        <w:t xml:space="preserve">, Selwyn and Masterton </w:t>
      </w:r>
      <w:r>
        <w:t>District Councils</w:t>
      </w:r>
      <w:r w:rsidR="00CE530D">
        <w:t>,</w:t>
      </w:r>
      <w:r w:rsidRPr="00581F29">
        <w:t xml:space="preserve"> </w:t>
      </w:r>
      <w:r>
        <w:t xml:space="preserve">and </w:t>
      </w:r>
      <w:r w:rsidRPr="00581F29">
        <w:t>Porirua, Palmer</w:t>
      </w:r>
      <w:r>
        <w:t>ston North and Wellington City Councils</w:t>
      </w:r>
      <w:r>
        <w:rPr>
          <w:rFonts w:ascii="Arial" w:hAnsi="Arial" w:cs="Arial"/>
          <w:color w:val="000000"/>
          <w:sz w:val="19"/>
          <w:szCs w:val="19"/>
          <w:shd w:val="clear" w:color="auto" w:fill="FFFFFF"/>
        </w:rPr>
        <w:t xml:space="preserve">. </w:t>
      </w:r>
      <w:r w:rsidRPr="001C42B2">
        <w:t>Cabinet agreed that those territorial authorities would provide sufficient scale and representativeness to ensure a trial w</w:t>
      </w:r>
      <w:r w:rsidR="00CE530D">
        <w:t>ould</w:t>
      </w:r>
      <w:r w:rsidRPr="001C42B2">
        <w:t xml:space="preserve"> produce evidence of the practicality and value of online voting in local elections. Cabinet </w:t>
      </w:r>
      <w:r>
        <w:t xml:space="preserve">also </w:t>
      </w:r>
      <w:r w:rsidRPr="001C42B2">
        <w:t xml:space="preserve">noted </w:t>
      </w:r>
      <w:r>
        <w:t>my</w:t>
      </w:r>
      <w:r w:rsidRPr="001C42B2">
        <w:t xml:space="preserve"> intention to:</w:t>
      </w:r>
    </w:p>
    <w:p w14:paraId="56B3B6CC" w14:textId="77777777" w:rsidR="00581F29" w:rsidRPr="001C42B2" w:rsidRDefault="00581F29" w:rsidP="00581F29">
      <w:pPr>
        <w:pStyle w:val="Numberedpara3level211"/>
      </w:pPr>
      <w:r w:rsidRPr="001C42B2">
        <w:t xml:space="preserve">invite those territorial authorities to demonstrate they can meet the revised trial requirements; and </w:t>
      </w:r>
    </w:p>
    <w:p w14:paraId="4778830E" w14:textId="77777777" w:rsidR="00581F29" w:rsidRPr="001C42B2" w:rsidRDefault="00581F29" w:rsidP="00581F29">
      <w:pPr>
        <w:pStyle w:val="Numberedpara3level211"/>
      </w:pPr>
      <w:r w:rsidRPr="001C42B2">
        <w:t xml:space="preserve">report back to Cabinet once the territorial authorities have demonstrated to </w:t>
      </w:r>
      <w:r w:rsidR="00C7000C">
        <w:t>my</w:t>
      </w:r>
      <w:r w:rsidRPr="001C42B2">
        <w:t xml:space="preserve"> satisfaction, that online voting can be trialled in a manner that meets the trial requirements and the Local Electoral Act 2001</w:t>
      </w:r>
      <w:r w:rsidR="009026AF">
        <w:t xml:space="preserve"> </w:t>
      </w:r>
      <w:r w:rsidR="009026AF" w:rsidRPr="009026AF">
        <w:rPr>
          <w:i/>
        </w:rPr>
        <w:t>[CAB-15-MIN-0227 refers]</w:t>
      </w:r>
      <w:r w:rsidRPr="001C42B2">
        <w:t xml:space="preserve">. </w:t>
      </w:r>
    </w:p>
    <w:p w14:paraId="75488CD8" w14:textId="77777777" w:rsidR="00C15436" w:rsidRDefault="00C15436" w:rsidP="00FA6558">
      <w:pPr>
        <w:pStyle w:val="Cabinetpaperparaheading"/>
      </w:pPr>
      <w:r>
        <w:t>Comment</w:t>
      </w:r>
    </w:p>
    <w:p w14:paraId="7B5035B9" w14:textId="77777777" w:rsidR="00317066" w:rsidRPr="00317066" w:rsidRDefault="00317066" w:rsidP="00317066">
      <w:pPr>
        <w:pStyle w:val="Cabinetpaperparasubheading"/>
      </w:pPr>
      <w:r>
        <w:t>There are sound reasons to consider a trial of online voting in local elections, but the process needs to be right</w:t>
      </w:r>
    </w:p>
    <w:p w14:paraId="4F29F2C4" w14:textId="77777777" w:rsidR="00F90E2B" w:rsidRPr="008C7417" w:rsidRDefault="00E557D5" w:rsidP="00C15436">
      <w:pPr>
        <w:pStyle w:val="Numberedpara3level1"/>
      </w:pPr>
      <w:r>
        <w:t>This</w:t>
      </w:r>
      <w:r w:rsidR="00F90E2B" w:rsidRPr="007A725A">
        <w:t xml:space="preserve"> Government has </w:t>
      </w:r>
      <w:r>
        <w:t>previously recognised</w:t>
      </w:r>
      <w:r w:rsidR="008C7417" w:rsidRPr="007A725A">
        <w:t xml:space="preserve"> </w:t>
      </w:r>
      <w:r>
        <w:t xml:space="preserve">that </w:t>
      </w:r>
      <w:r w:rsidR="009E606A">
        <w:t xml:space="preserve">New Zealanders </w:t>
      </w:r>
      <w:r w:rsidR="00F90E2B" w:rsidRPr="007A725A">
        <w:t xml:space="preserve">want to deal with government in new and different ways and </w:t>
      </w:r>
      <w:r w:rsidR="009865D8">
        <w:t>that there is a need</w:t>
      </w:r>
      <w:r w:rsidR="008C7417" w:rsidRPr="007A725A">
        <w:t xml:space="preserve"> to respond to that. The message to a</w:t>
      </w:r>
      <w:r w:rsidR="00F90E2B" w:rsidRPr="007A725A">
        <w:t xml:space="preserve">gencies </w:t>
      </w:r>
      <w:r w:rsidR="008C7417" w:rsidRPr="007A725A">
        <w:t xml:space="preserve">has been </w:t>
      </w:r>
      <w:r w:rsidR="00F90E2B" w:rsidRPr="007A725A">
        <w:t xml:space="preserve">to re-think the way they deliver services, particularly given the public desire to access government services digitally. </w:t>
      </w:r>
      <w:r w:rsidR="009E606A">
        <w:t>This has been the impetus for work under</w:t>
      </w:r>
      <w:r w:rsidR="009E606A" w:rsidRPr="007A725A">
        <w:t xml:space="preserve"> Result Area 10</w:t>
      </w:r>
      <w:r w:rsidR="009E606A">
        <w:t xml:space="preserve"> of the Better Public Services programme.</w:t>
      </w:r>
    </w:p>
    <w:p w14:paraId="17532D16" w14:textId="77777777" w:rsidR="00C7000C" w:rsidRDefault="00C7000C" w:rsidP="00C7000C">
      <w:pPr>
        <w:pStyle w:val="Numberedpara3level1"/>
      </w:pPr>
      <w:r w:rsidRPr="00657076">
        <w:t xml:space="preserve">Local authorities are also facing increasing community expectations for the digitisation of services. These expectations </w:t>
      </w:r>
      <w:r>
        <w:t>are</w:t>
      </w:r>
      <w:r w:rsidRPr="00657076">
        <w:t xml:space="preserve"> driving the sector’s </w:t>
      </w:r>
      <w:r>
        <w:t xml:space="preserve">desire </w:t>
      </w:r>
      <w:r w:rsidRPr="00657076">
        <w:t xml:space="preserve">to </w:t>
      </w:r>
      <w:r>
        <w:t>use</w:t>
      </w:r>
      <w:r w:rsidRPr="00657076">
        <w:t xml:space="preserve"> online voting for local elections, which currently </w:t>
      </w:r>
      <w:r w:rsidR="002160F8">
        <w:t>rely</w:t>
      </w:r>
      <w:r w:rsidRPr="00657076">
        <w:t xml:space="preserve"> on postal voting</w:t>
      </w:r>
      <w:r>
        <w:t xml:space="preserve"> methodology</w:t>
      </w:r>
      <w:r w:rsidRPr="00657076">
        <w:t xml:space="preserve">. There are mixed views about whether online voting technology is </w:t>
      </w:r>
      <w:r>
        <w:t xml:space="preserve">sufficiently </w:t>
      </w:r>
      <w:r w:rsidRPr="00657076">
        <w:t xml:space="preserve">advanced to meet security and integrity expectations in an affordable way. </w:t>
      </w:r>
      <w:r>
        <w:t>P</w:t>
      </w:r>
      <w:r w:rsidRPr="00657076">
        <w:t xml:space="preserve">ostal voting for local elections </w:t>
      </w:r>
      <w:r>
        <w:t>also entails some</w:t>
      </w:r>
      <w:r w:rsidRPr="00657076">
        <w:t xml:space="preserve"> risks, </w:t>
      </w:r>
      <w:r>
        <w:t xml:space="preserve">but it is </w:t>
      </w:r>
      <w:proofErr w:type="gramStart"/>
      <w:r>
        <w:t>familiar</w:t>
      </w:r>
      <w:proofErr w:type="gramEnd"/>
      <w:r>
        <w:t xml:space="preserve"> and the risks </w:t>
      </w:r>
      <w:r w:rsidRPr="00657076">
        <w:t>are largely accepted by the public.</w:t>
      </w:r>
      <w:r w:rsidR="00B76BF1">
        <w:rPr>
          <w:rStyle w:val="FootnoteReference"/>
        </w:rPr>
        <w:footnoteReference w:id="3"/>
      </w:r>
      <w:r w:rsidRPr="00657076">
        <w:t xml:space="preserve"> It is in this context that I </w:t>
      </w:r>
      <w:r w:rsidR="005D4F7C">
        <w:t>sought</w:t>
      </w:r>
      <w:r w:rsidR="005D4F7C" w:rsidRPr="00657076">
        <w:t xml:space="preserve"> </w:t>
      </w:r>
      <w:r w:rsidRPr="00657076">
        <w:t xml:space="preserve">to provide interested councils the opportunity to demonstrate that online voting could be trialled in a manner that similarly meets expectations and maintains public confidence. </w:t>
      </w:r>
    </w:p>
    <w:p w14:paraId="6CF55D56" w14:textId="77777777" w:rsidR="00766F7B" w:rsidRDefault="005751A4" w:rsidP="00C7000C">
      <w:pPr>
        <w:pStyle w:val="Numberedpara3level1"/>
      </w:pPr>
      <w:r>
        <w:lastRenderedPageBreak/>
        <w:t xml:space="preserve">However, it is important to bear in mind that </w:t>
      </w:r>
      <w:r w:rsidR="00B7719E">
        <w:t xml:space="preserve">a trial of </w:t>
      </w:r>
      <w:r>
        <w:t xml:space="preserve">online voting </w:t>
      </w:r>
      <w:r w:rsidR="00B7719E">
        <w:t xml:space="preserve">has implications for subsequent local elections. </w:t>
      </w:r>
      <w:r>
        <w:t xml:space="preserve">As such, </w:t>
      </w:r>
      <w:r w:rsidR="00766F7B">
        <w:t>a</w:t>
      </w:r>
      <w:r>
        <w:t>ny</w:t>
      </w:r>
      <w:r w:rsidR="00766F7B">
        <w:t xml:space="preserve"> trial of online v</w:t>
      </w:r>
      <w:r>
        <w:t xml:space="preserve">oting needs to be set up </w:t>
      </w:r>
      <w:r w:rsidR="00B7719E">
        <w:t xml:space="preserve">with the best chance to demonstrate its </w:t>
      </w:r>
      <w:proofErr w:type="gramStart"/>
      <w:r w:rsidR="00B7719E">
        <w:t>viability</w:t>
      </w:r>
      <w:r>
        <w:t>, and</w:t>
      </w:r>
      <w:proofErr w:type="gramEnd"/>
      <w:r>
        <w:t xml:space="preserve"> should not be </w:t>
      </w:r>
      <w:r w:rsidR="00A71C79">
        <w:t>premature</w:t>
      </w:r>
      <w:r>
        <w:t>.</w:t>
      </w:r>
    </w:p>
    <w:p w14:paraId="1C0A9CDD" w14:textId="77777777" w:rsidR="00C7000C" w:rsidRDefault="00C7000C" w:rsidP="00C7000C">
      <w:pPr>
        <w:pStyle w:val="Cabinetpaperparasubheading"/>
      </w:pPr>
      <w:r w:rsidRPr="00885053">
        <w:t xml:space="preserve">I am not satisfied </w:t>
      </w:r>
      <w:r>
        <w:t xml:space="preserve">the trial </w:t>
      </w:r>
      <w:r w:rsidRPr="00885053">
        <w:t>requirements ca</w:t>
      </w:r>
      <w:r>
        <w:t>n be met in time for a trial this year</w:t>
      </w:r>
      <w:r w:rsidR="00795BE4">
        <w:t xml:space="preserve">, </w:t>
      </w:r>
      <w:r w:rsidR="00581D07">
        <w:t xml:space="preserve">and </w:t>
      </w:r>
      <w:r w:rsidR="0052453A">
        <w:t xml:space="preserve">therefore </w:t>
      </w:r>
      <w:r w:rsidR="00581D07">
        <w:t xml:space="preserve">that compliance </w:t>
      </w:r>
      <w:r w:rsidR="0052453A" w:rsidRPr="0077748D">
        <w:t xml:space="preserve">with </w:t>
      </w:r>
      <w:r w:rsidR="0052453A">
        <w:t xml:space="preserve">Local Electoral Act </w:t>
      </w:r>
      <w:r w:rsidR="00795BE4" w:rsidRPr="0077748D">
        <w:t xml:space="preserve">principles </w:t>
      </w:r>
      <w:r w:rsidR="00795BE4">
        <w:t>can be</w:t>
      </w:r>
      <w:r w:rsidR="0052453A">
        <w:t xml:space="preserve"> assured</w:t>
      </w:r>
    </w:p>
    <w:p w14:paraId="5E307E0F" w14:textId="77777777" w:rsidR="00C7000C" w:rsidRDefault="0074367E" w:rsidP="00C7000C">
      <w:pPr>
        <w:pStyle w:val="Numberedpara3level1"/>
      </w:pPr>
      <w:r>
        <w:t>In early February</w:t>
      </w:r>
      <w:r w:rsidR="002160F8">
        <w:t xml:space="preserve"> 2016</w:t>
      </w:r>
      <w:r>
        <w:t xml:space="preserve">, the eight interested councils submitted reports discussing the extent to which the Government’s trial requirements can be met. </w:t>
      </w:r>
      <w:r w:rsidR="006E757A" w:rsidRPr="001C42B2">
        <w:rPr>
          <w:sz w:val="23"/>
          <w:szCs w:val="23"/>
        </w:rPr>
        <w:t>Appendix A provides a summary table of councils’ progress in demonstrating compliance with the Government’s trial requirements</w:t>
      </w:r>
      <w:r w:rsidR="006E757A">
        <w:rPr>
          <w:sz w:val="23"/>
          <w:szCs w:val="23"/>
        </w:rPr>
        <w:t>, based on those</w:t>
      </w:r>
      <w:r w:rsidR="006E757A" w:rsidRPr="001C42B2">
        <w:rPr>
          <w:sz w:val="23"/>
          <w:szCs w:val="23"/>
        </w:rPr>
        <w:t xml:space="preserve"> reports</w:t>
      </w:r>
      <w:r w:rsidR="006E757A">
        <w:rPr>
          <w:sz w:val="23"/>
          <w:szCs w:val="23"/>
        </w:rPr>
        <w:t>.</w:t>
      </w:r>
      <w:r w:rsidR="006E757A" w:rsidRPr="001C42B2">
        <w:rPr>
          <w:sz w:val="23"/>
          <w:szCs w:val="23"/>
        </w:rPr>
        <w:t xml:space="preserve"> </w:t>
      </w:r>
      <w:r>
        <w:t xml:space="preserve">Councils have well-developed plans for </w:t>
      </w:r>
      <w:r w:rsidR="00F459E0">
        <w:t xml:space="preserve">a trial in 2016. </w:t>
      </w:r>
      <w:r w:rsidR="00CE530D">
        <w:t>However,</w:t>
      </w:r>
      <w:r w:rsidR="00F459E0">
        <w:t xml:space="preserve"> many</w:t>
      </w:r>
      <w:r>
        <w:t xml:space="preserve"> key mi</w:t>
      </w:r>
      <w:r w:rsidR="00CE530D">
        <w:t xml:space="preserve">lestones </w:t>
      </w:r>
      <w:r w:rsidR="002A7DA4">
        <w:t xml:space="preserve">have not </w:t>
      </w:r>
      <w:r w:rsidR="00CE530D">
        <w:t>yet be</w:t>
      </w:r>
      <w:r w:rsidR="002A7DA4">
        <w:t>en able to be</w:t>
      </w:r>
      <w:r w:rsidR="00CE530D">
        <w:t xml:space="preserve"> achieved. B</w:t>
      </w:r>
      <w:r>
        <w:t>ased on the progress to date</w:t>
      </w:r>
      <w:r w:rsidR="00F459E0">
        <w:t>,</w:t>
      </w:r>
      <w:r>
        <w:t xml:space="preserve"> </w:t>
      </w:r>
      <w:r w:rsidR="00B76BF1" w:rsidRPr="006329C8">
        <w:t>I cannot be confident</w:t>
      </w:r>
      <w:r w:rsidR="00B76BF1">
        <w:t xml:space="preserve"> the statutory preconditions for authorising regulations will be met</w:t>
      </w:r>
      <w:r w:rsidR="00E52990">
        <w:t>; specifically, that public confidence will be retained</w:t>
      </w:r>
      <w:r w:rsidR="00B76BF1">
        <w:t>.</w:t>
      </w:r>
      <w:r>
        <w:t xml:space="preserve"> </w:t>
      </w:r>
      <w:r w:rsidR="001D5E46" w:rsidRPr="001D5E46">
        <w:t xml:space="preserve">Key milestones </w:t>
      </w:r>
      <w:r w:rsidR="00E52990">
        <w:t xml:space="preserve">that would contribute to </w:t>
      </w:r>
      <w:r w:rsidR="004D121B">
        <w:t xml:space="preserve">the </w:t>
      </w:r>
      <w:proofErr w:type="spellStart"/>
      <w:r w:rsidR="004D121B">
        <w:t>maintainance</w:t>
      </w:r>
      <w:proofErr w:type="spellEnd"/>
      <w:r w:rsidR="004D121B">
        <w:t xml:space="preserve"> of </w:t>
      </w:r>
      <w:r w:rsidR="00E52990">
        <w:t xml:space="preserve">public confidence but that are </w:t>
      </w:r>
      <w:r w:rsidR="001D5E46" w:rsidRPr="001D5E46">
        <w:t xml:space="preserve">yet </w:t>
      </w:r>
      <w:r w:rsidR="00E52990">
        <w:t xml:space="preserve">to be </w:t>
      </w:r>
      <w:r w:rsidR="001D5E46" w:rsidRPr="001D5E46">
        <w:t>achieved include:</w:t>
      </w:r>
    </w:p>
    <w:p w14:paraId="0560F300" w14:textId="77777777" w:rsidR="00691EFA" w:rsidRPr="001D5E46" w:rsidRDefault="009A2D0E" w:rsidP="005020D4">
      <w:pPr>
        <w:pStyle w:val="Numberedpara3level211"/>
        <w:numPr>
          <w:ilvl w:val="1"/>
          <w:numId w:val="29"/>
        </w:numPr>
      </w:pPr>
      <w:r>
        <w:t>i</w:t>
      </w:r>
      <w:r w:rsidR="00691EFA" w:rsidRPr="001D5E46">
        <w:t xml:space="preserve">ndependent review of the source code for voting </w:t>
      </w:r>
      <w:proofErr w:type="gramStart"/>
      <w:r w:rsidR="00691EFA" w:rsidRPr="001D5E46">
        <w:t>systems</w:t>
      </w:r>
      <w:r w:rsidR="00CE530D">
        <w:t>;</w:t>
      </w:r>
      <w:proofErr w:type="gramEnd"/>
    </w:p>
    <w:p w14:paraId="7356E98A" w14:textId="77777777" w:rsidR="00691EFA" w:rsidRPr="001D5E46" w:rsidRDefault="009A2D0E" w:rsidP="005020D4">
      <w:pPr>
        <w:pStyle w:val="Numberedpara3level211"/>
        <w:numPr>
          <w:ilvl w:val="1"/>
          <w:numId w:val="29"/>
        </w:numPr>
      </w:pPr>
      <w:r>
        <w:t>w</w:t>
      </w:r>
      <w:r w:rsidR="00691EFA" w:rsidRPr="001D5E46">
        <w:t xml:space="preserve">hole-of-system penetration </w:t>
      </w:r>
      <w:proofErr w:type="gramStart"/>
      <w:r w:rsidR="00691EFA" w:rsidRPr="001D5E46">
        <w:t>testing</w:t>
      </w:r>
      <w:r w:rsidR="00CE530D">
        <w:t>;</w:t>
      </w:r>
      <w:proofErr w:type="gramEnd"/>
      <w:r w:rsidR="00691EFA" w:rsidRPr="001D5E46">
        <w:t xml:space="preserve"> </w:t>
      </w:r>
    </w:p>
    <w:p w14:paraId="684A4938" w14:textId="77777777" w:rsidR="00691EFA" w:rsidRPr="001D5E46" w:rsidRDefault="009A2D0E" w:rsidP="005020D4">
      <w:pPr>
        <w:pStyle w:val="Numberedpara3level211"/>
        <w:numPr>
          <w:ilvl w:val="1"/>
          <w:numId w:val="29"/>
        </w:numPr>
      </w:pPr>
      <w:r>
        <w:t>i</w:t>
      </w:r>
      <w:r w:rsidR="00691EFA" w:rsidRPr="001D5E46">
        <w:t>ndependent assurance of key aspects of the trial requirements</w:t>
      </w:r>
      <w:r w:rsidR="00CE530D">
        <w:t>; and</w:t>
      </w:r>
    </w:p>
    <w:p w14:paraId="04E7CD60" w14:textId="77777777" w:rsidR="00C7000C" w:rsidRDefault="009A2D0E" w:rsidP="005020D4">
      <w:pPr>
        <w:pStyle w:val="Numberedpara3level211"/>
        <w:numPr>
          <w:ilvl w:val="1"/>
          <w:numId w:val="29"/>
        </w:numPr>
      </w:pPr>
      <w:r>
        <w:t>d</w:t>
      </w:r>
      <w:r w:rsidR="00691EFA" w:rsidRPr="001D5E46">
        <w:t>evelopment of a detailed coordinated national communications strategy</w:t>
      </w:r>
      <w:r w:rsidR="00CE530D">
        <w:t>.</w:t>
      </w:r>
      <w:r w:rsidR="00691EFA" w:rsidRPr="001D5E46">
        <w:t xml:space="preserve"> </w:t>
      </w:r>
    </w:p>
    <w:p w14:paraId="4BBEA228" w14:textId="77777777" w:rsidR="00C7000C" w:rsidRPr="001D5E46" w:rsidRDefault="00C7000C" w:rsidP="00C7000C">
      <w:pPr>
        <w:pStyle w:val="Numberedpara3level1"/>
      </w:pPr>
      <w:r w:rsidRPr="00D71B3F">
        <w:t>Further work planned for the upcoming months may allow for a greater level of confidence. However, there is insufficient time to allow a further opportunity for councils to report back before authorising regulations would need to be made to enable a trial in the 2016 local elections. Authorising regulations need to be in place by</w:t>
      </w:r>
      <w:r w:rsidRPr="001D5E46">
        <w:t xml:space="preserve"> mid-June at the latest</w:t>
      </w:r>
      <w:r>
        <w:t xml:space="preserve">, for which, policy approval by </w:t>
      </w:r>
      <w:r w:rsidRPr="001D5E46">
        <w:t>Cabinet</w:t>
      </w:r>
      <w:r>
        <w:t xml:space="preserve"> </w:t>
      </w:r>
      <w:r w:rsidRPr="001D5E46">
        <w:t xml:space="preserve">is needed </w:t>
      </w:r>
      <w:r>
        <w:t>now</w:t>
      </w:r>
      <w:r w:rsidRPr="001D5E46">
        <w:t>.</w:t>
      </w:r>
    </w:p>
    <w:p w14:paraId="6B5FC0E7" w14:textId="77777777" w:rsidR="0074367E" w:rsidRDefault="001D5E46" w:rsidP="00691EFA">
      <w:pPr>
        <w:pStyle w:val="Numberedpara3level1"/>
      </w:pPr>
      <w:r>
        <w:t>There are significant</w:t>
      </w:r>
      <w:r w:rsidRPr="001D5E46">
        <w:t xml:space="preserve"> timeframe pressures in preparing for a trial in this year’s local elections. These issues and pressures exacerbate the risks inherent in a </w:t>
      </w:r>
      <w:proofErr w:type="gramStart"/>
      <w:r w:rsidRPr="001D5E46">
        <w:t>trial, and</w:t>
      </w:r>
      <w:proofErr w:type="gramEnd"/>
      <w:r w:rsidRPr="001D5E46">
        <w:t xml:space="preserve"> would limit opportunities for assessing future and ongoing compliance with trial requirements.</w:t>
      </w:r>
      <w:r w:rsidR="00563F67">
        <w:t xml:space="preserve"> A compressed timeframe also does not engender public confidence, an important principle underpinning the Local Electoral Act 2001</w:t>
      </w:r>
      <w:r w:rsidR="00A20BB5">
        <w:t xml:space="preserve"> and a statutory precondition for the creation of authorising regulations under section 139(1)(c)</w:t>
      </w:r>
      <w:r w:rsidR="00563F67">
        <w:t xml:space="preserve">. </w:t>
      </w:r>
      <w:r w:rsidR="0074367E">
        <w:t xml:space="preserve">As such, I do not consider that a trial should proceed in the 2016 local elections. </w:t>
      </w:r>
    </w:p>
    <w:p w14:paraId="53785F18" w14:textId="77777777" w:rsidR="00885053" w:rsidRPr="00885053" w:rsidRDefault="00885053" w:rsidP="00885053">
      <w:pPr>
        <w:pStyle w:val="Cabinetpaperparasubheading"/>
      </w:pPr>
      <w:r w:rsidRPr="00885053">
        <w:t xml:space="preserve">I consider the local government sector should determine how it wishes to proceed </w:t>
      </w:r>
      <w:proofErr w:type="gramStart"/>
      <w:r w:rsidRPr="00885053">
        <w:t>in light of</w:t>
      </w:r>
      <w:proofErr w:type="gramEnd"/>
      <w:r w:rsidRPr="00885053">
        <w:t xml:space="preserve"> the decision that a trial of online voting at the 2016 local elections will not be authorised</w:t>
      </w:r>
    </w:p>
    <w:p w14:paraId="4BE4FB40" w14:textId="77777777" w:rsidR="009263EC" w:rsidRDefault="009263EC" w:rsidP="00D11E2C">
      <w:pPr>
        <w:pStyle w:val="Numberedpara3level1"/>
      </w:pPr>
      <w:r>
        <w:t xml:space="preserve">This is an opportunity for </w:t>
      </w:r>
      <w:r w:rsidR="00691EFA">
        <w:t>the sector to think strategically about and plan for incremental and demonstrable progress towards a trial of online voting in future local elections. It</w:t>
      </w:r>
      <w:r w:rsidR="00691EFA" w:rsidRPr="00D71B3F">
        <w:t xml:space="preserve"> is</w:t>
      </w:r>
      <w:r w:rsidR="005F4CAD">
        <w:t xml:space="preserve"> </w:t>
      </w:r>
      <w:r w:rsidR="00691EFA" w:rsidRPr="00D71B3F">
        <w:t xml:space="preserve">also an opportunity to consider </w:t>
      </w:r>
      <w:r w:rsidR="00691EFA">
        <w:t xml:space="preserve">more </w:t>
      </w:r>
      <w:r w:rsidR="00F46E23">
        <w:t>immediate ways of improving the local electoral system</w:t>
      </w:r>
      <w:r w:rsidR="00691EFA" w:rsidRPr="00D71B3F">
        <w:t>.</w:t>
      </w:r>
      <w:r w:rsidR="00691EFA">
        <w:t xml:space="preserve"> As the agency responsible for the Local Electoral Act 2001, </w:t>
      </w:r>
      <w:r w:rsidR="007C0697">
        <w:br/>
      </w:r>
      <w:r w:rsidR="00691EFA">
        <w:t>I expect the Department of Internal Affairs to be engaged in conversations with the sector</w:t>
      </w:r>
      <w:r w:rsidR="00D41289">
        <w:t xml:space="preserve">, both about online voting and </w:t>
      </w:r>
      <w:r w:rsidR="00795BE4">
        <w:t xml:space="preserve">also </w:t>
      </w:r>
      <w:r w:rsidR="00691EFA">
        <w:t>more broadly about options to address current and future issues in the local electoral system, such as improving accessibility and elector participation</w:t>
      </w:r>
      <w:r w:rsidR="00D11E2C" w:rsidRPr="00D11E2C">
        <w:t xml:space="preserve"> </w:t>
      </w:r>
      <w:r w:rsidR="00D11E2C">
        <w:t xml:space="preserve">for all New Zealanders including Māori, Pacific peoples and members of other </w:t>
      </w:r>
      <w:r w:rsidR="00D11E2C" w:rsidRPr="00D11E2C">
        <w:t>ethnic communities</w:t>
      </w:r>
      <w:r w:rsidR="00691EFA">
        <w:t>.</w:t>
      </w:r>
    </w:p>
    <w:p w14:paraId="2A87B6CB" w14:textId="77777777" w:rsidR="005E2DB4" w:rsidRDefault="00DE4604" w:rsidP="009263EC">
      <w:pPr>
        <w:pStyle w:val="Numberedpara3level1"/>
      </w:pPr>
      <w:r>
        <w:lastRenderedPageBreak/>
        <w:t xml:space="preserve">Further work towards a trial of online voting by the local government sector should </w:t>
      </w:r>
      <w:proofErr w:type="gramStart"/>
      <w:r>
        <w:t>take into account</w:t>
      </w:r>
      <w:proofErr w:type="gramEnd"/>
      <w:r>
        <w:t xml:space="preserve"> the lessons learned from the process we have been through. It is not only important that voting technology is </w:t>
      </w:r>
      <w:r w:rsidR="00691EFA">
        <w:t xml:space="preserve">technically </w:t>
      </w:r>
      <w:r>
        <w:t>sec</w:t>
      </w:r>
      <w:r w:rsidR="00691EFA">
        <w:t>ure and robust. It is equally</w:t>
      </w:r>
      <w:r>
        <w:t xml:space="preserve"> important that systems to be used are </w:t>
      </w:r>
      <w:r w:rsidRPr="00DE4604">
        <w:rPr>
          <w:i/>
        </w:rPr>
        <w:t>seen to be</w:t>
      </w:r>
      <w:r>
        <w:t xml:space="preserve"> secure and allow the public to have confidence in the local electoral system. </w:t>
      </w:r>
      <w:proofErr w:type="gramStart"/>
      <w:r>
        <w:t xml:space="preserve">With this in mind, </w:t>
      </w:r>
      <w:r w:rsidR="005E2DB4">
        <w:t>I</w:t>
      </w:r>
      <w:proofErr w:type="gramEnd"/>
      <w:r w:rsidR="005E2DB4">
        <w:t xml:space="preserve"> have sought advice from </w:t>
      </w:r>
      <w:proofErr w:type="spellStart"/>
      <w:r w:rsidR="005E2DB4">
        <w:t>InternetNZ</w:t>
      </w:r>
      <w:proofErr w:type="spellEnd"/>
      <w:r w:rsidR="00A76038">
        <w:rPr>
          <w:rStyle w:val="FootnoteReference"/>
        </w:rPr>
        <w:footnoteReference w:id="4"/>
      </w:r>
      <w:r w:rsidR="005E2DB4">
        <w:t xml:space="preserve"> </w:t>
      </w:r>
      <w:r w:rsidR="00F7323C">
        <w:t>on ideas for constructive community engagement</w:t>
      </w:r>
      <w:r w:rsidR="004D121B">
        <w:t xml:space="preserve">. </w:t>
      </w:r>
      <w:r w:rsidR="0044466C">
        <w:t>Some of the o</w:t>
      </w:r>
      <w:r w:rsidR="00F7323C">
        <w:t xml:space="preserve">ptions that </w:t>
      </w:r>
      <w:r w:rsidR="00581D07">
        <w:t xml:space="preserve">it has </w:t>
      </w:r>
      <w:r w:rsidR="00F7323C">
        <w:t>put forward</w:t>
      </w:r>
      <w:r w:rsidR="009672C6">
        <w:t xml:space="preserve">, which I </w:t>
      </w:r>
      <w:r w:rsidR="00691EFA">
        <w:t xml:space="preserve">will </w:t>
      </w:r>
      <w:r w:rsidR="009672C6">
        <w:t>encourage the local government sector to consider,</w:t>
      </w:r>
      <w:r w:rsidR="00F7323C">
        <w:t xml:space="preserve"> include:</w:t>
      </w:r>
    </w:p>
    <w:p w14:paraId="337C5CD8" w14:textId="77777777" w:rsidR="004D121B" w:rsidRPr="0002715E" w:rsidRDefault="004D121B" w:rsidP="005020D4">
      <w:pPr>
        <w:pStyle w:val="Numberedpara3level1"/>
        <w:numPr>
          <w:ilvl w:val="0"/>
          <w:numId w:val="28"/>
        </w:numPr>
        <w:rPr>
          <w:rFonts w:asciiTheme="minorHAnsi" w:hAnsiTheme="minorHAnsi"/>
          <w:i/>
        </w:rPr>
      </w:pPr>
      <w:r w:rsidRPr="0002715E">
        <w:rPr>
          <w:rFonts w:asciiTheme="minorHAnsi" w:hAnsiTheme="minorHAnsi" w:cs="Arial"/>
          <w:b/>
          <w:bCs/>
          <w:color w:val="000000"/>
        </w:rPr>
        <w:t xml:space="preserve">Engaging the voting community: </w:t>
      </w:r>
      <w:r w:rsidRPr="0002715E">
        <w:rPr>
          <w:rFonts w:asciiTheme="minorHAnsi" w:hAnsiTheme="minorHAnsi" w:cs="Arial"/>
          <w:color w:val="000000"/>
        </w:rPr>
        <w:t xml:space="preserve">As per the advice on the Online </w:t>
      </w:r>
      <w:r w:rsidR="0044466C" w:rsidRPr="0002715E">
        <w:rPr>
          <w:rFonts w:asciiTheme="minorHAnsi" w:hAnsiTheme="minorHAnsi" w:cs="Arial"/>
          <w:color w:val="000000"/>
        </w:rPr>
        <w:t>Voting Working P</w:t>
      </w:r>
      <w:r w:rsidRPr="0002715E">
        <w:rPr>
          <w:rFonts w:asciiTheme="minorHAnsi" w:hAnsiTheme="minorHAnsi" w:cs="Arial"/>
          <w:color w:val="000000"/>
        </w:rPr>
        <w:t>arty, local government should be seeking to run staged implementation whereby communities can become familiar with the online voting system through:</w:t>
      </w:r>
    </w:p>
    <w:p w14:paraId="45028ECE" w14:textId="77777777" w:rsidR="0044466C" w:rsidRPr="0002715E" w:rsidRDefault="004D121B" w:rsidP="005020D4">
      <w:pPr>
        <w:pStyle w:val="Numberedpara3level1"/>
        <w:numPr>
          <w:ilvl w:val="1"/>
          <w:numId w:val="28"/>
        </w:numPr>
        <w:rPr>
          <w:rFonts w:asciiTheme="minorHAnsi" w:hAnsiTheme="minorHAnsi"/>
          <w:i/>
        </w:rPr>
      </w:pPr>
      <w:r w:rsidRPr="0002715E">
        <w:rPr>
          <w:rFonts w:asciiTheme="minorHAnsi" w:hAnsiTheme="minorHAnsi" w:cs="Arial"/>
          <w:color w:val="000000"/>
        </w:rPr>
        <w:t>Organis</w:t>
      </w:r>
      <w:r w:rsidR="0044466C" w:rsidRPr="0002715E">
        <w:rPr>
          <w:rFonts w:asciiTheme="minorHAnsi" w:hAnsiTheme="minorHAnsi" w:cs="Arial"/>
          <w:color w:val="000000"/>
        </w:rPr>
        <w:t>ing</w:t>
      </w:r>
      <w:r w:rsidRPr="0002715E">
        <w:rPr>
          <w:rFonts w:asciiTheme="minorHAnsi" w:hAnsiTheme="minorHAnsi" w:cs="Arial"/>
          <w:color w:val="000000"/>
        </w:rPr>
        <w:t xml:space="preserve"> workshops to help people share their views and show them the online voting systems</w:t>
      </w:r>
      <w:r w:rsidR="0044466C" w:rsidRPr="0002715E">
        <w:rPr>
          <w:rFonts w:asciiTheme="minorHAnsi" w:hAnsiTheme="minorHAnsi" w:cs="Arial"/>
          <w:color w:val="000000"/>
        </w:rPr>
        <w:t>.</w:t>
      </w:r>
    </w:p>
    <w:p w14:paraId="0E2D417E" w14:textId="77777777" w:rsidR="0044466C" w:rsidRPr="0002715E" w:rsidRDefault="004D121B" w:rsidP="005020D4">
      <w:pPr>
        <w:pStyle w:val="Numberedpara3level1"/>
        <w:numPr>
          <w:ilvl w:val="1"/>
          <w:numId w:val="28"/>
        </w:numPr>
        <w:rPr>
          <w:rFonts w:asciiTheme="minorHAnsi" w:hAnsiTheme="minorHAnsi"/>
          <w:i/>
        </w:rPr>
      </w:pPr>
      <w:r w:rsidRPr="0002715E">
        <w:rPr>
          <w:rFonts w:asciiTheme="minorHAnsi" w:hAnsiTheme="minorHAnsi" w:cs="Arial"/>
          <w:color w:val="000000"/>
        </w:rPr>
        <w:t xml:space="preserve">Non-binding </w:t>
      </w:r>
      <w:r w:rsidR="00581D07">
        <w:rPr>
          <w:rFonts w:asciiTheme="minorHAnsi" w:hAnsiTheme="minorHAnsi" w:cs="Arial"/>
          <w:color w:val="000000"/>
        </w:rPr>
        <w:t xml:space="preserve">trials </w:t>
      </w:r>
      <w:r w:rsidRPr="0002715E">
        <w:rPr>
          <w:rFonts w:asciiTheme="minorHAnsi" w:hAnsiTheme="minorHAnsi" w:cs="Arial"/>
          <w:color w:val="000000"/>
        </w:rPr>
        <w:t>such as refe</w:t>
      </w:r>
      <w:r w:rsidR="00581D07">
        <w:rPr>
          <w:rFonts w:asciiTheme="minorHAnsi" w:hAnsiTheme="minorHAnsi" w:cs="Arial"/>
          <w:color w:val="000000"/>
        </w:rPr>
        <w:t>renda</w:t>
      </w:r>
      <w:r w:rsidR="0044466C" w:rsidRPr="0002715E">
        <w:rPr>
          <w:rFonts w:asciiTheme="minorHAnsi" w:hAnsiTheme="minorHAnsi" w:cs="Arial"/>
          <w:color w:val="000000"/>
        </w:rPr>
        <w:t xml:space="preserve"> </w:t>
      </w:r>
      <w:r w:rsidR="00581D07">
        <w:rPr>
          <w:rFonts w:asciiTheme="minorHAnsi" w:hAnsiTheme="minorHAnsi" w:cs="Arial"/>
          <w:color w:val="000000"/>
        </w:rPr>
        <w:t xml:space="preserve">and </w:t>
      </w:r>
      <w:r w:rsidR="0044466C" w:rsidRPr="0002715E">
        <w:rPr>
          <w:rFonts w:asciiTheme="minorHAnsi" w:hAnsiTheme="minorHAnsi" w:cs="Arial"/>
          <w:color w:val="000000"/>
        </w:rPr>
        <w:t>mock elections (this is i</w:t>
      </w:r>
      <w:r w:rsidRPr="0002715E">
        <w:rPr>
          <w:rFonts w:asciiTheme="minorHAnsi" w:hAnsiTheme="minorHAnsi" w:cs="Arial"/>
          <w:color w:val="000000"/>
        </w:rPr>
        <w:t>nternational best practice)</w:t>
      </w:r>
      <w:r w:rsidR="0044466C" w:rsidRPr="0002715E">
        <w:rPr>
          <w:rFonts w:asciiTheme="minorHAnsi" w:hAnsiTheme="minorHAnsi" w:cs="Arial"/>
          <w:color w:val="000000"/>
        </w:rPr>
        <w:t>.</w:t>
      </w:r>
    </w:p>
    <w:p w14:paraId="79362B47" w14:textId="77777777" w:rsidR="0044466C" w:rsidRPr="0002715E" w:rsidRDefault="00E35BF1" w:rsidP="005020D4">
      <w:pPr>
        <w:pStyle w:val="Numberedpara3level1"/>
        <w:numPr>
          <w:ilvl w:val="1"/>
          <w:numId w:val="28"/>
        </w:numPr>
        <w:rPr>
          <w:rFonts w:asciiTheme="minorHAnsi" w:hAnsiTheme="minorHAnsi"/>
          <w:i/>
        </w:rPr>
      </w:pPr>
      <w:r>
        <w:rPr>
          <w:rFonts w:asciiTheme="minorHAnsi" w:hAnsiTheme="minorHAnsi" w:cs="Arial"/>
          <w:color w:val="000000"/>
        </w:rPr>
        <w:t>U</w:t>
      </w:r>
      <w:r w:rsidR="004D121B" w:rsidRPr="0002715E">
        <w:rPr>
          <w:rFonts w:asciiTheme="minorHAnsi" w:hAnsiTheme="minorHAnsi" w:cs="Arial"/>
          <w:color w:val="000000"/>
        </w:rPr>
        <w:t>sing the system in small-scale politically bind</w:t>
      </w:r>
      <w:r w:rsidR="0044466C" w:rsidRPr="0002715E">
        <w:rPr>
          <w:rFonts w:asciiTheme="minorHAnsi" w:hAnsiTheme="minorHAnsi" w:cs="Arial"/>
          <w:color w:val="000000"/>
        </w:rPr>
        <w:t>ing trials such as by-elections</w:t>
      </w:r>
      <w:r w:rsidR="004D121B" w:rsidRPr="0002715E">
        <w:rPr>
          <w:rFonts w:asciiTheme="minorHAnsi" w:hAnsiTheme="minorHAnsi" w:cs="Arial"/>
          <w:color w:val="000000"/>
        </w:rPr>
        <w:t>.</w:t>
      </w:r>
    </w:p>
    <w:p w14:paraId="2E273EF3" w14:textId="77777777" w:rsidR="004D121B" w:rsidRPr="0002715E" w:rsidRDefault="00E35BF1" w:rsidP="005020D4">
      <w:pPr>
        <w:pStyle w:val="Numberedpara3level1"/>
        <w:numPr>
          <w:ilvl w:val="1"/>
          <w:numId w:val="28"/>
        </w:numPr>
        <w:rPr>
          <w:rFonts w:asciiTheme="minorHAnsi" w:hAnsiTheme="minorHAnsi"/>
          <w:i/>
        </w:rPr>
      </w:pPr>
      <w:r>
        <w:rPr>
          <w:rFonts w:asciiTheme="minorHAnsi" w:hAnsiTheme="minorHAnsi" w:cs="Arial"/>
          <w:color w:val="000000"/>
        </w:rPr>
        <w:t>T</w:t>
      </w:r>
      <w:r w:rsidR="004D121B" w:rsidRPr="0002715E">
        <w:rPr>
          <w:rFonts w:asciiTheme="minorHAnsi" w:hAnsiTheme="minorHAnsi" w:cs="Arial"/>
          <w:color w:val="000000"/>
        </w:rPr>
        <w:t>rial the technology in selected sites.</w:t>
      </w:r>
    </w:p>
    <w:p w14:paraId="32A6C95E" w14:textId="77777777" w:rsidR="004D121B" w:rsidRPr="0002715E" w:rsidRDefault="004D121B" w:rsidP="005020D4">
      <w:pPr>
        <w:pStyle w:val="Numberedpara3level1"/>
        <w:numPr>
          <w:ilvl w:val="0"/>
          <w:numId w:val="28"/>
        </w:numPr>
        <w:rPr>
          <w:rFonts w:asciiTheme="minorHAnsi" w:hAnsiTheme="minorHAnsi"/>
        </w:rPr>
      </w:pPr>
      <w:r w:rsidRPr="0002715E">
        <w:rPr>
          <w:rFonts w:asciiTheme="minorHAnsi" w:hAnsiTheme="minorHAnsi" w:cs="Arial"/>
          <w:b/>
          <w:bCs/>
          <w:color w:val="000000"/>
        </w:rPr>
        <w:t>Engaging the technical and academic communities</w:t>
      </w:r>
      <w:r w:rsidR="0044466C" w:rsidRPr="0002715E">
        <w:rPr>
          <w:rFonts w:asciiTheme="minorHAnsi" w:hAnsiTheme="minorHAnsi" w:cs="Arial"/>
          <w:b/>
          <w:bCs/>
          <w:color w:val="000000"/>
        </w:rPr>
        <w:t xml:space="preserve">: </w:t>
      </w:r>
      <w:r w:rsidR="0044466C" w:rsidRPr="0002715E">
        <w:rPr>
          <w:rFonts w:asciiTheme="minorHAnsi" w:hAnsiTheme="minorHAnsi" w:cs="Arial"/>
          <w:color w:val="000000"/>
        </w:rPr>
        <w:t>T</w:t>
      </w:r>
      <w:r w:rsidRPr="0002715E">
        <w:rPr>
          <w:rFonts w:asciiTheme="minorHAnsi" w:hAnsiTheme="minorHAnsi" w:cs="Arial"/>
          <w:color w:val="000000"/>
        </w:rPr>
        <w:t xml:space="preserve">he technical and academic communities can provide considerable help </w:t>
      </w:r>
      <w:r w:rsidR="0044466C" w:rsidRPr="0002715E">
        <w:rPr>
          <w:rFonts w:asciiTheme="minorHAnsi" w:hAnsiTheme="minorHAnsi" w:cs="Arial"/>
          <w:color w:val="000000"/>
        </w:rPr>
        <w:t xml:space="preserve">to an online voting trial. </w:t>
      </w:r>
      <w:r w:rsidRPr="0002715E">
        <w:rPr>
          <w:rFonts w:asciiTheme="minorHAnsi" w:hAnsiTheme="minorHAnsi" w:cs="Arial"/>
          <w:color w:val="000000"/>
        </w:rPr>
        <w:t xml:space="preserve">Their confidence in the confidentiality, integrity, availability and privacy of the online voting system will be critical to ensuring successful use of online voting systems. </w:t>
      </w:r>
      <w:r w:rsidR="00581D07">
        <w:rPr>
          <w:rFonts w:asciiTheme="minorHAnsi" w:hAnsiTheme="minorHAnsi" w:cs="Arial"/>
          <w:color w:val="000000"/>
        </w:rPr>
        <w:t>S</w:t>
      </w:r>
      <w:r w:rsidR="0044466C" w:rsidRPr="0002715E">
        <w:rPr>
          <w:rFonts w:asciiTheme="minorHAnsi" w:hAnsiTheme="minorHAnsi" w:cs="Arial"/>
          <w:color w:val="000000"/>
        </w:rPr>
        <w:t>uggest</w:t>
      </w:r>
      <w:r w:rsidR="00581D07">
        <w:rPr>
          <w:rFonts w:asciiTheme="minorHAnsi" w:hAnsiTheme="minorHAnsi" w:cs="Arial"/>
          <w:color w:val="000000"/>
        </w:rPr>
        <w:t>ions include</w:t>
      </w:r>
      <w:r w:rsidR="0044466C" w:rsidRPr="0002715E">
        <w:rPr>
          <w:rFonts w:asciiTheme="minorHAnsi" w:hAnsiTheme="minorHAnsi" w:cs="Arial"/>
          <w:color w:val="000000"/>
        </w:rPr>
        <w:t>:</w:t>
      </w:r>
    </w:p>
    <w:p w14:paraId="4387F3DD" w14:textId="77777777" w:rsidR="004D121B" w:rsidRPr="0002715E" w:rsidRDefault="0044466C" w:rsidP="005020D4">
      <w:pPr>
        <w:pStyle w:val="Numberedpara3level1"/>
        <w:numPr>
          <w:ilvl w:val="1"/>
          <w:numId w:val="28"/>
        </w:numPr>
        <w:rPr>
          <w:rFonts w:asciiTheme="minorHAnsi" w:hAnsiTheme="minorHAnsi" w:cs="Arial"/>
        </w:rPr>
      </w:pPr>
      <w:r w:rsidRPr="0002715E">
        <w:rPr>
          <w:rFonts w:asciiTheme="minorHAnsi" w:hAnsiTheme="minorHAnsi" w:cs="Arial"/>
          <w:color w:val="000000"/>
        </w:rPr>
        <w:t>Organising</w:t>
      </w:r>
      <w:r w:rsidR="004D121B" w:rsidRPr="0002715E">
        <w:rPr>
          <w:rFonts w:asciiTheme="minorHAnsi" w:hAnsiTheme="minorHAnsi" w:cs="Arial"/>
          <w:color w:val="000000"/>
        </w:rPr>
        <w:t xml:space="preserve"> workshops to help people share their views and discuss how different groups and parts of the community can be involved in making online voting a success.</w:t>
      </w:r>
    </w:p>
    <w:p w14:paraId="51A34185" w14:textId="77777777" w:rsidR="004D121B" w:rsidRPr="0002715E" w:rsidRDefault="00581D07" w:rsidP="005020D4">
      <w:pPr>
        <w:pStyle w:val="Numberedpara3level1"/>
        <w:numPr>
          <w:ilvl w:val="1"/>
          <w:numId w:val="28"/>
        </w:numPr>
        <w:rPr>
          <w:rFonts w:asciiTheme="minorHAnsi" w:hAnsiTheme="minorHAnsi" w:cs="Arial"/>
        </w:rPr>
      </w:pPr>
      <w:r>
        <w:rPr>
          <w:rFonts w:asciiTheme="minorHAnsi" w:hAnsiTheme="minorHAnsi" w:cs="Arial"/>
          <w:color w:val="000000"/>
        </w:rPr>
        <w:t>‘</w:t>
      </w:r>
      <w:r w:rsidR="00D41289" w:rsidRPr="0002715E">
        <w:rPr>
          <w:rFonts w:asciiTheme="minorHAnsi" w:hAnsiTheme="minorHAnsi" w:cs="Arial"/>
          <w:color w:val="000000"/>
        </w:rPr>
        <w:t>Open sourcing</w:t>
      </w:r>
      <w:r>
        <w:rPr>
          <w:rFonts w:asciiTheme="minorHAnsi" w:hAnsiTheme="minorHAnsi" w:cs="Arial"/>
          <w:color w:val="000000"/>
        </w:rPr>
        <w:t>’</w:t>
      </w:r>
      <w:r w:rsidR="004D121B" w:rsidRPr="0002715E">
        <w:rPr>
          <w:rFonts w:asciiTheme="minorHAnsi" w:hAnsiTheme="minorHAnsi" w:cs="Arial"/>
          <w:color w:val="000000"/>
        </w:rPr>
        <w:t xml:space="preserve"> online voting system source code so that academic research teams and </w:t>
      </w:r>
      <w:proofErr w:type="gramStart"/>
      <w:r w:rsidR="004D121B" w:rsidRPr="0002715E">
        <w:rPr>
          <w:rFonts w:asciiTheme="minorHAnsi" w:hAnsiTheme="minorHAnsi" w:cs="Arial"/>
          <w:color w:val="000000"/>
        </w:rPr>
        <w:t>open source</w:t>
      </w:r>
      <w:proofErr w:type="gramEnd"/>
      <w:r w:rsidR="004D121B" w:rsidRPr="0002715E">
        <w:rPr>
          <w:rFonts w:asciiTheme="minorHAnsi" w:hAnsiTheme="minorHAnsi" w:cs="Arial"/>
          <w:color w:val="000000"/>
        </w:rPr>
        <w:t xml:space="preserve"> advocates can review and contribute to the betterment of the software.</w:t>
      </w:r>
    </w:p>
    <w:p w14:paraId="7F157C28" w14:textId="77777777" w:rsidR="004D121B" w:rsidRPr="0002715E" w:rsidRDefault="004D121B" w:rsidP="005020D4">
      <w:pPr>
        <w:pStyle w:val="Numberedpara3level1"/>
        <w:numPr>
          <w:ilvl w:val="1"/>
          <w:numId w:val="28"/>
        </w:numPr>
        <w:rPr>
          <w:rFonts w:asciiTheme="minorHAnsi" w:hAnsiTheme="minorHAnsi" w:cs="Arial"/>
        </w:rPr>
      </w:pPr>
      <w:r w:rsidRPr="0002715E">
        <w:rPr>
          <w:rFonts w:asciiTheme="minorHAnsi" w:hAnsiTheme="minorHAnsi" w:cs="Arial"/>
          <w:color w:val="000000"/>
        </w:rPr>
        <w:t>Run</w:t>
      </w:r>
      <w:r w:rsidR="00D41289" w:rsidRPr="0002715E">
        <w:rPr>
          <w:rFonts w:asciiTheme="minorHAnsi" w:hAnsiTheme="minorHAnsi" w:cs="Arial"/>
          <w:color w:val="000000"/>
        </w:rPr>
        <w:t>ning</w:t>
      </w:r>
      <w:r w:rsidRPr="0002715E">
        <w:rPr>
          <w:rFonts w:asciiTheme="minorHAnsi" w:hAnsiTheme="minorHAnsi" w:cs="Arial"/>
          <w:color w:val="000000"/>
        </w:rPr>
        <w:t xml:space="preserve"> a bug bounty, enabling New Zealanders to contribute to th</w:t>
      </w:r>
      <w:r w:rsidR="0044466C" w:rsidRPr="0002715E">
        <w:rPr>
          <w:rFonts w:asciiTheme="minorHAnsi" w:hAnsiTheme="minorHAnsi" w:cs="Arial"/>
          <w:color w:val="000000"/>
        </w:rPr>
        <w:t>e security of the online voting.</w:t>
      </w:r>
      <w:r w:rsidR="00D41289" w:rsidRPr="0002715E">
        <w:rPr>
          <w:rStyle w:val="FootnoteReference"/>
          <w:rFonts w:asciiTheme="minorHAnsi" w:hAnsiTheme="minorHAnsi" w:cs="Arial"/>
          <w:color w:val="000000"/>
        </w:rPr>
        <w:footnoteReference w:id="5"/>
      </w:r>
    </w:p>
    <w:p w14:paraId="7648F97F" w14:textId="77777777" w:rsidR="00C15436" w:rsidRDefault="00C15436" w:rsidP="00FA6558">
      <w:pPr>
        <w:pStyle w:val="Cabinetpaperparaheading"/>
      </w:pPr>
      <w:r>
        <w:t>Consultation</w:t>
      </w:r>
    </w:p>
    <w:p w14:paraId="68987DC9" w14:textId="77777777" w:rsidR="009602B5" w:rsidRPr="00167BE6" w:rsidRDefault="009602B5" w:rsidP="009602B5">
      <w:pPr>
        <w:pStyle w:val="Numberedpara3level1"/>
      </w:pPr>
      <w:r w:rsidRPr="00167BE6">
        <w:t>This paper was prepared by the Department of Internal Affairs. The Treasury, the Minist</w:t>
      </w:r>
      <w:r>
        <w:t>ries</w:t>
      </w:r>
      <w:r w:rsidRPr="00167BE6">
        <w:t xml:space="preserve"> of Justice, Health, </w:t>
      </w:r>
      <w:r>
        <w:t xml:space="preserve">and </w:t>
      </w:r>
      <w:r w:rsidRPr="00643169">
        <w:t xml:space="preserve">Pacific </w:t>
      </w:r>
      <w:r w:rsidR="00C31CA4">
        <w:t>Peoples</w:t>
      </w:r>
      <w:r>
        <w:t xml:space="preserve">, </w:t>
      </w:r>
      <w:r w:rsidRPr="00167BE6">
        <w:t>the Office</w:t>
      </w:r>
      <w:r>
        <w:t>s</w:t>
      </w:r>
      <w:r w:rsidRPr="00167BE6">
        <w:t xml:space="preserve"> for Disability Issues, Senior Citizens, </w:t>
      </w:r>
      <w:r>
        <w:t xml:space="preserve">and </w:t>
      </w:r>
      <w:r w:rsidRPr="00167BE6">
        <w:t>Ethnic Communities</w:t>
      </w:r>
      <w:r>
        <w:t xml:space="preserve">, the Privacy Commissioner, </w:t>
      </w:r>
      <w:r w:rsidRPr="00167BE6">
        <w:t xml:space="preserve">and the Electoral Commission have all been consulted in the development of this paper. The Department of the Prime Minister and Cabinet has been informed. </w:t>
      </w:r>
      <w:r w:rsidR="000573CB">
        <w:t>Local Government New Zealand has been involved throughout the process.</w:t>
      </w:r>
    </w:p>
    <w:p w14:paraId="3D1E8394" w14:textId="77777777" w:rsidR="009602B5" w:rsidRDefault="00F7323C" w:rsidP="009602B5">
      <w:pPr>
        <w:pStyle w:val="Numberedpara3level1"/>
      </w:pPr>
      <w:r>
        <w:lastRenderedPageBreak/>
        <w:t>I have also personally sought the advice of members of the IT community.</w:t>
      </w:r>
      <w:r w:rsidR="00D602A4">
        <w:t xml:space="preserve"> </w:t>
      </w:r>
    </w:p>
    <w:p w14:paraId="56AA8C65" w14:textId="77777777" w:rsidR="00C15436" w:rsidRDefault="009602B5" w:rsidP="009602B5">
      <w:pPr>
        <w:pStyle w:val="Numberedpara3level1"/>
      </w:pPr>
      <w:r>
        <w:t xml:space="preserve">The Minister of Local Government has agreed to the submission of this paper in accordance </w:t>
      </w:r>
      <w:r w:rsidR="00C31CA4">
        <w:t xml:space="preserve">with </w:t>
      </w:r>
      <w:r>
        <w:t xml:space="preserve">the delegation to the Associate Minister of Local Government, of all matters relating to a potential online voting trial in local elections. </w:t>
      </w:r>
    </w:p>
    <w:p w14:paraId="67D8F168" w14:textId="77777777" w:rsidR="00C15436" w:rsidRDefault="00C15436" w:rsidP="00FA6558">
      <w:pPr>
        <w:pStyle w:val="Cabinetpaperparaheading"/>
      </w:pPr>
      <w:r>
        <w:t>Financial implications</w:t>
      </w:r>
    </w:p>
    <w:p w14:paraId="08B20025" w14:textId="77777777" w:rsidR="00C15436" w:rsidRDefault="00F6256D" w:rsidP="00484044">
      <w:pPr>
        <w:pStyle w:val="Numberedpara3level1"/>
      </w:pPr>
      <w:r>
        <w:t xml:space="preserve">There are no financial implications arising from the proposals in this paper. Any future </w:t>
      </w:r>
      <w:r w:rsidR="00432B77">
        <w:t xml:space="preserve">exploratory </w:t>
      </w:r>
      <w:r>
        <w:t>work by the Department would be funded out of existing baselines</w:t>
      </w:r>
      <w:r w:rsidR="00432B77">
        <w:t>.</w:t>
      </w:r>
    </w:p>
    <w:p w14:paraId="2FBC4B5B" w14:textId="77777777" w:rsidR="00921B38" w:rsidRPr="001C0C30" w:rsidRDefault="00921B38" w:rsidP="00FA6558">
      <w:pPr>
        <w:pStyle w:val="Cabinetpaperparaheading"/>
      </w:pPr>
      <w:r>
        <w:t>Legislative implications</w:t>
      </w:r>
    </w:p>
    <w:p w14:paraId="65A3B993" w14:textId="77777777" w:rsidR="00C15436" w:rsidRPr="001C0C30" w:rsidRDefault="00432B77" w:rsidP="00C15436">
      <w:pPr>
        <w:pStyle w:val="Numberedpara3level1"/>
      </w:pPr>
      <w:r>
        <w:t>There are no legislative implications arising from the proposals in this paper.</w:t>
      </w:r>
    </w:p>
    <w:p w14:paraId="55131C3C" w14:textId="77777777" w:rsidR="00AA559E" w:rsidRDefault="00AA559E" w:rsidP="00AA559E">
      <w:pPr>
        <w:pStyle w:val="Cabinetpaperparaheading"/>
      </w:pPr>
      <w:r>
        <w:t>Human rights, gender and disability perspective</w:t>
      </w:r>
    </w:p>
    <w:p w14:paraId="592F0FD9" w14:textId="77777777" w:rsidR="00AA559E" w:rsidRPr="001C0C30" w:rsidRDefault="00AA559E" w:rsidP="005020D4">
      <w:pPr>
        <w:pStyle w:val="Numberedpara3level1"/>
        <w:numPr>
          <w:ilvl w:val="0"/>
          <w:numId w:val="19"/>
        </w:numPr>
      </w:pPr>
      <w:r>
        <w:t>There are no human rights or gender implications arising from the proposals in this paper.</w:t>
      </w:r>
      <w:r w:rsidRPr="00C963D7">
        <w:t xml:space="preserve"> </w:t>
      </w:r>
      <w:r w:rsidR="00432B77">
        <w:t xml:space="preserve"> I have previously noted that the </w:t>
      </w:r>
      <w:r w:rsidRPr="00432B77">
        <w:t xml:space="preserve">development of online voting as a voting method </w:t>
      </w:r>
      <w:r w:rsidR="00ED53BD">
        <w:t>w</w:t>
      </w:r>
      <w:r w:rsidRPr="00432B77">
        <w:t>ould assist the visually impaired and other disabled people to vote independently. It would also advance New Zealand’s implementation of the United Nations Convention on the Rights of Persons with Disabilities, specifically Article 29(a)(</w:t>
      </w:r>
      <w:proofErr w:type="spellStart"/>
      <w:r w:rsidRPr="00432B77">
        <w:t>i</w:t>
      </w:r>
      <w:proofErr w:type="spellEnd"/>
      <w:r w:rsidRPr="00432B77">
        <w:t>) on participation in political and public life.</w:t>
      </w:r>
      <w:r w:rsidR="00432B77">
        <w:t xml:space="preserve"> Enhancing accessibility for electors is a key factor in my consideration of the options going forward, and </w:t>
      </w:r>
      <w:r w:rsidR="00ED53BD">
        <w:t>a particular area of analysis</w:t>
      </w:r>
      <w:r w:rsidR="00432B77">
        <w:t xml:space="preserve"> for the Department of Internal Affairs (discussed </w:t>
      </w:r>
      <w:r w:rsidR="00B21A4A">
        <w:t>in</w:t>
      </w:r>
      <w:r w:rsidR="00432B77">
        <w:t xml:space="preserve"> para</w:t>
      </w:r>
      <w:r w:rsidR="00952531">
        <w:t>graph</w:t>
      </w:r>
      <w:r w:rsidR="00ED53BD">
        <w:t xml:space="preserve"> </w:t>
      </w:r>
      <w:r w:rsidR="009672C6" w:rsidRPr="009D3391">
        <w:t>1</w:t>
      </w:r>
      <w:r w:rsidR="009D3391" w:rsidRPr="009D3391">
        <w:t>5</w:t>
      </w:r>
      <w:r w:rsidR="00432B77">
        <w:t>).</w:t>
      </w:r>
    </w:p>
    <w:p w14:paraId="7D7FE0CE" w14:textId="77777777" w:rsidR="00921B38" w:rsidRDefault="00921B38" w:rsidP="00FA6558">
      <w:pPr>
        <w:pStyle w:val="Cabinetpaperparaheading"/>
      </w:pPr>
      <w:r>
        <w:t>Publicity</w:t>
      </w:r>
    </w:p>
    <w:p w14:paraId="2DE02B09" w14:textId="77777777" w:rsidR="00432B77" w:rsidRDefault="00432B77" w:rsidP="005020D4">
      <w:pPr>
        <w:pStyle w:val="Numberedpara3level1"/>
        <w:numPr>
          <w:ilvl w:val="0"/>
          <w:numId w:val="27"/>
        </w:numPr>
      </w:pPr>
      <w:r w:rsidRPr="00432B77">
        <w:t>The announcement of a decision not to allow a trial of online voting in 2016 is likely to disappoint</w:t>
      </w:r>
      <w:r w:rsidR="008F3B32">
        <w:t xml:space="preserve"> </w:t>
      </w:r>
      <w:r>
        <w:t xml:space="preserve">the eight councils </w:t>
      </w:r>
      <w:r w:rsidRPr="00432B77">
        <w:t xml:space="preserve">and </w:t>
      </w:r>
      <w:r>
        <w:t xml:space="preserve">their election </w:t>
      </w:r>
      <w:r w:rsidRPr="00432B77">
        <w:t>service providers</w:t>
      </w:r>
      <w:r w:rsidR="008F3B32">
        <w:t>, but also the wider local government sector and the disability sector</w:t>
      </w:r>
      <w:r w:rsidRPr="00432B77">
        <w:t>.  A range of reactions is likely from other stakeholders and interest groups.</w:t>
      </w:r>
      <w:r w:rsidR="005E2DB4">
        <w:t xml:space="preserve"> I </w:t>
      </w:r>
      <w:r w:rsidR="000D4168">
        <w:t xml:space="preserve">have </w:t>
      </w:r>
      <w:proofErr w:type="gramStart"/>
      <w:r w:rsidR="000D4168">
        <w:t>made</w:t>
      </w:r>
      <w:r w:rsidR="005E2DB4">
        <w:t xml:space="preserve"> contact with</w:t>
      </w:r>
      <w:proofErr w:type="gramEnd"/>
      <w:r w:rsidR="005E2DB4">
        <w:t xml:space="preserve"> each of the Council Mayors to </w:t>
      </w:r>
      <w:r w:rsidR="009D3391">
        <w:t>inform them</w:t>
      </w:r>
      <w:r w:rsidR="005E2DB4">
        <w:t xml:space="preserve"> of these decisions in advance of the public announcement. </w:t>
      </w:r>
      <w:r w:rsidR="009D3391">
        <w:t>O</w:t>
      </w:r>
      <w:r w:rsidR="005E2DB4">
        <w:t xml:space="preserve">fficials at the Department of Internal Affairs will inform </w:t>
      </w:r>
      <w:r w:rsidR="000D4168">
        <w:t xml:space="preserve">other </w:t>
      </w:r>
      <w:r w:rsidR="005E2DB4">
        <w:t xml:space="preserve">key stakeholders. </w:t>
      </w:r>
    </w:p>
    <w:p w14:paraId="0BDFB6D7" w14:textId="77777777" w:rsidR="00885053" w:rsidRDefault="00885053" w:rsidP="005020D4">
      <w:pPr>
        <w:pStyle w:val="Numberedpara3level1"/>
        <w:numPr>
          <w:ilvl w:val="0"/>
          <w:numId w:val="27"/>
        </w:numPr>
      </w:pPr>
      <w:r>
        <w:t xml:space="preserve">Because of the level of public interest in a trial of online voting, and </w:t>
      </w:r>
      <w:proofErr w:type="gramStart"/>
      <w:r>
        <w:t>in order to</w:t>
      </w:r>
      <w:proofErr w:type="gramEnd"/>
      <w:r>
        <w:t xml:space="preserve"> facilitate engagement with the local government sector, I intend to </w:t>
      </w:r>
      <w:r w:rsidR="009D3391">
        <w:t xml:space="preserve">proactively release </w:t>
      </w:r>
      <w:r>
        <w:t xml:space="preserve">this paper </w:t>
      </w:r>
      <w:r w:rsidR="00F47094">
        <w:t xml:space="preserve">together with </w:t>
      </w:r>
      <w:r w:rsidR="009D3391">
        <w:t xml:space="preserve">the associated Cabinet minutes </w:t>
      </w:r>
      <w:r w:rsidR="00F47094">
        <w:t>and</w:t>
      </w:r>
      <w:r w:rsidR="009D3391">
        <w:t xml:space="preserve"> publish them </w:t>
      </w:r>
      <w:r>
        <w:t>on the Department of Internal Affairs’ website</w:t>
      </w:r>
      <w:r w:rsidR="00A35BE8">
        <w:t>.</w:t>
      </w:r>
      <w:r w:rsidR="00691EFA">
        <w:t xml:space="preserve"> Previous papers and minutes </w:t>
      </w:r>
      <w:r w:rsidR="009D3391">
        <w:t>on</w:t>
      </w:r>
      <w:r w:rsidR="00691EFA">
        <w:t xml:space="preserve"> this matter </w:t>
      </w:r>
      <w:r w:rsidR="009D3391">
        <w:t>have been proactively released</w:t>
      </w:r>
      <w:r w:rsidR="00691EFA">
        <w:t xml:space="preserve">. </w:t>
      </w:r>
    </w:p>
    <w:p w14:paraId="2075FCEC" w14:textId="77777777" w:rsidR="006A3947" w:rsidRDefault="006A3947">
      <w:pPr>
        <w:keepLines w:val="0"/>
        <w:rPr>
          <w:b/>
          <w:sz w:val="26"/>
        </w:rPr>
      </w:pPr>
      <w:r>
        <w:br w:type="page"/>
      </w:r>
    </w:p>
    <w:p w14:paraId="6974A0A8" w14:textId="77777777" w:rsidR="00EF62A9" w:rsidRPr="00EF62A9" w:rsidRDefault="00921B38" w:rsidP="00FA6558">
      <w:pPr>
        <w:pStyle w:val="Cabinetpaperparaheading"/>
      </w:pPr>
      <w:r>
        <w:lastRenderedPageBreak/>
        <w:t>Recommendations</w:t>
      </w:r>
    </w:p>
    <w:p w14:paraId="3A442C57" w14:textId="77777777" w:rsidR="00921B38" w:rsidRDefault="00921B38" w:rsidP="00881257">
      <w:pPr>
        <w:pStyle w:val="Numberedpara3level1"/>
        <w:keepNext/>
      </w:pPr>
      <w:r>
        <w:t xml:space="preserve">The </w:t>
      </w:r>
      <w:r w:rsidR="009602B5">
        <w:t>Associate Minister of Local Government</w:t>
      </w:r>
      <w:r w:rsidR="00FA6558">
        <w:t xml:space="preserve"> </w:t>
      </w:r>
      <w:r>
        <w:t>recommends that the Committee:</w:t>
      </w:r>
    </w:p>
    <w:p w14:paraId="6465E13E" w14:textId="77777777" w:rsidR="00D07240" w:rsidRDefault="00432B77" w:rsidP="00931650">
      <w:pPr>
        <w:pStyle w:val="List123"/>
      </w:pPr>
      <w:r w:rsidRPr="002160F8">
        <w:rPr>
          <w:b/>
        </w:rPr>
        <w:t>note</w:t>
      </w:r>
      <w:r>
        <w:t xml:space="preserve"> </w:t>
      </w:r>
      <w:r w:rsidR="00D07240">
        <w:t>that on 16 November 2015, Cabinet:</w:t>
      </w:r>
    </w:p>
    <w:p w14:paraId="337EE6FC" w14:textId="77777777" w:rsidR="00F4090F" w:rsidRDefault="00F4090F" w:rsidP="00D07240">
      <w:pPr>
        <w:pStyle w:val="List123level2"/>
      </w:pPr>
      <w:r>
        <w:t xml:space="preserve">agreed that the eight territorial authorities that confirmed their interest in participating in a trial of online voting in the 2016 local elections provide sufficient scale and </w:t>
      </w:r>
      <w:r w:rsidRPr="00F4090F">
        <w:t>representativeness to ensure a trial will produce evidence of the practicality and value of o</w:t>
      </w:r>
      <w:r>
        <w:t xml:space="preserve">nline voting in local </w:t>
      </w:r>
      <w:proofErr w:type="gramStart"/>
      <w:r>
        <w:t>elections;</w:t>
      </w:r>
      <w:proofErr w:type="gramEnd"/>
    </w:p>
    <w:p w14:paraId="267014C2" w14:textId="77777777" w:rsidR="00A35BE8" w:rsidRDefault="00F4090F" w:rsidP="00D07240">
      <w:pPr>
        <w:pStyle w:val="List123level2"/>
      </w:pPr>
      <w:r>
        <w:t xml:space="preserve">noted </w:t>
      </w:r>
      <w:r w:rsidR="00D07240">
        <w:t xml:space="preserve">that </w:t>
      </w:r>
      <w:r>
        <w:t>the Associate Minister of Local Government intends to</w:t>
      </w:r>
      <w:r w:rsidR="00A35BE8">
        <w:t>:</w:t>
      </w:r>
    </w:p>
    <w:p w14:paraId="34D92DB2" w14:textId="77777777" w:rsidR="00D07240" w:rsidRDefault="00F4090F" w:rsidP="00A35BE8">
      <w:pPr>
        <w:pStyle w:val="List123level3"/>
      </w:pPr>
      <w:r>
        <w:t xml:space="preserve">invite </w:t>
      </w:r>
      <w:r w:rsidR="00D07240">
        <w:t xml:space="preserve">the eight territorial authorities </w:t>
      </w:r>
      <w:r>
        <w:t xml:space="preserve">to demonstrate they can meet the Government’s trial </w:t>
      </w:r>
      <w:proofErr w:type="gramStart"/>
      <w:r>
        <w:t>requirements;</w:t>
      </w:r>
      <w:proofErr w:type="gramEnd"/>
    </w:p>
    <w:p w14:paraId="0ABAC9A1" w14:textId="77777777" w:rsidR="00F4090F" w:rsidRDefault="00F4090F" w:rsidP="00A35BE8">
      <w:pPr>
        <w:pStyle w:val="List123level3"/>
      </w:pPr>
      <w:r>
        <w:t xml:space="preserve">report to EGI once </w:t>
      </w:r>
      <w:r w:rsidR="00A35BE8">
        <w:t>they</w:t>
      </w:r>
      <w:r>
        <w:t xml:space="preserve"> have demonstrated to the satisfaction of the Associate Minister of Local Government that online voting </w:t>
      </w:r>
      <w:r w:rsidRPr="00F4090F">
        <w:t>can be trialled in a manner that meets the trial requirements a</w:t>
      </w:r>
      <w:r>
        <w:t xml:space="preserve">nd the </w:t>
      </w:r>
      <w:r w:rsidR="007C54B9">
        <w:t xml:space="preserve">requirements of the </w:t>
      </w:r>
      <w:r>
        <w:t xml:space="preserve">Local Electoral Act </w:t>
      </w:r>
      <w:proofErr w:type="gramStart"/>
      <w:r>
        <w:t>2001;</w:t>
      </w:r>
      <w:proofErr w:type="gramEnd"/>
    </w:p>
    <w:p w14:paraId="3AD5CF4D" w14:textId="77777777" w:rsidR="00931650" w:rsidRDefault="007C54B9" w:rsidP="00931650">
      <w:pPr>
        <w:pStyle w:val="List123"/>
      </w:pPr>
      <w:r w:rsidRPr="002160F8">
        <w:rPr>
          <w:b/>
        </w:rPr>
        <w:t>note</w:t>
      </w:r>
      <w:r>
        <w:t xml:space="preserve"> that </w:t>
      </w:r>
      <w:r w:rsidRPr="00423E65">
        <w:t xml:space="preserve">the Associate Minister of Local Government </w:t>
      </w:r>
      <w:r>
        <w:t>is</w:t>
      </w:r>
      <w:r w:rsidRPr="00D07240">
        <w:t xml:space="preserve"> not satisfied </w:t>
      </w:r>
      <w:r>
        <w:t xml:space="preserve">the Government’s trial </w:t>
      </w:r>
      <w:proofErr w:type="gramStart"/>
      <w:r w:rsidRPr="00D07240">
        <w:t>requirements</w:t>
      </w:r>
      <w:proofErr w:type="gramEnd"/>
      <w:r w:rsidRPr="00D07240">
        <w:t xml:space="preserve"> </w:t>
      </w:r>
      <w:r w:rsidRPr="00423E65">
        <w:t>and the requirements of the Local Electoral Act 2001</w:t>
      </w:r>
      <w:r>
        <w:t xml:space="preserve"> </w:t>
      </w:r>
      <w:r w:rsidRPr="00D07240">
        <w:t xml:space="preserve">can be met in time for a trial in </w:t>
      </w:r>
      <w:r>
        <w:t xml:space="preserve">the </w:t>
      </w:r>
      <w:r w:rsidRPr="00D07240">
        <w:t xml:space="preserve">2016 </w:t>
      </w:r>
      <w:r>
        <w:t xml:space="preserve">local elections </w:t>
      </w:r>
      <w:r w:rsidRPr="00D07240">
        <w:t xml:space="preserve">and that </w:t>
      </w:r>
      <w:r>
        <w:t>a</w:t>
      </w:r>
      <w:r w:rsidRPr="00D07240">
        <w:t xml:space="preserve"> trial should not </w:t>
      </w:r>
      <w:proofErr w:type="gramStart"/>
      <w:r w:rsidRPr="00D07240">
        <w:t>proceed</w:t>
      </w:r>
      <w:r w:rsidR="00D07240">
        <w:t>;</w:t>
      </w:r>
      <w:proofErr w:type="gramEnd"/>
    </w:p>
    <w:p w14:paraId="377E7E16" w14:textId="77777777" w:rsidR="0021491D" w:rsidRDefault="00A35BE8" w:rsidP="009672C6">
      <w:pPr>
        <w:pStyle w:val="List123"/>
      </w:pPr>
      <w:r w:rsidRPr="002160F8">
        <w:rPr>
          <w:b/>
        </w:rPr>
        <w:t>note</w:t>
      </w:r>
      <w:r>
        <w:t xml:space="preserve"> that </w:t>
      </w:r>
      <w:proofErr w:type="gramStart"/>
      <w:r w:rsidR="00B52A58">
        <w:t>in light of</w:t>
      </w:r>
      <w:proofErr w:type="gramEnd"/>
      <w:r w:rsidR="00B52A58">
        <w:t xml:space="preserve"> recommendation (2), </w:t>
      </w:r>
      <w:r w:rsidR="007C54B9" w:rsidRPr="00423E65">
        <w:t>the Associate Minister of Local Government</w:t>
      </w:r>
      <w:r w:rsidR="009672C6">
        <w:t xml:space="preserve"> </w:t>
      </w:r>
      <w:r w:rsidR="0036551E">
        <w:t>considers</w:t>
      </w:r>
      <w:r w:rsidR="009672C6">
        <w:t xml:space="preserve"> </w:t>
      </w:r>
      <w:r w:rsidR="009672C6" w:rsidRPr="00885053">
        <w:t xml:space="preserve">the local government sector </w:t>
      </w:r>
      <w:r w:rsidR="0036551E">
        <w:t>should</w:t>
      </w:r>
      <w:r w:rsidR="009672C6" w:rsidRPr="00885053">
        <w:t xml:space="preserve"> </w:t>
      </w:r>
      <w:r w:rsidR="009672C6">
        <w:t xml:space="preserve">consider </w:t>
      </w:r>
      <w:r w:rsidR="0021491D">
        <w:t xml:space="preserve">how </w:t>
      </w:r>
      <w:r w:rsidR="007C0697">
        <w:t>to</w:t>
      </w:r>
      <w:r w:rsidR="0021491D">
        <w:t xml:space="preserve"> proceed, </w:t>
      </w:r>
      <w:r w:rsidR="0036551E">
        <w:t>including</w:t>
      </w:r>
      <w:r w:rsidR="0021491D">
        <w:t xml:space="preserve"> </w:t>
      </w:r>
      <w:r w:rsidR="008E6771">
        <w:t>whether it wishes to work towards</w:t>
      </w:r>
      <w:r w:rsidR="008E6771" w:rsidRPr="008E6771">
        <w:t xml:space="preserve"> </w:t>
      </w:r>
      <w:r w:rsidR="008E6771">
        <w:t>a trial</w:t>
      </w:r>
      <w:r w:rsidR="0021491D">
        <w:t xml:space="preserve"> in future local </w:t>
      </w:r>
      <w:proofErr w:type="gramStart"/>
      <w:r w:rsidR="0021491D">
        <w:t>elections;</w:t>
      </w:r>
      <w:proofErr w:type="gramEnd"/>
    </w:p>
    <w:p w14:paraId="0AB7E5EA" w14:textId="77777777" w:rsidR="009672C6" w:rsidRDefault="0021491D" w:rsidP="009672C6">
      <w:pPr>
        <w:pStyle w:val="List123"/>
      </w:pPr>
      <w:r w:rsidRPr="002160F8">
        <w:rPr>
          <w:b/>
        </w:rPr>
        <w:t>note</w:t>
      </w:r>
      <w:r>
        <w:t xml:space="preserve"> that any </w:t>
      </w:r>
      <w:proofErr w:type="gramStart"/>
      <w:r>
        <w:t>future plans</w:t>
      </w:r>
      <w:proofErr w:type="gramEnd"/>
      <w:r>
        <w:t xml:space="preserve"> for an online voting trial by the local government sector should be </w:t>
      </w:r>
      <w:proofErr w:type="gramStart"/>
      <w:r>
        <w:t>on the basis of</w:t>
      </w:r>
      <w:proofErr w:type="gramEnd"/>
      <w:r>
        <w:t xml:space="preserve"> </w:t>
      </w:r>
      <w:r w:rsidR="008E6771">
        <w:t>a strategic plan for incremental and demonstrable progress towards online voting in local elections</w:t>
      </w:r>
      <w:r>
        <w:t xml:space="preserve">, and should </w:t>
      </w:r>
      <w:r w:rsidR="00B4493D">
        <w:t>provide for</w:t>
      </w:r>
      <w:r>
        <w:t xml:space="preserve"> constructive community </w:t>
      </w:r>
      <w:proofErr w:type="gramStart"/>
      <w:r>
        <w:t>engagement;</w:t>
      </w:r>
      <w:proofErr w:type="gramEnd"/>
    </w:p>
    <w:p w14:paraId="4BFC0644" w14:textId="77777777" w:rsidR="00A35BE8" w:rsidRDefault="00A35BE8" w:rsidP="00931650">
      <w:pPr>
        <w:pStyle w:val="List123"/>
      </w:pPr>
      <w:r w:rsidRPr="002160F8">
        <w:rPr>
          <w:b/>
        </w:rPr>
        <w:t>agree</w:t>
      </w:r>
      <w:r>
        <w:t xml:space="preserve"> that the Associate Minister of Local Government may </w:t>
      </w:r>
      <w:r w:rsidR="00F47094">
        <w:t xml:space="preserve">proactively release </w:t>
      </w:r>
      <w:r>
        <w:t xml:space="preserve">this Cabinet paper </w:t>
      </w:r>
      <w:r w:rsidR="00F47094">
        <w:t>together with</w:t>
      </w:r>
      <w:r>
        <w:t xml:space="preserve"> the related Cabinet Committee minutes </w:t>
      </w:r>
      <w:r w:rsidR="00F47094">
        <w:t xml:space="preserve">and publish them </w:t>
      </w:r>
      <w:r>
        <w:t>on the Department of Internal Affairs website; and</w:t>
      </w:r>
    </w:p>
    <w:p w14:paraId="1E894AC1" w14:textId="77777777" w:rsidR="00A35BE8" w:rsidRDefault="007C54B9" w:rsidP="00931650">
      <w:pPr>
        <w:pStyle w:val="List123"/>
      </w:pPr>
      <w:r w:rsidRPr="002160F8">
        <w:rPr>
          <w:b/>
        </w:rPr>
        <w:t>invite</w:t>
      </w:r>
      <w:r w:rsidR="00A35BE8">
        <w:t xml:space="preserve"> that the Associate Minister of Local Government to make immediate public announcements about the matters/decisions sought in this paper.</w:t>
      </w:r>
    </w:p>
    <w:tbl>
      <w:tblPr>
        <w:tblStyle w:val="Blanktable"/>
        <w:tblW w:w="0" w:type="auto"/>
        <w:tblLayout w:type="fixed"/>
        <w:tblLook w:val="04A0" w:firstRow="1" w:lastRow="0" w:firstColumn="1" w:lastColumn="0" w:noHBand="0" w:noVBand="1"/>
      </w:tblPr>
      <w:tblGrid>
        <w:gridCol w:w="454"/>
        <w:gridCol w:w="170"/>
        <w:gridCol w:w="454"/>
        <w:gridCol w:w="170"/>
        <w:gridCol w:w="680"/>
        <w:gridCol w:w="6430"/>
      </w:tblGrid>
      <w:tr w:rsidR="00127B80" w:rsidRPr="00934303" w14:paraId="31DC1471" w14:textId="77777777" w:rsidTr="00C90B27">
        <w:trPr>
          <w:cantSplit/>
          <w:trHeight w:val="1418"/>
        </w:trPr>
        <w:tc>
          <w:tcPr>
            <w:tcW w:w="8358" w:type="dxa"/>
            <w:gridSpan w:val="6"/>
          </w:tcPr>
          <w:p w14:paraId="14057EBF" w14:textId="77777777" w:rsidR="00127B80" w:rsidRPr="00934303" w:rsidRDefault="00127B80" w:rsidP="00D07240">
            <w:pPr>
              <w:keepNext/>
            </w:pPr>
          </w:p>
        </w:tc>
      </w:tr>
      <w:tr w:rsidR="00127B80" w:rsidRPr="00934303" w14:paraId="6DA7D3D7" w14:textId="77777777" w:rsidTr="00C90B27">
        <w:trPr>
          <w:cantSplit/>
        </w:trPr>
        <w:tc>
          <w:tcPr>
            <w:tcW w:w="8358" w:type="dxa"/>
            <w:gridSpan w:val="6"/>
            <w:tcMar>
              <w:left w:w="0" w:type="dxa"/>
            </w:tcMar>
          </w:tcPr>
          <w:p w14:paraId="63090F96" w14:textId="77777777" w:rsidR="00127B80" w:rsidRPr="00934303" w:rsidRDefault="009602B5" w:rsidP="009674E9">
            <w:pPr>
              <w:pStyle w:val="Spacer"/>
            </w:pPr>
            <w:r>
              <w:t>Hon Louise Upston</w:t>
            </w:r>
          </w:p>
        </w:tc>
      </w:tr>
      <w:tr w:rsidR="00127B80" w:rsidRPr="00934303" w14:paraId="1E13E36E" w14:textId="77777777" w:rsidTr="00C90B27">
        <w:trPr>
          <w:cantSplit/>
        </w:trPr>
        <w:tc>
          <w:tcPr>
            <w:tcW w:w="8358" w:type="dxa"/>
            <w:gridSpan w:val="6"/>
            <w:tcMar>
              <w:left w:w="0" w:type="dxa"/>
            </w:tcMar>
          </w:tcPr>
          <w:p w14:paraId="5A76E3F4" w14:textId="77777777" w:rsidR="00127B80" w:rsidRPr="00934303" w:rsidRDefault="009602B5" w:rsidP="009674E9">
            <w:pPr>
              <w:pStyle w:val="Spacer"/>
            </w:pPr>
            <w:r>
              <w:t>Associate Minister of Local Government</w:t>
            </w:r>
          </w:p>
        </w:tc>
      </w:tr>
      <w:tr w:rsidR="00127B80" w:rsidRPr="00934303" w14:paraId="0E2B5912" w14:textId="77777777" w:rsidTr="00C90B27">
        <w:trPr>
          <w:cantSplit/>
          <w:trHeight w:hRule="exact" w:val="397"/>
        </w:trPr>
        <w:tc>
          <w:tcPr>
            <w:tcW w:w="454" w:type="dxa"/>
            <w:tcBorders>
              <w:bottom w:val="single" w:sz="6" w:space="0" w:color="auto"/>
            </w:tcBorders>
            <w:tcMar>
              <w:left w:w="57" w:type="dxa"/>
              <w:right w:w="57" w:type="dxa"/>
            </w:tcMar>
          </w:tcPr>
          <w:p w14:paraId="7C08B9FD" w14:textId="77777777" w:rsidR="00127B80" w:rsidRPr="00934303" w:rsidRDefault="00127B80" w:rsidP="00385C33"/>
        </w:tc>
        <w:tc>
          <w:tcPr>
            <w:tcW w:w="170" w:type="dxa"/>
            <w:tcBorders>
              <w:bottom w:val="single" w:sz="6" w:space="0" w:color="auto"/>
            </w:tcBorders>
            <w:tcMar>
              <w:left w:w="57" w:type="dxa"/>
              <w:right w:w="57" w:type="dxa"/>
            </w:tcMar>
          </w:tcPr>
          <w:p w14:paraId="75D4269A" w14:textId="77777777" w:rsidR="00127B80" w:rsidRPr="00934303" w:rsidRDefault="00127B80" w:rsidP="00385C33">
            <w:r>
              <w:t>/</w:t>
            </w:r>
          </w:p>
        </w:tc>
        <w:tc>
          <w:tcPr>
            <w:tcW w:w="454" w:type="dxa"/>
            <w:tcBorders>
              <w:bottom w:val="single" w:sz="6" w:space="0" w:color="auto"/>
            </w:tcBorders>
            <w:tcMar>
              <w:left w:w="57" w:type="dxa"/>
              <w:right w:w="57" w:type="dxa"/>
            </w:tcMar>
          </w:tcPr>
          <w:p w14:paraId="66D9E059" w14:textId="77777777" w:rsidR="00127B80" w:rsidRPr="00934303" w:rsidRDefault="00127B80" w:rsidP="00385C33"/>
        </w:tc>
        <w:tc>
          <w:tcPr>
            <w:tcW w:w="170" w:type="dxa"/>
            <w:tcBorders>
              <w:bottom w:val="single" w:sz="6" w:space="0" w:color="auto"/>
            </w:tcBorders>
            <w:tcMar>
              <w:left w:w="57" w:type="dxa"/>
              <w:right w:w="57" w:type="dxa"/>
            </w:tcMar>
          </w:tcPr>
          <w:p w14:paraId="4F80A0A8" w14:textId="77777777" w:rsidR="00127B80" w:rsidRPr="00934303" w:rsidRDefault="00127B80" w:rsidP="00385C33">
            <w:r>
              <w:t>/</w:t>
            </w:r>
          </w:p>
        </w:tc>
        <w:tc>
          <w:tcPr>
            <w:tcW w:w="680" w:type="dxa"/>
            <w:tcBorders>
              <w:bottom w:val="single" w:sz="6" w:space="0" w:color="auto"/>
            </w:tcBorders>
            <w:tcMar>
              <w:left w:w="57" w:type="dxa"/>
              <w:right w:w="57" w:type="dxa"/>
            </w:tcMar>
          </w:tcPr>
          <w:p w14:paraId="14A01D35" w14:textId="77777777" w:rsidR="00127B80" w:rsidRPr="00934303" w:rsidRDefault="00127B80" w:rsidP="00385C33"/>
        </w:tc>
        <w:tc>
          <w:tcPr>
            <w:tcW w:w="6430" w:type="dxa"/>
            <w:tcMar>
              <w:left w:w="57" w:type="dxa"/>
              <w:right w:w="57" w:type="dxa"/>
            </w:tcMar>
          </w:tcPr>
          <w:p w14:paraId="5D8D3B5D" w14:textId="77777777" w:rsidR="00127B80" w:rsidRPr="00934303" w:rsidRDefault="00127B80" w:rsidP="00385C33"/>
        </w:tc>
      </w:tr>
    </w:tbl>
    <w:p w14:paraId="3004CBCD" w14:textId="77777777" w:rsidR="005D4F7C" w:rsidRDefault="005D4F7C" w:rsidP="00FD1A1E">
      <w:pPr>
        <w:sectPr w:rsidR="005D4F7C" w:rsidSect="002D38AA">
          <w:headerReference w:type="even" r:id="rId8"/>
          <w:headerReference w:type="default" r:id="rId9"/>
          <w:footerReference w:type="even" r:id="rId10"/>
          <w:footerReference w:type="default" r:id="rId11"/>
          <w:headerReference w:type="first" r:id="rId12"/>
          <w:footerReference w:type="first" r:id="rId13"/>
          <w:pgSz w:w="11907" w:h="16840" w:code="9"/>
          <w:pgMar w:top="1021" w:right="1418" w:bottom="992" w:left="1418" w:header="425" w:footer="363" w:gutter="0"/>
          <w:cols w:space="708"/>
          <w:docGrid w:linePitch="360"/>
        </w:sectPr>
      </w:pPr>
    </w:p>
    <w:p w14:paraId="430B3D28" w14:textId="77777777" w:rsidR="005D4F7C" w:rsidRPr="0041080A" w:rsidRDefault="005D4F7C" w:rsidP="005D4F7C">
      <w:pPr>
        <w:rPr>
          <w:rFonts w:ascii="Arial Mäori" w:hAnsi="Arial Mäori"/>
          <w:sz w:val="32"/>
          <w:szCs w:val="32"/>
        </w:rPr>
      </w:pPr>
      <w:r w:rsidRPr="0041080A">
        <w:rPr>
          <w:rFonts w:ascii="Arial Mäori" w:hAnsi="Arial Mäori"/>
          <w:sz w:val="32"/>
          <w:szCs w:val="32"/>
        </w:rPr>
        <w:lastRenderedPageBreak/>
        <w:t>Table summarising council</w:t>
      </w:r>
      <w:r>
        <w:rPr>
          <w:rFonts w:ascii="Arial Mäori" w:hAnsi="Arial Mäori"/>
          <w:sz w:val="32"/>
          <w:szCs w:val="32"/>
        </w:rPr>
        <w:t>s’</w:t>
      </w:r>
      <w:r w:rsidRPr="0041080A">
        <w:rPr>
          <w:rFonts w:ascii="Arial Mäori" w:hAnsi="Arial Mäori"/>
          <w:sz w:val="32"/>
          <w:szCs w:val="32"/>
        </w:rPr>
        <w:t xml:space="preserve"> progress in demonstrating compliance with trial requirements</w:t>
      </w:r>
    </w:p>
    <w:tbl>
      <w:tblPr>
        <w:tblStyle w:val="DIATable"/>
        <w:tblW w:w="9498" w:type="dxa"/>
        <w:tblLook w:val="04A0" w:firstRow="1" w:lastRow="0" w:firstColumn="1" w:lastColumn="0" w:noHBand="0" w:noVBand="1"/>
      </w:tblPr>
      <w:tblGrid>
        <w:gridCol w:w="9498"/>
      </w:tblGrid>
      <w:tr w:rsidR="005D4F7C" w:rsidRPr="0041080A" w14:paraId="2F723019" w14:textId="77777777" w:rsidTr="00BA1D6A">
        <w:trPr>
          <w:cnfStyle w:val="100000000000" w:firstRow="1" w:lastRow="0" w:firstColumn="0" w:lastColumn="0" w:oddVBand="0" w:evenVBand="0" w:oddHBand="0" w:evenHBand="0" w:firstRowFirstColumn="0" w:firstRowLastColumn="0" w:lastRowFirstColumn="0" w:lastRowLastColumn="0"/>
        </w:trPr>
        <w:tc>
          <w:tcPr>
            <w:tcW w:w="9498" w:type="dxa"/>
          </w:tcPr>
          <w:p w14:paraId="2135FE86" w14:textId="77777777" w:rsidR="005D4F7C" w:rsidRPr="0041080A" w:rsidRDefault="005D4F7C" w:rsidP="00BA1D6A">
            <w:pPr>
              <w:jc w:val="center"/>
              <w:rPr>
                <w:rFonts w:ascii="Arial Mäori" w:hAnsi="Arial Mäori"/>
                <w:sz w:val="24"/>
              </w:rPr>
            </w:pPr>
            <w:r w:rsidRPr="0041080A">
              <w:rPr>
                <w:rFonts w:ascii="Arial Mäori" w:hAnsi="Arial Mäori"/>
                <w:sz w:val="24"/>
              </w:rPr>
              <w:t>Key areas covered by trial requirements</w:t>
            </w:r>
          </w:p>
        </w:tc>
      </w:tr>
      <w:tr w:rsidR="005D4F7C" w:rsidRPr="00EE0E95" w14:paraId="7FF6F01E" w14:textId="77777777" w:rsidTr="00BA1D6A">
        <w:trPr>
          <w:trHeight w:val="5032"/>
        </w:trPr>
        <w:tc>
          <w:tcPr>
            <w:tcW w:w="9498" w:type="dxa"/>
          </w:tcPr>
          <w:p w14:paraId="4AAC0B9E" w14:textId="77777777" w:rsidR="005D4F7C" w:rsidRPr="001B1C2C" w:rsidRDefault="005D4F7C" w:rsidP="00BA1D6A">
            <w:pPr>
              <w:tabs>
                <w:tab w:val="left" w:pos="4536"/>
              </w:tabs>
              <w:jc w:val="both"/>
              <w:rPr>
                <w:rFonts w:ascii="Arial Mäori" w:hAnsi="Arial Mäori"/>
                <w:b/>
                <w:szCs w:val="22"/>
              </w:rPr>
            </w:pPr>
            <w:r w:rsidRPr="001B1C2C">
              <w:rPr>
                <w:rFonts w:ascii="Arial Mäori" w:hAnsi="Arial Mäori"/>
                <w:b/>
                <w:szCs w:val="22"/>
              </w:rPr>
              <w:t>1. Project governance and accountability</w:t>
            </w:r>
          </w:p>
          <w:p w14:paraId="454692C0" w14:textId="77777777" w:rsidR="005D4F7C" w:rsidRPr="001B1C2C" w:rsidRDefault="005D4F7C" w:rsidP="00BA1D6A">
            <w:pPr>
              <w:tabs>
                <w:tab w:val="left" w:pos="4536"/>
              </w:tabs>
              <w:jc w:val="both"/>
              <w:rPr>
                <w:rFonts w:ascii="Arial Mäori" w:hAnsi="Arial Mäori"/>
                <w:i/>
                <w:szCs w:val="22"/>
              </w:rPr>
            </w:pPr>
            <w:r w:rsidRPr="001B1C2C">
              <w:rPr>
                <w:rFonts w:ascii="Arial Mäori" w:hAnsi="Arial Mäori"/>
                <w:i/>
                <w:szCs w:val="22"/>
              </w:rPr>
              <w:t xml:space="preserve">Have councils demonstrated ownership of an online voting trial and put in place appropriate governance arrangements covering all aspects of a trial? </w:t>
            </w:r>
          </w:p>
          <w:p w14:paraId="3F78AE3C" w14:textId="77777777" w:rsidR="005D4F7C" w:rsidRDefault="005D4F7C" w:rsidP="00BA1D6A">
            <w:pPr>
              <w:tabs>
                <w:tab w:val="left" w:pos="4536"/>
              </w:tabs>
              <w:jc w:val="both"/>
              <w:rPr>
                <w:rFonts w:ascii="Arial Mäori" w:hAnsi="Arial Mäori"/>
                <w:szCs w:val="22"/>
              </w:rPr>
            </w:pPr>
            <w:r w:rsidRPr="001B1C2C">
              <w:rPr>
                <w:rFonts w:ascii="Arial Mäori" w:hAnsi="Arial Mäori"/>
                <w:szCs w:val="22"/>
              </w:rPr>
              <w:t xml:space="preserve">One of the agreed principles underpinning the trial is that of local government accountability. Territorial authorities have overall responsibility for ensuring compliance with requirements, are required to have a project governance structure in </w:t>
            </w:r>
            <w:proofErr w:type="gramStart"/>
            <w:r w:rsidRPr="001B1C2C">
              <w:rPr>
                <w:rFonts w:ascii="Arial Mäori" w:hAnsi="Arial Mäori"/>
                <w:szCs w:val="22"/>
              </w:rPr>
              <w:t>place, and</w:t>
            </w:r>
            <w:proofErr w:type="gramEnd"/>
            <w:r w:rsidRPr="001B1C2C">
              <w:rPr>
                <w:rFonts w:ascii="Arial Mäori" w:hAnsi="Arial Mäori"/>
                <w:szCs w:val="22"/>
              </w:rPr>
              <w:t xml:space="preserve"> must undertake project assurance activities. Assurance plans must be endorsed by the Government Chief Information Officer</w:t>
            </w:r>
            <w:r>
              <w:rPr>
                <w:rFonts w:ascii="Arial Mäori" w:hAnsi="Arial Mäori"/>
                <w:szCs w:val="22"/>
              </w:rPr>
              <w:t xml:space="preserve"> (GCIO)</w:t>
            </w:r>
            <w:r w:rsidRPr="001B1C2C">
              <w:rPr>
                <w:rFonts w:ascii="Arial Mäori" w:hAnsi="Arial Mäori"/>
                <w:szCs w:val="22"/>
              </w:rPr>
              <w:t>.</w:t>
            </w:r>
          </w:p>
          <w:p w14:paraId="13C10F83" w14:textId="77777777" w:rsidR="005D4F7C" w:rsidRDefault="005D4F7C" w:rsidP="00BA1D6A">
            <w:pPr>
              <w:tabs>
                <w:tab w:val="left" w:pos="4536"/>
              </w:tabs>
              <w:jc w:val="both"/>
              <w:rPr>
                <w:rFonts w:ascii="Arial Mäori" w:hAnsi="Arial Mäori"/>
                <w:b/>
                <w:szCs w:val="22"/>
              </w:rPr>
            </w:pPr>
          </w:p>
          <w:p w14:paraId="707CD4A7" w14:textId="77777777" w:rsidR="005D4F7C" w:rsidRPr="001B1C2C" w:rsidRDefault="005D4F7C" w:rsidP="005020D4">
            <w:pPr>
              <w:tabs>
                <w:tab w:val="left" w:pos="4536"/>
              </w:tabs>
              <w:jc w:val="both"/>
              <w:rPr>
                <w:rFonts w:ascii="Arial Mäori" w:hAnsi="Arial Mäori"/>
                <w:szCs w:val="22"/>
              </w:rPr>
            </w:pPr>
            <w:r w:rsidRPr="001B1C2C">
              <w:rPr>
                <w:rFonts w:ascii="Arial Mäori" w:hAnsi="Arial Mäori"/>
                <w:b/>
                <w:szCs w:val="22"/>
              </w:rPr>
              <w:t>Overall Comment:</w:t>
            </w:r>
            <w:r w:rsidRPr="001B1C2C">
              <w:rPr>
                <w:rFonts w:ascii="Arial Mäori" w:hAnsi="Arial Mäori"/>
                <w:szCs w:val="22"/>
              </w:rPr>
              <w:t xml:space="preserve"> Each council has its own project governance arrangements in place for a trial. </w:t>
            </w:r>
            <w:r>
              <w:rPr>
                <w:rFonts w:ascii="Arial Mäori" w:hAnsi="Arial Mäori"/>
                <w:szCs w:val="22"/>
              </w:rPr>
              <w:t xml:space="preserve">The </w:t>
            </w:r>
            <w:r w:rsidRPr="001B1C2C">
              <w:rPr>
                <w:rFonts w:ascii="Arial Mäori" w:hAnsi="Arial Mäori"/>
                <w:szCs w:val="22"/>
              </w:rPr>
              <w:t>GCIO</w:t>
            </w:r>
            <w:r w:rsidR="00095FD7">
              <w:rPr>
                <w:rFonts w:ascii="Arial Mäori" w:hAnsi="Arial Mäori"/>
                <w:szCs w:val="22"/>
              </w:rPr>
              <w:t>’s</w:t>
            </w:r>
            <w:r w:rsidRPr="001B1C2C">
              <w:rPr>
                <w:rFonts w:ascii="Arial Mäori" w:hAnsi="Arial Mäori"/>
                <w:szCs w:val="22"/>
              </w:rPr>
              <w:t xml:space="preserve"> </w:t>
            </w:r>
            <w:r>
              <w:rPr>
                <w:rFonts w:ascii="Arial Mäori" w:hAnsi="Arial Mäori"/>
                <w:szCs w:val="22"/>
              </w:rPr>
              <w:t xml:space="preserve">office </w:t>
            </w:r>
            <w:r w:rsidRPr="001B1C2C">
              <w:rPr>
                <w:rFonts w:ascii="Arial Mäori" w:hAnsi="Arial Mäori"/>
                <w:szCs w:val="22"/>
              </w:rPr>
              <w:t xml:space="preserve">has reviewed and endorsed assurance plans from each council, indicating the project governance arrangements made are appropriate. As </w:t>
            </w:r>
            <w:r>
              <w:rPr>
                <w:rFonts w:ascii="Arial Mäori" w:hAnsi="Arial Mäori"/>
                <w:szCs w:val="22"/>
              </w:rPr>
              <w:t>a result</w:t>
            </w:r>
            <w:r w:rsidRPr="001B1C2C">
              <w:rPr>
                <w:rFonts w:ascii="Arial Mäori" w:hAnsi="Arial Mäori"/>
                <w:szCs w:val="22"/>
              </w:rPr>
              <w:t xml:space="preserve">, </w:t>
            </w:r>
            <w:r>
              <w:rPr>
                <w:rFonts w:ascii="Arial Mäori" w:hAnsi="Arial Mäori"/>
                <w:szCs w:val="22"/>
              </w:rPr>
              <w:t>officials</w:t>
            </w:r>
            <w:r w:rsidRPr="001B1C2C">
              <w:rPr>
                <w:rFonts w:ascii="Arial Mäori" w:hAnsi="Arial Mäori"/>
                <w:szCs w:val="22"/>
              </w:rPr>
              <w:t xml:space="preserve"> are generally comfortable with the level of ownership demonstrated by councils. One risk is a lack of </w:t>
            </w:r>
            <w:r w:rsidR="005020D4">
              <w:rPr>
                <w:rFonts w:ascii="Arial Mäori" w:hAnsi="Arial Mäori"/>
                <w:szCs w:val="22"/>
              </w:rPr>
              <w:t>leadership</w:t>
            </w:r>
            <w:r w:rsidRPr="001B1C2C">
              <w:rPr>
                <w:rFonts w:ascii="Arial Mäori" w:hAnsi="Arial Mäori"/>
                <w:szCs w:val="22"/>
              </w:rPr>
              <w:t xml:space="preserve"> in areas where cooperation is needed between councils (e.g. national communications around a trial). It is planned that the Society of Local Government Managers’ Electoral Working Party will play a role here, although this will be in an advisory capacity.  Discussion of project costs and apportionment was not a </w:t>
            </w:r>
            <w:proofErr w:type="gramStart"/>
            <w:r w:rsidRPr="001B1C2C">
              <w:rPr>
                <w:rFonts w:ascii="Arial Mäori" w:hAnsi="Arial Mäori"/>
                <w:szCs w:val="22"/>
              </w:rPr>
              <w:t>requirement, but</w:t>
            </w:r>
            <w:proofErr w:type="gramEnd"/>
            <w:r w:rsidRPr="001B1C2C">
              <w:rPr>
                <w:rFonts w:ascii="Arial Mäori" w:hAnsi="Arial Mäori"/>
                <w:szCs w:val="22"/>
              </w:rPr>
              <w:t xml:space="preserve"> is of interest. In general, it appears regional councils and DHBs have been </w:t>
            </w:r>
            <w:proofErr w:type="gramStart"/>
            <w:r w:rsidRPr="001B1C2C">
              <w:rPr>
                <w:rFonts w:ascii="Arial Mäori" w:hAnsi="Arial Mäori"/>
                <w:szCs w:val="22"/>
              </w:rPr>
              <w:t>consulted, but</w:t>
            </w:r>
            <w:proofErr w:type="gramEnd"/>
            <w:r w:rsidRPr="001B1C2C">
              <w:rPr>
                <w:rFonts w:ascii="Arial Mäori" w:hAnsi="Arial Mäori"/>
                <w:szCs w:val="22"/>
              </w:rPr>
              <w:t xml:space="preserve"> is unclear to what extent they </w:t>
            </w:r>
            <w:proofErr w:type="gramStart"/>
            <w:r w:rsidRPr="001B1C2C">
              <w:rPr>
                <w:rFonts w:ascii="Arial Mäori" w:hAnsi="Arial Mäori"/>
                <w:szCs w:val="22"/>
              </w:rPr>
              <w:t>are in agreement</w:t>
            </w:r>
            <w:proofErr w:type="gramEnd"/>
            <w:r w:rsidRPr="001B1C2C">
              <w:rPr>
                <w:rFonts w:ascii="Arial Mäori" w:hAnsi="Arial Mäori"/>
                <w:szCs w:val="22"/>
              </w:rPr>
              <w:t xml:space="preserve"> about participating in a trial.</w:t>
            </w:r>
          </w:p>
        </w:tc>
      </w:tr>
      <w:tr w:rsidR="005D4F7C" w:rsidRPr="00EE0E95" w14:paraId="4DC2805E" w14:textId="77777777" w:rsidTr="00BA1D6A">
        <w:trPr>
          <w:trHeight w:val="2524"/>
        </w:trPr>
        <w:tc>
          <w:tcPr>
            <w:tcW w:w="9498" w:type="dxa"/>
          </w:tcPr>
          <w:p w14:paraId="3F66AD01" w14:textId="77777777" w:rsidR="005D4F7C" w:rsidRPr="001B1C2C" w:rsidRDefault="005D4F7C" w:rsidP="00BA1D6A">
            <w:pPr>
              <w:tabs>
                <w:tab w:val="left" w:pos="4536"/>
              </w:tabs>
              <w:jc w:val="both"/>
              <w:rPr>
                <w:rFonts w:ascii="Arial Mäori" w:hAnsi="Arial Mäori"/>
                <w:b/>
                <w:szCs w:val="22"/>
              </w:rPr>
            </w:pPr>
            <w:r w:rsidRPr="001B1C2C">
              <w:rPr>
                <w:rFonts w:ascii="Arial Mäori" w:hAnsi="Arial Mäori"/>
                <w:b/>
                <w:szCs w:val="22"/>
              </w:rPr>
              <w:t>2. Project risk management</w:t>
            </w:r>
          </w:p>
          <w:p w14:paraId="6107CDD0" w14:textId="77777777" w:rsidR="005D4F7C" w:rsidRPr="001B1C2C" w:rsidRDefault="005D4F7C" w:rsidP="00BA1D6A">
            <w:pPr>
              <w:tabs>
                <w:tab w:val="left" w:pos="4536"/>
              </w:tabs>
              <w:jc w:val="both"/>
              <w:rPr>
                <w:rFonts w:ascii="Arial Mäori" w:hAnsi="Arial Mäori"/>
                <w:szCs w:val="22"/>
              </w:rPr>
            </w:pPr>
            <w:r w:rsidRPr="001B1C2C">
              <w:rPr>
                <w:rFonts w:ascii="Arial Mäori" w:hAnsi="Arial Mäori"/>
                <w:i/>
                <w:szCs w:val="22"/>
              </w:rPr>
              <w:t>Have councils comprehensively identified project risks and put in place appropriate mitigations?</w:t>
            </w:r>
            <w:r w:rsidRPr="001B1C2C">
              <w:rPr>
                <w:rFonts w:ascii="Arial Mäori" w:hAnsi="Arial Mäori"/>
                <w:szCs w:val="22"/>
              </w:rPr>
              <w:t xml:space="preserve"> </w:t>
            </w:r>
          </w:p>
          <w:p w14:paraId="036F8539" w14:textId="77777777" w:rsidR="005D4F7C" w:rsidRDefault="005D4F7C" w:rsidP="00BA1D6A">
            <w:pPr>
              <w:tabs>
                <w:tab w:val="left" w:pos="4536"/>
              </w:tabs>
              <w:jc w:val="both"/>
              <w:rPr>
                <w:rFonts w:ascii="Arial Mäori" w:hAnsi="Arial Mäori"/>
                <w:szCs w:val="22"/>
              </w:rPr>
            </w:pPr>
            <w:r w:rsidRPr="001B1C2C">
              <w:rPr>
                <w:rFonts w:ascii="Arial Mäori" w:hAnsi="Arial Mäori"/>
                <w:szCs w:val="22"/>
              </w:rPr>
              <w:t>Following from the discussion above, territorial authorities are required to ensure online voting is underpinned by a comprehensive assessment of project risks and ensure there are appropriate mitigations</w:t>
            </w:r>
            <w:r w:rsidR="00095FD7" w:rsidRPr="001B1C2C">
              <w:rPr>
                <w:rFonts w:ascii="Arial Mäori" w:hAnsi="Arial Mäori"/>
                <w:szCs w:val="22"/>
              </w:rPr>
              <w:t xml:space="preserve"> in place</w:t>
            </w:r>
            <w:r w:rsidRPr="001B1C2C">
              <w:rPr>
                <w:rFonts w:ascii="Arial Mäori" w:hAnsi="Arial Mäori"/>
                <w:szCs w:val="22"/>
              </w:rPr>
              <w:t>. That this has occurred must be independently assessed by an independent assurance provider.</w:t>
            </w:r>
          </w:p>
          <w:p w14:paraId="68569B52" w14:textId="77777777" w:rsidR="005D4F7C" w:rsidRDefault="005D4F7C" w:rsidP="00BA1D6A">
            <w:pPr>
              <w:tabs>
                <w:tab w:val="left" w:pos="4536"/>
              </w:tabs>
              <w:jc w:val="both"/>
              <w:rPr>
                <w:rFonts w:ascii="Arial Mäori" w:hAnsi="Arial Mäori"/>
                <w:b/>
                <w:szCs w:val="22"/>
              </w:rPr>
            </w:pPr>
          </w:p>
          <w:p w14:paraId="5D917ACB" w14:textId="77777777" w:rsidR="005D4F7C" w:rsidRDefault="005D4F7C" w:rsidP="00BA1D6A">
            <w:pPr>
              <w:tabs>
                <w:tab w:val="left" w:pos="4536"/>
              </w:tabs>
              <w:jc w:val="both"/>
              <w:rPr>
                <w:rFonts w:ascii="Arial Mäori" w:hAnsi="Arial Mäori"/>
                <w:szCs w:val="22"/>
              </w:rPr>
            </w:pPr>
            <w:r w:rsidRPr="001B1C2C">
              <w:rPr>
                <w:rFonts w:ascii="Arial Mäori" w:hAnsi="Arial Mäori"/>
                <w:b/>
                <w:szCs w:val="22"/>
              </w:rPr>
              <w:t>Overall Comment:</w:t>
            </w:r>
            <w:r w:rsidRPr="001B1C2C">
              <w:rPr>
                <w:rFonts w:ascii="Arial Mäori" w:hAnsi="Arial Mäori"/>
                <w:szCs w:val="22"/>
              </w:rPr>
              <w:t xml:space="preserve"> The GCIO </w:t>
            </w:r>
            <w:r>
              <w:rPr>
                <w:rFonts w:ascii="Arial Mäori" w:hAnsi="Arial Mäori"/>
                <w:szCs w:val="22"/>
              </w:rPr>
              <w:t>office consider</w:t>
            </w:r>
            <w:r w:rsidRPr="001B1C2C">
              <w:rPr>
                <w:rFonts w:ascii="Arial Mäori" w:hAnsi="Arial Mäori"/>
                <w:szCs w:val="22"/>
              </w:rPr>
              <w:t>s that planned assurance activities are appropriate based on their review of the assurance plans.</w:t>
            </w:r>
          </w:p>
          <w:p w14:paraId="3120AE11" w14:textId="77777777" w:rsidR="005D4F7C" w:rsidRPr="001B1C2C" w:rsidRDefault="005D4F7C" w:rsidP="00BA1D6A">
            <w:pPr>
              <w:tabs>
                <w:tab w:val="left" w:pos="4536"/>
              </w:tabs>
              <w:jc w:val="both"/>
              <w:rPr>
                <w:rFonts w:ascii="Arial Mäori" w:hAnsi="Arial Mäori"/>
                <w:szCs w:val="22"/>
              </w:rPr>
            </w:pPr>
          </w:p>
        </w:tc>
      </w:tr>
      <w:tr w:rsidR="005D4F7C" w:rsidRPr="00EE0E95" w14:paraId="37C84B62" w14:textId="77777777" w:rsidTr="00BA1D6A">
        <w:trPr>
          <w:trHeight w:val="3663"/>
        </w:trPr>
        <w:tc>
          <w:tcPr>
            <w:tcW w:w="9498" w:type="dxa"/>
          </w:tcPr>
          <w:p w14:paraId="39C366D9" w14:textId="77777777" w:rsidR="005D4F7C" w:rsidRPr="001B1C2C" w:rsidRDefault="005D4F7C" w:rsidP="00BA1D6A">
            <w:pPr>
              <w:tabs>
                <w:tab w:val="left" w:pos="4536"/>
              </w:tabs>
              <w:jc w:val="both"/>
              <w:rPr>
                <w:rFonts w:ascii="Arial Mäori" w:hAnsi="Arial Mäori"/>
                <w:b/>
                <w:szCs w:val="22"/>
              </w:rPr>
            </w:pPr>
            <w:r w:rsidRPr="001B1C2C">
              <w:rPr>
                <w:rFonts w:ascii="Arial Mäori" w:hAnsi="Arial Mäori"/>
                <w:b/>
                <w:szCs w:val="22"/>
              </w:rPr>
              <w:t>3. Compliance with functional requirements</w:t>
            </w:r>
          </w:p>
          <w:p w14:paraId="184D5E5D" w14:textId="77777777" w:rsidR="005D4F7C" w:rsidRPr="001B1C2C" w:rsidRDefault="005D4F7C" w:rsidP="00BA1D6A">
            <w:pPr>
              <w:tabs>
                <w:tab w:val="left" w:pos="4536"/>
              </w:tabs>
              <w:jc w:val="both"/>
              <w:rPr>
                <w:rFonts w:ascii="Arial Mäori" w:hAnsi="Arial Mäori"/>
                <w:szCs w:val="22"/>
              </w:rPr>
            </w:pPr>
            <w:r w:rsidRPr="001B1C2C">
              <w:rPr>
                <w:rFonts w:ascii="Arial Mäori" w:hAnsi="Arial Mäori"/>
                <w:i/>
                <w:szCs w:val="22"/>
              </w:rPr>
              <w:t>Do the proposed solutions function in accordance with the specified trial design</w:t>
            </w:r>
            <w:r w:rsidRPr="001B1C2C">
              <w:rPr>
                <w:rFonts w:ascii="Arial Mäori" w:hAnsi="Arial Mäori"/>
                <w:szCs w:val="22"/>
              </w:rPr>
              <w:t xml:space="preserve"> </w:t>
            </w:r>
            <w:r w:rsidRPr="001B1C2C">
              <w:rPr>
                <w:rFonts w:ascii="Arial Mäori" w:hAnsi="Arial Mäori"/>
                <w:i/>
                <w:szCs w:val="22"/>
              </w:rPr>
              <w:t>and online voting system design requirements?</w:t>
            </w:r>
            <w:r w:rsidRPr="001B1C2C">
              <w:rPr>
                <w:rFonts w:ascii="Arial Mäori" w:hAnsi="Arial Mäori"/>
                <w:szCs w:val="22"/>
              </w:rPr>
              <w:t xml:space="preserve"> </w:t>
            </w:r>
          </w:p>
          <w:p w14:paraId="6B29CCDB" w14:textId="77777777" w:rsidR="005D4F7C" w:rsidRDefault="005D4F7C" w:rsidP="00BA1D6A">
            <w:pPr>
              <w:tabs>
                <w:tab w:val="left" w:pos="4536"/>
              </w:tabs>
              <w:jc w:val="both"/>
              <w:rPr>
                <w:rFonts w:ascii="Arial Mäori" w:hAnsi="Arial Mäori"/>
                <w:szCs w:val="22"/>
              </w:rPr>
            </w:pPr>
            <w:r w:rsidRPr="001B1C2C">
              <w:rPr>
                <w:rFonts w:ascii="Arial Mäori" w:hAnsi="Arial Mäori"/>
                <w:szCs w:val="22"/>
              </w:rPr>
              <w:t>Trial design requirements include</w:t>
            </w:r>
            <w:r>
              <w:rPr>
                <w:rFonts w:ascii="Arial Mäori" w:hAnsi="Arial Mäori"/>
                <w:szCs w:val="22"/>
              </w:rPr>
              <w:t>,</w:t>
            </w:r>
            <w:r w:rsidRPr="001B1C2C">
              <w:rPr>
                <w:rFonts w:ascii="Arial Mäori" w:hAnsi="Arial Mäori"/>
                <w:szCs w:val="22"/>
              </w:rPr>
              <w:t xml:space="preserve"> for </w:t>
            </w:r>
            <w:r>
              <w:rPr>
                <w:rFonts w:ascii="Arial Mäori" w:hAnsi="Arial Mäori"/>
                <w:szCs w:val="22"/>
              </w:rPr>
              <w:t xml:space="preserve">example, </w:t>
            </w:r>
            <w:r w:rsidRPr="001B1C2C">
              <w:rPr>
                <w:rFonts w:ascii="Arial Mäori" w:hAnsi="Arial Mäori"/>
                <w:szCs w:val="22"/>
              </w:rPr>
              <w:t>that electors must be able to find out if an online vote has been cast in their name and must be made aware of this opportunity. Online voting system design requirements relate to the online voting experience e.g. the online voting system must allow a voter to submit a blank or incomplete vote.</w:t>
            </w:r>
          </w:p>
          <w:p w14:paraId="3DA4DACE" w14:textId="77777777" w:rsidR="005D4F7C" w:rsidRDefault="005D4F7C" w:rsidP="00BA1D6A">
            <w:pPr>
              <w:tabs>
                <w:tab w:val="left" w:pos="4536"/>
              </w:tabs>
              <w:jc w:val="both"/>
              <w:rPr>
                <w:rFonts w:ascii="Arial Mäori" w:hAnsi="Arial Mäori"/>
                <w:b/>
                <w:szCs w:val="22"/>
              </w:rPr>
            </w:pPr>
          </w:p>
          <w:p w14:paraId="786AE461" w14:textId="77777777" w:rsidR="005D4F7C" w:rsidRPr="001B1C2C" w:rsidRDefault="005D4F7C" w:rsidP="00E11482">
            <w:pPr>
              <w:tabs>
                <w:tab w:val="left" w:pos="4536"/>
              </w:tabs>
              <w:jc w:val="both"/>
              <w:rPr>
                <w:rFonts w:ascii="Arial Mäori" w:hAnsi="Arial Mäori"/>
                <w:b/>
                <w:szCs w:val="22"/>
              </w:rPr>
            </w:pPr>
            <w:r w:rsidRPr="001B1C2C">
              <w:rPr>
                <w:rFonts w:ascii="Arial Mäori" w:hAnsi="Arial Mäori"/>
                <w:b/>
                <w:szCs w:val="22"/>
              </w:rPr>
              <w:t>Overall Comment:</w:t>
            </w:r>
            <w:r w:rsidRPr="001B1C2C">
              <w:rPr>
                <w:rFonts w:ascii="Arial Mäori" w:hAnsi="Arial Mäori"/>
                <w:szCs w:val="22"/>
              </w:rPr>
              <w:t xml:space="preserve"> Although there are matters that would need to be confirmed with further information, the functional requirements generally appear to be met to the extent possible (for many requirements it is not possible to demonstrate compliance at this stage, as they are largely future-focused and must be demonstrated as part of </w:t>
            </w:r>
            <w:r>
              <w:rPr>
                <w:rFonts w:ascii="Arial Mäori" w:hAnsi="Arial Mäori"/>
                <w:szCs w:val="22"/>
              </w:rPr>
              <w:t>the</w:t>
            </w:r>
            <w:r w:rsidRPr="001B1C2C">
              <w:rPr>
                <w:rFonts w:ascii="Arial Mäori" w:hAnsi="Arial Mäori"/>
                <w:szCs w:val="22"/>
              </w:rPr>
              <w:t xml:space="preserve"> trial </w:t>
            </w:r>
            <w:r>
              <w:rPr>
                <w:rFonts w:ascii="Arial Mäori" w:hAnsi="Arial Mäori"/>
                <w:szCs w:val="22"/>
              </w:rPr>
              <w:t xml:space="preserve">itself </w:t>
            </w:r>
            <w:r w:rsidRPr="001B1C2C">
              <w:rPr>
                <w:rFonts w:ascii="Arial Mäori" w:hAnsi="Arial Mäori"/>
                <w:szCs w:val="22"/>
              </w:rPr>
              <w:t xml:space="preserve">(regulations would specify these requirements). </w:t>
            </w:r>
            <w:r w:rsidR="00D41289">
              <w:rPr>
                <w:rFonts w:ascii="Arial Mäori" w:hAnsi="Arial Mäori"/>
                <w:szCs w:val="22"/>
              </w:rPr>
              <w:t>A key short</w:t>
            </w:r>
            <w:r w:rsidR="00B5226F" w:rsidRPr="00B5226F">
              <w:rPr>
                <w:rFonts w:ascii="Arial Mäori" w:hAnsi="Arial Mäori"/>
                <w:szCs w:val="22"/>
              </w:rPr>
              <w:t xml:space="preserve">coming is that Requirement 1.9 does not appear to be met in all cases; that </w:t>
            </w:r>
            <w:r w:rsidR="00B5226F">
              <w:rPr>
                <w:rFonts w:ascii="Arial Mäori" w:hAnsi="Arial Mäori"/>
                <w:szCs w:val="22"/>
              </w:rPr>
              <w:t>specification</w:t>
            </w:r>
            <w:r w:rsidR="00B5226F" w:rsidRPr="00B5226F">
              <w:rPr>
                <w:rFonts w:ascii="Arial Mäori" w:hAnsi="Arial Mäori"/>
                <w:szCs w:val="22"/>
              </w:rPr>
              <w:t xml:space="preserve"> requires a notification opportunity to be provided to electors separately from the casting of the online vote, so that electors who do not choose to vote online can also opt in to be notified that a vote has been cast in their name. </w:t>
            </w:r>
            <w:r w:rsidR="00E11482">
              <w:rPr>
                <w:rFonts w:ascii="Arial Mäori" w:hAnsi="Arial Mäori"/>
                <w:szCs w:val="22"/>
              </w:rPr>
              <w:t>F</w:t>
            </w:r>
            <w:r w:rsidR="00B5226F" w:rsidRPr="00B5226F">
              <w:rPr>
                <w:rFonts w:ascii="Arial Mäori" w:hAnsi="Arial Mäori"/>
                <w:szCs w:val="22"/>
              </w:rPr>
              <w:t>or some councils the notification opportunity appears to be available only after submission of an online vote.</w:t>
            </w:r>
          </w:p>
        </w:tc>
      </w:tr>
      <w:tr w:rsidR="005D4F7C" w:rsidRPr="00EE0E95" w14:paraId="601D6C84" w14:textId="77777777" w:rsidTr="00BA1D6A">
        <w:trPr>
          <w:trHeight w:val="3919"/>
        </w:trPr>
        <w:tc>
          <w:tcPr>
            <w:tcW w:w="9498" w:type="dxa"/>
          </w:tcPr>
          <w:p w14:paraId="1A00C90B" w14:textId="77777777" w:rsidR="005D4F7C" w:rsidRPr="0041080A" w:rsidRDefault="005D4F7C" w:rsidP="00BA1D6A">
            <w:pPr>
              <w:tabs>
                <w:tab w:val="left" w:pos="4536"/>
              </w:tabs>
              <w:jc w:val="both"/>
              <w:rPr>
                <w:rFonts w:ascii="Arial Mäori" w:hAnsi="Arial Mäori"/>
                <w:b/>
                <w:szCs w:val="22"/>
              </w:rPr>
            </w:pPr>
            <w:r w:rsidRPr="0041080A">
              <w:rPr>
                <w:rFonts w:ascii="Arial Mäori" w:hAnsi="Arial Mäori"/>
                <w:b/>
                <w:szCs w:val="22"/>
              </w:rPr>
              <w:lastRenderedPageBreak/>
              <w:t>4. Usability and accessibility of solutions</w:t>
            </w:r>
          </w:p>
          <w:p w14:paraId="2B2D67B1" w14:textId="77777777" w:rsidR="005D4F7C" w:rsidRPr="0041080A" w:rsidRDefault="005D4F7C" w:rsidP="00BA1D6A">
            <w:pPr>
              <w:tabs>
                <w:tab w:val="left" w:pos="4536"/>
              </w:tabs>
              <w:jc w:val="both"/>
              <w:rPr>
                <w:rFonts w:ascii="Arial Mäori" w:hAnsi="Arial Mäori"/>
                <w:szCs w:val="22"/>
              </w:rPr>
            </w:pPr>
            <w:r w:rsidRPr="0041080A">
              <w:rPr>
                <w:rFonts w:ascii="Arial Mäori" w:hAnsi="Arial Mäori"/>
                <w:i/>
                <w:szCs w:val="22"/>
              </w:rPr>
              <w:t>Do the proposed solutions meet usability and accessibility requirements?</w:t>
            </w:r>
            <w:r w:rsidRPr="0041080A">
              <w:rPr>
                <w:rFonts w:ascii="Arial Mäori" w:hAnsi="Arial Mäori"/>
                <w:szCs w:val="22"/>
              </w:rPr>
              <w:t xml:space="preserve"> </w:t>
            </w:r>
          </w:p>
          <w:p w14:paraId="07EFA9BA" w14:textId="77777777" w:rsidR="005D4F7C" w:rsidRDefault="005D4F7C" w:rsidP="00BA1D6A">
            <w:pPr>
              <w:tabs>
                <w:tab w:val="left" w:pos="4536"/>
              </w:tabs>
              <w:jc w:val="both"/>
              <w:rPr>
                <w:rFonts w:ascii="Arial Mäori" w:hAnsi="Arial Mäori"/>
                <w:szCs w:val="22"/>
              </w:rPr>
            </w:pPr>
            <w:r w:rsidRPr="0041080A">
              <w:rPr>
                <w:rFonts w:ascii="Arial Mäori" w:hAnsi="Arial Mäori"/>
                <w:szCs w:val="22"/>
              </w:rPr>
              <w:t>The voter interface must be understandable and easy to use, and solutions must support and be tested in any browser or device used by more than one percent of people accessing sites of the territorial authority in question. In terms of accessibility, systems should be designed to maximise opportunities for those with disabilities. Users and/or representative user organisations must be involved in the design of online voting systems and the voter interface must conform at Level AA of WCAG 2.0 (the Government’s web accessibility requirement)</w:t>
            </w:r>
            <w:r>
              <w:rPr>
                <w:rFonts w:ascii="Arial Mäori" w:hAnsi="Arial Mäori"/>
                <w:szCs w:val="22"/>
              </w:rPr>
              <w:t>.</w:t>
            </w:r>
          </w:p>
          <w:p w14:paraId="104EEF6F" w14:textId="77777777" w:rsidR="005D4F7C" w:rsidRDefault="005D4F7C" w:rsidP="00BA1D6A">
            <w:pPr>
              <w:tabs>
                <w:tab w:val="left" w:pos="4536"/>
              </w:tabs>
              <w:jc w:val="both"/>
              <w:rPr>
                <w:rFonts w:ascii="Arial Mäori" w:hAnsi="Arial Mäori"/>
                <w:b/>
                <w:szCs w:val="22"/>
              </w:rPr>
            </w:pPr>
          </w:p>
          <w:p w14:paraId="3F4424E7" w14:textId="77777777" w:rsidR="005D4F7C" w:rsidRDefault="005D4F7C" w:rsidP="00BA1D6A">
            <w:pPr>
              <w:tabs>
                <w:tab w:val="left" w:pos="4536"/>
              </w:tabs>
              <w:jc w:val="both"/>
              <w:rPr>
                <w:rFonts w:ascii="Arial Mäori" w:hAnsi="Arial Mäori"/>
                <w:szCs w:val="22"/>
              </w:rPr>
            </w:pPr>
            <w:r w:rsidRPr="0041080A">
              <w:rPr>
                <w:rFonts w:ascii="Arial Mäori" w:hAnsi="Arial Mäori"/>
                <w:b/>
                <w:szCs w:val="22"/>
              </w:rPr>
              <w:t xml:space="preserve">Overall Comment: </w:t>
            </w:r>
            <w:r w:rsidRPr="0041080A">
              <w:rPr>
                <w:rFonts w:ascii="Arial Mäori" w:hAnsi="Arial Mäori"/>
                <w:szCs w:val="22"/>
              </w:rPr>
              <w:t xml:space="preserve">It is unclear whether usability and accessibility requirements are met in full. With respect to </w:t>
            </w:r>
            <w:proofErr w:type="gramStart"/>
            <w:r w:rsidRPr="0041080A">
              <w:rPr>
                <w:rFonts w:ascii="Arial Mäori" w:hAnsi="Arial Mäori"/>
                <w:szCs w:val="22"/>
              </w:rPr>
              <w:t xml:space="preserve">both of the </w:t>
            </w:r>
            <w:r w:rsidR="005020D4">
              <w:rPr>
                <w:rFonts w:ascii="Arial Mäori" w:hAnsi="Arial Mäori"/>
                <w:szCs w:val="22"/>
              </w:rPr>
              <w:t>systems</w:t>
            </w:r>
            <w:proofErr w:type="gramEnd"/>
            <w:r w:rsidR="005020D4">
              <w:rPr>
                <w:rFonts w:ascii="Arial Mäori" w:hAnsi="Arial Mäori"/>
                <w:szCs w:val="22"/>
              </w:rPr>
              <w:t xml:space="preserve"> </w:t>
            </w:r>
            <w:r w:rsidRPr="0041080A">
              <w:rPr>
                <w:rFonts w:ascii="Arial Mäori" w:hAnsi="Arial Mäori"/>
                <w:szCs w:val="22"/>
              </w:rPr>
              <w:t xml:space="preserve">proposed for use, it has been submitted that the requirements are met. </w:t>
            </w:r>
            <w:r>
              <w:rPr>
                <w:rFonts w:ascii="Arial Mäori" w:hAnsi="Arial Mäori"/>
                <w:szCs w:val="22"/>
              </w:rPr>
              <w:t>Officials</w:t>
            </w:r>
            <w:r w:rsidRPr="0041080A">
              <w:rPr>
                <w:rFonts w:ascii="Arial Mäori" w:hAnsi="Arial Mäori"/>
                <w:szCs w:val="22"/>
              </w:rPr>
              <w:t xml:space="preserve"> consider sufficient evidence has not yet been provided to support those statements. It is possible </w:t>
            </w:r>
            <w:r>
              <w:rPr>
                <w:rFonts w:ascii="Arial Mäori" w:hAnsi="Arial Mäori"/>
                <w:szCs w:val="22"/>
              </w:rPr>
              <w:t xml:space="preserve">that </w:t>
            </w:r>
            <w:r w:rsidRPr="0041080A">
              <w:rPr>
                <w:rFonts w:ascii="Arial Mäori" w:hAnsi="Arial Mäori"/>
                <w:szCs w:val="22"/>
              </w:rPr>
              <w:t>with more time these requirements could be demonstrated to have been met.</w:t>
            </w:r>
          </w:p>
          <w:p w14:paraId="344898DF" w14:textId="77777777" w:rsidR="005D4F7C" w:rsidRPr="00EE0E95" w:rsidRDefault="005D4F7C" w:rsidP="00BA1D6A">
            <w:pPr>
              <w:tabs>
                <w:tab w:val="left" w:pos="4536"/>
              </w:tabs>
              <w:jc w:val="both"/>
              <w:rPr>
                <w:sz w:val="21"/>
                <w:szCs w:val="21"/>
              </w:rPr>
            </w:pPr>
          </w:p>
        </w:tc>
      </w:tr>
      <w:tr w:rsidR="005D4F7C" w:rsidRPr="0041080A" w14:paraId="20579B7C" w14:textId="77777777" w:rsidTr="00BA1D6A">
        <w:trPr>
          <w:trHeight w:val="5799"/>
        </w:trPr>
        <w:tc>
          <w:tcPr>
            <w:tcW w:w="9498" w:type="dxa"/>
          </w:tcPr>
          <w:p w14:paraId="63D8E50F" w14:textId="77777777" w:rsidR="005D4F7C" w:rsidRPr="0041080A" w:rsidRDefault="005D4F7C" w:rsidP="00BA1D6A">
            <w:pPr>
              <w:tabs>
                <w:tab w:val="left" w:pos="4536"/>
              </w:tabs>
              <w:jc w:val="both"/>
              <w:rPr>
                <w:rFonts w:ascii="Arial Mäori" w:hAnsi="Arial Mäori"/>
                <w:b/>
                <w:szCs w:val="22"/>
              </w:rPr>
            </w:pPr>
            <w:r w:rsidRPr="0041080A">
              <w:rPr>
                <w:rFonts w:ascii="Arial Mäori" w:hAnsi="Arial Mäori"/>
                <w:b/>
                <w:szCs w:val="22"/>
              </w:rPr>
              <w:t>5. Systems operation</w:t>
            </w:r>
          </w:p>
          <w:p w14:paraId="12D859E0" w14:textId="77777777" w:rsidR="005D4F7C" w:rsidRPr="0041080A" w:rsidRDefault="005D4F7C" w:rsidP="00BA1D6A">
            <w:pPr>
              <w:tabs>
                <w:tab w:val="left" w:pos="4536"/>
              </w:tabs>
              <w:jc w:val="both"/>
              <w:rPr>
                <w:rFonts w:ascii="Arial Mäori" w:hAnsi="Arial Mäori"/>
                <w:i/>
                <w:szCs w:val="22"/>
              </w:rPr>
            </w:pPr>
            <w:r w:rsidRPr="0041080A">
              <w:rPr>
                <w:rFonts w:ascii="Arial Mäori" w:hAnsi="Arial Mäori"/>
                <w:i/>
                <w:szCs w:val="22"/>
              </w:rPr>
              <w:t>Do systems and processes operate in way that both protects and verifies the integrity of local elections?</w:t>
            </w:r>
          </w:p>
          <w:p w14:paraId="10FCAFA8" w14:textId="77777777" w:rsidR="005D4F7C" w:rsidRPr="0041080A" w:rsidRDefault="005D4F7C" w:rsidP="00BA1D6A">
            <w:pPr>
              <w:tabs>
                <w:tab w:val="left" w:pos="4536"/>
              </w:tabs>
              <w:jc w:val="both"/>
              <w:rPr>
                <w:rFonts w:ascii="Arial Mäori" w:hAnsi="Arial Mäori"/>
                <w:szCs w:val="22"/>
              </w:rPr>
            </w:pPr>
            <w:r w:rsidRPr="0041080A">
              <w:rPr>
                <w:rFonts w:ascii="Arial Mäori" w:hAnsi="Arial Mäori"/>
                <w:szCs w:val="22"/>
              </w:rPr>
              <w:t>Systems operation requirements relate to the inner workings of voting systems. For example, invalid votes must not make it into the electronic ballot box of an online voting system; there must be control procedures for any technical operations associated with the online voting system.</w:t>
            </w:r>
          </w:p>
          <w:p w14:paraId="48EB8C3C" w14:textId="77777777" w:rsidR="005D4F7C" w:rsidRPr="0041080A" w:rsidRDefault="005D4F7C" w:rsidP="00BA1D6A">
            <w:pPr>
              <w:tabs>
                <w:tab w:val="left" w:pos="4536"/>
              </w:tabs>
              <w:jc w:val="both"/>
              <w:rPr>
                <w:rFonts w:ascii="Arial Mäori" w:hAnsi="Arial Mäori"/>
                <w:szCs w:val="22"/>
              </w:rPr>
            </w:pPr>
            <w:r w:rsidRPr="0041080A">
              <w:rPr>
                <w:rFonts w:ascii="Arial Mäori" w:hAnsi="Arial Mäori"/>
                <w:szCs w:val="22"/>
              </w:rPr>
              <w:t xml:space="preserve">Not only must the right protections be in place, there be must also be the ability to prove at the end of an election that a result is </w:t>
            </w:r>
            <w:r w:rsidRPr="00E11482">
              <w:rPr>
                <w:rFonts w:ascii="Arial Mäori" w:hAnsi="Arial Mäori"/>
                <w:i/>
                <w:szCs w:val="22"/>
              </w:rPr>
              <w:t>in fact</w:t>
            </w:r>
            <w:r w:rsidRPr="0041080A">
              <w:rPr>
                <w:rFonts w:ascii="Arial Mäori" w:hAnsi="Arial Mäori"/>
                <w:szCs w:val="22"/>
              </w:rPr>
              <w:t xml:space="preserve"> accurate. The trial requirements require the systems to be auditable end-to-end and the whole election process to be verifiable end-to-end.</w:t>
            </w:r>
          </w:p>
          <w:p w14:paraId="0F6FA939" w14:textId="77777777" w:rsidR="005D4F7C" w:rsidRPr="0041080A" w:rsidRDefault="005D4F7C" w:rsidP="00BA1D6A">
            <w:pPr>
              <w:tabs>
                <w:tab w:val="left" w:pos="4536"/>
              </w:tabs>
              <w:jc w:val="both"/>
              <w:rPr>
                <w:rFonts w:ascii="Arial Mäori" w:hAnsi="Arial Mäori"/>
                <w:szCs w:val="22"/>
              </w:rPr>
            </w:pPr>
            <w:r w:rsidRPr="0041080A">
              <w:rPr>
                <w:rFonts w:ascii="Arial Mäori" w:hAnsi="Arial Mäori"/>
                <w:szCs w:val="22"/>
              </w:rPr>
              <w:t>A key principle underpinning the trial is transparency of the online voting system to ensure public confidence the local electoral process. Because of the invisible nature of online voting processes, it is particularly important that the requirements which relate to system operations and auditability are demonstrated to have been met and there is end-to-end verifiability.</w:t>
            </w:r>
          </w:p>
          <w:p w14:paraId="49BBB7DD" w14:textId="77777777" w:rsidR="005D4F7C" w:rsidRDefault="005D4F7C" w:rsidP="00BA1D6A">
            <w:pPr>
              <w:tabs>
                <w:tab w:val="left" w:pos="4536"/>
              </w:tabs>
              <w:jc w:val="both"/>
              <w:rPr>
                <w:rFonts w:ascii="Arial Mäori" w:hAnsi="Arial Mäori"/>
                <w:b/>
                <w:szCs w:val="22"/>
              </w:rPr>
            </w:pPr>
          </w:p>
          <w:p w14:paraId="4189700D" w14:textId="77777777" w:rsidR="005D4F7C" w:rsidRDefault="005D4F7C" w:rsidP="00BA1D6A">
            <w:pPr>
              <w:tabs>
                <w:tab w:val="left" w:pos="4536"/>
              </w:tabs>
              <w:jc w:val="both"/>
              <w:rPr>
                <w:rFonts w:ascii="Arial Mäori" w:hAnsi="Arial Mäori"/>
                <w:szCs w:val="22"/>
              </w:rPr>
            </w:pPr>
            <w:r w:rsidRPr="0041080A">
              <w:rPr>
                <w:rFonts w:ascii="Arial Mäori" w:hAnsi="Arial Mäori"/>
                <w:b/>
                <w:szCs w:val="22"/>
              </w:rPr>
              <w:t xml:space="preserve">Overall Comment: </w:t>
            </w:r>
            <w:r w:rsidRPr="0041080A">
              <w:rPr>
                <w:rFonts w:ascii="Arial Mäori" w:hAnsi="Arial Mäori"/>
                <w:szCs w:val="22"/>
              </w:rPr>
              <w:t xml:space="preserve">While it is possible these requirements are to a significant extent complied with in practice, it is difficult to ascertain this based on reports, as evidence (such as the plans and procedures referred to) has not been provided to support assertions that these requirements are met. Descriptions and evidence of end-to-end verifiability </w:t>
            </w:r>
            <w:r>
              <w:rPr>
                <w:rFonts w:ascii="Arial Mäori" w:hAnsi="Arial Mäori"/>
                <w:szCs w:val="22"/>
              </w:rPr>
              <w:t>have</w:t>
            </w:r>
            <w:r w:rsidRPr="0041080A">
              <w:rPr>
                <w:rFonts w:ascii="Arial Mäori" w:hAnsi="Arial Mäori"/>
                <w:szCs w:val="22"/>
              </w:rPr>
              <w:t xml:space="preserve"> not </w:t>
            </w:r>
            <w:r>
              <w:rPr>
                <w:rFonts w:ascii="Arial Mäori" w:hAnsi="Arial Mäori"/>
                <w:szCs w:val="22"/>
              </w:rPr>
              <w:t xml:space="preserve">been </w:t>
            </w:r>
            <w:r w:rsidRPr="0041080A">
              <w:rPr>
                <w:rFonts w:ascii="Arial Mäori" w:hAnsi="Arial Mäori"/>
                <w:szCs w:val="22"/>
              </w:rPr>
              <w:t>prov</w:t>
            </w:r>
            <w:r>
              <w:rPr>
                <w:rFonts w:ascii="Arial Mäori" w:hAnsi="Arial Mäori"/>
                <w:szCs w:val="22"/>
              </w:rPr>
              <w:t>ided. I</w:t>
            </w:r>
            <w:r w:rsidRPr="0041080A">
              <w:rPr>
                <w:rFonts w:ascii="Arial Mäori" w:hAnsi="Arial Mäori"/>
                <w:szCs w:val="22"/>
              </w:rPr>
              <w:t xml:space="preserve">t is unclear whether the concept of end-to-end verifiability has been </w:t>
            </w:r>
            <w:proofErr w:type="gramStart"/>
            <w:r w:rsidRPr="0041080A">
              <w:rPr>
                <w:rFonts w:ascii="Arial Mäori" w:hAnsi="Arial Mäori"/>
                <w:szCs w:val="22"/>
              </w:rPr>
              <w:t>understood</w:t>
            </w:r>
            <w:proofErr w:type="gramEnd"/>
            <w:r w:rsidRPr="0041080A">
              <w:rPr>
                <w:rFonts w:ascii="Arial Mäori" w:hAnsi="Arial Mäori"/>
                <w:szCs w:val="22"/>
              </w:rPr>
              <w:t xml:space="preserve"> and its importance appreciated.</w:t>
            </w:r>
          </w:p>
          <w:p w14:paraId="509C8999" w14:textId="77777777" w:rsidR="005D4F7C" w:rsidRPr="0041080A" w:rsidRDefault="005D4F7C" w:rsidP="00BA1D6A">
            <w:pPr>
              <w:tabs>
                <w:tab w:val="left" w:pos="4536"/>
              </w:tabs>
              <w:jc w:val="both"/>
              <w:rPr>
                <w:rFonts w:ascii="Arial Mäori" w:hAnsi="Arial Mäori"/>
                <w:szCs w:val="22"/>
              </w:rPr>
            </w:pPr>
          </w:p>
        </w:tc>
      </w:tr>
      <w:tr w:rsidR="005D4F7C" w:rsidRPr="0041080A" w14:paraId="017590F9" w14:textId="77777777" w:rsidTr="00BA1D6A">
        <w:trPr>
          <w:trHeight w:val="6613"/>
        </w:trPr>
        <w:tc>
          <w:tcPr>
            <w:tcW w:w="9498" w:type="dxa"/>
          </w:tcPr>
          <w:p w14:paraId="5BF4A2E9" w14:textId="77777777" w:rsidR="005D4F7C" w:rsidRPr="0041080A" w:rsidRDefault="005D4F7C" w:rsidP="00BA1D6A">
            <w:pPr>
              <w:tabs>
                <w:tab w:val="left" w:pos="4536"/>
              </w:tabs>
              <w:jc w:val="both"/>
              <w:rPr>
                <w:rFonts w:ascii="Arial Mäori" w:hAnsi="Arial Mäori"/>
                <w:b/>
                <w:szCs w:val="22"/>
              </w:rPr>
            </w:pPr>
            <w:r w:rsidRPr="0041080A">
              <w:rPr>
                <w:rFonts w:ascii="Arial Mäori" w:hAnsi="Arial Mäori"/>
                <w:b/>
                <w:szCs w:val="22"/>
              </w:rPr>
              <w:lastRenderedPageBreak/>
              <w:t>6. Security of solutions</w:t>
            </w:r>
          </w:p>
          <w:p w14:paraId="531AADB1" w14:textId="77777777" w:rsidR="005D4F7C" w:rsidRPr="0041080A" w:rsidRDefault="005D4F7C" w:rsidP="00BA1D6A">
            <w:pPr>
              <w:tabs>
                <w:tab w:val="left" w:pos="4536"/>
              </w:tabs>
              <w:jc w:val="both"/>
              <w:rPr>
                <w:rFonts w:ascii="Arial Mäori" w:hAnsi="Arial Mäori"/>
                <w:i/>
                <w:szCs w:val="22"/>
              </w:rPr>
            </w:pPr>
            <w:r w:rsidRPr="0041080A">
              <w:rPr>
                <w:rFonts w:ascii="Arial Mäori" w:hAnsi="Arial Mäori"/>
                <w:i/>
                <w:szCs w:val="22"/>
              </w:rPr>
              <w:t>Are the solutions proposed for use secure?</w:t>
            </w:r>
          </w:p>
          <w:p w14:paraId="41865277" w14:textId="77777777" w:rsidR="005D4F7C" w:rsidRPr="0041080A" w:rsidRDefault="005D4F7C" w:rsidP="00BA1D6A">
            <w:pPr>
              <w:tabs>
                <w:tab w:val="left" w:pos="4536"/>
              </w:tabs>
              <w:jc w:val="both"/>
              <w:rPr>
                <w:rFonts w:ascii="Arial Mäori" w:hAnsi="Arial Mäori"/>
                <w:szCs w:val="22"/>
              </w:rPr>
            </w:pPr>
            <w:r w:rsidRPr="0041080A">
              <w:rPr>
                <w:rFonts w:ascii="Arial Mäori" w:hAnsi="Arial Mäori"/>
                <w:szCs w:val="22"/>
              </w:rPr>
              <w:t>It must be demonstrated that the online voting systems proposed for use are secure and reliable. This requires solutions to have a good security architecture, and for the security of systems to have been appropriately assessed.</w:t>
            </w:r>
          </w:p>
          <w:p w14:paraId="59168009" w14:textId="77777777" w:rsidR="005D4F7C" w:rsidRPr="0041080A" w:rsidRDefault="005D4F7C" w:rsidP="00BA1D6A">
            <w:pPr>
              <w:tabs>
                <w:tab w:val="left" w:pos="4536"/>
              </w:tabs>
              <w:jc w:val="both"/>
              <w:rPr>
                <w:rFonts w:ascii="Arial Mäori" w:hAnsi="Arial Mäori"/>
                <w:szCs w:val="22"/>
              </w:rPr>
            </w:pPr>
            <w:r w:rsidRPr="0041080A">
              <w:rPr>
                <w:rFonts w:ascii="Arial Mäori" w:hAnsi="Arial Mäori"/>
                <w:szCs w:val="22"/>
              </w:rPr>
              <w:t xml:space="preserve">A key aspect of the security requirements is the need to demonstrate compliance with </w:t>
            </w:r>
            <w:r>
              <w:rPr>
                <w:rFonts w:ascii="Arial Mäori" w:hAnsi="Arial Mäori"/>
                <w:szCs w:val="22"/>
              </w:rPr>
              <w:t xml:space="preserve">the </w:t>
            </w:r>
            <w:r w:rsidRPr="0041080A">
              <w:rPr>
                <w:rFonts w:ascii="Arial Mäori" w:hAnsi="Arial Mäori"/>
                <w:szCs w:val="22"/>
              </w:rPr>
              <w:t>New Zealand Information Security Manual, applicable ISO standards, and other benchmarks. The Government’s Protective Security Requirements framework</w:t>
            </w:r>
            <w:r w:rsidRPr="0041080A">
              <w:rPr>
                <w:rStyle w:val="FootnoteReference"/>
                <w:rFonts w:ascii="Arial Mäori" w:hAnsi="Arial Mäori"/>
                <w:sz w:val="22"/>
                <w:szCs w:val="22"/>
              </w:rPr>
              <w:footnoteReference w:id="6"/>
            </w:r>
            <w:r w:rsidRPr="0041080A">
              <w:rPr>
                <w:rFonts w:ascii="Arial Mäori" w:hAnsi="Arial Mäori"/>
                <w:szCs w:val="22"/>
              </w:rPr>
              <w:t xml:space="preserve"> must be applied.</w:t>
            </w:r>
          </w:p>
          <w:p w14:paraId="4F3ACD2F" w14:textId="77777777" w:rsidR="005D4F7C" w:rsidRDefault="005D4F7C" w:rsidP="00BA1D6A">
            <w:pPr>
              <w:tabs>
                <w:tab w:val="left" w:pos="4536"/>
              </w:tabs>
              <w:jc w:val="both"/>
              <w:rPr>
                <w:rFonts w:ascii="Arial Mäori" w:hAnsi="Arial Mäori"/>
                <w:szCs w:val="22"/>
              </w:rPr>
            </w:pPr>
            <w:r w:rsidRPr="0041080A">
              <w:rPr>
                <w:rFonts w:ascii="Arial Mäori" w:hAnsi="Arial Mäori"/>
                <w:szCs w:val="22"/>
              </w:rPr>
              <w:t>A cloud risk assessment is required and the GCIO’s risk assessment tool for cloud-computing is required to be completed (this is a spreadsheet-based information tool that feeds into the risk assessment).</w:t>
            </w:r>
          </w:p>
          <w:p w14:paraId="1DDE5DD7" w14:textId="77777777" w:rsidR="005D4F7C" w:rsidRPr="0041080A" w:rsidRDefault="005D4F7C" w:rsidP="00BA1D6A">
            <w:pPr>
              <w:tabs>
                <w:tab w:val="left" w:pos="4536"/>
              </w:tabs>
              <w:jc w:val="both"/>
              <w:rPr>
                <w:rFonts w:ascii="Arial Mäori" w:hAnsi="Arial Mäori"/>
                <w:szCs w:val="22"/>
              </w:rPr>
            </w:pPr>
          </w:p>
          <w:p w14:paraId="76C2CBCE" w14:textId="77777777" w:rsidR="005D4F7C" w:rsidRPr="0041080A" w:rsidRDefault="005D4F7C" w:rsidP="00BA1D6A">
            <w:pPr>
              <w:tabs>
                <w:tab w:val="left" w:pos="4536"/>
              </w:tabs>
              <w:jc w:val="both"/>
              <w:rPr>
                <w:rFonts w:ascii="Arial Mäori" w:hAnsi="Arial Mäori"/>
                <w:szCs w:val="22"/>
              </w:rPr>
            </w:pPr>
            <w:r w:rsidRPr="0041080A">
              <w:rPr>
                <w:rFonts w:ascii="Arial Mäori" w:hAnsi="Arial Mäori"/>
                <w:b/>
                <w:szCs w:val="22"/>
              </w:rPr>
              <w:t xml:space="preserve">Overall Comment: </w:t>
            </w:r>
            <w:r w:rsidRPr="00261CE7">
              <w:rPr>
                <w:rFonts w:ascii="Arial Mäori" w:hAnsi="Arial Mäori"/>
                <w:szCs w:val="22"/>
              </w:rPr>
              <w:t xml:space="preserve">Security material is highly </w:t>
            </w:r>
            <w:proofErr w:type="gramStart"/>
            <w:r w:rsidRPr="00261CE7">
              <w:rPr>
                <w:rFonts w:ascii="Arial Mäori" w:hAnsi="Arial Mäori"/>
                <w:szCs w:val="22"/>
              </w:rPr>
              <w:t>sensitive</w:t>
            </w:r>
            <w:proofErr w:type="gramEnd"/>
            <w:r w:rsidRPr="00261CE7">
              <w:rPr>
                <w:rFonts w:ascii="Arial Mäori" w:hAnsi="Arial Mäori"/>
                <w:szCs w:val="22"/>
              </w:rPr>
              <w:t xml:space="preserve"> and appropriate arrangements nee</w:t>
            </w:r>
            <w:r>
              <w:rPr>
                <w:rFonts w:ascii="Arial Mäori" w:hAnsi="Arial Mäori"/>
                <w:szCs w:val="22"/>
              </w:rPr>
              <w:t>d to be in place for its review</w:t>
            </w:r>
            <w:r w:rsidRPr="00261CE7">
              <w:rPr>
                <w:rFonts w:ascii="Arial Mäori" w:hAnsi="Arial Mäori"/>
                <w:szCs w:val="22"/>
              </w:rPr>
              <w:t xml:space="preserve"> including </w:t>
            </w:r>
            <w:r>
              <w:rPr>
                <w:rFonts w:ascii="Arial Mäori" w:hAnsi="Arial Mäori"/>
                <w:szCs w:val="22"/>
              </w:rPr>
              <w:t xml:space="preserve">limiting </w:t>
            </w:r>
            <w:r w:rsidRPr="00261CE7">
              <w:rPr>
                <w:rFonts w:ascii="Arial Mäori" w:hAnsi="Arial Mäori"/>
                <w:szCs w:val="22"/>
              </w:rPr>
              <w:t xml:space="preserve">access to documents </w:t>
            </w:r>
            <w:r>
              <w:rPr>
                <w:rFonts w:ascii="Arial Mäori" w:hAnsi="Arial Mäori"/>
                <w:szCs w:val="22"/>
              </w:rPr>
              <w:t>to</w:t>
            </w:r>
            <w:r w:rsidRPr="00261CE7">
              <w:rPr>
                <w:rFonts w:ascii="Arial Mäori" w:hAnsi="Arial Mäori"/>
                <w:szCs w:val="22"/>
              </w:rPr>
              <w:t xml:space="preserve"> those who have the relevant expertise </w:t>
            </w:r>
            <w:r>
              <w:rPr>
                <w:rFonts w:ascii="Arial Mäori" w:hAnsi="Arial Mäori"/>
                <w:szCs w:val="22"/>
              </w:rPr>
              <w:t>to undertake such reviews</w:t>
            </w:r>
            <w:r w:rsidRPr="00261CE7">
              <w:rPr>
                <w:rFonts w:ascii="Arial Mäori" w:hAnsi="Arial Mäori"/>
                <w:szCs w:val="22"/>
              </w:rPr>
              <w:t xml:space="preserve">. </w:t>
            </w:r>
            <w:r w:rsidR="00E11482">
              <w:rPr>
                <w:rFonts w:ascii="Arial Mäori" w:hAnsi="Arial Mäori"/>
                <w:szCs w:val="22"/>
              </w:rPr>
              <w:t>T</w:t>
            </w:r>
            <w:r w:rsidRPr="00261CE7">
              <w:rPr>
                <w:rFonts w:ascii="Arial Mäori" w:hAnsi="Arial Mäori"/>
                <w:szCs w:val="22"/>
              </w:rPr>
              <w:t xml:space="preserve">he National Cyber Security Centre (NCSC) </w:t>
            </w:r>
            <w:r w:rsidR="004D121B">
              <w:rPr>
                <w:rFonts w:ascii="Arial Mäori" w:hAnsi="Arial Mäori"/>
                <w:szCs w:val="22"/>
              </w:rPr>
              <w:t>had</w:t>
            </w:r>
            <w:r w:rsidR="00E11482">
              <w:rPr>
                <w:rFonts w:ascii="Arial Mäori" w:hAnsi="Arial Mäori"/>
                <w:szCs w:val="22"/>
              </w:rPr>
              <w:t xml:space="preserve"> some involvement </w:t>
            </w:r>
            <w:r w:rsidRPr="00261CE7">
              <w:rPr>
                <w:rFonts w:ascii="Arial Mäori" w:hAnsi="Arial Mäori"/>
                <w:szCs w:val="22"/>
              </w:rPr>
              <w:t>in the preparation of advice on compliance with security requirements</w:t>
            </w:r>
            <w:r w:rsidR="00E11482">
              <w:rPr>
                <w:rFonts w:ascii="Arial Mäori" w:hAnsi="Arial Mäori"/>
                <w:szCs w:val="22"/>
              </w:rPr>
              <w:t>.</w:t>
            </w:r>
            <w:r w:rsidRPr="00261CE7">
              <w:rPr>
                <w:rFonts w:ascii="Arial Mäori" w:hAnsi="Arial Mäori"/>
                <w:szCs w:val="22"/>
              </w:rPr>
              <w:t xml:space="preserve"> </w:t>
            </w:r>
            <w:r w:rsidR="00E11482">
              <w:rPr>
                <w:rFonts w:ascii="Arial Mäori" w:hAnsi="Arial Mäori"/>
                <w:szCs w:val="22"/>
              </w:rPr>
              <w:t>H</w:t>
            </w:r>
            <w:r w:rsidRPr="00261CE7">
              <w:rPr>
                <w:rFonts w:ascii="Arial Mäori" w:hAnsi="Arial Mäori"/>
                <w:szCs w:val="22"/>
              </w:rPr>
              <w:t>owever</w:t>
            </w:r>
            <w:r w:rsidR="004D121B">
              <w:rPr>
                <w:rFonts w:ascii="Arial Mäori" w:hAnsi="Arial Mäori"/>
                <w:szCs w:val="22"/>
              </w:rPr>
              <w:t xml:space="preserve">, </w:t>
            </w:r>
            <w:r w:rsidRPr="00261CE7">
              <w:rPr>
                <w:rFonts w:ascii="Arial Mäori" w:hAnsi="Arial Mäori"/>
                <w:szCs w:val="22"/>
              </w:rPr>
              <w:t xml:space="preserve">an understandably cautious approach to provision of documentation </w:t>
            </w:r>
            <w:r>
              <w:rPr>
                <w:rFonts w:ascii="Arial Mäori" w:hAnsi="Arial Mäori"/>
                <w:szCs w:val="22"/>
              </w:rPr>
              <w:t>together with</w:t>
            </w:r>
            <w:r w:rsidRPr="00261CE7">
              <w:rPr>
                <w:rFonts w:ascii="Arial Mäori" w:hAnsi="Arial Mäori"/>
                <w:szCs w:val="22"/>
              </w:rPr>
              <w:t xml:space="preserve"> time constraints</w:t>
            </w:r>
            <w:r>
              <w:rPr>
                <w:rFonts w:ascii="Arial Mäori" w:hAnsi="Arial Mäori"/>
                <w:szCs w:val="22"/>
              </w:rPr>
              <w:t>,</w:t>
            </w:r>
            <w:r w:rsidRPr="00261CE7">
              <w:rPr>
                <w:rFonts w:ascii="Arial Mäori" w:hAnsi="Arial Mäori"/>
                <w:szCs w:val="22"/>
              </w:rPr>
              <w:t xml:space="preserve"> have not allowed for </w:t>
            </w:r>
            <w:r w:rsidR="00E11482">
              <w:rPr>
                <w:rFonts w:ascii="Arial Mäori" w:hAnsi="Arial Mäori"/>
                <w:szCs w:val="22"/>
              </w:rPr>
              <w:t>a detailed review of systems’ security architecture and councils’ plans for security testing</w:t>
            </w:r>
            <w:r w:rsidRPr="00261CE7">
              <w:rPr>
                <w:rFonts w:ascii="Arial Mäori" w:hAnsi="Arial Mäori"/>
                <w:szCs w:val="22"/>
              </w:rPr>
              <w:t>.</w:t>
            </w:r>
            <w:r w:rsidR="00E11482">
              <w:rPr>
                <w:rFonts w:ascii="Arial Mäori" w:hAnsi="Arial Mäori"/>
                <w:szCs w:val="22"/>
              </w:rPr>
              <w:t xml:space="preserve"> Further work could be carried out, if councils wish to continue work towards a trial in future local elections.</w:t>
            </w:r>
            <w:r w:rsidRPr="0041080A">
              <w:rPr>
                <w:rFonts w:ascii="Arial Mäori" w:hAnsi="Arial Mäori"/>
                <w:szCs w:val="22"/>
              </w:rPr>
              <w:t xml:space="preserve"> The Protective Security team at the NZSIS have reviewed the documentation for compliance with Req</w:t>
            </w:r>
            <w:r>
              <w:rPr>
                <w:rFonts w:ascii="Arial Mäori" w:hAnsi="Arial Mäori"/>
                <w:szCs w:val="22"/>
              </w:rPr>
              <w:t>uirement</w:t>
            </w:r>
            <w:r w:rsidRPr="0041080A">
              <w:rPr>
                <w:rFonts w:ascii="Arial Mäori" w:hAnsi="Arial Mäori"/>
                <w:szCs w:val="22"/>
              </w:rPr>
              <w:t xml:space="preserve"> 2.56 and consider that the protective security expectations have been broadly </w:t>
            </w:r>
            <w:proofErr w:type="gramStart"/>
            <w:r w:rsidRPr="0041080A">
              <w:rPr>
                <w:rFonts w:ascii="Arial Mäori" w:hAnsi="Arial Mäori"/>
                <w:szCs w:val="22"/>
              </w:rPr>
              <w:t>satisfied</w:t>
            </w:r>
            <w:proofErr w:type="gramEnd"/>
            <w:r w:rsidRPr="0041080A">
              <w:rPr>
                <w:rFonts w:ascii="Arial Mäori" w:hAnsi="Arial Mäori"/>
                <w:szCs w:val="22"/>
              </w:rPr>
              <w:t xml:space="preserve"> and that the </w:t>
            </w:r>
            <w:r w:rsidRPr="00793808">
              <w:rPr>
                <w:rFonts w:ascii="Arial Mäori" w:hAnsi="Arial Mäori"/>
                <w:szCs w:val="22"/>
              </w:rPr>
              <w:t>Protective Security Requirements</w:t>
            </w:r>
            <w:r w:rsidRPr="0041080A">
              <w:rPr>
                <w:rFonts w:ascii="Arial Mäori" w:hAnsi="Arial Mäori"/>
                <w:szCs w:val="22"/>
              </w:rPr>
              <w:t xml:space="preserve"> framework has been taken seriously.</w:t>
            </w:r>
            <w:r>
              <w:rPr>
                <w:rFonts w:ascii="Arial Mäori" w:hAnsi="Arial Mäori"/>
                <w:szCs w:val="22"/>
              </w:rPr>
              <w:t xml:space="preserve"> The G</w:t>
            </w:r>
            <w:r w:rsidRPr="00261CE7">
              <w:rPr>
                <w:rFonts w:ascii="Arial Mäori" w:hAnsi="Arial Mäori"/>
                <w:szCs w:val="22"/>
              </w:rPr>
              <w:t>CIO’s risk assessment tool for cloud-computing has been completed.</w:t>
            </w:r>
          </w:p>
          <w:p w14:paraId="2A11A1B6" w14:textId="77777777" w:rsidR="005D4F7C" w:rsidRPr="0002715E" w:rsidRDefault="004D121B" w:rsidP="00BA1D6A">
            <w:pPr>
              <w:tabs>
                <w:tab w:val="left" w:pos="4536"/>
              </w:tabs>
              <w:jc w:val="both"/>
              <w:rPr>
                <w:rFonts w:ascii="Arial Mäori" w:hAnsi="Arial Mäori"/>
                <w:szCs w:val="22"/>
              </w:rPr>
            </w:pPr>
            <w:r w:rsidRPr="0002715E">
              <w:rPr>
                <w:rFonts w:ascii="Arial Mäori" w:hAnsi="Arial Mäori"/>
                <w:szCs w:val="22"/>
              </w:rPr>
              <w:t>Whole-of-system penetration testing is scheduled to be carried May-June 2016.</w:t>
            </w:r>
          </w:p>
        </w:tc>
      </w:tr>
      <w:tr w:rsidR="005D4F7C" w:rsidRPr="0041080A" w14:paraId="3D4635A3" w14:textId="77777777" w:rsidTr="00BA1D6A">
        <w:trPr>
          <w:trHeight w:val="2089"/>
        </w:trPr>
        <w:tc>
          <w:tcPr>
            <w:tcW w:w="9498" w:type="dxa"/>
          </w:tcPr>
          <w:p w14:paraId="1647495F" w14:textId="77777777" w:rsidR="005D4F7C" w:rsidRPr="0041080A" w:rsidRDefault="005D4F7C" w:rsidP="00BA1D6A">
            <w:pPr>
              <w:tabs>
                <w:tab w:val="left" w:pos="4536"/>
              </w:tabs>
              <w:jc w:val="both"/>
              <w:rPr>
                <w:rFonts w:ascii="Arial Mäori" w:hAnsi="Arial Mäori"/>
                <w:b/>
                <w:szCs w:val="22"/>
              </w:rPr>
            </w:pPr>
            <w:r w:rsidRPr="0041080A">
              <w:rPr>
                <w:rFonts w:ascii="Arial Mäori" w:hAnsi="Arial Mäori"/>
                <w:b/>
                <w:szCs w:val="22"/>
              </w:rPr>
              <w:t>7. Interoperability and integration with postal voting system</w:t>
            </w:r>
          </w:p>
          <w:p w14:paraId="47D67BBB" w14:textId="77777777" w:rsidR="005D4F7C" w:rsidRDefault="005D4F7C" w:rsidP="00BA1D6A">
            <w:pPr>
              <w:tabs>
                <w:tab w:val="left" w:pos="4536"/>
              </w:tabs>
              <w:jc w:val="both"/>
              <w:rPr>
                <w:rFonts w:ascii="Arial Mäori" w:hAnsi="Arial Mäori"/>
                <w:i/>
                <w:szCs w:val="22"/>
              </w:rPr>
            </w:pPr>
            <w:r w:rsidRPr="0041080A">
              <w:rPr>
                <w:rFonts w:ascii="Arial Mäori" w:hAnsi="Arial Mäori"/>
                <w:i/>
                <w:szCs w:val="22"/>
              </w:rPr>
              <w:t>Are all components of the online voting system interoperable and does the online voting system integrate with postal voting?</w:t>
            </w:r>
          </w:p>
          <w:p w14:paraId="0A559F73" w14:textId="77777777" w:rsidR="005D4F7C" w:rsidRPr="0041080A" w:rsidRDefault="005D4F7C" w:rsidP="00BA1D6A">
            <w:pPr>
              <w:tabs>
                <w:tab w:val="left" w:pos="4536"/>
              </w:tabs>
              <w:jc w:val="both"/>
              <w:rPr>
                <w:rFonts w:ascii="Arial Mäori" w:hAnsi="Arial Mäori"/>
                <w:szCs w:val="22"/>
              </w:rPr>
            </w:pPr>
          </w:p>
          <w:p w14:paraId="11D2A6CB" w14:textId="77777777" w:rsidR="005D4F7C" w:rsidRDefault="005D4F7C" w:rsidP="00BA1D6A">
            <w:pPr>
              <w:tabs>
                <w:tab w:val="left" w:pos="4536"/>
              </w:tabs>
              <w:jc w:val="both"/>
              <w:rPr>
                <w:rFonts w:ascii="Arial Mäori" w:hAnsi="Arial Mäori"/>
                <w:szCs w:val="22"/>
              </w:rPr>
            </w:pPr>
            <w:r w:rsidRPr="0041080A">
              <w:rPr>
                <w:rFonts w:ascii="Arial Mäori" w:hAnsi="Arial Mäori"/>
                <w:b/>
                <w:szCs w:val="22"/>
              </w:rPr>
              <w:t xml:space="preserve">Overall Comment: </w:t>
            </w:r>
            <w:r w:rsidRPr="0041080A">
              <w:rPr>
                <w:rFonts w:ascii="Arial Mäori" w:hAnsi="Arial Mäori"/>
                <w:szCs w:val="22"/>
              </w:rPr>
              <w:t xml:space="preserve">As with many of the other requirements, </w:t>
            </w:r>
            <w:r>
              <w:rPr>
                <w:rFonts w:ascii="Arial Mäori" w:hAnsi="Arial Mäori"/>
                <w:szCs w:val="22"/>
              </w:rPr>
              <w:t xml:space="preserve">officials </w:t>
            </w:r>
            <w:r w:rsidRPr="0041080A">
              <w:rPr>
                <w:rFonts w:ascii="Arial Mäori" w:hAnsi="Arial Mäori"/>
                <w:szCs w:val="22"/>
              </w:rPr>
              <w:t xml:space="preserve">are unable to confirm interoperability requirements are met, due to the lack of information provided, in the case of </w:t>
            </w:r>
            <w:r>
              <w:rPr>
                <w:rFonts w:ascii="Arial Mäori" w:hAnsi="Arial Mäori"/>
                <w:szCs w:val="22"/>
              </w:rPr>
              <w:t xml:space="preserve">some </w:t>
            </w:r>
            <w:r w:rsidRPr="0041080A">
              <w:rPr>
                <w:rFonts w:ascii="Arial Mäori" w:hAnsi="Arial Mäori"/>
                <w:szCs w:val="22"/>
              </w:rPr>
              <w:t xml:space="preserve">councils, </w:t>
            </w:r>
            <w:r>
              <w:rPr>
                <w:rFonts w:ascii="Arial Mäori" w:hAnsi="Arial Mäori"/>
                <w:szCs w:val="22"/>
              </w:rPr>
              <w:t xml:space="preserve">because </w:t>
            </w:r>
            <w:r w:rsidRPr="0041080A">
              <w:rPr>
                <w:rFonts w:ascii="Arial Mäori" w:hAnsi="Arial Mäori"/>
                <w:szCs w:val="22"/>
              </w:rPr>
              <w:t>independent testing has not yet been carried out.</w:t>
            </w:r>
          </w:p>
          <w:p w14:paraId="59556D12" w14:textId="77777777" w:rsidR="005D4F7C" w:rsidRPr="0041080A" w:rsidRDefault="005D4F7C" w:rsidP="00BA1D6A">
            <w:pPr>
              <w:tabs>
                <w:tab w:val="left" w:pos="4536"/>
              </w:tabs>
              <w:jc w:val="both"/>
              <w:rPr>
                <w:rFonts w:ascii="Arial Mäori" w:hAnsi="Arial Mäori"/>
                <w:szCs w:val="22"/>
              </w:rPr>
            </w:pPr>
          </w:p>
        </w:tc>
      </w:tr>
    </w:tbl>
    <w:p w14:paraId="49848FD9" w14:textId="77777777" w:rsidR="005D4F7C" w:rsidRPr="0041080A" w:rsidRDefault="005D4F7C" w:rsidP="005D4F7C">
      <w:pPr>
        <w:rPr>
          <w:rFonts w:ascii="Arial Mäori" w:hAnsi="Arial Mäori"/>
        </w:rPr>
      </w:pPr>
      <w:r>
        <w:rPr>
          <w:rFonts w:ascii="Arial Mäori" w:hAnsi="Arial Mäori"/>
          <w:szCs w:val="22"/>
        </w:rPr>
        <w:t xml:space="preserve"> </w:t>
      </w:r>
      <w:r w:rsidRPr="0041080A">
        <w:rPr>
          <w:rFonts w:ascii="Arial Mäori" w:hAnsi="Arial Mäori"/>
          <w:szCs w:val="22"/>
        </w:rPr>
        <w:t xml:space="preserve"> </w:t>
      </w:r>
    </w:p>
    <w:p w14:paraId="7D8F454E" w14:textId="77777777" w:rsidR="00FD1A1E" w:rsidRPr="00FD1A1E" w:rsidRDefault="00FD1A1E" w:rsidP="00FD1A1E"/>
    <w:sectPr w:rsidR="00FD1A1E" w:rsidRPr="00FD1A1E" w:rsidSect="00FD78BF">
      <w:headerReference w:type="even" r:id="rId14"/>
      <w:headerReference w:type="default" r:id="rId15"/>
      <w:footerReference w:type="default" r:id="rId16"/>
      <w:headerReference w:type="first" r:id="rId17"/>
      <w:pgSz w:w="11907" w:h="16840" w:code="9"/>
      <w:pgMar w:top="1418" w:right="1418" w:bottom="992" w:left="1418" w:header="425" w:footer="635"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F5519" w14:textId="77777777" w:rsidR="0063121F" w:rsidRDefault="0063121F">
      <w:r>
        <w:separator/>
      </w:r>
    </w:p>
    <w:p w14:paraId="48C0889B" w14:textId="77777777" w:rsidR="0063121F" w:rsidRDefault="0063121F"/>
    <w:p w14:paraId="1D458B10" w14:textId="77777777" w:rsidR="0063121F" w:rsidRDefault="0063121F"/>
  </w:endnote>
  <w:endnote w:type="continuationSeparator" w:id="0">
    <w:p w14:paraId="352164F4" w14:textId="77777777" w:rsidR="0063121F" w:rsidRDefault="0063121F">
      <w:r>
        <w:continuationSeparator/>
      </w:r>
    </w:p>
    <w:p w14:paraId="5D2AB0B1" w14:textId="77777777" w:rsidR="0063121F" w:rsidRDefault="0063121F"/>
    <w:p w14:paraId="49C95E27" w14:textId="77777777" w:rsidR="0063121F" w:rsidRDefault="006312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Mäori">
    <w:altName w:val="Arial"/>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16F92" w14:textId="77777777" w:rsidR="00A8658A" w:rsidRDefault="00A86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9B72" w14:textId="77777777" w:rsidR="00A0279D" w:rsidRDefault="002D38AA" w:rsidP="002D38AA">
    <w:pPr>
      <w:pStyle w:val="Footer"/>
      <w:tabs>
        <w:tab w:val="right" w:pos="9071"/>
      </w:tabs>
      <w:ind w:right="-1"/>
    </w:pPr>
    <w:r>
      <w:tab/>
    </w:r>
    <w:r w:rsidR="00A0279D">
      <w:t xml:space="preserve">Page </w:t>
    </w:r>
    <w:r w:rsidR="00A0279D">
      <w:fldChar w:fldCharType="begin"/>
    </w:r>
    <w:r w:rsidR="00A0279D">
      <w:instrText xml:space="preserve"> PAGE  \* Arabic  \* MERGEFORMAT </w:instrText>
    </w:r>
    <w:r w:rsidR="00A0279D">
      <w:fldChar w:fldCharType="separate"/>
    </w:r>
    <w:r w:rsidR="00A8658A">
      <w:rPr>
        <w:noProof/>
      </w:rPr>
      <w:t>3</w:t>
    </w:r>
    <w:r w:rsidR="00A0279D">
      <w:fldChar w:fldCharType="end"/>
    </w:r>
    <w:r w:rsidR="00A0279D">
      <w:t xml:space="preserve"> of </w:t>
    </w:r>
    <w:fldSimple w:instr=" NUMPAGES   \* MERGEFORMAT ">
      <w:r w:rsidR="00A8658A">
        <w:rPr>
          <w:noProof/>
        </w:rPr>
        <w:t>9</w:t>
      </w:r>
    </w:fldSimple>
  </w:p>
  <w:p w14:paraId="0BF325C1" w14:textId="77777777" w:rsidR="00816E30" w:rsidRDefault="00816E30" w:rsidP="00A0279D">
    <w:pPr>
      <w:pStyle w:val="Footer"/>
      <w:tabs>
        <w:tab w:val="right" w:pos="9071"/>
      </w:tabs>
      <w:ind w:right="-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32F1A" w14:textId="77777777" w:rsidR="00A8658A" w:rsidRDefault="00A865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983359"/>
      <w:docPartObj>
        <w:docPartGallery w:val="Page Numbers (Bottom of Page)"/>
        <w:docPartUnique/>
      </w:docPartObj>
    </w:sdtPr>
    <w:sdtEndPr>
      <w:rPr>
        <w:noProof/>
      </w:rPr>
    </w:sdtEndPr>
    <w:sdtContent>
      <w:p w14:paraId="0280D57E" w14:textId="77777777" w:rsidR="00000000" w:rsidRDefault="0067554C">
        <w:pPr>
          <w:pStyle w:val="Footer"/>
          <w:jc w:val="center"/>
        </w:pPr>
        <w:r>
          <w:fldChar w:fldCharType="begin"/>
        </w:r>
        <w:r>
          <w:instrText xml:space="preserve"> PAGE   \* MERGEFORMAT </w:instrText>
        </w:r>
        <w:r>
          <w:fldChar w:fldCharType="separate"/>
        </w:r>
        <w:r w:rsidR="00A8658A">
          <w:rPr>
            <w:noProof/>
          </w:rPr>
          <w:t>i</w:t>
        </w:r>
        <w:r>
          <w:rPr>
            <w:noProof/>
          </w:rPr>
          <w:fldChar w:fldCharType="end"/>
        </w:r>
      </w:p>
    </w:sdtContent>
  </w:sdt>
  <w:p w14:paraId="238AF726" w14:textId="77777777" w:rsidR="00000000" w:rsidRDefault="00000000" w:rsidP="00126FDE">
    <w:pPr>
      <w:pStyle w:val="Footer"/>
      <w:tabs>
        <w:tab w:val="right" w:pos="9071"/>
      </w:tabs>
      <w:ind w:righ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67601" w14:textId="77777777" w:rsidR="0063121F" w:rsidRDefault="0063121F" w:rsidP="00C347BF">
      <w:pPr>
        <w:pStyle w:val="Spacer"/>
      </w:pPr>
      <w:r>
        <w:separator/>
      </w:r>
    </w:p>
  </w:footnote>
  <w:footnote w:type="continuationSeparator" w:id="0">
    <w:p w14:paraId="2BC57771" w14:textId="77777777" w:rsidR="0063121F" w:rsidRDefault="0063121F">
      <w:r>
        <w:continuationSeparator/>
      </w:r>
    </w:p>
    <w:p w14:paraId="5183FA4C" w14:textId="77777777" w:rsidR="0063121F" w:rsidRDefault="0063121F"/>
    <w:p w14:paraId="4F26240E" w14:textId="77777777" w:rsidR="0063121F" w:rsidRDefault="0063121F"/>
  </w:footnote>
  <w:footnote w:id="1">
    <w:p w14:paraId="21FBDD49" w14:textId="77777777" w:rsidR="00601123" w:rsidRDefault="00601123" w:rsidP="00601123">
      <w:pPr>
        <w:pStyle w:val="FootnoteText"/>
      </w:pPr>
      <w:r>
        <w:rPr>
          <w:rStyle w:val="FootnoteReference"/>
        </w:rPr>
        <w:footnoteRef/>
      </w:r>
      <w:r>
        <w:t xml:space="preserve"> The Working Party’s Terms of Reference were explicit in making Parliamentary elections out of scope.  The initiative under consideration is not intended to be a precursor to the introduction of online voting at General Elections. </w:t>
      </w:r>
    </w:p>
  </w:footnote>
  <w:footnote w:id="2">
    <w:p w14:paraId="5664F47D" w14:textId="77777777" w:rsidR="00FD4D70" w:rsidRDefault="00FD4D70" w:rsidP="00FD4D70">
      <w:pPr>
        <w:pStyle w:val="FootnoteText"/>
      </w:pPr>
      <w:r>
        <w:rPr>
          <w:rStyle w:val="FootnoteReference"/>
        </w:rPr>
        <w:footnoteRef/>
      </w:r>
      <w:r>
        <w:t xml:space="preserve"> By section 139(2) of </w:t>
      </w:r>
      <w:r w:rsidRPr="00A20BB5">
        <w:t>the Local Electoral Act 2001</w:t>
      </w:r>
      <w:r>
        <w:t>, the statutory precondition that must be met for a trial of online voting to proceed is for the responsible Minister to be satisfied that the voting method</w:t>
      </w:r>
      <w:r w:rsidRPr="00A20BB5">
        <w:t xml:space="preserve"> will be able to operate in a manner consistent with the principles set out in that Act</w:t>
      </w:r>
      <w:r>
        <w:t>. The relevant principles relate to ensuring public confidence in and understanding of local electoral processes, protecting freedom of choice of voters and the secrecy of the vote, and transparent voting methods and procedures that produce certainty in electoral outcomes. The trial requirements aim to ensure these principles are met.</w:t>
      </w:r>
    </w:p>
  </w:footnote>
  <w:footnote w:id="3">
    <w:p w14:paraId="7A04375F" w14:textId="77777777" w:rsidR="00B76BF1" w:rsidRDefault="00B76BF1">
      <w:pPr>
        <w:pStyle w:val="FootnoteText"/>
      </w:pPr>
      <w:r>
        <w:rPr>
          <w:rStyle w:val="FootnoteReference"/>
        </w:rPr>
        <w:footnoteRef/>
      </w:r>
      <w:r>
        <w:t xml:space="preserve"> </w:t>
      </w:r>
      <w:r w:rsidR="00854DBE">
        <w:t>It is important to note that t</w:t>
      </w:r>
      <w:r>
        <w:t>he blind and visually impaired community have expressed dissatisfaction</w:t>
      </w:r>
      <w:r w:rsidR="00854DBE">
        <w:t xml:space="preserve"> with the voting experience in local elections,</w:t>
      </w:r>
      <w:r w:rsidR="00F459E0">
        <w:t xml:space="preserve"> </w:t>
      </w:r>
      <w:r w:rsidR="00A71C79" w:rsidRPr="00A71C79">
        <w:t>because of</w:t>
      </w:r>
      <w:r w:rsidR="00F459E0">
        <w:t xml:space="preserve"> </w:t>
      </w:r>
      <w:r w:rsidR="00854DBE">
        <w:t xml:space="preserve">security </w:t>
      </w:r>
      <w:r w:rsidR="00A71C79">
        <w:t xml:space="preserve">and privacy </w:t>
      </w:r>
      <w:r w:rsidR="00854DBE">
        <w:t xml:space="preserve">concerns </w:t>
      </w:r>
      <w:r w:rsidR="00F459E0">
        <w:t>associated with</w:t>
      </w:r>
      <w:r w:rsidR="00854DBE">
        <w:t xml:space="preserve"> </w:t>
      </w:r>
      <w:r w:rsidR="00F459E0">
        <w:t>assisted voting.</w:t>
      </w:r>
    </w:p>
  </w:footnote>
  <w:footnote w:id="4">
    <w:p w14:paraId="0ECD4129" w14:textId="77777777" w:rsidR="00A76038" w:rsidRDefault="00A76038" w:rsidP="00A76038">
      <w:pPr>
        <w:pStyle w:val="FootnoteText"/>
      </w:pPr>
      <w:r>
        <w:rPr>
          <w:rStyle w:val="FootnoteReference"/>
        </w:rPr>
        <w:footnoteRef/>
      </w:r>
      <w:r>
        <w:t xml:space="preserve"> </w:t>
      </w:r>
      <w:proofErr w:type="spellStart"/>
      <w:r w:rsidRPr="00A76038">
        <w:t>InternetNZ</w:t>
      </w:r>
      <w:proofErr w:type="spellEnd"/>
      <w:r w:rsidRPr="00A76038">
        <w:t xml:space="preserve"> is a non-profit organisation </w:t>
      </w:r>
      <w:r>
        <w:t>that</w:t>
      </w:r>
      <w:r w:rsidRPr="00A76038">
        <w:t xml:space="preserve"> promote</w:t>
      </w:r>
      <w:r>
        <w:t>s</w:t>
      </w:r>
      <w:r w:rsidRPr="00A76038">
        <w:t xml:space="preserve"> the internet’s benefits and </w:t>
      </w:r>
      <w:proofErr w:type="gramStart"/>
      <w:r w:rsidRPr="00A76038">
        <w:t>uses, and</w:t>
      </w:r>
      <w:proofErr w:type="gramEnd"/>
      <w:r w:rsidRPr="00A76038">
        <w:t xml:space="preserve"> protect</w:t>
      </w:r>
      <w:r w:rsidR="00B22A22">
        <w:t>s</w:t>
      </w:r>
      <w:r w:rsidRPr="00A76038">
        <w:t xml:space="preserve"> its potential. </w:t>
      </w:r>
      <w:proofErr w:type="spellStart"/>
      <w:r w:rsidRPr="00A76038">
        <w:t>InternetNZ</w:t>
      </w:r>
      <w:proofErr w:type="spellEnd"/>
      <w:r w:rsidRPr="00A76038">
        <w:t xml:space="preserve"> was represented on the </w:t>
      </w:r>
      <w:r>
        <w:t>Online Voting W</w:t>
      </w:r>
      <w:r w:rsidRPr="00A76038">
        <w:t xml:space="preserve">orking Party referred to </w:t>
      </w:r>
      <w:r w:rsidR="00B21A4A">
        <w:t xml:space="preserve">in </w:t>
      </w:r>
      <w:r w:rsidRPr="00A76038">
        <w:t>paragraph 6.</w:t>
      </w:r>
    </w:p>
  </w:footnote>
  <w:footnote w:id="5">
    <w:p w14:paraId="734968EE" w14:textId="77777777" w:rsidR="00D41289" w:rsidRDefault="00D41289" w:rsidP="00D41289">
      <w:pPr>
        <w:pStyle w:val="FootnoteText"/>
      </w:pPr>
      <w:r>
        <w:rPr>
          <w:rStyle w:val="FootnoteReference"/>
        </w:rPr>
        <w:footnoteRef/>
      </w:r>
      <w:r>
        <w:t xml:space="preserve"> </w:t>
      </w:r>
      <w:r w:rsidRPr="00A85A0C">
        <w:rPr>
          <w:bCs/>
        </w:rPr>
        <w:t>A bug bounty is a testing process that involves offering a reward for finding and reporting a bug in a particular software product. Many IT companies (including Google, Microsoft and Facebook) offer bug bounties to drive product improvement and get more practical feedback (particularly in relation to exploits and vulnerabilit</w:t>
      </w:r>
      <w:r>
        <w:rPr>
          <w:bCs/>
        </w:rPr>
        <w:t xml:space="preserve">ies) from end users and clients. The </w:t>
      </w:r>
      <w:r>
        <w:t xml:space="preserve">reason a bug bounty is considered effective over and above </w:t>
      </w:r>
      <w:r>
        <w:rPr>
          <w:bCs/>
        </w:rPr>
        <w:t>security measures such as penetration testing</w:t>
      </w:r>
      <w:r>
        <w:t xml:space="preserve"> is because of the different incentives involved; a bug bounty provides tangible rewards whereas security experts are being contracted to carry out a service.</w:t>
      </w:r>
    </w:p>
  </w:footnote>
  <w:footnote w:id="6">
    <w:p w14:paraId="624B64A6" w14:textId="77777777" w:rsidR="005D4F7C" w:rsidRDefault="005D4F7C" w:rsidP="005D4F7C">
      <w:pPr>
        <w:pStyle w:val="FootnoteText"/>
      </w:pPr>
      <w:r>
        <w:rPr>
          <w:rStyle w:val="FootnoteReference"/>
        </w:rPr>
        <w:footnoteRef/>
      </w:r>
      <w:r>
        <w:t xml:space="preserve"> The Protective Security Requirements framework includes, as a key component, the New Zealand Information Security Manual, but is broader </w:t>
      </w:r>
      <w:proofErr w:type="gramStart"/>
      <w:r>
        <w:t>and also</w:t>
      </w:r>
      <w:proofErr w:type="gramEnd"/>
      <w:r>
        <w:t xml:space="preserve"> considers physical and personnel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B4027" w14:textId="77777777" w:rsidR="00A8658A" w:rsidRDefault="00000000">
    <w:pPr>
      <w:pStyle w:val="Header"/>
    </w:pPr>
    <w:r>
      <w:rPr>
        <w:noProof/>
      </w:rPr>
      <w:pict w14:anchorId="4AAB1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969114" o:spid="_x0000_s1026" type="#_x0000_t136" style="position:absolute;margin-left:0;margin-top:0;width:644.25pt;height:80.25pt;rotation:315;z-index:-251655168;mso-position-horizontal:center;mso-position-horizontal-relative:margin;mso-position-vertical:center;mso-position-vertical-relative:margin" o:allowincell="f" fillcolor="red" stroked="f">
          <v:fill opacity=".5"/>
          <v:textpath style="font-family:&quot;Arial&quot;;font-size:1in" string="Proactively releas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F340A" w14:textId="77777777" w:rsidR="00816E30" w:rsidRPr="002D38AA" w:rsidRDefault="00000000" w:rsidP="002D38AA">
    <w:pPr>
      <w:pStyle w:val="Headerforcabinetpapers"/>
    </w:pPr>
    <w:r>
      <w:rPr>
        <w:noProof/>
      </w:rPr>
      <w:pict w14:anchorId="21DAC6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969115" o:spid="_x0000_s1027" type="#_x0000_t136" style="position:absolute;left:0;text-align:left;margin-left:0;margin-top:0;width:644.25pt;height:80.25pt;rotation:315;z-index:-251653120;mso-position-horizontal:center;mso-position-horizontal-relative:margin;mso-position-vertical:center;mso-position-vertical-relative:margin" o:allowincell="f" fillcolor="red" stroked="f">
          <v:fill opacity=".5"/>
          <v:textpath style="font-family:&quot;Arial&quot;;font-size:1in" string="Proactively released"/>
          <w10:wrap anchorx="margin" anchory="margin"/>
        </v:shape>
      </w:pict>
    </w:r>
    <w:r w:rsidR="00AA559E">
      <w:t>iN-cONFIDENCE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428AA" w14:textId="77777777" w:rsidR="00C64BA9" w:rsidRPr="00C64BA9" w:rsidRDefault="00000000" w:rsidP="00C64BA9">
    <w:pPr>
      <w:pStyle w:val="Header"/>
      <w:tabs>
        <w:tab w:val="center" w:pos="4536"/>
      </w:tabs>
      <w:rPr>
        <w:rStyle w:val="Footersecurityclassification"/>
        <w:i/>
      </w:rPr>
    </w:pPr>
    <w:r>
      <w:rPr>
        <w:noProof/>
      </w:rPr>
      <w:pict w14:anchorId="60FEC8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969113" o:spid="_x0000_s1025" type="#_x0000_t136" style="position:absolute;margin-left:0;margin-top:0;width:644.25pt;height:80.25pt;rotation:315;z-index:-251657216;mso-position-horizontal:center;mso-position-horizontal-relative:margin;mso-position-vertical:center;mso-position-vertical-relative:margin" o:allowincell="f" fillcolor="red" stroked="f">
          <v:fill opacity=".5"/>
          <v:textpath style="font-family:&quot;Arial&quot;;font-size:1in" string="Proactively released"/>
          <w10:wrap anchorx="margin" anchory="margin"/>
        </v:shape>
      </w:pict>
    </w:r>
    <w:r w:rsidR="00C64BA9">
      <w:rPr>
        <w:rStyle w:val="Footersecurityclassification"/>
        <w:i/>
      </w:rPr>
      <w:tab/>
    </w:r>
    <w:r w:rsidR="00C64BA9" w:rsidRPr="00C64BA9">
      <w:rPr>
        <w:rStyle w:val="Footersecurityclassification"/>
      </w:rPr>
      <w:t>&lt;insert security classification&gt;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C7A15" w14:textId="77777777" w:rsidR="00A8658A" w:rsidRDefault="00000000">
    <w:pPr>
      <w:pStyle w:val="Header"/>
    </w:pPr>
    <w:r>
      <w:rPr>
        <w:noProof/>
      </w:rPr>
      <w:pict w14:anchorId="2953AF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969117" o:spid="_x0000_s1029" type="#_x0000_t136" style="position:absolute;margin-left:0;margin-top:0;width:644.25pt;height:80.25pt;rotation:315;z-index:-251649024;mso-position-horizontal:center;mso-position-horizontal-relative:margin;mso-position-vertical:center;mso-position-vertical-relative:margin" o:allowincell="f" fillcolor="red" stroked="f">
          <v:fill opacity=".5"/>
          <v:textpath style="font-family:&quot;Arial&quot;;font-size:1in" string="Proactively releas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B3B6B" w14:textId="77777777" w:rsidR="00000000" w:rsidRPr="0041080A" w:rsidRDefault="00000000" w:rsidP="0041080A">
    <w:pPr>
      <w:pStyle w:val="Header"/>
      <w:tabs>
        <w:tab w:val="right" w:pos="9072"/>
      </w:tabs>
      <w:jc w:val="right"/>
      <w:rPr>
        <w:rFonts w:ascii="Arial Mäori" w:hAnsi="Arial Mäori"/>
        <w:b/>
        <w:sz w:val="32"/>
        <w:szCs w:val="32"/>
      </w:rPr>
    </w:pPr>
    <w:r>
      <w:rPr>
        <w:noProof/>
      </w:rPr>
      <w:pict w14:anchorId="0A6EC9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969118" o:spid="_x0000_s1030" type="#_x0000_t136" style="position:absolute;left:0;text-align:left;margin-left:0;margin-top:0;width:644.25pt;height:80.25pt;rotation:315;z-index:-251646976;mso-position-horizontal:center;mso-position-horizontal-relative:margin;mso-position-vertical:center;mso-position-vertical-relative:margin" o:allowincell="f" fillcolor="red" stroked="f">
          <v:fill opacity=".5"/>
          <v:textpath style="font-family:&quot;Arial&quot;;font-size:1in" string="Proactively released"/>
          <w10:wrap anchorx="margin" anchory="margin"/>
        </v:shape>
      </w:pict>
    </w:r>
    <w:r w:rsidR="0067554C">
      <w:rPr>
        <w:rFonts w:ascii="Arial Mäori" w:hAnsi="Arial Mäori"/>
        <w:b/>
        <w:sz w:val="32"/>
        <w:szCs w:val="32"/>
      </w:rPr>
      <w:t>APPENDIX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A32D0" w14:textId="77777777" w:rsidR="00A8658A" w:rsidRDefault="00000000">
    <w:pPr>
      <w:pStyle w:val="Header"/>
    </w:pPr>
    <w:r>
      <w:rPr>
        <w:noProof/>
      </w:rPr>
      <w:pict w14:anchorId="57458B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969116" o:spid="_x0000_s1028" type="#_x0000_t136" style="position:absolute;margin-left:0;margin-top:0;width:644.25pt;height:80.25pt;rotation:315;z-index:-251651072;mso-position-horizontal:center;mso-position-horizontal-relative:margin;mso-position-vertical:center;mso-position-vertical-relative:margin" o:allowincell="f" fillcolor="red" stroked="f">
          <v:fill opacity=".5"/>
          <v:textpath style="font-family:&quot;Arial&quot;;font-size:1in" string="Proactively releas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0"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1" w15:restartNumberingAfterBreak="0">
    <w:nsid w:val="189428BA"/>
    <w:multiLevelType w:val="hybridMultilevel"/>
    <w:tmpl w:val="EBBC27CC"/>
    <w:lvl w:ilvl="0" w:tplc="8BF84A90">
      <w:start w:val="1"/>
      <w:numFmt w:val="bullet"/>
      <w:pStyle w:val="ListParagraph"/>
      <w:lvlText w:val=""/>
      <w:lvlJc w:val="left"/>
      <w:pPr>
        <w:ind w:left="1287" w:hanging="360"/>
      </w:pPr>
      <w:rPr>
        <w:rFonts w:ascii="Symbol" w:hAnsi="Symbol" w:hint="default"/>
        <w:sz w:val="18"/>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2"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3" w15:restartNumberingAfterBreak="0">
    <w:nsid w:val="368F5832"/>
    <w:multiLevelType w:val="multilevel"/>
    <w:tmpl w:val="DBFC12CA"/>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C5EC6DBA"/>
    <w:lvl w:ilvl="0">
      <w:start w:val="1"/>
      <w:numFmt w:val="decimal"/>
      <w:pStyle w:val="Numberedpara3level1"/>
      <w:lvlText w:val="%1."/>
      <w:lvlJc w:val="left"/>
      <w:pPr>
        <w:tabs>
          <w:tab w:val="num" w:pos="567"/>
        </w:tabs>
        <w:ind w:left="567" w:hanging="567"/>
      </w:pPr>
      <w:rPr>
        <w:rFonts w:hint="default"/>
      </w:rPr>
    </w:lvl>
    <w:lvl w:ilvl="1">
      <w:start w:val="1"/>
      <w:numFmt w:val="decimal"/>
      <w:pStyle w:val="Numberedpara3level211"/>
      <w:lvlText w:val="%1.%2"/>
      <w:lvlJc w:val="left"/>
      <w:pPr>
        <w:ind w:left="924" w:hanging="357"/>
      </w:pPr>
      <w:rPr>
        <w:rFonts w:hint="default"/>
      </w:rPr>
    </w:lvl>
    <w:lvl w:ilvl="2">
      <w:start w:val="1"/>
      <w:numFmt w:val="decimal"/>
      <w:pStyle w:val="Numberedpara3level3111"/>
      <w:lvlText w:val="%1.%2.%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23A6A42"/>
    <w:multiLevelType w:val="hybridMultilevel"/>
    <w:tmpl w:val="AB045876"/>
    <w:lvl w:ilvl="0" w:tplc="3C7CAA12">
      <w:start w:val="1"/>
      <w:numFmt w:val="lowerLetter"/>
      <w:lvlText w:val="%1)"/>
      <w:lvlJc w:val="left"/>
      <w:pPr>
        <w:ind w:left="927" w:hanging="360"/>
      </w:pPr>
      <w:rPr>
        <w:rFonts w:asciiTheme="minorHAnsi" w:hAnsiTheme="minorHAnsi" w:hint="default"/>
        <w:i w:val="0"/>
        <w:sz w:val="24"/>
      </w:rPr>
    </w:lvl>
    <w:lvl w:ilvl="1" w:tplc="14090001">
      <w:start w:val="1"/>
      <w:numFmt w:val="bullet"/>
      <w:lvlText w:val=""/>
      <w:lvlJc w:val="left"/>
      <w:pPr>
        <w:ind w:left="1647" w:hanging="360"/>
      </w:pPr>
      <w:rPr>
        <w:rFonts w:ascii="Symbol" w:hAnsi="Symbol" w:hint="default"/>
      </w:r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7" w15:restartNumberingAfterBreak="0">
    <w:nsid w:val="4375199F"/>
    <w:multiLevelType w:val="multilevel"/>
    <w:tmpl w:val="4CB8B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AA71FDF"/>
    <w:multiLevelType w:val="multilevel"/>
    <w:tmpl w:val="AFD4CD20"/>
    <w:lvl w:ilvl="0">
      <w:start w:val="1"/>
      <w:numFmt w:val="decimal"/>
      <w:lvlText w:val="%1."/>
      <w:lvlJc w:val="left"/>
      <w:pPr>
        <w:tabs>
          <w:tab w:val="num" w:pos="567"/>
        </w:tabs>
        <w:ind w:left="567" w:hanging="567"/>
      </w:pPr>
      <w:rPr>
        <w:rFonts w:hint="default"/>
      </w:rPr>
    </w:lvl>
    <w:lvl w:ilvl="1">
      <w:start w:val="1"/>
      <w:numFmt w:val="bullet"/>
      <w:lvlText w:val=""/>
      <w:lvlJc w:val="left"/>
      <w:pPr>
        <w:ind w:left="924" w:hanging="357"/>
      </w:pPr>
      <w:rPr>
        <w:rFonts w:ascii="Symbol" w:hAnsi="Symbol" w:hint="default"/>
      </w:rPr>
    </w:lvl>
    <w:lvl w:ilvl="2">
      <w:start w:val="1"/>
      <w:numFmt w:val="decimal"/>
      <w:lvlText w:val="%1.%2.%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FD40A31"/>
    <w:multiLevelType w:val="multilevel"/>
    <w:tmpl w:val="D7E882D2"/>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3" w15:restartNumberingAfterBreak="0">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4"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5" w15:restartNumberingAfterBreak="0">
    <w:nsid w:val="6B2A7B0B"/>
    <w:multiLevelType w:val="multilevel"/>
    <w:tmpl w:val="807EF708"/>
    <w:lvl w:ilvl="0">
      <w:start w:val="1"/>
      <w:numFmt w:val="decimal"/>
      <w:pStyle w:val="List123"/>
      <w:lvlText w:val="%1."/>
      <w:lvlJc w:val="left"/>
      <w:pPr>
        <w:ind w:left="1134" w:hanging="567"/>
      </w:pPr>
      <w:rPr>
        <w:rFonts w:hint="default"/>
      </w:rPr>
    </w:lvl>
    <w:lvl w:ilvl="1">
      <w:start w:val="1"/>
      <w:numFmt w:val="decimal"/>
      <w:pStyle w:val="List123level2"/>
      <w:lvlText w:val="%1.%2"/>
      <w:lvlJc w:val="left"/>
      <w:pPr>
        <w:tabs>
          <w:tab w:val="num" w:pos="1304"/>
        </w:tabs>
        <w:ind w:left="1871" w:hanging="737"/>
      </w:pPr>
      <w:rPr>
        <w:rFonts w:hint="default"/>
      </w:rPr>
    </w:lvl>
    <w:lvl w:ilvl="2">
      <w:start w:val="1"/>
      <w:numFmt w:val="decimal"/>
      <w:pStyle w:val="List123level3"/>
      <w:lvlText w:val="%1.%2.%3"/>
      <w:lvlJc w:val="left"/>
      <w:pPr>
        <w:ind w:left="2778" w:hanging="90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6"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7"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405493278">
    <w:abstractNumId w:val="8"/>
  </w:num>
  <w:num w:numId="2" w16cid:durableId="1059599389">
    <w:abstractNumId w:val="7"/>
  </w:num>
  <w:num w:numId="3" w16cid:durableId="576476818">
    <w:abstractNumId w:val="6"/>
  </w:num>
  <w:num w:numId="4" w16cid:durableId="798230470">
    <w:abstractNumId w:val="5"/>
  </w:num>
  <w:num w:numId="5" w16cid:durableId="1123421335">
    <w:abstractNumId w:val="4"/>
  </w:num>
  <w:num w:numId="6" w16cid:durableId="1282958383">
    <w:abstractNumId w:val="3"/>
  </w:num>
  <w:num w:numId="7" w16cid:durableId="1339850531">
    <w:abstractNumId w:val="2"/>
  </w:num>
  <w:num w:numId="8" w16cid:durableId="707611391">
    <w:abstractNumId w:val="1"/>
  </w:num>
  <w:num w:numId="9" w16cid:durableId="761225070">
    <w:abstractNumId w:val="0"/>
  </w:num>
  <w:num w:numId="10" w16cid:durableId="964434841">
    <w:abstractNumId w:val="20"/>
  </w:num>
  <w:num w:numId="11" w16cid:durableId="102306600">
    <w:abstractNumId w:val="21"/>
  </w:num>
  <w:num w:numId="12" w16cid:durableId="1965883444">
    <w:abstractNumId w:val="15"/>
  </w:num>
  <w:num w:numId="13" w16cid:durableId="1817186874">
    <w:abstractNumId w:val="12"/>
  </w:num>
  <w:num w:numId="14" w16cid:durableId="1040587816">
    <w:abstractNumId w:val="22"/>
  </w:num>
  <w:num w:numId="15" w16cid:durableId="1441101377">
    <w:abstractNumId w:val="24"/>
  </w:num>
  <w:num w:numId="16" w16cid:durableId="2144346555">
    <w:abstractNumId w:val="26"/>
  </w:num>
  <w:num w:numId="17" w16cid:durableId="720909623">
    <w:abstractNumId w:val="9"/>
  </w:num>
  <w:num w:numId="18" w16cid:durableId="449204348">
    <w:abstractNumId w:val="13"/>
  </w:num>
  <w:num w:numId="19" w16cid:durableId="1694106816">
    <w:abstractNumId w:val="14"/>
  </w:num>
  <w:num w:numId="20" w16cid:durableId="1305046973">
    <w:abstractNumId w:val="11"/>
  </w:num>
  <w:num w:numId="21" w16cid:durableId="1882596035">
    <w:abstractNumId w:val="27"/>
  </w:num>
  <w:num w:numId="22" w16cid:durableId="1385909557">
    <w:abstractNumId w:val="25"/>
  </w:num>
  <w:num w:numId="23" w16cid:durableId="1517184212">
    <w:abstractNumId w:val="23"/>
  </w:num>
  <w:num w:numId="24" w16cid:durableId="1125390968">
    <w:abstractNumId w:val="18"/>
  </w:num>
  <w:num w:numId="25" w16cid:durableId="53621864">
    <w:abstractNumId w:val="14"/>
  </w:num>
  <w:num w:numId="26" w16cid:durableId="1630740322">
    <w:abstractNumId w:val="10"/>
  </w:num>
  <w:num w:numId="27" w16cid:durableId="1679429521">
    <w:abstractNumId w:val="14"/>
    <w:lvlOverride w:ilvl="0">
      <w:lvl w:ilvl="0">
        <w:start w:val="1"/>
        <w:numFmt w:val="decimal"/>
        <w:pStyle w:val="Numberedpara3level1"/>
        <w:lvlText w:val="%1."/>
        <w:lvlJc w:val="left"/>
        <w:pPr>
          <w:tabs>
            <w:tab w:val="num" w:pos="567"/>
          </w:tabs>
          <w:ind w:left="567" w:hanging="567"/>
        </w:pPr>
        <w:rPr>
          <w:rFonts w:hint="default"/>
        </w:rPr>
      </w:lvl>
    </w:lvlOverride>
    <w:lvlOverride w:ilvl="1">
      <w:lvl w:ilvl="1">
        <w:start w:val="1"/>
        <w:numFmt w:val="decimal"/>
        <w:pStyle w:val="Numberedpara3level211"/>
        <w:lvlText w:val="%1.%2"/>
        <w:lvlJc w:val="left"/>
        <w:pPr>
          <w:ind w:left="1304" w:hanging="737"/>
        </w:pPr>
        <w:rPr>
          <w:rFonts w:hint="default"/>
        </w:rPr>
      </w:lvl>
    </w:lvlOverride>
    <w:lvlOverride w:ilvl="2">
      <w:lvl w:ilvl="2">
        <w:start w:val="1"/>
        <w:numFmt w:val="decimal"/>
        <w:pStyle w:val="Numberedpara3level3111"/>
        <w:lvlText w:val="%1.%2.%3"/>
        <w:lvlJc w:val="left"/>
        <w:pPr>
          <w:ind w:left="2211" w:hanging="90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16cid:durableId="762725279">
    <w:abstractNumId w:val="16"/>
  </w:num>
  <w:num w:numId="29" w16cid:durableId="1133980802">
    <w:abstractNumId w:val="19"/>
  </w:num>
  <w:num w:numId="30" w16cid:durableId="1690912902">
    <w:abstractNumId w:val="17"/>
  </w:num>
  <w:num w:numId="31" w16cid:durableId="6754214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495973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59E"/>
    <w:rsid w:val="00003360"/>
    <w:rsid w:val="00005919"/>
    <w:rsid w:val="00013C2B"/>
    <w:rsid w:val="00015020"/>
    <w:rsid w:val="0001647B"/>
    <w:rsid w:val="00020010"/>
    <w:rsid w:val="0002243D"/>
    <w:rsid w:val="00025E45"/>
    <w:rsid w:val="0002715E"/>
    <w:rsid w:val="00034673"/>
    <w:rsid w:val="00036671"/>
    <w:rsid w:val="00036C43"/>
    <w:rsid w:val="00037226"/>
    <w:rsid w:val="000409E2"/>
    <w:rsid w:val="00044EA1"/>
    <w:rsid w:val="0005649A"/>
    <w:rsid w:val="000573CB"/>
    <w:rsid w:val="00063BB2"/>
    <w:rsid w:val="00065F18"/>
    <w:rsid w:val="0006644E"/>
    <w:rsid w:val="00067005"/>
    <w:rsid w:val="00076035"/>
    <w:rsid w:val="00077013"/>
    <w:rsid w:val="00091C3A"/>
    <w:rsid w:val="00095FD7"/>
    <w:rsid w:val="000C53EF"/>
    <w:rsid w:val="000D4168"/>
    <w:rsid w:val="000D61F6"/>
    <w:rsid w:val="000E12FE"/>
    <w:rsid w:val="000E3240"/>
    <w:rsid w:val="000E677B"/>
    <w:rsid w:val="000F4ADF"/>
    <w:rsid w:val="000F61AF"/>
    <w:rsid w:val="0010171C"/>
    <w:rsid w:val="00102FAD"/>
    <w:rsid w:val="00121870"/>
    <w:rsid w:val="00127B80"/>
    <w:rsid w:val="001350BE"/>
    <w:rsid w:val="00140ED2"/>
    <w:rsid w:val="00143E7C"/>
    <w:rsid w:val="00146319"/>
    <w:rsid w:val="0016433D"/>
    <w:rsid w:val="0017261D"/>
    <w:rsid w:val="0017450F"/>
    <w:rsid w:val="00184C0F"/>
    <w:rsid w:val="001A5F55"/>
    <w:rsid w:val="001A66C3"/>
    <w:rsid w:val="001A6F62"/>
    <w:rsid w:val="001B369D"/>
    <w:rsid w:val="001C0031"/>
    <w:rsid w:val="001C0C30"/>
    <w:rsid w:val="001D0111"/>
    <w:rsid w:val="001D5E46"/>
    <w:rsid w:val="001E64FC"/>
    <w:rsid w:val="001F598A"/>
    <w:rsid w:val="002007DF"/>
    <w:rsid w:val="00205FE8"/>
    <w:rsid w:val="00206BA3"/>
    <w:rsid w:val="00211A72"/>
    <w:rsid w:val="0021491D"/>
    <w:rsid w:val="00215160"/>
    <w:rsid w:val="002160F8"/>
    <w:rsid w:val="002224B4"/>
    <w:rsid w:val="002242D0"/>
    <w:rsid w:val="00226D5E"/>
    <w:rsid w:val="00230AE7"/>
    <w:rsid w:val="00237A3D"/>
    <w:rsid w:val="00240E83"/>
    <w:rsid w:val="002502D1"/>
    <w:rsid w:val="00260A17"/>
    <w:rsid w:val="0027035E"/>
    <w:rsid w:val="00270EEC"/>
    <w:rsid w:val="002806A2"/>
    <w:rsid w:val="00295069"/>
    <w:rsid w:val="00297CC7"/>
    <w:rsid w:val="002A194F"/>
    <w:rsid w:val="002A4BD9"/>
    <w:rsid w:val="002A4FE7"/>
    <w:rsid w:val="002A7DA4"/>
    <w:rsid w:val="002B1CEB"/>
    <w:rsid w:val="002D3125"/>
    <w:rsid w:val="002D38AA"/>
    <w:rsid w:val="002D4F42"/>
    <w:rsid w:val="002E59DC"/>
    <w:rsid w:val="002F1F36"/>
    <w:rsid w:val="0030084C"/>
    <w:rsid w:val="003039E1"/>
    <w:rsid w:val="003129BA"/>
    <w:rsid w:val="003148FC"/>
    <w:rsid w:val="00317066"/>
    <w:rsid w:val="00327062"/>
    <w:rsid w:val="00330820"/>
    <w:rsid w:val="003465C8"/>
    <w:rsid w:val="0035272A"/>
    <w:rsid w:val="00362821"/>
    <w:rsid w:val="0036480A"/>
    <w:rsid w:val="0036551E"/>
    <w:rsid w:val="0037016B"/>
    <w:rsid w:val="0037070C"/>
    <w:rsid w:val="00370FC0"/>
    <w:rsid w:val="00373206"/>
    <w:rsid w:val="003737ED"/>
    <w:rsid w:val="00375B80"/>
    <w:rsid w:val="00377352"/>
    <w:rsid w:val="00385C33"/>
    <w:rsid w:val="003A10DA"/>
    <w:rsid w:val="003A12C8"/>
    <w:rsid w:val="003A4010"/>
    <w:rsid w:val="003A6FFE"/>
    <w:rsid w:val="003A7695"/>
    <w:rsid w:val="003B3A23"/>
    <w:rsid w:val="003B6592"/>
    <w:rsid w:val="003C772C"/>
    <w:rsid w:val="003F2B58"/>
    <w:rsid w:val="003F5886"/>
    <w:rsid w:val="0040020C"/>
    <w:rsid w:val="00401CA0"/>
    <w:rsid w:val="00402827"/>
    <w:rsid w:val="0040700B"/>
    <w:rsid w:val="00407F54"/>
    <w:rsid w:val="00411341"/>
    <w:rsid w:val="00413966"/>
    <w:rsid w:val="00415CDB"/>
    <w:rsid w:val="004231DC"/>
    <w:rsid w:val="0042551E"/>
    <w:rsid w:val="00432B77"/>
    <w:rsid w:val="00433AD8"/>
    <w:rsid w:val="0044466C"/>
    <w:rsid w:val="004552A0"/>
    <w:rsid w:val="00457E34"/>
    <w:rsid w:val="00460A83"/>
    <w:rsid w:val="00460B3F"/>
    <w:rsid w:val="00464752"/>
    <w:rsid w:val="00464756"/>
    <w:rsid w:val="00473373"/>
    <w:rsid w:val="00476068"/>
    <w:rsid w:val="004763B3"/>
    <w:rsid w:val="00477619"/>
    <w:rsid w:val="00484044"/>
    <w:rsid w:val="00486E6E"/>
    <w:rsid w:val="004875DF"/>
    <w:rsid w:val="00487C1D"/>
    <w:rsid w:val="00494C6F"/>
    <w:rsid w:val="004A5823"/>
    <w:rsid w:val="004B0AAF"/>
    <w:rsid w:val="004B3924"/>
    <w:rsid w:val="004C4DDD"/>
    <w:rsid w:val="004C6953"/>
    <w:rsid w:val="004C7001"/>
    <w:rsid w:val="004D121B"/>
    <w:rsid w:val="004D1706"/>
    <w:rsid w:val="004D243F"/>
    <w:rsid w:val="004D5387"/>
    <w:rsid w:val="004D7473"/>
    <w:rsid w:val="004E6DF8"/>
    <w:rsid w:val="004F354D"/>
    <w:rsid w:val="00501C4B"/>
    <w:rsid w:val="005020D4"/>
    <w:rsid w:val="00510D73"/>
    <w:rsid w:val="00512ACB"/>
    <w:rsid w:val="0052216D"/>
    <w:rsid w:val="005237F9"/>
    <w:rsid w:val="0052453A"/>
    <w:rsid w:val="00526115"/>
    <w:rsid w:val="00533FAF"/>
    <w:rsid w:val="005366B6"/>
    <w:rsid w:val="005476DB"/>
    <w:rsid w:val="00554BCD"/>
    <w:rsid w:val="00560AAF"/>
    <w:rsid w:val="00561A97"/>
    <w:rsid w:val="00563DAC"/>
    <w:rsid w:val="00563F67"/>
    <w:rsid w:val="0056647E"/>
    <w:rsid w:val="005675E0"/>
    <w:rsid w:val="00570A71"/>
    <w:rsid w:val="00570C00"/>
    <w:rsid w:val="005751A4"/>
    <w:rsid w:val="00581D07"/>
    <w:rsid w:val="00581F29"/>
    <w:rsid w:val="0058206B"/>
    <w:rsid w:val="00585690"/>
    <w:rsid w:val="00591630"/>
    <w:rsid w:val="00595B33"/>
    <w:rsid w:val="0059662F"/>
    <w:rsid w:val="005972C8"/>
    <w:rsid w:val="005D3066"/>
    <w:rsid w:val="005D4F7C"/>
    <w:rsid w:val="005E2DB4"/>
    <w:rsid w:val="005E4B13"/>
    <w:rsid w:val="005E4C02"/>
    <w:rsid w:val="005F01DF"/>
    <w:rsid w:val="005F4CAD"/>
    <w:rsid w:val="005F76CC"/>
    <w:rsid w:val="005F7FF8"/>
    <w:rsid w:val="006004C4"/>
    <w:rsid w:val="00600CA4"/>
    <w:rsid w:val="00601123"/>
    <w:rsid w:val="00602416"/>
    <w:rsid w:val="006025CE"/>
    <w:rsid w:val="006041F2"/>
    <w:rsid w:val="006064F5"/>
    <w:rsid w:val="00617298"/>
    <w:rsid w:val="006253C8"/>
    <w:rsid w:val="0063121F"/>
    <w:rsid w:val="00637753"/>
    <w:rsid w:val="00642E3C"/>
    <w:rsid w:val="00650A8E"/>
    <w:rsid w:val="006612F0"/>
    <w:rsid w:val="00662716"/>
    <w:rsid w:val="0067554C"/>
    <w:rsid w:val="00676C9F"/>
    <w:rsid w:val="00677B13"/>
    <w:rsid w:val="00677F4E"/>
    <w:rsid w:val="00681A08"/>
    <w:rsid w:val="00685ECF"/>
    <w:rsid w:val="006875B8"/>
    <w:rsid w:val="00687CEA"/>
    <w:rsid w:val="00691EFA"/>
    <w:rsid w:val="00694E01"/>
    <w:rsid w:val="00695171"/>
    <w:rsid w:val="00695B75"/>
    <w:rsid w:val="006A1A95"/>
    <w:rsid w:val="006A38B7"/>
    <w:rsid w:val="006A3947"/>
    <w:rsid w:val="006A5C31"/>
    <w:rsid w:val="006B1CB2"/>
    <w:rsid w:val="006B1DD1"/>
    <w:rsid w:val="006B2024"/>
    <w:rsid w:val="006B3396"/>
    <w:rsid w:val="006C195E"/>
    <w:rsid w:val="006D638F"/>
    <w:rsid w:val="006D6C6B"/>
    <w:rsid w:val="006E0B2C"/>
    <w:rsid w:val="006E757A"/>
    <w:rsid w:val="006E7BF7"/>
    <w:rsid w:val="007068C8"/>
    <w:rsid w:val="00715B8F"/>
    <w:rsid w:val="00723B7C"/>
    <w:rsid w:val="0073106E"/>
    <w:rsid w:val="007330A1"/>
    <w:rsid w:val="0074367E"/>
    <w:rsid w:val="00755142"/>
    <w:rsid w:val="00756BB7"/>
    <w:rsid w:val="0075764B"/>
    <w:rsid w:val="00760C01"/>
    <w:rsid w:val="00761293"/>
    <w:rsid w:val="00766F7B"/>
    <w:rsid w:val="00767C04"/>
    <w:rsid w:val="00773639"/>
    <w:rsid w:val="007736A2"/>
    <w:rsid w:val="00795BE4"/>
    <w:rsid w:val="007A5696"/>
    <w:rsid w:val="007A6226"/>
    <w:rsid w:val="007A725A"/>
    <w:rsid w:val="007A7ABB"/>
    <w:rsid w:val="007B3C61"/>
    <w:rsid w:val="007C0697"/>
    <w:rsid w:val="007C54B9"/>
    <w:rsid w:val="007C62F1"/>
    <w:rsid w:val="007D1918"/>
    <w:rsid w:val="007D1FBE"/>
    <w:rsid w:val="007F03F2"/>
    <w:rsid w:val="008065D7"/>
    <w:rsid w:val="00813B14"/>
    <w:rsid w:val="00816E30"/>
    <w:rsid w:val="0082264B"/>
    <w:rsid w:val="00826AD9"/>
    <w:rsid w:val="0082765B"/>
    <w:rsid w:val="008352B1"/>
    <w:rsid w:val="00835BD7"/>
    <w:rsid w:val="008428E8"/>
    <w:rsid w:val="00843D71"/>
    <w:rsid w:val="00846F11"/>
    <w:rsid w:val="0084745A"/>
    <w:rsid w:val="00854DBE"/>
    <w:rsid w:val="00867E31"/>
    <w:rsid w:val="00870045"/>
    <w:rsid w:val="00876E5F"/>
    <w:rsid w:val="00877D9C"/>
    <w:rsid w:val="00881257"/>
    <w:rsid w:val="00884A12"/>
    <w:rsid w:val="00885053"/>
    <w:rsid w:val="00890CE4"/>
    <w:rsid w:val="00890D33"/>
    <w:rsid w:val="00891ED7"/>
    <w:rsid w:val="00897030"/>
    <w:rsid w:val="008A7B22"/>
    <w:rsid w:val="008B4767"/>
    <w:rsid w:val="008B7B54"/>
    <w:rsid w:val="008B7E9A"/>
    <w:rsid w:val="008C3187"/>
    <w:rsid w:val="008C5E4F"/>
    <w:rsid w:val="008C7417"/>
    <w:rsid w:val="008D1200"/>
    <w:rsid w:val="008D63B7"/>
    <w:rsid w:val="008D6A03"/>
    <w:rsid w:val="008D6CA7"/>
    <w:rsid w:val="008E6771"/>
    <w:rsid w:val="008E7FEE"/>
    <w:rsid w:val="008F31F5"/>
    <w:rsid w:val="008F3B32"/>
    <w:rsid w:val="008F5BC7"/>
    <w:rsid w:val="008F67F5"/>
    <w:rsid w:val="008F6BCE"/>
    <w:rsid w:val="00900D4B"/>
    <w:rsid w:val="009026AF"/>
    <w:rsid w:val="00905F9B"/>
    <w:rsid w:val="009062A5"/>
    <w:rsid w:val="009170B9"/>
    <w:rsid w:val="00921B38"/>
    <w:rsid w:val="00923A87"/>
    <w:rsid w:val="009263EC"/>
    <w:rsid w:val="00927482"/>
    <w:rsid w:val="00931650"/>
    <w:rsid w:val="00934303"/>
    <w:rsid w:val="00936FF5"/>
    <w:rsid w:val="0095112B"/>
    <w:rsid w:val="00952531"/>
    <w:rsid w:val="0095712A"/>
    <w:rsid w:val="009602B5"/>
    <w:rsid w:val="009672C6"/>
    <w:rsid w:val="009674E9"/>
    <w:rsid w:val="00973A6D"/>
    <w:rsid w:val="009865AA"/>
    <w:rsid w:val="009865D8"/>
    <w:rsid w:val="00987080"/>
    <w:rsid w:val="0098765A"/>
    <w:rsid w:val="00990136"/>
    <w:rsid w:val="009917BA"/>
    <w:rsid w:val="009968B0"/>
    <w:rsid w:val="009A2D0E"/>
    <w:rsid w:val="009A6CB2"/>
    <w:rsid w:val="009B0982"/>
    <w:rsid w:val="009B4C99"/>
    <w:rsid w:val="009C13FB"/>
    <w:rsid w:val="009D28CF"/>
    <w:rsid w:val="009D3391"/>
    <w:rsid w:val="009E5D36"/>
    <w:rsid w:val="009E606A"/>
    <w:rsid w:val="009E6375"/>
    <w:rsid w:val="009E7CA0"/>
    <w:rsid w:val="009F4CCF"/>
    <w:rsid w:val="00A0279D"/>
    <w:rsid w:val="00A04392"/>
    <w:rsid w:val="00A069CE"/>
    <w:rsid w:val="00A109D8"/>
    <w:rsid w:val="00A16003"/>
    <w:rsid w:val="00A167D7"/>
    <w:rsid w:val="00A20BB5"/>
    <w:rsid w:val="00A23860"/>
    <w:rsid w:val="00A23D39"/>
    <w:rsid w:val="00A23EC2"/>
    <w:rsid w:val="00A24FBB"/>
    <w:rsid w:val="00A3453E"/>
    <w:rsid w:val="00A35BE8"/>
    <w:rsid w:val="00A42ED2"/>
    <w:rsid w:val="00A44B33"/>
    <w:rsid w:val="00A44B8B"/>
    <w:rsid w:val="00A50E00"/>
    <w:rsid w:val="00A52529"/>
    <w:rsid w:val="00A53624"/>
    <w:rsid w:val="00A55EAF"/>
    <w:rsid w:val="00A5766B"/>
    <w:rsid w:val="00A7059D"/>
    <w:rsid w:val="00A71C79"/>
    <w:rsid w:val="00A75078"/>
    <w:rsid w:val="00A75B42"/>
    <w:rsid w:val="00A76038"/>
    <w:rsid w:val="00A77512"/>
    <w:rsid w:val="00A863E3"/>
    <w:rsid w:val="00A8658A"/>
    <w:rsid w:val="00A97BFB"/>
    <w:rsid w:val="00AA559E"/>
    <w:rsid w:val="00AB0BBC"/>
    <w:rsid w:val="00AB3A92"/>
    <w:rsid w:val="00AB478B"/>
    <w:rsid w:val="00AB47AC"/>
    <w:rsid w:val="00AB4AD9"/>
    <w:rsid w:val="00AD4F06"/>
    <w:rsid w:val="00AD6E77"/>
    <w:rsid w:val="00AD7A25"/>
    <w:rsid w:val="00AE2666"/>
    <w:rsid w:val="00AF3A5A"/>
    <w:rsid w:val="00AF3E15"/>
    <w:rsid w:val="00AF49F1"/>
    <w:rsid w:val="00AF5218"/>
    <w:rsid w:val="00B0480E"/>
    <w:rsid w:val="00B1026A"/>
    <w:rsid w:val="00B21166"/>
    <w:rsid w:val="00B21A4A"/>
    <w:rsid w:val="00B22A22"/>
    <w:rsid w:val="00B263AE"/>
    <w:rsid w:val="00B33A6C"/>
    <w:rsid w:val="00B35FFD"/>
    <w:rsid w:val="00B4363C"/>
    <w:rsid w:val="00B4493D"/>
    <w:rsid w:val="00B47091"/>
    <w:rsid w:val="00B5226F"/>
    <w:rsid w:val="00B52A58"/>
    <w:rsid w:val="00B56534"/>
    <w:rsid w:val="00B57A21"/>
    <w:rsid w:val="00B62C3E"/>
    <w:rsid w:val="00B645DE"/>
    <w:rsid w:val="00B65857"/>
    <w:rsid w:val="00B66698"/>
    <w:rsid w:val="00B745DC"/>
    <w:rsid w:val="00B76BF1"/>
    <w:rsid w:val="00B7719E"/>
    <w:rsid w:val="00B84350"/>
    <w:rsid w:val="00B855A6"/>
    <w:rsid w:val="00B91098"/>
    <w:rsid w:val="00B91904"/>
    <w:rsid w:val="00B92735"/>
    <w:rsid w:val="00B969ED"/>
    <w:rsid w:val="00BA029C"/>
    <w:rsid w:val="00BA77F1"/>
    <w:rsid w:val="00BB0D90"/>
    <w:rsid w:val="00BB60C6"/>
    <w:rsid w:val="00BB7984"/>
    <w:rsid w:val="00BC6A06"/>
    <w:rsid w:val="00BD137C"/>
    <w:rsid w:val="00BE3BC7"/>
    <w:rsid w:val="00BF0BE0"/>
    <w:rsid w:val="00BF1AB7"/>
    <w:rsid w:val="00BF4D8C"/>
    <w:rsid w:val="00BF520C"/>
    <w:rsid w:val="00BF7FE9"/>
    <w:rsid w:val="00C03596"/>
    <w:rsid w:val="00C05EEC"/>
    <w:rsid w:val="00C137AC"/>
    <w:rsid w:val="00C15436"/>
    <w:rsid w:val="00C15A13"/>
    <w:rsid w:val="00C238D9"/>
    <w:rsid w:val="00C24A9D"/>
    <w:rsid w:val="00C265B4"/>
    <w:rsid w:val="00C2677E"/>
    <w:rsid w:val="00C31542"/>
    <w:rsid w:val="00C31CA4"/>
    <w:rsid w:val="00C347BF"/>
    <w:rsid w:val="00C53209"/>
    <w:rsid w:val="00C6078D"/>
    <w:rsid w:val="00C64BA9"/>
    <w:rsid w:val="00C657CF"/>
    <w:rsid w:val="00C7000C"/>
    <w:rsid w:val="00C80D62"/>
    <w:rsid w:val="00C8388B"/>
    <w:rsid w:val="00C8485B"/>
    <w:rsid w:val="00C84944"/>
    <w:rsid w:val="00C9336F"/>
    <w:rsid w:val="00C96BFD"/>
    <w:rsid w:val="00C96C98"/>
    <w:rsid w:val="00CA116F"/>
    <w:rsid w:val="00CA5358"/>
    <w:rsid w:val="00CB1DCA"/>
    <w:rsid w:val="00CB798D"/>
    <w:rsid w:val="00CD3D44"/>
    <w:rsid w:val="00CD4384"/>
    <w:rsid w:val="00CD502A"/>
    <w:rsid w:val="00CE38DF"/>
    <w:rsid w:val="00CE530D"/>
    <w:rsid w:val="00CF12CF"/>
    <w:rsid w:val="00CF4BE3"/>
    <w:rsid w:val="00D060D2"/>
    <w:rsid w:val="00D07240"/>
    <w:rsid w:val="00D11E2C"/>
    <w:rsid w:val="00D13E2D"/>
    <w:rsid w:val="00D14394"/>
    <w:rsid w:val="00D242CD"/>
    <w:rsid w:val="00D341C3"/>
    <w:rsid w:val="00D41289"/>
    <w:rsid w:val="00D42843"/>
    <w:rsid w:val="00D5152A"/>
    <w:rsid w:val="00D602A4"/>
    <w:rsid w:val="00D60659"/>
    <w:rsid w:val="00D65145"/>
    <w:rsid w:val="00D70D57"/>
    <w:rsid w:val="00D74314"/>
    <w:rsid w:val="00D81410"/>
    <w:rsid w:val="00D81EA6"/>
    <w:rsid w:val="00D92505"/>
    <w:rsid w:val="00D95CEA"/>
    <w:rsid w:val="00DA267C"/>
    <w:rsid w:val="00DA5101"/>
    <w:rsid w:val="00DA79EF"/>
    <w:rsid w:val="00DB0C0B"/>
    <w:rsid w:val="00DB3B74"/>
    <w:rsid w:val="00DB4537"/>
    <w:rsid w:val="00DC5870"/>
    <w:rsid w:val="00DD0384"/>
    <w:rsid w:val="00DD0901"/>
    <w:rsid w:val="00DE16B6"/>
    <w:rsid w:val="00DE3323"/>
    <w:rsid w:val="00DE36CA"/>
    <w:rsid w:val="00DE4604"/>
    <w:rsid w:val="00DE7E63"/>
    <w:rsid w:val="00DF77A2"/>
    <w:rsid w:val="00E057EC"/>
    <w:rsid w:val="00E11482"/>
    <w:rsid w:val="00E16B4C"/>
    <w:rsid w:val="00E35BF1"/>
    <w:rsid w:val="00E364B2"/>
    <w:rsid w:val="00E367C5"/>
    <w:rsid w:val="00E37E71"/>
    <w:rsid w:val="00E42486"/>
    <w:rsid w:val="00E42847"/>
    <w:rsid w:val="00E4405F"/>
    <w:rsid w:val="00E46064"/>
    <w:rsid w:val="00E52990"/>
    <w:rsid w:val="00E557D5"/>
    <w:rsid w:val="00E604A1"/>
    <w:rsid w:val="00E638EE"/>
    <w:rsid w:val="00E73AA8"/>
    <w:rsid w:val="00E80228"/>
    <w:rsid w:val="00E83790"/>
    <w:rsid w:val="00E86D2A"/>
    <w:rsid w:val="00EA2ED4"/>
    <w:rsid w:val="00EA491A"/>
    <w:rsid w:val="00EB1583"/>
    <w:rsid w:val="00EB1653"/>
    <w:rsid w:val="00EB359C"/>
    <w:rsid w:val="00EB4EED"/>
    <w:rsid w:val="00EB54A9"/>
    <w:rsid w:val="00EC23FB"/>
    <w:rsid w:val="00ED53BD"/>
    <w:rsid w:val="00ED7681"/>
    <w:rsid w:val="00EE243C"/>
    <w:rsid w:val="00EF62A9"/>
    <w:rsid w:val="00EF63C6"/>
    <w:rsid w:val="00F034FB"/>
    <w:rsid w:val="00F05606"/>
    <w:rsid w:val="00F105F5"/>
    <w:rsid w:val="00F1075A"/>
    <w:rsid w:val="00F213CC"/>
    <w:rsid w:val="00F21738"/>
    <w:rsid w:val="00F22E82"/>
    <w:rsid w:val="00F23907"/>
    <w:rsid w:val="00F2483A"/>
    <w:rsid w:val="00F337BF"/>
    <w:rsid w:val="00F33D14"/>
    <w:rsid w:val="00F4090F"/>
    <w:rsid w:val="00F459E0"/>
    <w:rsid w:val="00F46E23"/>
    <w:rsid w:val="00F47094"/>
    <w:rsid w:val="00F473B6"/>
    <w:rsid w:val="00F52E57"/>
    <w:rsid w:val="00F53E06"/>
    <w:rsid w:val="00F54188"/>
    <w:rsid w:val="00F54CC0"/>
    <w:rsid w:val="00F60F4C"/>
    <w:rsid w:val="00F6256D"/>
    <w:rsid w:val="00F727A5"/>
    <w:rsid w:val="00F7312A"/>
    <w:rsid w:val="00F7323C"/>
    <w:rsid w:val="00F82EF9"/>
    <w:rsid w:val="00F847A9"/>
    <w:rsid w:val="00F90E2B"/>
    <w:rsid w:val="00FA5FE9"/>
    <w:rsid w:val="00FA6558"/>
    <w:rsid w:val="00FA67D2"/>
    <w:rsid w:val="00FB302F"/>
    <w:rsid w:val="00FB5A92"/>
    <w:rsid w:val="00FC1C69"/>
    <w:rsid w:val="00FC2CF2"/>
    <w:rsid w:val="00FC3739"/>
    <w:rsid w:val="00FD1A1E"/>
    <w:rsid w:val="00FD4D70"/>
    <w:rsid w:val="00FD56F8"/>
    <w:rsid w:val="00FE22A5"/>
    <w:rsid w:val="00FE5AD9"/>
    <w:rsid w:val="00FE7A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9AB301"/>
  <w15:docId w15:val="{47C81E28-A29F-4681-B150-DCF2197E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4"/>
        <w:szCs w:val="24"/>
        <w:lang w:val="en-NZ" w:eastAsia="en-NZ"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5F"/>
    <w:pPr>
      <w:keepLines/>
    </w:pPr>
    <w:rPr>
      <w:rFonts w:eastAsiaTheme="minorHAnsi"/>
      <w:lang w:eastAsia="en-US"/>
    </w:rPr>
  </w:style>
  <w:style w:type="paragraph" w:styleId="Heading1">
    <w:name w:val="heading 1"/>
    <w:basedOn w:val="Normal"/>
    <w:next w:val="Normal"/>
    <w:link w:val="Heading1Char"/>
    <w:semiHidden/>
    <w:qFormat/>
    <w:rsid w:val="00FA6558"/>
    <w:pPr>
      <w:keepNext/>
      <w:spacing w:before="480"/>
      <w:contextualSpacing/>
      <w:outlineLvl w:val="0"/>
    </w:pPr>
    <w:rPr>
      <w:rFonts w:cs="Arial"/>
      <w:b/>
      <w:bCs/>
      <w:color w:val="1F546B" w:themeColor="text2"/>
      <w:kern w:val="32"/>
      <w:sz w:val="52"/>
      <w:szCs w:val="32"/>
    </w:rPr>
  </w:style>
  <w:style w:type="paragraph" w:styleId="Heading2">
    <w:name w:val="heading 2"/>
    <w:basedOn w:val="Normal"/>
    <w:next w:val="Normal"/>
    <w:link w:val="Heading2Char"/>
    <w:semiHidden/>
    <w:qFormat/>
    <w:rsid w:val="00FA6558"/>
    <w:pPr>
      <w:keepNext/>
      <w:spacing w:before="360"/>
      <w:contextualSpacing/>
      <w:outlineLvl w:val="1"/>
    </w:pPr>
    <w:rPr>
      <w:rFonts w:cs="Arial"/>
      <w:b/>
      <w:bCs/>
      <w:iCs/>
      <w:color w:val="1F546B"/>
      <w:sz w:val="36"/>
      <w:szCs w:val="28"/>
    </w:rPr>
  </w:style>
  <w:style w:type="paragraph" w:styleId="Heading3">
    <w:name w:val="heading 3"/>
    <w:basedOn w:val="Normal"/>
    <w:next w:val="Normal"/>
    <w:link w:val="Heading3Char"/>
    <w:semiHidden/>
    <w:qFormat/>
    <w:rsid w:val="00FA6558"/>
    <w:pPr>
      <w:keepNext/>
      <w:spacing w:before="360"/>
      <w:contextualSpacing/>
      <w:outlineLvl w:val="2"/>
    </w:pPr>
    <w:rPr>
      <w:rFonts w:cs="Arial"/>
      <w:b/>
      <w:bCs/>
      <w:color w:val="1F546B"/>
      <w:sz w:val="28"/>
      <w:szCs w:val="26"/>
    </w:rPr>
  </w:style>
  <w:style w:type="paragraph" w:styleId="Heading4">
    <w:name w:val="heading 4"/>
    <w:basedOn w:val="Normal"/>
    <w:next w:val="Normal"/>
    <w:link w:val="Heading4Char"/>
    <w:semiHidden/>
    <w:qFormat/>
    <w:rsid w:val="00FA6558"/>
    <w:pPr>
      <w:keepNext/>
      <w:spacing w:before="36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FA6558"/>
    <w:pPr>
      <w:keepNext/>
      <w:spacing w:before="360"/>
      <w:outlineLvl w:val="4"/>
    </w:pPr>
    <w:rPr>
      <w:b/>
      <w:bCs/>
      <w:iCs/>
      <w:szCs w:val="26"/>
    </w:rPr>
  </w:style>
  <w:style w:type="paragraph" w:styleId="Heading6">
    <w:name w:val="heading 6"/>
    <w:basedOn w:val="Normal"/>
    <w:next w:val="Normal"/>
    <w:link w:val="Heading6Char"/>
    <w:uiPriority w:val="1"/>
    <w:semiHidden/>
    <w:qFormat/>
    <w:rsid w:val="00FA6558"/>
    <w:pPr>
      <w:spacing w:before="360"/>
      <w:outlineLvl w:val="5"/>
    </w:pPr>
    <w:rPr>
      <w:b/>
      <w:bCs/>
      <w:i/>
      <w:szCs w:val="22"/>
    </w:rPr>
  </w:style>
  <w:style w:type="paragraph" w:styleId="Heading7">
    <w:name w:val="heading 7"/>
    <w:basedOn w:val="Normal"/>
    <w:next w:val="Normal"/>
    <w:uiPriority w:val="99"/>
    <w:semiHidden/>
    <w:qFormat/>
    <w:rsid w:val="00FA6558"/>
    <w:pPr>
      <w:spacing w:after="60"/>
      <w:outlineLvl w:val="6"/>
    </w:pPr>
  </w:style>
  <w:style w:type="paragraph" w:styleId="Heading8">
    <w:name w:val="heading 8"/>
    <w:basedOn w:val="Normal"/>
    <w:next w:val="Normal"/>
    <w:uiPriority w:val="99"/>
    <w:semiHidden/>
    <w:qFormat/>
    <w:rsid w:val="00FA6558"/>
    <w:pPr>
      <w:spacing w:after="60"/>
      <w:outlineLvl w:val="7"/>
    </w:pPr>
    <w:rPr>
      <w:i/>
      <w:iCs/>
    </w:rPr>
  </w:style>
  <w:style w:type="paragraph" w:styleId="Heading9">
    <w:name w:val="heading 9"/>
    <w:basedOn w:val="Normal"/>
    <w:next w:val="Normal"/>
    <w:uiPriority w:val="99"/>
    <w:semiHidden/>
    <w:qFormat/>
    <w:rsid w:val="00FA655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11"/>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10"/>
      </w:numPr>
    </w:pPr>
  </w:style>
  <w:style w:type="numbering" w:styleId="ArticleSection">
    <w:name w:val="Outline List 3"/>
    <w:basedOn w:val="NoList"/>
    <w:semiHidden/>
    <w:rsid w:val="00065F18"/>
    <w:pPr>
      <w:numPr>
        <w:numId w:val="12"/>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FA655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65F18"/>
    <w:pPr>
      <w:numPr>
        <w:numId w:val="0"/>
      </w:numPr>
    </w:pPr>
  </w:style>
  <w:style w:type="paragraph" w:styleId="ListBullet2">
    <w:name w:val="List Bullet 2"/>
    <w:basedOn w:val="Normal"/>
    <w:uiPriority w:val="99"/>
    <w:semiHidden/>
    <w:rsid w:val="00065F18"/>
    <w:pPr>
      <w:numPr>
        <w:numId w:val="2"/>
      </w:numPr>
    </w:pPr>
  </w:style>
  <w:style w:type="paragraph" w:styleId="ListBullet3">
    <w:name w:val="List Bullet 3"/>
    <w:basedOn w:val="Normal"/>
    <w:uiPriority w:val="99"/>
    <w:semiHidden/>
    <w:rsid w:val="00065F18"/>
    <w:pPr>
      <w:numPr>
        <w:numId w:val="3"/>
      </w:numPr>
    </w:pPr>
  </w:style>
  <w:style w:type="paragraph" w:styleId="ListBullet4">
    <w:name w:val="List Bullet 4"/>
    <w:basedOn w:val="Normal"/>
    <w:uiPriority w:val="99"/>
    <w:semiHidden/>
    <w:rsid w:val="00065F18"/>
    <w:pPr>
      <w:numPr>
        <w:numId w:val="4"/>
      </w:numPr>
    </w:pPr>
  </w:style>
  <w:style w:type="paragraph" w:styleId="ListBullet5">
    <w:name w:val="List Bullet 5"/>
    <w:basedOn w:val="Normal"/>
    <w:uiPriority w:val="99"/>
    <w:semiHidden/>
    <w:rsid w:val="00065F18"/>
    <w:pPr>
      <w:numPr>
        <w:numId w:val="5"/>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Normal"/>
    <w:uiPriority w:val="99"/>
    <w:semiHidden/>
    <w:rsid w:val="00065F18"/>
    <w:pPr>
      <w:numPr>
        <w:numId w:val="1"/>
      </w:numPr>
    </w:pPr>
  </w:style>
  <w:style w:type="paragraph" w:styleId="ListNumber2">
    <w:name w:val="List Number 2"/>
    <w:basedOn w:val="Normal"/>
    <w:uiPriority w:val="99"/>
    <w:semiHidden/>
    <w:rsid w:val="00065F18"/>
    <w:pPr>
      <w:numPr>
        <w:numId w:val="6"/>
      </w:numPr>
    </w:pPr>
  </w:style>
  <w:style w:type="paragraph" w:styleId="ListNumber3">
    <w:name w:val="List Number 3"/>
    <w:basedOn w:val="Normal"/>
    <w:uiPriority w:val="99"/>
    <w:semiHidden/>
    <w:rsid w:val="00065F18"/>
    <w:pPr>
      <w:numPr>
        <w:numId w:val="7"/>
      </w:numPr>
    </w:pPr>
  </w:style>
  <w:style w:type="paragraph" w:styleId="ListNumber4">
    <w:name w:val="List Number 4"/>
    <w:basedOn w:val="Normal"/>
    <w:uiPriority w:val="99"/>
    <w:semiHidden/>
    <w:rsid w:val="00065F18"/>
    <w:pPr>
      <w:numPr>
        <w:numId w:val="8"/>
      </w:numPr>
    </w:pPr>
  </w:style>
  <w:style w:type="paragraph" w:styleId="ListNumber5">
    <w:name w:val="List Number 5"/>
    <w:basedOn w:val="Normal"/>
    <w:uiPriority w:val="99"/>
    <w:semiHidden/>
    <w:rsid w:val="00065F18"/>
    <w:pPr>
      <w:numPr>
        <w:numId w:val="9"/>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semiHidden/>
    <w:rsid w:val="00FA6558"/>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FA6558"/>
    <w:rPr>
      <w:b/>
      <w:bCs/>
    </w:rPr>
  </w:style>
  <w:style w:type="paragraph" w:styleId="Subtitle">
    <w:name w:val="Subtitle"/>
    <w:basedOn w:val="Normal"/>
    <w:uiPriority w:val="1"/>
    <w:semiHidden/>
    <w:qFormat/>
    <w:rsid w:val="00FA655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FA655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3"/>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065F18"/>
    <w:pPr>
      <w:numPr>
        <w:numId w:val="13"/>
      </w:numPr>
      <w:outlineLvl w:val="5"/>
    </w:pPr>
  </w:style>
  <w:style w:type="paragraph" w:customStyle="1" w:styleId="Headingnumbered2">
    <w:name w:val="Heading numbered 2"/>
    <w:basedOn w:val="Heading2"/>
    <w:next w:val="Normal"/>
    <w:uiPriority w:val="1"/>
    <w:semiHidden/>
    <w:rsid w:val="00065F18"/>
    <w:pPr>
      <w:numPr>
        <w:ilvl w:val="1"/>
        <w:numId w:val="13"/>
      </w:numPr>
      <w:outlineLvl w:val="6"/>
    </w:pPr>
  </w:style>
  <w:style w:type="paragraph" w:customStyle="1" w:styleId="Headingnumbered3">
    <w:name w:val="Heading numbered 3"/>
    <w:basedOn w:val="Normal"/>
    <w:next w:val="Normal"/>
    <w:uiPriority w:val="1"/>
    <w:semiHidden/>
    <w:rsid w:val="00065F18"/>
    <w:pPr>
      <w:numPr>
        <w:ilvl w:val="2"/>
        <w:numId w:val="13"/>
      </w:numPr>
      <w:spacing w:before="360"/>
      <w:contextualSpacing/>
    </w:pPr>
    <w:rPr>
      <w:b/>
      <w:color w:val="1F546B"/>
      <w:sz w:val="28"/>
    </w:rPr>
  </w:style>
  <w:style w:type="paragraph" w:customStyle="1" w:styleId="Headingnumbered4">
    <w:name w:val="Heading numbered 4"/>
    <w:basedOn w:val="Normal"/>
    <w:next w:val="Normal"/>
    <w:uiPriority w:val="1"/>
    <w:semiHidden/>
    <w:rsid w:val="00065F18"/>
    <w:pPr>
      <w:numPr>
        <w:ilvl w:val="3"/>
        <w:numId w:val="13"/>
      </w:numPr>
      <w:spacing w:before="360"/>
      <w:contextualSpacing/>
    </w:pPr>
    <w:rPr>
      <w:b/>
      <w:i/>
      <w:color w:val="1F546B"/>
    </w:rPr>
  </w:style>
  <w:style w:type="paragraph" w:customStyle="1" w:styleId="Tinyline">
    <w:name w:val="Tiny line"/>
    <w:basedOn w:val="Normal"/>
    <w:qFormat/>
    <w:rsid w:val="00FA6558"/>
    <w:pPr>
      <w:spacing w:before="0" w:after="0"/>
    </w:pPr>
    <w:rPr>
      <w:sz w:val="8"/>
    </w:rPr>
  </w:style>
  <w:style w:type="paragraph" w:customStyle="1" w:styleId="Numberedpara1level3a">
    <w:name w:val="Numbered para (1) level 3 (a)"/>
    <w:basedOn w:val="Normal"/>
    <w:semiHidden/>
    <w:rsid w:val="00065F18"/>
    <w:pPr>
      <w:numPr>
        <w:ilvl w:val="2"/>
        <w:numId w:val="26"/>
      </w:numPr>
    </w:pPr>
  </w:style>
  <w:style w:type="paragraph" w:customStyle="1" w:styleId="Numberedpara1level4i">
    <w:name w:val="Numbered para (1) level 4 (i)"/>
    <w:basedOn w:val="Normal"/>
    <w:semiHidden/>
    <w:rsid w:val="00065F18"/>
    <w:pPr>
      <w:numPr>
        <w:ilvl w:val="3"/>
        <w:numId w:val="26"/>
      </w:numPr>
    </w:pPr>
  </w:style>
  <w:style w:type="paragraph" w:customStyle="1" w:styleId="Bullet">
    <w:name w:val="Bullet"/>
    <w:basedOn w:val="Normal"/>
    <w:rsid w:val="00065F18"/>
    <w:pPr>
      <w:numPr>
        <w:numId w:val="14"/>
      </w:numPr>
      <w:spacing w:before="80" w:after="80"/>
    </w:pPr>
    <w:rPr>
      <w:noProof/>
    </w:rPr>
  </w:style>
  <w:style w:type="paragraph" w:customStyle="1" w:styleId="Bulletlevel2">
    <w:name w:val="Bullet level 2"/>
    <w:basedOn w:val="Normal"/>
    <w:uiPriority w:val="1"/>
    <w:semiHidden/>
    <w:rsid w:val="00065F18"/>
    <w:pPr>
      <w:numPr>
        <w:ilvl w:val="1"/>
        <w:numId w:val="14"/>
      </w:numPr>
      <w:spacing w:before="80" w:after="80"/>
    </w:pPr>
  </w:style>
  <w:style w:type="paragraph" w:customStyle="1" w:styleId="Bulletlevel3">
    <w:name w:val="Bullet level 3"/>
    <w:basedOn w:val="Normal"/>
    <w:uiPriority w:val="1"/>
    <w:semiHidden/>
    <w:rsid w:val="00065F18"/>
    <w:pPr>
      <w:numPr>
        <w:ilvl w:val="2"/>
        <w:numId w:val="14"/>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21"/>
      </w:numPr>
      <w:spacing w:before="80" w:after="80"/>
    </w:pPr>
  </w:style>
  <w:style w:type="paragraph" w:customStyle="1" w:styleId="List123">
    <w:name w:val="List 1 2 3"/>
    <w:basedOn w:val="Normal"/>
    <w:rsid w:val="001B369D"/>
    <w:pPr>
      <w:numPr>
        <w:numId w:val="22"/>
      </w:numPr>
      <w:spacing w:before="80" w:after="80"/>
    </w:pPr>
  </w:style>
  <w:style w:type="paragraph" w:styleId="FootnoteText">
    <w:name w:val="footnote text"/>
    <w:basedOn w:val="Normal"/>
    <w:link w:val="FootnoteTextChar"/>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065F18"/>
    <w:pPr>
      <w:spacing w:before="40" w:after="40"/>
    </w:pPr>
    <w:rPr>
      <w:b/>
      <w:color w:val="FFFFFF" w:themeColor="background1"/>
      <w:sz w:val="22"/>
    </w:rPr>
  </w:style>
  <w:style w:type="character" w:customStyle="1" w:styleId="Heading2Char">
    <w:name w:val="Heading 2 Char"/>
    <w:basedOn w:val="DefaultParagraphFont"/>
    <w:link w:val="Heading2"/>
    <w:semiHidden/>
    <w:rsid w:val="00FA655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5"/>
      </w:numPr>
    </w:pPr>
  </w:style>
  <w:style w:type="paragraph" w:customStyle="1" w:styleId="Tablebulletlevel2">
    <w:name w:val="Table bullet level 2"/>
    <w:basedOn w:val="Tablenormal0"/>
    <w:uiPriority w:val="99"/>
    <w:semiHidden/>
    <w:rsid w:val="00065F18"/>
    <w:pPr>
      <w:numPr>
        <w:ilvl w:val="1"/>
        <w:numId w:val="15"/>
      </w:numPr>
    </w:pPr>
  </w:style>
  <w:style w:type="paragraph" w:customStyle="1" w:styleId="TableBulletListLevel3">
    <w:name w:val="Table Bullet List Level 3"/>
    <w:basedOn w:val="BodyTextTable"/>
    <w:uiPriority w:val="11"/>
    <w:semiHidden/>
    <w:rsid w:val="00065F18"/>
    <w:pPr>
      <w:numPr>
        <w:ilvl w:val="2"/>
        <w:numId w:val="15"/>
      </w:numPr>
      <w:spacing w:before="60" w:after="60"/>
    </w:pPr>
  </w:style>
  <w:style w:type="paragraph" w:customStyle="1" w:styleId="Tablelist123">
    <w:name w:val="Table list 1 2 3"/>
    <w:basedOn w:val="Tablenormal0"/>
    <w:rsid w:val="00065F18"/>
    <w:pPr>
      <w:numPr>
        <w:numId w:val="17"/>
      </w:numPr>
    </w:pPr>
  </w:style>
  <w:style w:type="paragraph" w:customStyle="1" w:styleId="Tablelist123level2">
    <w:name w:val="Table list 1 2 3 level 2"/>
    <w:basedOn w:val="Tablenormal0"/>
    <w:semiHidden/>
    <w:rsid w:val="00065F18"/>
    <w:pPr>
      <w:numPr>
        <w:ilvl w:val="1"/>
        <w:numId w:val="17"/>
      </w:numPr>
    </w:pPr>
  </w:style>
  <w:style w:type="character" w:customStyle="1" w:styleId="Heading4Char">
    <w:name w:val="Heading 4 Char"/>
    <w:basedOn w:val="DefaultParagraphFont"/>
    <w:link w:val="Heading4"/>
    <w:semiHidden/>
    <w:rsid w:val="00FA655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6"/>
      </w:numPr>
    </w:pPr>
  </w:style>
  <w:style w:type="paragraph" w:customStyle="1" w:styleId="BodyTextTableLevel2">
    <w:name w:val="Body Text Table Level 2"/>
    <w:basedOn w:val="BodyTextTable"/>
    <w:uiPriority w:val="11"/>
    <w:semiHidden/>
    <w:rsid w:val="00065F18"/>
    <w:pPr>
      <w:numPr>
        <w:ilvl w:val="1"/>
        <w:numId w:val="16"/>
      </w:numPr>
    </w:pPr>
  </w:style>
  <w:style w:type="paragraph" w:customStyle="1" w:styleId="BodyTextTableLevel3">
    <w:name w:val="Body Text Table Level 3"/>
    <w:basedOn w:val="BodyTextTable"/>
    <w:uiPriority w:val="11"/>
    <w:semiHidden/>
    <w:rsid w:val="00065F18"/>
    <w:pPr>
      <w:numPr>
        <w:ilvl w:val="3"/>
        <w:numId w:val="17"/>
      </w:numPr>
    </w:pPr>
  </w:style>
  <w:style w:type="paragraph" w:styleId="Caption">
    <w:name w:val="caption"/>
    <w:basedOn w:val="Normal"/>
    <w:next w:val="Normal"/>
    <w:qFormat/>
    <w:rsid w:val="00FA6558"/>
    <w:pPr>
      <w:keepNext/>
      <w:spacing w:before="80" w:after="80"/>
      <w:ind w:left="567"/>
    </w:pPr>
    <w:rPr>
      <w:b/>
      <w:bCs/>
      <w:sz w:val="22"/>
      <w:szCs w:val="20"/>
    </w:rPr>
  </w:style>
  <w:style w:type="paragraph" w:customStyle="1" w:styleId="WhiteSpace">
    <w:name w:val="White Space"/>
    <w:basedOn w:val="Normal"/>
    <w:uiPriority w:val="99"/>
    <w:semiHidden/>
    <w:rsid w:val="00065F18"/>
    <w:rPr>
      <w:sz w:val="12"/>
    </w:rPr>
  </w:style>
  <w:style w:type="paragraph" w:customStyle="1" w:styleId="Headingappendix">
    <w:name w:val="Heading appendix"/>
    <w:basedOn w:val="Heading1"/>
    <w:next w:val="Normal"/>
    <w:semiHidden/>
    <w:rsid w:val="00065F18"/>
    <w:pPr>
      <w:pageBreakBefore/>
      <w:numPr>
        <w:numId w:val="18"/>
      </w:numPr>
      <w:tabs>
        <w:tab w:val="left" w:pos="2268"/>
      </w:tabs>
      <w:spacing w:before="0"/>
      <w:outlineLvl w:val="7"/>
    </w:pPr>
  </w:style>
  <w:style w:type="paragraph" w:customStyle="1" w:styleId="NotforContentsheading1">
    <w:name w:val="Not for Contents heading 1"/>
    <w:basedOn w:val="Normal"/>
    <w:next w:val="Normal"/>
    <w:semiHidden/>
    <w:rsid w:val="00065F18"/>
    <w:pPr>
      <w:keepNext/>
      <w:spacing w:before="48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FA6558"/>
    <w:pPr>
      <w:numPr>
        <w:ilvl w:val="1"/>
        <w:numId w:val="21"/>
      </w:numPr>
      <w:spacing w:before="80" w:after="80"/>
    </w:pPr>
  </w:style>
  <w:style w:type="paragraph" w:customStyle="1" w:styleId="NotforContentsheading2">
    <w:name w:val="Not for Contents heading 2"/>
    <w:basedOn w:val="Normal"/>
    <w:next w:val="Normal"/>
    <w:semiHidden/>
    <w:rsid w:val="00065F18"/>
    <w:pPr>
      <w:keepNext/>
      <w:spacing w:before="360"/>
      <w:contextualSpacing/>
    </w:pPr>
    <w:rPr>
      <w:b/>
      <w:color w:val="1F546B"/>
      <w:sz w:val="36"/>
    </w:rPr>
  </w:style>
  <w:style w:type="character" w:customStyle="1" w:styleId="Heading3Char">
    <w:name w:val="Heading 3 Char"/>
    <w:link w:val="Heading3"/>
    <w:semiHidden/>
    <w:rsid w:val="00FA6558"/>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Cabinetpaper">
    <w:name w:val="_Cabinet paper"/>
    <w:basedOn w:val="TableNormal"/>
    <w:uiPriority w:val="99"/>
    <w:rsid w:val="00BF0BE0"/>
    <w:pPr>
      <w:spacing w:before="56" w:after="32"/>
    </w:pPr>
    <w:rPr>
      <w:rFonts w:eastAsiaTheme="minorHAnsi" w:cstheme="minorBidi"/>
      <w:sz w:val="22"/>
      <w:lang w:eastAsia="en-US"/>
    </w:rPr>
    <w:tblPr>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blStylePr w:type="firstRow">
      <w:pPr>
        <w:wordWrap/>
        <w:spacing w:beforeLines="0" w:before="60" w:beforeAutospacing="0" w:afterLines="0" w:after="24" w:afterAutospacing="0" w:line="240" w:lineRule="auto"/>
        <w:contextualSpacing w:val="0"/>
      </w:pPr>
      <w:rPr>
        <w:rFonts w:ascii="Calibri" w:hAnsi="Calibri"/>
        <w:b/>
        <w:color w:val="FFFFFF" w:themeColor="background1"/>
        <w:sz w:val="22"/>
      </w:rPr>
      <w:tblPr/>
      <w:trPr>
        <w:tblHeader/>
      </w:trPr>
      <w:tcPr>
        <w:tcBorders>
          <w:top w:val="single" w:sz="12" w:space="0" w:color="000000" w:themeColor="text1"/>
          <w:left w:val="single" w:sz="12" w:space="0" w:color="000000" w:themeColor="text1"/>
          <w:bottom w:val="nil"/>
          <w:right w:val="single" w:sz="12" w:space="0" w:color="000000" w:themeColor="text1"/>
          <w:insideH w:val="single" w:sz="6" w:space="0" w:color="FFFFFF" w:themeColor="background1"/>
          <w:insideV w:val="single" w:sz="6" w:space="0" w:color="FFFFFF" w:themeColor="background1"/>
          <w:tl2br w:val="nil"/>
          <w:tr2bl w:val="nil"/>
        </w:tcBorders>
        <w:shd w:val="clear" w:color="auto" w:fill="000000" w:themeFill="text1"/>
      </w:tcPr>
    </w:tblStylePr>
  </w:style>
  <w:style w:type="character" w:styleId="SubtleEmphasis">
    <w:name w:val="Subtle Emphasis"/>
    <w:basedOn w:val="DefaultParagraphFont"/>
    <w:uiPriority w:val="99"/>
    <w:semiHidden/>
    <w:qFormat/>
    <w:rsid w:val="00FA6558"/>
    <w:rPr>
      <w:i/>
      <w:iCs/>
    </w:rPr>
  </w:style>
  <w:style w:type="character" w:styleId="IntenseEmphasis">
    <w:name w:val="Intense Emphasis"/>
    <w:uiPriority w:val="99"/>
    <w:semiHidden/>
    <w:qFormat/>
    <w:rsid w:val="00FA6558"/>
    <w:rPr>
      <w:b/>
      <w:i/>
    </w:rPr>
  </w:style>
  <w:style w:type="paragraph" w:styleId="ListParagraph">
    <w:name w:val="List Paragraph"/>
    <w:basedOn w:val="Bullet"/>
    <w:uiPriority w:val="34"/>
    <w:semiHidden/>
    <w:qFormat/>
    <w:rsid w:val="00FA6558"/>
    <w:pPr>
      <w:numPr>
        <w:numId w:val="20"/>
      </w:numPr>
    </w:pPr>
  </w:style>
  <w:style w:type="character" w:customStyle="1" w:styleId="Heading5Char">
    <w:name w:val="Heading 5 Char"/>
    <w:basedOn w:val="DefaultParagraphFont"/>
    <w:link w:val="Heading5"/>
    <w:uiPriority w:val="1"/>
    <w:semiHidden/>
    <w:rsid w:val="00FA6558"/>
    <w:rPr>
      <w:rFonts w:eastAsiaTheme="minorHAnsi"/>
      <w:b/>
      <w:bCs/>
      <w:iCs/>
      <w:szCs w:val="26"/>
      <w:lang w:eastAsia="en-US"/>
    </w:rPr>
  </w:style>
  <w:style w:type="character" w:styleId="SubtleReference">
    <w:name w:val="Subtle Reference"/>
    <w:basedOn w:val="DefaultParagraphFont"/>
    <w:uiPriority w:val="99"/>
    <w:semiHidden/>
    <w:qFormat/>
    <w:rsid w:val="00FA6558"/>
    <w:rPr>
      <w:rFonts w:ascii="Calibri" w:hAnsi="Calibri"/>
      <w:smallCaps/>
      <w:color w:val="A42F13" w:themeColor="accent2"/>
      <w:u w:val="single"/>
    </w:rPr>
  </w:style>
  <w:style w:type="character" w:styleId="BookTitle">
    <w:name w:val="Book Title"/>
    <w:basedOn w:val="DefaultParagraphFont"/>
    <w:uiPriority w:val="33"/>
    <w:semiHidden/>
    <w:qFormat/>
    <w:rsid w:val="00FA6558"/>
    <w:rPr>
      <w:rFonts w:ascii="Calibri" w:hAnsi="Calibri"/>
      <w:b/>
      <w:bCs/>
      <w:smallCaps/>
      <w:spacing w:val="5"/>
    </w:rPr>
  </w:style>
  <w:style w:type="character" w:styleId="IntenseReference">
    <w:name w:val="Intense Reference"/>
    <w:basedOn w:val="DefaultParagraphFont"/>
    <w:uiPriority w:val="99"/>
    <w:semiHidden/>
    <w:qFormat/>
    <w:rsid w:val="00FA655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FA655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FA6558"/>
    <w:rPr>
      <w:rFonts w:eastAsiaTheme="minorHAnsi"/>
      <w:b/>
      <w:bCs/>
      <w:i/>
      <w:iCs/>
      <w:color w:val="1F546B" w:themeColor="text2"/>
      <w:lang w:eastAsia="en-US"/>
    </w:rPr>
  </w:style>
  <w:style w:type="paragraph" w:customStyle="1" w:styleId="Headingpage">
    <w:name w:val="Heading page"/>
    <w:basedOn w:val="Normal"/>
    <w:next w:val="Normal"/>
    <w:rsid w:val="00484044"/>
    <w:pPr>
      <w:spacing w:before="400"/>
    </w:pPr>
    <w:rPr>
      <w:b/>
      <w:color w:val="000000" w:themeColor="text1"/>
      <w:sz w:val="28"/>
    </w:rPr>
  </w:style>
  <w:style w:type="paragraph" w:customStyle="1" w:styleId="Tablenormal0">
    <w:name w:val="Table normal"/>
    <w:basedOn w:val="Normal"/>
    <w:qFormat/>
    <w:rsid w:val="00FA6558"/>
    <w:pPr>
      <w:spacing w:before="40" w:after="40"/>
    </w:pPr>
    <w:rPr>
      <w:sz w:val="22"/>
    </w:rPr>
  </w:style>
  <w:style w:type="character" w:customStyle="1" w:styleId="Heading6Char">
    <w:name w:val="Heading 6 Char"/>
    <w:basedOn w:val="DefaultParagraphFont"/>
    <w:link w:val="Heading6"/>
    <w:uiPriority w:val="1"/>
    <w:semiHidden/>
    <w:rsid w:val="00FA6558"/>
    <w:rPr>
      <w:rFonts w:eastAsiaTheme="minorHAnsi"/>
      <w:b/>
      <w:bCs/>
      <w:i/>
      <w:szCs w:val="22"/>
      <w:lang w:eastAsia="en-US"/>
    </w:rPr>
  </w:style>
  <w:style w:type="paragraph" w:customStyle="1" w:styleId="ListABClevel3">
    <w:name w:val="List A B C level 3"/>
    <w:basedOn w:val="Normal"/>
    <w:uiPriority w:val="1"/>
    <w:semiHidden/>
    <w:qFormat/>
    <w:rsid w:val="00FA6558"/>
    <w:pPr>
      <w:numPr>
        <w:ilvl w:val="2"/>
        <w:numId w:val="21"/>
      </w:numPr>
      <w:spacing w:before="80" w:after="80"/>
    </w:pPr>
  </w:style>
  <w:style w:type="paragraph" w:customStyle="1" w:styleId="List123level2">
    <w:name w:val="List 1 2 3 level 2"/>
    <w:basedOn w:val="Normal"/>
    <w:uiPriority w:val="1"/>
    <w:semiHidden/>
    <w:qFormat/>
    <w:rsid w:val="001B369D"/>
    <w:pPr>
      <w:numPr>
        <w:ilvl w:val="1"/>
        <w:numId w:val="22"/>
      </w:numPr>
      <w:spacing w:before="80" w:after="80"/>
    </w:pPr>
  </w:style>
  <w:style w:type="paragraph" w:customStyle="1" w:styleId="List123level3">
    <w:name w:val="List 1 2 3 level 3"/>
    <w:basedOn w:val="Normal"/>
    <w:uiPriority w:val="1"/>
    <w:semiHidden/>
    <w:qFormat/>
    <w:rsid w:val="001B369D"/>
    <w:pPr>
      <w:numPr>
        <w:ilvl w:val="2"/>
        <w:numId w:val="22"/>
      </w:numPr>
    </w:pPr>
  </w:style>
  <w:style w:type="paragraph" w:customStyle="1" w:styleId="Legislationsection">
    <w:name w:val="Legislation section"/>
    <w:basedOn w:val="Normal"/>
    <w:semiHidden/>
    <w:qFormat/>
    <w:rsid w:val="00FA6558"/>
    <w:pPr>
      <w:numPr>
        <w:numId w:val="24"/>
      </w:numPr>
      <w:tabs>
        <w:tab w:val="left" w:pos="567"/>
      </w:tabs>
      <w:spacing w:after="60"/>
    </w:pPr>
    <w:rPr>
      <w:b/>
      <w:sz w:val="22"/>
    </w:rPr>
  </w:style>
  <w:style w:type="paragraph" w:customStyle="1" w:styleId="Legislationnumber">
    <w:name w:val="Legislation number"/>
    <w:basedOn w:val="Normal"/>
    <w:semiHidden/>
    <w:qFormat/>
    <w:rsid w:val="00FA6558"/>
    <w:pPr>
      <w:numPr>
        <w:numId w:val="23"/>
      </w:numPr>
      <w:tabs>
        <w:tab w:val="left" w:pos="567"/>
      </w:tabs>
      <w:spacing w:before="60" w:after="60"/>
    </w:pPr>
    <w:rPr>
      <w:sz w:val="22"/>
    </w:rPr>
  </w:style>
  <w:style w:type="paragraph" w:customStyle="1" w:styleId="Legislationa">
    <w:name w:val="Legislation (a)"/>
    <w:basedOn w:val="Normal"/>
    <w:semiHidden/>
    <w:qFormat/>
    <w:rsid w:val="00FA6558"/>
    <w:pPr>
      <w:numPr>
        <w:ilvl w:val="2"/>
        <w:numId w:val="24"/>
      </w:numPr>
      <w:spacing w:before="60" w:after="60"/>
    </w:pPr>
    <w:rPr>
      <w:sz w:val="22"/>
    </w:rPr>
  </w:style>
  <w:style w:type="paragraph" w:customStyle="1" w:styleId="Legislationi">
    <w:name w:val="Legislation (i)"/>
    <w:basedOn w:val="Normal"/>
    <w:semiHidden/>
    <w:qFormat/>
    <w:rsid w:val="00FA6558"/>
    <w:pPr>
      <w:numPr>
        <w:ilvl w:val="3"/>
        <w:numId w:val="24"/>
      </w:numPr>
      <w:spacing w:before="60" w:after="60"/>
    </w:pPr>
    <w:rPr>
      <w:sz w:val="22"/>
    </w:rPr>
  </w:style>
  <w:style w:type="paragraph" w:customStyle="1" w:styleId="Numberedparaindentonly">
    <w:name w:val="Numbered para indent only"/>
    <w:basedOn w:val="Normal"/>
    <w:qFormat/>
    <w:rsid w:val="00FA6558"/>
    <w:pPr>
      <w:ind w:left="567"/>
    </w:pPr>
  </w:style>
  <w:style w:type="paragraph" w:customStyle="1" w:styleId="Spacer">
    <w:name w:val="Spacer"/>
    <w:basedOn w:val="Normal"/>
    <w:qFormat/>
    <w:rsid w:val="00FA6558"/>
    <w:pPr>
      <w:spacing w:before="0" w:after="0"/>
    </w:pPr>
  </w:style>
  <w:style w:type="paragraph" w:customStyle="1" w:styleId="Page">
    <w:name w:val="Page"/>
    <w:basedOn w:val="Spacer"/>
    <w:semiHidden/>
    <w:qFormat/>
    <w:rsid w:val="00FA655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FA6558"/>
    <w:rPr>
      <w:sz w:val="24"/>
    </w:rPr>
  </w:style>
  <w:style w:type="paragraph" w:customStyle="1" w:styleId="Tableheading12pt">
    <w:name w:val="Table heading 12pt"/>
    <w:basedOn w:val="Tableheading"/>
    <w:semiHidden/>
    <w:qFormat/>
    <w:rsid w:val="00FA6558"/>
    <w:rPr>
      <w:sz w:val="24"/>
    </w:rPr>
  </w:style>
  <w:style w:type="paragraph" w:customStyle="1" w:styleId="Documentationpageheading">
    <w:name w:val="Documentation page heading"/>
    <w:basedOn w:val="Normal"/>
    <w:semiHidden/>
    <w:qFormat/>
    <w:rsid w:val="00FA6558"/>
    <w:pPr>
      <w:spacing w:after="0"/>
    </w:pPr>
    <w:rPr>
      <w:b/>
      <w:color w:val="1F546B" w:themeColor="text2"/>
      <w:sz w:val="36"/>
    </w:rPr>
  </w:style>
  <w:style w:type="paragraph" w:customStyle="1" w:styleId="Documentationpagesubheading">
    <w:name w:val="Documentation page subheading"/>
    <w:basedOn w:val="Documentationpageheading"/>
    <w:semiHidden/>
    <w:qFormat/>
    <w:rsid w:val="00FA6558"/>
    <w:rPr>
      <w:sz w:val="28"/>
    </w:rPr>
  </w:style>
  <w:style w:type="paragraph" w:customStyle="1" w:styleId="Documentationpagetable">
    <w:name w:val="Documentation page table"/>
    <w:basedOn w:val="Normal"/>
    <w:semiHidden/>
    <w:qFormat/>
    <w:rsid w:val="00FA6558"/>
    <w:pPr>
      <w:spacing w:before="44" w:after="24"/>
    </w:pPr>
    <w:rPr>
      <w:rFonts w:cstheme="minorBidi"/>
      <w:sz w:val="20"/>
    </w:rPr>
  </w:style>
  <w:style w:type="paragraph" w:customStyle="1" w:styleId="Documentationpagetableheading">
    <w:name w:val="Documentation page table heading"/>
    <w:basedOn w:val="Normal"/>
    <w:semiHidden/>
    <w:qFormat/>
    <w:rsid w:val="00FA6558"/>
    <w:pPr>
      <w:spacing w:before="40" w:after="40"/>
    </w:pPr>
    <w:rPr>
      <w:rFonts w:cstheme="minorBidi"/>
      <w:b/>
      <w:color w:val="FFFFFF" w:themeColor="background1"/>
      <w:sz w:val="20"/>
    </w:rPr>
  </w:style>
  <w:style w:type="paragraph" w:customStyle="1" w:styleId="Numberedpara3subheading">
    <w:name w:val="Numbered para (3) subheading"/>
    <w:basedOn w:val="Normal"/>
    <w:next w:val="Normal"/>
    <w:semiHidden/>
    <w:rsid w:val="00065F18"/>
    <w:pPr>
      <w:spacing w:before="240"/>
    </w:pPr>
    <w:rPr>
      <w:b/>
      <w:i/>
    </w:rPr>
  </w:style>
  <w:style w:type="paragraph" w:customStyle="1" w:styleId="Numberedpara3level1">
    <w:name w:val="Numbered para (3) level 1"/>
    <w:basedOn w:val="Normal"/>
    <w:qFormat/>
    <w:rsid w:val="00A75B42"/>
    <w:pPr>
      <w:numPr>
        <w:numId w:val="25"/>
      </w:numPr>
    </w:pPr>
  </w:style>
  <w:style w:type="paragraph" w:customStyle="1" w:styleId="Numberedpara3level211">
    <w:name w:val="Numbered para (3) level 2 (1.1)"/>
    <w:basedOn w:val="Normal"/>
    <w:qFormat/>
    <w:rsid w:val="00A75B42"/>
    <w:pPr>
      <w:numPr>
        <w:ilvl w:val="1"/>
        <w:numId w:val="25"/>
      </w:numPr>
      <w:ind w:left="1304" w:hanging="737"/>
    </w:pPr>
  </w:style>
  <w:style w:type="paragraph" w:customStyle="1" w:styleId="Numberedpara3level3111">
    <w:name w:val="Numbered para (3) level 3 (1.1.1)"/>
    <w:basedOn w:val="Normal"/>
    <w:qFormat/>
    <w:rsid w:val="00A75B42"/>
    <w:pPr>
      <w:numPr>
        <w:ilvl w:val="2"/>
        <w:numId w:val="25"/>
      </w:numPr>
      <w:ind w:left="2211" w:hanging="907"/>
    </w:pPr>
  </w:style>
  <w:style w:type="paragraph" w:customStyle="1" w:styleId="Title2">
    <w:name w:val="Title 2"/>
    <w:basedOn w:val="Title"/>
    <w:semiHidden/>
    <w:qFormat/>
    <w:rsid w:val="00FA6558"/>
    <w:rPr>
      <w:sz w:val="52"/>
    </w:rPr>
  </w:style>
  <w:style w:type="paragraph" w:customStyle="1" w:styleId="Numberedpara3heading">
    <w:name w:val="Numbered para (3) heading"/>
    <w:basedOn w:val="Normal"/>
    <w:semiHidden/>
    <w:qFormat/>
    <w:rsid w:val="002D38AA"/>
    <w:pPr>
      <w:keepNext/>
      <w:spacing w:before="200"/>
    </w:pPr>
    <w:rPr>
      <w:b/>
    </w:rPr>
  </w:style>
  <w:style w:type="character" w:customStyle="1" w:styleId="HeaderChar">
    <w:name w:val="Header Char"/>
    <w:basedOn w:val="DefaultParagraphFont"/>
    <w:link w:val="Header"/>
    <w:rsid w:val="002D38AA"/>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FA6558"/>
    <w:rPr>
      <w:b/>
      <w:i w:val="0"/>
      <w:caps/>
      <w:smallCaps w:val="0"/>
      <w:sz w:val="22"/>
    </w:rPr>
  </w:style>
  <w:style w:type="paragraph" w:customStyle="1" w:styleId="Numberedpara1level211">
    <w:name w:val="Numbered para (1) level 2 (1.1)"/>
    <w:basedOn w:val="Normal"/>
    <w:semiHidden/>
    <w:rsid w:val="00065F18"/>
    <w:pPr>
      <w:numPr>
        <w:ilvl w:val="1"/>
        <w:numId w:val="26"/>
      </w:numPr>
    </w:pPr>
  </w:style>
  <w:style w:type="paragraph" w:customStyle="1" w:styleId="Numberedpara11headingwithnumber">
    <w:name w:val="Numbered para (1) 1 (heading with number)"/>
    <w:basedOn w:val="Normal"/>
    <w:semiHidden/>
    <w:qFormat/>
    <w:rsid w:val="00FA6558"/>
    <w:pPr>
      <w:numPr>
        <w:numId w:val="26"/>
      </w:numPr>
      <w:spacing w:before="240"/>
    </w:pPr>
    <w:rPr>
      <w:b/>
      <w:sz w:val="28"/>
    </w:rPr>
  </w:style>
  <w:style w:type="paragraph" w:customStyle="1" w:styleId="Crossreference">
    <w:name w:val="Cross reference"/>
    <w:basedOn w:val="Normal"/>
    <w:link w:val="CrossreferenceChar"/>
    <w:semiHidden/>
    <w:qFormat/>
    <w:rsid w:val="00BF0BE0"/>
    <w:rPr>
      <w:i/>
      <w:color w:val="000000" w:themeColor="text1"/>
      <w:u w:val="single"/>
    </w:rPr>
  </w:style>
  <w:style w:type="paragraph" w:customStyle="1" w:styleId="Headerforcabinetpapers">
    <w:name w:val="Header for cabinet papers"/>
    <w:basedOn w:val="Normal"/>
    <w:qFormat/>
    <w:rsid w:val="00FA6558"/>
    <w:pPr>
      <w:tabs>
        <w:tab w:val="center" w:pos="4536"/>
      </w:tabs>
      <w:jc w:val="center"/>
    </w:pPr>
    <w:rPr>
      <w:b/>
      <w:caps/>
    </w:rPr>
  </w:style>
  <w:style w:type="paragraph" w:customStyle="1" w:styleId="FinancialtableLHC">
    <w:name w:val="Financial table LHC"/>
    <w:basedOn w:val="Normal"/>
    <w:semiHidden/>
    <w:qFormat/>
    <w:rsid w:val="00FA6558"/>
    <w:pPr>
      <w:spacing w:before="0" w:after="0"/>
      <w:contextualSpacing/>
    </w:pPr>
    <w:rPr>
      <w:sz w:val="22"/>
    </w:rPr>
  </w:style>
  <w:style w:type="paragraph" w:customStyle="1" w:styleId="Financialtablefigures">
    <w:name w:val="Financial table figures"/>
    <w:basedOn w:val="FinancialtableLHC"/>
    <w:semiHidden/>
    <w:qFormat/>
    <w:rsid w:val="00FA6558"/>
    <w:pPr>
      <w:jc w:val="right"/>
    </w:pPr>
  </w:style>
  <w:style w:type="paragraph" w:customStyle="1" w:styleId="Financialtableyears">
    <w:name w:val="Financial table years"/>
    <w:basedOn w:val="Financialtablefigures"/>
    <w:semiHidden/>
    <w:qFormat/>
    <w:rsid w:val="00FA6558"/>
    <w:pPr>
      <w:jc w:val="center"/>
    </w:pPr>
    <w:rPr>
      <w:b/>
      <w:sz w:val="20"/>
    </w:rPr>
  </w:style>
  <w:style w:type="paragraph" w:customStyle="1" w:styleId="Tablesource">
    <w:name w:val="Table source"/>
    <w:basedOn w:val="Normal"/>
    <w:next w:val="Numberedpara3level1"/>
    <w:qFormat/>
    <w:rsid w:val="00FA6558"/>
    <w:pPr>
      <w:spacing w:before="40"/>
      <w:ind w:left="567"/>
    </w:pPr>
    <w:rPr>
      <w:sz w:val="22"/>
    </w:rPr>
  </w:style>
  <w:style w:type="paragraph" w:customStyle="1" w:styleId="Cabinetpaperparasubheading">
    <w:name w:val="Cabinet paper para subheading"/>
    <w:basedOn w:val="Normal"/>
    <w:next w:val="Numberedpara3level1"/>
    <w:qFormat/>
    <w:rsid w:val="00385C33"/>
    <w:pPr>
      <w:keepNext/>
      <w:spacing w:before="240"/>
    </w:pPr>
    <w:rPr>
      <w:b/>
      <w:i/>
    </w:rPr>
  </w:style>
  <w:style w:type="paragraph" w:customStyle="1" w:styleId="Cabinetpaperparaheading">
    <w:name w:val="Cabinet paper para heading"/>
    <w:basedOn w:val="Normal"/>
    <w:next w:val="Numberedpara3level1"/>
    <w:qFormat/>
    <w:rsid w:val="00BF0BE0"/>
    <w:pPr>
      <w:keepNext/>
      <w:spacing w:before="200"/>
    </w:pPr>
    <w:rPr>
      <w:b/>
      <w:sz w:val="26"/>
    </w:rPr>
  </w:style>
  <w:style w:type="paragraph" w:customStyle="1" w:styleId="Cabinetpaperparasubsubheading">
    <w:name w:val="Cabinet paper para subsubheading"/>
    <w:basedOn w:val="Normal"/>
    <w:next w:val="Numberedpara3level1"/>
    <w:qFormat/>
    <w:rsid w:val="00BF0BE0"/>
    <w:pPr>
      <w:keepNext/>
      <w:keepLines w:val="0"/>
      <w:spacing w:before="240"/>
    </w:pPr>
    <w:rPr>
      <w:i/>
    </w:rPr>
  </w:style>
  <w:style w:type="character" w:customStyle="1" w:styleId="CrossreferenceChar">
    <w:name w:val="Cross reference Char"/>
    <w:basedOn w:val="DefaultParagraphFont"/>
    <w:link w:val="Crossreference"/>
    <w:semiHidden/>
    <w:rsid w:val="00E4405F"/>
    <w:rPr>
      <w:rFonts w:eastAsiaTheme="minorHAnsi"/>
      <w:i/>
      <w:color w:val="000000" w:themeColor="text1"/>
      <w:u w:val="single"/>
      <w:lang w:eastAsia="en-US"/>
    </w:rPr>
  </w:style>
  <w:style w:type="character" w:customStyle="1" w:styleId="Crossreferences">
    <w:name w:val="Cross references"/>
    <w:basedOn w:val="DefaultParagraphFont"/>
    <w:uiPriority w:val="1"/>
    <w:qFormat/>
    <w:rsid w:val="00E4405F"/>
    <w:rPr>
      <w:i/>
      <w:u w:val="single"/>
    </w:rPr>
  </w:style>
  <w:style w:type="character" w:customStyle="1" w:styleId="FootnoteTextChar">
    <w:name w:val="Footnote Text Char"/>
    <w:basedOn w:val="DefaultParagraphFont"/>
    <w:link w:val="FootnoteText"/>
    <w:semiHidden/>
    <w:rsid w:val="00F4090F"/>
    <w:rPr>
      <w:rFonts w:eastAsiaTheme="minorHAnsi"/>
      <w:sz w:val="20"/>
      <w:szCs w:val="20"/>
      <w:lang w:eastAsia="en-US"/>
    </w:rPr>
  </w:style>
  <w:style w:type="paragraph" w:styleId="CommentText">
    <w:name w:val="annotation text"/>
    <w:basedOn w:val="Normal"/>
    <w:link w:val="CommentTextChar"/>
    <w:uiPriority w:val="99"/>
    <w:semiHidden/>
    <w:unhideWhenUsed/>
    <w:rsid w:val="00F7312A"/>
    <w:rPr>
      <w:sz w:val="20"/>
      <w:szCs w:val="20"/>
    </w:rPr>
  </w:style>
  <w:style w:type="character" w:customStyle="1" w:styleId="CommentTextChar">
    <w:name w:val="Comment Text Char"/>
    <w:basedOn w:val="DefaultParagraphFont"/>
    <w:link w:val="CommentText"/>
    <w:uiPriority w:val="99"/>
    <w:semiHidden/>
    <w:rsid w:val="00F7312A"/>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F7312A"/>
    <w:rPr>
      <w:b/>
      <w:bCs/>
    </w:rPr>
  </w:style>
  <w:style w:type="character" w:customStyle="1" w:styleId="CommentSubjectChar">
    <w:name w:val="Comment Subject Char"/>
    <w:basedOn w:val="CommentTextChar"/>
    <w:link w:val="CommentSubject"/>
    <w:uiPriority w:val="99"/>
    <w:semiHidden/>
    <w:rsid w:val="00F7312A"/>
    <w:rPr>
      <w:rFonts w:eastAsiaTheme="minorHAnsi"/>
      <w:b/>
      <w:bCs/>
      <w:sz w:val="20"/>
      <w:szCs w:val="20"/>
      <w:lang w:eastAsia="en-US"/>
    </w:rPr>
  </w:style>
  <w:style w:type="table" w:customStyle="1" w:styleId="DIATable">
    <w:name w:val="_DIA Table"/>
    <w:basedOn w:val="TableNormal"/>
    <w:uiPriority w:val="99"/>
    <w:rsid w:val="005D4F7C"/>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127580">
      <w:bodyDiv w:val="1"/>
      <w:marLeft w:val="0"/>
      <w:marRight w:val="0"/>
      <w:marTop w:val="0"/>
      <w:marBottom w:val="0"/>
      <w:divBdr>
        <w:top w:val="none" w:sz="0" w:space="0" w:color="auto"/>
        <w:left w:val="none" w:sz="0" w:space="0" w:color="auto"/>
        <w:bottom w:val="none" w:sz="0" w:space="0" w:color="auto"/>
        <w:right w:val="none" w:sz="0" w:space="0" w:color="auto"/>
      </w:divBdr>
    </w:div>
    <w:div w:id="165756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971A"/>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AAABF-7D43-414A-B6A7-F8AF63DEE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3577</Words>
  <Characters>20389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23919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Pallavi Chhibber</dc:creator>
  <cp:lastModifiedBy>Tim Bollinger</cp:lastModifiedBy>
  <cp:revision>2</cp:revision>
  <cp:lastPrinted>2016-04-01T02:10:00Z</cp:lastPrinted>
  <dcterms:created xsi:type="dcterms:W3CDTF">2025-04-22T23:08:00Z</dcterms:created>
  <dcterms:modified xsi:type="dcterms:W3CDTF">2025-04-22T23:08:00Z</dcterms:modified>
</cp:coreProperties>
</file>