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66" w:rsidRPr="00E33836" w:rsidRDefault="00B90C66" w:rsidP="008462E9">
      <w:pPr>
        <w:pStyle w:val="CM39"/>
        <w:spacing w:after="255" w:line="260" w:lineRule="atLeast"/>
        <w:ind w:right="4900" w:hanging="284"/>
        <w:jc w:val="both"/>
        <w:rPr>
          <w:sz w:val="22"/>
          <w:szCs w:val="22"/>
        </w:rPr>
      </w:pPr>
      <w:bookmarkStart w:id="0" w:name="_GoBack"/>
      <w:bookmarkEnd w:id="0"/>
    </w:p>
    <w:p w:rsidR="0019456A" w:rsidRPr="00E33836" w:rsidRDefault="0019456A" w:rsidP="008462E9">
      <w:pPr>
        <w:pStyle w:val="CM39"/>
        <w:spacing w:after="255" w:line="260" w:lineRule="atLeast"/>
        <w:ind w:left="670" w:right="2549" w:firstLine="181"/>
        <w:jc w:val="center"/>
        <w:rPr>
          <w:sz w:val="22"/>
          <w:szCs w:val="22"/>
        </w:rPr>
      </w:pPr>
    </w:p>
    <w:p w:rsidR="00880838" w:rsidRPr="00E33836" w:rsidRDefault="00880838" w:rsidP="00880838">
      <w:pPr>
        <w:pStyle w:val="Default"/>
        <w:rPr>
          <w:color w:val="auto"/>
        </w:rPr>
      </w:pPr>
    </w:p>
    <w:p w:rsidR="00CA7B6C" w:rsidRPr="00E33836" w:rsidRDefault="00CD3BB3" w:rsidP="00CD3BB3">
      <w:pPr>
        <w:pStyle w:val="CM39"/>
        <w:spacing w:after="120" w:line="260" w:lineRule="atLeast"/>
        <w:ind w:left="993" w:right="993" w:hanging="426"/>
        <w:jc w:val="center"/>
        <w:rPr>
          <w:b/>
          <w:sz w:val="36"/>
          <w:szCs w:val="36"/>
        </w:rPr>
      </w:pPr>
      <w:r w:rsidRPr="00E33836">
        <w:rPr>
          <w:b/>
          <w:sz w:val="36"/>
          <w:szCs w:val="36"/>
        </w:rPr>
        <w:t xml:space="preserve">Ministers’ </w:t>
      </w:r>
      <w:r w:rsidR="000926B8" w:rsidRPr="00E33836">
        <w:rPr>
          <w:b/>
          <w:sz w:val="36"/>
          <w:szCs w:val="36"/>
        </w:rPr>
        <w:t xml:space="preserve">Travel </w:t>
      </w:r>
      <w:r w:rsidR="008B04BD" w:rsidRPr="00E33836">
        <w:rPr>
          <w:b/>
          <w:sz w:val="36"/>
          <w:szCs w:val="36"/>
        </w:rPr>
        <w:t xml:space="preserve">Services </w:t>
      </w:r>
      <w:r w:rsidR="000926B8" w:rsidRPr="00E33836">
        <w:rPr>
          <w:b/>
          <w:sz w:val="36"/>
          <w:szCs w:val="36"/>
        </w:rPr>
        <w:t xml:space="preserve">within </w:t>
      </w:r>
      <w:smartTag w:uri="urn:schemas-microsoft-com:office:smarttags" w:element="country-region">
        <w:smartTag w:uri="urn:schemas-microsoft-com:office:smarttags" w:element="place">
          <w:r w:rsidR="000926B8" w:rsidRPr="00E33836">
            <w:rPr>
              <w:b/>
              <w:sz w:val="36"/>
              <w:szCs w:val="36"/>
            </w:rPr>
            <w:t>New Zealand</w:t>
          </w:r>
        </w:smartTag>
      </w:smartTag>
      <w:r w:rsidR="000926B8" w:rsidRPr="00E33836">
        <w:rPr>
          <w:b/>
          <w:sz w:val="36"/>
          <w:szCs w:val="36"/>
        </w:rPr>
        <w:t xml:space="preserve"> </w:t>
      </w:r>
    </w:p>
    <w:p w:rsidR="00A430B7" w:rsidRPr="00E33836" w:rsidRDefault="006F77C0" w:rsidP="00CA7B6C">
      <w:pPr>
        <w:pStyle w:val="CM39"/>
        <w:spacing w:after="255" w:line="260" w:lineRule="atLeast"/>
        <w:ind w:left="670" w:right="2127" w:firstLine="181"/>
        <w:jc w:val="center"/>
        <w:rPr>
          <w:b/>
          <w:sz w:val="36"/>
          <w:szCs w:val="36"/>
        </w:rPr>
      </w:pPr>
      <w:r>
        <w:rPr>
          <w:b/>
          <w:sz w:val="36"/>
          <w:szCs w:val="36"/>
        </w:rPr>
        <w:t>Determination 2017</w:t>
      </w:r>
    </w:p>
    <w:p w:rsidR="008462E9" w:rsidRPr="00E33836" w:rsidRDefault="008462E9" w:rsidP="008462E9">
      <w:pPr>
        <w:pStyle w:val="Default"/>
        <w:rPr>
          <w:color w:val="auto"/>
        </w:rPr>
      </w:pPr>
    </w:p>
    <w:p w:rsidR="000926B8" w:rsidRPr="00F7278A" w:rsidRDefault="000926B8" w:rsidP="009F3FA1">
      <w:pPr>
        <w:pStyle w:val="Default"/>
        <w:ind w:left="426" w:right="709"/>
        <w:jc w:val="both"/>
        <w:rPr>
          <w:color w:val="auto"/>
        </w:rPr>
      </w:pPr>
      <w:r w:rsidRPr="00F7278A">
        <w:rPr>
          <w:color w:val="auto"/>
        </w:rPr>
        <w:t>Pursuant to section 27 of the Members of Parliament (Remuneration and Services) Act 2013, the Minister Responsible for Ministerial Services, after complying with section 28 of the Members of Parliament (Remuneration and Services) Act 2013, makes the following determination.</w:t>
      </w:r>
    </w:p>
    <w:p w:rsidR="008462E9" w:rsidRPr="00F7278A" w:rsidRDefault="008462E9" w:rsidP="008462E9">
      <w:pPr>
        <w:pStyle w:val="Default"/>
        <w:rPr>
          <w:color w:val="auto"/>
        </w:rPr>
      </w:pPr>
    </w:p>
    <w:p w:rsidR="000926B8" w:rsidRPr="00F7278A" w:rsidRDefault="000926B8" w:rsidP="008462E9">
      <w:pPr>
        <w:pStyle w:val="Default"/>
        <w:rPr>
          <w:color w:val="auto"/>
        </w:rPr>
      </w:pPr>
    </w:p>
    <w:p w:rsidR="000926B8" w:rsidRPr="00F7278A" w:rsidRDefault="000926B8" w:rsidP="008462E9">
      <w:pPr>
        <w:pStyle w:val="Default"/>
        <w:rPr>
          <w:color w:val="auto"/>
        </w:rPr>
      </w:pPr>
    </w:p>
    <w:p w:rsidR="00A430B7" w:rsidRPr="00F7278A" w:rsidRDefault="00A430B7" w:rsidP="000926B8">
      <w:pPr>
        <w:pStyle w:val="CM40"/>
        <w:spacing w:after="120" w:line="200" w:lineRule="atLeast"/>
        <w:jc w:val="center"/>
        <w:rPr>
          <w:b/>
        </w:rPr>
      </w:pPr>
      <w:r w:rsidRPr="00F7278A">
        <w:rPr>
          <w:b/>
        </w:rPr>
        <w:t xml:space="preserve">CONTENTS </w:t>
      </w:r>
    </w:p>
    <w:p w:rsidR="000926B8" w:rsidRPr="00F7278A" w:rsidRDefault="000926B8" w:rsidP="000926B8">
      <w:pPr>
        <w:pStyle w:val="Default"/>
        <w:rPr>
          <w:color w:val="auto"/>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6200"/>
        <w:gridCol w:w="1059"/>
      </w:tblGrid>
      <w:tr w:rsidR="00371044" w:rsidRPr="00F7278A" w:rsidTr="003B2513">
        <w:trPr>
          <w:trHeight w:val="233"/>
        </w:trPr>
        <w:tc>
          <w:tcPr>
            <w:tcW w:w="1672" w:type="dxa"/>
          </w:tcPr>
          <w:p w:rsidR="00371044" w:rsidRPr="00F7278A" w:rsidRDefault="00371044" w:rsidP="000926B8">
            <w:pPr>
              <w:pStyle w:val="Default"/>
              <w:rPr>
                <w:b/>
                <w:color w:val="auto"/>
              </w:rPr>
            </w:pPr>
            <w:r w:rsidRPr="00F7278A">
              <w:rPr>
                <w:b/>
                <w:color w:val="auto"/>
              </w:rPr>
              <w:t>1</w:t>
            </w:r>
          </w:p>
        </w:tc>
        <w:tc>
          <w:tcPr>
            <w:tcW w:w="6200" w:type="dxa"/>
          </w:tcPr>
          <w:p w:rsidR="00371044" w:rsidRPr="00F7278A" w:rsidRDefault="00371044" w:rsidP="000926B8">
            <w:pPr>
              <w:pStyle w:val="Default"/>
              <w:rPr>
                <w:b/>
                <w:color w:val="auto"/>
              </w:rPr>
            </w:pPr>
            <w:r w:rsidRPr="00F7278A">
              <w:rPr>
                <w:b/>
                <w:color w:val="auto"/>
              </w:rPr>
              <w:t>Title</w:t>
            </w:r>
          </w:p>
        </w:tc>
        <w:tc>
          <w:tcPr>
            <w:tcW w:w="1059" w:type="dxa"/>
          </w:tcPr>
          <w:p w:rsidR="00371044" w:rsidRPr="00F7278A" w:rsidRDefault="00371044" w:rsidP="000926B8">
            <w:pPr>
              <w:pStyle w:val="Default"/>
              <w:rPr>
                <w:b/>
                <w:color w:val="auto"/>
              </w:rPr>
            </w:pPr>
          </w:p>
        </w:tc>
      </w:tr>
      <w:tr w:rsidR="00371044" w:rsidRPr="00F7278A" w:rsidTr="003B2513">
        <w:trPr>
          <w:trHeight w:val="233"/>
        </w:trPr>
        <w:tc>
          <w:tcPr>
            <w:tcW w:w="1672" w:type="dxa"/>
          </w:tcPr>
          <w:p w:rsidR="00371044" w:rsidRPr="00F7278A" w:rsidRDefault="00371044" w:rsidP="000926B8">
            <w:pPr>
              <w:pStyle w:val="Default"/>
              <w:rPr>
                <w:b/>
                <w:color w:val="auto"/>
              </w:rPr>
            </w:pPr>
            <w:r w:rsidRPr="00F7278A">
              <w:rPr>
                <w:b/>
                <w:color w:val="auto"/>
              </w:rPr>
              <w:t>2</w:t>
            </w:r>
          </w:p>
        </w:tc>
        <w:tc>
          <w:tcPr>
            <w:tcW w:w="6200" w:type="dxa"/>
          </w:tcPr>
          <w:p w:rsidR="00371044" w:rsidRPr="00F7278A" w:rsidRDefault="00371044" w:rsidP="000926B8">
            <w:pPr>
              <w:pStyle w:val="Default"/>
              <w:rPr>
                <w:b/>
                <w:color w:val="auto"/>
              </w:rPr>
            </w:pPr>
            <w:r w:rsidRPr="00F7278A">
              <w:rPr>
                <w:b/>
                <w:color w:val="auto"/>
              </w:rPr>
              <w:t>Commencement</w:t>
            </w:r>
          </w:p>
        </w:tc>
        <w:tc>
          <w:tcPr>
            <w:tcW w:w="1059" w:type="dxa"/>
          </w:tcPr>
          <w:p w:rsidR="00371044" w:rsidRPr="00F7278A" w:rsidRDefault="00371044" w:rsidP="000926B8">
            <w:pPr>
              <w:pStyle w:val="Default"/>
              <w:rPr>
                <w:b/>
                <w:color w:val="auto"/>
              </w:rPr>
            </w:pPr>
          </w:p>
        </w:tc>
      </w:tr>
      <w:tr w:rsidR="008462E9" w:rsidRPr="00F7278A" w:rsidTr="003B2513">
        <w:trPr>
          <w:trHeight w:val="233"/>
        </w:trPr>
        <w:tc>
          <w:tcPr>
            <w:tcW w:w="1672" w:type="dxa"/>
          </w:tcPr>
          <w:p w:rsidR="008462E9" w:rsidRPr="00F7278A" w:rsidRDefault="008462E9" w:rsidP="000926B8">
            <w:pPr>
              <w:pStyle w:val="Default"/>
              <w:rPr>
                <w:b/>
                <w:color w:val="auto"/>
              </w:rPr>
            </w:pPr>
          </w:p>
        </w:tc>
        <w:tc>
          <w:tcPr>
            <w:tcW w:w="6200" w:type="dxa"/>
          </w:tcPr>
          <w:p w:rsidR="008462E9" w:rsidRPr="00F7278A" w:rsidRDefault="008462E9" w:rsidP="000926B8">
            <w:pPr>
              <w:pStyle w:val="Default"/>
              <w:rPr>
                <w:b/>
                <w:color w:val="auto"/>
              </w:rPr>
            </w:pPr>
          </w:p>
        </w:tc>
        <w:tc>
          <w:tcPr>
            <w:tcW w:w="1059" w:type="dxa"/>
          </w:tcPr>
          <w:p w:rsidR="008462E9" w:rsidRPr="00F7278A" w:rsidRDefault="008462E9" w:rsidP="000926B8">
            <w:pPr>
              <w:pStyle w:val="Default"/>
              <w:rPr>
                <w:b/>
                <w:color w:val="auto"/>
              </w:rPr>
            </w:pPr>
          </w:p>
        </w:tc>
      </w:tr>
      <w:tr w:rsidR="00636DE7" w:rsidRPr="00F7278A" w:rsidTr="003B2513">
        <w:trPr>
          <w:trHeight w:val="111"/>
        </w:trPr>
        <w:tc>
          <w:tcPr>
            <w:tcW w:w="1672" w:type="dxa"/>
          </w:tcPr>
          <w:p w:rsidR="00636DE7" w:rsidRPr="00F7278A" w:rsidRDefault="00636DE7" w:rsidP="000926B8">
            <w:pPr>
              <w:pStyle w:val="Default"/>
              <w:rPr>
                <w:color w:val="auto"/>
              </w:rPr>
            </w:pPr>
          </w:p>
        </w:tc>
        <w:tc>
          <w:tcPr>
            <w:tcW w:w="6200" w:type="dxa"/>
          </w:tcPr>
          <w:p w:rsidR="00636DE7" w:rsidRPr="00F7278A" w:rsidRDefault="00636DE7" w:rsidP="000926B8">
            <w:pPr>
              <w:pStyle w:val="Default"/>
              <w:rPr>
                <w:color w:val="auto"/>
              </w:rPr>
            </w:pPr>
          </w:p>
        </w:tc>
        <w:tc>
          <w:tcPr>
            <w:tcW w:w="1059" w:type="dxa"/>
          </w:tcPr>
          <w:p w:rsidR="00636DE7" w:rsidRPr="00F7278A" w:rsidRDefault="00636DE7" w:rsidP="000926B8">
            <w:pPr>
              <w:pStyle w:val="Default"/>
              <w:rPr>
                <w:color w:val="auto"/>
              </w:rPr>
            </w:pPr>
          </w:p>
        </w:tc>
      </w:tr>
      <w:tr w:rsidR="00636DE7" w:rsidRPr="00F7278A" w:rsidTr="003B2513">
        <w:trPr>
          <w:trHeight w:val="111"/>
        </w:trPr>
        <w:tc>
          <w:tcPr>
            <w:tcW w:w="1672" w:type="dxa"/>
            <w:vAlign w:val="center"/>
          </w:tcPr>
          <w:p w:rsidR="00636DE7" w:rsidRPr="00F7278A" w:rsidRDefault="00636DE7" w:rsidP="000926B8">
            <w:pPr>
              <w:pStyle w:val="Default"/>
              <w:rPr>
                <w:b/>
                <w:color w:val="auto"/>
              </w:rPr>
            </w:pPr>
            <w:r w:rsidRPr="00F7278A">
              <w:rPr>
                <w:b/>
                <w:color w:val="auto"/>
              </w:rPr>
              <w:t xml:space="preserve">Part </w:t>
            </w:r>
            <w:r w:rsidR="00723275" w:rsidRPr="00F7278A">
              <w:rPr>
                <w:b/>
                <w:color w:val="auto"/>
              </w:rPr>
              <w:t>1</w:t>
            </w:r>
          </w:p>
        </w:tc>
        <w:tc>
          <w:tcPr>
            <w:tcW w:w="6200" w:type="dxa"/>
            <w:vAlign w:val="center"/>
          </w:tcPr>
          <w:p w:rsidR="00636DE7" w:rsidRPr="00F7278A" w:rsidRDefault="00636DE7" w:rsidP="000926B8">
            <w:pPr>
              <w:pStyle w:val="Default"/>
              <w:rPr>
                <w:b/>
                <w:color w:val="auto"/>
              </w:rPr>
            </w:pPr>
            <w:r w:rsidRPr="00F7278A">
              <w:rPr>
                <w:b/>
                <w:color w:val="auto"/>
              </w:rPr>
              <w:t xml:space="preserve">Preliminary </w:t>
            </w:r>
            <w:r w:rsidR="008B04BD" w:rsidRPr="00F7278A">
              <w:rPr>
                <w:b/>
                <w:color w:val="auto"/>
              </w:rPr>
              <w:t>matters</w:t>
            </w:r>
          </w:p>
        </w:tc>
        <w:tc>
          <w:tcPr>
            <w:tcW w:w="1059" w:type="dxa"/>
            <w:vAlign w:val="center"/>
          </w:tcPr>
          <w:p w:rsidR="00636DE7" w:rsidRPr="00F7278A" w:rsidRDefault="00636DE7" w:rsidP="000926B8">
            <w:pPr>
              <w:pStyle w:val="Default"/>
              <w:rPr>
                <w:b/>
                <w:color w:val="auto"/>
              </w:rPr>
            </w:pPr>
          </w:p>
        </w:tc>
      </w:tr>
      <w:tr w:rsidR="00371044" w:rsidRPr="00F7278A" w:rsidTr="003B2513">
        <w:trPr>
          <w:trHeight w:val="122"/>
        </w:trPr>
        <w:tc>
          <w:tcPr>
            <w:tcW w:w="1672" w:type="dxa"/>
            <w:vAlign w:val="center"/>
          </w:tcPr>
          <w:p w:rsidR="00371044" w:rsidRPr="00F7278A" w:rsidRDefault="00371044" w:rsidP="005C7A61">
            <w:pPr>
              <w:pStyle w:val="Default"/>
              <w:rPr>
                <w:color w:val="auto"/>
              </w:rPr>
            </w:pPr>
            <w:r w:rsidRPr="00F7278A">
              <w:rPr>
                <w:color w:val="auto"/>
              </w:rPr>
              <w:t>Clause 1.1</w:t>
            </w:r>
          </w:p>
        </w:tc>
        <w:tc>
          <w:tcPr>
            <w:tcW w:w="6200" w:type="dxa"/>
            <w:vAlign w:val="center"/>
          </w:tcPr>
          <w:p w:rsidR="00371044" w:rsidRPr="00F7278A" w:rsidRDefault="00371044" w:rsidP="001260C9">
            <w:pPr>
              <w:pStyle w:val="Default"/>
              <w:rPr>
                <w:color w:val="auto"/>
              </w:rPr>
            </w:pPr>
            <w:r w:rsidRPr="00F7278A">
              <w:rPr>
                <w:color w:val="auto"/>
              </w:rPr>
              <w:t>Where this Determination fits into the scheme of things</w:t>
            </w:r>
          </w:p>
        </w:tc>
        <w:tc>
          <w:tcPr>
            <w:tcW w:w="1059" w:type="dxa"/>
            <w:vAlign w:val="center"/>
          </w:tcPr>
          <w:p w:rsidR="00371044" w:rsidRPr="00F7278A" w:rsidRDefault="00371044" w:rsidP="000926B8">
            <w:pPr>
              <w:pStyle w:val="Default"/>
              <w:rPr>
                <w:color w:val="auto"/>
              </w:rPr>
            </w:pPr>
          </w:p>
        </w:tc>
      </w:tr>
      <w:tr w:rsidR="00371044" w:rsidRPr="00F7278A" w:rsidTr="003B2513">
        <w:trPr>
          <w:trHeight w:val="122"/>
        </w:trPr>
        <w:tc>
          <w:tcPr>
            <w:tcW w:w="1672" w:type="dxa"/>
            <w:vAlign w:val="center"/>
          </w:tcPr>
          <w:p w:rsidR="00371044" w:rsidRPr="00F7278A" w:rsidRDefault="00371044" w:rsidP="005C7A61">
            <w:pPr>
              <w:pStyle w:val="Default"/>
              <w:rPr>
                <w:color w:val="auto"/>
              </w:rPr>
            </w:pPr>
            <w:r w:rsidRPr="00F7278A">
              <w:rPr>
                <w:color w:val="auto"/>
              </w:rPr>
              <w:t>Clause 1.2</w:t>
            </w:r>
          </w:p>
        </w:tc>
        <w:tc>
          <w:tcPr>
            <w:tcW w:w="6200" w:type="dxa"/>
            <w:vAlign w:val="center"/>
          </w:tcPr>
          <w:p w:rsidR="00371044" w:rsidRPr="00F7278A" w:rsidRDefault="00371044" w:rsidP="001260C9">
            <w:pPr>
              <w:pStyle w:val="Default"/>
              <w:rPr>
                <w:color w:val="auto"/>
              </w:rPr>
            </w:pPr>
            <w:r w:rsidRPr="00F7278A">
              <w:rPr>
                <w:color w:val="auto"/>
              </w:rPr>
              <w:t>Who this document applies to</w:t>
            </w:r>
          </w:p>
        </w:tc>
        <w:tc>
          <w:tcPr>
            <w:tcW w:w="1059" w:type="dxa"/>
            <w:vAlign w:val="center"/>
          </w:tcPr>
          <w:p w:rsidR="00371044" w:rsidRPr="00F7278A" w:rsidRDefault="00371044" w:rsidP="000926B8">
            <w:pPr>
              <w:pStyle w:val="Default"/>
              <w:rPr>
                <w:color w:val="auto"/>
              </w:rPr>
            </w:pPr>
          </w:p>
        </w:tc>
      </w:tr>
      <w:tr w:rsidR="00371044" w:rsidRPr="00F7278A" w:rsidTr="003B2513">
        <w:trPr>
          <w:trHeight w:val="122"/>
        </w:trPr>
        <w:tc>
          <w:tcPr>
            <w:tcW w:w="1672" w:type="dxa"/>
            <w:vAlign w:val="center"/>
          </w:tcPr>
          <w:p w:rsidR="00371044" w:rsidRPr="00F7278A" w:rsidRDefault="00371044" w:rsidP="005C7A61">
            <w:pPr>
              <w:pStyle w:val="Default"/>
              <w:rPr>
                <w:color w:val="auto"/>
              </w:rPr>
            </w:pPr>
            <w:r w:rsidRPr="00F7278A">
              <w:rPr>
                <w:color w:val="auto"/>
              </w:rPr>
              <w:t>Clause 1.3</w:t>
            </w:r>
          </w:p>
        </w:tc>
        <w:tc>
          <w:tcPr>
            <w:tcW w:w="6200" w:type="dxa"/>
            <w:vAlign w:val="center"/>
          </w:tcPr>
          <w:p w:rsidR="00371044" w:rsidRPr="00F7278A" w:rsidRDefault="00371044" w:rsidP="001260C9">
            <w:pPr>
              <w:pStyle w:val="Default"/>
              <w:rPr>
                <w:color w:val="auto"/>
              </w:rPr>
            </w:pPr>
            <w:r w:rsidRPr="00F7278A">
              <w:rPr>
                <w:color w:val="auto"/>
              </w:rPr>
              <w:t>What period this document applies to</w:t>
            </w:r>
          </w:p>
        </w:tc>
        <w:tc>
          <w:tcPr>
            <w:tcW w:w="1059" w:type="dxa"/>
            <w:vAlign w:val="center"/>
          </w:tcPr>
          <w:p w:rsidR="00371044" w:rsidRPr="00F7278A" w:rsidRDefault="00371044" w:rsidP="000926B8">
            <w:pPr>
              <w:pStyle w:val="Default"/>
              <w:rPr>
                <w:color w:val="auto"/>
              </w:rPr>
            </w:pPr>
          </w:p>
        </w:tc>
      </w:tr>
      <w:tr w:rsidR="00371044" w:rsidRPr="00F7278A" w:rsidTr="003B2513">
        <w:trPr>
          <w:trHeight w:val="122"/>
        </w:trPr>
        <w:tc>
          <w:tcPr>
            <w:tcW w:w="1672" w:type="dxa"/>
            <w:vAlign w:val="center"/>
          </w:tcPr>
          <w:p w:rsidR="00371044" w:rsidRPr="00F7278A" w:rsidRDefault="00371044" w:rsidP="005C7A61">
            <w:pPr>
              <w:pStyle w:val="Default"/>
              <w:rPr>
                <w:color w:val="auto"/>
              </w:rPr>
            </w:pPr>
            <w:r w:rsidRPr="00F7278A">
              <w:rPr>
                <w:color w:val="auto"/>
              </w:rPr>
              <w:t>Clause 1.4</w:t>
            </w:r>
          </w:p>
        </w:tc>
        <w:tc>
          <w:tcPr>
            <w:tcW w:w="6200" w:type="dxa"/>
            <w:vAlign w:val="center"/>
          </w:tcPr>
          <w:p w:rsidR="00371044" w:rsidRPr="00F7278A" w:rsidRDefault="00371044" w:rsidP="001260C9">
            <w:pPr>
              <w:pStyle w:val="Default"/>
              <w:rPr>
                <w:color w:val="auto"/>
              </w:rPr>
            </w:pPr>
            <w:r w:rsidRPr="00F7278A">
              <w:rPr>
                <w:color w:val="auto"/>
              </w:rPr>
              <w:t>Legal nature of this document</w:t>
            </w:r>
          </w:p>
        </w:tc>
        <w:tc>
          <w:tcPr>
            <w:tcW w:w="1059" w:type="dxa"/>
            <w:vAlign w:val="center"/>
          </w:tcPr>
          <w:p w:rsidR="00371044" w:rsidRPr="00F7278A" w:rsidRDefault="00371044" w:rsidP="000926B8">
            <w:pPr>
              <w:pStyle w:val="Default"/>
              <w:rPr>
                <w:color w:val="auto"/>
              </w:rPr>
            </w:pPr>
          </w:p>
        </w:tc>
      </w:tr>
      <w:tr w:rsidR="00371044" w:rsidRPr="00F7278A" w:rsidTr="003B2513">
        <w:trPr>
          <w:trHeight w:val="122"/>
        </w:trPr>
        <w:tc>
          <w:tcPr>
            <w:tcW w:w="1672" w:type="dxa"/>
            <w:vAlign w:val="center"/>
          </w:tcPr>
          <w:p w:rsidR="00371044" w:rsidRPr="00F7278A" w:rsidRDefault="00371044" w:rsidP="005C7A61">
            <w:pPr>
              <w:pStyle w:val="Default"/>
              <w:rPr>
                <w:color w:val="auto"/>
              </w:rPr>
            </w:pPr>
            <w:r w:rsidRPr="00F7278A">
              <w:rPr>
                <w:color w:val="auto"/>
              </w:rPr>
              <w:t>Clause 1.5</w:t>
            </w:r>
          </w:p>
        </w:tc>
        <w:tc>
          <w:tcPr>
            <w:tcW w:w="6200" w:type="dxa"/>
            <w:vAlign w:val="center"/>
          </w:tcPr>
          <w:p w:rsidR="00371044" w:rsidRPr="00F7278A" w:rsidRDefault="00371044" w:rsidP="001260C9">
            <w:pPr>
              <w:pStyle w:val="Default"/>
              <w:rPr>
                <w:color w:val="auto"/>
              </w:rPr>
            </w:pPr>
            <w:r w:rsidRPr="00F7278A">
              <w:rPr>
                <w:color w:val="auto"/>
              </w:rPr>
              <w:t>Interpretation</w:t>
            </w:r>
          </w:p>
        </w:tc>
        <w:tc>
          <w:tcPr>
            <w:tcW w:w="1059" w:type="dxa"/>
            <w:vAlign w:val="center"/>
          </w:tcPr>
          <w:p w:rsidR="00371044" w:rsidRPr="00F7278A" w:rsidRDefault="00371044" w:rsidP="000926B8">
            <w:pPr>
              <w:pStyle w:val="Default"/>
              <w:rPr>
                <w:color w:val="auto"/>
              </w:rPr>
            </w:pPr>
          </w:p>
        </w:tc>
      </w:tr>
      <w:tr w:rsidR="00F7278A" w:rsidRPr="00F7278A" w:rsidTr="00F7278A">
        <w:trPr>
          <w:trHeight w:val="122"/>
        </w:trPr>
        <w:tc>
          <w:tcPr>
            <w:tcW w:w="1672" w:type="dxa"/>
          </w:tcPr>
          <w:p w:rsidR="00F7278A" w:rsidRPr="00F7278A" w:rsidRDefault="00F7278A" w:rsidP="00F7278A">
            <w:pPr>
              <w:pStyle w:val="Default"/>
              <w:rPr>
                <w:color w:val="auto"/>
              </w:rPr>
            </w:pPr>
            <w:r w:rsidRPr="00F7278A">
              <w:rPr>
                <w:color w:val="auto"/>
              </w:rPr>
              <w:t xml:space="preserve">Clause </w:t>
            </w:r>
            <w:r>
              <w:rPr>
                <w:color w:val="auto"/>
              </w:rPr>
              <w:t>1.6</w:t>
            </w:r>
          </w:p>
        </w:tc>
        <w:tc>
          <w:tcPr>
            <w:tcW w:w="6200" w:type="dxa"/>
          </w:tcPr>
          <w:p w:rsidR="00F7278A" w:rsidRPr="00F7278A" w:rsidRDefault="00F7278A" w:rsidP="00F7278A">
            <w:pPr>
              <w:pStyle w:val="Default"/>
              <w:rPr>
                <w:color w:val="auto"/>
              </w:rPr>
            </w:pPr>
            <w:r w:rsidRPr="00F7278A">
              <w:rPr>
                <w:color w:val="auto"/>
              </w:rPr>
              <w:t>Purpose</w:t>
            </w:r>
          </w:p>
        </w:tc>
        <w:tc>
          <w:tcPr>
            <w:tcW w:w="1059" w:type="dxa"/>
          </w:tcPr>
          <w:p w:rsidR="00F7278A" w:rsidRPr="00F7278A" w:rsidRDefault="00F7278A" w:rsidP="00F7278A">
            <w:pPr>
              <w:pStyle w:val="Default"/>
              <w:rPr>
                <w:color w:val="auto"/>
              </w:rPr>
            </w:pPr>
          </w:p>
        </w:tc>
      </w:tr>
      <w:tr w:rsidR="00F7278A" w:rsidRPr="00F7278A" w:rsidTr="00F7278A">
        <w:trPr>
          <w:trHeight w:val="122"/>
        </w:trPr>
        <w:tc>
          <w:tcPr>
            <w:tcW w:w="1672" w:type="dxa"/>
          </w:tcPr>
          <w:p w:rsidR="00F7278A" w:rsidRPr="00F7278A" w:rsidRDefault="00F7278A" w:rsidP="00F7278A">
            <w:pPr>
              <w:pStyle w:val="Default"/>
              <w:rPr>
                <w:color w:val="auto"/>
              </w:rPr>
            </w:pPr>
            <w:r w:rsidRPr="00F7278A">
              <w:rPr>
                <w:color w:val="auto"/>
              </w:rPr>
              <w:t xml:space="preserve">Clause </w:t>
            </w:r>
            <w:r>
              <w:rPr>
                <w:color w:val="auto"/>
              </w:rPr>
              <w:t>1.7</w:t>
            </w:r>
          </w:p>
        </w:tc>
        <w:tc>
          <w:tcPr>
            <w:tcW w:w="6200" w:type="dxa"/>
          </w:tcPr>
          <w:p w:rsidR="00F7278A" w:rsidRPr="00F7278A" w:rsidRDefault="00F7278A" w:rsidP="00F7278A">
            <w:pPr>
              <w:pStyle w:val="Default"/>
              <w:rPr>
                <w:color w:val="auto"/>
              </w:rPr>
            </w:pPr>
            <w:r w:rsidRPr="00F7278A">
              <w:rPr>
                <w:bCs/>
                <w:color w:val="auto"/>
              </w:rPr>
              <w:t>Principles to be applied in the use of publicly funded resources</w:t>
            </w:r>
          </w:p>
        </w:tc>
        <w:tc>
          <w:tcPr>
            <w:tcW w:w="1059" w:type="dxa"/>
          </w:tcPr>
          <w:p w:rsidR="00F7278A" w:rsidRPr="00F7278A" w:rsidRDefault="00F7278A" w:rsidP="00F7278A">
            <w:pPr>
              <w:pStyle w:val="Default"/>
              <w:rPr>
                <w:color w:val="auto"/>
              </w:rPr>
            </w:pPr>
          </w:p>
        </w:tc>
      </w:tr>
      <w:tr w:rsidR="00F7278A" w:rsidRPr="00F7278A" w:rsidTr="003B2513">
        <w:trPr>
          <w:trHeight w:val="122"/>
        </w:trPr>
        <w:tc>
          <w:tcPr>
            <w:tcW w:w="1672" w:type="dxa"/>
            <w:vAlign w:val="center"/>
          </w:tcPr>
          <w:p w:rsidR="00F7278A" w:rsidRPr="00F7278A" w:rsidRDefault="00F7278A" w:rsidP="00F7278A">
            <w:pPr>
              <w:pStyle w:val="Default"/>
              <w:rPr>
                <w:color w:val="auto"/>
              </w:rPr>
            </w:pPr>
            <w:r w:rsidRPr="00F7278A">
              <w:rPr>
                <w:color w:val="auto"/>
              </w:rPr>
              <w:t>Clause 1.</w:t>
            </w:r>
            <w:r>
              <w:rPr>
                <w:color w:val="auto"/>
              </w:rPr>
              <w:t>8</w:t>
            </w:r>
          </w:p>
        </w:tc>
        <w:tc>
          <w:tcPr>
            <w:tcW w:w="6200" w:type="dxa"/>
            <w:vAlign w:val="center"/>
          </w:tcPr>
          <w:p w:rsidR="00F7278A" w:rsidRPr="00F7278A" w:rsidRDefault="00F7278A" w:rsidP="00F7278A">
            <w:pPr>
              <w:pStyle w:val="Default"/>
              <w:rPr>
                <w:color w:val="auto"/>
              </w:rPr>
            </w:pPr>
            <w:r w:rsidRPr="00F7278A">
              <w:rPr>
                <w:bCs/>
                <w:color w:val="auto"/>
              </w:rPr>
              <w:t>Members required to manage potential conflicts of interest</w:t>
            </w:r>
          </w:p>
        </w:tc>
        <w:tc>
          <w:tcPr>
            <w:tcW w:w="1059" w:type="dxa"/>
            <w:vAlign w:val="center"/>
          </w:tcPr>
          <w:p w:rsidR="00F7278A" w:rsidRPr="00F7278A" w:rsidRDefault="00F7278A" w:rsidP="00F7278A">
            <w:pPr>
              <w:pStyle w:val="Default"/>
              <w:rPr>
                <w:color w:val="auto"/>
              </w:rPr>
            </w:pPr>
          </w:p>
        </w:tc>
      </w:tr>
      <w:tr w:rsidR="00371044" w:rsidRPr="00F7278A" w:rsidTr="003B2513">
        <w:trPr>
          <w:trHeight w:val="122"/>
        </w:trPr>
        <w:tc>
          <w:tcPr>
            <w:tcW w:w="1672" w:type="dxa"/>
            <w:vAlign w:val="center"/>
          </w:tcPr>
          <w:p w:rsidR="00371044" w:rsidRPr="00F7278A" w:rsidRDefault="00371044" w:rsidP="000926B8">
            <w:pPr>
              <w:pStyle w:val="Default"/>
              <w:rPr>
                <w:color w:val="auto"/>
              </w:rPr>
            </w:pPr>
            <w:r w:rsidRPr="00F7278A">
              <w:rPr>
                <w:color w:val="auto"/>
              </w:rPr>
              <w:t>Clause 1.</w:t>
            </w:r>
            <w:r w:rsidR="00F7278A">
              <w:rPr>
                <w:color w:val="auto"/>
              </w:rPr>
              <w:t>9</w:t>
            </w:r>
          </w:p>
        </w:tc>
        <w:tc>
          <w:tcPr>
            <w:tcW w:w="6200" w:type="dxa"/>
            <w:vAlign w:val="center"/>
          </w:tcPr>
          <w:p w:rsidR="00371044" w:rsidRPr="00F7278A" w:rsidRDefault="0080077E" w:rsidP="001260C9">
            <w:pPr>
              <w:pStyle w:val="Default"/>
              <w:rPr>
                <w:color w:val="auto"/>
              </w:rPr>
            </w:pPr>
            <w:r w:rsidRPr="00F7278A">
              <w:rPr>
                <w:bCs/>
                <w:color w:val="auto"/>
              </w:rPr>
              <w:t>Where costs to be met from</w:t>
            </w:r>
          </w:p>
        </w:tc>
        <w:tc>
          <w:tcPr>
            <w:tcW w:w="1059" w:type="dxa"/>
            <w:vAlign w:val="center"/>
          </w:tcPr>
          <w:p w:rsidR="00371044" w:rsidRPr="00F7278A" w:rsidRDefault="00371044" w:rsidP="000926B8">
            <w:pPr>
              <w:pStyle w:val="Default"/>
              <w:rPr>
                <w:color w:val="auto"/>
              </w:rPr>
            </w:pPr>
          </w:p>
        </w:tc>
      </w:tr>
      <w:tr w:rsidR="00B45E76" w:rsidRPr="00F7278A" w:rsidTr="003B2513">
        <w:trPr>
          <w:trHeight w:val="233"/>
        </w:trPr>
        <w:tc>
          <w:tcPr>
            <w:tcW w:w="1672" w:type="dxa"/>
          </w:tcPr>
          <w:p w:rsidR="00B45E76" w:rsidRPr="00F7278A" w:rsidRDefault="00B45E76" w:rsidP="000926B8">
            <w:pPr>
              <w:pStyle w:val="Default"/>
              <w:rPr>
                <w:color w:val="auto"/>
              </w:rPr>
            </w:pPr>
          </w:p>
        </w:tc>
        <w:tc>
          <w:tcPr>
            <w:tcW w:w="6200" w:type="dxa"/>
          </w:tcPr>
          <w:p w:rsidR="00B45E76" w:rsidRPr="00F7278A" w:rsidRDefault="00B45E76" w:rsidP="000926B8">
            <w:pPr>
              <w:pStyle w:val="Default"/>
              <w:rPr>
                <w:color w:val="auto"/>
              </w:rPr>
            </w:pPr>
          </w:p>
        </w:tc>
        <w:tc>
          <w:tcPr>
            <w:tcW w:w="1059" w:type="dxa"/>
          </w:tcPr>
          <w:p w:rsidR="00B45E76" w:rsidRPr="00F7278A" w:rsidRDefault="00B45E76" w:rsidP="000926B8">
            <w:pPr>
              <w:pStyle w:val="Default"/>
              <w:rPr>
                <w:color w:val="auto"/>
              </w:rPr>
            </w:pPr>
          </w:p>
        </w:tc>
      </w:tr>
      <w:tr w:rsidR="00B45E76" w:rsidRPr="00F7278A" w:rsidTr="003B2513">
        <w:trPr>
          <w:trHeight w:val="233"/>
        </w:trPr>
        <w:tc>
          <w:tcPr>
            <w:tcW w:w="1672" w:type="dxa"/>
          </w:tcPr>
          <w:p w:rsidR="00B45E76" w:rsidRPr="00F7278A" w:rsidRDefault="00B45E76" w:rsidP="000926B8">
            <w:pPr>
              <w:pStyle w:val="Default"/>
              <w:rPr>
                <w:b/>
                <w:color w:val="auto"/>
              </w:rPr>
            </w:pPr>
            <w:r w:rsidRPr="00F7278A">
              <w:rPr>
                <w:b/>
                <w:color w:val="auto"/>
              </w:rPr>
              <w:t xml:space="preserve">Part 2 </w:t>
            </w:r>
          </w:p>
        </w:tc>
        <w:tc>
          <w:tcPr>
            <w:tcW w:w="6200" w:type="dxa"/>
          </w:tcPr>
          <w:p w:rsidR="00B45E76" w:rsidRPr="00F7278A" w:rsidRDefault="00B45E76" w:rsidP="000926B8">
            <w:pPr>
              <w:pStyle w:val="Default"/>
              <w:rPr>
                <w:b/>
                <w:color w:val="auto"/>
              </w:rPr>
            </w:pPr>
            <w:r w:rsidRPr="00F7278A">
              <w:rPr>
                <w:b/>
                <w:color w:val="auto"/>
              </w:rPr>
              <w:t>Travel Services within New Zealand</w:t>
            </w:r>
          </w:p>
        </w:tc>
        <w:tc>
          <w:tcPr>
            <w:tcW w:w="1059" w:type="dxa"/>
          </w:tcPr>
          <w:p w:rsidR="00B45E76" w:rsidRPr="00F7278A" w:rsidRDefault="00B45E76" w:rsidP="000926B8">
            <w:pPr>
              <w:pStyle w:val="Default"/>
              <w:rPr>
                <w:b/>
                <w:color w:val="auto"/>
              </w:rPr>
            </w:pPr>
          </w:p>
        </w:tc>
      </w:tr>
      <w:tr w:rsidR="00B45E76" w:rsidRPr="00F7278A" w:rsidTr="003B2513">
        <w:trPr>
          <w:trHeight w:val="233"/>
        </w:trPr>
        <w:tc>
          <w:tcPr>
            <w:tcW w:w="1672" w:type="dxa"/>
          </w:tcPr>
          <w:p w:rsidR="00B45E76" w:rsidRPr="00F7278A" w:rsidRDefault="00B45E76" w:rsidP="000926B8">
            <w:pPr>
              <w:pStyle w:val="Default"/>
              <w:rPr>
                <w:color w:val="auto"/>
              </w:rPr>
            </w:pPr>
            <w:r w:rsidRPr="00F7278A">
              <w:rPr>
                <w:color w:val="auto"/>
              </w:rPr>
              <w:t>Clause 2.1</w:t>
            </w:r>
          </w:p>
        </w:tc>
        <w:tc>
          <w:tcPr>
            <w:tcW w:w="6200" w:type="dxa"/>
          </w:tcPr>
          <w:p w:rsidR="00B45E76" w:rsidRPr="00F7278A" w:rsidRDefault="00B45E76" w:rsidP="000926B8">
            <w:pPr>
              <w:pStyle w:val="Default"/>
              <w:rPr>
                <w:color w:val="auto"/>
              </w:rPr>
            </w:pPr>
            <w:r w:rsidRPr="00F7278A">
              <w:rPr>
                <w:color w:val="auto"/>
              </w:rPr>
              <w:t>Chauffeur-driven cars</w:t>
            </w:r>
          </w:p>
        </w:tc>
        <w:tc>
          <w:tcPr>
            <w:tcW w:w="1059" w:type="dxa"/>
          </w:tcPr>
          <w:p w:rsidR="00B45E76" w:rsidRPr="00F7278A" w:rsidRDefault="00B45E76" w:rsidP="000926B8">
            <w:pPr>
              <w:pStyle w:val="Default"/>
              <w:rPr>
                <w:color w:val="auto"/>
              </w:rPr>
            </w:pPr>
          </w:p>
        </w:tc>
      </w:tr>
      <w:tr w:rsidR="00B45E76" w:rsidRPr="00F7278A" w:rsidTr="003B2513">
        <w:trPr>
          <w:trHeight w:val="233"/>
        </w:trPr>
        <w:tc>
          <w:tcPr>
            <w:tcW w:w="1672" w:type="dxa"/>
          </w:tcPr>
          <w:p w:rsidR="00B45E76" w:rsidRPr="00F7278A" w:rsidRDefault="00B45E76" w:rsidP="000926B8">
            <w:pPr>
              <w:pStyle w:val="Default"/>
              <w:rPr>
                <w:color w:val="auto"/>
              </w:rPr>
            </w:pPr>
            <w:r w:rsidRPr="00F7278A">
              <w:rPr>
                <w:color w:val="auto"/>
              </w:rPr>
              <w:t>Clause 2.2</w:t>
            </w:r>
          </w:p>
        </w:tc>
        <w:tc>
          <w:tcPr>
            <w:tcW w:w="6200" w:type="dxa"/>
          </w:tcPr>
          <w:p w:rsidR="00B45E76" w:rsidRPr="00F7278A" w:rsidRDefault="00B45E76" w:rsidP="000926B8">
            <w:pPr>
              <w:pStyle w:val="Default"/>
              <w:rPr>
                <w:color w:val="auto"/>
              </w:rPr>
            </w:pPr>
            <w:r w:rsidRPr="00F7278A">
              <w:rPr>
                <w:color w:val="auto"/>
              </w:rPr>
              <w:t>Taxis and subcontractors</w:t>
            </w:r>
          </w:p>
        </w:tc>
        <w:tc>
          <w:tcPr>
            <w:tcW w:w="1059" w:type="dxa"/>
          </w:tcPr>
          <w:p w:rsidR="00B45E76" w:rsidRPr="00F7278A" w:rsidRDefault="00B45E76" w:rsidP="000926B8">
            <w:pPr>
              <w:pStyle w:val="Default"/>
              <w:rPr>
                <w:color w:val="auto"/>
              </w:rPr>
            </w:pPr>
          </w:p>
        </w:tc>
      </w:tr>
      <w:tr w:rsidR="00B45E76" w:rsidRPr="00F7278A" w:rsidTr="003B2513">
        <w:trPr>
          <w:trHeight w:val="233"/>
        </w:trPr>
        <w:tc>
          <w:tcPr>
            <w:tcW w:w="1672" w:type="dxa"/>
          </w:tcPr>
          <w:p w:rsidR="00B45E76" w:rsidRPr="00F7278A" w:rsidRDefault="00B45E76" w:rsidP="000926B8">
            <w:pPr>
              <w:pStyle w:val="Default"/>
              <w:rPr>
                <w:color w:val="auto"/>
              </w:rPr>
            </w:pPr>
            <w:r w:rsidRPr="00F7278A">
              <w:rPr>
                <w:color w:val="auto"/>
              </w:rPr>
              <w:t>Clause 2.3</w:t>
            </w:r>
          </w:p>
        </w:tc>
        <w:tc>
          <w:tcPr>
            <w:tcW w:w="6200" w:type="dxa"/>
          </w:tcPr>
          <w:p w:rsidR="00B45E76" w:rsidRPr="00F7278A" w:rsidRDefault="00B45E76" w:rsidP="000926B8">
            <w:pPr>
              <w:pStyle w:val="Default"/>
              <w:rPr>
                <w:color w:val="auto"/>
              </w:rPr>
            </w:pPr>
            <w:r w:rsidRPr="00F7278A">
              <w:rPr>
                <w:color w:val="auto"/>
              </w:rPr>
              <w:t>Self-drive car</w:t>
            </w:r>
          </w:p>
        </w:tc>
        <w:tc>
          <w:tcPr>
            <w:tcW w:w="1059" w:type="dxa"/>
          </w:tcPr>
          <w:p w:rsidR="00B45E76" w:rsidRPr="00F7278A" w:rsidRDefault="00B45E76" w:rsidP="000926B8">
            <w:pPr>
              <w:pStyle w:val="Default"/>
              <w:rPr>
                <w:color w:val="auto"/>
              </w:rPr>
            </w:pPr>
          </w:p>
        </w:tc>
      </w:tr>
      <w:tr w:rsidR="00B45E76" w:rsidRPr="00F7278A" w:rsidTr="003B2513">
        <w:trPr>
          <w:trHeight w:val="233"/>
        </w:trPr>
        <w:tc>
          <w:tcPr>
            <w:tcW w:w="1672" w:type="dxa"/>
          </w:tcPr>
          <w:p w:rsidR="00B45E76" w:rsidRPr="00F7278A" w:rsidRDefault="00B45E76" w:rsidP="000926B8">
            <w:pPr>
              <w:pStyle w:val="Default"/>
              <w:rPr>
                <w:color w:val="auto"/>
              </w:rPr>
            </w:pPr>
            <w:r w:rsidRPr="00F7278A">
              <w:rPr>
                <w:color w:val="auto"/>
              </w:rPr>
              <w:t>Clause 2.4</w:t>
            </w:r>
          </w:p>
        </w:tc>
        <w:tc>
          <w:tcPr>
            <w:tcW w:w="6200" w:type="dxa"/>
          </w:tcPr>
          <w:p w:rsidR="00B45E76" w:rsidRPr="00F7278A" w:rsidRDefault="00B45E76" w:rsidP="000926B8">
            <w:pPr>
              <w:pStyle w:val="Default"/>
              <w:rPr>
                <w:color w:val="auto"/>
              </w:rPr>
            </w:pPr>
            <w:r w:rsidRPr="00F7278A">
              <w:rPr>
                <w:color w:val="auto"/>
              </w:rPr>
              <w:t>Rental cars</w:t>
            </w:r>
          </w:p>
        </w:tc>
        <w:tc>
          <w:tcPr>
            <w:tcW w:w="1059" w:type="dxa"/>
          </w:tcPr>
          <w:p w:rsidR="00B45E76" w:rsidRPr="00F7278A" w:rsidRDefault="00B45E76" w:rsidP="000926B8">
            <w:pPr>
              <w:pStyle w:val="Default"/>
              <w:rPr>
                <w:color w:val="auto"/>
              </w:rPr>
            </w:pPr>
          </w:p>
        </w:tc>
      </w:tr>
      <w:tr w:rsidR="00B45E76" w:rsidRPr="00F7278A" w:rsidTr="003B2513">
        <w:trPr>
          <w:trHeight w:val="233"/>
        </w:trPr>
        <w:tc>
          <w:tcPr>
            <w:tcW w:w="1672" w:type="dxa"/>
          </w:tcPr>
          <w:p w:rsidR="00B45E76" w:rsidRPr="00F7278A" w:rsidRDefault="00B45E76" w:rsidP="000926B8">
            <w:pPr>
              <w:pStyle w:val="Default"/>
              <w:rPr>
                <w:color w:val="auto"/>
              </w:rPr>
            </w:pPr>
          </w:p>
        </w:tc>
        <w:tc>
          <w:tcPr>
            <w:tcW w:w="6200" w:type="dxa"/>
          </w:tcPr>
          <w:p w:rsidR="00B45E76" w:rsidRPr="00F7278A" w:rsidRDefault="00B45E76" w:rsidP="000926B8">
            <w:pPr>
              <w:pStyle w:val="Default"/>
              <w:rPr>
                <w:color w:val="auto"/>
              </w:rPr>
            </w:pPr>
          </w:p>
        </w:tc>
        <w:tc>
          <w:tcPr>
            <w:tcW w:w="1059" w:type="dxa"/>
          </w:tcPr>
          <w:p w:rsidR="00B45E76" w:rsidRPr="00F7278A" w:rsidRDefault="00B45E76" w:rsidP="000926B8">
            <w:pPr>
              <w:pStyle w:val="Default"/>
              <w:rPr>
                <w:color w:val="auto"/>
              </w:rPr>
            </w:pPr>
          </w:p>
        </w:tc>
      </w:tr>
      <w:tr w:rsidR="00B45E76" w:rsidRPr="00F7278A" w:rsidTr="003B2513">
        <w:trPr>
          <w:trHeight w:val="233"/>
        </w:trPr>
        <w:tc>
          <w:tcPr>
            <w:tcW w:w="1672" w:type="dxa"/>
          </w:tcPr>
          <w:p w:rsidR="00B45E76" w:rsidRPr="00F7278A" w:rsidRDefault="00B45E76" w:rsidP="00593945">
            <w:pPr>
              <w:pStyle w:val="Default"/>
              <w:rPr>
                <w:b/>
                <w:color w:val="auto"/>
              </w:rPr>
            </w:pPr>
            <w:r w:rsidRPr="00F7278A">
              <w:rPr>
                <w:b/>
                <w:color w:val="auto"/>
              </w:rPr>
              <w:t xml:space="preserve">Part 3 </w:t>
            </w:r>
          </w:p>
        </w:tc>
        <w:tc>
          <w:tcPr>
            <w:tcW w:w="6200" w:type="dxa"/>
          </w:tcPr>
          <w:p w:rsidR="00B45E76" w:rsidRPr="00F7278A" w:rsidRDefault="00B45E76" w:rsidP="00593945">
            <w:pPr>
              <w:pStyle w:val="Default"/>
              <w:rPr>
                <w:b/>
                <w:color w:val="auto"/>
              </w:rPr>
            </w:pPr>
            <w:r w:rsidRPr="00F7278A">
              <w:rPr>
                <w:b/>
                <w:color w:val="auto"/>
              </w:rPr>
              <w:t>Travel expenses outside Wellington</w:t>
            </w:r>
          </w:p>
        </w:tc>
        <w:tc>
          <w:tcPr>
            <w:tcW w:w="1059" w:type="dxa"/>
          </w:tcPr>
          <w:p w:rsidR="00B45E76" w:rsidRPr="00F7278A" w:rsidRDefault="00B45E76" w:rsidP="00593945">
            <w:pPr>
              <w:pStyle w:val="Default"/>
              <w:rPr>
                <w:b/>
                <w:color w:val="auto"/>
              </w:rPr>
            </w:pPr>
          </w:p>
        </w:tc>
      </w:tr>
      <w:tr w:rsidR="00B45E76" w:rsidRPr="00F7278A" w:rsidTr="003B2513">
        <w:trPr>
          <w:trHeight w:val="233"/>
        </w:trPr>
        <w:tc>
          <w:tcPr>
            <w:tcW w:w="1672" w:type="dxa"/>
          </w:tcPr>
          <w:p w:rsidR="00B45E76" w:rsidRPr="00F7278A" w:rsidRDefault="00B45E76" w:rsidP="00593945">
            <w:pPr>
              <w:pStyle w:val="Default"/>
              <w:rPr>
                <w:color w:val="auto"/>
              </w:rPr>
            </w:pPr>
            <w:r w:rsidRPr="00F7278A">
              <w:rPr>
                <w:color w:val="auto"/>
              </w:rPr>
              <w:t>Clause 3.</w:t>
            </w:r>
            <w:r w:rsidR="00F7278A">
              <w:rPr>
                <w:color w:val="auto"/>
              </w:rPr>
              <w:t>1</w:t>
            </w:r>
          </w:p>
        </w:tc>
        <w:tc>
          <w:tcPr>
            <w:tcW w:w="6200" w:type="dxa"/>
          </w:tcPr>
          <w:p w:rsidR="00B45E76" w:rsidRPr="00F7278A" w:rsidRDefault="00B45E76" w:rsidP="00593945">
            <w:pPr>
              <w:pStyle w:val="Default"/>
              <w:rPr>
                <w:color w:val="auto"/>
              </w:rPr>
            </w:pPr>
            <w:r w:rsidRPr="00F7278A">
              <w:rPr>
                <w:bCs/>
                <w:color w:val="auto"/>
              </w:rPr>
              <w:t>Non-Wellington meal expense payment</w:t>
            </w:r>
          </w:p>
        </w:tc>
        <w:tc>
          <w:tcPr>
            <w:tcW w:w="1059" w:type="dxa"/>
          </w:tcPr>
          <w:p w:rsidR="00B45E76" w:rsidRPr="00F7278A" w:rsidRDefault="00B45E76" w:rsidP="00593945">
            <w:pPr>
              <w:pStyle w:val="Default"/>
              <w:rPr>
                <w:color w:val="auto"/>
              </w:rPr>
            </w:pPr>
          </w:p>
        </w:tc>
      </w:tr>
      <w:tr w:rsidR="004954E5" w:rsidRPr="00F7278A" w:rsidTr="003B2513">
        <w:trPr>
          <w:trHeight w:val="233"/>
        </w:trPr>
        <w:tc>
          <w:tcPr>
            <w:tcW w:w="1672" w:type="dxa"/>
          </w:tcPr>
          <w:p w:rsidR="004954E5" w:rsidRPr="00F7278A" w:rsidRDefault="004954E5" w:rsidP="00593945">
            <w:pPr>
              <w:pStyle w:val="Default"/>
              <w:rPr>
                <w:color w:val="auto"/>
              </w:rPr>
            </w:pPr>
            <w:r w:rsidRPr="00F7278A">
              <w:rPr>
                <w:color w:val="auto"/>
              </w:rPr>
              <w:t>Clause 3.</w:t>
            </w:r>
            <w:r w:rsidR="00F7278A">
              <w:rPr>
                <w:color w:val="auto"/>
              </w:rPr>
              <w:t>2</w:t>
            </w:r>
          </w:p>
        </w:tc>
        <w:tc>
          <w:tcPr>
            <w:tcW w:w="6200" w:type="dxa"/>
          </w:tcPr>
          <w:p w:rsidR="004954E5" w:rsidRPr="00F7278A" w:rsidRDefault="004954E5" w:rsidP="00593945">
            <w:pPr>
              <w:pStyle w:val="Default"/>
              <w:rPr>
                <w:bCs/>
                <w:color w:val="auto"/>
              </w:rPr>
            </w:pPr>
            <w:r w:rsidRPr="00F7278A">
              <w:rPr>
                <w:bCs/>
              </w:rPr>
              <w:t>Other travel-associated expenses</w:t>
            </w:r>
          </w:p>
        </w:tc>
        <w:tc>
          <w:tcPr>
            <w:tcW w:w="1059" w:type="dxa"/>
          </w:tcPr>
          <w:p w:rsidR="004954E5" w:rsidRPr="00F7278A" w:rsidRDefault="004954E5" w:rsidP="00593945">
            <w:pPr>
              <w:pStyle w:val="Default"/>
              <w:rPr>
                <w:color w:val="auto"/>
              </w:rPr>
            </w:pPr>
          </w:p>
        </w:tc>
      </w:tr>
    </w:tbl>
    <w:p w:rsidR="009E317B" w:rsidRPr="00E33836" w:rsidRDefault="009E317B" w:rsidP="009E317B">
      <w:pPr>
        <w:pStyle w:val="CM39"/>
        <w:pageBreakBefore/>
        <w:spacing w:after="255" w:line="271" w:lineRule="atLeast"/>
        <w:ind w:right="465"/>
        <w:jc w:val="both"/>
        <w:rPr>
          <w:b/>
          <w:bCs/>
          <w:sz w:val="19"/>
          <w:szCs w:val="19"/>
        </w:rPr>
        <w:sectPr w:rsidR="009E317B" w:rsidRPr="00E33836" w:rsidSect="00A91FB3">
          <w:headerReference w:type="even" r:id="rId9"/>
          <w:headerReference w:type="default" r:id="rId10"/>
          <w:footerReference w:type="even" r:id="rId11"/>
          <w:footerReference w:type="default" r:id="rId12"/>
          <w:headerReference w:type="first" r:id="rId13"/>
          <w:footerReference w:type="first" r:id="rId14"/>
          <w:pgSz w:w="11907" w:h="16840" w:code="9"/>
          <w:pgMar w:top="1418" w:right="1275" w:bottom="851" w:left="1701" w:header="720" w:footer="720" w:gutter="0"/>
          <w:pgNumType w:start="1"/>
          <w:cols w:space="720"/>
          <w:noEndnote/>
          <w:titlePg/>
        </w:sectPr>
      </w:pPr>
    </w:p>
    <w:p w:rsidR="009E317B" w:rsidRPr="00E33836" w:rsidRDefault="009E317B" w:rsidP="009E317B">
      <w:pPr>
        <w:pStyle w:val="CM39"/>
        <w:pageBreakBefore/>
        <w:spacing w:after="255" w:line="271" w:lineRule="atLeast"/>
        <w:ind w:right="465"/>
        <w:jc w:val="both"/>
        <w:rPr>
          <w:b/>
          <w:bCs/>
          <w:sz w:val="19"/>
          <w:szCs w:val="19"/>
        </w:rPr>
        <w:sectPr w:rsidR="009E317B" w:rsidRPr="00E33836" w:rsidSect="00636DE7">
          <w:headerReference w:type="even" r:id="rId15"/>
          <w:headerReference w:type="default" r:id="rId16"/>
          <w:headerReference w:type="first" r:id="rId17"/>
          <w:pgSz w:w="11907" w:h="16840" w:code="9"/>
          <w:pgMar w:top="1418" w:right="1701" w:bottom="851" w:left="1701" w:header="720" w:footer="720" w:gutter="0"/>
          <w:pgNumType w:start="1"/>
          <w:cols w:space="720"/>
          <w:noEndnote/>
          <w:titlePg/>
        </w:sectPr>
      </w:pPr>
    </w:p>
    <w:p w:rsidR="00CC16AB" w:rsidRPr="00E33836" w:rsidRDefault="00CC16AB" w:rsidP="005B7886">
      <w:pPr>
        <w:pStyle w:val="CM41"/>
        <w:spacing w:after="230"/>
        <w:ind w:firstLine="426"/>
        <w:jc w:val="both"/>
        <w:rPr>
          <w:b/>
          <w:bCs/>
          <w:sz w:val="19"/>
          <w:szCs w:val="19"/>
        </w:rPr>
      </w:pPr>
    </w:p>
    <w:p w:rsidR="00CD3BB3" w:rsidRPr="00E33836" w:rsidRDefault="00CD3BB3" w:rsidP="00CD3BB3">
      <w:pPr>
        <w:pStyle w:val="Default"/>
      </w:pPr>
    </w:p>
    <w:p w:rsidR="005B7886" w:rsidRPr="00E33836" w:rsidRDefault="005B7886" w:rsidP="00A540C1">
      <w:pPr>
        <w:pStyle w:val="Default"/>
        <w:jc w:val="center"/>
        <w:rPr>
          <w:b/>
          <w:color w:val="auto"/>
          <w:sz w:val="40"/>
          <w:szCs w:val="40"/>
        </w:rPr>
      </w:pPr>
      <w:r w:rsidRPr="00E33836">
        <w:rPr>
          <w:b/>
          <w:color w:val="auto"/>
          <w:sz w:val="40"/>
          <w:szCs w:val="40"/>
        </w:rPr>
        <w:t>Determination</w:t>
      </w:r>
    </w:p>
    <w:p w:rsidR="005B7886" w:rsidRPr="00E33836" w:rsidRDefault="005B7886" w:rsidP="005B7886">
      <w:pPr>
        <w:pStyle w:val="Default"/>
        <w:rPr>
          <w:color w:val="auto"/>
        </w:rPr>
      </w:pPr>
    </w:p>
    <w:p w:rsidR="00F7278A" w:rsidRDefault="0048658F" w:rsidP="0048658F">
      <w:pPr>
        <w:pStyle w:val="Default"/>
        <w:numPr>
          <w:ilvl w:val="0"/>
          <w:numId w:val="5"/>
        </w:numPr>
        <w:tabs>
          <w:tab w:val="clear" w:pos="1065"/>
          <w:tab w:val="num" w:pos="567"/>
        </w:tabs>
        <w:ind w:left="426" w:hanging="426"/>
        <w:rPr>
          <w:b/>
          <w:color w:val="auto"/>
        </w:rPr>
      </w:pPr>
      <w:r>
        <w:rPr>
          <w:b/>
          <w:color w:val="auto"/>
        </w:rPr>
        <w:tab/>
      </w:r>
      <w:r w:rsidR="005B7886" w:rsidRPr="00F7278A">
        <w:rPr>
          <w:b/>
          <w:color w:val="auto"/>
        </w:rPr>
        <w:t>Title</w:t>
      </w:r>
    </w:p>
    <w:p w:rsidR="005B7886" w:rsidRPr="00F7278A" w:rsidRDefault="0048658F" w:rsidP="0048658F">
      <w:pPr>
        <w:pStyle w:val="Default"/>
        <w:ind w:left="567" w:hanging="141"/>
        <w:rPr>
          <w:b/>
          <w:color w:val="auto"/>
        </w:rPr>
      </w:pPr>
      <w:r>
        <w:rPr>
          <w:color w:val="auto"/>
        </w:rPr>
        <w:tab/>
      </w:r>
      <w:r w:rsidR="005B7886" w:rsidRPr="00F7278A">
        <w:rPr>
          <w:color w:val="auto"/>
        </w:rPr>
        <w:t xml:space="preserve">This determination is the </w:t>
      </w:r>
      <w:r w:rsidR="00B06B7F" w:rsidRPr="00F7278A">
        <w:rPr>
          <w:color w:val="auto"/>
        </w:rPr>
        <w:t>Minister</w:t>
      </w:r>
      <w:r w:rsidR="00CD3BB3" w:rsidRPr="00F7278A">
        <w:rPr>
          <w:color w:val="auto"/>
        </w:rPr>
        <w:t xml:space="preserve">s’ </w:t>
      </w:r>
      <w:r w:rsidR="00A540C1" w:rsidRPr="00F7278A">
        <w:rPr>
          <w:color w:val="auto"/>
        </w:rPr>
        <w:t xml:space="preserve">Travel </w:t>
      </w:r>
      <w:r w:rsidR="008B04BD" w:rsidRPr="00F7278A">
        <w:rPr>
          <w:color w:val="auto"/>
        </w:rPr>
        <w:t xml:space="preserve">Services </w:t>
      </w:r>
      <w:r w:rsidR="00A540C1" w:rsidRPr="00F7278A">
        <w:rPr>
          <w:color w:val="auto"/>
        </w:rPr>
        <w:t>within New Zealand Determination 201</w:t>
      </w:r>
      <w:r w:rsidR="006F77C0" w:rsidRPr="00F7278A">
        <w:rPr>
          <w:color w:val="auto"/>
        </w:rPr>
        <w:t>7</w:t>
      </w:r>
      <w:r w:rsidR="00A540C1" w:rsidRPr="00F7278A">
        <w:rPr>
          <w:color w:val="auto"/>
        </w:rPr>
        <w:t>.</w:t>
      </w:r>
    </w:p>
    <w:p w:rsidR="00A540C1" w:rsidRPr="00F7278A" w:rsidRDefault="00A540C1" w:rsidP="005B7886">
      <w:pPr>
        <w:pStyle w:val="Default"/>
        <w:ind w:left="360"/>
        <w:rPr>
          <w:color w:val="auto"/>
        </w:rPr>
      </w:pPr>
    </w:p>
    <w:p w:rsidR="005B7886" w:rsidRPr="00F7278A" w:rsidRDefault="00A540C1" w:rsidP="0048658F">
      <w:pPr>
        <w:pStyle w:val="Default"/>
        <w:numPr>
          <w:ilvl w:val="0"/>
          <w:numId w:val="5"/>
        </w:numPr>
        <w:tabs>
          <w:tab w:val="clear" w:pos="1065"/>
          <w:tab w:val="num" w:pos="567"/>
        </w:tabs>
        <w:ind w:hanging="1065"/>
        <w:rPr>
          <w:b/>
          <w:color w:val="auto"/>
        </w:rPr>
      </w:pPr>
      <w:r w:rsidRPr="00F7278A">
        <w:rPr>
          <w:b/>
          <w:color w:val="auto"/>
        </w:rPr>
        <w:t>Commencement</w:t>
      </w:r>
    </w:p>
    <w:p w:rsidR="00A540C1" w:rsidRPr="00F7278A" w:rsidRDefault="0048658F" w:rsidP="0048658F">
      <w:pPr>
        <w:pStyle w:val="Default"/>
        <w:tabs>
          <w:tab w:val="left" w:pos="567"/>
        </w:tabs>
        <w:ind w:left="360"/>
        <w:rPr>
          <w:color w:val="auto"/>
        </w:rPr>
      </w:pPr>
      <w:r>
        <w:rPr>
          <w:color w:val="auto"/>
        </w:rPr>
        <w:tab/>
      </w:r>
      <w:r w:rsidR="00A540C1" w:rsidRPr="00F7278A">
        <w:rPr>
          <w:color w:val="auto"/>
        </w:rPr>
        <w:t>This dete</w:t>
      </w:r>
      <w:r w:rsidR="006F77C0" w:rsidRPr="00F7278A">
        <w:rPr>
          <w:color w:val="auto"/>
        </w:rPr>
        <w:t>rmination comes into force on 24 September 2017</w:t>
      </w:r>
      <w:r w:rsidR="00A540C1" w:rsidRPr="00F7278A">
        <w:rPr>
          <w:color w:val="auto"/>
        </w:rPr>
        <w:t>.</w:t>
      </w:r>
    </w:p>
    <w:p w:rsidR="00A540C1" w:rsidRPr="00F7278A" w:rsidRDefault="00A540C1" w:rsidP="00A540C1">
      <w:pPr>
        <w:pStyle w:val="Default"/>
        <w:ind w:left="360"/>
        <w:rPr>
          <w:color w:val="auto"/>
        </w:rPr>
      </w:pPr>
    </w:p>
    <w:p w:rsidR="008B04BD" w:rsidRPr="00F7278A" w:rsidRDefault="008B04BD" w:rsidP="00A540C1">
      <w:pPr>
        <w:pStyle w:val="Default"/>
        <w:ind w:left="360"/>
        <w:rPr>
          <w:color w:val="auto"/>
        </w:rPr>
      </w:pPr>
    </w:p>
    <w:p w:rsidR="008B04BD" w:rsidRPr="00F7278A" w:rsidRDefault="008B04BD" w:rsidP="00A540C1">
      <w:pPr>
        <w:pStyle w:val="Default"/>
        <w:ind w:left="360"/>
        <w:rPr>
          <w:color w:val="auto"/>
        </w:rPr>
      </w:pPr>
    </w:p>
    <w:p w:rsidR="00273642" w:rsidRPr="00F7278A" w:rsidRDefault="00273642" w:rsidP="00273642">
      <w:pPr>
        <w:autoSpaceDE w:val="0"/>
        <w:autoSpaceDN w:val="0"/>
        <w:adjustRightInd w:val="0"/>
        <w:jc w:val="center"/>
      </w:pPr>
      <w:r w:rsidRPr="00F7278A">
        <w:rPr>
          <w:b/>
          <w:bCs/>
        </w:rPr>
        <w:t xml:space="preserve">Part 1 </w:t>
      </w:r>
    </w:p>
    <w:p w:rsidR="00273642" w:rsidRPr="00F7278A" w:rsidRDefault="00273642" w:rsidP="00273642">
      <w:pPr>
        <w:autoSpaceDE w:val="0"/>
        <w:autoSpaceDN w:val="0"/>
        <w:adjustRightInd w:val="0"/>
        <w:jc w:val="center"/>
      </w:pPr>
      <w:r w:rsidRPr="00F7278A">
        <w:rPr>
          <w:b/>
          <w:bCs/>
        </w:rPr>
        <w:t xml:space="preserve">Preliminary </w:t>
      </w:r>
      <w:r w:rsidR="008B04BD" w:rsidRPr="00F7278A">
        <w:rPr>
          <w:b/>
          <w:bCs/>
        </w:rPr>
        <w:t>matters</w:t>
      </w:r>
      <w:r w:rsidRPr="00F7278A">
        <w:rPr>
          <w:b/>
          <w:bCs/>
        </w:rPr>
        <w:t xml:space="preserve"> </w:t>
      </w:r>
    </w:p>
    <w:p w:rsidR="00371044" w:rsidRPr="00F7278A" w:rsidRDefault="00371044" w:rsidP="00273642">
      <w:pPr>
        <w:autoSpaceDE w:val="0"/>
        <w:autoSpaceDN w:val="0"/>
        <w:adjustRightInd w:val="0"/>
        <w:jc w:val="both"/>
        <w:rPr>
          <w:b/>
          <w:bCs/>
        </w:rPr>
      </w:pPr>
    </w:p>
    <w:p w:rsidR="00371044" w:rsidRPr="00F7278A" w:rsidRDefault="00E1747A" w:rsidP="0048658F">
      <w:pPr>
        <w:pStyle w:val="ListParagraph"/>
        <w:numPr>
          <w:ilvl w:val="1"/>
          <w:numId w:val="6"/>
        </w:numPr>
        <w:tabs>
          <w:tab w:val="left" w:pos="567"/>
        </w:tabs>
        <w:autoSpaceDE w:val="0"/>
        <w:autoSpaceDN w:val="0"/>
        <w:adjustRightInd w:val="0"/>
        <w:jc w:val="both"/>
        <w:rPr>
          <w:b/>
          <w:bCs/>
        </w:rPr>
      </w:pPr>
      <w:r>
        <w:rPr>
          <w:b/>
          <w:bCs/>
        </w:rPr>
        <w:t xml:space="preserve">   </w:t>
      </w:r>
      <w:r w:rsidR="00371044" w:rsidRPr="00F7278A">
        <w:rPr>
          <w:b/>
          <w:bCs/>
        </w:rPr>
        <w:t>Where this Determination fits into the scheme of things</w:t>
      </w:r>
    </w:p>
    <w:p w:rsidR="00A64EFF" w:rsidRPr="00F7278A" w:rsidRDefault="00A64EFF" w:rsidP="00A64EFF">
      <w:pPr>
        <w:pStyle w:val="ListParagraph"/>
        <w:autoSpaceDE w:val="0"/>
        <w:autoSpaceDN w:val="0"/>
        <w:adjustRightInd w:val="0"/>
        <w:ind w:left="360"/>
        <w:jc w:val="both"/>
      </w:pPr>
    </w:p>
    <w:p w:rsidR="0080077E" w:rsidRPr="00F7278A" w:rsidRDefault="0080077E" w:rsidP="00A64EFF">
      <w:pPr>
        <w:autoSpaceDE w:val="0"/>
        <w:autoSpaceDN w:val="0"/>
        <w:adjustRightInd w:val="0"/>
        <w:ind w:left="567"/>
      </w:pPr>
      <w:r w:rsidRPr="00F7278A">
        <w:t xml:space="preserve">Section 27 provides for </w:t>
      </w:r>
      <w:r w:rsidR="00B06B7F" w:rsidRPr="00F7278A">
        <w:t xml:space="preserve">the Minister </w:t>
      </w:r>
      <w:r w:rsidR="00CD3BB3" w:rsidRPr="00F7278A">
        <w:t xml:space="preserve">Responsible </w:t>
      </w:r>
      <w:r w:rsidR="00B06B7F" w:rsidRPr="00F7278A">
        <w:t xml:space="preserve">for Ministerial Services to determine </w:t>
      </w:r>
      <w:r w:rsidRPr="00F7278A">
        <w:t>travel services for Ministers that are additional or alternative to the entitlements to travel services for members of Parliament set out in the directions issued by the Speaker under section 23 of</w:t>
      </w:r>
      <w:r w:rsidR="00A64EFF" w:rsidRPr="00F7278A">
        <w:t xml:space="preserve"> the</w:t>
      </w:r>
      <w:r w:rsidRPr="00F7278A">
        <w:t xml:space="preserve"> Act.</w:t>
      </w:r>
    </w:p>
    <w:p w:rsidR="0080077E" w:rsidRPr="00F7278A" w:rsidRDefault="0080077E" w:rsidP="003F24DA">
      <w:pPr>
        <w:autoSpaceDE w:val="0"/>
        <w:autoSpaceDN w:val="0"/>
        <w:adjustRightInd w:val="0"/>
        <w:ind w:left="567"/>
      </w:pPr>
    </w:p>
    <w:p w:rsidR="003F24DA" w:rsidRPr="00F7278A" w:rsidRDefault="003F24DA" w:rsidP="003F24DA">
      <w:pPr>
        <w:autoSpaceDE w:val="0"/>
        <w:autoSpaceDN w:val="0"/>
        <w:adjustRightInd w:val="0"/>
        <w:ind w:left="567"/>
      </w:pPr>
      <w:r w:rsidRPr="00F7278A">
        <w:t xml:space="preserve">Under the provisions of the Members of Parliament (Remuneration and Services) Act 2013, services for </w:t>
      </w:r>
      <w:r w:rsidR="00B06B7F" w:rsidRPr="00F7278A">
        <w:t>M</w:t>
      </w:r>
      <w:r w:rsidRPr="00F7278A">
        <w:t xml:space="preserve">inisters are determined variously by the Remuneration Authority, the Speaker and the Minister Responsible for Ministerial Services.  Where no additional or alternate provision is made for </w:t>
      </w:r>
      <w:r w:rsidR="00B06B7F" w:rsidRPr="00F7278A">
        <w:t>M</w:t>
      </w:r>
      <w:r w:rsidRPr="00F7278A">
        <w:t>inisters under the Remuneration Authority’s or the Minister Responsible for Ministerial Services’ determination</w:t>
      </w:r>
      <w:r w:rsidR="0080077E" w:rsidRPr="00F7278A">
        <w:t>s</w:t>
      </w:r>
      <w:r w:rsidRPr="00F7278A">
        <w:t xml:space="preserve">, Ministers’ entitlements are as for those of members of Parliament who are not also </w:t>
      </w:r>
      <w:r w:rsidR="0080077E" w:rsidRPr="00F7278A">
        <w:t>m</w:t>
      </w:r>
      <w:r w:rsidRPr="00F7278A">
        <w:t>inisters.</w:t>
      </w:r>
    </w:p>
    <w:p w:rsidR="003F24DA" w:rsidRPr="00F7278A" w:rsidRDefault="003F24DA" w:rsidP="00A221BA">
      <w:pPr>
        <w:tabs>
          <w:tab w:val="left" w:pos="993"/>
        </w:tabs>
        <w:autoSpaceDE w:val="0"/>
        <w:autoSpaceDN w:val="0"/>
        <w:adjustRightInd w:val="0"/>
        <w:ind w:left="993" w:hanging="426"/>
      </w:pPr>
    </w:p>
    <w:p w:rsidR="003F24DA" w:rsidRPr="00F7278A" w:rsidRDefault="003F24DA" w:rsidP="003F24DA">
      <w:pPr>
        <w:tabs>
          <w:tab w:val="left" w:pos="993"/>
        </w:tabs>
        <w:autoSpaceDE w:val="0"/>
        <w:autoSpaceDN w:val="0"/>
        <w:adjustRightInd w:val="0"/>
        <w:spacing w:after="60"/>
        <w:ind w:left="992" w:hanging="425"/>
        <w:rPr>
          <w:u w:val="single"/>
        </w:rPr>
      </w:pPr>
      <w:r w:rsidRPr="00F7278A">
        <w:rPr>
          <w:u w:val="single"/>
        </w:rPr>
        <w:t>Services determined by the Remuneration Authority</w:t>
      </w:r>
    </w:p>
    <w:p w:rsidR="003F24DA" w:rsidRPr="00F7278A" w:rsidRDefault="003F24DA" w:rsidP="003F24DA">
      <w:pPr>
        <w:autoSpaceDE w:val="0"/>
        <w:autoSpaceDN w:val="0"/>
        <w:adjustRightInd w:val="0"/>
        <w:ind w:left="567"/>
        <w:rPr>
          <w:color w:val="215868" w:themeColor="accent5" w:themeShade="80"/>
        </w:rPr>
      </w:pPr>
      <w:r w:rsidRPr="00F7278A">
        <w:t xml:space="preserve">The Remuneration Authority determines entitlements to accommodation services within New Zealand, including any entitlement of </w:t>
      </w:r>
      <w:r w:rsidR="00B06B7F" w:rsidRPr="00F7278A">
        <w:t>M</w:t>
      </w:r>
      <w:r w:rsidRPr="00F7278A">
        <w:t xml:space="preserve">inisters to accommodation services within New Zealand that are additional or alternative to the accommodation services determined for </w:t>
      </w:r>
      <w:r w:rsidR="00B06B7F" w:rsidRPr="00F7278A">
        <w:t>m</w:t>
      </w:r>
      <w:r w:rsidR="003B0E50" w:rsidRPr="00F7278A">
        <w:t xml:space="preserve">embers </w:t>
      </w:r>
      <w:r w:rsidRPr="00F7278A">
        <w:t xml:space="preserve">of Parliament, and travel services within New Zealand for </w:t>
      </w:r>
      <w:r w:rsidR="00B06B7F" w:rsidRPr="00F7278A">
        <w:t>M</w:t>
      </w:r>
      <w:r w:rsidRPr="00F7278A">
        <w:t>inisters’ family members.</w:t>
      </w:r>
    </w:p>
    <w:p w:rsidR="003F24DA" w:rsidRPr="00F7278A" w:rsidRDefault="003F24DA" w:rsidP="00A221BA">
      <w:pPr>
        <w:tabs>
          <w:tab w:val="left" w:pos="993"/>
        </w:tabs>
        <w:autoSpaceDE w:val="0"/>
        <w:autoSpaceDN w:val="0"/>
        <w:adjustRightInd w:val="0"/>
        <w:ind w:left="993" w:hanging="426"/>
      </w:pPr>
    </w:p>
    <w:p w:rsidR="003F24DA" w:rsidRPr="00F7278A" w:rsidRDefault="003F24DA" w:rsidP="003F24DA">
      <w:pPr>
        <w:tabs>
          <w:tab w:val="left" w:pos="993"/>
        </w:tabs>
        <w:autoSpaceDE w:val="0"/>
        <w:autoSpaceDN w:val="0"/>
        <w:adjustRightInd w:val="0"/>
        <w:spacing w:after="60"/>
        <w:ind w:left="992" w:hanging="425"/>
        <w:rPr>
          <w:u w:val="single"/>
        </w:rPr>
      </w:pPr>
      <w:r w:rsidRPr="00F7278A">
        <w:rPr>
          <w:u w:val="single"/>
        </w:rPr>
        <w:t>Services and funding subject to Speaker’s Directions</w:t>
      </w:r>
    </w:p>
    <w:p w:rsidR="003F24DA" w:rsidRPr="00F7278A" w:rsidRDefault="003F24DA" w:rsidP="003F24DA">
      <w:pPr>
        <w:autoSpaceDE w:val="0"/>
        <w:autoSpaceDN w:val="0"/>
        <w:adjustRightInd w:val="0"/>
        <w:ind w:left="567"/>
      </w:pPr>
      <w:r w:rsidRPr="00F7278A">
        <w:t>The Speaker</w:t>
      </w:r>
      <w:r w:rsidR="00CD3BB3" w:rsidRPr="00F7278A">
        <w:t>’s Directions include</w:t>
      </w:r>
      <w:r w:rsidRPr="00F7278A">
        <w:t xml:space="preserve"> entitlements to travel services within New Ze</w:t>
      </w:r>
      <w:r w:rsidR="003B0E50" w:rsidRPr="00F7278A">
        <w:t>a</w:t>
      </w:r>
      <w:r w:rsidRPr="00F7278A">
        <w:t>land, administrative and support services to support member</w:t>
      </w:r>
      <w:r w:rsidR="003B0E50" w:rsidRPr="00F7278A">
        <w:t>s</w:t>
      </w:r>
      <w:r w:rsidRPr="00F7278A">
        <w:t>’ parliamentary operations and communications services.</w:t>
      </w:r>
      <w:r w:rsidR="005625B7" w:rsidRPr="00F7278A">
        <w:t xml:space="preserve">  </w:t>
      </w:r>
    </w:p>
    <w:p w:rsidR="003F24DA" w:rsidRPr="00F7278A" w:rsidRDefault="003F24DA" w:rsidP="00A221BA">
      <w:pPr>
        <w:tabs>
          <w:tab w:val="left" w:pos="993"/>
        </w:tabs>
        <w:autoSpaceDE w:val="0"/>
        <w:autoSpaceDN w:val="0"/>
        <w:adjustRightInd w:val="0"/>
        <w:ind w:left="993" w:hanging="426"/>
      </w:pPr>
    </w:p>
    <w:p w:rsidR="003B0E50" w:rsidRPr="00F7278A" w:rsidRDefault="003B0E50" w:rsidP="003B0E50">
      <w:pPr>
        <w:tabs>
          <w:tab w:val="left" w:pos="993"/>
        </w:tabs>
        <w:autoSpaceDE w:val="0"/>
        <w:autoSpaceDN w:val="0"/>
        <w:adjustRightInd w:val="0"/>
        <w:spacing w:after="60"/>
        <w:ind w:left="992" w:hanging="425"/>
        <w:rPr>
          <w:u w:val="single"/>
        </w:rPr>
      </w:pPr>
      <w:r w:rsidRPr="00F7278A">
        <w:rPr>
          <w:u w:val="single"/>
        </w:rPr>
        <w:t>Services determined by the Minister Responsible for Ministerial Services</w:t>
      </w:r>
    </w:p>
    <w:p w:rsidR="00D40E5F" w:rsidRPr="00F7278A" w:rsidRDefault="003B0E50" w:rsidP="00D40E5F">
      <w:pPr>
        <w:autoSpaceDE w:val="0"/>
        <w:autoSpaceDN w:val="0"/>
        <w:adjustRightInd w:val="0"/>
        <w:ind w:left="567"/>
      </w:pPr>
      <w:r w:rsidRPr="00F7278A">
        <w:t xml:space="preserve">The Minister Responsible for Ministerial Services determines the entitlement of </w:t>
      </w:r>
      <w:r w:rsidR="00B06B7F" w:rsidRPr="00F7278A">
        <w:t>M</w:t>
      </w:r>
      <w:r w:rsidRPr="00F7278A">
        <w:t xml:space="preserve">inisters to all travel services within New Zealand that are additional or alternative to the travel services for </w:t>
      </w:r>
      <w:r w:rsidR="0080077E" w:rsidRPr="00F7278A">
        <w:t>m</w:t>
      </w:r>
      <w:r w:rsidRPr="00F7278A">
        <w:t>embers of Parliament set out in the Speaker’s Directions.</w:t>
      </w:r>
      <w:r w:rsidR="005625B7" w:rsidRPr="00F7278A">
        <w:t xml:space="preserve">  </w:t>
      </w:r>
    </w:p>
    <w:p w:rsidR="00E64A51" w:rsidRPr="00F7278A" w:rsidRDefault="00E64A51" w:rsidP="00D40E5F">
      <w:pPr>
        <w:autoSpaceDE w:val="0"/>
        <w:autoSpaceDN w:val="0"/>
        <w:adjustRightInd w:val="0"/>
        <w:ind w:left="567"/>
      </w:pPr>
    </w:p>
    <w:p w:rsidR="00D02F5F" w:rsidRPr="00F7278A" w:rsidRDefault="00D02F5F" w:rsidP="00D40E5F">
      <w:pPr>
        <w:autoSpaceDE w:val="0"/>
        <w:autoSpaceDN w:val="0"/>
        <w:adjustRightInd w:val="0"/>
        <w:ind w:left="567"/>
      </w:pPr>
      <w:r w:rsidRPr="00F7278A">
        <w:lastRenderedPageBreak/>
        <w:t>For the avoidance of doubt, travel services for members of the Executive</w:t>
      </w:r>
      <w:r w:rsidR="00A64EFF" w:rsidRPr="00F7278A">
        <w:t xml:space="preserve"> and Parliamentary Under-Secretaries</w:t>
      </w:r>
      <w:r w:rsidRPr="00F7278A">
        <w:t xml:space="preserve"> travelling within New Zealand</w:t>
      </w:r>
      <w:r w:rsidR="00B348EB">
        <w:t>,</w:t>
      </w:r>
      <w:r w:rsidRPr="00F7278A">
        <w:t xml:space="preserve"> are provided by virtue of the </w:t>
      </w:r>
      <w:r w:rsidR="00B348EB">
        <w:t>Speaker’s Directions</w:t>
      </w:r>
      <w:r w:rsidRPr="00F7278A">
        <w:t>, with costs being met from Vote Internal Affairs.</w:t>
      </w:r>
    </w:p>
    <w:p w:rsidR="00D02F5F" w:rsidRPr="00F7278A" w:rsidRDefault="00D02F5F" w:rsidP="00D40E5F">
      <w:pPr>
        <w:autoSpaceDE w:val="0"/>
        <w:autoSpaceDN w:val="0"/>
        <w:adjustRightInd w:val="0"/>
        <w:ind w:left="567"/>
      </w:pPr>
    </w:p>
    <w:p w:rsidR="00273642" w:rsidRPr="00F7278A" w:rsidRDefault="00A540C1" w:rsidP="0048658F">
      <w:pPr>
        <w:keepNext/>
        <w:tabs>
          <w:tab w:val="left" w:pos="567"/>
        </w:tabs>
        <w:autoSpaceDE w:val="0"/>
        <w:autoSpaceDN w:val="0"/>
        <w:adjustRightInd w:val="0"/>
        <w:jc w:val="both"/>
      </w:pPr>
      <w:r w:rsidRPr="00F7278A">
        <w:rPr>
          <w:b/>
          <w:bCs/>
        </w:rPr>
        <w:t>1</w:t>
      </w:r>
      <w:r w:rsidR="00273642" w:rsidRPr="00F7278A">
        <w:rPr>
          <w:b/>
          <w:bCs/>
        </w:rPr>
        <w:t>.</w:t>
      </w:r>
      <w:r w:rsidR="006E48B4" w:rsidRPr="00F7278A">
        <w:rPr>
          <w:b/>
          <w:bCs/>
        </w:rPr>
        <w:t>2</w:t>
      </w:r>
      <w:r w:rsidR="00273642" w:rsidRPr="00F7278A">
        <w:rPr>
          <w:b/>
          <w:bCs/>
        </w:rPr>
        <w:t xml:space="preserve"> </w:t>
      </w:r>
      <w:r w:rsidR="00E1747A">
        <w:rPr>
          <w:b/>
          <w:bCs/>
        </w:rPr>
        <w:t xml:space="preserve">   </w:t>
      </w:r>
      <w:r w:rsidR="00273642" w:rsidRPr="00F7278A">
        <w:rPr>
          <w:b/>
          <w:bCs/>
        </w:rPr>
        <w:t xml:space="preserve">Who this document applies to </w:t>
      </w:r>
    </w:p>
    <w:p w:rsidR="008325CA" w:rsidRDefault="00A64EFF" w:rsidP="00E1747A">
      <w:pPr>
        <w:keepNext/>
        <w:autoSpaceDE w:val="0"/>
        <w:autoSpaceDN w:val="0"/>
        <w:adjustRightInd w:val="0"/>
        <w:ind w:left="546"/>
        <w:jc w:val="both"/>
      </w:pPr>
      <w:r w:rsidRPr="00F7278A">
        <w:t>The services specified in this Determination apply</w:t>
      </w:r>
      <w:r w:rsidR="00273642" w:rsidRPr="00F7278A">
        <w:t xml:space="preserve"> to a person who is a </w:t>
      </w:r>
      <w:r w:rsidR="00B93007" w:rsidRPr="00F7278A">
        <w:t>Minister</w:t>
      </w:r>
    </w:p>
    <w:p w:rsidR="00273642" w:rsidRPr="00F7278A" w:rsidRDefault="00273642" w:rsidP="00E1747A">
      <w:pPr>
        <w:keepNext/>
        <w:autoSpaceDE w:val="0"/>
        <w:autoSpaceDN w:val="0"/>
        <w:adjustRightInd w:val="0"/>
        <w:ind w:left="546"/>
        <w:jc w:val="both"/>
      </w:pPr>
      <w:r w:rsidRPr="00F7278A">
        <w:t xml:space="preserve">while this </w:t>
      </w:r>
      <w:r w:rsidR="00A64EFF" w:rsidRPr="00F7278A">
        <w:t>Determination is in force.</w:t>
      </w:r>
    </w:p>
    <w:p w:rsidR="00776D46" w:rsidRPr="00F7278A" w:rsidRDefault="00E1747A" w:rsidP="00776D46">
      <w:pPr>
        <w:autoSpaceDE w:val="0"/>
        <w:autoSpaceDN w:val="0"/>
        <w:adjustRightInd w:val="0"/>
        <w:ind w:left="426"/>
        <w:jc w:val="both"/>
      </w:pPr>
      <w:r>
        <w:tab/>
      </w:r>
    </w:p>
    <w:p w:rsidR="00273642" w:rsidRPr="00F7278A" w:rsidRDefault="00A540C1" w:rsidP="0048658F">
      <w:pPr>
        <w:tabs>
          <w:tab w:val="left" w:pos="567"/>
        </w:tabs>
        <w:autoSpaceDE w:val="0"/>
        <w:autoSpaceDN w:val="0"/>
        <w:adjustRightInd w:val="0"/>
        <w:jc w:val="both"/>
      </w:pPr>
      <w:r w:rsidRPr="00F7278A">
        <w:rPr>
          <w:b/>
          <w:bCs/>
        </w:rPr>
        <w:t>1</w:t>
      </w:r>
      <w:r w:rsidR="00273642" w:rsidRPr="00F7278A">
        <w:rPr>
          <w:b/>
          <w:bCs/>
        </w:rPr>
        <w:t>.</w:t>
      </w:r>
      <w:r w:rsidR="006E48B4" w:rsidRPr="00F7278A">
        <w:rPr>
          <w:b/>
          <w:bCs/>
        </w:rPr>
        <w:t>3</w:t>
      </w:r>
      <w:r w:rsidR="00273642" w:rsidRPr="00F7278A">
        <w:rPr>
          <w:b/>
          <w:bCs/>
        </w:rPr>
        <w:t xml:space="preserve"> </w:t>
      </w:r>
      <w:r w:rsidR="00744E6E">
        <w:rPr>
          <w:b/>
          <w:bCs/>
        </w:rPr>
        <w:t xml:space="preserve">  </w:t>
      </w:r>
      <w:r w:rsidR="0048658F">
        <w:rPr>
          <w:b/>
          <w:bCs/>
        </w:rPr>
        <w:tab/>
      </w:r>
      <w:r w:rsidR="00273642" w:rsidRPr="00F7278A">
        <w:rPr>
          <w:b/>
          <w:bCs/>
        </w:rPr>
        <w:t xml:space="preserve">What period this document applies to </w:t>
      </w:r>
    </w:p>
    <w:p w:rsidR="00273642" w:rsidRPr="00F7278A" w:rsidRDefault="00273642" w:rsidP="00776D46">
      <w:pPr>
        <w:tabs>
          <w:tab w:val="left" w:pos="993"/>
        </w:tabs>
        <w:autoSpaceDE w:val="0"/>
        <w:autoSpaceDN w:val="0"/>
        <w:adjustRightInd w:val="0"/>
        <w:ind w:left="993" w:hanging="426"/>
      </w:pPr>
      <w:r w:rsidRPr="00F7278A">
        <w:t>(1)</w:t>
      </w:r>
      <w:r w:rsidR="00DD1704">
        <w:tab/>
      </w:r>
      <w:r w:rsidRPr="00F7278A">
        <w:t>This document applies to travel that take</w:t>
      </w:r>
      <w:r w:rsidR="001F613E" w:rsidRPr="00F7278A">
        <w:t>s</w:t>
      </w:r>
      <w:r w:rsidRPr="00F7278A">
        <w:t xml:space="preserve"> place on or after </w:t>
      </w:r>
      <w:r w:rsidR="006F77C0" w:rsidRPr="00F7278A">
        <w:t>24</w:t>
      </w:r>
      <w:r w:rsidR="007345E7" w:rsidRPr="00F7278A">
        <w:t xml:space="preserve"> September</w:t>
      </w:r>
      <w:r w:rsidR="001F613E" w:rsidRPr="00F7278A">
        <w:t xml:space="preserve"> 201</w:t>
      </w:r>
      <w:r w:rsidR="006F77C0" w:rsidRPr="00F7278A">
        <w:t>7</w:t>
      </w:r>
      <w:r w:rsidRPr="00F7278A">
        <w:t xml:space="preserve">. </w:t>
      </w:r>
    </w:p>
    <w:p w:rsidR="00273642" w:rsidRPr="00F7278A" w:rsidRDefault="00273642" w:rsidP="00DD1704">
      <w:pPr>
        <w:tabs>
          <w:tab w:val="left" w:pos="993"/>
        </w:tabs>
        <w:autoSpaceDE w:val="0"/>
        <w:autoSpaceDN w:val="0"/>
        <w:adjustRightInd w:val="0"/>
        <w:ind w:left="992" w:hanging="425"/>
      </w:pPr>
      <w:r w:rsidRPr="00F7278A">
        <w:t>(2)</w:t>
      </w:r>
      <w:r w:rsidR="00DD1704">
        <w:tab/>
      </w:r>
      <w:r w:rsidRPr="00F7278A">
        <w:t xml:space="preserve">This document continues in force until a new document is issued by the Minister Responsible for Ministerial Services that sets out the travel </w:t>
      </w:r>
      <w:r w:rsidR="00CD3BB3" w:rsidRPr="00F7278A">
        <w:t xml:space="preserve">services </w:t>
      </w:r>
      <w:r w:rsidRPr="00F7278A">
        <w:t xml:space="preserve">available to </w:t>
      </w:r>
      <w:r w:rsidR="00B06B7F" w:rsidRPr="00F7278A">
        <w:t>Ministers</w:t>
      </w:r>
      <w:r w:rsidRPr="00F7278A">
        <w:t xml:space="preserve">. </w:t>
      </w:r>
    </w:p>
    <w:p w:rsidR="00273642" w:rsidRPr="00F7278A" w:rsidRDefault="00273642" w:rsidP="00B34E4C">
      <w:pPr>
        <w:autoSpaceDE w:val="0"/>
        <w:autoSpaceDN w:val="0"/>
        <w:adjustRightInd w:val="0"/>
      </w:pPr>
    </w:p>
    <w:p w:rsidR="00273642" w:rsidRPr="00F7278A" w:rsidRDefault="00A540C1" w:rsidP="0048658F">
      <w:pPr>
        <w:tabs>
          <w:tab w:val="left" w:pos="567"/>
        </w:tabs>
        <w:autoSpaceDE w:val="0"/>
        <w:autoSpaceDN w:val="0"/>
        <w:adjustRightInd w:val="0"/>
        <w:jc w:val="both"/>
      </w:pPr>
      <w:r w:rsidRPr="00F7278A">
        <w:rPr>
          <w:b/>
          <w:bCs/>
        </w:rPr>
        <w:t>1</w:t>
      </w:r>
      <w:r w:rsidR="00273642" w:rsidRPr="00F7278A">
        <w:rPr>
          <w:b/>
          <w:bCs/>
        </w:rPr>
        <w:t>.</w:t>
      </w:r>
      <w:r w:rsidR="006E48B4" w:rsidRPr="00F7278A">
        <w:rPr>
          <w:b/>
          <w:bCs/>
        </w:rPr>
        <w:t>4</w:t>
      </w:r>
      <w:r w:rsidR="00E1747A">
        <w:rPr>
          <w:b/>
          <w:bCs/>
        </w:rPr>
        <w:t xml:space="preserve">    </w:t>
      </w:r>
      <w:r w:rsidR="00273642" w:rsidRPr="00F7278A">
        <w:rPr>
          <w:b/>
          <w:bCs/>
        </w:rPr>
        <w:t xml:space="preserve"> Legal nature of this document </w:t>
      </w:r>
    </w:p>
    <w:p w:rsidR="00273642" w:rsidRPr="00F7278A" w:rsidRDefault="00273642" w:rsidP="00E1747A">
      <w:pPr>
        <w:autoSpaceDE w:val="0"/>
        <w:autoSpaceDN w:val="0"/>
        <w:adjustRightInd w:val="0"/>
        <w:ind w:left="606"/>
        <w:jc w:val="both"/>
      </w:pPr>
      <w:r w:rsidRPr="00F7278A">
        <w:t xml:space="preserve">This document is a specification of </w:t>
      </w:r>
      <w:r w:rsidR="009D1B5C" w:rsidRPr="00F7278A">
        <w:t>entitlements</w:t>
      </w:r>
      <w:r w:rsidR="0027247D" w:rsidRPr="00F7278A">
        <w:t xml:space="preserve"> under </w:t>
      </w:r>
      <w:r w:rsidRPr="00F7278A">
        <w:t>section 2</w:t>
      </w:r>
      <w:r w:rsidR="00CC376F" w:rsidRPr="00F7278A">
        <w:t>7</w:t>
      </w:r>
      <w:r w:rsidRPr="00F7278A">
        <w:t xml:space="preserve"> of the </w:t>
      </w:r>
      <w:r w:rsidR="00D774C8" w:rsidRPr="00F7278A">
        <w:t>Members</w:t>
      </w:r>
      <w:r w:rsidR="00E1747A">
        <w:t xml:space="preserve"> </w:t>
      </w:r>
      <w:r w:rsidR="00D774C8" w:rsidRPr="00F7278A">
        <w:t>of Parliament (Remuneration and Services) Act 2013</w:t>
      </w:r>
      <w:r w:rsidR="00DD4240" w:rsidRPr="00F7278A">
        <w:t>.</w:t>
      </w:r>
      <w:r w:rsidRPr="00F7278A">
        <w:t xml:space="preserve"> </w:t>
      </w:r>
    </w:p>
    <w:p w:rsidR="00273642" w:rsidRPr="00F7278A" w:rsidRDefault="00273642" w:rsidP="00273642">
      <w:pPr>
        <w:autoSpaceDE w:val="0"/>
        <w:autoSpaceDN w:val="0"/>
        <w:adjustRightInd w:val="0"/>
      </w:pPr>
    </w:p>
    <w:p w:rsidR="00273642" w:rsidRPr="00F7278A" w:rsidRDefault="00A540C1" w:rsidP="0048658F">
      <w:pPr>
        <w:tabs>
          <w:tab w:val="left" w:pos="567"/>
        </w:tabs>
        <w:autoSpaceDE w:val="0"/>
        <w:autoSpaceDN w:val="0"/>
        <w:adjustRightInd w:val="0"/>
        <w:jc w:val="both"/>
      </w:pPr>
      <w:r w:rsidRPr="00F7278A">
        <w:rPr>
          <w:b/>
          <w:bCs/>
        </w:rPr>
        <w:t>1</w:t>
      </w:r>
      <w:r w:rsidR="00273642" w:rsidRPr="00F7278A">
        <w:rPr>
          <w:b/>
          <w:bCs/>
        </w:rPr>
        <w:t>.</w:t>
      </w:r>
      <w:r w:rsidR="006E48B4" w:rsidRPr="00F7278A">
        <w:rPr>
          <w:b/>
          <w:bCs/>
        </w:rPr>
        <w:t>5</w:t>
      </w:r>
      <w:r w:rsidR="00273642" w:rsidRPr="00F7278A">
        <w:rPr>
          <w:b/>
          <w:bCs/>
        </w:rPr>
        <w:t xml:space="preserve"> </w:t>
      </w:r>
      <w:r w:rsidR="00E1747A">
        <w:rPr>
          <w:b/>
          <w:bCs/>
        </w:rPr>
        <w:t xml:space="preserve">    </w:t>
      </w:r>
      <w:r w:rsidR="00273642" w:rsidRPr="00F7278A">
        <w:rPr>
          <w:b/>
          <w:bCs/>
        </w:rPr>
        <w:t xml:space="preserve">Interpretation </w:t>
      </w:r>
    </w:p>
    <w:p w:rsidR="00273642" w:rsidRPr="00F7278A" w:rsidRDefault="00E1747A" w:rsidP="00B34E4C">
      <w:pPr>
        <w:autoSpaceDE w:val="0"/>
        <w:autoSpaceDN w:val="0"/>
        <w:adjustRightInd w:val="0"/>
        <w:ind w:left="720" w:hanging="294"/>
        <w:jc w:val="both"/>
      </w:pPr>
      <w:r>
        <w:t xml:space="preserve">   </w:t>
      </w:r>
      <w:r w:rsidR="00273642" w:rsidRPr="00F7278A">
        <w:t xml:space="preserve">In this document, unless the context otherwise requires, - </w:t>
      </w:r>
    </w:p>
    <w:p w:rsidR="00273642" w:rsidRPr="00F7278A" w:rsidRDefault="00E1747A" w:rsidP="0048658F">
      <w:pPr>
        <w:tabs>
          <w:tab w:val="left" w:pos="567"/>
        </w:tabs>
        <w:autoSpaceDE w:val="0"/>
        <w:autoSpaceDN w:val="0"/>
        <w:adjustRightInd w:val="0"/>
        <w:spacing w:before="120" w:after="60"/>
        <w:ind w:firstLine="426"/>
        <w:jc w:val="both"/>
      </w:pPr>
      <w:r>
        <w:rPr>
          <w:b/>
          <w:bCs/>
        </w:rPr>
        <w:t xml:space="preserve">   </w:t>
      </w:r>
      <w:r w:rsidR="00B06B7F" w:rsidRPr="00F7278A">
        <w:rPr>
          <w:b/>
          <w:bCs/>
        </w:rPr>
        <w:t>Minister</w:t>
      </w:r>
      <w:r w:rsidR="00273642" w:rsidRPr="00F7278A">
        <w:rPr>
          <w:b/>
          <w:bCs/>
        </w:rPr>
        <w:t xml:space="preserve"> </w:t>
      </w:r>
      <w:r w:rsidR="00273642" w:rsidRPr="00F7278A">
        <w:t>means a person who is currently a member of the Executive Council</w:t>
      </w:r>
      <w:r w:rsidR="00A64EFF" w:rsidRPr="00F7278A">
        <w:t>.</w:t>
      </w:r>
    </w:p>
    <w:p w:rsidR="00E1747A" w:rsidRDefault="00E1747A" w:rsidP="00E1747A">
      <w:pPr>
        <w:autoSpaceDE w:val="0"/>
        <w:autoSpaceDN w:val="0"/>
        <w:adjustRightInd w:val="0"/>
        <w:jc w:val="both"/>
      </w:pPr>
      <w:r>
        <w:rPr>
          <w:b/>
          <w:bCs/>
        </w:rPr>
        <w:t xml:space="preserve">          </w:t>
      </w:r>
      <w:r w:rsidR="00273642" w:rsidRPr="00F7278A">
        <w:rPr>
          <w:b/>
          <w:bCs/>
        </w:rPr>
        <w:t xml:space="preserve">ministerial business </w:t>
      </w:r>
      <w:r w:rsidR="00273642" w:rsidRPr="00F7278A">
        <w:t xml:space="preserve">includes carrying out any of the functions of a Minister as </w:t>
      </w:r>
    </w:p>
    <w:p w:rsidR="00776D46" w:rsidRPr="00F7278A" w:rsidRDefault="00E1747A" w:rsidP="00E1747A">
      <w:pPr>
        <w:autoSpaceDE w:val="0"/>
        <w:autoSpaceDN w:val="0"/>
        <w:adjustRightInd w:val="0"/>
        <w:jc w:val="both"/>
      </w:pPr>
      <w:r>
        <w:t xml:space="preserve">          s</w:t>
      </w:r>
      <w:r w:rsidR="00273642" w:rsidRPr="00F7278A">
        <w:t xml:space="preserve">et out in the </w:t>
      </w:r>
      <w:r w:rsidR="00DD4240" w:rsidRPr="00F7278A">
        <w:t xml:space="preserve">New Zealand </w:t>
      </w:r>
      <w:r w:rsidR="00273642" w:rsidRPr="00F7278A">
        <w:t>Cabinet Manual</w:t>
      </w:r>
      <w:r w:rsidR="00DD4240" w:rsidRPr="00F7278A">
        <w:t>.</w:t>
      </w:r>
      <w:r w:rsidR="00472E11" w:rsidRPr="00F7278A">
        <w:t xml:space="preserve"> </w:t>
      </w:r>
    </w:p>
    <w:p w:rsidR="00A176CD" w:rsidRPr="00F7278A" w:rsidRDefault="00E1747A" w:rsidP="00E1747A">
      <w:pPr>
        <w:autoSpaceDE w:val="0"/>
        <w:autoSpaceDN w:val="0"/>
        <w:adjustRightInd w:val="0"/>
        <w:spacing w:after="120"/>
        <w:jc w:val="both"/>
        <w:rPr>
          <w:bCs/>
          <w:i/>
        </w:rPr>
      </w:pPr>
      <w:r>
        <w:rPr>
          <w:b/>
          <w:bCs/>
        </w:rPr>
        <w:t xml:space="preserve">          </w:t>
      </w:r>
      <w:r w:rsidR="00A176CD" w:rsidRPr="00F7278A">
        <w:rPr>
          <w:b/>
          <w:bCs/>
        </w:rPr>
        <w:t>parliamentary business</w:t>
      </w:r>
      <w:r w:rsidR="00DD4240" w:rsidRPr="00F7278A">
        <w:rPr>
          <w:b/>
          <w:bCs/>
        </w:rPr>
        <w:t xml:space="preserve"> </w:t>
      </w:r>
      <w:r w:rsidR="00DD4240" w:rsidRPr="00F7278A">
        <w:rPr>
          <w:bCs/>
        </w:rPr>
        <w:t>has the meaning given to it in the Speaker’s Directions</w:t>
      </w:r>
      <w:r w:rsidR="00472E11" w:rsidRPr="00F7278A">
        <w:rPr>
          <w:bCs/>
        </w:rPr>
        <w:t xml:space="preserve"> </w:t>
      </w:r>
    </w:p>
    <w:p w:rsidR="00820D47" w:rsidRPr="00F7278A" w:rsidRDefault="00E1747A" w:rsidP="00E1747A">
      <w:pPr>
        <w:autoSpaceDE w:val="0"/>
        <w:autoSpaceDN w:val="0"/>
        <w:adjustRightInd w:val="0"/>
        <w:spacing w:after="120"/>
        <w:jc w:val="both"/>
      </w:pPr>
      <w:r>
        <w:rPr>
          <w:b/>
          <w:bCs/>
        </w:rPr>
        <w:t xml:space="preserve">          </w:t>
      </w:r>
      <w:r w:rsidR="00820D47" w:rsidRPr="00F7278A">
        <w:rPr>
          <w:b/>
          <w:bCs/>
        </w:rPr>
        <w:t xml:space="preserve">Speaker </w:t>
      </w:r>
      <w:r w:rsidR="00820D47" w:rsidRPr="00F7278A">
        <w:t xml:space="preserve">means the Speaker of the House of Representatives </w:t>
      </w:r>
    </w:p>
    <w:p w:rsidR="00E1747A" w:rsidRDefault="00E1747A" w:rsidP="00E1747A">
      <w:pPr>
        <w:autoSpaceDE w:val="0"/>
        <w:autoSpaceDN w:val="0"/>
        <w:adjustRightInd w:val="0"/>
      </w:pPr>
      <w:r>
        <w:rPr>
          <w:b/>
          <w:bCs/>
        </w:rPr>
        <w:t xml:space="preserve">          </w:t>
      </w:r>
      <w:r w:rsidR="00820D47" w:rsidRPr="00F7278A">
        <w:rPr>
          <w:b/>
          <w:bCs/>
        </w:rPr>
        <w:t xml:space="preserve">Speaker’s </w:t>
      </w:r>
      <w:r w:rsidR="00B06B7F" w:rsidRPr="00F7278A">
        <w:rPr>
          <w:b/>
          <w:bCs/>
        </w:rPr>
        <w:t>D</w:t>
      </w:r>
      <w:r w:rsidR="00820D47" w:rsidRPr="00F7278A">
        <w:rPr>
          <w:b/>
          <w:bCs/>
        </w:rPr>
        <w:t xml:space="preserve">irections </w:t>
      </w:r>
      <w:r w:rsidR="00820D47" w:rsidRPr="00F7278A">
        <w:t xml:space="preserve">means </w:t>
      </w:r>
      <w:r w:rsidR="000320AC" w:rsidRPr="00F7278A">
        <w:t>a document issued by the Speaker pursuant to</w:t>
      </w:r>
    </w:p>
    <w:p w:rsidR="000320AC" w:rsidRPr="00F7278A" w:rsidRDefault="00E1747A" w:rsidP="00E1747A">
      <w:pPr>
        <w:autoSpaceDE w:val="0"/>
        <w:autoSpaceDN w:val="0"/>
        <w:adjustRightInd w:val="0"/>
      </w:pPr>
      <w:r>
        <w:t xml:space="preserve">    </w:t>
      </w:r>
      <w:r w:rsidR="000320AC" w:rsidRPr="00F7278A">
        <w:t xml:space="preserve"> </w:t>
      </w:r>
      <w:r>
        <w:t xml:space="preserve">     s</w:t>
      </w:r>
      <w:r w:rsidR="000320AC" w:rsidRPr="00F7278A">
        <w:t>ection 23 of the Members of Parliament (Remuneration and Services) Act 2013</w:t>
      </w:r>
    </w:p>
    <w:p w:rsidR="00957CDC" w:rsidRPr="00F7278A" w:rsidRDefault="00957CDC" w:rsidP="00273642">
      <w:pPr>
        <w:autoSpaceDE w:val="0"/>
        <w:autoSpaceDN w:val="0"/>
        <w:adjustRightInd w:val="0"/>
        <w:jc w:val="both"/>
        <w:rPr>
          <w:b/>
          <w:bCs/>
        </w:rPr>
      </w:pPr>
    </w:p>
    <w:p w:rsidR="00F7278A" w:rsidRPr="00F7278A" w:rsidRDefault="00F7278A" w:rsidP="0048658F">
      <w:pPr>
        <w:pStyle w:val="CM39"/>
        <w:tabs>
          <w:tab w:val="left" w:pos="567"/>
        </w:tabs>
        <w:spacing w:line="260" w:lineRule="atLeast"/>
        <w:ind w:left="-284" w:right="465" w:firstLine="284"/>
        <w:jc w:val="both"/>
        <w:rPr>
          <w:b/>
        </w:rPr>
      </w:pPr>
      <w:r w:rsidRPr="00F7278A">
        <w:rPr>
          <w:b/>
        </w:rPr>
        <w:t xml:space="preserve">1.6 </w:t>
      </w:r>
      <w:r w:rsidR="0048658F">
        <w:rPr>
          <w:b/>
        </w:rPr>
        <w:t xml:space="preserve">   </w:t>
      </w:r>
      <w:r w:rsidRPr="00F7278A">
        <w:rPr>
          <w:b/>
        </w:rPr>
        <w:t xml:space="preserve">Purpose </w:t>
      </w:r>
    </w:p>
    <w:p w:rsidR="00F7278A" w:rsidRPr="00F7278A" w:rsidRDefault="00F7278A" w:rsidP="0048658F">
      <w:pPr>
        <w:pStyle w:val="CM39"/>
        <w:spacing w:line="260" w:lineRule="atLeast"/>
        <w:ind w:left="567" w:right="465"/>
        <w:jc w:val="both"/>
      </w:pPr>
      <w:r w:rsidRPr="00F7278A">
        <w:t xml:space="preserve">Ministers travel frequently outside Wellington on ministerial business and </w:t>
      </w:r>
      <w:r w:rsidR="00E1747A">
        <w:t xml:space="preserve">    </w:t>
      </w:r>
      <w:r w:rsidRPr="00F7278A">
        <w:t xml:space="preserve">their meal costs incurred as a consequence of their ministerial travel are accordingly higher than is intended to be met by the parliamentary expenses allowance.  </w:t>
      </w:r>
    </w:p>
    <w:p w:rsidR="00F7278A" w:rsidRPr="00F7278A" w:rsidRDefault="00F7278A" w:rsidP="00F7278A">
      <w:pPr>
        <w:pStyle w:val="Default"/>
        <w:rPr>
          <w:color w:val="auto"/>
        </w:rPr>
      </w:pPr>
    </w:p>
    <w:p w:rsidR="0048658F" w:rsidRDefault="00F7278A" w:rsidP="0048658F">
      <w:pPr>
        <w:autoSpaceDE w:val="0"/>
        <w:autoSpaceDN w:val="0"/>
        <w:adjustRightInd w:val="0"/>
        <w:rPr>
          <w:b/>
          <w:bCs/>
        </w:rPr>
      </w:pPr>
      <w:r w:rsidRPr="00F7278A">
        <w:rPr>
          <w:b/>
          <w:bCs/>
        </w:rPr>
        <w:t xml:space="preserve">1.7 </w:t>
      </w:r>
      <w:r w:rsidR="0048658F">
        <w:rPr>
          <w:b/>
          <w:bCs/>
        </w:rPr>
        <w:t xml:space="preserve">   </w:t>
      </w:r>
      <w:r w:rsidRPr="00F7278A">
        <w:rPr>
          <w:b/>
          <w:bCs/>
        </w:rPr>
        <w:t>Principles to be applied in the use of publicly funded resources</w:t>
      </w:r>
    </w:p>
    <w:p w:rsidR="00F7278A" w:rsidRPr="0048658F" w:rsidRDefault="0048658F" w:rsidP="0048658F">
      <w:pPr>
        <w:tabs>
          <w:tab w:val="left" w:pos="567"/>
        </w:tabs>
        <w:autoSpaceDE w:val="0"/>
        <w:autoSpaceDN w:val="0"/>
        <w:adjustRightInd w:val="0"/>
        <w:rPr>
          <w:b/>
          <w:bCs/>
        </w:rPr>
      </w:pPr>
      <w:r>
        <w:rPr>
          <w:b/>
          <w:bCs/>
        </w:rPr>
        <w:tab/>
      </w:r>
      <w:r w:rsidR="00F7278A" w:rsidRPr="00F7278A">
        <w:t xml:space="preserve">Ministers must apply the following principles in the use of publicly funded </w:t>
      </w:r>
      <w:r>
        <w:tab/>
      </w:r>
      <w:r w:rsidR="00F7278A" w:rsidRPr="00F7278A">
        <w:t>resources.</w:t>
      </w:r>
    </w:p>
    <w:p w:rsidR="00F7278A" w:rsidRPr="00F7278A" w:rsidRDefault="0048658F" w:rsidP="0048658F">
      <w:pPr>
        <w:tabs>
          <w:tab w:val="left" w:pos="567"/>
          <w:tab w:val="left" w:pos="709"/>
          <w:tab w:val="left" w:pos="1134"/>
        </w:tabs>
        <w:autoSpaceDE w:val="0"/>
        <w:autoSpaceDN w:val="0"/>
        <w:adjustRightInd w:val="0"/>
        <w:ind w:left="993" w:hanging="709"/>
      </w:pPr>
      <w:r>
        <w:tab/>
      </w:r>
      <w:r w:rsidR="00F7278A" w:rsidRPr="00F7278A">
        <w:t>(1)</w:t>
      </w:r>
      <w:r w:rsidR="00744E6E">
        <w:tab/>
      </w:r>
      <w:r w:rsidR="00744E6E">
        <w:tab/>
      </w:r>
      <w:r w:rsidR="00F7278A" w:rsidRPr="00F7278A">
        <w:t xml:space="preserve">The principle of appropriateness, including that expenditure must only be </w:t>
      </w:r>
      <w:r w:rsidR="00744E6E">
        <w:tab/>
      </w:r>
      <w:r w:rsidR="00F7278A" w:rsidRPr="00F7278A">
        <w:t>incurred in respect of ministerial purposes.</w:t>
      </w:r>
    </w:p>
    <w:p w:rsidR="00F7278A" w:rsidRPr="00F7278A" w:rsidRDefault="0048658F" w:rsidP="0048658F">
      <w:pPr>
        <w:tabs>
          <w:tab w:val="left" w:pos="567"/>
          <w:tab w:val="left" w:pos="709"/>
          <w:tab w:val="left" w:pos="1134"/>
        </w:tabs>
        <w:autoSpaceDE w:val="0"/>
        <w:autoSpaceDN w:val="0"/>
        <w:adjustRightInd w:val="0"/>
        <w:ind w:left="1134" w:hanging="850"/>
      </w:pPr>
      <w:r>
        <w:tab/>
      </w:r>
      <w:r w:rsidR="00744E6E">
        <w:t>(2)</w:t>
      </w:r>
      <w:r w:rsidR="00744E6E">
        <w:tab/>
      </w:r>
      <w:r w:rsidR="00F7278A" w:rsidRPr="00F7278A">
        <w:t>The principle of openness, including that par</w:t>
      </w:r>
      <w:r w:rsidR="00744E6E">
        <w:t xml:space="preserve">ties must be open in the use of </w:t>
      </w:r>
      <w:r w:rsidR="00F7278A" w:rsidRPr="00F7278A">
        <w:t>public resources and disclose any conflict of interest in utilising entitlements, whether that conflict is pecuniary, personal, familial, or as a result of any association.</w:t>
      </w:r>
    </w:p>
    <w:p w:rsidR="00F7278A" w:rsidRPr="00F7278A" w:rsidRDefault="0048658F" w:rsidP="0048658F">
      <w:pPr>
        <w:pStyle w:val="Default"/>
        <w:tabs>
          <w:tab w:val="left" w:pos="567"/>
          <w:tab w:val="left" w:pos="709"/>
          <w:tab w:val="left" w:pos="1134"/>
        </w:tabs>
        <w:ind w:left="709" w:hanging="425"/>
        <w:rPr>
          <w:color w:val="auto"/>
        </w:rPr>
      </w:pPr>
      <w:r>
        <w:rPr>
          <w:color w:val="auto"/>
        </w:rPr>
        <w:tab/>
      </w:r>
      <w:r w:rsidR="00744E6E">
        <w:rPr>
          <w:color w:val="auto"/>
        </w:rPr>
        <w:t>(3)</w:t>
      </w:r>
      <w:r w:rsidR="00744E6E">
        <w:rPr>
          <w:color w:val="auto"/>
        </w:rPr>
        <w:tab/>
      </w:r>
      <w:r w:rsidR="00F7278A" w:rsidRPr="00F7278A">
        <w:rPr>
          <w:color w:val="auto"/>
        </w:rPr>
        <w:t>The principle of transparency, including that—</w:t>
      </w:r>
    </w:p>
    <w:p w:rsidR="00F7278A" w:rsidRPr="00F7278A" w:rsidRDefault="00E1747A" w:rsidP="00744E6E">
      <w:pPr>
        <w:tabs>
          <w:tab w:val="left" w:pos="1134"/>
        </w:tabs>
        <w:autoSpaceDE w:val="0"/>
        <w:autoSpaceDN w:val="0"/>
        <w:adjustRightInd w:val="0"/>
        <w:ind w:left="1418" w:hanging="425"/>
      </w:pPr>
      <w:r>
        <w:tab/>
      </w:r>
      <w:r w:rsidR="00F7278A" w:rsidRPr="00F7278A">
        <w:t>(a)</w:t>
      </w:r>
      <w:r w:rsidR="00744E6E">
        <w:t xml:space="preserve"> </w:t>
      </w:r>
      <w:proofErr w:type="gramStart"/>
      <w:r w:rsidR="00F7278A" w:rsidRPr="00F7278A">
        <w:t>the</w:t>
      </w:r>
      <w:proofErr w:type="gramEnd"/>
      <w:r w:rsidR="00F7278A" w:rsidRPr="00F7278A">
        <w:t xml:space="preserve"> reasons for, and the circum</w:t>
      </w:r>
      <w:r w:rsidR="008325CA">
        <w:t xml:space="preserve">stances surrounding, the use of </w:t>
      </w:r>
      <w:r w:rsidR="00744E6E">
        <w:t xml:space="preserve">public </w:t>
      </w:r>
      <w:r w:rsidR="00F7278A" w:rsidRPr="00F7278A">
        <w:t>resources by individual ministers should be available; and</w:t>
      </w:r>
    </w:p>
    <w:p w:rsidR="00F7278A" w:rsidRPr="00F7278A" w:rsidRDefault="00E1747A" w:rsidP="00744E6E">
      <w:pPr>
        <w:tabs>
          <w:tab w:val="left" w:pos="1134"/>
        </w:tabs>
        <w:autoSpaceDE w:val="0"/>
        <w:autoSpaceDN w:val="0"/>
        <w:adjustRightInd w:val="0"/>
        <w:ind w:left="2160" w:hanging="1167"/>
      </w:pPr>
      <w:r>
        <w:tab/>
      </w:r>
      <w:r w:rsidR="00DD1704">
        <w:t>(b)</w:t>
      </w:r>
      <w:r w:rsidR="00744E6E">
        <w:t xml:space="preserve"> </w:t>
      </w:r>
      <w:proofErr w:type="gramStart"/>
      <w:r w:rsidR="00F7278A" w:rsidRPr="00F7278A">
        <w:t>the</w:t>
      </w:r>
      <w:proofErr w:type="gramEnd"/>
      <w:r w:rsidR="00F7278A" w:rsidRPr="00F7278A">
        <w:t xml:space="preserve"> process by which funds are expended should be publicly known.</w:t>
      </w:r>
    </w:p>
    <w:p w:rsidR="00F7278A" w:rsidRPr="00F7278A" w:rsidRDefault="00E1747A" w:rsidP="0048658F">
      <w:pPr>
        <w:tabs>
          <w:tab w:val="left" w:pos="567"/>
          <w:tab w:val="left" w:pos="709"/>
          <w:tab w:val="left" w:pos="1134"/>
        </w:tabs>
        <w:autoSpaceDE w:val="0"/>
        <w:autoSpaceDN w:val="0"/>
        <w:adjustRightInd w:val="0"/>
        <w:ind w:left="1134" w:hanging="850"/>
      </w:pPr>
      <w:r>
        <w:lastRenderedPageBreak/>
        <w:tab/>
      </w:r>
      <w:r w:rsidR="00F7278A" w:rsidRPr="00F7278A">
        <w:t>(4)</w:t>
      </w:r>
      <w:r w:rsidR="00F7278A" w:rsidRPr="00F7278A">
        <w:tab/>
        <w:t>The principle of value for money, in</w:t>
      </w:r>
      <w:r w:rsidR="0048658F">
        <w:t xml:space="preserve">cluding that, when using public </w:t>
      </w:r>
      <w:r w:rsidR="00F7278A" w:rsidRPr="00F7278A">
        <w:t>resources entrusted to them to perform their official duties, Ministers must seek the appropriate value for money in the circumstances.</w:t>
      </w:r>
    </w:p>
    <w:p w:rsidR="00F7278A" w:rsidRPr="00F7278A" w:rsidRDefault="00E1747A" w:rsidP="0048658F">
      <w:pPr>
        <w:tabs>
          <w:tab w:val="left" w:pos="567"/>
          <w:tab w:val="left" w:pos="709"/>
          <w:tab w:val="left" w:pos="1134"/>
        </w:tabs>
        <w:autoSpaceDE w:val="0"/>
        <w:autoSpaceDN w:val="0"/>
        <w:adjustRightInd w:val="0"/>
        <w:ind w:left="1134" w:hanging="850"/>
      </w:pPr>
      <w:r>
        <w:tab/>
      </w:r>
      <w:r w:rsidR="0048658F">
        <w:t>(5)</w:t>
      </w:r>
      <w:r w:rsidR="0048658F">
        <w:tab/>
      </w:r>
      <w:r w:rsidR="00F7278A" w:rsidRPr="00F7278A">
        <w:t>The principle of cost-effectiveness, including that Ministers’ should, wherever reasonably practicable, use the most cost effective alternative available.</w:t>
      </w:r>
    </w:p>
    <w:p w:rsidR="00F7278A" w:rsidRPr="00F7278A" w:rsidRDefault="00F7278A" w:rsidP="0019456A">
      <w:pPr>
        <w:pStyle w:val="Default"/>
        <w:ind w:right="465"/>
        <w:jc w:val="both"/>
        <w:rPr>
          <w:color w:val="auto"/>
        </w:rPr>
      </w:pPr>
    </w:p>
    <w:p w:rsidR="00B45E76" w:rsidRPr="00F7278A" w:rsidRDefault="00F7278A" w:rsidP="0048658F">
      <w:pPr>
        <w:keepNext/>
        <w:tabs>
          <w:tab w:val="left" w:pos="567"/>
        </w:tabs>
        <w:autoSpaceDE w:val="0"/>
        <w:autoSpaceDN w:val="0"/>
        <w:adjustRightInd w:val="0"/>
        <w:rPr>
          <w:b/>
          <w:bCs/>
        </w:rPr>
      </w:pPr>
      <w:r w:rsidRPr="00F7278A">
        <w:rPr>
          <w:b/>
          <w:bCs/>
        </w:rPr>
        <w:t>1.8</w:t>
      </w:r>
      <w:r w:rsidR="00B45E76" w:rsidRPr="00F7278A">
        <w:rPr>
          <w:b/>
          <w:bCs/>
        </w:rPr>
        <w:t xml:space="preserve"> </w:t>
      </w:r>
      <w:r w:rsidR="00E1747A">
        <w:rPr>
          <w:b/>
          <w:bCs/>
        </w:rPr>
        <w:tab/>
      </w:r>
      <w:r w:rsidR="00B45E76" w:rsidRPr="00F7278A">
        <w:rPr>
          <w:b/>
          <w:bCs/>
        </w:rPr>
        <w:t xml:space="preserve">Members required </w:t>
      </w:r>
      <w:proofErr w:type="gramStart"/>
      <w:r w:rsidR="00B45E76" w:rsidRPr="00F7278A">
        <w:rPr>
          <w:b/>
          <w:bCs/>
        </w:rPr>
        <w:t>to manage</w:t>
      </w:r>
      <w:proofErr w:type="gramEnd"/>
      <w:r w:rsidR="00B45E76" w:rsidRPr="00F7278A">
        <w:rPr>
          <w:b/>
          <w:bCs/>
        </w:rPr>
        <w:t xml:space="preserve"> potential conflicts of interest</w:t>
      </w:r>
    </w:p>
    <w:p w:rsidR="00B45E76" w:rsidRPr="00F7278A" w:rsidRDefault="00B45E76" w:rsidP="0048658F">
      <w:pPr>
        <w:keepNext/>
        <w:tabs>
          <w:tab w:val="left" w:pos="567"/>
          <w:tab w:val="left" w:pos="1134"/>
        </w:tabs>
        <w:autoSpaceDE w:val="0"/>
        <w:autoSpaceDN w:val="0"/>
        <w:adjustRightInd w:val="0"/>
        <w:ind w:left="142" w:firstLine="425"/>
      </w:pPr>
      <w:r w:rsidRPr="00F7278A">
        <w:t xml:space="preserve">(1) </w:t>
      </w:r>
      <w:r w:rsidR="0048658F">
        <w:tab/>
      </w:r>
      <w:r w:rsidRPr="00F7278A">
        <w:t>This clause applies if a member of the Executive proposes to—</w:t>
      </w:r>
    </w:p>
    <w:p w:rsidR="00B45E76" w:rsidRPr="00F7278A" w:rsidRDefault="00E1747A" w:rsidP="00B45E76">
      <w:pPr>
        <w:keepNext/>
        <w:tabs>
          <w:tab w:val="left" w:pos="993"/>
        </w:tabs>
        <w:autoSpaceDE w:val="0"/>
        <w:autoSpaceDN w:val="0"/>
        <w:adjustRightInd w:val="0"/>
        <w:ind w:left="993" w:hanging="426"/>
      </w:pPr>
      <w:r>
        <w:tab/>
        <w:t xml:space="preserve"> </w:t>
      </w:r>
      <w:r w:rsidR="008325CA">
        <w:t xml:space="preserve"> </w:t>
      </w:r>
      <w:r w:rsidR="00B45E76" w:rsidRPr="00F7278A">
        <w:t>(a)</w:t>
      </w:r>
      <w:r w:rsidR="00B45E76" w:rsidRPr="00F7278A">
        <w:tab/>
      </w:r>
      <w:proofErr w:type="gramStart"/>
      <w:r w:rsidR="00B45E76" w:rsidRPr="00F7278A">
        <w:t>obtain</w:t>
      </w:r>
      <w:proofErr w:type="gramEnd"/>
      <w:r w:rsidR="00B45E76" w:rsidRPr="00F7278A">
        <w:t xml:space="preserve"> any goods or services from a related party and to pay for the </w:t>
      </w:r>
      <w:r w:rsidR="0024494D">
        <w:t xml:space="preserve"> </w:t>
      </w:r>
      <w:r w:rsidR="0024494D">
        <w:tab/>
      </w:r>
      <w:r w:rsidR="00B45E76" w:rsidRPr="00F7278A">
        <w:t>goods or services by means of an entitlement under these directions</w:t>
      </w:r>
      <w:r w:rsidR="00B06B7F" w:rsidRPr="00F7278A">
        <w:t>:</w:t>
      </w:r>
    </w:p>
    <w:p w:rsidR="00B45E76" w:rsidRPr="00F7278A" w:rsidRDefault="0024494D" w:rsidP="0048658F">
      <w:pPr>
        <w:tabs>
          <w:tab w:val="left" w:pos="567"/>
          <w:tab w:val="left" w:pos="1134"/>
        </w:tabs>
        <w:autoSpaceDE w:val="0"/>
        <w:autoSpaceDN w:val="0"/>
        <w:adjustRightInd w:val="0"/>
        <w:ind w:left="142" w:firstLine="425"/>
      </w:pPr>
      <w:r>
        <w:t xml:space="preserve"> </w:t>
      </w:r>
      <w:r w:rsidR="00B45E76" w:rsidRPr="00F7278A">
        <w:t xml:space="preserve">(2) </w:t>
      </w:r>
      <w:r w:rsidR="0048658F">
        <w:tab/>
      </w:r>
      <w:r w:rsidR="00B45E76" w:rsidRPr="00F7278A">
        <w:t xml:space="preserve">If this clause applies, the </w:t>
      </w:r>
      <w:r w:rsidR="00B06B7F" w:rsidRPr="00F7278A">
        <w:t>Minister</w:t>
      </w:r>
      <w:r w:rsidR="00B45E76" w:rsidRPr="00F7278A">
        <w:t xml:space="preserve"> must—</w:t>
      </w:r>
    </w:p>
    <w:p w:rsidR="00B45E76" w:rsidRPr="00F7278A" w:rsidRDefault="0024494D" w:rsidP="0024494D">
      <w:pPr>
        <w:tabs>
          <w:tab w:val="left" w:pos="993"/>
        </w:tabs>
        <w:autoSpaceDE w:val="0"/>
        <w:autoSpaceDN w:val="0"/>
        <w:adjustRightInd w:val="0"/>
        <w:ind w:left="1437" w:hanging="870"/>
      </w:pPr>
      <w:r>
        <w:tab/>
        <w:t xml:space="preserve"> </w:t>
      </w:r>
      <w:r w:rsidR="008325CA">
        <w:t xml:space="preserve"> </w:t>
      </w:r>
      <w:r w:rsidR="00B45E76" w:rsidRPr="00F7278A">
        <w:t>(a)</w:t>
      </w:r>
      <w:r w:rsidR="00B45E76" w:rsidRPr="00F7278A">
        <w:tab/>
      </w:r>
      <w:proofErr w:type="gramStart"/>
      <w:r w:rsidR="00B45E76" w:rsidRPr="00F7278A">
        <w:t>disclose</w:t>
      </w:r>
      <w:proofErr w:type="gramEnd"/>
      <w:r w:rsidR="00B45E76" w:rsidRPr="00F7278A">
        <w:t xml:space="preserve"> to </w:t>
      </w:r>
      <w:r w:rsidR="00CD3BB3" w:rsidRPr="00F7278A">
        <w:t>the Department of Internal Affairs</w:t>
      </w:r>
      <w:r w:rsidR="00B45E76" w:rsidRPr="00F7278A">
        <w:t xml:space="preserve"> the </w:t>
      </w:r>
      <w:r w:rsidR="00B06B7F" w:rsidRPr="00F7278A">
        <w:t xml:space="preserve">Minister’s </w:t>
      </w:r>
      <w:r w:rsidR="00B45E76" w:rsidRPr="00F7278A">
        <w:t>connection to the related party; and</w:t>
      </w:r>
    </w:p>
    <w:p w:rsidR="00B45E76" w:rsidRPr="00F7278A" w:rsidRDefault="0024494D" w:rsidP="0024494D">
      <w:pPr>
        <w:tabs>
          <w:tab w:val="left" w:pos="993"/>
        </w:tabs>
        <w:autoSpaceDE w:val="0"/>
        <w:autoSpaceDN w:val="0"/>
        <w:adjustRightInd w:val="0"/>
        <w:ind w:left="1437" w:hanging="870"/>
      </w:pPr>
      <w:r>
        <w:tab/>
      </w:r>
      <w:r w:rsidR="008325CA">
        <w:t xml:space="preserve"> </w:t>
      </w:r>
      <w:r w:rsidR="00744E6E">
        <w:t xml:space="preserve"> </w:t>
      </w:r>
      <w:r w:rsidR="00B45E76" w:rsidRPr="00F7278A">
        <w:t>(b)</w:t>
      </w:r>
      <w:r w:rsidR="00B45E76" w:rsidRPr="00F7278A">
        <w:tab/>
      </w:r>
      <w:proofErr w:type="gramStart"/>
      <w:r w:rsidR="00B45E76" w:rsidRPr="00F7278A">
        <w:t>ensure</w:t>
      </w:r>
      <w:proofErr w:type="gramEnd"/>
      <w:r w:rsidR="00B45E76" w:rsidRPr="00F7278A">
        <w:t xml:space="preserve"> the </w:t>
      </w:r>
      <w:r w:rsidR="00B06B7F" w:rsidRPr="00F7278A">
        <w:t>Minister</w:t>
      </w:r>
      <w:r w:rsidR="00B45E76" w:rsidRPr="00F7278A">
        <w:t xml:space="preserve"> is obtaining value for money for the money proposed to be expended; and</w:t>
      </w:r>
    </w:p>
    <w:p w:rsidR="00B45E76" w:rsidRPr="00F7278A" w:rsidRDefault="0024494D" w:rsidP="0024494D">
      <w:pPr>
        <w:tabs>
          <w:tab w:val="left" w:pos="993"/>
        </w:tabs>
        <w:autoSpaceDE w:val="0"/>
        <w:autoSpaceDN w:val="0"/>
        <w:adjustRightInd w:val="0"/>
        <w:ind w:left="1437" w:hanging="870"/>
      </w:pPr>
      <w:r>
        <w:tab/>
        <w:t xml:space="preserve"> </w:t>
      </w:r>
      <w:r w:rsidR="008325CA">
        <w:t xml:space="preserve"> </w:t>
      </w:r>
      <w:r w:rsidR="00B45E76" w:rsidRPr="00F7278A">
        <w:t>(c)</w:t>
      </w:r>
      <w:r w:rsidR="00B45E76" w:rsidRPr="00F7278A">
        <w:tab/>
        <w:t>obtain comparative quotes from other suppliers that demonstrate the proposed transaction will be the most cost-effective option.</w:t>
      </w:r>
    </w:p>
    <w:p w:rsidR="00B45E76" w:rsidRPr="00F7278A" w:rsidRDefault="00B45E76" w:rsidP="0048658F">
      <w:pPr>
        <w:tabs>
          <w:tab w:val="left" w:pos="567"/>
          <w:tab w:val="left" w:pos="1134"/>
        </w:tabs>
        <w:autoSpaceDE w:val="0"/>
        <w:autoSpaceDN w:val="0"/>
        <w:adjustRightInd w:val="0"/>
        <w:ind w:left="142" w:firstLine="425"/>
      </w:pPr>
      <w:r w:rsidRPr="00F7278A">
        <w:t xml:space="preserve">(3) </w:t>
      </w:r>
      <w:r w:rsidR="0048658F">
        <w:tab/>
      </w:r>
      <w:r w:rsidRPr="00F7278A">
        <w:t>A related party includes any of the following:</w:t>
      </w:r>
    </w:p>
    <w:p w:rsidR="00B45E76" w:rsidRPr="00F7278A" w:rsidRDefault="0024494D" w:rsidP="00B45E76">
      <w:pPr>
        <w:tabs>
          <w:tab w:val="left" w:pos="993"/>
        </w:tabs>
        <w:autoSpaceDE w:val="0"/>
        <w:autoSpaceDN w:val="0"/>
        <w:adjustRightInd w:val="0"/>
        <w:ind w:left="993" w:hanging="426"/>
      </w:pPr>
      <w:r>
        <w:tab/>
        <w:t xml:space="preserve">  </w:t>
      </w:r>
      <w:r w:rsidR="00B45E76" w:rsidRPr="00F7278A">
        <w:t>(a)</w:t>
      </w:r>
      <w:r w:rsidR="00B45E76" w:rsidRPr="00F7278A">
        <w:tab/>
        <w:t xml:space="preserve">the </w:t>
      </w:r>
      <w:r w:rsidR="00B06B7F" w:rsidRPr="00F7278A">
        <w:t>Minister’s</w:t>
      </w:r>
      <w:r w:rsidR="00B45E76" w:rsidRPr="00F7278A">
        <w:t xml:space="preserve"> spouse, partner, or other family member</w:t>
      </w:r>
      <w:r w:rsidR="003F24DA" w:rsidRPr="00F7278A">
        <w:t>;</w:t>
      </w:r>
    </w:p>
    <w:p w:rsidR="00B45E76" w:rsidRPr="00F7278A" w:rsidRDefault="0024494D" w:rsidP="00B45E76">
      <w:pPr>
        <w:tabs>
          <w:tab w:val="left" w:pos="993"/>
        </w:tabs>
        <w:autoSpaceDE w:val="0"/>
        <w:autoSpaceDN w:val="0"/>
        <w:adjustRightInd w:val="0"/>
        <w:ind w:left="993" w:hanging="426"/>
      </w:pPr>
      <w:r>
        <w:tab/>
        <w:t xml:space="preserve">  </w:t>
      </w:r>
      <w:r w:rsidR="00B45E76" w:rsidRPr="00F7278A">
        <w:t>(b)</w:t>
      </w:r>
      <w:r w:rsidR="00B45E76" w:rsidRPr="00F7278A">
        <w:tab/>
        <w:t xml:space="preserve">a dependent of the </w:t>
      </w:r>
      <w:r w:rsidR="00B06B7F" w:rsidRPr="00F7278A">
        <w:t>Minister</w:t>
      </w:r>
      <w:r w:rsidR="003F24DA" w:rsidRPr="00F7278A">
        <w:t>;</w:t>
      </w:r>
    </w:p>
    <w:p w:rsidR="00B45E76" w:rsidRPr="00F7278A" w:rsidRDefault="0024494D" w:rsidP="0024494D">
      <w:pPr>
        <w:tabs>
          <w:tab w:val="left" w:pos="993"/>
        </w:tabs>
        <w:autoSpaceDE w:val="0"/>
        <w:autoSpaceDN w:val="0"/>
        <w:adjustRightInd w:val="0"/>
        <w:ind w:left="1437" w:hanging="870"/>
      </w:pPr>
      <w:r>
        <w:tab/>
        <w:t xml:space="preserve">  </w:t>
      </w:r>
      <w:r w:rsidR="00B45E76" w:rsidRPr="00F7278A">
        <w:t>(c)</w:t>
      </w:r>
      <w:r w:rsidR="00B45E76" w:rsidRPr="00F7278A">
        <w:tab/>
        <w:t xml:space="preserve">a trust, company, or organisation with which the </w:t>
      </w:r>
      <w:r w:rsidR="00B06B7F" w:rsidRPr="00F7278A">
        <w:t>Minister</w:t>
      </w:r>
      <w:r w:rsidR="00B45E76" w:rsidRPr="00F7278A">
        <w:t>, or any of the persons referred to in paragraphs (a) or (b), is connected</w:t>
      </w:r>
      <w:r w:rsidR="003F24DA" w:rsidRPr="00F7278A">
        <w:t>;</w:t>
      </w:r>
    </w:p>
    <w:p w:rsidR="00B45E76" w:rsidRPr="00F7278A" w:rsidRDefault="0024494D" w:rsidP="0024494D">
      <w:pPr>
        <w:tabs>
          <w:tab w:val="left" w:pos="993"/>
        </w:tabs>
        <w:autoSpaceDE w:val="0"/>
        <w:autoSpaceDN w:val="0"/>
        <w:adjustRightInd w:val="0"/>
        <w:ind w:left="1437" w:hanging="870"/>
      </w:pPr>
      <w:r>
        <w:tab/>
        <w:t xml:space="preserve">  </w:t>
      </w:r>
      <w:r w:rsidR="00B45E76" w:rsidRPr="00F7278A">
        <w:t>(d)</w:t>
      </w:r>
      <w:r w:rsidR="00B45E76" w:rsidRPr="00F7278A">
        <w:tab/>
      </w:r>
      <w:proofErr w:type="gramStart"/>
      <w:r w:rsidR="00B45E76" w:rsidRPr="00F7278A">
        <w:t>the</w:t>
      </w:r>
      <w:proofErr w:type="gramEnd"/>
      <w:r w:rsidR="00B06B7F" w:rsidRPr="00F7278A">
        <w:t xml:space="preserve"> Minister’s</w:t>
      </w:r>
      <w:r w:rsidR="00383475">
        <w:t xml:space="preserve"> </w:t>
      </w:r>
      <w:r w:rsidR="00B45E76" w:rsidRPr="00F7278A">
        <w:t>political party, or association affiliated with the political party, such as a local electoral committee</w:t>
      </w:r>
    </w:p>
    <w:p w:rsidR="00B45E76" w:rsidRPr="00F7278A" w:rsidRDefault="00B45E76" w:rsidP="00B45E76">
      <w:pPr>
        <w:pStyle w:val="Default"/>
        <w:ind w:right="465"/>
        <w:jc w:val="both"/>
        <w:rPr>
          <w:color w:val="auto"/>
        </w:rPr>
      </w:pPr>
    </w:p>
    <w:p w:rsidR="00F7278A" w:rsidRPr="00F7278A" w:rsidRDefault="00F7278A" w:rsidP="0048658F">
      <w:pPr>
        <w:tabs>
          <w:tab w:val="left" w:pos="567"/>
        </w:tabs>
        <w:autoSpaceDE w:val="0"/>
        <w:autoSpaceDN w:val="0"/>
        <w:adjustRightInd w:val="0"/>
        <w:jc w:val="both"/>
      </w:pPr>
      <w:r w:rsidRPr="00F7278A">
        <w:rPr>
          <w:b/>
          <w:bCs/>
        </w:rPr>
        <w:t xml:space="preserve">1.9 </w:t>
      </w:r>
      <w:r w:rsidR="0024494D">
        <w:rPr>
          <w:b/>
          <w:bCs/>
        </w:rPr>
        <w:tab/>
      </w:r>
      <w:r w:rsidRPr="00F7278A">
        <w:rPr>
          <w:b/>
          <w:bCs/>
        </w:rPr>
        <w:t>Where costs to be met from</w:t>
      </w:r>
    </w:p>
    <w:p w:rsidR="00F7278A" w:rsidRPr="00F7278A" w:rsidRDefault="00F7278A" w:rsidP="0048658F">
      <w:pPr>
        <w:tabs>
          <w:tab w:val="left" w:pos="567"/>
        </w:tabs>
        <w:autoSpaceDE w:val="0"/>
        <w:autoSpaceDN w:val="0"/>
        <w:adjustRightInd w:val="0"/>
        <w:ind w:left="567"/>
        <w:jc w:val="both"/>
      </w:pPr>
      <w:r w:rsidRPr="00F7278A">
        <w:t xml:space="preserve">The cost of any entitlement in this document is met fully from Vote Internal </w:t>
      </w:r>
      <w:r w:rsidR="0024494D">
        <w:t xml:space="preserve">  </w:t>
      </w:r>
      <w:r w:rsidRPr="00F7278A">
        <w:t xml:space="preserve">Affairs. </w:t>
      </w:r>
    </w:p>
    <w:p w:rsidR="00962D26" w:rsidRDefault="00962D26" w:rsidP="00E33836">
      <w:pPr>
        <w:keepNext/>
        <w:autoSpaceDE w:val="0"/>
        <w:autoSpaceDN w:val="0"/>
        <w:adjustRightInd w:val="0"/>
        <w:jc w:val="center"/>
        <w:rPr>
          <w:b/>
        </w:rPr>
      </w:pPr>
    </w:p>
    <w:p w:rsidR="00962D26" w:rsidRDefault="00962D26" w:rsidP="00E33836">
      <w:pPr>
        <w:keepNext/>
        <w:autoSpaceDE w:val="0"/>
        <w:autoSpaceDN w:val="0"/>
        <w:adjustRightInd w:val="0"/>
        <w:jc w:val="center"/>
        <w:rPr>
          <w:b/>
        </w:rPr>
      </w:pPr>
    </w:p>
    <w:p w:rsidR="00632119" w:rsidRPr="00F7278A" w:rsidRDefault="00A430B7" w:rsidP="00E33836">
      <w:pPr>
        <w:keepNext/>
        <w:autoSpaceDE w:val="0"/>
        <w:autoSpaceDN w:val="0"/>
        <w:adjustRightInd w:val="0"/>
        <w:jc w:val="center"/>
        <w:rPr>
          <w:b/>
        </w:rPr>
      </w:pPr>
      <w:r w:rsidRPr="00F7278A">
        <w:rPr>
          <w:b/>
        </w:rPr>
        <w:t xml:space="preserve">Part </w:t>
      </w:r>
      <w:r w:rsidR="008B2F86" w:rsidRPr="00F7278A">
        <w:rPr>
          <w:b/>
        </w:rPr>
        <w:t>2</w:t>
      </w:r>
    </w:p>
    <w:p w:rsidR="00A430B7" w:rsidRPr="00F7278A" w:rsidRDefault="00A430B7" w:rsidP="00E33836">
      <w:pPr>
        <w:keepNext/>
        <w:autoSpaceDE w:val="0"/>
        <w:autoSpaceDN w:val="0"/>
        <w:adjustRightInd w:val="0"/>
        <w:jc w:val="center"/>
        <w:rPr>
          <w:b/>
        </w:rPr>
      </w:pPr>
      <w:r w:rsidRPr="00F7278A">
        <w:rPr>
          <w:b/>
        </w:rPr>
        <w:t>Travel</w:t>
      </w:r>
      <w:r w:rsidR="00CA7B6C" w:rsidRPr="00F7278A">
        <w:rPr>
          <w:b/>
        </w:rPr>
        <w:t xml:space="preserve"> Services within New Zealand</w:t>
      </w:r>
    </w:p>
    <w:p w:rsidR="002436F6" w:rsidRPr="00F7278A" w:rsidRDefault="002436F6" w:rsidP="00CD3BB3">
      <w:pPr>
        <w:pStyle w:val="Default"/>
        <w:keepNext/>
        <w:widowControl/>
        <w:jc w:val="both"/>
        <w:rPr>
          <w:color w:val="auto"/>
        </w:rPr>
      </w:pPr>
    </w:p>
    <w:p w:rsidR="00FA589F" w:rsidRPr="00F7278A" w:rsidRDefault="008B2F86" w:rsidP="0048658F">
      <w:pPr>
        <w:pStyle w:val="CM39"/>
        <w:keepNext/>
        <w:widowControl/>
        <w:tabs>
          <w:tab w:val="left" w:pos="567"/>
        </w:tabs>
        <w:jc w:val="both"/>
        <w:rPr>
          <w:b/>
        </w:rPr>
      </w:pPr>
      <w:r w:rsidRPr="00F7278A">
        <w:rPr>
          <w:b/>
        </w:rPr>
        <w:t>2</w:t>
      </w:r>
      <w:r w:rsidR="00A430B7" w:rsidRPr="00F7278A">
        <w:rPr>
          <w:b/>
        </w:rPr>
        <w:t>.</w:t>
      </w:r>
      <w:r w:rsidR="00094F13" w:rsidRPr="00F7278A">
        <w:rPr>
          <w:b/>
        </w:rPr>
        <w:t>1</w:t>
      </w:r>
      <w:r w:rsidR="00A430B7" w:rsidRPr="00F7278A">
        <w:rPr>
          <w:b/>
        </w:rPr>
        <w:t xml:space="preserve"> </w:t>
      </w:r>
      <w:r w:rsidR="00DD1704">
        <w:rPr>
          <w:b/>
        </w:rPr>
        <w:tab/>
      </w:r>
      <w:r w:rsidR="00A430B7" w:rsidRPr="00F7278A">
        <w:rPr>
          <w:b/>
        </w:rPr>
        <w:t xml:space="preserve">Chauffeur-driven cars </w:t>
      </w:r>
    </w:p>
    <w:p w:rsidR="00A430B7" w:rsidRPr="00F7278A" w:rsidRDefault="00DD1704" w:rsidP="0048658F">
      <w:pPr>
        <w:pStyle w:val="CM39"/>
        <w:tabs>
          <w:tab w:val="left" w:pos="567"/>
        </w:tabs>
        <w:spacing w:line="260" w:lineRule="atLeast"/>
        <w:ind w:left="360" w:right="465"/>
        <w:jc w:val="both"/>
      </w:pPr>
      <w:r>
        <w:tab/>
      </w:r>
      <w:r w:rsidR="00A430B7" w:rsidRPr="00F7278A">
        <w:t xml:space="preserve">A </w:t>
      </w:r>
      <w:r w:rsidR="00B06B7F" w:rsidRPr="00F7278A">
        <w:t>Minister</w:t>
      </w:r>
      <w:r w:rsidR="00C71F1A" w:rsidRPr="00F7278A">
        <w:t xml:space="preserve"> </w:t>
      </w:r>
      <w:r w:rsidR="00A430B7" w:rsidRPr="00F7278A">
        <w:t xml:space="preserve">may use a chauffeur-driven car </w:t>
      </w:r>
      <w:r w:rsidR="00A176CD" w:rsidRPr="00F7278A">
        <w:t xml:space="preserve">arranged by VIP Transport </w:t>
      </w:r>
      <w:r w:rsidR="00A430B7" w:rsidRPr="00F7278A">
        <w:t xml:space="preserve">at </w:t>
      </w:r>
      <w:r>
        <w:tab/>
      </w:r>
      <w:r w:rsidR="00A430B7" w:rsidRPr="00F7278A">
        <w:t>any time for any purpose</w:t>
      </w:r>
      <w:r w:rsidR="00A176CD" w:rsidRPr="00F7278A">
        <w:t>,</w:t>
      </w:r>
      <w:r w:rsidR="00A430B7" w:rsidRPr="00F7278A">
        <w:t xml:space="preserve"> at the </w:t>
      </w:r>
      <w:r w:rsidR="0051410A" w:rsidRPr="00F7278A">
        <w:t>Minister’s</w:t>
      </w:r>
      <w:r w:rsidR="00A430B7" w:rsidRPr="00F7278A">
        <w:t xml:space="preserve"> discretion. </w:t>
      </w:r>
    </w:p>
    <w:p w:rsidR="000D6544" w:rsidRPr="00F7278A" w:rsidRDefault="000D6544" w:rsidP="008D4A96">
      <w:pPr>
        <w:pStyle w:val="Default"/>
        <w:rPr>
          <w:color w:val="auto"/>
        </w:rPr>
      </w:pPr>
    </w:p>
    <w:p w:rsidR="00FA589F" w:rsidRPr="00F7278A" w:rsidRDefault="008B2F86" w:rsidP="0048658F">
      <w:pPr>
        <w:pStyle w:val="CM39"/>
        <w:tabs>
          <w:tab w:val="left" w:pos="567"/>
        </w:tabs>
        <w:spacing w:line="260" w:lineRule="atLeast"/>
        <w:ind w:left="-284" w:right="465" w:firstLine="284"/>
        <w:jc w:val="both"/>
        <w:rPr>
          <w:b/>
        </w:rPr>
      </w:pPr>
      <w:r w:rsidRPr="00F7278A">
        <w:rPr>
          <w:b/>
        </w:rPr>
        <w:t>2</w:t>
      </w:r>
      <w:r w:rsidR="005A283E" w:rsidRPr="00F7278A">
        <w:rPr>
          <w:b/>
        </w:rPr>
        <w:t>.</w:t>
      </w:r>
      <w:r w:rsidR="00094F13" w:rsidRPr="00F7278A">
        <w:rPr>
          <w:b/>
        </w:rPr>
        <w:t>2</w:t>
      </w:r>
      <w:r w:rsidR="00A176CD" w:rsidRPr="00F7278A">
        <w:rPr>
          <w:b/>
        </w:rPr>
        <w:t xml:space="preserve"> </w:t>
      </w:r>
      <w:r w:rsidR="00DD1704">
        <w:rPr>
          <w:b/>
        </w:rPr>
        <w:tab/>
      </w:r>
      <w:r w:rsidR="00A176CD" w:rsidRPr="00F7278A">
        <w:rPr>
          <w:b/>
        </w:rPr>
        <w:t>Taxis</w:t>
      </w:r>
    </w:p>
    <w:p w:rsidR="00A430B7" w:rsidRPr="00F7278A" w:rsidRDefault="0024494D" w:rsidP="0048658F">
      <w:pPr>
        <w:pStyle w:val="CM39"/>
        <w:tabs>
          <w:tab w:val="left" w:pos="567"/>
        </w:tabs>
        <w:spacing w:line="260" w:lineRule="atLeast"/>
        <w:ind w:left="-284" w:right="465" w:firstLine="284"/>
        <w:jc w:val="both"/>
      </w:pPr>
      <w:r>
        <w:t xml:space="preserve">      </w:t>
      </w:r>
      <w:r w:rsidR="00DD1704">
        <w:tab/>
      </w:r>
      <w:r w:rsidR="00A430B7" w:rsidRPr="00F7278A">
        <w:t xml:space="preserve">A </w:t>
      </w:r>
      <w:r w:rsidR="0051410A" w:rsidRPr="00F7278A">
        <w:t>Minister</w:t>
      </w:r>
      <w:r w:rsidR="00A430B7" w:rsidRPr="00F7278A">
        <w:t xml:space="preserve"> may use </w:t>
      </w:r>
      <w:r w:rsidR="008B04BD" w:rsidRPr="00F7278A">
        <w:t>a</w:t>
      </w:r>
      <w:r w:rsidR="00A430B7" w:rsidRPr="00F7278A">
        <w:t xml:space="preserve"> taxi</w:t>
      </w:r>
      <w:r w:rsidR="008B04BD" w:rsidRPr="00F7278A">
        <w:t xml:space="preserve"> for any purpose at the </w:t>
      </w:r>
      <w:r w:rsidR="0051410A" w:rsidRPr="00F7278A">
        <w:t>Minister’s</w:t>
      </w:r>
      <w:r w:rsidR="008B04BD" w:rsidRPr="00F7278A">
        <w:t xml:space="preserve"> discretion</w:t>
      </w:r>
      <w:r w:rsidR="00A430B7" w:rsidRPr="00F7278A">
        <w:t xml:space="preserve">. </w:t>
      </w:r>
    </w:p>
    <w:p w:rsidR="00C710EA" w:rsidRPr="00F7278A" w:rsidRDefault="00C710EA" w:rsidP="008D4A96">
      <w:pPr>
        <w:pStyle w:val="Default"/>
        <w:rPr>
          <w:color w:val="auto"/>
        </w:rPr>
      </w:pPr>
    </w:p>
    <w:p w:rsidR="00A430B7" w:rsidRPr="00F7278A" w:rsidRDefault="008B2F86" w:rsidP="0048658F">
      <w:pPr>
        <w:pStyle w:val="CM14"/>
        <w:tabs>
          <w:tab w:val="left" w:pos="567"/>
        </w:tabs>
        <w:ind w:left="-284" w:right="465" w:firstLine="284"/>
        <w:jc w:val="both"/>
        <w:rPr>
          <w:b/>
        </w:rPr>
      </w:pPr>
      <w:r w:rsidRPr="00F7278A">
        <w:rPr>
          <w:b/>
        </w:rPr>
        <w:t>2</w:t>
      </w:r>
      <w:r w:rsidR="005A283E" w:rsidRPr="00F7278A">
        <w:rPr>
          <w:b/>
        </w:rPr>
        <w:t>.</w:t>
      </w:r>
      <w:r w:rsidR="00094F13" w:rsidRPr="00F7278A">
        <w:rPr>
          <w:b/>
        </w:rPr>
        <w:t>3</w:t>
      </w:r>
      <w:r w:rsidR="00A430B7" w:rsidRPr="00F7278A">
        <w:rPr>
          <w:b/>
        </w:rPr>
        <w:t xml:space="preserve"> </w:t>
      </w:r>
      <w:r w:rsidR="00DD1704">
        <w:rPr>
          <w:b/>
        </w:rPr>
        <w:tab/>
      </w:r>
      <w:r w:rsidR="00A430B7" w:rsidRPr="00F7278A">
        <w:rPr>
          <w:b/>
        </w:rPr>
        <w:t xml:space="preserve">Self-drive car </w:t>
      </w:r>
    </w:p>
    <w:p w:rsidR="00A430B7" w:rsidRPr="00F7278A" w:rsidRDefault="00744E6E" w:rsidP="00482DF0">
      <w:pPr>
        <w:pStyle w:val="Default"/>
        <w:tabs>
          <w:tab w:val="left" w:pos="567"/>
          <w:tab w:val="left" w:pos="1134"/>
        </w:tabs>
        <w:ind w:left="709" w:right="465" w:hanging="283"/>
        <w:jc w:val="both"/>
        <w:rPr>
          <w:color w:val="auto"/>
        </w:rPr>
      </w:pPr>
      <w:r>
        <w:rPr>
          <w:color w:val="auto"/>
        </w:rPr>
        <w:tab/>
      </w:r>
      <w:r w:rsidR="00B34E4C" w:rsidRPr="00F7278A">
        <w:rPr>
          <w:color w:val="auto"/>
        </w:rPr>
        <w:t>(1)</w:t>
      </w:r>
      <w:r>
        <w:rPr>
          <w:color w:val="auto"/>
        </w:rPr>
        <w:t xml:space="preserve"> </w:t>
      </w:r>
      <w:r w:rsidR="00482DF0">
        <w:rPr>
          <w:color w:val="auto"/>
        </w:rPr>
        <w:tab/>
      </w:r>
      <w:r w:rsidR="00A430B7" w:rsidRPr="00F7278A">
        <w:rPr>
          <w:color w:val="auto"/>
        </w:rPr>
        <w:t>A</w:t>
      </w:r>
      <w:r w:rsidR="0024494D">
        <w:rPr>
          <w:color w:val="auto"/>
        </w:rPr>
        <w:t xml:space="preserve"> </w:t>
      </w:r>
      <w:r w:rsidR="0051410A" w:rsidRPr="00F7278A">
        <w:rPr>
          <w:color w:val="auto"/>
        </w:rPr>
        <w:t>Minister</w:t>
      </w:r>
      <w:r w:rsidR="00A430B7" w:rsidRPr="00F7278A">
        <w:rPr>
          <w:color w:val="auto"/>
        </w:rPr>
        <w:t xml:space="preserve"> is entitled to one </w:t>
      </w:r>
      <w:r w:rsidR="00C71F1A" w:rsidRPr="00F7278A">
        <w:rPr>
          <w:color w:val="auto"/>
        </w:rPr>
        <w:t xml:space="preserve">self-drive car for use at the </w:t>
      </w:r>
      <w:r w:rsidR="0051410A" w:rsidRPr="00F7278A">
        <w:rPr>
          <w:color w:val="auto"/>
        </w:rPr>
        <w:t>Minister’s</w:t>
      </w:r>
      <w:r w:rsidR="0024494D">
        <w:rPr>
          <w:color w:val="auto"/>
        </w:rPr>
        <w:t xml:space="preserve">                </w:t>
      </w:r>
      <w:r>
        <w:rPr>
          <w:color w:val="auto"/>
        </w:rPr>
        <w:tab/>
      </w:r>
      <w:r w:rsidR="0024494D">
        <w:rPr>
          <w:color w:val="auto"/>
        </w:rPr>
        <w:t>d</w:t>
      </w:r>
      <w:r w:rsidR="00C71F1A" w:rsidRPr="00F7278A">
        <w:rPr>
          <w:color w:val="auto"/>
        </w:rPr>
        <w:t>iscretion.</w:t>
      </w:r>
    </w:p>
    <w:p w:rsidR="00A430B7" w:rsidRPr="00F7278A" w:rsidRDefault="00744E6E" w:rsidP="00482DF0">
      <w:pPr>
        <w:pStyle w:val="Default"/>
        <w:tabs>
          <w:tab w:val="left" w:pos="567"/>
          <w:tab w:val="left" w:pos="1134"/>
        </w:tabs>
        <w:ind w:left="709" w:right="465" w:hanging="283"/>
        <w:jc w:val="both"/>
        <w:rPr>
          <w:color w:val="auto"/>
        </w:rPr>
      </w:pPr>
      <w:r>
        <w:rPr>
          <w:color w:val="auto"/>
        </w:rPr>
        <w:tab/>
        <w:t>(2)</w:t>
      </w:r>
      <w:r>
        <w:rPr>
          <w:color w:val="auto"/>
        </w:rPr>
        <w:tab/>
      </w:r>
      <w:r w:rsidR="00A430B7" w:rsidRPr="00F7278A">
        <w:rPr>
          <w:color w:val="auto"/>
        </w:rPr>
        <w:t xml:space="preserve">The self-drive car </w:t>
      </w:r>
      <w:r w:rsidR="002D395A" w:rsidRPr="00F7278A">
        <w:rPr>
          <w:color w:val="auto"/>
        </w:rPr>
        <w:t>will be</w:t>
      </w:r>
      <w:r w:rsidR="00A430B7" w:rsidRPr="00F7278A">
        <w:rPr>
          <w:color w:val="auto"/>
        </w:rPr>
        <w:t xml:space="preserve"> provided up to a maximum value as agreed </w:t>
      </w:r>
      <w:r w:rsidR="0024494D">
        <w:rPr>
          <w:color w:val="auto"/>
        </w:rPr>
        <w:t xml:space="preserve">    </w:t>
      </w:r>
      <w:r>
        <w:rPr>
          <w:color w:val="auto"/>
        </w:rPr>
        <w:tab/>
      </w:r>
      <w:r w:rsidR="00A430B7" w:rsidRPr="00F7278A">
        <w:rPr>
          <w:color w:val="auto"/>
        </w:rPr>
        <w:t xml:space="preserve">from time to time with the Minister Responsible for Ministerial </w:t>
      </w:r>
      <w:r>
        <w:rPr>
          <w:color w:val="auto"/>
        </w:rPr>
        <w:tab/>
      </w:r>
      <w:r w:rsidR="00A430B7" w:rsidRPr="00F7278A">
        <w:rPr>
          <w:color w:val="auto"/>
        </w:rPr>
        <w:t xml:space="preserve">Services and may be required to meet minimum standards for fuel </w:t>
      </w:r>
      <w:r>
        <w:rPr>
          <w:color w:val="auto"/>
        </w:rPr>
        <w:tab/>
      </w:r>
      <w:r w:rsidR="00A430B7" w:rsidRPr="00F7278A">
        <w:rPr>
          <w:color w:val="auto"/>
        </w:rPr>
        <w:t>economy, environmental sustainability, safety and whole-of-life cost.</w:t>
      </w:r>
    </w:p>
    <w:p w:rsidR="00A430B7" w:rsidRPr="00F7278A" w:rsidRDefault="00A430B7" w:rsidP="008D4A96">
      <w:pPr>
        <w:pStyle w:val="Default"/>
        <w:ind w:right="465"/>
        <w:jc w:val="both"/>
        <w:rPr>
          <w:color w:val="auto"/>
        </w:rPr>
      </w:pPr>
    </w:p>
    <w:p w:rsidR="00FA589F" w:rsidRPr="00F7278A" w:rsidRDefault="008B2F86" w:rsidP="0024494D">
      <w:pPr>
        <w:pStyle w:val="CM42"/>
        <w:spacing w:line="260" w:lineRule="atLeast"/>
        <w:ind w:left="674" w:right="465" w:hanging="674"/>
        <w:jc w:val="both"/>
        <w:rPr>
          <w:b/>
        </w:rPr>
      </w:pPr>
      <w:r w:rsidRPr="00F7278A">
        <w:rPr>
          <w:b/>
        </w:rPr>
        <w:t>2</w:t>
      </w:r>
      <w:r w:rsidR="005A283E" w:rsidRPr="00F7278A">
        <w:rPr>
          <w:b/>
        </w:rPr>
        <w:t>.</w:t>
      </w:r>
      <w:r w:rsidR="00094F13" w:rsidRPr="00F7278A">
        <w:rPr>
          <w:b/>
        </w:rPr>
        <w:t>4</w:t>
      </w:r>
      <w:r w:rsidR="00A430B7" w:rsidRPr="00F7278A">
        <w:rPr>
          <w:b/>
        </w:rPr>
        <w:t xml:space="preserve"> </w:t>
      </w:r>
      <w:r w:rsidR="00DD1704">
        <w:rPr>
          <w:b/>
        </w:rPr>
        <w:tab/>
      </w:r>
      <w:r w:rsidR="00A430B7" w:rsidRPr="00F7278A">
        <w:rPr>
          <w:b/>
        </w:rPr>
        <w:t xml:space="preserve">Rental cars </w:t>
      </w:r>
    </w:p>
    <w:p w:rsidR="00A430B7" w:rsidRPr="00F7278A" w:rsidRDefault="00DD1704" w:rsidP="00723398">
      <w:pPr>
        <w:pStyle w:val="CM42"/>
        <w:spacing w:line="260" w:lineRule="atLeast"/>
        <w:ind w:left="360" w:right="465"/>
        <w:jc w:val="both"/>
      </w:pPr>
      <w:r>
        <w:tab/>
      </w:r>
      <w:r w:rsidR="00A430B7" w:rsidRPr="00F7278A">
        <w:t xml:space="preserve">A </w:t>
      </w:r>
      <w:r w:rsidR="0051410A" w:rsidRPr="00F7278A">
        <w:t>Minister</w:t>
      </w:r>
      <w:r w:rsidR="00A430B7" w:rsidRPr="00F7278A">
        <w:t xml:space="preserve"> may, where necessary, use any self-drive rental car for </w:t>
      </w:r>
      <w:r>
        <w:tab/>
      </w:r>
      <w:r w:rsidR="00A430B7" w:rsidRPr="00F7278A">
        <w:t xml:space="preserve">travelling on ministerial business or parliamentary business. </w:t>
      </w:r>
    </w:p>
    <w:p w:rsidR="003B2513" w:rsidRPr="00F7278A" w:rsidRDefault="003B2513" w:rsidP="003B2513">
      <w:pPr>
        <w:jc w:val="center"/>
        <w:rPr>
          <w:b/>
        </w:rPr>
      </w:pPr>
      <w:r w:rsidRPr="00F7278A">
        <w:rPr>
          <w:b/>
        </w:rPr>
        <w:lastRenderedPageBreak/>
        <w:t>Part 3</w:t>
      </w:r>
    </w:p>
    <w:p w:rsidR="003B2513" w:rsidRPr="00F7278A" w:rsidRDefault="003B2513" w:rsidP="003B2513">
      <w:pPr>
        <w:jc w:val="center"/>
        <w:rPr>
          <w:b/>
        </w:rPr>
      </w:pPr>
      <w:r w:rsidRPr="00F7278A">
        <w:rPr>
          <w:b/>
        </w:rPr>
        <w:t xml:space="preserve">Travel </w:t>
      </w:r>
      <w:r w:rsidR="00516773" w:rsidRPr="00F7278A">
        <w:rPr>
          <w:b/>
        </w:rPr>
        <w:t>expenses</w:t>
      </w:r>
      <w:r w:rsidRPr="00F7278A">
        <w:rPr>
          <w:b/>
        </w:rPr>
        <w:t xml:space="preserve"> within New Zealand</w:t>
      </w:r>
    </w:p>
    <w:p w:rsidR="00466BD1" w:rsidRPr="00F7278A" w:rsidRDefault="00466BD1" w:rsidP="003B2513">
      <w:pPr>
        <w:pStyle w:val="Default"/>
        <w:ind w:right="465"/>
        <w:jc w:val="both"/>
        <w:rPr>
          <w:color w:val="auto"/>
        </w:rPr>
      </w:pPr>
    </w:p>
    <w:p w:rsidR="001973CA" w:rsidRPr="00F7278A" w:rsidRDefault="001973CA" w:rsidP="001973CA">
      <w:pPr>
        <w:pStyle w:val="Default"/>
        <w:rPr>
          <w:color w:val="auto"/>
        </w:rPr>
      </w:pPr>
    </w:p>
    <w:p w:rsidR="00723398" w:rsidRDefault="00E53941" w:rsidP="00482DF0">
      <w:pPr>
        <w:keepNext/>
        <w:tabs>
          <w:tab w:val="left" w:pos="567"/>
          <w:tab w:val="left" w:pos="709"/>
        </w:tabs>
        <w:autoSpaceDE w:val="0"/>
        <w:autoSpaceDN w:val="0"/>
        <w:adjustRightInd w:val="0"/>
        <w:rPr>
          <w:b/>
          <w:bCs/>
        </w:rPr>
      </w:pPr>
      <w:r w:rsidRPr="00F7278A">
        <w:rPr>
          <w:b/>
          <w:bCs/>
        </w:rPr>
        <w:t>3.</w:t>
      </w:r>
      <w:r w:rsidR="00F7278A" w:rsidRPr="00F7278A">
        <w:rPr>
          <w:b/>
          <w:bCs/>
        </w:rPr>
        <w:t>1</w:t>
      </w:r>
      <w:r w:rsidRPr="00F7278A">
        <w:rPr>
          <w:b/>
          <w:bCs/>
        </w:rPr>
        <w:t xml:space="preserve"> </w:t>
      </w:r>
      <w:r w:rsidR="00DD1704">
        <w:rPr>
          <w:b/>
          <w:bCs/>
        </w:rPr>
        <w:tab/>
      </w:r>
      <w:r w:rsidR="009B7DD0" w:rsidRPr="00F7278A">
        <w:rPr>
          <w:b/>
          <w:bCs/>
        </w:rPr>
        <w:t xml:space="preserve">Non-Wellington </w:t>
      </w:r>
      <w:r w:rsidR="001A550E" w:rsidRPr="00F7278A">
        <w:rPr>
          <w:b/>
          <w:bCs/>
        </w:rPr>
        <w:t>meal</w:t>
      </w:r>
      <w:r w:rsidR="009B7DD0" w:rsidRPr="00F7278A">
        <w:rPr>
          <w:b/>
          <w:bCs/>
        </w:rPr>
        <w:t xml:space="preserve"> expense payment</w:t>
      </w:r>
    </w:p>
    <w:p w:rsidR="00E53941" w:rsidRPr="00723398" w:rsidRDefault="00723398" w:rsidP="00482DF0">
      <w:pPr>
        <w:keepNext/>
        <w:tabs>
          <w:tab w:val="left" w:pos="567"/>
          <w:tab w:val="left" w:pos="709"/>
          <w:tab w:val="left" w:pos="1134"/>
        </w:tabs>
        <w:autoSpaceDE w:val="0"/>
        <w:autoSpaceDN w:val="0"/>
        <w:adjustRightInd w:val="0"/>
        <w:ind w:hanging="709"/>
        <w:rPr>
          <w:b/>
          <w:bCs/>
        </w:rPr>
      </w:pPr>
      <w:r>
        <w:rPr>
          <w:b/>
          <w:bCs/>
        </w:rPr>
        <w:t xml:space="preserve">      </w:t>
      </w:r>
      <w:r w:rsidR="00DD1704">
        <w:rPr>
          <w:b/>
          <w:bCs/>
        </w:rPr>
        <w:tab/>
      </w:r>
      <w:r w:rsidR="00DD1704">
        <w:rPr>
          <w:b/>
          <w:bCs/>
        </w:rPr>
        <w:tab/>
      </w:r>
      <w:r w:rsidR="00744E6E">
        <w:t>(1)</w:t>
      </w:r>
      <w:r w:rsidR="00744E6E">
        <w:tab/>
      </w:r>
      <w:r w:rsidR="00E53941" w:rsidRPr="00F7278A">
        <w:t xml:space="preserve">This clause applies if a </w:t>
      </w:r>
      <w:r w:rsidR="0051410A" w:rsidRPr="00F7278A">
        <w:t>Minister</w:t>
      </w:r>
      <w:r w:rsidR="00E53941" w:rsidRPr="00F7278A">
        <w:t xml:space="preserve">, while on Ministerial business, incurs </w:t>
      </w:r>
      <w:r w:rsidR="00DD1704">
        <w:tab/>
      </w:r>
      <w:r w:rsidR="00DD1704">
        <w:tab/>
      </w:r>
      <w:r w:rsidR="00744E6E">
        <w:tab/>
      </w:r>
      <w:r w:rsidR="00482DF0">
        <w:tab/>
      </w:r>
      <w:r w:rsidR="00E53941" w:rsidRPr="00F7278A">
        <w:t xml:space="preserve">expenses in </w:t>
      </w:r>
      <w:r>
        <w:t>r</w:t>
      </w:r>
      <w:r w:rsidR="00E53941" w:rsidRPr="00F7278A">
        <w:t xml:space="preserve">espect of </w:t>
      </w:r>
      <w:r w:rsidR="001A550E" w:rsidRPr="00F7278A">
        <w:t>an evening meal</w:t>
      </w:r>
      <w:r w:rsidR="00E53941" w:rsidRPr="00F7278A">
        <w:t xml:space="preserve"> outside the Wellington </w:t>
      </w:r>
      <w:r w:rsidR="00DD1704">
        <w:tab/>
      </w:r>
      <w:r w:rsidR="00DD1704">
        <w:tab/>
      </w:r>
      <w:r w:rsidR="00DD1704">
        <w:tab/>
      </w:r>
      <w:r w:rsidR="00744E6E">
        <w:tab/>
      </w:r>
      <w:r w:rsidR="00482DF0">
        <w:tab/>
      </w:r>
      <w:r w:rsidR="00744E6E">
        <w:t xml:space="preserve">commuting </w:t>
      </w:r>
      <w:r w:rsidR="00E53941" w:rsidRPr="00F7278A">
        <w:t xml:space="preserve">area and those expenses are incurred in circumstances </w:t>
      </w:r>
      <w:r w:rsidR="00DD1704">
        <w:tab/>
      </w:r>
      <w:r w:rsidR="00DD1704">
        <w:tab/>
      </w:r>
      <w:r w:rsidR="00744E6E">
        <w:tab/>
      </w:r>
      <w:r w:rsidR="00482DF0">
        <w:tab/>
      </w:r>
      <w:r w:rsidR="00E53941" w:rsidRPr="00F7278A">
        <w:t>where—</w:t>
      </w:r>
    </w:p>
    <w:p w:rsidR="00E53941" w:rsidRPr="00F7278A" w:rsidRDefault="00DD1704" w:rsidP="00744E6E">
      <w:pPr>
        <w:tabs>
          <w:tab w:val="left" w:pos="284"/>
          <w:tab w:val="left" w:pos="1134"/>
        </w:tabs>
        <w:autoSpaceDE w:val="0"/>
        <w:autoSpaceDN w:val="0"/>
        <w:adjustRightInd w:val="0"/>
        <w:ind w:left="284" w:hanging="284"/>
      </w:pPr>
      <w:r>
        <w:tab/>
      </w:r>
      <w:r>
        <w:tab/>
        <w:t>(a)</w:t>
      </w:r>
      <w:r>
        <w:tab/>
      </w:r>
      <w:r w:rsidR="00744E6E">
        <w:t xml:space="preserve"> </w:t>
      </w:r>
      <w:proofErr w:type="gramStart"/>
      <w:r w:rsidR="00E53941" w:rsidRPr="00F7278A">
        <w:t>the</w:t>
      </w:r>
      <w:proofErr w:type="gramEnd"/>
      <w:r w:rsidR="00E53941" w:rsidRPr="00F7278A">
        <w:t xml:space="preserve"> </w:t>
      </w:r>
      <w:r w:rsidR="0051410A" w:rsidRPr="00F7278A">
        <w:t>Minister</w:t>
      </w:r>
      <w:r w:rsidR="00E53941" w:rsidRPr="00F7278A">
        <w:t xml:space="preserve"> is at least </w:t>
      </w:r>
      <w:smartTag w:uri="urn:schemas-microsoft-com:office:smarttags" w:element="metricconverter">
        <w:smartTagPr>
          <w:attr w:name="ProductID" w:val="80 km"/>
        </w:smartTagPr>
        <w:r w:rsidR="00E53941" w:rsidRPr="00F7278A">
          <w:t>80 km</w:t>
        </w:r>
      </w:smartTag>
      <w:r w:rsidR="00E53941" w:rsidRPr="00F7278A">
        <w:t xml:space="preserve"> from his or her home base; and</w:t>
      </w:r>
    </w:p>
    <w:p w:rsidR="00723398" w:rsidRDefault="00ED3D57" w:rsidP="00744E6E">
      <w:pPr>
        <w:tabs>
          <w:tab w:val="left" w:pos="284"/>
          <w:tab w:val="left" w:pos="1134"/>
        </w:tabs>
        <w:autoSpaceDE w:val="0"/>
        <w:autoSpaceDN w:val="0"/>
        <w:adjustRightInd w:val="0"/>
        <w:ind w:left="1" w:hanging="284"/>
      </w:pPr>
      <w:r>
        <w:tab/>
      </w:r>
      <w:r w:rsidR="00DD1704">
        <w:tab/>
      </w:r>
      <w:r w:rsidR="00DD1704">
        <w:tab/>
        <w:t>(b)</w:t>
      </w:r>
      <w:r w:rsidR="00744E6E">
        <w:t xml:space="preserve"> </w:t>
      </w:r>
      <w:proofErr w:type="gramStart"/>
      <w:r w:rsidR="00E53941" w:rsidRPr="00F7278A">
        <w:t>the</w:t>
      </w:r>
      <w:proofErr w:type="gramEnd"/>
      <w:r w:rsidR="0051410A" w:rsidRPr="00F7278A">
        <w:t xml:space="preserve"> Minister</w:t>
      </w:r>
      <w:r w:rsidR="00E53941" w:rsidRPr="00F7278A">
        <w:t xml:space="preserve"> could not reasonably be expected to travel to his or her </w:t>
      </w:r>
      <w:r w:rsidR="00DD1704">
        <w:tab/>
      </w:r>
      <w:r w:rsidR="00DD1704">
        <w:tab/>
      </w:r>
      <w:r w:rsidR="00DD1704">
        <w:tab/>
      </w:r>
      <w:r w:rsidR="00744E6E">
        <w:t xml:space="preserve"> </w:t>
      </w:r>
      <w:r w:rsidR="00DD1704">
        <w:t xml:space="preserve">home base by </w:t>
      </w:r>
      <w:r w:rsidR="00723398">
        <w:t>conventional methods or safely.</w:t>
      </w:r>
    </w:p>
    <w:p w:rsidR="00E53941" w:rsidRPr="00F7278A" w:rsidRDefault="00DD1704" w:rsidP="00482DF0">
      <w:pPr>
        <w:tabs>
          <w:tab w:val="left" w:pos="284"/>
          <w:tab w:val="left" w:pos="567"/>
          <w:tab w:val="left" w:pos="709"/>
          <w:tab w:val="left" w:pos="1134"/>
        </w:tabs>
        <w:autoSpaceDE w:val="0"/>
        <w:autoSpaceDN w:val="0"/>
        <w:adjustRightInd w:val="0"/>
        <w:ind w:left="1" w:hanging="284"/>
      </w:pPr>
      <w:r>
        <w:tab/>
      </w:r>
      <w:r>
        <w:tab/>
      </w:r>
      <w:r w:rsidR="00744E6E">
        <w:tab/>
        <w:t>(2)</w:t>
      </w:r>
      <w:r w:rsidR="00744E6E">
        <w:tab/>
      </w:r>
      <w:r w:rsidR="00E53941" w:rsidRPr="00F7278A">
        <w:t xml:space="preserve">If this clause applies, the </w:t>
      </w:r>
      <w:r w:rsidR="0051410A" w:rsidRPr="00F7278A">
        <w:t>Minister</w:t>
      </w:r>
      <w:r w:rsidR="00E53941" w:rsidRPr="00F7278A">
        <w:t xml:space="preserve"> may be </w:t>
      </w:r>
      <w:r w:rsidR="001A550E" w:rsidRPr="00F7278A">
        <w:t>paid</w:t>
      </w:r>
      <w:r w:rsidR="00E53941" w:rsidRPr="00F7278A">
        <w:t xml:space="preserve"> the actual and reasonable </w:t>
      </w:r>
      <w:r>
        <w:tab/>
      </w:r>
      <w:r>
        <w:tab/>
      </w:r>
      <w:r>
        <w:tab/>
      </w:r>
      <w:r w:rsidR="00482DF0">
        <w:tab/>
      </w:r>
      <w:r w:rsidR="001A550E" w:rsidRPr="00F7278A">
        <w:t>expenses</w:t>
      </w:r>
      <w:r w:rsidR="00A77ED6" w:rsidRPr="00F7278A">
        <w:t xml:space="preserve"> of </w:t>
      </w:r>
      <w:r w:rsidR="00723398">
        <w:t>th</w:t>
      </w:r>
      <w:r w:rsidR="001A550E" w:rsidRPr="00F7278A">
        <w:t xml:space="preserve">e </w:t>
      </w:r>
      <w:r w:rsidR="00A77ED6" w:rsidRPr="00F7278A">
        <w:t>meal</w:t>
      </w:r>
      <w:r w:rsidR="003C1A7E" w:rsidRPr="00F7278A">
        <w:t xml:space="preserve"> </w:t>
      </w:r>
      <w:r w:rsidR="001A550E" w:rsidRPr="00F7278A">
        <w:t>(inclusive of alcohol)</w:t>
      </w:r>
      <w:r w:rsidR="00E53941" w:rsidRPr="00F7278A">
        <w:t xml:space="preserve"> up to </w:t>
      </w:r>
      <w:r w:rsidR="00A77ED6" w:rsidRPr="00F7278A">
        <w:t xml:space="preserve">$80 per </w:t>
      </w:r>
      <w:r w:rsidR="001A550E" w:rsidRPr="00F7278A">
        <w:t xml:space="preserve">meal (GST </w:t>
      </w:r>
      <w:r>
        <w:tab/>
      </w:r>
      <w:r>
        <w:tab/>
      </w:r>
      <w:r>
        <w:tab/>
      </w:r>
      <w:r w:rsidR="00744E6E">
        <w:tab/>
      </w:r>
      <w:r w:rsidR="00482DF0">
        <w:tab/>
      </w:r>
      <w:r w:rsidR="001A550E" w:rsidRPr="00F7278A">
        <w:t>inclusive)</w:t>
      </w:r>
      <w:r w:rsidR="009D1B5C" w:rsidRPr="00F7278A">
        <w:t>.</w:t>
      </w:r>
    </w:p>
    <w:p w:rsidR="00CA7B6C" w:rsidRPr="00F7278A" w:rsidRDefault="00CA7B6C" w:rsidP="00C874E3">
      <w:pPr>
        <w:pStyle w:val="Default"/>
        <w:rPr>
          <w:color w:val="auto"/>
        </w:rPr>
      </w:pPr>
    </w:p>
    <w:p w:rsidR="004954E5" w:rsidRPr="00F7278A" w:rsidRDefault="004954E5" w:rsidP="00482DF0">
      <w:pPr>
        <w:keepNext/>
        <w:tabs>
          <w:tab w:val="left" w:pos="567"/>
        </w:tabs>
        <w:autoSpaceDE w:val="0"/>
        <w:autoSpaceDN w:val="0"/>
        <w:adjustRightInd w:val="0"/>
        <w:rPr>
          <w:b/>
          <w:bCs/>
        </w:rPr>
      </w:pPr>
      <w:r w:rsidRPr="00F7278A">
        <w:rPr>
          <w:b/>
          <w:bCs/>
        </w:rPr>
        <w:t>3.</w:t>
      </w:r>
      <w:r w:rsidR="00F7278A" w:rsidRPr="00F7278A">
        <w:rPr>
          <w:b/>
          <w:bCs/>
        </w:rPr>
        <w:t>2</w:t>
      </w:r>
      <w:r w:rsidRPr="00F7278A">
        <w:rPr>
          <w:b/>
          <w:bCs/>
        </w:rPr>
        <w:t xml:space="preserve"> </w:t>
      </w:r>
      <w:r w:rsidR="00DD1704">
        <w:rPr>
          <w:b/>
          <w:bCs/>
        </w:rPr>
        <w:tab/>
      </w:r>
      <w:r w:rsidRPr="00F7278A">
        <w:rPr>
          <w:b/>
          <w:bCs/>
        </w:rPr>
        <w:t>Other travel-associated expenses</w:t>
      </w:r>
    </w:p>
    <w:p w:rsidR="004954E5" w:rsidRPr="00F7278A" w:rsidRDefault="00482DF0" w:rsidP="00482DF0">
      <w:pPr>
        <w:keepNext/>
        <w:tabs>
          <w:tab w:val="left" w:pos="567"/>
          <w:tab w:val="left" w:pos="709"/>
          <w:tab w:val="left" w:pos="1134"/>
        </w:tabs>
        <w:autoSpaceDE w:val="0"/>
        <w:autoSpaceDN w:val="0"/>
        <w:adjustRightInd w:val="0"/>
        <w:ind w:hanging="284"/>
      </w:pPr>
      <w:r>
        <w:tab/>
      </w:r>
      <w:r>
        <w:tab/>
      </w:r>
      <w:r w:rsidR="00744E6E">
        <w:t>(1)</w:t>
      </w:r>
      <w:r w:rsidR="00962D26">
        <w:tab/>
      </w:r>
      <w:r w:rsidR="004954E5" w:rsidRPr="00F7278A">
        <w:t xml:space="preserve">This clause applies if a Minister, while on Ministerial business, incurs </w:t>
      </w:r>
      <w:r w:rsidR="00DD1704">
        <w:tab/>
      </w:r>
      <w:r w:rsidR="00DD1704">
        <w:tab/>
      </w:r>
      <w:r>
        <w:tab/>
      </w:r>
      <w:r w:rsidR="00962D26">
        <w:tab/>
      </w:r>
      <w:r w:rsidR="004954E5" w:rsidRPr="00F7278A">
        <w:t xml:space="preserve">travel-related </w:t>
      </w:r>
      <w:r w:rsidR="00723398">
        <w:t>e</w:t>
      </w:r>
      <w:r w:rsidR="004954E5" w:rsidRPr="00F7278A">
        <w:t>xpenses such as parking and toll charges.</w:t>
      </w:r>
    </w:p>
    <w:p w:rsidR="004954E5" w:rsidRPr="00F7278A" w:rsidRDefault="00482DF0" w:rsidP="00482DF0">
      <w:pPr>
        <w:tabs>
          <w:tab w:val="left" w:pos="567"/>
          <w:tab w:val="left" w:pos="709"/>
          <w:tab w:val="left" w:pos="1134"/>
        </w:tabs>
        <w:autoSpaceDE w:val="0"/>
        <w:autoSpaceDN w:val="0"/>
        <w:adjustRightInd w:val="0"/>
        <w:ind w:hanging="284"/>
      </w:pPr>
      <w:r>
        <w:tab/>
      </w:r>
      <w:r>
        <w:tab/>
      </w:r>
      <w:r w:rsidR="00744E6E">
        <w:t>(2)</w:t>
      </w:r>
      <w:r w:rsidR="00962D26">
        <w:tab/>
      </w:r>
      <w:r w:rsidR="004954E5" w:rsidRPr="00F7278A">
        <w:t>If this clause applies, the Minister may be paid the cost of such expenses.</w:t>
      </w:r>
    </w:p>
    <w:p w:rsidR="004954E5" w:rsidRPr="00F7278A" w:rsidRDefault="004954E5" w:rsidP="004954E5">
      <w:pPr>
        <w:pStyle w:val="Default"/>
        <w:rPr>
          <w:color w:val="auto"/>
        </w:rPr>
      </w:pPr>
    </w:p>
    <w:p w:rsidR="009D1B5C" w:rsidRPr="00F7278A" w:rsidRDefault="009D1B5C" w:rsidP="00C874E3">
      <w:pPr>
        <w:pStyle w:val="Default"/>
        <w:rPr>
          <w:color w:val="auto"/>
        </w:rPr>
      </w:pPr>
    </w:p>
    <w:p w:rsidR="009D1B5C" w:rsidRPr="00F7278A" w:rsidRDefault="009D1B5C" w:rsidP="00C874E3">
      <w:pPr>
        <w:pStyle w:val="Default"/>
        <w:rPr>
          <w:color w:val="auto"/>
        </w:rPr>
      </w:pPr>
    </w:p>
    <w:p w:rsidR="009D1B5C" w:rsidRPr="00F7278A" w:rsidRDefault="009D1B5C" w:rsidP="00C874E3">
      <w:pPr>
        <w:pStyle w:val="Default"/>
        <w:rPr>
          <w:color w:val="auto"/>
        </w:rPr>
      </w:pPr>
    </w:p>
    <w:p w:rsidR="00091CD3" w:rsidRPr="00F7278A" w:rsidRDefault="00091CD3" w:rsidP="00656C5B">
      <w:pPr>
        <w:pStyle w:val="Default"/>
        <w:rPr>
          <w:color w:val="auto"/>
        </w:rPr>
      </w:pPr>
    </w:p>
    <w:p w:rsidR="00E53941" w:rsidRPr="00F7278A" w:rsidRDefault="00E53941" w:rsidP="00656C5B">
      <w:pPr>
        <w:pStyle w:val="Default"/>
        <w:rPr>
          <w:color w:val="auto"/>
        </w:rPr>
      </w:pPr>
    </w:p>
    <w:p w:rsidR="00E53941" w:rsidRPr="00F7278A" w:rsidRDefault="00E53941" w:rsidP="00656C5B">
      <w:pPr>
        <w:pStyle w:val="Default"/>
        <w:rPr>
          <w:color w:val="auto"/>
        </w:rPr>
      </w:pPr>
    </w:p>
    <w:p w:rsidR="00A430B7" w:rsidRPr="00F7278A" w:rsidRDefault="00DD1704" w:rsidP="008D4A96">
      <w:pPr>
        <w:pStyle w:val="Default"/>
        <w:spacing w:after="360" w:line="266" w:lineRule="atLeast"/>
        <w:ind w:left="-709" w:right="465"/>
        <w:jc w:val="both"/>
        <w:rPr>
          <w:color w:val="auto"/>
        </w:rPr>
      </w:pPr>
      <w:r>
        <w:rPr>
          <w:color w:val="auto"/>
        </w:rPr>
        <w:tab/>
      </w:r>
      <w:proofErr w:type="gramStart"/>
      <w:r w:rsidR="008D4A96" w:rsidRPr="00F7278A">
        <w:rPr>
          <w:color w:val="auto"/>
        </w:rPr>
        <w:t>D</w:t>
      </w:r>
      <w:r w:rsidR="00A430B7" w:rsidRPr="00F7278A">
        <w:rPr>
          <w:color w:val="auto"/>
        </w:rPr>
        <w:t xml:space="preserve">ated at Wellington this </w:t>
      </w:r>
      <w:r w:rsidR="006F77C0" w:rsidRPr="00F7278A">
        <w:rPr>
          <w:color w:val="auto"/>
        </w:rPr>
        <w:t xml:space="preserve">    </w:t>
      </w:r>
      <w:r w:rsidR="00091CD3" w:rsidRPr="00F7278A">
        <w:rPr>
          <w:color w:val="auto"/>
        </w:rPr>
        <w:t xml:space="preserve"> </w:t>
      </w:r>
      <w:r w:rsidR="006F77C0" w:rsidRPr="00F7278A">
        <w:rPr>
          <w:color w:val="auto"/>
        </w:rPr>
        <w:t xml:space="preserve">   </w:t>
      </w:r>
      <w:r>
        <w:rPr>
          <w:color w:val="auto"/>
        </w:rPr>
        <w:t xml:space="preserve">    </w:t>
      </w:r>
      <w:r w:rsidR="00A430B7" w:rsidRPr="00F7278A">
        <w:rPr>
          <w:color w:val="auto"/>
        </w:rPr>
        <w:t>day of</w:t>
      </w:r>
      <w:r w:rsidR="00534C5F" w:rsidRPr="00F7278A">
        <w:rPr>
          <w:color w:val="auto"/>
        </w:rPr>
        <w:t xml:space="preserve"> </w:t>
      </w:r>
      <w:r w:rsidR="006F77C0" w:rsidRPr="00F7278A">
        <w:rPr>
          <w:color w:val="auto"/>
        </w:rPr>
        <w:t xml:space="preserve">  </w:t>
      </w:r>
      <w:r w:rsidR="00A430B7" w:rsidRPr="00F7278A">
        <w:rPr>
          <w:color w:val="auto"/>
        </w:rPr>
        <w:t xml:space="preserve"> </w:t>
      </w:r>
      <w:r w:rsidR="006F77C0" w:rsidRPr="00F7278A">
        <w:rPr>
          <w:color w:val="auto"/>
        </w:rPr>
        <w:t xml:space="preserve">          </w:t>
      </w:r>
      <w:r>
        <w:rPr>
          <w:color w:val="auto"/>
        </w:rPr>
        <w:t xml:space="preserve">     </w:t>
      </w:r>
      <w:r w:rsidR="006F77C0" w:rsidRPr="00F7278A">
        <w:rPr>
          <w:color w:val="auto"/>
        </w:rPr>
        <w:t xml:space="preserve">        </w:t>
      </w:r>
      <w:r w:rsidR="00A430B7" w:rsidRPr="00F7278A">
        <w:rPr>
          <w:color w:val="auto"/>
        </w:rPr>
        <w:t>20</w:t>
      </w:r>
      <w:r w:rsidR="006F77C0" w:rsidRPr="00F7278A">
        <w:rPr>
          <w:color w:val="auto"/>
        </w:rPr>
        <w:t>17</w:t>
      </w:r>
      <w:r w:rsidR="00A430B7" w:rsidRPr="00F7278A">
        <w:rPr>
          <w:color w:val="auto"/>
        </w:rPr>
        <w:t>.</w:t>
      </w:r>
      <w:proofErr w:type="gramEnd"/>
      <w:r w:rsidR="00A430B7" w:rsidRPr="00F7278A">
        <w:rPr>
          <w:color w:val="auto"/>
        </w:rPr>
        <w:t xml:space="preserve"> </w:t>
      </w:r>
    </w:p>
    <w:p w:rsidR="008B2F86" w:rsidRPr="00F7278A" w:rsidRDefault="008B2F86" w:rsidP="008D4A96">
      <w:pPr>
        <w:pStyle w:val="Default"/>
        <w:spacing w:after="360" w:line="266" w:lineRule="atLeast"/>
        <w:ind w:left="-709" w:right="465"/>
        <w:jc w:val="both"/>
        <w:rPr>
          <w:color w:val="auto"/>
        </w:rPr>
      </w:pPr>
    </w:p>
    <w:p w:rsidR="00DE368B" w:rsidRPr="00F7278A" w:rsidRDefault="00DE368B" w:rsidP="008D4A96">
      <w:pPr>
        <w:pStyle w:val="Default"/>
        <w:spacing w:after="360" w:line="266" w:lineRule="atLeast"/>
        <w:ind w:left="-709" w:right="465"/>
        <w:jc w:val="both"/>
        <w:rPr>
          <w:color w:val="auto"/>
        </w:rPr>
      </w:pPr>
    </w:p>
    <w:p w:rsidR="00DE368B" w:rsidRPr="00F7278A" w:rsidRDefault="00DE368B" w:rsidP="008D4A96">
      <w:pPr>
        <w:pStyle w:val="Default"/>
        <w:spacing w:after="360" w:line="266" w:lineRule="atLeast"/>
        <w:ind w:left="-709" w:right="465"/>
        <w:jc w:val="both"/>
        <w:rPr>
          <w:color w:val="auto"/>
        </w:rPr>
      </w:pPr>
    </w:p>
    <w:p w:rsidR="00DE368B" w:rsidRPr="00F7278A" w:rsidRDefault="00DE368B" w:rsidP="008D4A96">
      <w:pPr>
        <w:pStyle w:val="Default"/>
        <w:spacing w:after="360" w:line="266" w:lineRule="atLeast"/>
        <w:ind w:left="-709" w:right="465"/>
        <w:jc w:val="both"/>
        <w:rPr>
          <w:color w:val="auto"/>
        </w:rPr>
      </w:pPr>
    </w:p>
    <w:p w:rsidR="008B2F86" w:rsidRPr="00F7278A" w:rsidRDefault="008B2F86" w:rsidP="008D4A96">
      <w:pPr>
        <w:pStyle w:val="Default"/>
        <w:spacing w:after="360" w:line="266" w:lineRule="atLeast"/>
        <w:ind w:left="-709" w:right="465"/>
        <w:jc w:val="both"/>
        <w:rPr>
          <w:color w:val="auto"/>
        </w:rPr>
      </w:pPr>
    </w:p>
    <w:p w:rsidR="00656C5B" w:rsidRPr="00F7278A" w:rsidRDefault="00DD1704" w:rsidP="00DD1A3F">
      <w:pPr>
        <w:pStyle w:val="Default"/>
        <w:spacing w:line="266" w:lineRule="atLeast"/>
        <w:ind w:left="-709" w:right="465"/>
        <w:jc w:val="both"/>
        <w:rPr>
          <w:color w:val="auto"/>
        </w:rPr>
      </w:pPr>
      <w:r>
        <w:rPr>
          <w:color w:val="auto"/>
        </w:rPr>
        <w:tab/>
      </w:r>
      <w:proofErr w:type="spellStart"/>
      <w:proofErr w:type="gramStart"/>
      <w:r w:rsidR="00F81B48" w:rsidRPr="00F7278A">
        <w:rPr>
          <w:color w:val="auto"/>
        </w:rPr>
        <w:t>Rt</w:t>
      </w:r>
      <w:proofErr w:type="spellEnd"/>
      <w:proofErr w:type="gramEnd"/>
      <w:r w:rsidR="00F81B48" w:rsidRPr="00F7278A">
        <w:rPr>
          <w:color w:val="auto"/>
        </w:rPr>
        <w:t xml:space="preserve"> </w:t>
      </w:r>
      <w:r w:rsidR="00A430B7" w:rsidRPr="00F7278A">
        <w:rPr>
          <w:color w:val="auto"/>
        </w:rPr>
        <w:t>Hon</w:t>
      </w:r>
      <w:r w:rsidR="00656C5B" w:rsidRPr="00F7278A">
        <w:rPr>
          <w:color w:val="auto"/>
        </w:rPr>
        <w:t xml:space="preserve"> </w:t>
      </w:r>
      <w:r w:rsidR="006F77C0" w:rsidRPr="00F7278A">
        <w:rPr>
          <w:color w:val="auto"/>
        </w:rPr>
        <w:t>Bill English</w:t>
      </w:r>
    </w:p>
    <w:p w:rsidR="00A430B7" w:rsidRPr="003550C2" w:rsidRDefault="00DD1704" w:rsidP="00DD1A3F">
      <w:pPr>
        <w:pStyle w:val="Default"/>
        <w:spacing w:line="266" w:lineRule="atLeast"/>
        <w:ind w:left="-709" w:right="465"/>
        <w:jc w:val="both"/>
        <w:rPr>
          <w:b/>
          <w:color w:val="auto"/>
        </w:rPr>
      </w:pPr>
      <w:r>
        <w:rPr>
          <w:color w:val="auto"/>
        </w:rPr>
        <w:tab/>
      </w:r>
      <w:r w:rsidR="003550C2" w:rsidRPr="003550C2">
        <w:rPr>
          <w:b/>
          <w:color w:val="auto"/>
        </w:rPr>
        <w:t>MINISTER RESPONSIBLE FOR MINISTERIAL</w:t>
      </w:r>
      <w:r w:rsidR="003550C2">
        <w:rPr>
          <w:color w:val="auto"/>
        </w:rPr>
        <w:t xml:space="preserve"> </w:t>
      </w:r>
      <w:r w:rsidR="003550C2" w:rsidRPr="003550C2">
        <w:rPr>
          <w:b/>
          <w:color w:val="auto"/>
        </w:rPr>
        <w:t>SERVICES</w:t>
      </w:r>
      <w:r w:rsidR="00A430B7" w:rsidRPr="003550C2">
        <w:rPr>
          <w:b/>
          <w:color w:val="auto"/>
        </w:rPr>
        <w:t xml:space="preserve"> </w:t>
      </w:r>
    </w:p>
    <w:p w:rsidR="00472E11" w:rsidRPr="00F7278A" w:rsidRDefault="00472E11" w:rsidP="00DD1A3F">
      <w:pPr>
        <w:pStyle w:val="Default"/>
        <w:spacing w:line="266" w:lineRule="atLeast"/>
        <w:ind w:left="-709" w:right="465"/>
        <w:jc w:val="both"/>
        <w:rPr>
          <w:color w:val="auto"/>
        </w:rPr>
      </w:pPr>
    </w:p>
    <w:p w:rsidR="00723275" w:rsidRPr="00F7278A" w:rsidRDefault="00723275" w:rsidP="00916172">
      <w:pPr>
        <w:spacing w:after="120"/>
      </w:pPr>
    </w:p>
    <w:p w:rsidR="00472E11" w:rsidRPr="00E33836" w:rsidRDefault="00472E11" w:rsidP="00723275">
      <w:pPr>
        <w:autoSpaceDE w:val="0"/>
        <w:autoSpaceDN w:val="0"/>
        <w:adjustRightInd w:val="0"/>
      </w:pPr>
    </w:p>
    <w:sectPr w:rsidR="00472E11" w:rsidRPr="00E33836" w:rsidSect="00F7278A">
      <w:headerReference w:type="even" r:id="rId18"/>
      <w:headerReference w:type="default" r:id="rId19"/>
      <w:headerReference w:type="first" r:id="rId20"/>
      <w:pgSz w:w="11907" w:h="16840" w:code="9"/>
      <w:pgMar w:top="1418" w:right="1701" w:bottom="851"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DF0" w:rsidRDefault="00482DF0" w:rsidP="00636DE7">
      <w:pPr>
        <w:pStyle w:val="Default"/>
      </w:pPr>
      <w:r>
        <w:separator/>
      </w:r>
    </w:p>
  </w:endnote>
  <w:endnote w:type="continuationSeparator" w:id="0">
    <w:p w:rsidR="00482DF0" w:rsidRDefault="00482DF0" w:rsidP="00636DE7">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rsidP="009E31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2DF0" w:rsidRDefault="00482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rsidP="00191C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810">
      <w:rPr>
        <w:rStyle w:val="PageNumber"/>
        <w:noProof/>
      </w:rPr>
      <w:t>4</w:t>
    </w:r>
    <w:r>
      <w:rPr>
        <w:rStyle w:val="PageNumber"/>
      </w:rPr>
      <w:fldChar w:fldCharType="end"/>
    </w:r>
  </w:p>
  <w:p w:rsidR="00482DF0" w:rsidRDefault="00482DF0" w:rsidP="00036F81">
    <w:pPr>
      <w:pStyle w:val="Footer"/>
      <w:pBdr>
        <w:top w:val="single" w:sz="4" w:space="1" w:color="auto"/>
      </w:pBdr>
      <w:rPr>
        <w:snapToGrid w:val="0"/>
        <w:sz w:val="16"/>
        <w:szCs w:val="16"/>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rsidP="00582CAA">
    <w:pPr>
      <w:pStyle w:val="Footer"/>
      <w:pBdr>
        <w:top w:val="single" w:sz="4" w:space="1" w:color="auto"/>
      </w:pBdr>
      <w:rPr>
        <w:snapToGrid w:val="0"/>
        <w:sz w:val="16"/>
        <w:szCs w:val="16"/>
        <w:lang w:eastAsia="en-US"/>
      </w:rPr>
    </w:pPr>
  </w:p>
  <w:p w:rsidR="00482DF0" w:rsidRPr="00582CAA" w:rsidRDefault="00482DF0" w:rsidP="00582CAA">
    <w:pPr>
      <w:pStyle w:val="Footer"/>
      <w:pBdr>
        <w:top w:val="single" w:sz="4" w:space="1"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DF0" w:rsidRDefault="00482DF0" w:rsidP="00636DE7">
      <w:pPr>
        <w:pStyle w:val="Default"/>
      </w:pPr>
      <w:r>
        <w:separator/>
      </w:r>
    </w:p>
  </w:footnote>
  <w:footnote w:type="continuationSeparator" w:id="0">
    <w:p w:rsidR="00482DF0" w:rsidRDefault="00482DF0" w:rsidP="00636DE7">
      <w:pPr>
        <w:pStyle w:val="Defaul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DF0" w:rsidRDefault="00482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796"/>
    <w:multiLevelType w:val="hybridMultilevel"/>
    <w:tmpl w:val="73DC1FDE"/>
    <w:lvl w:ilvl="0" w:tplc="08090001">
      <w:start w:val="1"/>
      <w:numFmt w:val="bullet"/>
      <w:lvlText w:val=""/>
      <w:lvlJc w:val="left"/>
      <w:pPr>
        <w:tabs>
          <w:tab w:val="num" w:pos="1713"/>
        </w:tabs>
        <w:ind w:left="1713" w:hanging="360"/>
      </w:pPr>
      <w:rPr>
        <w:rFonts w:ascii="Symbol" w:hAnsi="Symbol" w:hint="default"/>
      </w:rPr>
    </w:lvl>
    <w:lvl w:ilvl="1" w:tplc="08090003" w:tentative="1">
      <w:start w:val="1"/>
      <w:numFmt w:val="bullet"/>
      <w:lvlText w:val="o"/>
      <w:lvlJc w:val="left"/>
      <w:pPr>
        <w:tabs>
          <w:tab w:val="num" w:pos="2433"/>
        </w:tabs>
        <w:ind w:left="2433" w:hanging="360"/>
      </w:pPr>
      <w:rPr>
        <w:rFonts w:ascii="Courier New" w:hAnsi="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
    <w:nsid w:val="2CD811B9"/>
    <w:multiLevelType w:val="hybridMultilevel"/>
    <w:tmpl w:val="3DFA2978"/>
    <w:lvl w:ilvl="0" w:tplc="64CC6A22">
      <w:start w:val="1"/>
      <w:numFmt w:val="lowerLetter"/>
      <w:lvlText w:val="%1."/>
      <w:lvlJc w:val="left"/>
      <w:pPr>
        <w:tabs>
          <w:tab w:val="num" w:pos="2291"/>
        </w:tabs>
        <w:ind w:left="2291" w:hanging="360"/>
      </w:pPr>
      <w:rPr>
        <w:rFonts w:cs="Times New Roman" w:hint="default"/>
      </w:rPr>
    </w:lvl>
    <w:lvl w:ilvl="1" w:tplc="08090019">
      <w:start w:val="1"/>
      <w:numFmt w:val="lowerLetter"/>
      <w:lvlText w:val="%2."/>
      <w:lvlJc w:val="left"/>
      <w:pPr>
        <w:tabs>
          <w:tab w:val="num" w:pos="2291"/>
        </w:tabs>
        <w:ind w:left="2291" w:hanging="360"/>
      </w:pPr>
      <w:rPr>
        <w:rFonts w:cs="Times New Roman"/>
      </w:rPr>
    </w:lvl>
    <w:lvl w:ilvl="2" w:tplc="0809001B" w:tentative="1">
      <w:start w:val="1"/>
      <w:numFmt w:val="lowerRoman"/>
      <w:lvlText w:val="%3."/>
      <w:lvlJc w:val="right"/>
      <w:pPr>
        <w:tabs>
          <w:tab w:val="num" w:pos="3011"/>
        </w:tabs>
        <w:ind w:left="3011" w:hanging="180"/>
      </w:pPr>
      <w:rPr>
        <w:rFonts w:cs="Times New Roman"/>
      </w:rPr>
    </w:lvl>
    <w:lvl w:ilvl="3" w:tplc="0809000F" w:tentative="1">
      <w:start w:val="1"/>
      <w:numFmt w:val="decimal"/>
      <w:lvlText w:val="%4."/>
      <w:lvlJc w:val="left"/>
      <w:pPr>
        <w:tabs>
          <w:tab w:val="num" w:pos="3731"/>
        </w:tabs>
        <w:ind w:left="3731" w:hanging="360"/>
      </w:pPr>
      <w:rPr>
        <w:rFonts w:cs="Times New Roman"/>
      </w:rPr>
    </w:lvl>
    <w:lvl w:ilvl="4" w:tplc="08090019" w:tentative="1">
      <w:start w:val="1"/>
      <w:numFmt w:val="lowerLetter"/>
      <w:lvlText w:val="%5."/>
      <w:lvlJc w:val="left"/>
      <w:pPr>
        <w:tabs>
          <w:tab w:val="num" w:pos="4451"/>
        </w:tabs>
        <w:ind w:left="4451" w:hanging="360"/>
      </w:pPr>
      <w:rPr>
        <w:rFonts w:cs="Times New Roman"/>
      </w:rPr>
    </w:lvl>
    <w:lvl w:ilvl="5" w:tplc="0809001B" w:tentative="1">
      <w:start w:val="1"/>
      <w:numFmt w:val="lowerRoman"/>
      <w:lvlText w:val="%6."/>
      <w:lvlJc w:val="right"/>
      <w:pPr>
        <w:tabs>
          <w:tab w:val="num" w:pos="5171"/>
        </w:tabs>
        <w:ind w:left="5171" w:hanging="180"/>
      </w:pPr>
      <w:rPr>
        <w:rFonts w:cs="Times New Roman"/>
      </w:rPr>
    </w:lvl>
    <w:lvl w:ilvl="6" w:tplc="0809000F" w:tentative="1">
      <w:start w:val="1"/>
      <w:numFmt w:val="decimal"/>
      <w:lvlText w:val="%7."/>
      <w:lvlJc w:val="left"/>
      <w:pPr>
        <w:tabs>
          <w:tab w:val="num" w:pos="5891"/>
        </w:tabs>
        <w:ind w:left="5891" w:hanging="360"/>
      </w:pPr>
      <w:rPr>
        <w:rFonts w:cs="Times New Roman"/>
      </w:rPr>
    </w:lvl>
    <w:lvl w:ilvl="7" w:tplc="08090019" w:tentative="1">
      <w:start w:val="1"/>
      <w:numFmt w:val="lowerLetter"/>
      <w:lvlText w:val="%8."/>
      <w:lvlJc w:val="left"/>
      <w:pPr>
        <w:tabs>
          <w:tab w:val="num" w:pos="6611"/>
        </w:tabs>
        <w:ind w:left="6611" w:hanging="360"/>
      </w:pPr>
      <w:rPr>
        <w:rFonts w:cs="Times New Roman"/>
      </w:rPr>
    </w:lvl>
    <w:lvl w:ilvl="8" w:tplc="0809001B" w:tentative="1">
      <w:start w:val="1"/>
      <w:numFmt w:val="lowerRoman"/>
      <w:lvlText w:val="%9."/>
      <w:lvlJc w:val="right"/>
      <w:pPr>
        <w:tabs>
          <w:tab w:val="num" w:pos="7331"/>
        </w:tabs>
        <w:ind w:left="7331" w:hanging="180"/>
      </w:pPr>
      <w:rPr>
        <w:rFonts w:cs="Times New Roman"/>
      </w:rPr>
    </w:lvl>
  </w:abstractNum>
  <w:abstractNum w:abstractNumId="2">
    <w:nsid w:val="316647FF"/>
    <w:multiLevelType w:val="hybridMultilevel"/>
    <w:tmpl w:val="8A625A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33D7778C"/>
    <w:multiLevelType w:val="hybridMultilevel"/>
    <w:tmpl w:val="1A686D42"/>
    <w:lvl w:ilvl="0" w:tplc="EABE1DF0">
      <w:start w:val="1"/>
      <w:numFmt w:val="lowerLetter"/>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446F1BD5"/>
    <w:multiLevelType w:val="multilevel"/>
    <w:tmpl w:val="F3AA6A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58D6E98"/>
    <w:multiLevelType w:val="hybridMultilevel"/>
    <w:tmpl w:val="0FC8E1F6"/>
    <w:lvl w:ilvl="0" w:tplc="4F468E72">
      <w:start w:val="1"/>
      <w:numFmt w:val="decimal"/>
      <w:lvlText w:val="%1"/>
      <w:lvlJc w:val="left"/>
      <w:pPr>
        <w:tabs>
          <w:tab w:val="num" w:pos="1065"/>
        </w:tabs>
        <w:ind w:left="1065" w:hanging="705"/>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B7"/>
    <w:rsid w:val="00000FFE"/>
    <w:rsid w:val="000320AC"/>
    <w:rsid w:val="00032349"/>
    <w:rsid w:val="00036496"/>
    <w:rsid w:val="00036F81"/>
    <w:rsid w:val="000468D4"/>
    <w:rsid w:val="0005236F"/>
    <w:rsid w:val="0006788E"/>
    <w:rsid w:val="000746FA"/>
    <w:rsid w:val="00090071"/>
    <w:rsid w:val="00091CD3"/>
    <w:rsid w:val="000926B8"/>
    <w:rsid w:val="00094F13"/>
    <w:rsid w:val="0009725C"/>
    <w:rsid w:val="000A0233"/>
    <w:rsid w:val="000A346B"/>
    <w:rsid w:val="000B096D"/>
    <w:rsid w:val="000B23DD"/>
    <w:rsid w:val="000D6544"/>
    <w:rsid w:val="000E72A9"/>
    <w:rsid w:val="000F1F98"/>
    <w:rsid w:val="000F3D7D"/>
    <w:rsid w:val="00111C29"/>
    <w:rsid w:val="00115104"/>
    <w:rsid w:val="001178A7"/>
    <w:rsid w:val="00125911"/>
    <w:rsid w:val="001260C9"/>
    <w:rsid w:val="001311CF"/>
    <w:rsid w:val="001378E9"/>
    <w:rsid w:val="00164B94"/>
    <w:rsid w:val="00191CB6"/>
    <w:rsid w:val="0019456A"/>
    <w:rsid w:val="001973CA"/>
    <w:rsid w:val="001975CD"/>
    <w:rsid w:val="001A3C99"/>
    <w:rsid w:val="001A438C"/>
    <w:rsid w:val="001A550E"/>
    <w:rsid w:val="001B264E"/>
    <w:rsid w:val="001B7B49"/>
    <w:rsid w:val="001C1536"/>
    <w:rsid w:val="001D3740"/>
    <w:rsid w:val="001E4B8B"/>
    <w:rsid w:val="001E501A"/>
    <w:rsid w:val="001E77A5"/>
    <w:rsid w:val="001F613E"/>
    <w:rsid w:val="0022100E"/>
    <w:rsid w:val="00240C02"/>
    <w:rsid w:val="00241106"/>
    <w:rsid w:val="002436F6"/>
    <w:rsid w:val="0024494D"/>
    <w:rsid w:val="00245B36"/>
    <w:rsid w:val="00257870"/>
    <w:rsid w:val="0027247D"/>
    <w:rsid w:val="00273642"/>
    <w:rsid w:val="002947BF"/>
    <w:rsid w:val="002A008F"/>
    <w:rsid w:val="002D018A"/>
    <w:rsid w:val="002D395A"/>
    <w:rsid w:val="002D463A"/>
    <w:rsid w:val="002E2FDD"/>
    <w:rsid w:val="002E4F2E"/>
    <w:rsid w:val="00316B78"/>
    <w:rsid w:val="003263B3"/>
    <w:rsid w:val="00345535"/>
    <w:rsid w:val="003550C2"/>
    <w:rsid w:val="00355912"/>
    <w:rsid w:val="0037056B"/>
    <w:rsid w:val="00371044"/>
    <w:rsid w:val="00374953"/>
    <w:rsid w:val="00377F56"/>
    <w:rsid w:val="0038148B"/>
    <w:rsid w:val="00383475"/>
    <w:rsid w:val="0039043D"/>
    <w:rsid w:val="00395618"/>
    <w:rsid w:val="003A3381"/>
    <w:rsid w:val="003B0E50"/>
    <w:rsid w:val="003B2513"/>
    <w:rsid w:val="003B44A7"/>
    <w:rsid w:val="003C1A7E"/>
    <w:rsid w:val="003D5849"/>
    <w:rsid w:val="003E071D"/>
    <w:rsid w:val="003F24DA"/>
    <w:rsid w:val="00404727"/>
    <w:rsid w:val="00445288"/>
    <w:rsid w:val="00466BD1"/>
    <w:rsid w:val="00472E11"/>
    <w:rsid w:val="00472E78"/>
    <w:rsid w:val="00475458"/>
    <w:rsid w:val="00481896"/>
    <w:rsid w:val="00481BA3"/>
    <w:rsid w:val="00482DF0"/>
    <w:rsid w:val="0048658F"/>
    <w:rsid w:val="004954E5"/>
    <w:rsid w:val="004B2D87"/>
    <w:rsid w:val="0051410A"/>
    <w:rsid w:val="00516773"/>
    <w:rsid w:val="00531150"/>
    <w:rsid w:val="00534C5F"/>
    <w:rsid w:val="0053689D"/>
    <w:rsid w:val="00537BAD"/>
    <w:rsid w:val="005449EE"/>
    <w:rsid w:val="00561A43"/>
    <w:rsid w:val="00562232"/>
    <w:rsid w:val="005625B7"/>
    <w:rsid w:val="00582CAA"/>
    <w:rsid w:val="00593945"/>
    <w:rsid w:val="00597014"/>
    <w:rsid w:val="005A1A6D"/>
    <w:rsid w:val="005A283E"/>
    <w:rsid w:val="005B7886"/>
    <w:rsid w:val="005C7A61"/>
    <w:rsid w:val="005D4804"/>
    <w:rsid w:val="005E1D7B"/>
    <w:rsid w:val="00607C1A"/>
    <w:rsid w:val="00624535"/>
    <w:rsid w:val="00625810"/>
    <w:rsid w:val="00632119"/>
    <w:rsid w:val="00636DE7"/>
    <w:rsid w:val="00641CF3"/>
    <w:rsid w:val="00641F2C"/>
    <w:rsid w:val="00656C5B"/>
    <w:rsid w:val="006658E9"/>
    <w:rsid w:val="006745D5"/>
    <w:rsid w:val="00693A74"/>
    <w:rsid w:val="00694DA1"/>
    <w:rsid w:val="006A3D2A"/>
    <w:rsid w:val="006B2906"/>
    <w:rsid w:val="006B6C15"/>
    <w:rsid w:val="006C33EF"/>
    <w:rsid w:val="006E208F"/>
    <w:rsid w:val="006E48B4"/>
    <w:rsid w:val="006F77C0"/>
    <w:rsid w:val="00715DCD"/>
    <w:rsid w:val="00723275"/>
    <w:rsid w:val="00723398"/>
    <w:rsid w:val="007345E7"/>
    <w:rsid w:val="00744E6E"/>
    <w:rsid w:val="00745C87"/>
    <w:rsid w:val="00752C7C"/>
    <w:rsid w:val="007702C1"/>
    <w:rsid w:val="00770308"/>
    <w:rsid w:val="00776D46"/>
    <w:rsid w:val="007932B4"/>
    <w:rsid w:val="007A57B9"/>
    <w:rsid w:val="007B13B1"/>
    <w:rsid w:val="007E25D2"/>
    <w:rsid w:val="007F088C"/>
    <w:rsid w:val="0080077E"/>
    <w:rsid w:val="008013F8"/>
    <w:rsid w:val="00803E34"/>
    <w:rsid w:val="00820D47"/>
    <w:rsid w:val="008325CA"/>
    <w:rsid w:val="00837A2C"/>
    <w:rsid w:val="00837EE3"/>
    <w:rsid w:val="008462E9"/>
    <w:rsid w:val="00850566"/>
    <w:rsid w:val="00880838"/>
    <w:rsid w:val="00890AAB"/>
    <w:rsid w:val="008B04BD"/>
    <w:rsid w:val="008B2F86"/>
    <w:rsid w:val="008D4A96"/>
    <w:rsid w:val="008F3671"/>
    <w:rsid w:val="008F44F1"/>
    <w:rsid w:val="00916172"/>
    <w:rsid w:val="00930D5E"/>
    <w:rsid w:val="00934E33"/>
    <w:rsid w:val="00944F42"/>
    <w:rsid w:val="0094679D"/>
    <w:rsid w:val="00946B3C"/>
    <w:rsid w:val="00951AC5"/>
    <w:rsid w:val="0095436E"/>
    <w:rsid w:val="00957CDC"/>
    <w:rsid w:val="00962D26"/>
    <w:rsid w:val="00972C79"/>
    <w:rsid w:val="00975690"/>
    <w:rsid w:val="00986139"/>
    <w:rsid w:val="009930BC"/>
    <w:rsid w:val="00996DD4"/>
    <w:rsid w:val="009A7C94"/>
    <w:rsid w:val="009B7809"/>
    <w:rsid w:val="009B7DD0"/>
    <w:rsid w:val="009C15BD"/>
    <w:rsid w:val="009D1B5C"/>
    <w:rsid w:val="009D5A28"/>
    <w:rsid w:val="009D60AE"/>
    <w:rsid w:val="009E317B"/>
    <w:rsid w:val="009E454D"/>
    <w:rsid w:val="009E4BFF"/>
    <w:rsid w:val="009F2A55"/>
    <w:rsid w:val="009F3FA1"/>
    <w:rsid w:val="009F6094"/>
    <w:rsid w:val="00A10F2F"/>
    <w:rsid w:val="00A13291"/>
    <w:rsid w:val="00A1687F"/>
    <w:rsid w:val="00A176CD"/>
    <w:rsid w:val="00A221BA"/>
    <w:rsid w:val="00A24AFD"/>
    <w:rsid w:val="00A3704E"/>
    <w:rsid w:val="00A430B7"/>
    <w:rsid w:val="00A4455E"/>
    <w:rsid w:val="00A540C1"/>
    <w:rsid w:val="00A5681D"/>
    <w:rsid w:val="00A56D25"/>
    <w:rsid w:val="00A61346"/>
    <w:rsid w:val="00A64EFF"/>
    <w:rsid w:val="00A77ED6"/>
    <w:rsid w:val="00A91FB3"/>
    <w:rsid w:val="00AA195F"/>
    <w:rsid w:val="00AC494C"/>
    <w:rsid w:val="00AE18E8"/>
    <w:rsid w:val="00AE4EB9"/>
    <w:rsid w:val="00B010D3"/>
    <w:rsid w:val="00B06B7F"/>
    <w:rsid w:val="00B143DD"/>
    <w:rsid w:val="00B25067"/>
    <w:rsid w:val="00B348EB"/>
    <w:rsid w:val="00B34E4C"/>
    <w:rsid w:val="00B45E76"/>
    <w:rsid w:val="00B4623B"/>
    <w:rsid w:val="00B713D7"/>
    <w:rsid w:val="00B71FA9"/>
    <w:rsid w:val="00B84423"/>
    <w:rsid w:val="00B8466A"/>
    <w:rsid w:val="00B90C66"/>
    <w:rsid w:val="00B93007"/>
    <w:rsid w:val="00BA4CCD"/>
    <w:rsid w:val="00BA71EB"/>
    <w:rsid w:val="00BC7455"/>
    <w:rsid w:val="00BD2E91"/>
    <w:rsid w:val="00BF0A26"/>
    <w:rsid w:val="00C17B10"/>
    <w:rsid w:val="00C33EF4"/>
    <w:rsid w:val="00C449AC"/>
    <w:rsid w:val="00C60DC3"/>
    <w:rsid w:val="00C6172B"/>
    <w:rsid w:val="00C710EA"/>
    <w:rsid w:val="00C71F1A"/>
    <w:rsid w:val="00C75636"/>
    <w:rsid w:val="00C84537"/>
    <w:rsid w:val="00C874E3"/>
    <w:rsid w:val="00C92A71"/>
    <w:rsid w:val="00CA7B6C"/>
    <w:rsid w:val="00CB6977"/>
    <w:rsid w:val="00CC16AB"/>
    <w:rsid w:val="00CC376F"/>
    <w:rsid w:val="00CD3BB3"/>
    <w:rsid w:val="00CD45E7"/>
    <w:rsid w:val="00CD68A2"/>
    <w:rsid w:val="00CF5CBE"/>
    <w:rsid w:val="00D00E1B"/>
    <w:rsid w:val="00D02F5F"/>
    <w:rsid w:val="00D077C3"/>
    <w:rsid w:val="00D2511F"/>
    <w:rsid w:val="00D27736"/>
    <w:rsid w:val="00D379F5"/>
    <w:rsid w:val="00D40E5F"/>
    <w:rsid w:val="00D45FF1"/>
    <w:rsid w:val="00D523C6"/>
    <w:rsid w:val="00D573F3"/>
    <w:rsid w:val="00D712E4"/>
    <w:rsid w:val="00D743E4"/>
    <w:rsid w:val="00D748A9"/>
    <w:rsid w:val="00D774C8"/>
    <w:rsid w:val="00D80B0A"/>
    <w:rsid w:val="00D86FDC"/>
    <w:rsid w:val="00D91583"/>
    <w:rsid w:val="00D91E0E"/>
    <w:rsid w:val="00DA1336"/>
    <w:rsid w:val="00DA4ECC"/>
    <w:rsid w:val="00DB785C"/>
    <w:rsid w:val="00DC690B"/>
    <w:rsid w:val="00DD1704"/>
    <w:rsid w:val="00DD1A3F"/>
    <w:rsid w:val="00DD4240"/>
    <w:rsid w:val="00DE259A"/>
    <w:rsid w:val="00DE368B"/>
    <w:rsid w:val="00DE7E09"/>
    <w:rsid w:val="00E03926"/>
    <w:rsid w:val="00E10EE1"/>
    <w:rsid w:val="00E126CC"/>
    <w:rsid w:val="00E14224"/>
    <w:rsid w:val="00E172E4"/>
    <w:rsid w:val="00E1747A"/>
    <w:rsid w:val="00E23305"/>
    <w:rsid w:val="00E33836"/>
    <w:rsid w:val="00E3786C"/>
    <w:rsid w:val="00E53941"/>
    <w:rsid w:val="00E53BF0"/>
    <w:rsid w:val="00E64A51"/>
    <w:rsid w:val="00E66E9C"/>
    <w:rsid w:val="00E7259B"/>
    <w:rsid w:val="00E86BC4"/>
    <w:rsid w:val="00E9299D"/>
    <w:rsid w:val="00E97EE0"/>
    <w:rsid w:val="00EC245C"/>
    <w:rsid w:val="00ED0801"/>
    <w:rsid w:val="00ED3D57"/>
    <w:rsid w:val="00EE65FB"/>
    <w:rsid w:val="00EE6B04"/>
    <w:rsid w:val="00EF0D20"/>
    <w:rsid w:val="00EF60DF"/>
    <w:rsid w:val="00F247E5"/>
    <w:rsid w:val="00F65424"/>
    <w:rsid w:val="00F7278A"/>
    <w:rsid w:val="00F81B48"/>
    <w:rsid w:val="00F83955"/>
    <w:rsid w:val="00F84E83"/>
    <w:rsid w:val="00F96ECE"/>
    <w:rsid w:val="00FA589F"/>
    <w:rsid w:val="00FB726C"/>
    <w:rsid w:val="00FF0066"/>
    <w:rsid w:val="00FF1D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225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0AC"/>
    <w:pPr>
      <w:spacing w:after="0" w:line="240" w:lineRule="auto"/>
    </w:pPr>
    <w:rPr>
      <w:sz w:val="24"/>
      <w:szCs w:val="24"/>
      <w:lang w:val="en-GB" w:eastAsia="en-GB"/>
    </w:rPr>
  </w:style>
  <w:style w:type="paragraph" w:styleId="Heading3">
    <w:name w:val="heading 3"/>
    <w:basedOn w:val="Normal"/>
    <w:next w:val="Normal"/>
    <w:link w:val="Heading3Char"/>
    <w:uiPriority w:val="99"/>
    <w:qFormat/>
    <w:rsid w:val="00C874E3"/>
    <w:pPr>
      <w:keepNext/>
      <w:tabs>
        <w:tab w:val="left" w:pos="851"/>
      </w:tabs>
      <w:autoSpaceDE w:val="0"/>
      <w:autoSpaceDN w:val="0"/>
      <w:adjustRightInd w:val="0"/>
      <w:spacing w:before="360" w:after="240" w:line="240" w:lineRule="atLeast"/>
      <w:ind w:left="1134"/>
      <w:jc w:val="both"/>
      <w:outlineLvl w:val="2"/>
    </w:pPr>
    <w:rPr>
      <w:rFonts w:ascii="Helvetica" w:hAnsi="Helvetica" w:cs="Arial"/>
      <w:b/>
      <w:bCs/>
      <w:color w:val="000000"/>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en-GB"/>
    </w:rPr>
  </w:style>
  <w:style w:type="paragraph" w:customStyle="1" w:styleId="Default">
    <w:name w:val="Default"/>
    <w:uiPriority w:val="99"/>
    <w:pPr>
      <w:widowControl w:val="0"/>
      <w:autoSpaceDE w:val="0"/>
      <w:autoSpaceDN w:val="0"/>
      <w:adjustRightInd w:val="0"/>
      <w:spacing w:after="0" w:line="240" w:lineRule="auto"/>
    </w:pPr>
    <w:rPr>
      <w:color w:val="000000"/>
      <w:sz w:val="24"/>
      <w:szCs w:val="24"/>
      <w:lang w:val="en-GB" w:eastAsia="en-GB"/>
    </w:rPr>
  </w:style>
  <w:style w:type="paragraph" w:customStyle="1" w:styleId="CM39">
    <w:name w:val="CM39"/>
    <w:basedOn w:val="Default"/>
    <w:next w:val="Default"/>
    <w:uiPriority w:val="99"/>
    <w:rPr>
      <w:color w:val="auto"/>
    </w:rPr>
  </w:style>
  <w:style w:type="paragraph" w:customStyle="1" w:styleId="CM1">
    <w:name w:val="CM1"/>
    <w:basedOn w:val="Default"/>
    <w:next w:val="Default"/>
    <w:uiPriority w:val="99"/>
    <w:pPr>
      <w:spacing w:line="260" w:lineRule="atLeast"/>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40">
    <w:name w:val="CM40"/>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1">
    <w:name w:val="CM41"/>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42">
    <w:name w:val="CM42"/>
    <w:basedOn w:val="Default"/>
    <w:next w:val="Default"/>
    <w:uiPriority w:val="99"/>
    <w:rPr>
      <w:color w:val="auto"/>
    </w:rPr>
  </w:style>
  <w:style w:type="paragraph" w:customStyle="1" w:styleId="CM9">
    <w:name w:val="CM9"/>
    <w:basedOn w:val="Default"/>
    <w:next w:val="Default"/>
    <w:uiPriority w:val="99"/>
    <w:pPr>
      <w:spacing w:line="260" w:lineRule="atLeast"/>
    </w:pPr>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2">
    <w:name w:val="CM12"/>
    <w:basedOn w:val="Default"/>
    <w:next w:val="Default"/>
    <w:uiPriority w:val="99"/>
    <w:pPr>
      <w:spacing w:line="268" w:lineRule="atLeast"/>
    </w:pPr>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pPr>
      <w:spacing w:line="260" w:lineRule="atLeast"/>
    </w:pPr>
    <w:rPr>
      <w:color w:val="auto"/>
    </w:rPr>
  </w:style>
  <w:style w:type="paragraph" w:customStyle="1" w:styleId="CM15">
    <w:name w:val="CM15"/>
    <w:basedOn w:val="Default"/>
    <w:next w:val="Default"/>
    <w:uiPriority w:val="99"/>
    <w:pPr>
      <w:spacing w:line="263" w:lineRule="atLeast"/>
    </w:pPr>
    <w:rPr>
      <w:color w:val="auto"/>
    </w:rPr>
  </w:style>
  <w:style w:type="paragraph" w:customStyle="1" w:styleId="CM16">
    <w:name w:val="CM16"/>
    <w:basedOn w:val="Default"/>
    <w:next w:val="Default"/>
    <w:uiPriority w:val="99"/>
    <w:pPr>
      <w:spacing w:line="260" w:lineRule="atLeast"/>
    </w:pPr>
    <w:rPr>
      <w:color w:val="auto"/>
    </w:rPr>
  </w:style>
  <w:style w:type="paragraph" w:customStyle="1" w:styleId="CM44">
    <w:name w:val="CM44"/>
    <w:basedOn w:val="Default"/>
    <w:next w:val="Default"/>
    <w:uiPriority w:val="99"/>
    <w:rPr>
      <w:color w:val="auto"/>
    </w:rPr>
  </w:style>
  <w:style w:type="paragraph" w:customStyle="1" w:styleId="CM17">
    <w:name w:val="CM17"/>
    <w:basedOn w:val="Default"/>
    <w:next w:val="Default"/>
    <w:uiPriority w:val="99"/>
    <w:pPr>
      <w:spacing w:line="260" w:lineRule="atLeast"/>
    </w:pPr>
    <w:rPr>
      <w:color w:val="auto"/>
    </w:rPr>
  </w:style>
  <w:style w:type="paragraph" w:customStyle="1" w:styleId="CM18">
    <w:name w:val="CM18"/>
    <w:basedOn w:val="Default"/>
    <w:next w:val="Default"/>
    <w:uiPriority w:val="99"/>
    <w:pPr>
      <w:spacing w:line="376" w:lineRule="atLeast"/>
    </w:pPr>
    <w:rPr>
      <w:color w:val="auto"/>
    </w:rPr>
  </w:style>
  <w:style w:type="paragraph" w:customStyle="1" w:styleId="CM19">
    <w:name w:val="CM19"/>
    <w:basedOn w:val="Default"/>
    <w:next w:val="Default"/>
    <w:uiPriority w:val="99"/>
    <w:pPr>
      <w:spacing w:line="280" w:lineRule="atLeast"/>
    </w:pPr>
    <w:rPr>
      <w:color w:val="auto"/>
    </w:rPr>
  </w:style>
  <w:style w:type="paragraph" w:customStyle="1" w:styleId="CM46">
    <w:name w:val="CM46"/>
    <w:basedOn w:val="Default"/>
    <w:next w:val="Default"/>
    <w:uiPriority w:val="99"/>
    <w:rPr>
      <w:color w:val="auto"/>
    </w:rPr>
  </w:style>
  <w:style w:type="paragraph" w:customStyle="1" w:styleId="CM21">
    <w:name w:val="CM21"/>
    <w:basedOn w:val="Default"/>
    <w:next w:val="Default"/>
    <w:uiPriority w:val="99"/>
    <w:pPr>
      <w:spacing w:line="260" w:lineRule="atLeast"/>
    </w:pPr>
    <w:rPr>
      <w:color w:val="auto"/>
    </w:rPr>
  </w:style>
  <w:style w:type="paragraph" w:customStyle="1" w:styleId="CM25">
    <w:name w:val="CM25"/>
    <w:basedOn w:val="Default"/>
    <w:next w:val="Default"/>
    <w:uiPriority w:val="99"/>
    <w:pPr>
      <w:spacing w:line="266" w:lineRule="atLeast"/>
    </w:pPr>
    <w:rPr>
      <w:color w:val="auto"/>
    </w:rPr>
  </w:style>
  <w:style w:type="paragraph" w:customStyle="1" w:styleId="CM26">
    <w:name w:val="CM26"/>
    <w:basedOn w:val="Default"/>
    <w:next w:val="Default"/>
    <w:uiPriority w:val="99"/>
    <w:pPr>
      <w:spacing w:line="260" w:lineRule="atLeast"/>
    </w:pPr>
    <w:rPr>
      <w:color w:val="auto"/>
    </w:rPr>
  </w:style>
  <w:style w:type="paragraph" w:customStyle="1" w:styleId="CM45">
    <w:name w:val="CM45"/>
    <w:basedOn w:val="Default"/>
    <w:next w:val="Default"/>
    <w:uiPriority w:val="99"/>
    <w:rPr>
      <w:color w:val="auto"/>
    </w:rPr>
  </w:style>
  <w:style w:type="paragraph" w:customStyle="1" w:styleId="CM29">
    <w:name w:val="CM29"/>
    <w:basedOn w:val="Default"/>
    <w:next w:val="Default"/>
    <w:uiPriority w:val="99"/>
    <w:pPr>
      <w:spacing w:line="260" w:lineRule="atLeast"/>
    </w:pPr>
    <w:rPr>
      <w:color w:val="auto"/>
    </w:rPr>
  </w:style>
  <w:style w:type="paragraph" w:customStyle="1" w:styleId="CM30">
    <w:name w:val="CM30"/>
    <w:basedOn w:val="Default"/>
    <w:next w:val="Default"/>
    <w:uiPriority w:val="99"/>
    <w:rPr>
      <w:color w:val="auto"/>
    </w:rPr>
  </w:style>
  <w:style w:type="paragraph" w:customStyle="1" w:styleId="CM27">
    <w:name w:val="CM27"/>
    <w:basedOn w:val="Default"/>
    <w:next w:val="Default"/>
    <w:uiPriority w:val="99"/>
    <w:pPr>
      <w:spacing w:line="263" w:lineRule="atLeast"/>
    </w:pPr>
    <w:rPr>
      <w:color w:val="auto"/>
    </w:rPr>
  </w:style>
  <w:style w:type="paragraph" w:customStyle="1" w:styleId="CM43">
    <w:name w:val="CM43"/>
    <w:basedOn w:val="Default"/>
    <w:next w:val="Default"/>
    <w:uiPriority w:val="99"/>
    <w:rPr>
      <w:color w:val="auto"/>
    </w:rPr>
  </w:style>
  <w:style w:type="paragraph" w:customStyle="1" w:styleId="text1">
    <w:name w:val="text1"/>
    <w:basedOn w:val="Normal"/>
    <w:uiPriority w:val="99"/>
    <w:rsid w:val="001975CD"/>
    <w:pPr>
      <w:spacing w:line="288" w:lineRule="atLeast"/>
    </w:pPr>
    <w:rPr>
      <w:color w:val="000000"/>
    </w:rPr>
  </w:style>
  <w:style w:type="paragraph" w:customStyle="1" w:styleId="paranum">
    <w:name w:val="paranum"/>
    <w:basedOn w:val="Default"/>
    <w:next w:val="Default"/>
    <w:uiPriority w:val="99"/>
    <w:rsid w:val="00273642"/>
    <w:pPr>
      <w:widowControl/>
    </w:pPr>
    <w:rPr>
      <w:color w:val="auto"/>
    </w:rPr>
  </w:style>
  <w:style w:type="paragraph" w:styleId="PlainText">
    <w:name w:val="Plain Text"/>
    <w:basedOn w:val="Default"/>
    <w:next w:val="Default"/>
    <w:link w:val="PlainTextChar"/>
    <w:uiPriority w:val="99"/>
    <w:rsid w:val="00273642"/>
    <w:pPr>
      <w:widowControl/>
    </w:pPr>
    <w:rPr>
      <w:color w:val="auto"/>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GB"/>
    </w:rPr>
  </w:style>
  <w:style w:type="paragraph" w:styleId="BalloonText">
    <w:name w:val="Balloon Text"/>
    <w:basedOn w:val="Normal"/>
    <w:link w:val="BalloonTextChar"/>
    <w:uiPriority w:val="99"/>
    <w:semiHidden/>
    <w:rsid w:val="000364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GB"/>
    </w:rPr>
  </w:style>
  <w:style w:type="paragraph" w:styleId="BodyText">
    <w:name w:val="Body Text"/>
    <w:basedOn w:val="Normal"/>
    <w:link w:val="BodyTextChar"/>
    <w:uiPriority w:val="99"/>
    <w:rsid w:val="00A56D25"/>
    <w:pPr>
      <w:spacing w:after="200" w:line="280" w:lineRule="atLeast"/>
    </w:pPr>
    <w:rPr>
      <w:rFonts w:ascii="Arial" w:hAnsi="Arial"/>
      <w:sz w:val="22"/>
      <w:lang w:val="en-NZ" w:eastAsia="en-US"/>
    </w:rPr>
  </w:style>
  <w:style w:type="character" w:customStyle="1" w:styleId="BodyTextChar">
    <w:name w:val="Body Text Char"/>
    <w:basedOn w:val="DefaultParagraphFont"/>
    <w:link w:val="BodyText"/>
    <w:uiPriority w:val="99"/>
    <w:semiHidden/>
    <w:locked/>
    <w:rPr>
      <w:rFonts w:cs="Times New Roman"/>
      <w:sz w:val="24"/>
      <w:szCs w:val="24"/>
      <w:lang w:val="en-GB" w:eastAsia="en-GB"/>
    </w:rPr>
  </w:style>
  <w:style w:type="character" w:styleId="Hyperlink">
    <w:name w:val="Hyperlink"/>
    <w:basedOn w:val="DefaultParagraphFont"/>
    <w:uiPriority w:val="99"/>
    <w:rsid w:val="000D6544"/>
    <w:rPr>
      <w:rFonts w:cs="Times New Roman"/>
      <w:color w:val="0072BC"/>
      <w:u w:val="none"/>
      <w:effect w:val="none"/>
    </w:rPr>
  </w:style>
  <w:style w:type="character" w:styleId="Strong">
    <w:name w:val="Strong"/>
    <w:basedOn w:val="DefaultParagraphFont"/>
    <w:uiPriority w:val="99"/>
    <w:qFormat/>
    <w:rsid w:val="00C874E3"/>
    <w:rPr>
      <w:rFonts w:cs="Times New Roman"/>
      <w:b/>
    </w:rPr>
  </w:style>
  <w:style w:type="paragraph" w:styleId="Footer">
    <w:name w:val="footer"/>
    <w:basedOn w:val="Normal"/>
    <w:link w:val="FooterChar"/>
    <w:uiPriority w:val="99"/>
    <w:rsid w:val="00636DE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GB" w:eastAsia="en-GB"/>
    </w:rPr>
  </w:style>
  <w:style w:type="character" w:styleId="PageNumber">
    <w:name w:val="page number"/>
    <w:basedOn w:val="DefaultParagraphFont"/>
    <w:uiPriority w:val="99"/>
    <w:rsid w:val="00636DE7"/>
    <w:rPr>
      <w:rFonts w:cs="Times New Roman"/>
    </w:rPr>
  </w:style>
  <w:style w:type="paragraph" w:styleId="Header">
    <w:name w:val="header"/>
    <w:basedOn w:val="Normal"/>
    <w:link w:val="HeaderChar"/>
    <w:uiPriority w:val="99"/>
    <w:rsid w:val="009E317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GB" w:eastAsia="en-GB"/>
    </w:rPr>
  </w:style>
  <w:style w:type="paragraph" w:customStyle="1" w:styleId="label9">
    <w:name w:val="label9"/>
    <w:basedOn w:val="Normal"/>
    <w:uiPriority w:val="99"/>
    <w:rsid w:val="00837EE3"/>
    <w:pPr>
      <w:spacing w:line="288" w:lineRule="atLeast"/>
    </w:pPr>
    <w:rPr>
      <w:color w:val="000000"/>
    </w:rPr>
  </w:style>
  <w:style w:type="character" w:styleId="CommentReference">
    <w:name w:val="annotation reference"/>
    <w:basedOn w:val="DefaultParagraphFont"/>
    <w:uiPriority w:val="99"/>
    <w:semiHidden/>
    <w:rsid w:val="00472E11"/>
    <w:rPr>
      <w:rFonts w:cs="Times New Roman"/>
      <w:sz w:val="16"/>
      <w:szCs w:val="16"/>
    </w:rPr>
  </w:style>
  <w:style w:type="paragraph" w:styleId="CommentText">
    <w:name w:val="annotation text"/>
    <w:basedOn w:val="Normal"/>
    <w:link w:val="CommentTextChar"/>
    <w:uiPriority w:val="99"/>
    <w:semiHidden/>
    <w:rsid w:val="00472E11"/>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472E11"/>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en-GB"/>
    </w:rPr>
  </w:style>
  <w:style w:type="paragraph" w:styleId="Revision">
    <w:name w:val="Revision"/>
    <w:hidden/>
    <w:uiPriority w:val="99"/>
    <w:semiHidden/>
    <w:rsid w:val="00D748A9"/>
    <w:pPr>
      <w:spacing w:after="0" w:line="240" w:lineRule="auto"/>
    </w:pPr>
    <w:rPr>
      <w:sz w:val="24"/>
      <w:szCs w:val="24"/>
      <w:lang w:val="en-GB" w:eastAsia="en-GB"/>
    </w:rPr>
  </w:style>
  <w:style w:type="paragraph" w:styleId="ListParagraph">
    <w:name w:val="List Paragraph"/>
    <w:basedOn w:val="Normal"/>
    <w:uiPriority w:val="34"/>
    <w:qFormat/>
    <w:rsid w:val="00A64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0AC"/>
    <w:pPr>
      <w:spacing w:after="0" w:line="240" w:lineRule="auto"/>
    </w:pPr>
    <w:rPr>
      <w:sz w:val="24"/>
      <w:szCs w:val="24"/>
      <w:lang w:val="en-GB" w:eastAsia="en-GB"/>
    </w:rPr>
  </w:style>
  <w:style w:type="paragraph" w:styleId="Heading3">
    <w:name w:val="heading 3"/>
    <w:basedOn w:val="Normal"/>
    <w:next w:val="Normal"/>
    <w:link w:val="Heading3Char"/>
    <w:uiPriority w:val="99"/>
    <w:qFormat/>
    <w:rsid w:val="00C874E3"/>
    <w:pPr>
      <w:keepNext/>
      <w:tabs>
        <w:tab w:val="left" w:pos="851"/>
      </w:tabs>
      <w:autoSpaceDE w:val="0"/>
      <w:autoSpaceDN w:val="0"/>
      <w:adjustRightInd w:val="0"/>
      <w:spacing w:before="360" w:after="240" w:line="240" w:lineRule="atLeast"/>
      <w:ind w:left="1134"/>
      <w:jc w:val="both"/>
      <w:outlineLvl w:val="2"/>
    </w:pPr>
    <w:rPr>
      <w:rFonts w:ascii="Helvetica" w:hAnsi="Helvetica" w:cs="Arial"/>
      <w:b/>
      <w:bCs/>
      <w:color w:val="000000"/>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eastAsia="en-GB"/>
    </w:rPr>
  </w:style>
  <w:style w:type="paragraph" w:customStyle="1" w:styleId="Default">
    <w:name w:val="Default"/>
    <w:uiPriority w:val="99"/>
    <w:pPr>
      <w:widowControl w:val="0"/>
      <w:autoSpaceDE w:val="0"/>
      <w:autoSpaceDN w:val="0"/>
      <w:adjustRightInd w:val="0"/>
      <w:spacing w:after="0" w:line="240" w:lineRule="auto"/>
    </w:pPr>
    <w:rPr>
      <w:color w:val="000000"/>
      <w:sz w:val="24"/>
      <w:szCs w:val="24"/>
      <w:lang w:val="en-GB" w:eastAsia="en-GB"/>
    </w:rPr>
  </w:style>
  <w:style w:type="paragraph" w:customStyle="1" w:styleId="CM39">
    <w:name w:val="CM39"/>
    <w:basedOn w:val="Default"/>
    <w:next w:val="Default"/>
    <w:uiPriority w:val="99"/>
    <w:rPr>
      <w:color w:val="auto"/>
    </w:rPr>
  </w:style>
  <w:style w:type="paragraph" w:customStyle="1" w:styleId="CM1">
    <w:name w:val="CM1"/>
    <w:basedOn w:val="Default"/>
    <w:next w:val="Default"/>
    <w:uiPriority w:val="99"/>
    <w:pPr>
      <w:spacing w:line="260" w:lineRule="atLeast"/>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40">
    <w:name w:val="CM40"/>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1">
    <w:name w:val="CM41"/>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42">
    <w:name w:val="CM42"/>
    <w:basedOn w:val="Default"/>
    <w:next w:val="Default"/>
    <w:uiPriority w:val="99"/>
    <w:rPr>
      <w:color w:val="auto"/>
    </w:rPr>
  </w:style>
  <w:style w:type="paragraph" w:customStyle="1" w:styleId="CM9">
    <w:name w:val="CM9"/>
    <w:basedOn w:val="Default"/>
    <w:next w:val="Default"/>
    <w:uiPriority w:val="99"/>
    <w:pPr>
      <w:spacing w:line="260" w:lineRule="atLeast"/>
    </w:pPr>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2">
    <w:name w:val="CM12"/>
    <w:basedOn w:val="Default"/>
    <w:next w:val="Default"/>
    <w:uiPriority w:val="99"/>
    <w:pPr>
      <w:spacing w:line="268" w:lineRule="atLeast"/>
    </w:pPr>
    <w:rPr>
      <w:color w:val="auto"/>
    </w:rPr>
  </w:style>
  <w:style w:type="paragraph" w:customStyle="1" w:styleId="CM13">
    <w:name w:val="CM13"/>
    <w:basedOn w:val="Default"/>
    <w:next w:val="Default"/>
    <w:uiPriority w:val="99"/>
    <w:rPr>
      <w:color w:val="auto"/>
    </w:rPr>
  </w:style>
  <w:style w:type="paragraph" w:customStyle="1" w:styleId="CM14">
    <w:name w:val="CM14"/>
    <w:basedOn w:val="Default"/>
    <w:next w:val="Default"/>
    <w:uiPriority w:val="99"/>
    <w:pPr>
      <w:spacing w:line="260" w:lineRule="atLeast"/>
    </w:pPr>
    <w:rPr>
      <w:color w:val="auto"/>
    </w:rPr>
  </w:style>
  <w:style w:type="paragraph" w:customStyle="1" w:styleId="CM15">
    <w:name w:val="CM15"/>
    <w:basedOn w:val="Default"/>
    <w:next w:val="Default"/>
    <w:uiPriority w:val="99"/>
    <w:pPr>
      <w:spacing w:line="263" w:lineRule="atLeast"/>
    </w:pPr>
    <w:rPr>
      <w:color w:val="auto"/>
    </w:rPr>
  </w:style>
  <w:style w:type="paragraph" w:customStyle="1" w:styleId="CM16">
    <w:name w:val="CM16"/>
    <w:basedOn w:val="Default"/>
    <w:next w:val="Default"/>
    <w:uiPriority w:val="99"/>
    <w:pPr>
      <w:spacing w:line="260" w:lineRule="atLeast"/>
    </w:pPr>
    <w:rPr>
      <w:color w:val="auto"/>
    </w:rPr>
  </w:style>
  <w:style w:type="paragraph" w:customStyle="1" w:styleId="CM44">
    <w:name w:val="CM44"/>
    <w:basedOn w:val="Default"/>
    <w:next w:val="Default"/>
    <w:uiPriority w:val="99"/>
    <w:rPr>
      <w:color w:val="auto"/>
    </w:rPr>
  </w:style>
  <w:style w:type="paragraph" w:customStyle="1" w:styleId="CM17">
    <w:name w:val="CM17"/>
    <w:basedOn w:val="Default"/>
    <w:next w:val="Default"/>
    <w:uiPriority w:val="99"/>
    <w:pPr>
      <w:spacing w:line="260" w:lineRule="atLeast"/>
    </w:pPr>
    <w:rPr>
      <w:color w:val="auto"/>
    </w:rPr>
  </w:style>
  <w:style w:type="paragraph" w:customStyle="1" w:styleId="CM18">
    <w:name w:val="CM18"/>
    <w:basedOn w:val="Default"/>
    <w:next w:val="Default"/>
    <w:uiPriority w:val="99"/>
    <w:pPr>
      <w:spacing w:line="376" w:lineRule="atLeast"/>
    </w:pPr>
    <w:rPr>
      <w:color w:val="auto"/>
    </w:rPr>
  </w:style>
  <w:style w:type="paragraph" w:customStyle="1" w:styleId="CM19">
    <w:name w:val="CM19"/>
    <w:basedOn w:val="Default"/>
    <w:next w:val="Default"/>
    <w:uiPriority w:val="99"/>
    <w:pPr>
      <w:spacing w:line="280" w:lineRule="atLeast"/>
    </w:pPr>
    <w:rPr>
      <w:color w:val="auto"/>
    </w:rPr>
  </w:style>
  <w:style w:type="paragraph" w:customStyle="1" w:styleId="CM46">
    <w:name w:val="CM46"/>
    <w:basedOn w:val="Default"/>
    <w:next w:val="Default"/>
    <w:uiPriority w:val="99"/>
    <w:rPr>
      <w:color w:val="auto"/>
    </w:rPr>
  </w:style>
  <w:style w:type="paragraph" w:customStyle="1" w:styleId="CM21">
    <w:name w:val="CM21"/>
    <w:basedOn w:val="Default"/>
    <w:next w:val="Default"/>
    <w:uiPriority w:val="99"/>
    <w:pPr>
      <w:spacing w:line="260" w:lineRule="atLeast"/>
    </w:pPr>
    <w:rPr>
      <w:color w:val="auto"/>
    </w:rPr>
  </w:style>
  <w:style w:type="paragraph" w:customStyle="1" w:styleId="CM25">
    <w:name w:val="CM25"/>
    <w:basedOn w:val="Default"/>
    <w:next w:val="Default"/>
    <w:uiPriority w:val="99"/>
    <w:pPr>
      <w:spacing w:line="266" w:lineRule="atLeast"/>
    </w:pPr>
    <w:rPr>
      <w:color w:val="auto"/>
    </w:rPr>
  </w:style>
  <w:style w:type="paragraph" w:customStyle="1" w:styleId="CM26">
    <w:name w:val="CM26"/>
    <w:basedOn w:val="Default"/>
    <w:next w:val="Default"/>
    <w:uiPriority w:val="99"/>
    <w:pPr>
      <w:spacing w:line="260" w:lineRule="atLeast"/>
    </w:pPr>
    <w:rPr>
      <w:color w:val="auto"/>
    </w:rPr>
  </w:style>
  <w:style w:type="paragraph" w:customStyle="1" w:styleId="CM45">
    <w:name w:val="CM45"/>
    <w:basedOn w:val="Default"/>
    <w:next w:val="Default"/>
    <w:uiPriority w:val="99"/>
    <w:rPr>
      <w:color w:val="auto"/>
    </w:rPr>
  </w:style>
  <w:style w:type="paragraph" w:customStyle="1" w:styleId="CM29">
    <w:name w:val="CM29"/>
    <w:basedOn w:val="Default"/>
    <w:next w:val="Default"/>
    <w:uiPriority w:val="99"/>
    <w:pPr>
      <w:spacing w:line="260" w:lineRule="atLeast"/>
    </w:pPr>
    <w:rPr>
      <w:color w:val="auto"/>
    </w:rPr>
  </w:style>
  <w:style w:type="paragraph" w:customStyle="1" w:styleId="CM30">
    <w:name w:val="CM30"/>
    <w:basedOn w:val="Default"/>
    <w:next w:val="Default"/>
    <w:uiPriority w:val="99"/>
    <w:rPr>
      <w:color w:val="auto"/>
    </w:rPr>
  </w:style>
  <w:style w:type="paragraph" w:customStyle="1" w:styleId="CM27">
    <w:name w:val="CM27"/>
    <w:basedOn w:val="Default"/>
    <w:next w:val="Default"/>
    <w:uiPriority w:val="99"/>
    <w:pPr>
      <w:spacing w:line="263" w:lineRule="atLeast"/>
    </w:pPr>
    <w:rPr>
      <w:color w:val="auto"/>
    </w:rPr>
  </w:style>
  <w:style w:type="paragraph" w:customStyle="1" w:styleId="CM43">
    <w:name w:val="CM43"/>
    <w:basedOn w:val="Default"/>
    <w:next w:val="Default"/>
    <w:uiPriority w:val="99"/>
    <w:rPr>
      <w:color w:val="auto"/>
    </w:rPr>
  </w:style>
  <w:style w:type="paragraph" w:customStyle="1" w:styleId="text1">
    <w:name w:val="text1"/>
    <w:basedOn w:val="Normal"/>
    <w:uiPriority w:val="99"/>
    <w:rsid w:val="001975CD"/>
    <w:pPr>
      <w:spacing w:line="288" w:lineRule="atLeast"/>
    </w:pPr>
    <w:rPr>
      <w:color w:val="000000"/>
    </w:rPr>
  </w:style>
  <w:style w:type="paragraph" w:customStyle="1" w:styleId="paranum">
    <w:name w:val="paranum"/>
    <w:basedOn w:val="Default"/>
    <w:next w:val="Default"/>
    <w:uiPriority w:val="99"/>
    <w:rsid w:val="00273642"/>
    <w:pPr>
      <w:widowControl/>
    </w:pPr>
    <w:rPr>
      <w:color w:val="auto"/>
    </w:rPr>
  </w:style>
  <w:style w:type="paragraph" w:styleId="PlainText">
    <w:name w:val="Plain Text"/>
    <w:basedOn w:val="Default"/>
    <w:next w:val="Default"/>
    <w:link w:val="PlainTextChar"/>
    <w:uiPriority w:val="99"/>
    <w:rsid w:val="00273642"/>
    <w:pPr>
      <w:widowControl/>
    </w:pPr>
    <w:rPr>
      <w:color w:val="auto"/>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GB"/>
    </w:rPr>
  </w:style>
  <w:style w:type="paragraph" w:styleId="BalloonText">
    <w:name w:val="Balloon Text"/>
    <w:basedOn w:val="Normal"/>
    <w:link w:val="BalloonTextChar"/>
    <w:uiPriority w:val="99"/>
    <w:semiHidden/>
    <w:rsid w:val="000364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GB"/>
    </w:rPr>
  </w:style>
  <w:style w:type="paragraph" w:styleId="BodyText">
    <w:name w:val="Body Text"/>
    <w:basedOn w:val="Normal"/>
    <w:link w:val="BodyTextChar"/>
    <w:uiPriority w:val="99"/>
    <w:rsid w:val="00A56D25"/>
    <w:pPr>
      <w:spacing w:after="200" w:line="280" w:lineRule="atLeast"/>
    </w:pPr>
    <w:rPr>
      <w:rFonts w:ascii="Arial" w:hAnsi="Arial"/>
      <w:sz w:val="22"/>
      <w:lang w:val="en-NZ" w:eastAsia="en-US"/>
    </w:rPr>
  </w:style>
  <w:style w:type="character" w:customStyle="1" w:styleId="BodyTextChar">
    <w:name w:val="Body Text Char"/>
    <w:basedOn w:val="DefaultParagraphFont"/>
    <w:link w:val="BodyText"/>
    <w:uiPriority w:val="99"/>
    <w:semiHidden/>
    <w:locked/>
    <w:rPr>
      <w:rFonts w:cs="Times New Roman"/>
      <w:sz w:val="24"/>
      <w:szCs w:val="24"/>
      <w:lang w:val="en-GB" w:eastAsia="en-GB"/>
    </w:rPr>
  </w:style>
  <w:style w:type="character" w:styleId="Hyperlink">
    <w:name w:val="Hyperlink"/>
    <w:basedOn w:val="DefaultParagraphFont"/>
    <w:uiPriority w:val="99"/>
    <w:rsid w:val="000D6544"/>
    <w:rPr>
      <w:rFonts w:cs="Times New Roman"/>
      <w:color w:val="0072BC"/>
      <w:u w:val="none"/>
      <w:effect w:val="none"/>
    </w:rPr>
  </w:style>
  <w:style w:type="character" w:styleId="Strong">
    <w:name w:val="Strong"/>
    <w:basedOn w:val="DefaultParagraphFont"/>
    <w:uiPriority w:val="99"/>
    <w:qFormat/>
    <w:rsid w:val="00C874E3"/>
    <w:rPr>
      <w:rFonts w:cs="Times New Roman"/>
      <w:b/>
    </w:rPr>
  </w:style>
  <w:style w:type="paragraph" w:styleId="Footer">
    <w:name w:val="footer"/>
    <w:basedOn w:val="Normal"/>
    <w:link w:val="FooterChar"/>
    <w:uiPriority w:val="99"/>
    <w:rsid w:val="00636DE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en-GB" w:eastAsia="en-GB"/>
    </w:rPr>
  </w:style>
  <w:style w:type="character" w:styleId="PageNumber">
    <w:name w:val="page number"/>
    <w:basedOn w:val="DefaultParagraphFont"/>
    <w:uiPriority w:val="99"/>
    <w:rsid w:val="00636DE7"/>
    <w:rPr>
      <w:rFonts w:cs="Times New Roman"/>
    </w:rPr>
  </w:style>
  <w:style w:type="paragraph" w:styleId="Header">
    <w:name w:val="header"/>
    <w:basedOn w:val="Normal"/>
    <w:link w:val="HeaderChar"/>
    <w:uiPriority w:val="99"/>
    <w:rsid w:val="009E317B"/>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en-GB" w:eastAsia="en-GB"/>
    </w:rPr>
  </w:style>
  <w:style w:type="paragraph" w:customStyle="1" w:styleId="label9">
    <w:name w:val="label9"/>
    <w:basedOn w:val="Normal"/>
    <w:uiPriority w:val="99"/>
    <w:rsid w:val="00837EE3"/>
    <w:pPr>
      <w:spacing w:line="288" w:lineRule="atLeast"/>
    </w:pPr>
    <w:rPr>
      <w:color w:val="000000"/>
    </w:rPr>
  </w:style>
  <w:style w:type="character" w:styleId="CommentReference">
    <w:name w:val="annotation reference"/>
    <w:basedOn w:val="DefaultParagraphFont"/>
    <w:uiPriority w:val="99"/>
    <w:semiHidden/>
    <w:rsid w:val="00472E11"/>
    <w:rPr>
      <w:rFonts w:cs="Times New Roman"/>
      <w:sz w:val="16"/>
      <w:szCs w:val="16"/>
    </w:rPr>
  </w:style>
  <w:style w:type="paragraph" w:styleId="CommentText">
    <w:name w:val="annotation text"/>
    <w:basedOn w:val="Normal"/>
    <w:link w:val="CommentTextChar"/>
    <w:uiPriority w:val="99"/>
    <w:semiHidden/>
    <w:rsid w:val="00472E11"/>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472E11"/>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en-GB"/>
    </w:rPr>
  </w:style>
  <w:style w:type="paragraph" w:styleId="Revision">
    <w:name w:val="Revision"/>
    <w:hidden/>
    <w:uiPriority w:val="99"/>
    <w:semiHidden/>
    <w:rsid w:val="00D748A9"/>
    <w:pPr>
      <w:spacing w:after="0" w:line="240" w:lineRule="auto"/>
    </w:pPr>
    <w:rPr>
      <w:sz w:val="24"/>
      <w:szCs w:val="24"/>
      <w:lang w:val="en-GB" w:eastAsia="en-GB"/>
    </w:rPr>
  </w:style>
  <w:style w:type="paragraph" w:styleId="ListParagraph">
    <w:name w:val="List Paragraph"/>
    <w:basedOn w:val="Normal"/>
    <w:uiPriority w:val="34"/>
    <w:qFormat/>
    <w:rsid w:val="00A64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14268">
      <w:marLeft w:val="0"/>
      <w:marRight w:val="0"/>
      <w:marTop w:val="0"/>
      <w:marBottom w:val="0"/>
      <w:divBdr>
        <w:top w:val="none" w:sz="0" w:space="0" w:color="auto"/>
        <w:left w:val="none" w:sz="0" w:space="0" w:color="auto"/>
        <w:bottom w:val="none" w:sz="0" w:space="0" w:color="auto"/>
        <w:right w:val="none" w:sz="0" w:space="0" w:color="auto"/>
      </w:divBdr>
      <w:divsChild>
        <w:div w:id="1219514263">
          <w:marLeft w:val="0"/>
          <w:marRight w:val="0"/>
          <w:marTop w:val="0"/>
          <w:marBottom w:val="0"/>
          <w:divBdr>
            <w:top w:val="none" w:sz="0" w:space="0" w:color="auto"/>
            <w:left w:val="none" w:sz="0" w:space="0" w:color="auto"/>
            <w:bottom w:val="none" w:sz="0" w:space="0" w:color="auto"/>
            <w:right w:val="none" w:sz="0" w:space="0" w:color="auto"/>
          </w:divBdr>
          <w:divsChild>
            <w:div w:id="1219514260">
              <w:marLeft w:val="0"/>
              <w:marRight w:val="0"/>
              <w:marTop w:val="0"/>
              <w:marBottom w:val="0"/>
              <w:divBdr>
                <w:top w:val="none" w:sz="0" w:space="0" w:color="auto"/>
                <w:left w:val="none" w:sz="0" w:space="0" w:color="auto"/>
                <w:bottom w:val="none" w:sz="0" w:space="0" w:color="auto"/>
                <w:right w:val="none" w:sz="0" w:space="0" w:color="auto"/>
              </w:divBdr>
              <w:divsChild>
                <w:div w:id="1219514262">
                  <w:marLeft w:val="0"/>
                  <w:marRight w:val="0"/>
                  <w:marTop w:val="105"/>
                  <w:marBottom w:val="0"/>
                  <w:divBdr>
                    <w:top w:val="none" w:sz="0" w:space="0" w:color="auto"/>
                    <w:left w:val="none" w:sz="0" w:space="0" w:color="auto"/>
                    <w:bottom w:val="none" w:sz="0" w:space="0" w:color="auto"/>
                    <w:right w:val="none" w:sz="0" w:space="0" w:color="auto"/>
                  </w:divBdr>
                  <w:divsChild>
                    <w:div w:id="1219514264">
                      <w:marLeft w:val="450"/>
                      <w:marRight w:val="225"/>
                      <w:marTop w:val="0"/>
                      <w:marBottom w:val="0"/>
                      <w:divBdr>
                        <w:top w:val="none" w:sz="0" w:space="0" w:color="auto"/>
                        <w:left w:val="none" w:sz="0" w:space="0" w:color="auto"/>
                        <w:bottom w:val="none" w:sz="0" w:space="0" w:color="auto"/>
                        <w:right w:val="none" w:sz="0" w:space="0" w:color="auto"/>
                      </w:divBdr>
                      <w:divsChild>
                        <w:div w:id="1219514266">
                          <w:marLeft w:val="0"/>
                          <w:marRight w:val="0"/>
                          <w:marTop w:val="0"/>
                          <w:marBottom w:val="600"/>
                          <w:divBdr>
                            <w:top w:val="single" w:sz="6" w:space="0" w:color="314664"/>
                            <w:left w:val="single" w:sz="6" w:space="0" w:color="314664"/>
                            <w:bottom w:val="single" w:sz="6" w:space="0" w:color="314664"/>
                            <w:right w:val="single" w:sz="6" w:space="0" w:color="314664"/>
                          </w:divBdr>
                          <w:divsChild>
                            <w:div w:id="1219514267">
                              <w:marLeft w:val="0"/>
                              <w:marRight w:val="0"/>
                              <w:marTop w:val="0"/>
                              <w:marBottom w:val="0"/>
                              <w:divBdr>
                                <w:top w:val="none" w:sz="0" w:space="0" w:color="auto"/>
                                <w:left w:val="none" w:sz="0" w:space="0" w:color="auto"/>
                                <w:bottom w:val="none" w:sz="0" w:space="0" w:color="auto"/>
                                <w:right w:val="none" w:sz="0" w:space="0" w:color="auto"/>
                              </w:divBdr>
                              <w:divsChild>
                                <w:div w:id="1219514261">
                                  <w:marLeft w:val="0"/>
                                  <w:marRight w:val="0"/>
                                  <w:marTop w:val="0"/>
                                  <w:marBottom w:val="0"/>
                                  <w:divBdr>
                                    <w:top w:val="none" w:sz="0" w:space="0" w:color="auto"/>
                                    <w:left w:val="none" w:sz="0" w:space="0" w:color="auto"/>
                                    <w:bottom w:val="none" w:sz="0" w:space="0" w:color="auto"/>
                                    <w:right w:val="none" w:sz="0" w:space="0" w:color="auto"/>
                                  </w:divBdr>
                                  <w:divsChild>
                                    <w:div w:id="1219514269">
                                      <w:marLeft w:val="0"/>
                                      <w:marRight w:val="0"/>
                                      <w:marTop w:val="0"/>
                                      <w:marBottom w:val="0"/>
                                      <w:divBdr>
                                        <w:top w:val="none" w:sz="0" w:space="0" w:color="auto"/>
                                        <w:left w:val="none" w:sz="0" w:space="0" w:color="auto"/>
                                        <w:bottom w:val="none" w:sz="0" w:space="0" w:color="auto"/>
                                        <w:right w:val="none" w:sz="0" w:space="0" w:color="auto"/>
                                      </w:divBdr>
                                      <w:divsChild>
                                        <w:div w:id="1219514259">
                                          <w:marLeft w:val="0"/>
                                          <w:marRight w:val="0"/>
                                          <w:marTop w:val="0"/>
                                          <w:marBottom w:val="0"/>
                                          <w:divBdr>
                                            <w:top w:val="none" w:sz="0" w:space="0" w:color="auto"/>
                                            <w:left w:val="none" w:sz="0" w:space="0" w:color="auto"/>
                                            <w:bottom w:val="none" w:sz="0" w:space="0" w:color="auto"/>
                                            <w:right w:val="none" w:sz="0" w:space="0" w:color="auto"/>
                                          </w:divBdr>
                                          <w:divsChild>
                                            <w:div w:id="1219514270">
                                              <w:marLeft w:val="0"/>
                                              <w:marRight w:val="0"/>
                                              <w:marTop w:val="0"/>
                                              <w:marBottom w:val="0"/>
                                              <w:divBdr>
                                                <w:top w:val="none" w:sz="0" w:space="0" w:color="auto"/>
                                                <w:left w:val="none" w:sz="0" w:space="0" w:color="auto"/>
                                                <w:bottom w:val="none" w:sz="0" w:space="0" w:color="auto"/>
                                                <w:right w:val="none" w:sz="0" w:space="0" w:color="auto"/>
                                              </w:divBdr>
                                              <w:divsChild>
                                                <w:div w:id="12195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514278">
      <w:marLeft w:val="0"/>
      <w:marRight w:val="0"/>
      <w:marTop w:val="0"/>
      <w:marBottom w:val="0"/>
      <w:divBdr>
        <w:top w:val="none" w:sz="0" w:space="0" w:color="auto"/>
        <w:left w:val="none" w:sz="0" w:space="0" w:color="auto"/>
        <w:bottom w:val="none" w:sz="0" w:space="0" w:color="auto"/>
        <w:right w:val="none" w:sz="0" w:space="0" w:color="auto"/>
      </w:divBdr>
      <w:divsChild>
        <w:div w:id="1219514273">
          <w:marLeft w:val="0"/>
          <w:marRight w:val="0"/>
          <w:marTop w:val="0"/>
          <w:marBottom w:val="0"/>
          <w:divBdr>
            <w:top w:val="none" w:sz="0" w:space="0" w:color="auto"/>
            <w:left w:val="none" w:sz="0" w:space="0" w:color="auto"/>
            <w:bottom w:val="none" w:sz="0" w:space="0" w:color="auto"/>
            <w:right w:val="none" w:sz="0" w:space="0" w:color="auto"/>
          </w:divBdr>
          <w:divsChild>
            <w:div w:id="1219514282">
              <w:marLeft w:val="0"/>
              <w:marRight w:val="0"/>
              <w:marTop w:val="0"/>
              <w:marBottom w:val="0"/>
              <w:divBdr>
                <w:top w:val="none" w:sz="0" w:space="0" w:color="auto"/>
                <w:left w:val="none" w:sz="0" w:space="0" w:color="auto"/>
                <w:bottom w:val="none" w:sz="0" w:space="0" w:color="auto"/>
                <w:right w:val="none" w:sz="0" w:space="0" w:color="auto"/>
              </w:divBdr>
              <w:divsChild>
                <w:div w:id="1219514283">
                  <w:marLeft w:val="0"/>
                  <w:marRight w:val="0"/>
                  <w:marTop w:val="105"/>
                  <w:marBottom w:val="0"/>
                  <w:divBdr>
                    <w:top w:val="none" w:sz="0" w:space="0" w:color="auto"/>
                    <w:left w:val="none" w:sz="0" w:space="0" w:color="auto"/>
                    <w:bottom w:val="none" w:sz="0" w:space="0" w:color="auto"/>
                    <w:right w:val="none" w:sz="0" w:space="0" w:color="auto"/>
                  </w:divBdr>
                  <w:divsChild>
                    <w:div w:id="1219514271">
                      <w:marLeft w:val="450"/>
                      <w:marRight w:val="225"/>
                      <w:marTop w:val="0"/>
                      <w:marBottom w:val="0"/>
                      <w:divBdr>
                        <w:top w:val="none" w:sz="0" w:space="0" w:color="auto"/>
                        <w:left w:val="none" w:sz="0" w:space="0" w:color="auto"/>
                        <w:bottom w:val="none" w:sz="0" w:space="0" w:color="auto"/>
                        <w:right w:val="none" w:sz="0" w:space="0" w:color="auto"/>
                      </w:divBdr>
                      <w:divsChild>
                        <w:div w:id="1219514276">
                          <w:marLeft w:val="0"/>
                          <w:marRight w:val="0"/>
                          <w:marTop w:val="0"/>
                          <w:marBottom w:val="600"/>
                          <w:divBdr>
                            <w:top w:val="single" w:sz="6" w:space="0" w:color="314664"/>
                            <w:left w:val="single" w:sz="6" w:space="0" w:color="314664"/>
                            <w:bottom w:val="single" w:sz="6" w:space="0" w:color="314664"/>
                            <w:right w:val="single" w:sz="6" w:space="0" w:color="314664"/>
                          </w:divBdr>
                          <w:divsChild>
                            <w:div w:id="1219514272">
                              <w:marLeft w:val="0"/>
                              <w:marRight w:val="0"/>
                              <w:marTop w:val="0"/>
                              <w:marBottom w:val="0"/>
                              <w:divBdr>
                                <w:top w:val="none" w:sz="0" w:space="0" w:color="auto"/>
                                <w:left w:val="none" w:sz="0" w:space="0" w:color="auto"/>
                                <w:bottom w:val="none" w:sz="0" w:space="0" w:color="auto"/>
                                <w:right w:val="none" w:sz="0" w:space="0" w:color="auto"/>
                              </w:divBdr>
                              <w:divsChild>
                                <w:div w:id="1219514279">
                                  <w:marLeft w:val="0"/>
                                  <w:marRight w:val="0"/>
                                  <w:marTop w:val="0"/>
                                  <w:marBottom w:val="0"/>
                                  <w:divBdr>
                                    <w:top w:val="none" w:sz="0" w:space="0" w:color="auto"/>
                                    <w:left w:val="none" w:sz="0" w:space="0" w:color="auto"/>
                                    <w:bottom w:val="none" w:sz="0" w:space="0" w:color="auto"/>
                                    <w:right w:val="none" w:sz="0" w:space="0" w:color="auto"/>
                                  </w:divBdr>
                                  <w:divsChild>
                                    <w:div w:id="1219514280">
                                      <w:marLeft w:val="0"/>
                                      <w:marRight w:val="0"/>
                                      <w:marTop w:val="0"/>
                                      <w:marBottom w:val="0"/>
                                      <w:divBdr>
                                        <w:top w:val="none" w:sz="0" w:space="0" w:color="auto"/>
                                        <w:left w:val="none" w:sz="0" w:space="0" w:color="auto"/>
                                        <w:bottom w:val="none" w:sz="0" w:space="0" w:color="auto"/>
                                        <w:right w:val="none" w:sz="0" w:space="0" w:color="auto"/>
                                      </w:divBdr>
                                      <w:divsChild>
                                        <w:div w:id="1219514275">
                                          <w:marLeft w:val="0"/>
                                          <w:marRight w:val="0"/>
                                          <w:marTop w:val="0"/>
                                          <w:marBottom w:val="0"/>
                                          <w:divBdr>
                                            <w:top w:val="none" w:sz="0" w:space="0" w:color="auto"/>
                                            <w:left w:val="none" w:sz="0" w:space="0" w:color="auto"/>
                                            <w:bottom w:val="none" w:sz="0" w:space="0" w:color="auto"/>
                                            <w:right w:val="none" w:sz="0" w:space="0" w:color="auto"/>
                                          </w:divBdr>
                                          <w:divsChild>
                                            <w:div w:id="1219514277">
                                              <w:marLeft w:val="0"/>
                                              <w:marRight w:val="0"/>
                                              <w:marTop w:val="0"/>
                                              <w:marBottom w:val="0"/>
                                              <w:divBdr>
                                                <w:top w:val="none" w:sz="0" w:space="0" w:color="auto"/>
                                                <w:left w:val="none" w:sz="0" w:space="0" w:color="auto"/>
                                                <w:bottom w:val="none" w:sz="0" w:space="0" w:color="auto"/>
                                                <w:right w:val="none" w:sz="0" w:space="0" w:color="auto"/>
                                              </w:divBdr>
                                              <w:divsChild>
                                                <w:div w:id="1219514281">
                                                  <w:marLeft w:val="0"/>
                                                  <w:marRight w:val="0"/>
                                                  <w:marTop w:val="0"/>
                                                  <w:marBottom w:val="0"/>
                                                  <w:divBdr>
                                                    <w:top w:val="none" w:sz="0" w:space="0" w:color="auto"/>
                                                    <w:left w:val="none" w:sz="0" w:space="0" w:color="auto"/>
                                                    <w:bottom w:val="none" w:sz="0" w:space="0" w:color="auto"/>
                                                    <w:right w:val="none" w:sz="0" w:space="0" w:color="auto"/>
                                                  </w:divBdr>
                                                  <w:divsChild>
                                                    <w:div w:id="12195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BE303-BE8F-41D5-8D83-7161332C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8CF372A2</Template>
  <TotalTime>2</TotalTime>
  <Pages>6</Pages>
  <Words>1368</Words>
  <Characters>8002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Date of issue: 22 October 2009 Note:</vt:lpstr>
    </vt:vector>
  </TitlesOfParts>
  <Company>Department of Internal Affairs</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issue: 22 October 2009 Note:</dc:title>
  <dc:creator>flinkeco</dc:creator>
  <cp:lastModifiedBy>Julie Wall (MIN)</cp:lastModifiedBy>
  <cp:revision>2</cp:revision>
  <cp:lastPrinted>2017-09-14T05:12:00Z</cp:lastPrinted>
  <dcterms:created xsi:type="dcterms:W3CDTF">2017-10-16T03:21:00Z</dcterms:created>
  <dcterms:modified xsi:type="dcterms:W3CDTF">2017-10-16T03:21:00Z</dcterms:modified>
</cp:coreProperties>
</file>