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7" w:rsidRDefault="00DA5B17" w:rsidP="00504856">
      <w:pPr>
        <w:jc w:val="right"/>
      </w:pPr>
      <w:bookmarkStart w:id="0" w:name="_GoBack"/>
      <w:bookmarkEnd w:id="0"/>
    </w:p>
    <w:p w:rsidR="00504856" w:rsidRPr="00063A3A" w:rsidRDefault="00504856" w:rsidP="001C6AFD">
      <w:pPr>
        <w:ind w:right="-1039"/>
        <w:jc w:val="right"/>
      </w:pPr>
      <w:r>
        <w:rPr>
          <w:noProof/>
          <w:lang w:eastAsia="en-NZ"/>
        </w:rPr>
        <w:drawing>
          <wp:inline distT="0" distB="0" distL="0" distR="0">
            <wp:extent cx="4371975" cy="66600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66B">
        <w:br/>
      </w:r>
    </w:p>
    <w:p w:rsidR="00504856" w:rsidRDefault="00504856" w:rsidP="00504856"/>
    <w:p w:rsidR="00504856" w:rsidRPr="003759ED" w:rsidRDefault="00504856" w:rsidP="00504856">
      <w:pPr>
        <w:ind w:hanging="993"/>
        <w:rPr>
          <w:rFonts w:asciiTheme="minorHAnsi" w:hAnsiTheme="minorHAnsi"/>
          <w:b/>
          <w:sz w:val="22"/>
          <w:szCs w:val="22"/>
        </w:rPr>
      </w:pPr>
      <w:r w:rsidRPr="003759ED">
        <w:rPr>
          <w:rFonts w:asciiTheme="minorHAnsi" w:hAnsiTheme="minorHAnsi"/>
          <w:b/>
          <w:sz w:val="22"/>
          <w:szCs w:val="22"/>
        </w:rPr>
        <w:t xml:space="preserve">MEMBERS OF THE EXECUTIVE EXPENSES FROM 1 </w:t>
      </w:r>
      <w:r w:rsidR="004422B1">
        <w:rPr>
          <w:rFonts w:asciiTheme="minorHAnsi" w:hAnsiTheme="minorHAnsi"/>
          <w:b/>
          <w:sz w:val="22"/>
          <w:szCs w:val="22"/>
        </w:rPr>
        <w:t>APRIL</w:t>
      </w:r>
      <w:r w:rsidR="00F20AEC" w:rsidRPr="003759ED">
        <w:rPr>
          <w:rFonts w:asciiTheme="minorHAnsi" w:hAnsiTheme="minorHAnsi"/>
          <w:b/>
          <w:sz w:val="22"/>
          <w:szCs w:val="22"/>
        </w:rPr>
        <w:t xml:space="preserve"> 201</w:t>
      </w:r>
      <w:r w:rsidR="008543D6">
        <w:rPr>
          <w:rFonts w:asciiTheme="minorHAnsi" w:hAnsiTheme="minorHAnsi"/>
          <w:b/>
          <w:sz w:val="22"/>
          <w:szCs w:val="22"/>
        </w:rPr>
        <w:t>7</w:t>
      </w:r>
      <w:r w:rsidR="007C7F9B" w:rsidRPr="003759ED">
        <w:rPr>
          <w:rFonts w:asciiTheme="minorHAnsi" w:hAnsiTheme="minorHAnsi"/>
          <w:b/>
          <w:sz w:val="22"/>
          <w:szCs w:val="22"/>
        </w:rPr>
        <w:t xml:space="preserve"> t</w:t>
      </w:r>
      <w:r w:rsidR="009A4018" w:rsidRPr="003759ED">
        <w:rPr>
          <w:rFonts w:asciiTheme="minorHAnsi" w:hAnsiTheme="minorHAnsi"/>
          <w:b/>
          <w:sz w:val="22"/>
          <w:szCs w:val="22"/>
        </w:rPr>
        <w:t>o 3</w:t>
      </w:r>
      <w:r w:rsidR="004422B1">
        <w:rPr>
          <w:rFonts w:asciiTheme="minorHAnsi" w:hAnsiTheme="minorHAnsi"/>
          <w:b/>
          <w:sz w:val="22"/>
          <w:szCs w:val="22"/>
        </w:rPr>
        <w:t>0 JUNE</w:t>
      </w:r>
      <w:r w:rsidR="00CB09C6" w:rsidRPr="003759ED">
        <w:rPr>
          <w:rFonts w:asciiTheme="minorHAnsi" w:hAnsiTheme="minorHAnsi"/>
          <w:b/>
          <w:sz w:val="22"/>
          <w:szCs w:val="22"/>
        </w:rPr>
        <w:t xml:space="preserve"> </w:t>
      </w:r>
      <w:r w:rsidR="008543D6">
        <w:rPr>
          <w:rFonts w:asciiTheme="minorHAnsi" w:hAnsiTheme="minorHAnsi"/>
          <w:b/>
          <w:sz w:val="22"/>
          <w:szCs w:val="22"/>
        </w:rPr>
        <w:t>2017</w:t>
      </w:r>
      <w:r w:rsidR="009A4018" w:rsidRPr="003759ED">
        <w:rPr>
          <w:rFonts w:asciiTheme="minorHAnsi" w:hAnsiTheme="minorHAnsi"/>
          <w:b/>
          <w:sz w:val="22"/>
          <w:szCs w:val="22"/>
        </w:rPr>
        <w:t xml:space="preserve"> </w:t>
      </w:r>
    </w:p>
    <w:p w:rsidR="00AE466B" w:rsidRPr="003C0446" w:rsidRDefault="00AE466B" w:rsidP="00504856">
      <w:pPr>
        <w:ind w:hanging="993"/>
        <w:rPr>
          <w:rFonts w:ascii="Arial Narrow" w:hAnsi="Arial Narrow"/>
          <w:b/>
          <w:sz w:val="22"/>
          <w:szCs w:val="22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1843"/>
        <w:gridCol w:w="1275"/>
        <w:gridCol w:w="1135"/>
        <w:gridCol w:w="1275"/>
        <w:gridCol w:w="1135"/>
        <w:gridCol w:w="1417"/>
      </w:tblGrid>
      <w:tr w:rsidR="00014CD6" w:rsidTr="00360144">
        <w:tc>
          <w:tcPr>
            <w:tcW w:w="1134" w:type="dxa"/>
            <w:shd w:val="clear" w:color="auto" w:fill="auto"/>
          </w:tcPr>
          <w:p w:rsidR="00014CD6" w:rsidRPr="003759ED" w:rsidRDefault="00014CD6" w:rsidP="003601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Party </w:t>
            </w:r>
          </w:p>
        </w:tc>
        <w:tc>
          <w:tcPr>
            <w:tcW w:w="1843" w:type="dxa"/>
            <w:shd w:val="clear" w:color="auto" w:fill="auto"/>
          </w:tcPr>
          <w:p w:rsidR="00014CD6" w:rsidRPr="003759ED" w:rsidRDefault="00014CD6" w:rsidP="00360144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Minister/</w:t>
            </w:r>
          </w:p>
          <w:p w:rsidR="00014CD6" w:rsidRPr="003759ED" w:rsidRDefault="00014CD6" w:rsidP="00360144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Parliamentary Under-Secretary</w:t>
            </w:r>
          </w:p>
        </w:tc>
        <w:tc>
          <w:tcPr>
            <w:tcW w:w="1843" w:type="dxa"/>
            <w:shd w:val="clear" w:color="auto" w:fill="auto"/>
          </w:tcPr>
          <w:p w:rsidR="00014CD6" w:rsidRPr="003759ED" w:rsidRDefault="00014CD6" w:rsidP="003601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Wellington Accommodation </w:t>
            </w:r>
          </w:p>
          <w:p w:rsidR="00014CD6" w:rsidRPr="003759ED" w:rsidRDefault="00014CD6" w:rsidP="00360144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14CD6" w:rsidRPr="003759ED" w:rsidRDefault="00014CD6" w:rsidP="003601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Out of Wellington Travel Expenses </w:t>
            </w:r>
          </w:p>
        </w:tc>
        <w:tc>
          <w:tcPr>
            <w:tcW w:w="1135" w:type="dxa"/>
            <w:shd w:val="clear" w:color="auto" w:fill="auto"/>
          </w:tcPr>
          <w:p w:rsidR="00014CD6" w:rsidRPr="003759ED" w:rsidRDefault="00014CD6" w:rsidP="003601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Domestic Air Travel</w:t>
            </w:r>
          </w:p>
          <w:p w:rsidR="00014CD6" w:rsidRPr="003759ED" w:rsidRDefault="00014CD6" w:rsidP="003601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14CD6" w:rsidRPr="003759ED" w:rsidRDefault="00014CD6" w:rsidP="003601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Surface Travel (Ministers, Spouse and Staff) </w:t>
            </w:r>
          </w:p>
        </w:tc>
        <w:tc>
          <w:tcPr>
            <w:tcW w:w="1135" w:type="dxa"/>
            <w:shd w:val="clear" w:color="auto" w:fill="auto"/>
          </w:tcPr>
          <w:p w:rsidR="00014CD6" w:rsidRPr="003759ED" w:rsidRDefault="00014CD6" w:rsidP="003601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Sub Total Internal Costs </w:t>
            </w:r>
          </w:p>
        </w:tc>
        <w:tc>
          <w:tcPr>
            <w:tcW w:w="1417" w:type="dxa"/>
            <w:shd w:val="clear" w:color="auto" w:fill="auto"/>
          </w:tcPr>
          <w:p w:rsidR="00014CD6" w:rsidRPr="003759ED" w:rsidRDefault="00014CD6" w:rsidP="00360144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Official Cabinet Approved International Travel </w:t>
            </w:r>
            <w:r w:rsidRPr="003759ED">
              <w:rPr>
                <w:rFonts w:ascii="Calibri" w:hAnsi="Calibri"/>
                <w:sz w:val="22"/>
                <w:szCs w:val="22"/>
                <w:vertAlign w:val="superscript"/>
              </w:rPr>
              <w:t>(A)</w:t>
            </w:r>
          </w:p>
        </w:tc>
      </w:tr>
      <w:tr w:rsidR="00014CD6" w:rsidRPr="0070083D" w:rsidTr="00014CD6">
        <w:trPr>
          <w:trHeight w:val="285"/>
        </w:trPr>
        <w:tc>
          <w:tcPr>
            <w:tcW w:w="1134" w:type="dxa"/>
            <w:shd w:val="clear" w:color="auto" w:fill="auto"/>
          </w:tcPr>
          <w:p w:rsidR="00014CD6" w:rsidRPr="003759ED" w:rsidRDefault="00014CD6" w:rsidP="0036014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ACT </w:t>
            </w:r>
          </w:p>
        </w:tc>
        <w:tc>
          <w:tcPr>
            <w:tcW w:w="1843" w:type="dxa"/>
            <w:shd w:val="clear" w:color="auto" w:fill="auto"/>
          </w:tcPr>
          <w:p w:rsidR="00014CD6" w:rsidRPr="003759ED" w:rsidRDefault="00014CD6" w:rsidP="0036014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David Seymour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8,115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27,651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rPr>
          <w:trHeight w:val="402"/>
        </w:trPr>
        <w:tc>
          <w:tcPr>
            <w:tcW w:w="1134" w:type="dxa"/>
            <w:shd w:val="clear" w:color="auto" w:fill="D9D9D9"/>
            <w:vAlign w:val="center"/>
          </w:tcPr>
          <w:p w:rsidR="00014CD6" w:rsidRPr="003759ED" w:rsidRDefault="00014CD6" w:rsidP="00360144">
            <w:pPr>
              <w:autoSpaceDE w:val="0"/>
              <w:autoSpaceDN w:val="0"/>
              <w:adjustRightInd w:val="0"/>
              <w:ind w:left="720" w:hanging="720"/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  <w:t xml:space="preserve">Total ACT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14CD6" w:rsidRPr="003759ED" w:rsidRDefault="00014CD6" w:rsidP="00360144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6,790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11,248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8,115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27,651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</w:tcPr>
          <w:p w:rsidR="00014CD6" w:rsidRPr="003759ED" w:rsidRDefault="00014CD6" w:rsidP="0036014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Maori </w:t>
            </w:r>
          </w:p>
        </w:tc>
        <w:tc>
          <w:tcPr>
            <w:tcW w:w="1843" w:type="dxa"/>
            <w:shd w:val="clear" w:color="auto" w:fill="auto"/>
          </w:tcPr>
          <w:p w:rsidR="00014CD6" w:rsidRPr="003759ED" w:rsidRDefault="00014CD6" w:rsidP="00360144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Te Ururoa Flavell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4,531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15,092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31,122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61,753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27,929</w:t>
            </w:r>
          </w:p>
        </w:tc>
      </w:tr>
      <w:tr w:rsidR="00014CD6" w:rsidRPr="0070083D" w:rsidTr="00014CD6">
        <w:trPr>
          <w:trHeight w:val="381"/>
        </w:trPr>
        <w:tc>
          <w:tcPr>
            <w:tcW w:w="1134" w:type="dxa"/>
            <w:shd w:val="clear" w:color="auto" w:fill="E0E0E0"/>
            <w:vAlign w:val="center"/>
          </w:tcPr>
          <w:p w:rsidR="00014CD6" w:rsidRPr="003759ED" w:rsidRDefault="00014CD6" w:rsidP="0036014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Maori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014CD6" w:rsidRPr="003759ED" w:rsidRDefault="00014CD6" w:rsidP="00360144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4,531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15,092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31,122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61,753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27,929</w:t>
            </w:r>
          </w:p>
        </w:tc>
      </w:tr>
      <w:tr w:rsidR="00014CD6" w:rsidRPr="0070083D" w:rsidTr="00014CD6">
        <w:trPr>
          <w:trHeight w:val="211"/>
        </w:trPr>
        <w:tc>
          <w:tcPr>
            <w:tcW w:w="1134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Bill English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7,938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58,689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76,967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58,999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Paula Bennett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25,286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44,526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17,604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Steven Joyce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3,163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30,746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Gerry Brownlee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22,048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87,361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Simon Bridges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14,248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23,652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49,846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28,539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Amy Adams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1,648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10,314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10,632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33,602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49,492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Jonathan Coleman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22,080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40,221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40,210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Christopher Finlayson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1,672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11,761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18,149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46,285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Michael Woodhouse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8,454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28,813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31,133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Anne Tolley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12,102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18,676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42,798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rPr>
          <w:trHeight w:val="234"/>
        </w:trPr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Nathan Guy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15,539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34,187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44,628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Nikki Kaye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20,840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39,899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Todd McClay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1,791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18,928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39,211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259,471 </w:t>
            </w:r>
            <w:r w:rsidR="00FA32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(B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Nick Smith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2,354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12,511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13,227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2,705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Judith Collins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2,431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16,709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44,947</w:t>
            </w:r>
          </w:p>
        </w:tc>
      </w:tr>
      <w:tr w:rsidR="00014CD6" w:rsidRPr="0070083D" w:rsidTr="00014CD6">
        <w:trPr>
          <w:trHeight w:val="317"/>
        </w:trPr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Maggie Barry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15,506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28,857</w:t>
            </w:r>
          </w:p>
        </w:tc>
      </w:tr>
      <w:tr w:rsidR="00014CD6" w:rsidRPr="0070083D" w:rsidTr="00014CD6">
        <w:tc>
          <w:tcPr>
            <w:tcW w:w="1134" w:type="dxa"/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Goldsmith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11,670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18,732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41,687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25,273</w:t>
            </w:r>
          </w:p>
        </w:tc>
      </w:tr>
      <w:tr w:rsidR="00014CD6" w:rsidRPr="0070083D" w:rsidTr="00014CD6">
        <w:trPr>
          <w:trHeight w:val="330"/>
        </w:trPr>
        <w:tc>
          <w:tcPr>
            <w:tcW w:w="1134" w:type="dxa"/>
            <w:shd w:val="clear" w:color="auto" w:fill="auto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Louise Upston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11,521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27,148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52,142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</w:tr>
      <w:tr w:rsidR="00014CD6" w:rsidRPr="0070083D" w:rsidTr="00014CD6">
        <w:trPr>
          <w:trHeight w:val="1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Alfred Ngaro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8,875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31,825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52,129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rPr>
          <w:trHeight w:val="28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Mitchell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18,357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36,158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75,544</w:t>
            </w:r>
          </w:p>
        </w:tc>
      </w:tr>
      <w:tr w:rsidR="00014CD6" w:rsidRPr="0070083D" w:rsidTr="00014CD6">
        <w:trPr>
          <w:trHeight w:val="21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Nicky Wagner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7,281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6,974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25,572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12,618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Jacqui Dean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2,961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7,876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22,222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44,066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Bennett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2,767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10,144 </w:t>
            </w:r>
            <w:r w:rsidR="00FA32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(C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16,074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35,216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7,366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721F55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 Macindoe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7,429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12,664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27,207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721F55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Scott Simpson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6,128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15,375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721F55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John Key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-4,385 </w:t>
            </w:r>
            <w:r w:rsidR="00FA32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(D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B90AE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Hekia Parata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1,899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3,966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3,292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9,157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5,389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B90AEC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Murray McCully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6,262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21,321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B90AEC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Peseta Sam Lotu-Iiga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325 </w:t>
            </w:r>
            <w:r w:rsidR="00FA32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(E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Craig Foss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994 </w:t>
            </w:r>
            <w:r w:rsidR="00FA32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(F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 Goodhew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-283 </w:t>
            </w:r>
            <w:r w:rsidR="00FA32C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(G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014CD6" w:rsidRPr="0070083D" w:rsidTr="00014CD6">
        <w:trPr>
          <w:trHeight w:val="286"/>
        </w:trPr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014CD6" w:rsidRDefault="00014CD6" w:rsidP="003601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14CD6" w:rsidRDefault="00014CD6" w:rsidP="003601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218,061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40,555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222,452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489,043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970,110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911,401</w:t>
            </w:r>
          </w:p>
        </w:tc>
      </w:tr>
      <w:tr w:rsidR="000E413D" w:rsidRPr="0070083D" w:rsidTr="00014CD6">
        <w:trPr>
          <w:trHeight w:val="29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413D" w:rsidRPr="003759ED" w:rsidRDefault="000E413D" w:rsidP="00360144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United Future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E413D" w:rsidRPr="003759ED" w:rsidRDefault="000E413D" w:rsidP="00360144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Peter Dunne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13D" w:rsidRDefault="000E413D" w:rsidP="0036014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5,363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10,201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7,560</w:t>
            </w:r>
          </w:p>
        </w:tc>
      </w:tr>
      <w:tr w:rsidR="000E413D" w:rsidRPr="0070083D" w:rsidTr="00014CD6">
        <w:trPr>
          <w:trHeight w:val="49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E413D" w:rsidRPr="003759ED" w:rsidRDefault="000E413D" w:rsidP="0036014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United Future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0E413D" w:rsidRPr="003759ED" w:rsidRDefault="000E413D" w:rsidP="0036014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413D" w:rsidRPr="000E413D" w:rsidRDefault="000E413D" w:rsidP="0036014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E413D">
              <w:rPr>
                <w:rFonts w:ascii="Calibri" w:hAnsi="Calibri"/>
                <w:b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5,363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10,201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16,077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413D" w:rsidRDefault="000E413D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7,560</w:t>
            </w:r>
          </w:p>
        </w:tc>
      </w:tr>
      <w:tr w:rsidR="00014CD6" w:rsidRPr="00153A60" w:rsidTr="00014CD6">
        <w:trPr>
          <w:trHeight w:val="44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014CD6" w:rsidRPr="003759ED" w:rsidRDefault="00014CD6" w:rsidP="0036014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All Parties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014CD6" w:rsidRPr="003759ED" w:rsidRDefault="00014CD6" w:rsidP="00360144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color w:val="993366"/>
                <w:sz w:val="22"/>
                <w:szCs w:val="22"/>
              </w:rPr>
              <w:t xml:space="preserve">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235,859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47,097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254,154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538,481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1,075,592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4CD6" w:rsidRDefault="00FA32CC" w:rsidP="00014CD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946,889</w:t>
            </w:r>
          </w:p>
        </w:tc>
      </w:tr>
      <w:tr w:rsidR="00014CD6" w:rsidRPr="0070083D" w:rsidTr="003601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8"/>
            <w:shd w:val="clear" w:color="auto" w:fill="auto"/>
          </w:tcPr>
          <w:p w:rsidR="00014CD6" w:rsidRPr="003759ED" w:rsidRDefault="00014CD6" w:rsidP="00360144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  <w:p w:rsidR="00014CD6" w:rsidRPr="003759ED" w:rsidRDefault="00014CD6" w:rsidP="00360144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014CD6" w:rsidRPr="0070083D" w:rsidTr="003601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11057" w:type="dxa"/>
            <w:gridSpan w:val="8"/>
            <w:shd w:val="clear" w:color="auto" w:fill="auto"/>
          </w:tcPr>
          <w:p w:rsidR="00014CD6" w:rsidRPr="003759ED" w:rsidRDefault="00014CD6" w:rsidP="00360144">
            <w:pPr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Excludes GST, Fringe Benefit Tax &amp; depreciation as applicable</w:t>
            </w:r>
          </w:p>
        </w:tc>
      </w:tr>
      <w:tr w:rsidR="00014CD6" w:rsidRPr="0070083D" w:rsidTr="003601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057" w:type="dxa"/>
            <w:gridSpan w:val="8"/>
            <w:shd w:val="clear" w:color="auto" w:fill="auto"/>
          </w:tcPr>
          <w:p w:rsidR="00014CD6" w:rsidRPr="00031382" w:rsidRDefault="00014CD6" w:rsidP="00014CD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743" w:hanging="42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759ED">
              <w:rPr>
                <w:rFonts w:ascii="Calibri" w:hAnsi="Calibri" w:cs="Arial"/>
                <w:sz w:val="22"/>
                <w:szCs w:val="22"/>
              </w:rPr>
              <w:t>Ministers, spouse, staff, MPs or students where relevant</w:t>
            </w:r>
          </w:p>
          <w:p w:rsidR="00014CD6" w:rsidRDefault="00014CD6" w:rsidP="00014CD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D4CB5">
              <w:rPr>
                <w:rFonts w:ascii="Calibri" w:hAnsi="Calibri" w:cs="Arial"/>
                <w:color w:val="000000"/>
                <w:sz w:val="22"/>
                <w:szCs w:val="22"/>
              </w:rPr>
              <w:t>This amount include costs relating to Cabinet approved international travel in previous quarters.   Accounting processes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5D4CB5">
              <w:rPr>
                <w:rFonts w:ascii="Calibri" w:hAnsi="Calibri" w:cs="Arial"/>
                <w:color w:val="000000"/>
                <w:sz w:val="22"/>
                <w:szCs w:val="22"/>
              </w:rPr>
              <w:t>mean that costs in the financial system for each month do not always reflect expenses incurred in that month.</w:t>
            </w:r>
            <w:r w:rsidRPr="00C51BD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:rsidR="00014CD6" w:rsidRDefault="00014CD6" w:rsidP="00014CD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D4CB5">
              <w:rPr>
                <w:rFonts w:ascii="Calibri" w:hAnsi="Calibri" w:cs="Arial"/>
                <w:color w:val="000000"/>
                <w:sz w:val="22"/>
                <w:szCs w:val="22"/>
              </w:rPr>
              <w:t>This amount includes $744.58 of Domestic Air travel costs that relate to Hon Macindoe.</w:t>
            </w:r>
          </w:p>
          <w:p w:rsidR="00014CD6" w:rsidRDefault="00014CD6" w:rsidP="00014CD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5D4CB5">
              <w:rPr>
                <w:rFonts w:ascii="Calibri" w:hAnsi="Calibri" w:cs="Arial"/>
                <w:color w:val="000000"/>
                <w:sz w:val="22"/>
                <w:szCs w:val="22"/>
              </w:rPr>
              <w:t>Relates to travel reconciliations for international trips in the Oct to Dec 2016 quarter.</w:t>
            </w:r>
          </w:p>
          <w:p w:rsidR="00014CD6" w:rsidRDefault="00014CD6" w:rsidP="00014CD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1999">
              <w:rPr>
                <w:rFonts w:ascii="Calibri" w:hAnsi="Calibri" w:cs="Arial"/>
                <w:color w:val="000000"/>
                <w:sz w:val="22"/>
                <w:szCs w:val="22"/>
              </w:rPr>
              <w:t>Relates to surface travel costs in December 2016 and $54.71</w:t>
            </w:r>
            <w:r w:rsidR="000E413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of costs</w:t>
            </w:r>
            <w:r w:rsidRPr="00C1199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that were mis-coded.</w:t>
            </w:r>
          </w:p>
          <w:p w:rsidR="00014CD6" w:rsidRDefault="00014CD6" w:rsidP="00014CD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1999">
              <w:rPr>
                <w:rFonts w:ascii="Calibri" w:hAnsi="Calibri" w:cs="Arial"/>
                <w:color w:val="000000"/>
                <w:sz w:val="22"/>
                <w:szCs w:val="22"/>
              </w:rPr>
              <w:t>Relates to travel reconciliations from previous quarters.</w:t>
            </w:r>
          </w:p>
          <w:p w:rsidR="00014CD6" w:rsidRDefault="00014CD6" w:rsidP="00014CD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11999">
              <w:rPr>
                <w:rFonts w:ascii="Calibri" w:hAnsi="Calibri" w:cs="Arial"/>
                <w:color w:val="000000"/>
                <w:sz w:val="22"/>
                <w:szCs w:val="22"/>
              </w:rPr>
              <w:t>Relates to travel reconciliations from previous quarters.</w:t>
            </w:r>
          </w:p>
          <w:p w:rsidR="00014CD6" w:rsidRPr="00014CD6" w:rsidRDefault="00014CD6" w:rsidP="00014CD6">
            <w:pPr>
              <w:pStyle w:val="ListParagraph"/>
              <w:tabs>
                <w:tab w:val="left" w:pos="459"/>
              </w:tabs>
              <w:ind w:left="81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B26ED7" w:rsidRDefault="00B26ED7"/>
    <w:sectPr w:rsidR="00B26ED7" w:rsidSect="001A6101">
      <w:pgSz w:w="11906" w:h="16838"/>
      <w:pgMar w:top="1135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582"/>
    <w:multiLevelType w:val="hybridMultilevel"/>
    <w:tmpl w:val="B0BA5C8A"/>
    <w:lvl w:ilvl="0" w:tplc="7AD6EB5A">
      <w:start w:val="1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E18"/>
    <w:multiLevelType w:val="hybridMultilevel"/>
    <w:tmpl w:val="F68AB996"/>
    <w:lvl w:ilvl="0" w:tplc="281C26D2">
      <w:start w:val="4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F4F"/>
    <w:multiLevelType w:val="hybridMultilevel"/>
    <w:tmpl w:val="4A7E2014"/>
    <w:lvl w:ilvl="0" w:tplc="1FBE014A">
      <w:start w:val="4"/>
      <w:numFmt w:val="upperLetter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">
    <w:nsid w:val="6CA25BBD"/>
    <w:multiLevelType w:val="hybridMultilevel"/>
    <w:tmpl w:val="5C629F32"/>
    <w:lvl w:ilvl="0" w:tplc="B484B578">
      <w:start w:val="2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72FA4"/>
    <w:multiLevelType w:val="hybridMultilevel"/>
    <w:tmpl w:val="80829FA2"/>
    <w:lvl w:ilvl="0" w:tplc="13DA03C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6"/>
    <w:rsid w:val="00014CD6"/>
    <w:rsid w:val="00030468"/>
    <w:rsid w:val="00031382"/>
    <w:rsid w:val="00046E90"/>
    <w:rsid w:val="0007153E"/>
    <w:rsid w:val="000E2FA9"/>
    <w:rsid w:val="000E413D"/>
    <w:rsid w:val="000E6768"/>
    <w:rsid w:val="00110B82"/>
    <w:rsid w:val="0012264B"/>
    <w:rsid w:val="00153A60"/>
    <w:rsid w:val="00157142"/>
    <w:rsid w:val="00175586"/>
    <w:rsid w:val="001A1777"/>
    <w:rsid w:val="001A6101"/>
    <w:rsid w:val="001A729B"/>
    <w:rsid w:val="001C6AFD"/>
    <w:rsid w:val="00221E33"/>
    <w:rsid w:val="00243C62"/>
    <w:rsid w:val="00244CB4"/>
    <w:rsid w:val="00277FA5"/>
    <w:rsid w:val="002A706A"/>
    <w:rsid w:val="002B3E86"/>
    <w:rsid w:val="002F7BF8"/>
    <w:rsid w:val="00312EDB"/>
    <w:rsid w:val="00315663"/>
    <w:rsid w:val="003759ED"/>
    <w:rsid w:val="00386FAE"/>
    <w:rsid w:val="003932A5"/>
    <w:rsid w:val="003B2902"/>
    <w:rsid w:val="003C1215"/>
    <w:rsid w:val="00431850"/>
    <w:rsid w:val="004422B1"/>
    <w:rsid w:val="004F2530"/>
    <w:rsid w:val="00504856"/>
    <w:rsid w:val="00504A17"/>
    <w:rsid w:val="005215A6"/>
    <w:rsid w:val="00537FA5"/>
    <w:rsid w:val="00540509"/>
    <w:rsid w:val="0055091D"/>
    <w:rsid w:val="00553453"/>
    <w:rsid w:val="0056108E"/>
    <w:rsid w:val="005641DC"/>
    <w:rsid w:val="005744B6"/>
    <w:rsid w:val="005A5184"/>
    <w:rsid w:val="005A66D4"/>
    <w:rsid w:val="005D2D49"/>
    <w:rsid w:val="005D3CC0"/>
    <w:rsid w:val="00601556"/>
    <w:rsid w:val="006125D0"/>
    <w:rsid w:val="00614728"/>
    <w:rsid w:val="00646A3F"/>
    <w:rsid w:val="006A1F36"/>
    <w:rsid w:val="007014F4"/>
    <w:rsid w:val="00711E28"/>
    <w:rsid w:val="0072471A"/>
    <w:rsid w:val="00736B16"/>
    <w:rsid w:val="00757FF6"/>
    <w:rsid w:val="007A50E0"/>
    <w:rsid w:val="007A7684"/>
    <w:rsid w:val="007C7F9B"/>
    <w:rsid w:val="00802C20"/>
    <w:rsid w:val="008543D6"/>
    <w:rsid w:val="00864108"/>
    <w:rsid w:val="00872CC1"/>
    <w:rsid w:val="008A0CF3"/>
    <w:rsid w:val="008C6CA6"/>
    <w:rsid w:val="00981382"/>
    <w:rsid w:val="009A4018"/>
    <w:rsid w:val="009E6AAE"/>
    <w:rsid w:val="00A10DD6"/>
    <w:rsid w:val="00A254F8"/>
    <w:rsid w:val="00A25CCF"/>
    <w:rsid w:val="00A61CFC"/>
    <w:rsid w:val="00A74DFD"/>
    <w:rsid w:val="00A754DC"/>
    <w:rsid w:val="00A7636C"/>
    <w:rsid w:val="00AE1708"/>
    <w:rsid w:val="00AE466B"/>
    <w:rsid w:val="00AF38B7"/>
    <w:rsid w:val="00AF6D49"/>
    <w:rsid w:val="00B26ED7"/>
    <w:rsid w:val="00B44C9C"/>
    <w:rsid w:val="00B52EE9"/>
    <w:rsid w:val="00B629AD"/>
    <w:rsid w:val="00BA26CF"/>
    <w:rsid w:val="00BB1054"/>
    <w:rsid w:val="00BB356F"/>
    <w:rsid w:val="00BD32AB"/>
    <w:rsid w:val="00BD3C44"/>
    <w:rsid w:val="00C1640A"/>
    <w:rsid w:val="00C3157F"/>
    <w:rsid w:val="00C34A4F"/>
    <w:rsid w:val="00C51BD7"/>
    <w:rsid w:val="00C75272"/>
    <w:rsid w:val="00C86508"/>
    <w:rsid w:val="00C92780"/>
    <w:rsid w:val="00CB09C6"/>
    <w:rsid w:val="00CB2DA5"/>
    <w:rsid w:val="00CB2EE6"/>
    <w:rsid w:val="00CB41CB"/>
    <w:rsid w:val="00CB4C8C"/>
    <w:rsid w:val="00CE2954"/>
    <w:rsid w:val="00D53C6F"/>
    <w:rsid w:val="00D95930"/>
    <w:rsid w:val="00DA5B17"/>
    <w:rsid w:val="00DF7A0B"/>
    <w:rsid w:val="00E13D5B"/>
    <w:rsid w:val="00E33CED"/>
    <w:rsid w:val="00E5056C"/>
    <w:rsid w:val="00E76D80"/>
    <w:rsid w:val="00EB32D3"/>
    <w:rsid w:val="00EB3660"/>
    <w:rsid w:val="00EF0587"/>
    <w:rsid w:val="00F02F98"/>
    <w:rsid w:val="00F15FD3"/>
    <w:rsid w:val="00F20AEC"/>
    <w:rsid w:val="00F503A7"/>
    <w:rsid w:val="00F97F18"/>
    <w:rsid w:val="00FA32CC"/>
    <w:rsid w:val="00FB0599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List123">
    <w:name w:val="List 1 2 3"/>
    <w:basedOn w:val="Normal"/>
    <w:rsid w:val="00014CD6"/>
    <w:pPr>
      <w:numPr>
        <w:numId w:val="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014CD6"/>
    <w:pPr>
      <w:numPr>
        <w:ilvl w:val="1"/>
        <w:numId w:val="6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014CD6"/>
    <w:pPr>
      <w:numPr>
        <w:ilvl w:val="2"/>
        <w:numId w:val="6"/>
      </w:numPr>
      <w:spacing w:before="80" w:after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List123">
    <w:name w:val="List 1 2 3"/>
    <w:basedOn w:val="Normal"/>
    <w:rsid w:val="00014CD6"/>
    <w:pPr>
      <w:numPr>
        <w:numId w:val="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014CD6"/>
    <w:pPr>
      <w:numPr>
        <w:ilvl w:val="1"/>
        <w:numId w:val="6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014CD6"/>
    <w:pPr>
      <w:numPr>
        <w:ilvl w:val="2"/>
        <w:numId w:val="6"/>
      </w:numPr>
      <w:spacing w:before="8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4DCE-A7A7-4E85-A326-8F8D447C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A51CB026</Template>
  <TotalTime>80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Beecroft</dc:creator>
  <cp:lastModifiedBy>Tim Ramsden</cp:lastModifiedBy>
  <cp:revision>6</cp:revision>
  <cp:lastPrinted>2017-02-15T00:38:00Z</cp:lastPrinted>
  <dcterms:created xsi:type="dcterms:W3CDTF">2017-07-25T21:42:00Z</dcterms:created>
  <dcterms:modified xsi:type="dcterms:W3CDTF">2017-07-26T01:04:00Z</dcterms:modified>
</cp:coreProperties>
</file>