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D41B" w14:textId="02E87D57" w:rsidR="004E1F3F" w:rsidRDefault="00960E42" w:rsidP="004E1F3F">
      <w:pPr>
        <w:pStyle w:val="Heading1"/>
        <w:ind w:left="720"/>
        <w:jc w:val="center"/>
      </w:pPr>
      <w:r>
        <w:t xml:space="preserve">Submission </w:t>
      </w:r>
      <w:r w:rsidR="00967D91">
        <w:t>Report</w:t>
      </w:r>
    </w:p>
    <w:p w14:paraId="19D89AC7" w14:textId="77340B92" w:rsidR="00960E42" w:rsidRPr="004E1F3F" w:rsidRDefault="004E1F3F" w:rsidP="004E1F3F">
      <w:pPr>
        <w:pStyle w:val="Heading2"/>
        <w:jc w:val="center"/>
        <w:rPr>
          <w:i/>
          <w:iCs w:val="0"/>
        </w:rPr>
      </w:pPr>
      <w:r w:rsidRPr="004E1F3F">
        <w:rPr>
          <w:i/>
          <w:iCs w:val="0"/>
        </w:rPr>
        <w:t xml:space="preserve">Proposed change to the Non-financial Performance Measure Rule for </w:t>
      </w:r>
      <w:r w:rsidR="00960E42" w:rsidRPr="004E1F3F">
        <w:rPr>
          <w:i/>
          <w:iCs w:val="0"/>
        </w:rPr>
        <w:t>Water Supply</w:t>
      </w:r>
    </w:p>
    <w:p w14:paraId="14ED9CFA" w14:textId="77777777" w:rsidR="004E1F3F" w:rsidRDefault="004E1F3F" w:rsidP="00960E42">
      <w:pPr>
        <w:pStyle w:val="Heading2"/>
      </w:pPr>
    </w:p>
    <w:p w14:paraId="68845F8A" w14:textId="1D9E160E" w:rsidR="00960E42" w:rsidRPr="00675A06" w:rsidRDefault="00960E42" w:rsidP="00675A06">
      <w:pPr>
        <w:pStyle w:val="Heading2"/>
        <w:rPr>
          <w:rFonts w:eastAsiaTheme="minorHAnsi"/>
        </w:rPr>
      </w:pPr>
      <w:r>
        <w:t>Introduction</w:t>
      </w:r>
    </w:p>
    <w:p w14:paraId="7F8B87BF" w14:textId="1E2F8CC4" w:rsidR="00B33719" w:rsidRPr="00675A06" w:rsidRDefault="00960E42" w:rsidP="00675A06">
      <w:pPr>
        <w:pStyle w:val="Numberedpara3level1"/>
        <w:numPr>
          <w:ilvl w:val="0"/>
          <w:numId w:val="25"/>
        </w:numPr>
        <w:spacing w:before="120" w:line="240" w:lineRule="auto"/>
        <w:ind w:left="567" w:hanging="567"/>
        <w:rPr>
          <w:rFonts w:ascii="Calibri" w:eastAsiaTheme="minorHAnsi" w:hAnsi="Calibri"/>
          <w:sz w:val="24"/>
        </w:rPr>
      </w:pPr>
      <w:r w:rsidRPr="00675A06">
        <w:rPr>
          <w:rFonts w:ascii="Calibri" w:eastAsiaTheme="minorHAnsi" w:hAnsi="Calibri"/>
          <w:sz w:val="24"/>
        </w:rPr>
        <w:t xml:space="preserve">This report summarises submissions, and where appropriate provides recommendations, on </w:t>
      </w:r>
      <w:r w:rsidR="005946EF">
        <w:rPr>
          <w:rFonts w:ascii="Calibri" w:eastAsiaTheme="minorHAnsi" w:hAnsi="Calibri"/>
          <w:sz w:val="24"/>
        </w:rPr>
        <w:t xml:space="preserve">the </w:t>
      </w:r>
      <w:r w:rsidRPr="00675A06">
        <w:rPr>
          <w:rFonts w:ascii="Calibri" w:eastAsiaTheme="minorHAnsi" w:hAnsi="Calibri"/>
          <w:sz w:val="24"/>
        </w:rPr>
        <w:t>discussion document</w:t>
      </w:r>
      <w:r w:rsidR="00D3442C">
        <w:rPr>
          <w:rFonts w:ascii="Calibri" w:eastAsiaTheme="minorHAnsi" w:hAnsi="Calibri"/>
          <w:sz w:val="24"/>
        </w:rPr>
        <w:t>:</w:t>
      </w:r>
      <w:r w:rsidRPr="00675A06">
        <w:rPr>
          <w:rFonts w:ascii="Calibri" w:eastAsiaTheme="minorHAnsi" w:hAnsi="Calibri"/>
          <w:sz w:val="24"/>
        </w:rPr>
        <w:t xml:space="preserve"> </w:t>
      </w:r>
      <w:r w:rsidR="00E64702" w:rsidRPr="00675A06">
        <w:rPr>
          <w:rFonts w:ascii="Calibri" w:eastAsiaTheme="minorHAnsi" w:hAnsi="Calibri"/>
          <w:sz w:val="24"/>
        </w:rPr>
        <w:t xml:space="preserve">Consultation on Rules Setting Local Government </w:t>
      </w:r>
      <w:r w:rsidR="00EA15F6">
        <w:rPr>
          <w:rFonts w:ascii="Calibri" w:eastAsiaTheme="minorHAnsi" w:hAnsi="Calibri"/>
          <w:sz w:val="24"/>
        </w:rPr>
        <w:t>Non-</w:t>
      </w:r>
      <w:proofErr w:type="gramStart"/>
      <w:r w:rsidR="00EA15F6">
        <w:rPr>
          <w:rFonts w:ascii="Calibri" w:eastAsiaTheme="minorHAnsi" w:hAnsi="Calibri"/>
          <w:sz w:val="24"/>
        </w:rPr>
        <w:t>financial</w:t>
      </w:r>
      <w:proofErr w:type="gramEnd"/>
      <w:r w:rsidR="00EA15F6">
        <w:rPr>
          <w:rFonts w:ascii="Calibri" w:eastAsiaTheme="minorHAnsi" w:hAnsi="Calibri"/>
          <w:sz w:val="24"/>
        </w:rPr>
        <w:t xml:space="preserve"> </w:t>
      </w:r>
      <w:r w:rsidR="00E64702" w:rsidRPr="00675A06">
        <w:rPr>
          <w:rFonts w:ascii="Calibri" w:eastAsiaTheme="minorHAnsi" w:hAnsi="Calibri"/>
          <w:sz w:val="24"/>
        </w:rPr>
        <w:t>Performance Measures</w:t>
      </w:r>
      <w:r w:rsidR="00E64702" w:rsidRPr="00675A06" w:rsidDel="00E64702">
        <w:rPr>
          <w:rFonts w:ascii="Calibri" w:eastAsiaTheme="minorHAnsi" w:hAnsi="Calibri"/>
          <w:sz w:val="24"/>
        </w:rPr>
        <w:t xml:space="preserve"> </w:t>
      </w:r>
      <w:r w:rsidR="005946EF">
        <w:rPr>
          <w:rFonts w:ascii="Calibri" w:eastAsiaTheme="minorHAnsi" w:hAnsi="Calibri"/>
          <w:sz w:val="24"/>
        </w:rPr>
        <w:t xml:space="preserve">for Water Supply. </w:t>
      </w:r>
    </w:p>
    <w:p w14:paraId="0760024D" w14:textId="5AC1EF05" w:rsidR="00535CA0" w:rsidRDefault="00B33719" w:rsidP="00535CA0">
      <w:pPr>
        <w:pStyle w:val="Heading2"/>
      </w:pPr>
      <w:r w:rsidRPr="00B33719">
        <w:t xml:space="preserve">Proposed changes </w:t>
      </w:r>
    </w:p>
    <w:p w14:paraId="5CFB871B" w14:textId="43D33F09" w:rsidR="00E64702" w:rsidRPr="00E64702" w:rsidRDefault="00E64702" w:rsidP="00675A06">
      <w:pPr>
        <w:pStyle w:val="Heading4"/>
      </w:pPr>
      <w:r w:rsidRPr="00E64702">
        <w:t xml:space="preserve">Context for </w:t>
      </w:r>
      <w:r>
        <w:t xml:space="preserve">proposed </w:t>
      </w:r>
      <w:r w:rsidRPr="00E64702">
        <w:t>change</w:t>
      </w:r>
      <w:r>
        <w:t>s</w:t>
      </w:r>
      <w:r w:rsidRPr="00E64702">
        <w:t xml:space="preserve"> </w:t>
      </w:r>
    </w:p>
    <w:p w14:paraId="18B49475" w14:textId="57C92923" w:rsidR="00E64702" w:rsidRPr="00675A06" w:rsidRDefault="009D146D" w:rsidP="00675A06">
      <w:pPr>
        <w:pStyle w:val="Numberedpara3level1"/>
        <w:numPr>
          <w:ilvl w:val="0"/>
          <w:numId w:val="25"/>
        </w:numPr>
        <w:spacing w:before="120" w:line="240" w:lineRule="auto"/>
        <w:ind w:left="567" w:hanging="567"/>
        <w:rPr>
          <w:rFonts w:ascii="Calibri" w:eastAsiaTheme="minorHAnsi" w:hAnsi="Calibri"/>
          <w:sz w:val="24"/>
        </w:rPr>
      </w:pPr>
      <w:r w:rsidRPr="00675A06">
        <w:rPr>
          <w:rFonts w:ascii="Calibri" w:eastAsiaTheme="minorHAnsi" w:hAnsi="Calibri"/>
          <w:sz w:val="24"/>
        </w:rPr>
        <w:t>T</w:t>
      </w:r>
      <w:r w:rsidR="00A65FF0" w:rsidRPr="00675A06">
        <w:rPr>
          <w:rFonts w:ascii="Calibri" w:eastAsiaTheme="minorHAnsi" w:hAnsi="Calibri"/>
          <w:sz w:val="24"/>
        </w:rPr>
        <w:t>he Secretary for Local Government is responsible for a suite of Non-financial Performance Measures</w:t>
      </w:r>
      <w:r w:rsidR="00EA15F6">
        <w:rPr>
          <w:rFonts w:ascii="Calibri" w:eastAsiaTheme="minorHAnsi" w:hAnsi="Calibri"/>
          <w:sz w:val="24"/>
        </w:rPr>
        <w:t xml:space="preserve">. The current Non-financial Performance Measure Rules </w:t>
      </w:r>
      <w:r w:rsidRPr="00675A06">
        <w:rPr>
          <w:rFonts w:ascii="Calibri" w:eastAsiaTheme="minorHAnsi" w:hAnsi="Calibri"/>
          <w:sz w:val="24"/>
        </w:rPr>
        <w:t>(the Rules)</w:t>
      </w:r>
      <w:r w:rsidR="00EA15F6">
        <w:rPr>
          <w:rFonts w:ascii="Calibri" w:eastAsiaTheme="minorHAnsi" w:hAnsi="Calibri"/>
          <w:sz w:val="24"/>
        </w:rPr>
        <w:t xml:space="preserve"> were published in 2013</w:t>
      </w:r>
      <w:r w:rsidR="00A65FF0" w:rsidRPr="00675A06">
        <w:rPr>
          <w:rFonts w:ascii="Calibri" w:eastAsiaTheme="minorHAnsi" w:hAnsi="Calibri"/>
          <w:sz w:val="24"/>
        </w:rPr>
        <w:t xml:space="preserve">. </w:t>
      </w:r>
    </w:p>
    <w:p w14:paraId="4AE93850" w14:textId="77777777" w:rsidR="00E64702" w:rsidRPr="00675A06" w:rsidRDefault="00E64702" w:rsidP="00675A06">
      <w:pPr>
        <w:pStyle w:val="Numberedpara3level1"/>
        <w:numPr>
          <w:ilvl w:val="0"/>
          <w:numId w:val="25"/>
        </w:numPr>
        <w:spacing w:before="120" w:line="240" w:lineRule="auto"/>
        <w:ind w:left="567" w:hanging="567"/>
        <w:rPr>
          <w:rFonts w:ascii="Calibri" w:eastAsiaTheme="minorHAnsi" w:hAnsi="Calibri"/>
          <w:sz w:val="24"/>
        </w:rPr>
      </w:pPr>
      <w:r w:rsidRPr="00675A06">
        <w:rPr>
          <w:rFonts w:ascii="Calibri" w:eastAsiaTheme="minorHAnsi" w:hAnsi="Calibri"/>
          <w:sz w:val="24"/>
        </w:rPr>
        <w:t>The Rules set specific performance measures for water supply. Performance measure 1 (safety of drinking water) currently requires councils to report “the extent to which the local authority’s drinking water supplies comply with:</w:t>
      </w:r>
    </w:p>
    <w:p w14:paraId="70222CBA" w14:textId="77777777" w:rsidR="00E64702" w:rsidRPr="00675A06" w:rsidRDefault="00E64702" w:rsidP="00675A06">
      <w:pPr>
        <w:pStyle w:val="Numberedpara3level1"/>
        <w:spacing w:before="120" w:line="240" w:lineRule="auto"/>
        <w:ind w:left="1053" w:firstLine="567"/>
        <w:rPr>
          <w:rFonts w:ascii="Calibri" w:eastAsiaTheme="minorHAnsi" w:hAnsi="Calibri"/>
          <w:sz w:val="24"/>
        </w:rPr>
      </w:pPr>
      <w:r w:rsidRPr="00675A06">
        <w:rPr>
          <w:rFonts w:ascii="Calibri" w:eastAsiaTheme="minorHAnsi" w:hAnsi="Calibri"/>
          <w:sz w:val="24"/>
        </w:rPr>
        <w:t>(a) part 4 of the drinking-water standards (bacteria compliance criteria), and</w:t>
      </w:r>
    </w:p>
    <w:p w14:paraId="6A1AC957" w14:textId="77777777" w:rsidR="00E64702" w:rsidRPr="00675A06" w:rsidRDefault="00E64702" w:rsidP="00675A06">
      <w:pPr>
        <w:pStyle w:val="Numberedpara3level1"/>
        <w:spacing w:before="120" w:line="240" w:lineRule="auto"/>
        <w:ind w:left="1413" w:firstLine="207"/>
        <w:rPr>
          <w:rFonts w:ascii="Calibri" w:eastAsiaTheme="minorHAnsi" w:hAnsi="Calibri"/>
          <w:sz w:val="24"/>
        </w:rPr>
      </w:pPr>
      <w:r w:rsidRPr="00675A06">
        <w:rPr>
          <w:rFonts w:ascii="Calibri" w:eastAsiaTheme="minorHAnsi" w:hAnsi="Calibri"/>
          <w:sz w:val="24"/>
        </w:rPr>
        <w:t>(b) part 5 of the drinking-water standards (protozoal compliance criteria).”</w:t>
      </w:r>
    </w:p>
    <w:p w14:paraId="20AAEC7E" w14:textId="70FFC4C9" w:rsidR="00E64702" w:rsidRPr="00675A06" w:rsidRDefault="00E64702" w:rsidP="00675A06">
      <w:pPr>
        <w:pStyle w:val="Numberedpara3level1"/>
        <w:numPr>
          <w:ilvl w:val="0"/>
          <w:numId w:val="25"/>
        </w:numPr>
        <w:spacing w:before="120" w:line="240" w:lineRule="auto"/>
        <w:ind w:left="567" w:hanging="567"/>
        <w:rPr>
          <w:rFonts w:ascii="Calibri" w:eastAsiaTheme="minorHAnsi" w:hAnsi="Calibri"/>
          <w:sz w:val="24"/>
        </w:rPr>
      </w:pPr>
      <w:r w:rsidRPr="00675A06">
        <w:rPr>
          <w:rFonts w:ascii="Calibri" w:eastAsiaTheme="minorHAnsi" w:hAnsi="Calibri"/>
          <w:sz w:val="24"/>
        </w:rPr>
        <w:t>The drinking-water standards referred to in this measure are the Drinking-water Standards for New Zealand 2005. These standards were repealed and replaced by</w:t>
      </w:r>
      <w:r w:rsidR="00037F91">
        <w:rPr>
          <w:rFonts w:ascii="Calibri" w:eastAsiaTheme="minorHAnsi" w:hAnsi="Calibri"/>
          <w:sz w:val="24"/>
        </w:rPr>
        <w:t xml:space="preserve"> a suite of</w:t>
      </w:r>
      <w:r w:rsidRPr="00675A06">
        <w:rPr>
          <w:rFonts w:ascii="Calibri" w:eastAsiaTheme="minorHAnsi" w:hAnsi="Calibri"/>
          <w:sz w:val="24"/>
        </w:rPr>
        <w:t xml:space="preserve"> </w:t>
      </w:r>
      <w:r w:rsidR="00675A06">
        <w:rPr>
          <w:rFonts w:ascii="Calibri" w:eastAsiaTheme="minorHAnsi" w:hAnsi="Calibri"/>
          <w:sz w:val="24"/>
        </w:rPr>
        <w:t>new regulations in</w:t>
      </w:r>
      <w:r w:rsidR="00037F91">
        <w:rPr>
          <w:rFonts w:ascii="Calibri" w:eastAsiaTheme="minorHAnsi" w:hAnsi="Calibri"/>
          <w:sz w:val="24"/>
        </w:rPr>
        <w:t xml:space="preserve"> 2022, </w:t>
      </w:r>
      <w:r w:rsidRPr="00675A06">
        <w:rPr>
          <w:rFonts w:ascii="Calibri" w:eastAsiaTheme="minorHAnsi" w:hAnsi="Calibri"/>
          <w:sz w:val="24"/>
        </w:rPr>
        <w:t xml:space="preserve">following the transfer of regulatory responsibilities to </w:t>
      </w:r>
      <w:proofErr w:type="spellStart"/>
      <w:r w:rsidRPr="00675A06">
        <w:rPr>
          <w:rFonts w:ascii="Calibri" w:eastAsiaTheme="minorHAnsi" w:hAnsi="Calibri"/>
          <w:sz w:val="24"/>
        </w:rPr>
        <w:t>Taumata</w:t>
      </w:r>
      <w:proofErr w:type="spellEnd"/>
      <w:r w:rsidRPr="00675A06">
        <w:rPr>
          <w:rFonts w:ascii="Calibri" w:eastAsiaTheme="minorHAnsi" w:hAnsi="Calibri"/>
          <w:sz w:val="24"/>
        </w:rPr>
        <w:t xml:space="preserve"> </w:t>
      </w:r>
      <w:proofErr w:type="spellStart"/>
      <w:r w:rsidRPr="00675A06">
        <w:rPr>
          <w:rFonts w:ascii="Calibri" w:eastAsiaTheme="minorHAnsi" w:hAnsi="Calibri"/>
          <w:sz w:val="24"/>
        </w:rPr>
        <w:t>Arowai</w:t>
      </w:r>
      <w:proofErr w:type="spellEnd"/>
      <w:r w:rsidRPr="00675A06">
        <w:rPr>
          <w:rFonts w:ascii="Calibri" w:eastAsiaTheme="minorHAnsi" w:hAnsi="Calibri"/>
          <w:sz w:val="24"/>
        </w:rPr>
        <w:t>.</w:t>
      </w:r>
    </w:p>
    <w:p w14:paraId="73598454" w14:textId="77777777" w:rsidR="0068243D" w:rsidRPr="00675A06" w:rsidRDefault="0068243D" w:rsidP="00675A06">
      <w:pPr>
        <w:pStyle w:val="Numberedpara3level1"/>
        <w:numPr>
          <w:ilvl w:val="0"/>
          <w:numId w:val="25"/>
        </w:numPr>
        <w:spacing w:before="120" w:line="240" w:lineRule="auto"/>
        <w:ind w:left="567" w:hanging="567"/>
        <w:rPr>
          <w:rFonts w:ascii="Calibri" w:eastAsiaTheme="minorHAnsi" w:hAnsi="Calibri"/>
          <w:sz w:val="24"/>
        </w:rPr>
      </w:pPr>
      <w:r w:rsidRPr="00675A06">
        <w:rPr>
          <w:rFonts w:ascii="Calibri" w:eastAsiaTheme="minorHAnsi" w:hAnsi="Calibri"/>
          <w:sz w:val="24"/>
        </w:rPr>
        <w:t xml:space="preserve">In accordance with section 38 of the Legislation Act 2019 and section 261F of the Local Government Act 2002, the new drinking water standards and rules can be incorporated by reference into the current rules without amendment. </w:t>
      </w:r>
    </w:p>
    <w:p w14:paraId="6DB3EC10" w14:textId="603AE7F5" w:rsidR="0068243D" w:rsidRPr="00675A06" w:rsidRDefault="0068243D" w:rsidP="00675A06">
      <w:pPr>
        <w:pStyle w:val="Numberedpara3level1"/>
        <w:numPr>
          <w:ilvl w:val="0"/>
          <w:numId w:val="25"/>
        </w:numPr>
        <w:spacing w:before="120" w:line="240" w:lineRule="auto"/>
        <w:ind w:left="567" w:hanging="567"/>
        <w:rPr>
          <w:rFonts w:ascii="Calibri" w:eastAsiaTheme="minorHAnsi" w:hAnsi="Calibri"/>
          <w:sz w:val="24"/>
        </w:rPr>
      </w:pPr>
      <w:r w:rsidRPr="00675A06">
        <w:rPr>
          <w:rFonts w:ascii="Calibri" w:eastAsiaTheme="minorHAnsi" w:hAnsi="Calibri"/>
          <w:sz w:val="24"/>
        </w:rPr>
        <w:t>However, to be able to provide as much clarity as possible to councils on their planning and reporting responsibilities, the Secretary of Local Government</w:t>
      </w:r>
      <w:r w:rsidR="00366F3F" w:rsidRPr="00675A06">
        <w:rPr>
          <w:rFonts w:ascii="Calibri" w:eastAsiaTheme="minorHAnsi" w:hAnsi="Calibri"/>
          <w:sz w:val="24"/>
        </w:rPr>
        <w:t xml:space="preserve"> initiated</w:t>
      </w:r>
      <w:r w:rsidRPr="00675A06">
        <w:rPr>
          <w:rFonts w:ascii="Calibri" w:eastAsiaTheme="minorHAnsi" w:hAnsi="Calibri"/>
          <w:sz w:val="24"/>
        </w:rPr>
        <w:t xml:space="preserve"> the process of updating the Rules to clearly replace the reference to 2005 drinking water standards with the new standards and rules.</w:t>
      </w:r>
    </w:p>
    <w:p w14:paraId="4EE19EC2" w14:textId="77777777" w:rsidR="00366F3F" w:rsidRPr="00675A06" w:rsidRDefault="00366F3F" w:rsidP="00675A06">
      <w:pPr>
        <w:ind w:left="360"/>
        <w:rPr>
          <w:rFonts w:asciiTheme="minorHAnsi" w:hAnsiTheme="minorHAnsi" w:cstheme="minorHAnsi"/>
        </w:rPr>
      </w:pPr>
    </w:p>
    <w:p w14:paraId="5FD86525" w14:textId="0620C91C" w:rsidR="0068243D" w:rsidRDefault="00E64702" w:rsidP="0068243D">
      <w:pPr>
        <w:pStyle w:val="Default"/>
      </w:pPr>
      <w:r w:rsidRPr="00675A06">
        <w:rPr>
          <w:rFonts w:ascii="Arial" w:hAnsi="Arial" w:cs="Times New Roman"/>
          <w:b/>
          <w:bCs/>
          <w:i/>
          <w:color w:val="1F546B" w:themeColor="text2"/>
          <w:sz w:val="22"/>
          <w:szCs w:val="28"/>
          <w:lang w:eastAsia="en-US"/>
        </w:rPr>
        <w:t xml:space="preserve">Scope of </w:t>
      </w:r>
      <w:r w:rsidR="0074533E" w:rsidRPr="00675A06">
        <w:rPr>
          <w:rFonts w:ascii="Arial" w:hAnsi="Arial" w:cs="Times New Roman"/>
          <w:b/>
          <w:bCs/>
          <w:i/>
          <w:color w:val="1F546B" w:themeColor="text2"/>
          <w:sz w:val="22"/>
          <w:szCs w:val="28"/>
          <w:lang w:eastAsia="en-US"/>
        </w:rPr>
        <w:t>the</w:t>
      </w:r>
      <w:r w:rsidR="00E847BB" w:rsidRPr="00366F3F">
        <w:rPr>
          <w:b/>
          <w:bCs/>
          <w:i/>
          <w:color w:val="1F546B" w:themeColor="text2"/>
          <w:szCs w:val="28"/>
        </w:rPr>
        <w:t xml:space="preserve"> proposed changes</w:t>
      </w:r>
      <w:r w:rsidR="0074533E" w:rsidRPr="00675A06">
        <w:rPr>
          <w:rFonts w:ascii="Arial" w:hAnsi="Arial" w:cs="Times New Roman"/>
          <w:b/>
          <w:bCs/>
          <w:i/>
          <w:color w:val="1F546B" w:themeColor="text2"/>
          <w:sz w:val="22"/>
          <w:szCs w:val="28"/>
          <w:lang w:eastAsia="en-US"/>
        </w:rPr>
        <w:t xml:space="preserve"> </w:t>
      </w:r>
    </w:p>
    <w:p w14:paraId="1CC55284" w14:textId="79B83BC9" w:rsidR="00E847BB" w:rsidRPr="00037F91" w:rsidRDefault="00366F3F" w:rsidP="00037F91">
      <w:pPr>
        <w:pStyle w:val="Numberedpara3level1"/>
        <w:numPr>
          <w:ilvl w:val="0"/>
          <w:numId w:val="25"/>
        </w:numPr>
        <w:spacing w:before="120" w:line="240" w:lineRule="auto"/>
        <w:ind w:left="567" w:hanging="567"/>
        <w:rPr>
          <w:rFonts w:ascii="Calibri" w:eastAsiaTheme="minorHAnsi" w:hAnsi="Calibri"/>
          <w:sz w:val="24"/>
        </w:rPr>
      </w:pPr>
      <w:bookmarkStart w:id="0" w:name="_Hlk170121458"/>
      <w:r w:rsidRPr="00037F91">
        <w:rPr>
          <w:rFonts w:ascii="Calibri" w:eastAsiaTheme="minorHAnsi" w:hAnsi="Calibri"/>
          <w:sz w:val="24"/>
        </w:rPr>
        <w:t xml:space="preserve">The scope of these proposed changes </w:t>
      </w:r>
      <w:r w:rsidR="00EA15F6" w:rsidRPr="00037F91">
        <w:rPr>
          <w:rFonts w:ascii="Calibri" w:eastAsiaTheme="minorHAnsi" w:hAnsi="Calibri"/>
          <w:sz w:val="24"/>
        </w:rPr>
        <w:t>was</w:t>
      </w:r>
      <w:r w:rsidRPr="00037F91">
        <w:rPr>
          <w:rFonts w:ascii="Calibri" w:eastAsiaTheme="minorHAnsi" w:hAnsi="Calibri"/>
          <w:sz w:val="24"/>
        </w:rPr>
        <w:t xml:space="preserve"> limited to </w:t>
      </w:r>
      <w:r w:rsidR="00037F91">
        <w:rPr>
          <w:rFonts w:ascii="Calibri" w:eastAsiaTheme="minorHAnsi" w:hAnsi="Calibri"/>
          <w:sz w:val="24"/>
        </w:rPr>
        <w:t xml:space="preserve">updating the </w:t>
      </w:r>
      <w:r w:rsidR="00EA15F6">
        <w:rPr>
          <w:rFonts w:ascii="Calibri" w:eastAsiaTheme="minorHAnsi" w:hAnsi="Calibri"/>
          <w:sz w:val="24"/>
        </w:rPr>
        <w:t xml:space="preserve">regulatory </w:t>
      </w:r>
      <w:r w:rsidR="00037F91">
        <w:rPr>
          <w:rFonts w:ascii="Calibri" w:eastAsiaTheme="minorHAnsi" w:hAnsi="Calibri"/>
          <w:sz w:val="24"/>
        </w:rPr>
        <w:t xml:space="preserve">references in Performance Measure 1 (safety of drinking water). The intention of the changes </w:t>
      </w:r>
      <w:r w:rsidR="00EA15F6">
        <w:rPr>
          <w:rFonts w:ascii="Calibri" w:eastAsiaTheme="minorHAnsi" w:hAnsi="Calibri"/>
          <w:sz w:val="24"/>
        </w:rPr>
        <w:t>was</w:t>
      </w:r>
      <w:r w:rsidR="00037F91">
        <w:rPr>
          <w:rFonts w:ascii="Calibri" w:eastAsiaTheme="minorHAnsi" w:hAnsi="Calibri"/>
          <w:sz w:val="24"/>
        </w:rPr>
        <w:t xml:space="preserve"> to remove references to the revoked </w:t>
      </w:r>
      <w:proofErr w:type="gramStart"/>
      <w:r w:rsidR="00037F91">
        <w:rPr>
          <w:rFonts w:ascii="Calibri" w:eastAsiaTheme="minorHAnsi" w:hAnsi="Calibri"/>
          <w:sz w:val="24"/>
        </w:rPr>
        <w:t>standards, and</w:t>
      </w:r>
      <w:proofErr w:type="gramEnd"/>
      <w:r w:rsidR="00037F91">
        <w:rPr>
          <w:rFonts w:ascii="Calibri" w:eastAsiaTheme="minorHAnsi" w:hAnsi="Calibri"/>
          <w:sz w:val="24"/>
        </w:rPr>
        <w:t xml:space="preserve"> replace </w:t>
      </w:r>
      <w:r w:rsidR="00D3442C">
        <w:rPr>
          <w:rFonts w:ascii="Calibri" w:eastAsiaTheme="minorHAnsi" w:hAnsi="Calibri"/>
          <w:sz w:val="24"/>
        </w:rPr>
        <w:t>them</w:t>
      </w:r>
      <w:r w:rsidR="00037F91">
        <w:rPr>
          <w:rFonts w:ascii="Calibri" w:eastAsiaTheme="minorHAnsi" w:hAnsi="Calibri"/>
          <w:sz w:val="24"/>
        </w:rPr>
        <w:t xml:space="preserve"> with the equivalent </w:t>
      </w:r>
      <w:r w:rsidR="005946EF">
        <w:rPr>
          <w:rFonts w:ascii="Calibri" w:eastAsiaTheme="minorHAnsi" w:hAnsi="Calibri"/>
          <w:sz w:val="24"/>
        </w:rPr>
        <w:t xml:space="preserve">measures in the new regulatory framework. </w:t>
      </w:r>
    </w:p>
    <w:p w14:paraId="782C296E" w14:textId="5484AC40" w:rsidR="00366F3F" w:rsidRPr="00037F91" w:rsidRDefault="00366F3F" w:rsidP="00037F91">
      <w:pPr>
        <w:pStyle w:val="Numberedpara3level1"/>
        <w:numPr>
          <w:ilvl w:val="0"/>
          <w:numId w:val="25"/>
        </w:numPr>
        <w:spacing w:before="120" w:line="240" w:lineRule="auto"/>
        <w:ind w:left="567" w:hanging="567"/>
        <w:rPr>
          <w:rFonts w:ascii="Calibri" w:eastAsiaTheme="minorHAnsi" w:hAnsi="Calibri"/>
          <w:sz w:val="24"/>
        </w:rPr>
      </w:pPr>
      <w:bookmarkStart w:id="1" w:name="_Hlk170124336"/>
      <w:bookmarkEnd w:id="0"/>
      <w:r w:rsidRPr="00037F91">
        <w:rPr>
          <w:rFonts w:ascii="Calibri" w:eastAsiaTheme="minorHAnsi" w:hAnsi="Calibri"/>
          <w:sz w:val="24"/>
        </w:rPr>
        <w:t xml:space="preserve">The </w:t>
      </w:r>
      <w:r w:rsidR="00B06D2E" w:rsidRPr="00037F91">
        <w:rPr>
          <w:rFonts w:ascii="Calibri" w:eastAsiaTheme="minorHAnsi" w:hAnsi="Calibri"/>
          <w:sz w:val="24"/>
        </w:rPr>
        <w:t>initial timing proposed for these changes was</w:t>
      </w:r>
      <w:r w:rsidR="00037F91">
        <w:rPr>
          <w:rFonts w:ascii="Calibri" w:eastAsiaTheme="minorHAnsi" w:hAnsi="Calibri"/>
          <w:sz w:val="24"/>
        </w:rPr>
        <w:t xml:space="preserve"> to have any changes in place around mid-June</w:t>
      </w:r>
      <w:r w:rsidR="00D3442C">
        <w:rPr>
          <w:rFonts w:ascii="Calibri" w:eastAsiaTheme="minorHAnsi" w:hAnsi="Calibri"/>
          <w:sz w:val="24"/>
        </w:rPr>
        <w:t xml:space="preserve"> 2024</w:t>
      </w:r>
      <w:r w:rsidR="00037F91">
        <w:rPr>
          <w:rFonts w:ascii="Calibri" w:eastAsiaTheme="minorHAnsi" w:hAnsi="Calibri"/>
          <w:sz w:val="24"/>
        </w:rPr>
        <w:t xml:space="preserve">, prior to the adoption of many </w:t>
      </w:r>
      <w:r w:rsidR="00D3442C">
        <w:rPr>
          <w:rFonts w:ascii="Calibri" w:eastAsiaTheme="minorHAnsi" w:hAnsi="Calibri"/>
          <w:sz w:val="24"/>
        </w:rPr>
        <w:t>councils’</w:t>
      </w:r>
      <w:r w:rsidR="00037F91">
        <w:rPr>
          <w:rFonts w:ascii="Calibri" w:eastAsiaTheme="minorHAnsi" w:hAnsi="Calibri"/>
          <w:sz w:val="24"/>
        </w:rPr>
        <w:t xml:space="preserve"> long-term plans. </w:t>
      </w:r>
      <w:r w:rsidR="00F97BE4">
        <w:rPr>
          <w:rFonts w:ascii="Calibri" w:eastAsiaTheme="minorHAnsi" w:hAnsi="Calibri"/>
          <w:sz w:val="24"/>
        </w:rPr>
        <w:t xml:space="preserve">Due to the </w:t>
      </w:r>
      <w:r w:rsidR="00F97BE4">
        <w:rPr>
          <w:rFonts w:ascii="Calibri" w:eastAsiaTheme="minorHAnsi" w:hAnsi="Calibri"/>
          <w:sz w:val="24"/>
        </w:rPr>
        <w:lastRenderedPageBreak/>
        <w:t>complexity of the issues raised by submissions, t</w:t>
      </w:r>
      <w:r w:rsidR="00037F91">
        <w:rPr>
          <w:rFonts w:ascii="Calibri" w:eastAsiaTheme="minorHAnsi" w:hAnsi="Calibri"/>
          <w:sz w:val="24"/>
        </w:rPr>
        <w:t xml:space="preserve">his </w:t>
      </w:r>
      <w:r w:rsidR="005946EF">
        <w:rPr>
          <w:rFonts w:ascii="Calibri" w:eastAsiaTheme="minorHAnsi" w:hAnsi="Calibri"/>
          <w:sz w:val="24"/>
        </w:rPr>
        <w:t>timing has been delayed, and</w:t>
      </w:r>
      <w:r w:rsidR="00EA15F6">
        <w:rPr>
          <w:rFonts w:ascii="Calibri" w:eastAsiaTheme="minorHAnsi" w:hAnsi="Calibri"/>
          <w:sz w:val="24"/>
        </w:rPr>
        <w:t xml:space="preserve"> additional</w:t>
      </w:r>
      <w:r w:rsidR="005946EF">
        <w:rPr>
          <w:rFonts w:ascii="Calibri" w:eastAsiaTheme="minorHAnsi" w:hAnsi="Calibri"/>
          <w:sz w:val="24"/>
        </w:rPr>
        <w:t xml:space="preserve"> implementation considerations are discussed in this report. </w:t>
      </w:r>
    </w:p>
    <w:bookmarkEnd w:id="1"/>
    <w:p w14:paraId="18DA20A6" w14:textId="20B3D5A3" w:rsidR="00E847BB" w:rsidRDefault="00B33719" w:rsidP="00675A06">
      <w:pPr>
        <w:pStyle w:val="Heading2"/>
        <w:rPr>
          <w:lang w:eastAsia="en-NZ"/>
        </w:rPr>
      </w:pPr>
      <w:r>
        <w:t xml:space="preserve">Consultation </w:t>
      </w:r>
    </w:p>
    <w:p w14:paraId="5CA959FF" w14:textId="3B0DBAAD" w:rsidR="00EA15F6" w:rsidRDefault="00B06D2E" w:rsidP="00675A06">
      <w:pPr>
        <w:pStyle w:val="Numberedpara3level1"/>
        <w:numPr>
          <w:ilvl w:val="0"/>
          <w:numId w:val="25"/>
        </w:numPr>
        <w:spacing w:before="120" w:line="240" w:lineRule="auto"/>
        <w:ind w:left="567" w:hanging="567"/>
        <w:rPr>
          <w:rFonts w:ascii="Calibri" w:eastAsiaTheme="minorHAnsi" w:hAnsi="Calibri"/>
          <w:sz w:val="24"/>
        </w:rPr>
      </w:pPr>
      <w:bookmarkStart w:id="2" w:name="_Hlk170120894"/>
      <w:r w:rsidRPr="00675A06">
        <w:rPr>
          <w:rFonts w:ascii="Calibri" w:eastAsiaTheme="minorHAnsi" w:hAnsi="Calibri"/>
          <w:sz w:val="24"/>
        </w:rPr>
        <w:t xml:space="preserve">A consultation document was prepared, providing the context for the proposed changes and a comparative edit of the rules for water supply with the modern standards. </w:t>
      </w:r>
    </w:p>
    <w:p w14:paraId="2BADEEF1" w14:textId="18BF5BFC" w:rsidR="00B06D2E" w:rsidRPr="00675A06" w:rsidRDefault="00DC2E65" w:rsidP="00675A06">
      <w:pPr>
        <w:pStyle w:val="Numberedpara3level1"/>
        <w:numPr>
          <w:ilvl w:val="0"/>
          <w:numId w:val="25"/>
        </w:numPr>
        <w:spacing w:before="120" w:line="240" w:lineRule="auto"/>
        <w:ind w:left="567" w:hanging="567"/>
        <w:rPr>
          <w:rFonts w:ascii="Calibri" w:eastAsiaTheme="minorHAnsi" w:hAnsi="Calibri"/>
          <w:sz w:val="24"/>
        </w:rPr>
      </w:pPr>
      <w:r w:rsidRPr="00675A06">
        <w:rPr>
          <w:rFonts w:ascii="Calibri" w:eastAsiaTheme="minorHAnsi" w:hAnsi="Calibri"/>
          <w:sz w:val="24"/>
        </w:rPr>
        <w:t xml:space="preserve">The Department worked with </w:t>
      </w:r>
      <w:proofErr w:type="spellStart"/>
      <w:r w:rsidRPr="00675A06">
        <w:rPr>
          <w:rFonts w:ascii="Calibri" w:eastAsiaTheme="minorHAnsi" w:hAnsi="Calibri"/>
          <w:sz w:val="24"/>
        </w:rPr>
        <w:t>Taituarā</w:t>
      </w:r>
      <w:proofErr w:type="spellEnd"/>
      <w:r w:rsidRPr="00675A06">
        <w:rPr>
          <w:rFonts w:ascii="Calibri" w:eastAsiaTheme="minorHAnsi" w:hAnsi="Calibri"/>
          <w:sz w:val="24"/>
        </w:rPr>
        <w:t xml:space="preserve">, Local Government New Zealand (LGNZ) and the Office of the Auditor General (the OAG) in the development of the consultation document. </w:t>
      </w:r>
      <w:r w:rsidR="00B06D2E" w:rsidRPr="00675A06">
        <w:rPr>
          <w:rFonts w:ascii="Calibri" w:eastAsiaTheme="minorHAnsi" w:hAnsi="Calibri"/>
          <w:sz w:val="24"/>
        </w:rPr>
        <w:t xml:space="preserve">The consultation document was </w:t>
      </w:r>
      <w:r w:rsidR="00952610" w:rsidRPr="00675A06">
        <w:rPr>
          <w:rFonts w:ascii="Calibri" w:eastAsiaTheme="minorHAnsi" w:hAnsi="Calibri"/>
          <w:sz w:val="24"/>
        </w:rPr>
        <w:t>published on the Departmen</w:t>
      </w:r>
      <w:r w:rsidR="00EA15F6">
        <w:rPr>
          <w:rFonts w:ascii="Calibri" w:eastAsiaTheme="minorHAnsi" w:hAnsi="Calibri"/>
          <w:sz w:val="24"/>
        </w:rPr>
        <w:t>t of Internal Affair</w:t>
      </w:r>
      <w:r w:rsidR="00952610" w:rsidRPr="00675A06">
        <w:rPr>
          <w:rFonts w:ascii="Calibri" w:eastAsiaTheme="minorHAnsi" w:hAnsi="Calibri"/>
          <w:sz w:val="24"/>
        </w:rPr>
        <w:t>s</w:t>
      </w:r>
      <w:r>
        <w:rPr>
          <w:rFonts w:ascii="Calibri" w:eastAsiaTheme="minorHAnsi" w:hAnsi="Calibri"/>
          <w:sz w:val="24"/>
        </w:rPr>
        <w:t>’</w:t>
      </w:r>
      <w:r w:rsidR="00952610" w:rsidRPr="00675A06">
        <w:rPr>
          <w:rFonts w:ascii="Calibri" w:eastAsiaTheme="minorHAnsi" w:hAnsi="Calibri"/>
          <w:sz w:val="24"/>
        </w:rPr>
        <w:t xml:space="preserve"> </w:t>
      </w:r>
      <w:r w:rsidR="00EA15F6">
        <w:rPr>
          <w:rFonts w:ascii="Calibri" w:eastAsiaTheme="minorHAnsi" w:hAnsi="Calibri"/>
          <w:sz w:val="24"/>
        </w:rPr>
        <w:t xml:space="preserve">(the Department) </w:t>
      </w:r>
      <w:r w:rsidR="00952610" w:rsidRPr="00675A06">
        <w:rPr>
          <w:rFonts w:ascii="Calibri" w:eastAsiaTheme="minorHAnsi" w:hAnsi="Calibri"/>
          <w:sz w:val="24"/>
        </w:rPr>
        <w:t>website</w:t>
      </w:r>
      <w:r w:rsidR="005946EF">
        <w:rPr>
          <w:rFonts w:ascii="Calibri" w:eastAsiaTheme="minorHAnsi" w:hAnsi="Calibri"/>
          <w:sz w:val="24"/>
        </w:rPr>
        <w:t xml:space="preserve">. </w:t>
      </w:r>
    </w:p>
    <w:p w14:paraId="75D584F2" w14:textId="77777777" w:rsidR="009E40D5" w:rsidRPr="00675A06" w:rsidRDefault="00E847BB" w:rsidP="00675A06">
      <w:pPr>
        <w:pStyle w:val="Numberedpara3level1"/>
        <w:numPr>
          <w:ilvl w:val="0"/>
          <w:numId w:val="25"/>
        </w:numPr>
        <w:spacing w:before="120" w:line="240" w:lineRule="auto"/>
        <w:ind w:left="567" w:hanging="567"/>
        <w:rPr>
          <w:rFonts w:ascii="Calibri" w:eastAsiaTheme="minorHAnsi" w:hAnsi="Calibri"/>
          <w:sz w:val="24"/>
        </w:rPr>
      </w:pPr>
      <w:r w:rsidRPr="00675A06">
        <w:rPr>
          <w:rFonts w:ascii="Calibri" w:eastAsiaTheme="minorHAnsi" w:hAnsi="Calibri"/>
          <w:sz w:val="24"/>
        </w:rPr>
        <w:t>In accordance with section 261</w:t>
      </w:r>
      <w:proofErr w:type="gramStart"/>
      <w:r w:rsidRPr="00675A06">
        <w:rPr>
          <w:rFonts w:ascii="Calibri" w:eastAsiaTheme="minorHAnsi" w:hAnsi="Calibri"/>
          <w:sz w:val="24"/>
        </w:rPr>
        <w:t>B(</w:t>
      </w:r>
      <w:proofErr w:type="gramEnd"/>
      <w:r w:rsidRPr="00675A06">
        <w:rPr>
          <w:rFonts w:ascii="Calibri" w:eastAsiaTheme="minorHAnsi" w:hAnsi="Calibri"/>
          <w:sz w:val="24"/>
        </w:rPr>
        <w:t>3) of the Local Government Act 2002, the Secretary of Local Government</w:t>
      </w:r>
      <w:r w:rsidR="00B06D2E" w:rsidRPr="00675A06">
        <w:rPr>
          <w:rFonts w:ascii="Calibri" w:eastAsiaTheme="minorHAnsi" w:hAnsi="Calibri"/>
          <w:sz w:val="24"/>
        </w:rPr>
        <w:t xml:space="preserve"> ran a consultation period from 22 April 2024 to 10 May 2024. </w:t>
      </w:r>
    </w:p>
    <w:p w14:paraId="2E9FE951" w14:textId="1E29EF46" w:rsidR="004117D2" w:rsidRPr="00675A06" w:rsidRDefault="009E40D5" w:rsidP="00675A06">
      <w:pPr>
        <w:pStyle w:val="Numberedpara3level1"/>
        <w:numPr>
          <w:ilvl w:val="0"/>
          <w:numId w:val="25"/>
        </w:numPr>
        <w:spacing w:before="120" w:line="240" w:lineRule="auto"/>
        <w:ind w:left="567" w:hanging="567"/>
        <w:rPr>
          <w:rFonts w:ascii="Calibri" w:eastAsiaTheme="minorHAnsi" w:hAnsi="Calibri"/>
          <w:sz w:val="24"/>
        </w:rPr>
      </w:pPr>
      <w:r w:rsidRPr="00675A06">
        <w:rPr>
          <w:rFonts w:ascii="Calibri" w:eastAsiaTheme="minorHAnsi" w:hAnsi="Calibri"/>
          <w:sz w:val="24"/>
        </w:rPr>
        <w:t xml:space="preserve">On 22 April 2024, the </w:t>
      </w:r>
      <w:r w:rsidR="00B06D2E" w:rsidRPr="00675A06">
        <w:rPr>
          <w:rFonts w:ascii="Calibri" w:eastAsiaTheme="minorHAnsi" w:hAnsi="Calibri"/>
          <w:sz w:val="24"/>
        </w:rPr>
        <w:t xml:space="preserve">Secretary </w:t>
      </w:r>
      <w:r w:rsidRPr="00675A06">
        <w:rPr>
          <w:rFonts w:ascii="Calibri" w:eastAsiaTheme="minorHAnsi" w:hAnsi="Calibri"/>
          <w:sz w:val="24"/>
        </w:rPr>
        <w:t xml:space="preserve">contacted </w:t>
      </w:r>
      <w:r w:rsidR="00B06D2E" w:rsidRPr="00675A06">
        <w:rPr>
          <w:rFonts w:ascii="Calibri" w:eastAsiaTheme="minorHAnsi" w:hAnsi="Calibri"/>
          <w:sz w:val="24"/>
        </w:rPr>
        <w:t>the Chief Executive of every local authority</w:t>
      </w:r>
      <w:r w:rsidR="00DC2E65">
        <w:rPr>
          <w:rFonts w:ascii="Calibri" w:eastAsiaTheme="minorHAnsi" w:hAnsi="Calibri"/>
          <w:sz w:val="24"/>
        </w:rPr>
        <w:t>, as well as</w:t>
      </w:r>
      <w:r w:rsidR="004117D2" w:rsidRPr="00675A06">
        <w:rPr>
          <w:rFonts w:ascii="Calibri" w:eastAsiaTheme="minorHAnsi" w:hAnsi="Calibri"/>
          <w:sz w:val="24"/>
        </w:rPr>
        <w:t xml:space="preserve"> </w:t>
      </w:r>
      <w:r w:rsidRPr="00675A06">
        <w:rPr>
          <w:rFonts w:ascii="Calibri" w:eastAsiaTheme="minorHAnsi" w:hAnsi="Calibri"/>
          <w:sz w:val="24"/>
        </w:rPr>
        <w:t>email</w:t>
      </w:r>
      <w:r w:rsidR="00DC2E65">
        <w:rPr>
          <w:rFonts w:ascii="Calibri" w:eastAsiaTheme="minorHAnsi" w:hAnsi="Calibri"/>
          <w:sz w:val="24"/>
        </w:rPr>
        <w:t>ing</w:t>
      </w:r>
      <w:r w:rsidRPr="00675A06">
        <w:rPr>
          <w:rFonts w:ascii="Calibri" w:eastAsiaTheme="minorHAnsi" w:hAnsi="Calibri"/>
          <w:sz w:val="24"/>
        </w:rPr>
        <w:t xml:space="preserve"> other interested parties and sector bodies, including </w:t>
      </w:r>
      <w:proofErr w:type="spellStart"/>
      <w:r w:rsidRPr="00675A06">
        <w:rPr>
          <w:rFonts w:ascii="Calibri" w:eastAsiaTheme="minorHAnsi" w:hAnsi="Calibri"/>
          <w:sz w:val="24"/>
        </w:rPr>
        <w:t>Taituarā</w:t>
      </w:r>
      <w:proofErr w:type="spellEnd"/>
      <w:r w:rsidRPr="00675A06">
        <w:rPr>
          <w:rFonts w:ascii="Calibri" w:eastAsiaTheme="minorHAnsi" w:hAnsi="Calibri"/>
          <w:sz w:val="24"/>
        </w:rPr>
        <w:t>, LGNZ, the OA</w:t>
      </w:r>
      <w:r w:rsidR="00D60566" w:rsidRPr="00675A06">
        <w:rPr>
          <w:rFonts w:ascii="Calibri" w:eastAsiaTheme="minorHAnsi" w:hAnsi="Calibri"/>
          <w:sz w:val="24"/>
        </w:rPr>
        <w:t>G.</w:t>
      </w:r>
    </w:p>
    <w:p w14:paraId="36401C01" w14:textId="49CD1AAF" w:rsidR="001F4031" w:rsidRPr="00037F91" w:rsidRDefault="009E40D5" w:rsidP="00B33719">
      <w:pPr>
        <w:pStyle w:val="Numberedpara3level1"/>
        <w:numPr>
          <w:ilvl w:val="0"/>
          <w:numId w:val="25"/>
        </w:numPr>
        <w:spacing w:before="120" w:line="240" w:lineRule="auto"/>
        <w:ind w:left="567" w:hanging="567"/>
        <w:rPr>
          <w:rFonts w:ascii="Calibri" w:eastAsiaTheme="minorHAnsi" w:hAnsi="Calibri"/>
          <w:sz w:val="24"/>
        </w:rPr>
      </w:pPr>
      <w:r w:rsidRPr="00675A06">
        <w:rPr>
          <w:rFonts w:ascii="Calibri" w:eastAsiaTheme="minorHAnsi" w:hAnsi="Calibri"/>
          <w:sz w:val="24"/>
        </w:rPr>
        <w:t>On 23 April 2024 a public</w:t>
      </w:r>
      <w:r w:rsidR="00D60566" w:rsidRPr="00675A06">
        <w:rPr>
          <w:rFonts w:ascii="Calibri" w:eastAsiaTheme="minorHAnsi" w:hAnsi="Calibri"/>
          <w:sz w:val="24"/>
        </w:rPr>
        <w:t xml:space="preserve"> </w:t>
      </w:r>
      <w:r w:rsidR="00B06D2E" w:rsidRPr="00675A06">
        <w:rPr>
          <w:rFonts w:ascii="Calibri" w:eastAsiaTheme="minorHAnsi" w:hAnsi="Calibri"/>
          <w:sz w:val="24"/>
        </w:rPr>
        <w:t xml:space="preserve">notice of the consultation </w:t>
      </w:r>
      <w:r w:rsidRPr="00675A06">
        <w:rPr>
          <w:rFonts w:ascii="Calibri" w:eastAsiaTheme="minorHAnsi" w:hAnsi="Calibri"/>
          <w:sz w:val="24"/>
        </w:rPr>
        <w:t xml:space="preserve">was published in the </w:t>
      </w:r>
      <w:r w:rsidR="00B06D2E" w:rsidRPr="00675A06">
        <w:rPr>
          <w:rFonts w:ascii="Calibri" w:eastAsiaTheme="minorHAnsi" w:hAnsi="Calibri"/>
          <w:sz w:val="24"/>
        </w:rPr>
        <w:t>New Zealand Gazette</w:t>
      </w:r>
      <w:r w:rsidRPr="00675A06">
        <w:rPr>
          <w:rFonts w:ascii="Calibri" w:eastAsiaTheme="minorHAnsi" w:hAnsi="Calibri"/>
          <w:sz w:val="24"/>
        </w:rPr>
        <w:t xml:space="preserve"> and in the New Zealand Herald</w:t>
      </w:r>
      <w:r w:rsidR="00D3442C">
        <w:rPr>
          <w:rFonts w:ascii="Calibri" w:eastAsiaTheme="minorHAnsi" w:hAnsi="Calibri"/>
          <w:sz w:val="24"/>
        </w:rPr>
        <w:t>,</w:t>
      </w:r>
      <w:r w:rsidR="00D3442C" w:rsidRPr="00675A06">
        <w:rPr>
          <w:rFonts w:ascii="Calibri" w:eastAsiaTheme="minorHAnsi" w:hAnsi="Calibri"/>
          <w:sz w:val="24"/>
        </w:rPr>
        <w:t xml:space="preserve"> </w:t>
      </w:r>
      <w:r w:rsidRPr="00675A06">
        <w:rPr>
          <w:rFonts w:ascii="Calibri" w:eastAsiaTheme="minorHAnsi" w:hAnsi="Calibri"/>
          <w:sz w:val="24"/>
        </w:rPr>
        <w:t xml:space="preserve">the Waikato Times, the Post, the </w:t>
      </w:r>
      <w:proofErr w:type="gramStart"/>
      <w:r w:rsidRPr="00675A06">
        <w:rPr>
          <w:rFonts w:ascii="Calibri" w:eastAsiaTheme="minorHAnsi" w:hAnsi="Calibri"/>
          <w:sz w:val="24"/>
        </w:rPr>
        <w:t>Press</w:t>
      </w:r>
      <w:proofErr w:type="gramEnd"/>
      <w:r w:rsidRPr="00675A06">
        <w:rPr>
          <w:rFonts w:ascii="Calibri" w:eastAsiaTheme="minorHAnsi" w:hAnsi="Calibri"/>
          <w:sz w:val="24"/>
        </w:rPr>
        <w:t xml:space="preserve"> and the Otago Daily Times. </w:t>
      </w:r>
    </w:p>
    <w:bookmarkEnd w:id="2"/>
    <w:p w14:paraId="724C358E" w14:textId="202D1F78" w:rsidR="00960E42" w:rsidRPr="00B33719" w:rsidRDefault="00960E42" w:rsidP="00B33719">
      <w:pPr>
        <w:pStyle w:val="Heading2"/>
      </w:pPr>
      <w:r w:rsidRPr="00B33719">
        <w:t>Structure of this report</w:t>
      </w:r>
    </w:p>
    <w:p w14:paraId="162B8112" w14:textId="791EDB37" w:rsidR="00960E42" w:rsidRPr="00675A06" w:rsidRDefault="00D60566" w:rsidP="00675A06">
      <w:pPr>
        <w:pStyle w:val="Numberedpara3level1"/>
        <w:numPr>
          <w:ilvl w:val="0"/>
          <w:numId w:val="25"/>
        </w:numPr>
        <w:spacing w:before="120" w:line="240" w:lineRule="auto"/>
        <w:ind w:left="567" w:hanging="567"/>
        <w:rPr>
          <w:rFonts w:ascii="Calibri" w:eastAsiaTheme="minorHAnsi" w:hAnsi="Calibri"/>
          <w:sz w:val="24"/>
        </w:rPr>
      </w:pPr>
      <w:r w:rsidRPr="00675A06">
        <w:rPr>
          <w:rFonts w:ascii="Calibri" w:eastAsiaTheme="minorHAnsi" w:hAnsi="Calibri"/>
          <w:sz w:val="24"/>
        </w:rPr>
        <w:t>Due to the limited scope and technical nature of the pro</w:t>
      </w:r>
      <w:r w:rsidR="00181EC3" w:rsidRPr="00675A06">
        <w:rPr>
          <w:rFonts w:ascii="Calibri" w:eastAsiaTheme="minorHAnsi" w:hAnsi="Calibri"/>
          <w:sz w:val="24"/>
        </w:rPr>
        <w:t>p</w:t>
      </w:r>
      <w:r w:rsidRPr="00675A06">
        <w:rPr>
          <w:rFonts w:ascii="Calibri" w:eastAsiaTheme="minorHAnsi" w:hAnsi="Calibri"/>
          <w:sz w:val="24"/>
        </w:rPr>
        <w:t>osed changes, n</w:t>
      </w:r>
      <w:r w:rsidR="001F4031" w:rsidRPr="00675A06">
        <w:rPr>
          <w:rFonts w:ascii="Calibri" w:eastAsiaTheme="minorHAnsi" w:hAnsi="Calibri"/>
          <w:sz w:val="24"/>
        </w:rPr>
        <w:t>o direct questions were asked</w:t>
      </w:r>
      <w:r w:rsidR="00DC2E65">
        <w:rPr>
          <w:rFonts w:ascii="Calibri" w:eastAsiaTheme="minorHAnsi" w:hAnsi="Calibri"/>
          <w:sz w:val="24"/>
        </w:rPr>
        <w:t xml:space="preserve"> in the consultation document</w:t>
      </w:r>
      <w:r w:rsidR="00D3442C">
        <w:rPr>
          <w:rFonts w:ascii="Calibri" w:eastAsiaTheme="minorHAnsi" w:hAnsi="Calibri"/>
          <w:sz w:val="24"/>
        </w:rPr>
        <w:t>;</w:t>
      </w:r>
      <w:r w:rsidR="00D3442C" w:rsidRPr="00675A06">
        <w:rPr>
          <w:rFonts w:ascii="Calibri" w:eastAsiaTheme="minorHAnsi" w:hAnsi="Calibri"/>
          <w:sz w:val="24"/>
        </w:rPr>
        <w:t xml:space="preserve"> </w:t>
      </w:r>
      <w:r w:rsidR="009D146D" w:rsidRPr="00675A06">
        <w:rPr>
          <w:rFonts w:ascii="Calibri" w:eastAsiaTheme="minorHAnsi" w:hAnsi="Calibri"/>
          <w:sz w:val="24"/>
        </w:rPr>
        <w:t xml:space="preserve">interested parties were </w:t>
      </w:r>
      <w:r w:rsidRPr="00675A06">
        <w:rPr>
          <w:rFonts w:ascii="Calibri" w:eastAsiaTheme="minorHAnsi" w:hAnsi="Calibri"/>
          <w:sz w:val="24"/>
        </w:rPr>
        <w:t>invited to submit any</w:t>
      </w:r>
      <w:r w:rsidR="009D146D" w:rsidRPr="00675A06">
        <w:rPr>
          <w:rFonts w:ascii="Calibri" w:eastAsiaTheme="minorHAnsi" w:hAnsi="Calibri"/>
          <w:sz w:val="24"/>
        </w:rPr>
        <w:t xml:space="preserve"> feedback on the proposed amendments</w:t>
      </w:r>
      <w:r w:rsidR="00181EC3" w:rsidRPr="00675A06">
        <w:rPr>
          <w:rFonts w:ascii="Calibri" w:eastAsiaTheme="minorHAnsi" w:hAnsi="Calibri"/>
          <w:sz w:val="24"/>
        </w:rPr>
        <w:t xml:space="preserve">. </w:t>
      </w:r>
    </w:p>
    <w:p w14:paraId="5765B964" w14:textId="4C8DF569" w:rsidR="00181EC3" w:rsidRPr="00675A06" w:rsidRDefault="00181EC3" w:rsidP="00675A06">
      <w:pPr>
        <w:pStyle w:val="Numberedpara3level1"/>
        <w:numPr>
          <w:ilvl w:val="0"/>
          <w:numId w:val="25"/>
        </w:numPr>
        <w:spacing w:before="120" w:line="240" w:lineRule="auto"/>
        <w:ind w:left="567" w:hanging="567"/>
        <w:rPr>
          <w:rFonts w:ascii="Calibri" w:eastAsiaTheme="minorHAnsi" w:hAnsi="Calibri"/>
          <w:sz w:val="24"/>
        </w:rPr>
      </w:pPr>
      <w:r w:rsidRPr="00675A06">
        <w:rPr>
          <w:rFonts w:ascii="Calibri" w:eastAsiaTheme="minorHAnsi" w:hAnsi="Calibri"/>
          <w:sz w:val="24"/>
        </w:rPr>
        <w:t>This report</w:t>
      </w:r>
      <w:r w:rsidR="004B7389" w:rsidRPr="00675A06">
        <w:rPr>
          <w:rFonts w:ascii="Calibri" w:eastAsiaTheme="minorHAnsi" w:hAnsi="Calibri"/>
          <w:sz w:val="24"/>
        </w:rPr>
        <w:t xml:space="preserve"> identifies </w:t>
      </w:r>
      <w:r w:rsidR="00367681" w:rsidRPr="00675A06">
        <w:rPr>
          <w:rFonts w:ascii="Calibri" w:eastAsiaTheme="minorHAnsi" w:hAnsi="Calibri"/>
          <w:sz w:val="24"/>
        </w:rPr>
        <w:t>different</w:t>
      </w:r>
      <w:r w:rsidR="004B7389" w:rsidRPr="00675A06">
        <w:rPr>
          <w:rFonts w:ascii="Calibri" w:eastAsiaTheme="minorHAnsi" w:hAnsi="Calibri"/>
          <w:sz w:val="24"/>
        </w:rPr>
        <w:t xml:space="preserve"> issues </w:t>
      </w:r>
      <w:r w:rsidR="00367681" w:rsidRPr="00675A06">
        <w:rPr>
          <w:rFonts w:ascii="Calibri" w:eastAsiaTheme="minorHAnsi" w:hAnsi="Calibri"/>
          <w:sz w:val="24"/>
        </w:rPr>
        <w:t>raised in the submissions</w:t>
      </w:r>
      <w:r w:rsidR="003B0C8D" w:rsidRPr="00675A06">
        <w:rPr>
          <w:rFonts w:ascii="Calibri" w:eastAsiaTheme="minorHAnsi" w:hAnsi="Calibri"/>
          <w:sz w:val="24"/>
        </w:rPr>
        <w:t xml:space="preserve">. </w:t>
      </w:r>
      <w:r w:rsidR="009D146D" w:rsidRPr="00675A06">
        <w:rPr>
          <w:rFonts w:ascii="Calibri" w:eastAsiaTheme="minorHAnsi" w:hAnsi="Calibri"/>
          <w:sz w:val="24"/>
        </w:rPr>
        <w:t xml:space="preserve">In addition to feedback on </w:t>
      </w:r>
      <w:r w:rsidR="002C16D1">
        <w:rPr>
          <w:rFonts w:ascii="Calibri" w:eastAsiaTheme="minorHAnsi" w:hAnsi="Calibri"/>
          <w:sz w:val="24"/>
        </w:rPr>
        <w:t xml:space="preserve">the </w:t>
      </w:r>
      <w:r w:rsidR="009D146D" w:rsidRPr="00675A06">
        <w:rPr>
          <w:rFonts w:ascii="Calibri" w:eastAsiaTheme="minorHAnsi" w:hAnsi="Calibri"/>
          <w:sz w:val="24"/>
        </w:rPr>
        <w:t xml:space="preserve">specific </w:t>
      </w:r>
      <w:r w:rsidR="0018732F" w:rsidRPr="00675A06">
        <w:rPr>
          <w:rFonts w:ascii="Calibri" w:eastAsiaTheme="minorHAnsi" w:hAnsi="Calibri"/>
          <w:sz w:val="24"/>
        </w:rPr>
        <w:t xml:space="preserve">technical </w:t>
      </w:r>
      <w:r w:rsidR="009D146D" w:rsidRPr="00675A06">
        <w:rPr>
          <w:rFonts w:ascii="Calibri" w:eastAsiaTheme="minorHAnsi" w:hAnsi="Calibri"/>
          <w:sz w:val="24"/>
        </w:rPr>
        <w:t xml:space="preserve">changes </w:t>
      </w:r>
      <w:r w:rsidR="0018732F" w:rsidRPr="00675A06">
        <w:rPr>
          <w:rFonts w:ascii="Calibri" w:eastAsiaTheme="minorHAnsi" w:hAnsi="Calibri"/>
          <w:sz w:val="24"/>
        </w:rPr>
        <w:t xml:space="preserve">provided </w:t>
      </w:r>
      <w:r w:rsidR="003B0C8D" w:rsidRPr="00675A06">
        <w:rPr>
          <w:rFonts w:ascii="Calibri" w:eastAsiaTheme="minorHAnsi" w:hAnsi="Calibri"/>
          <w:sz w:val="24"/>
        </w:rPr>
        <w:t>s</w:t>
      </w:r>
      <w:r w:rsidR="009D146D" w:rsidRPr="00675A06">
        <w:rPr>
          <w:rFonts w:ascii="Calibri" w:eastAsiaTheme="minorHAnsi" w:hAnsi="Calibri"/>
          <w:sz w:val="24"/>
        </w:rPr>
        <w:t xml:space="preserve">everal other issues were raised by submitters. </w:t>
      </w:r>
      <w:r w:rsidR="00037F91">
        <w:rPr>
          <w:rFonts w:ascii="Calibri" w:eastAsiaTheme="minorHAnsi" w:hAnsi="Calibri"/>
          <w:sz w:val="24"/>
        </w:rPr>
        <w:t xml:space="preserve">While some of these issues are ‘out of scope’ for the narrow changes consulted on, </w:t>
      </w:r>
      <w:r w:rsidR="002C16D1">
        <w:rPr>
          <w:rFonts w:ascii="Calibri" w:eastAsiaTheme="minorHAnsi" w:hAnsi="Calibri"/>
          <w:sz w:val="24"/>
        </w:rPr>
        <w:t>this report still endeavours to note these issues and engage with the</w:t>
      </w:r>
      <w:r w:rsidR="00FD19F3">
        <w:rPr>
          <w:rFonts w:ascii="Calibri" w:eastAsiaTheme="minorHAnsi" w:hAnsi="Calibri"/>
          <w:sz w:val="24"/>
        </w:rPr>
        <w:t>se</w:t>
      </w:r>
      <w:r w:rsidR="002C16D1">
        <w:rPr>
          <w:rFonts w:ascii="Calibri" w:eastAsiaTheme="minorHAnsi" w:hAnsi="Calibri"/>
          <w:sz w:val="24"/>
        </w:rPr>
        <w:t xml:space="preserve"> </w:t>
      </w:r>
      <w:r w:rsidR="00FD19F3">
        <w:rPr>
          <w:rFonts w:ascii="Calibri" w:eastAsiaTheme="minorHAnsi" w:hAnsi="Calibri"/>
          <w:sz w:val="24"/>
        </w:rPr>
        <w:t xml:space="preserve">issues </w:t>
      </w:r>
      <w:r w:rsidR="002C16D1">
        <w:rPr>
          <w:rFonts w:ascii="Calibri" w:eastAsiaTheme="minorHAnsi" w:hAnsi="Calibri"/>
          <w:sz w:val="24"/>
        </w:rPr>
        <w:t xml:space="preserve">where appropriate.  </w:t>
      </w:r>
    </w:p>
    <w:p w14:paraId="7F933216" w14:textId="44F7C646" w:rsidR="00960E42" w:rsidRPr="00037F91" w:rsidRDefault="009D146D" w:rsidP="00960E42">
      <w:pPr>
        <w:pStyle w:val="Numberedpara3level1"/>
        <w:numPr>
          <w:ilvl w:val="0"/>
          <w:numId w:val="25"/>
        </w:numPr>
        <w:spacing w:before="120" w:line="240" w:lineRule="auto"/>
        <w:ind w:left="567" w:hanging="567"/>
        <w:rPr>
          <w:rFonts w:ascii="Calibri" w:eastAsiaTheme="minorHAnsi" w:hAnsi="Calibri"/>
          <w:sz w:val="24"/>
        </w:rPr>
      </w:pPr>
      <w:r w:rsidRPr="00675A06">
        <w:rPr>
          <w:rFonts w:ascii="Calibri" w:eastAsiaTheme="minorHAnsi" w:hAnsi="Calibri"/>
          <w:sz w:val="24"/>
        </w:rPr>
        <w:t xml:space="preserve">The Department </w:t>
      </w:r>
      <w:r w:rsidR="00181EC3" w:rsidRPr="00675A06">
        <w:rPr>
          <w:rFonts w:ascii="Calibri" w:eastAsiaTheme="minorHAnsi" w:hAnsi="Calibri"/>
          <w:sz w:val="24"/>
        </w:rPr>
        <w:t xml:space="preserve">consulted </w:t>
      </w:r>
      <w:r w:rsidR="001F4031" w:rsidRPr="00675A06">
        <w:rPr>
          <w:rFonts w:ascii="Calibri" w:eastAsiaTheme="minorHAnsi" w:hAnsi="Calibri"/>
          <w:sz w:val="24"/>
        </w:rPr>
        <w:t xml:space="preserve">with </w:t>
      </w:r>
      <w:proofErr w:type="spellStart"/>
      <w:r w:rsidR="001F4031" w:rsidRPr="00675A06">
        <w:rPr>
          <w:rFonts w:ascii="Calibri" w:eastAsiaTheme="minorHAnsi" w:hAnsi="Calibri"/>
          <w:sz w:val="24"/>
        </w:rPr>
        <w:t>Taumata</w:t>
      </w:r>
      <w:proofErr w:type="spellEnd"/>
      <w:r w:rsidR="001F4031" w:rsidRPr="00675A06">
        <w:rPr>
          <w:rFonts w:ascii="Calibri" w:eastAsiaTheme="minorHAnsi" w:hAnsi="Calibri"/>
          <w:sz w:val="24"/>
        </w:rPr>
        <w:t xml:space="preserve"> </w:t>
      </w:r>
      <w:proofErr w:type="spellStart"/>
      <w:r w:rsidR="001F4031" w:rsidRPr="00675A06">
        <w:rPr>
          <w:rFonts w:ascii="Calibri" w:eastAsiaTheme="minorHAnsi" w:hAnsi="Calibri"/>
          <w:sz w:val="24"/>
        </w:rPr>
        <w:t>Arowai</w:t>
      </w:r>
      <w:proofErr w:type="spellEnd"/>
      <w:r w:rsidR="001F4031" w:rsidRPr="00675A06">
        <w:rPr>
          <w:rFonts w:ascii="Calibri" w:eastAsiaTheme="minorHAnsi" w:hAnsi="Calibri"/>
          <w:sz w:val="24"/>
        </w:rPr>
        <w:t xml:space="preserve"> and </w:t>
      </w:r>
      <w:r w:rsidR="005946EF">
        <w:rPr>
          <w:rFonts w:ascii="Calibri" w:eastAsiaTheme="minorHAnsi" w:hAnsi="Calibri"/>
          <w:sz w:val="24"/>
        </w:rPr>
        <w:t xml:space="preserve">the </w:t>
      </w:r>
      <w:r w:rsidR="00367681" w:rsidRPr="00675A06">
        <w:rPr>
          <w:rFonts w:ascii="Calibri" w:eastAsiaTheme="minorHAnsi" w:hAnsi="Calibri"/>
          <w:sz w:val="24"/>
        </w:rPr>
        <w:t>OAG</w:t>
      </w:r>
      <w:r w:rsidR="00B33719" w:rsidRPr="00675A06">
        <w:rPr>
          <w:rFonts w:ascii="Calibri" w:eastAsiaTheme="minorHAnsi" w:hAnsi="Calibri"/>
          <w:sz w:val="24"/>
        </w:rPr>
        <w:t xml:space="preserve"> in addressing</w:t>
      </w:r>
      <w:r w:rsidR="00367681" w:rsidRPr="00675A06">
        <w:rPr>
          <w:rFonts w:ascii="Calibri" w:eastAsiaTheme="minorHAnsi" w:hAnsi="Calibri"/>
          <w:sz w:val="24"/>
        </w:rPr>
        <w:t xml:space="preserve"> </w:t>
      </w:r>
      <w:r w:rsidR="002C16D1" w:rsidRPr="002C16D1">
        <w:rPr>
          <w:rFonts w:ascii="Calibri" w:eastAsiaTheme="minorHAnsi" w:hAnsi="Calibri"/>
          <w:sz w:val="24"/>
        </w:rPr>
        <w:t>technical issues</w:t>
      </w:r>
      <w:r w:rsidR="00B33719" w:rsidRPr="00675A06">
        <w:rPr>
          <w:rFonts w:ascii="Calibri" w:eastAsiaTheme="minorHAnsi" w:hAnsi="Calibri"/>
          <w:sz w:val="24"/>
        </w:rPr>
        <w:t xml:space="preserve"> raised in the submissions.</w:t>
      </w:r>
    </w:p>
    <w:p w14:paraId="7DDB83E5" w14:textId="722D36DD" w:rsidR="00960E42" w:rsidRDefault="00960E42" w:rsidP="00960E42">
      <w:pPr>
        <w:pStyle w:val="Heading2"/>
      </w:pPr>
      <w:r>
        <w:t xml:space="preserve">Overall number of submitters </w:t>
      </w:r>
    </w:p>
    <w:p w14:paraId="22A21732" w14:textId="6DC2A2E4" w:rsidR="00960E42" w:rsidRDefault="00E81ED7" w:rsidP="00675A06">
      <w:pPr>
        <w:pStyle w:val="Numberedpara3level1"/>
        <w:numPr>
          <w:ilvl w:val="0"/>
          <w:numId w:val="25"/>
        </w:numPr>
        <w:spacing w:before="120" w:line="240" w:lineRule="auto"/>
        <w:ind w:left="567" w:hanging="567"/>
      </w:pPr>
      <w:bookmarkStart w:id="3" w:name="_Hlk170121606"/>
      <w:r>
        <w:rPr>
          <w:rFonts w:ascii="Calibri" w:eastAsiaTheme="minorHAnsi" w:hAnsi="Calibri"/>
          <w:sz w:val="24"/>
        </w:rPr>
        <w:t>Twenty-</w:t>
      </w:r>
      <w:r w:rsidR="00B206F0">
        <w:rPr>
          <w:rFonts w:ascii="Calibri" w:eastAsiaTheme="minorHAnsi" w:hAnsi="Calibri"/>
          <w:sz w:val="24"/>
        </w:rPr>
        <w:t>two</w:t>
      </w:r>
      <w:r w:rsidR="00960E42" w:rsidRPr="00675A06">
        <w:rPr>
          <w:rFonts w:ascii="Calibri" w:eastAsiaTheme="minorHAnsi" w:hAnsi="Calibri"/>
          <w:sz w:val="24"/>
        </w:rPr>
        <w:t xml:space="preserve"> submitters provided feedback on the </w:t>
      </w:r>
      <w:r w:rsidR="00DA1E18" w:rsidRPr="00675A06">
        <w:rPr>
          <w:rFonts w:ascii="Calibri" w:eastAsiaTheme="minorHAnsi" w:hAnsi="Calibri"/>
          <w:sz w:val="24"/>
        </w:rPr>
        <w:t xml:space="preserve">proposed </w:t>
      </w:r>
      <w:r w:rsidR="00960E42" w:rsidRPr="00675A06">
        <w:rPr>
          <w:rFonts w:ascii="Calibri" w:eastAsiaTheme="minorHAnsi" w:hAnsi="Calibri"/>
          <w:sz w:val="24"/>
        </w:rPr>
        <w:t xml:space="preserve">changes. </w:t>
      </w:r>
      <w:bookmarkEnd w:id="3"/>
      <w:r w:rsidR="00960E42" w:rsidRPr="00675A06">
        <w:rPr>
          <w:rFonts w:ascii="Calibri" w:eastAsiaTheme="minorHAnsi" w:hAnsi="Calibri"/>
          <w:sz w:val="24"/>
        </w:rPr>
        <w:t>These were:</w:t>
      </w:r>
      <w:r w:rsidR="00960E42">
        <w:t xml:space="preserve"> </w:t>
      </w:r>
      <w:r w:rsidR="001F4031">
        <w:br/>
      </w:r>
    </w:p>
    <w:tbl>
      <w:tblPr>
        <w:tblStyle w:val="DIATable"/>
        <w:tblW w:w="0" w:type="auto"/>
        <w:tblLook w:val="04A0" w:firstRow="1" w:lastRow="0" w:firstColumn="1" w:lastColumn="0" w:noHBand="0" w:noVBand="1"/>
      </w:tblPr>
      <w:tblGrid>
        <w:gridCol w:w="3060"/>
        <w:gridCol w:w="3058"/>
        <w:gridCol w:w="3061"/>
      </w:tblGrid>
      <w:tr w:rsidR="00960E42" w14:paraId="5EDE0378" w14:textId="77777777" w:rsidTr="00B206F0">
        <w:trPr>
          <w:cnfStyle w:val="100000000000" w:firstRow="1" w:lastRow="0" w:firstColumn="0" w:lastColumn="0" w:oddVBand="0" w:evenVBand="0" w:oddHBand="0" w:evenHBand="0" w:firstRowFirstColumn="0" w:firstRowLastColumn="0" w:lastRowFirstColumn="0" w:lastRowLastColumn="0"/>
        </w:trPr>
        <w:tc>
          <w:tcPr>
            <w:tcW w:w="3060" w:type="dxa"/>
          </w:tcPr>
          <w:p w14:paraId="6F9214A1" w14:textId="77777777" w:rsidR="00960E42" w:rsidRDefault="00960E42" w:rsidP="00960E42"/>
        </w:tc>
        <w:tc>
          <w:tcPr>
            <w:tcW w:w="3058" w:type="dxa"/>
          </w:tcPr>
          <w:p w14:paraId="522E6849" w14:textId="77777777" w:rsidR="00960E42" w:rsidRDefault="00960E42" w:rsidP="00960E42"/>
        </w:tc>
        <w:tc>
          <w:tcPr>
            <w:tcW w:w="3061" w:type="dxa"/>
          </w:tcPr>
          <w:p w14:paraId="5963A5D7" w14:textId="77777777" w:rsidR="00960E42" w:rsidRDefault="00960E42" w:rsidP="00960E42"/>
        </w:tc>
      </w:tr>
      <w:tr w:rsidR="00960E42" w14:paraId="1C69F7DB" w14:textId="77777777" w:rsidTr="00B206F0">
        <w:tc>
          <w:tcPr>
            <w:tcW w:w="3060" w:type="dxa"/>
          </w:tcPr>
          <w:p w14:paraId="0637EEAF" w14:textId="1C48E24B" w:rsidR="00960E42" w:rsidRPr="00675A06" w:rsidRDefault="00960E42" w:rsidP="00960E42">
            <w:pPr>
              <w:rPr>
                <w:rFonts w:ascii="Calibri" w:eastAsiaTheme="minorHAnsi" w:hAnsi="Calibri" w:cs="Times New Roman"/>
                <w:sz w:val="24"/>
              </w:rPr>
            </w:pPr>
            <w:r w:rsidRPr="00675A06">
              <w:rPr>
                <w:rFonts w:ascii="Calibri" w:eastAsiaTheme="minorHAnsi" w:hAnsi="Calibri" w:cs="Times New Roman"/>
                <w:sz w:val="24"/>
              </w:rPr>
              <w:t xml:space="preserve">Carterton District Council </w:t>
            </w:r>
          </w:p>
        </w:tc>
        <w:tc>
          <w:tcPr>
            <w:tcW w:w="3058" w:type="dxa"/>
          </w:tcPr>
          <w:p w14:paraId="2ACC6C1E" w14:textId="637291BA" w:rsidR="00960E42" w:rsidRPr="00675A06" w:rsidRDefault="00960E42" w:rsidP="00960E42">
            <w:pPr>
              <w:rPr>
                <w:rFonts w:ascii="Calibri" w:eastAsiaTheme="minorHAnsi" w:hAnsi="Calibri" w:cs="Times New Roman"/>
                <w:sz w:val="24"/>
              </w:rPr>
            </w:pPr>
            <w:r w:rsidRPr="00675A06">
              <w:rPr>
                <w:rFonts w:ascii="Calibri" w:eastAsiaTheme="minorHAnsi" w:hAnsi="Calibri" w:cs="Times New Roman"/>
                <w:sz w:val="24"/>
              </w:rPr>
              <w:t xml:space="preserve">Tasman District Council </w:t>
            </w:r>
          </w:p>
        </w:tc>
        <w:tc>
          <w:tcPr>
            <w:tcW w:w="3061" w:type="dxa"/>
          </w:tcPr>
          <w:p w14:paraId="7F5C8BBE" w14:textId="364A07D6" w:rsidR="00960E42" w:rsidRPr="00675A06" w:rsidRDefault="001100AD" w:rsidP="00960E42">
            <w:pPr>
              <w:rPr>
                <w:rFonts w:ascii="Calibri" w:eastAsiaTheme="minorHAnsi" w:hAnsi="Calibri" w:cs="Times New Roman"/>
                <w:sz w:val="24"/>
              </w:rPr>
            </w:pPr>
            <w:r w:rsidRPr="00675A06">
              <w:rPr>
                <w:rFonts w:ascii="Calibri" w:eastAsiaTheme="minorHAnsi" w:hAnsi="Calibri" w:cs="Times New Roman"/>
                <w:sz w:val="24"/>
              </w:rPr>
              <w:t xml:space="preserve">Waikato District Council </w:t>
            </w:r>
          </w:p>
        </w:tc>
      </w:tr>
      <w:tr w:rsidR="00960E42" w14:paraId="6F6BB79B" w14:textId="77777777" w:rsidTr="00B206F0">
        <w:tc>
          <w:tcPr>
            <w:tcW w:w="3060" w:type="dxa"/>
          </w:tcPr>
          <w:p w14:paraId="28563B8A" w14:textId="58F21AC2" w:rsidR="00960E42" w:rsidRPr="00675A06" w:rsidRDefault="001100AD" w:rsidP="00960E42">
            <w:pPr>
              <w:rPr>
                <w:rFonts w:ascii="Calibri" w:eastAsiaTheme="minorHAnsi" w:hAnsi="Calibri" w:cs="Times New Roman"/>
                <w:sz w:val="24"/>
              </w:rPr>
            </w:pPr>
            <w:r w:rsidRPr="00675A06">
              <w:rPr>
                <w:rFonts w:ascii="Calibri" w:eastAsiaTheme="minorHAnsi" w:hAnsi="Calibri" w:cs="Times New Roman"/>
                <w:sz w:val="24"/>
              </w:rPr>
              <w:t xml:space="preserve">Invercargill City Council </w:t>
            </w:r>
          </w:p>
        </w:tc>
        <w:tc>
          <w:tcPr>
            <w:tcW w:w="3058" w:type="dxa"/>
          </w:tcPr>
          <w:p w14:paraId="0F36F2B4" w14:textId="7C96BDD6" w:rsidR="00960E42" w:rsidRPr="00675A06" w:rsidRDefault="001100AD" w:rsidP="00960E42">
            <w:pPr>
              <w:rPr>
                <w:rFonts w:ascii="Calibri" w:eastAsiaTheme="minorHAnsi" w:hAnsi="Calibri" w:cs="Times New Roman"/>
                <w:sz w:val="24"/>
              </w:rPr>
            </w:pPr>
            <w:r w:rsidRPr="00675A06">
              <w:rPr>
                <w:rFonts w:ascii="Calibri" w:eastAsiaTheme="minorHAnsi" w:hAnsi="Calibri" w:cs="Times New Roman"/>
                <w:sz w:val="24"/>
              </w:rPr>
              <w:t>Watercare</w:t>
            </w:r>
          </w:p>
        </w:tc>
        <w:tc>
          <w:tcPr>
            <w:tcW w:w="3061" w:type="dxa"/>
          </w:tcPr>
          <w:p w14:paraId="4A09A780" w14:textId="51E60C9C" w:rsidR="00960E42" w:rsidRPr="00675A06" w:rsidRDefault="001100AD" w:rsidP="00960E42">
            <w:pPr>
              <w:rPr>
                <w:rFonts w:ascii="Calibri" w:eastAsiaTheme="minorHAnsi" w:hAnsi="Calibri" w:cs="Times New Roman"/>
                <w:sz w:val="24"/>
              </w:rPr>
            </w:pPr>
            <w:r w:rsidRPr="00675A06">
              <w:rPr>
                <w:rFonts w:ascii="Calibri" w:eastAsiaTheme="minorHAnsi" w:hAnsi="Calibri" w:cs="Times New Roman"/>
                <w:sz w:val="24"/>
              </w:rPr>
              <w:t xml:space="preserve">Hamilton City Council </w:t>
            </w:r>
          </w:p>
        </w:tc>
      </w:tr>
      <w:tr w:rsidR="00960E42" w14:paraId="12E017A7" w14:textId="77777777" w:rsidTr="00B206F0">
        <w:tc>
          <w:tcPr>
            <w:tcW w:w="3060" w:type="dxa"/>
          </w:tcPr>
          <w:p w14:paraId="126FBAE9" w14:textId="71CE4453" w:rsidR="00960E42" w:rsidRPr="00675A06" w:rsidRDefault="001100AD" w:rsidP="00960E42">
            <w:pPr>
              <w:rPr>
                <w:rFonts w:ascii="Calibri" w:eastAsiaTheme="minorHAnsi" w:hAnsi="Calibri" w:cs="Times New Roman"/>
                <w:sz w:val="24"/>
              </w:rPr>
            </w:pPr>
            <w:r w:rsidRPr="00675A06">
              <w:rPr>
                <w:rFonts w:ascii="Calibri" w:eastAsiaTheme="minorHAnsi" w:hAnsi="Calibri" w:cs="Times New Roman"/>
                <w:sz w:val="24"/>
              </w:rPr>
              <w:t xml:space="preserve">Wellington Water </w:t>
            </w:r>
          </w:p>
        </w:tc>
        <w:tc>
          <w:tcPr>
            <w:tcW w:w="3058" w:type="dxa"/>
          </w:tcPr>
          <w:p w14:paraId="63622B06" w14:textId="1E613775" w:rsidR="00960E42" w:rsidRPr="00675A06" w:rsidRDefault="001100AD" w:rsidP="00960E42">
            <w:pPr>
              <w:rPr>
                <w:rFonts w:ascii="Calibri" w:eastAsiaTheme="minorHAnsi" w:hAnsi="Calibri" w:cs="Times New Roman"/>
                <w:sz w:val="24"/>
              </w:rPr>
            </w:pPr>
            <w:r w:rsidRPr="00675A06">
              <w:rPr>
                <w:rFonts w:ascii="Calibri" w:eastAsiaTheme="minorHAnsi" w:hAnsi="Calibri" w:cs="Times New Roman"/>
                <w:sz w:val="24"/>
              </w:rPr>
              <w:t>Dunedin City Council</w:t>
            </w:r>
          </w:p>
        </w:tc>
        <w:tc>
          <w:tcPr>
            <w:tcW w:w="3061" w:type="dxa"/>
          </w:tcPr>
          <w:p w14:paraId="48196FBA" w14:textId="76C71307" w:rsidR="00960E42" w:rsidRPr="00675A06" w:rsidRDefault="001100AD" w:rsidP="00960E42">
            <w:pPr>
              <w:rPr>
                <w:rFonts w:ascii="Calibri" w:eastAsiaTheme="minorHAnsi" w:hAnsi="Calibri" w:cs="Times New Roman"/>
                <w:sz w:val="24"/>
              </w:rPr>
            </w:pPr>
            <w:r w:rsidRPr="00675A06">
              <w:rPr>
                <w:rFonts w:ascii="Calibri" w:eastAsiaTheme="minorHAnsi" w:hAnsi="Calibri" w:cs="Times New Roman"/>
                <w:sz w:val="24"/>
              </w:rPr>
              <w:t xml:space="preserve">Ashburton District Council </w:t>
            </w:r>
          </w:p>
        </w:tc>
      </w:tr>
      <w:tr w:rsidR="00960E42" w14:paraId="2A1AE0EC" w14:textId="77777777" w:rsidTr="00B206F0">
        <w:tc>
          <w:tcPr>
            <w:tcW w:w="3060" w:type="dxa"/>
          </w:tcPr>
          <w:p w14:paraId="39F8166B" w14:textId="55DDBF40" w:rsidR="00960E42" w:rsidRPr="00675A06" w:rsidRDefault="00D051E0" w:rsidP="00960E42">
            <w:pPr>
              <w:rPr>
                <w:rFonts w:ascii="Calibri" w:eastAsiaTheme="minorHAnsi" w:hAnsi="Calibri" w:cs="Times New Roman"/>
                <w:sz w:val="24"/>
              </w:rPr>
            </w:pPr>
            <w:r w:rsidRPr="00675A06">
              <w:rPr>
                <w:rFonts w:ascii="Calibri" w:eastAsiaTheme="minorHAnsi" w:hAnsi="Calibri" w:cs="Times New Roman"/>
                <w:sz w:val="24"/>
              </w:rPr>
              <w:t>Westland District Council</w:t>
            </w:r>
          </w:p>
        </w:tc>
        <w:tc>
          <w:tcPr>
            <w:tcW w:w="3058" w:type="dxa"/>
          </w:tcPr>
          <w:p w14:paraId="7D80DBE9" w14:textId="396726B2" w:rsidR="00960E42" w:rsidRPr="00675A06" w:rsidRDefault="00D051E0" w:rsidP="00960E42">
            <w:pPr>
              <w:rPr>
                <w:rFonts w:ascii="Calibri" w:eastAsiaTheme="minorHAnsi" w:hAnsi="Calibri" w:cs="Times New Roman"/>
                <w:sz w:val="24"/>
              </w:rPr>
            </w:pPr>
            <w:proofErr w:type="spellStart"/>
            <w:r w:rsidRPr="00675A06">
              <w:rPr>
                <w:rFonts w:ascii="Calibri" w:eastAsiaTheme="minorHAnsi" w:hAnsi="Calibri" w:cs="Times New Roman"/>
                <w:sz w:val="24"/>
              </w:rPr>
              <w:t>WaiComply</w:t>
            </w:r>
            <w:proofErr w:type="spellEnd"/>
            <w:r w:rsidRPr="00675A06">
              <w:rPr>
                <w:rFonts w:ascii="Calibri" w:eastAsiaTheme="minorHAnsi" w:hAnsi="Calibri" w:cs="Times New Roman"/>
                <w:sz w:val="24"/>
              </w:rPr>
              <w:t xml:space="preserve"> </w:t>
            </w:r>
          </w:p>
        </w:tc>
        <w:tc>
          <w:tcPr>
            <w:tcW w:w="3061" w:type="dxa"/>
          </w:tcPr>
          <w:p w14:paraId="53818011" w14:textId="24C6C2D8" w:rsidR="00960E42" w:rsidRPr="00675A06" w:rsidRDefault="00D051E0" w:rsidP="00960E42">
            <w:pPr>
              <w:rPr>
                <w:rFonts w:ascii="Calibri" w:eastAsiaTheme="minorHAnsi" w:hAnsi="Calibri" w:cs="Times New Roman"/>
                <w:sz w:val="24"/>
              </w:rPr>
            </w:pPr>
            <w:r w:rsidRPr="00675A06">
              <w:rPr>
                <w:rFonts w:ascii="Calibri" w:eastAsiaTheme="minorHAnsi" w:hAnsi="Calibri" w:cs="Times New Roman"/>
                <w:sz w:val="24"/>
              </w:rPr>
              <w:t xml:space="preserve">Thames-Coromandel District Council </w:t>
            </w:r>
          </w:p>
        </w:tc>
      </w:tr>
      <w:tr w:rsidR="00960E42" w14:paraId="329C7EDF" w14:textId="77777777" w:rsidTr="00B206F0">
        <w:tc>
          <w:tcPr>
            <w:tcW w:w="3060" w:type="dxa"/>
          </w:tcPr>
          <w:p w14:paraId="643381EB" w14:textId="68EBD77A" w:rsidR="00960E42" w:rsidRPr="00675A06" w:rsidRDefault="00D051E0" w:rsidP="00960E42">
            <w:pPr>
              <w:rPr>
                <w:rFonts w:ascii="Calibri" w:eastAsiaTheme="minorHAnsi" w:hAnsi="Calibri" w:cs="Times New Roman"/>
                <w:sz w:val="24"/>
              </w:rPr>
            </w:pPr>
            <w:r w:rsidRPr="00675A06">
              <w:rPr>
                <w:rFonts w:ascii="Calibri" w:eastAsiaTheme="minorHAnsi" w:hAnsi="Calibri" w:cs="Times New Roman"/>
                <w:sz w:val="24"/>
              </w:rPr>
              <w:lastRenderedPageBreak/>
              <w:t>Marlborough District Council</w:t>
            </w:r>
          </w:p>
        </w:tc>
        <w:tc>
          <w:tcPr>
            <w:tcW w:w="3058" w:type="dxa"/>
          </w:tcPr>
          <w:p w14:paraId="270BF974" w14:textId="7DA5706F" w:rsidR="00960E42" w:rsidRPr="00675A06" w:rsidRDefault="00D051E0" w:rsidP="00960E42">
            <w:pPr>
              <w:rPr>
                <w:rFonts w:ascii="Calibri" w:eastAsiaTheme="minorHAnsi" w:hAnsi="Calibri" w:cs="Times New Roman"/>
                <w:sz w:val="24"/>
              </w:rPr>
            </w:pPr>
            <w:r w:rsidRPr="00675A06">
              <w:rPr>
                <w:rFonts w:ascii="Calibri" w:eastAsiaTheme="minorHAnsi" w:hAnsi="Calibri" w:cs="Times New Roman"/>
                <w:sz w:val="24"/>
              </w:rPr>
              <w:t>Hauraki District Council</w:t>
            </w:r>
          </w:p>
        </w:tc>
        <w:tc>
          <w:tcPr>
            <w:tcW w:w="3061" w:type="dxa"/>
          </w:tcPr>
          <w:p w14:paraId="116D8BE5" w14:textId="7ADFEA15" w:rsidR="00960E42" w:rsidRPr="00675A06" w:rsidRDefault="00D051E0" w:rsidP="00960E42">
            <w:pPr>
              <w:rPr>
                <w:rFonts w:ascii="Calibri" w:eastAsiaTheme="minorHAnsi" w:hAnsi="Calibri" w:cs="Times New Roman"/>
                <w:sz w:val="24"/>
              </w:rPr>
            </w:pPr>
            <w:r w:rsidRPr="00675A06">
              <w:rPr>
                <w:rFonts w:ascii="Calibri" w:eastAsiaTheme="minorHAnsi" w:hAnsi="Calibri" w:cs="Times New Roman"/>
                <w:sz w:val="24"/>
              </w:rPr>
              <w:t>Queenstown Lakes District Council</w:t>
            </w:r>
          </w:p>
        </w:tc>
      </w:tr>
      <w:tr w:rsidR="00960E42" w14:paraId="15BFC2B1" w14:textId="77777777" w:rsidTr="00B206F0">
        <w:tc>
          <w:tcPr>
            <w:tcW w:w="3060" w:type="dxa"/>
          </w:tcPr>
          <w:p w14:paraId="38BC1112" w14:textId="6E461515" w:rsidR="00960E42" w:rsidRPr="00675A06" w:rsidRDefault="00183101" w:rsidP="00960E42">
            <w:pPr>
              <w:rPr>
                <w:rFonts w:ascii="Calibri" w:eastAsiaTheme="minorHAnsi" w:hAnsi="Calibri" w:cs="Times New Roman"/>
                <w:sz w:val="24"/>
              </w:rPr>
            </w:pPr>
            <w:proofErr w:type="spellStart"/>
            <w:r w:rsidRPr="00675A06">
              <w:rPr>
                <w:rFonts w:ascii="Calibri" w:eastAsiaTheme="minorHAnsi" w:hAnsi="Calibri" w:cs="Times New Roman"/>
                <w:sz w:val="24"/>
              </w:rPr>
              <w:t>Taituarā</w:t>
            </w:r>
            <w:proofErr w:type="spellEnd"/>
          </w:p>
        </w:tc>
        <w:tc>
          <w:tcPr>
            <w:tcW w:w="3058" w:type="dxa"/>
          </w:tcPr>
          <w:p w14:paraId="21E7B423" w14:textId="441255F1" w:rsidR="00960E42" w:rsidRPr="00675A06" w:rsidRDefault="00183101" w:rsidP="00960E42">
            <w:pPr>
              <w:rPr>
                <w:rFonts w:ascii="Calibri" w:eastAsiaTheme="minorHAnsi" w:hAnsi="Calibri" w:cs="Times New Roman"/>
                <w:sz w:val="24"/>
              </w:rPr>
            </w:pPr>
            <w:r w:rsidRPr="00675A06">
              <w:rPr>
                <w:rFonts w:ascii="Calibri" w:eastAsiaTheme="minorHAnsi" w:hAnsi="Calibri" w:cs="Times New Roman"/>
                <w:sz w:val="24"/>
              </w:rPr>
              <w:t xml:space="preserve">Upper Hutt City Council </w:t>
            </w:r>
          </w:p>
        </w:tc>
        <w:tc>
          <w:tcPr>
            <w:tcW w:w="3061" w:type="dxa"/>
          </w:tcPr>
          <w:p w14:paraId="50F658F6" w14:textId="37F97CC9" w:rsidR="00960E42" w:rsidRPr="00675A06" w:rsidRDefault="00183101" w:rsidP="00960E42">
            <w:pPr>
              <w:rPr>
                <w:rFonts w:ascii="Calibri" w:eastAsiaTheme="minorHAnsi" w:hAnsi="Calibri" w:cs="Times New Roman"/>
                <w:sz w:val="24"/>
              </w:rPr>
            </w:pPr>
            <w:r w:rsidRPr="00675A06">
              <w:rPr>
                <w:rFonts w:ascii="Calibri" w:eastAsiaTheme="minorHAnsi" w:hAnsi="Calibri" w:cs="Times New Roman"/>
                <w:sz w:val="24"/>
              </w:rPr>
              <w:t>Horowhenua District Council</w:t>
            </w:r>
          </w:p>
        </w:tc>
      </w:tr>
      <w:tr w:rsidR="00183101" w14:paraId="56484BBC" w14:textId="77777777" w:rsidTr="00B206F0">
        <w:tc>
          <w:tcPr>
            <w:tcW w:w="3060" w:type="dxa"/>
          </w:tcPr>
          <w:p w14:paraId="719257FC" w14:textId="65DF2710" w:rsidR="00183101" w:rsidRPr="00675A06" w:rsidRDefault="00183101" w:rsidP="00960E42">
            <w:pPr>
              <w:rPr>
                <w:rFonts w:ascii="Calibri" w:eastAsiaTheme="minorHAnsi" w:hAnsi="Calibri" w:cs="Times New Roman"/>
                <w:sz w:val="24"/>
              </w:rPr>
            </w:pPr>
            <w:r w:rsidRPr="00675A06">
              <w:rPr>
                <w:rFonts w:ascii="Calibri" w:eastAsiaTheme="minorHAnsi" w:hAnsi="Calibri" w:cs="Times New Roman"/>
                <w:sz w:val="24"/>
              </w:rPr>
              <w:t>Napier City Council</w:t>
            </w:r>
          </w:p>
        </w:tc>
        <w:tc>
          <w:tcPr>
            <w:tcW w:w="3058" w:type="dxa"/>
          </w:tcPr>
          <w:p w14:paraId="16464CC5" w14:textId="6DF64EDC" w:rsidR="00183101" w:rsidRPr="00675A06" w:rsidRDefault="00183101" w:rsidP="00960E42">
            <w:pPr>
              <w:rPr>
                <w:rFonts w:ascii="Calibri" w:eastAsiaTheme="minorHAnsi" w:hAnsi="Calibri" w:cs="Times New Roman"/>
                <w:sz w:val="24"/>
              </w:rPr>
            </w:pPr>
            <w:r w:rsidRPr="00675A06">
              <w:rPr>
                <w:rFonts w:ascii="Calibri" w:eastAsiaTheme="minorHAnsi" w:hAnsi="Calibri" w:cs="Times New Roman"/>
                <w:sz w:val="24"/>
              </w:rPr>
              <w:t xml:space="preserve">Hastings District Council </w:t>
            </w:r>
          </w:p>
        </w:tc>
        <w:tc>
          <w:tcPr>
            <w:tcW w:w="3061" w:type="dxa"/>
          </w:tcPr>
          <w:p w14:paraId="21FBDC8A" w14:textId="6A4EE212" w:rsidR="00183101" w:rsidRPr="00675A06" w:rsidRDefault="00F16A6D" w:rsidP="00960E42">
            <w:pPr>
              <w:rPr>
                <w:rFonts w:ascii="Calibri" w:eastAsiaTheme="minorHAnsi" w:hAnsi="Calibri" w:cs="Times New Roman"/>
                <w:sz w:val="24"/>
              </w:rPr>
            </w:pPr>
            <w:r w:rsidRPr="00675A06">
              <w:rPr>
                <w:rFonts w:ascii="Calibri" w:eastAsiaTheme="minorHAnsi" w:hAnsi="Calibri" w:cs="Times New Roman"/>
                <w:sz w:val="24"/>
              </w:rPr>
              <w:t>Water New Zealand</w:t>
            </w:r>
          </w:p>
        </w:tc>
      </w:tr>
      <w:tr w:rsidR="00B206F0" w14:paraId="3584BB2B" w14:textId="77777777" w:rsidTr="00B206F0">
        <w:trPr>
          <w:gridAfter w:val="2"/>
          <w:wAfter w:w="6119" w:type="dxa"/>
        </w:trPr>
        <w:tc>
          <w:tcPr>
            <w:tcW w:w="3060" w:type="dxa"/>
          </w:tcPr>
          <w:p w14:paraId="4B75718B" w14:textId="597B400C" w:rsidR="00B206F0" w:rsidRPr="00675A06" w:rsidRDefault="00B206F0" w:rsidP="00960E42">
            <w:pPr>
              <w:rPr>
                <w:rFonts w:ascii="Calibri" w:eastAsiaTheme="minorHAnsi" w:hAnsi="Calibri"/>
                <w:sz w:val="24"/>
              </w:rPr>
            </w:pPr>
            <w:r>
              <w:rPr>
                <w:rFonts w:ascii="Calibri" w:eastAsiaTheme="minorHAnsi" w:hAnsi="Calibri"/>
                <w:sz w:val="24"/>
              </w:rPr>
              <w:t>Matamata-</w:t>
            </w:r>
            <w:proofErr w:type="spellStart"/>
            <w:r>
              <w:rPr>
                <w:rFonts w:ascii="Calibri" w:eastAsiaTheme="minorHAnsi" w:hAnsi="Calibri"/>
                <w:sz w:val="24"/>
              </w:rPr>
              <w:t>Piako</w:t>
            </w:r>
            <w:proofErr w:type="spellEnd"/>
            <w:r>
              <w:rPr>
                <w:rFonts w:ascii="Calibri" w:eastAsiaTheme="minorHAnsi" w:hAnsi="Calibri"/>
                <w:sz w:val="24"/>
              </w:rPr>
              <w:t xml:space="preserve"> District Council </w:t>
            </w:r>
          </w:p>
        </w:tc>
      </w:tr>
    </w:tbl>
    <w:p w14:paraId="7F16936B" w14:textId="4D769AEF" w:rsidR="001F4031" w:rsidRDefault="001F4031" w:rsidP="00960E42"/>
    <w:p w14:paraId="5A22976B" w14:textId="4AA54259" w:rsidR="001F4031" w:rsidRDefault="001F4031" w:rsidP="00960E42">
      <w:pPr>
        <w:rPr>
          <w:rFonts w:asciiTheme="minorHAnsi" w:hAnsiTheme="minorHAnsi" w:cstheme="minorHAnsi"/>
          <w:szCs w:val="22"/>
        </w:rPr>
      </w:pPr>
    </w:p>
    <w:p w14:paraId="3145E2C3" w14:textId="52ECDA3E" w:rsidR="00F025BE" w:rsidRPr="00DF7321" w:rsidRDefault="009D146D" w:rsidP="00675A06">
      <w:pPr>
        <w:pStyle w:val="Heading1"/>
        <w:rPr>
          <w:rStyle w:val="Heading4Char"/>
          <w:b/>
          <w:bCs/>
          <w:i w:val="0"/>
          <w:szCs w:val="32"/>
        </w:rPr>
      </w:pPr>
      <w:r w:rsidRPr="00DF7321">
        <w:rPr>
          <w:rStyle w:val="Heading2Char"/>
          <w:b/>
          <w:bCs/>
          <w:iCs w:val="0"/>
          <w:color w:val="1F546B" w:themeColor="text2"/>
          <w:sz w:val="52"/>
          <w:szCs w:val="32"/>
        </w:rPr>
        <w:t>Key issues</w:t>
      </w:r>
      <w:r w:rsidR="00B76954" w:rsidRPr="00DF7321">
        <w:rPr>
          <w:rStyle w:val="Heading2Char"/>
          <w:b/>
          <w:bCs/>
          <w:iCs w:val="0"/>
          <w:color w:val="1F546B" w:themeColor="text2"/>
          <w:sz w:val="52"/>
          <w:szCs w:val="32"/>
        </w:rPr>
        <w:t xml:space="preserve"> raised from submissions</w:t>
      </w:r>
    </w:p>
    <w:p w14:paraId="7D070564" w14:textId="20B4B547" w:rsidR="009D146D" w:rsidRPr="00DF7321" w:rsidRDefault="009D146D" w:rsidP="00675A06">
      <w:pPr>
        <w:pStyle w:val="Heading2"/>
        <w:rPr>
          <w:rStyle w:val="Heading4Char"/>
          <w:b/>
          <w:bCs/>
          <w:i w:val="0"/>
          <w:color w:val="1F546B"/>
        </w:rPr>
      </w:pPr>
      <w:bookmarkStart w:id="4" w:name="_Hlk170122479"/>
      <w:r w:rsidRPr="00DF7321">
        <w:rPr>
          <w:rStyle w:val="Heading4Char"/>
          <w:b/>
          <w:bCs/>
          <w:i w:val="0"/>
          <w:color w:val="1F546B"/>
        </w:rPr>
        <w:t xml:space="preserve">The measures proposed </w:t>
      </w:r>
      <w:r w:rsidR="006911E7">
        <w:rPr>
          <w:rStyle w:val="Heading4Char"/>
          <w:b/>
          <w:bCs/>
          <w:i w:val="0"/>
          <w:color w:val="1F546B"/>
        </w:rPr>
        <w:t xml:space="preserve">do not </w:t>
      </w:r>
      <w:r w:rsidR="00BC4705">
        <w:rPr>
          <w:rStyle w:val="Heading4Char"/>
          <w:b/>
          <w:bCs/>
          <w:i w:val="0"/>
          <w:color w:val="1F546B"/>
        </w:rPr>
        <w:t xml:space="preserve">align with the </w:t>
      </w:r>
      <w:r w:rsidR="00FA1E73" w:rsidRPr="00DF7321">
        <w:rPr>
          <w:rStyle w:val="Heading4Char"/>
          <w:b/>
          <w:bCs/>
          <w:i w:val="0"/>
          <w:color w:val="1F546B"/>
        </w:rPr>
        <w:t>current regula</w:t>
      </w:r>
      <w:r w:rsidR="00BC4705">
        <w:rPr>
          <w:rStyle w:val="Heading4Char"/>
          <w:b/>
          <w:bCs/>
          <w:i w:val="0"/>
          <w:color w:val="1F546B"/>
        </w:rPr>
        <w:t>tory framework</w:t>
      </w:r>
    </w:p>
    <w:bookmarkEnd w:id="4"/>
    <w:p w14:paraId="4F717B9E" w14:textId="77777777" w:rsidR="009D146D" w:rsidRDefault="009D146D" w:rsidP="00960E42">
      <w:pPr>
        <w:rPr>
          <w:rFonts w:asciiTheme="minorHAnsi" w:hAnsiTheme="minorHAnsi" w:cstheme="minorHAnsi"/>
          <w:szCs w:val="22"/>
        </w:rPr>
      </w:pPr>
    </w:p>
    <w:p w14:paraId="23D6D1A2" w14:textId="77777777" w:rsidR="00BB192A" w:rsidRPr="00675A06" w:rsidRDefault="00BB192A" w:rsidP="00675A06">
      <w:pPr>
        <w:pStyle w:val="Numberedpara3level1"/>
        <w:numPr>
          <w:ilvl w:val="0"/>
          <w:numId w:val="33"/>
        </w:numPr>
        <w:ind w:left="567" w:hanging="567"/>
        <w:rPr>
          <w:rFonts w:asciiTheme="minorHAnsi" w:eastAsiaTheme="minorHAnsi" w:hAnsiTheme="minorHAnsi" w:cstheme="minorHAnsi"/>
          <w:sz w:val="24"/>
        </w:rPr>
      </w:pPr>
      <w:bookmarkStart w:id="5" w:name="_Hlk168049074"/>
      <w:proofErr w:type="gramStart"/>
      <w:r w:rsidRPr="00675A06">
        <w:rPr>
          <w:rFonts w:asciiTheme="minorHAnsi" w:eastAsiaTheme="minorHAnsi" w:hAnsiTheme="minorHAnsi" w:cstheme="minorHAnsi"/>
          <w:sz w:val="24"/>
        </w:rPr>
        <w:t>The majority of</w:t>
      </w:r>
      <w:proofErr w:type="gramEnd"/>
      <w:r w:rsidRPr="00675A06">
        <w:rPr>
          <w:rFonts w:asciiTheme="minorHAnsi" w:eastAsiaTheme="minorHAnsi" w:hAnsiTheme="minorHAnsi" w:cstheme="minorHAnsi"/>
          <w:sz w:val="24"/>
        </w:rPr>
        <w:t xml:space="preserve"> submitters supported the general proposal to update the Rules to </w:t>
      </w:r>
      <w:bookmarkStart w:id="6" w:name="_Hlk170122802"/>
      <w:r w:rsidRPr="00675A06">
        <w:rPr>
          <w:rFonts w:asciiTheme="minorHAnsi" w:eastAsiaTheme="minorHAnsi" w:hAnsiTheme="minorHAnsi" w:cstheme="minorHAnsi"/>
          <w:sz w:val="24"/>
        </w:rPr>
        <w:t xml:space="preserve">reference the current standards and regulations. </w:t>
      </w:r>
    </w:p>
    <w:p w14:paraId="0334E6CF" w14:textId="03149B24" w:rsidR="00BB192A" w:rsidRPr="00675A06" w:rsidRDefault="00BB192A" w:rsidP="00BB192A">
      <w:pPr>
        <w:pStyle w:val="Numberedpara3level1"/>
        <w:numPr>
          <w:ilvl w:val="0"/>
          <w:numId w:val="33"/>
        </w:numPr>
        <w:ind w:left="567" w:hanging="567"/>
        <w:rPr>
          <w:rFonts w:asciiTheme="minorHAnsi" w:eastAsiaTheme="minorHAnsi" w:hAnsiTheme="minorHAnsi" w:cstheme="minorHAnsi"/>
          <w:sz w:val="24"/>
        </w:rPr>
      </w:pPr>
      <w:r w:rsidRPr="00675A06">
        <w:rPr>
          <w:rFonts w:asciiTheme="minorHAnsi" w:eastAsiaTheme="minorHAnsi" w:hAnsiTheme="minorHAnsi" w:cstheme="minorHAnsi"/>
          <w:sz w:val="24"/>
        </w:rPr>
        <w:t xml:space="preserve">The initial consultation document referred specifically </w:t>
      </w:r>
      <w:r w:rsidR="00135EBC">
        <w:rPr>
          <w:rFonts w:asciiTheme="minorHAnsi" w:eastAsiaTheme="minorHAnsi" w:hAnsiTheme="minorHAnsi" w:cstheme="minorHAnsi"/>
          <w:sz w:val="24"/>
        </w:rPr>
        <w:t xml:space="preserve">to </w:t>
      </w:r>
      <w:r w:rsidRPr="00675A06">
        <w:rPr>
          <w:rFonts w:asciiTheme="minorHAnsi" w:eastAsiaTheme="minorHAnsi" w:hAnsiTheme="minorHAnsi" w:cstheme="minorHAnsi"/>
          <w:sz w:val="24"/>
        </w:rPr>
        <w:t xml:space="preserve">the change from the </w:t>
      </w:r>
      <w:r w:rsidR="00EA15F6" w:rsidRPr="00675A06">
        <w:rPr>
          <w:rFonts w:asciiTheme="minorHAnsi" w:eastAsiaTheme="minorHAnsi" w:hAnsiTheme="minorHAnsi" w:cstheme="minorHAnsi"/>
          <w:sz w:val="24"/>
        </w:rPr>
        <w:t>Drinking</w:t>
      </w:r>
      <w:r w:rsidR="00EA15F6">
        <w:rPr>
          <w:rFonts w:asciiTheme="minorHAnsi" w:eastAsiaTheme="minorHAnsi" w:hAnsiTheme="minorHAnsi" w:cstheme="minorHAnsi"/>
          <w:sz w:val="24"/>
        </w:rPr>
        <w:t>-</w:t>
      </w:r>
      <w:r w:rsidR="00EA15F6" w:rsidRPr="00675A06">
        <w:rPr>
          <w:rFonts w:asciiTheme="minorHAnsi" w:eastAsiaTheme="minorHAnsi" w:hAnsiTheme="minorHAnsi" w:cstheme="minorHAnsi"/>
          <w:sz w:val="24"/>
        </w:rPr>
        <w:t>water</w:t>
      </w:r>
      <w:r w:rsidRPr="00675A06">
        <w:rPr>
          <w:rFonts w:asciiTheme="minorHAnsi" w:eastAsiaTheme="minorHAnsi" w:hAnsiTheme="minorHAnsi" w:cstheme="minorHAnsi"/>
          <w:sz w:val="24"/>
        </w:rPr>
        <w:t xml:space="preserve"> Standards for New Zealand 2005 (DWSNZ 2005) to the standards outlined in the Water Services (Drinking Water Standards for New Zealand) Regulations 2022 (the </w:t>
      </w:r>
      <w:r w:rsidR="00765244">
        <w:rPr>
          <w:rFonts w:asciiTheme="minorHAnsi" w:eastAsiaTheme="minorHAnsi" w:hAnsiTheme="minorHAnsi" w:cstheme="minorHAnsi"/>
          <w:sz w:val="24"/>
        </w:rPr>
        <w:t>Standards</w:t>
      </w:r>
      <w:r w:rsidR="00765244" w:rsidRPr="00675A06">
        <w:rPr>
          <w:rFonts w:asciiTheme="minorHAnsi" w:eastAsiaTheme="minorHAnsi" w:hAnsiTheme="minorHAnsi" w:cstheme="minorHAnsi"/>
          <w:sz w:val="24"/>
        </w:rPr>
        <w:t xml:space="preserve"> </w:t>
      </w:r>
      <w:r w:rsidRPr="00675A06">
        <w:rPr>
          <w:rFonts w:asciiTheme="minorHAnsi" w:eastAsiaTheme="minorHAnsi" w:hAnsiTheme="minorHAnsi" w:cstheme="minorHAnsi"/>
          <w:sz w:val="24"/>
        </w:rPr>
        <w:t>2022).</w:t>
      </w:r>
    </w:p>
    <w:p w14:paraId="1F873418" w14:textId="7512CCC5" w:rsidR="00BB192A" w:rsidRPr="00675A06" w:rsidRDefault="00E81ED7" w:rsidP="00675A06">
      <w:pPr>
        <w:pStyle w:val="Numberedpara3level1"/>
        <w:numPr>
          <w:ilvl w:val="0"/>
          <w:numId w:val="33"/>
        </w:numPr>
        <w:ind w:left="567" w:hanging="567"/>
        <w:rPr>
          <w:rFonts w:asciiTheme="minorHAnsi" w:eastAsiaTheme="minorHAnsi" w:hAnsiTheme="minorHAnsi" w:cstheme="minorHAnsi"/>
          <w:sz w:val="24"/>
        </w:rPr>
      </w:pPr>
      <w:r>
        <w:rPr>
          <w:rFonts w:asciiTheme="minorHAnsi" w:eastAsiaTheme="minorHAnsi" w:hAnsiTheme="minorHAnsi" w:cstheme="minorHAnsi"/>
          <w:sz w:val="24"/>
        </w:rPr>
        <w:t>Thirteen</w:t>
      </w:r>
      <w:r w:rsidR="00BB192A" w:rsidRPr="00675A06">
        <w:rPr>
          <w:rFonts w:asciiTheme="minorHAnsi" w:eastAsiaTheme="minorHAnsi" w:hAnsiTheme="minorHAnsi" w:cstheme="minorHAnsi"/>
          <w:sz w:val="24"/>
        </w:rPr>
        <w:t xml:space="preserve"> submissions noted that the </w:t>
      </w:r>
      <w:r w:rsidR="00765244">
        <w:rPr>
          <w:rFonts w:asciiTheme="minorHAnsi" w:eastAsiaTheme="minorHAnsi" w:hAnsiTheme="minorHAnsi" w:cstheme="minorHAnsi"/>
          <w:sz w:val="24"/>
        </w:rPr>
        <w:t>Standards</w:t>
      </w:r>
      <w:r w:rsidR="00765244" w:rsidRPr="00675A06" w:rsidDel="00765244">
        <w:rPr>
          <w:rFonts w:asciiTheme="minorHAnsi" w:eastAsiaTheme="minorHAnsi" w:hAnsiTheme="minorHAnsi" w:cstheme="minorHAnsi"/>
          <w:sz w:val="24"/>
        </w:rPr>
        <w:t xml:space="preserve"> </w:t>
      </w:r>
      <w:r w:rsidR="00BB192A" w:rsidRPr="00675A06">
        <w:rPr>
          <w:rFonts w:asciiTheme="minorHAnsi" w:eastAsiaTheme="minorHAnsi" w:hAnsiTheme="minorHAnsi" w:cstheme="minorHAnsi"/>
          <w:sz w:val="24"/>
        </w:rPr>
        <w:t xml:space="preserve">2022 are not equivalent to the DWSNZ 2005, and that for the new Rule to provide equivalent measures, references to the Drinking Water Quality Assurance Rules 2022 (DWQAR 2022) should be incorporated. </w:t>
      </w:r>
    </w:p>
    <w:bookmarkEnd w:id="6"/>
    <w:p w14:paraId="20E64C99" w14:textId="760CBD01" w:rsidR="00BB192A" w:rsidRPr="00675A06" w:rsidRDefault="00BB192A" w:rsidP="00BB192A">
      <w:pPr>
        <w:pStyle w:val="Numberedpara3level1"/>
        <w:numPr>
          <w:ilvl w:val="0"/>
          <w:numId w:val="33"/>
        </w:numPr>
        <w:ind w:left="567" w:hanging="567"/>
        <w:rPr>
          <w:rFonts w:asciiTheme="minorHAnsi" w:eastAsiaTheme="minorHAnsi" w:hAnsiTheme="minorHAnsi" w:cstheme="minorHAnsi"/>
          <w:sz w:val="24"/>
        </w:rPr>
      </w:pPr>
      <w:r w:rsidRPr="00675A06">
        <w:rPr>
          <w:rFonts w:asciiTheme="minorHAnsi" w:eastAsiaTheme="minorHAnsi" w:hAnsiTheme="minorHAnsi" w:cstheme="minorHAnsi"/>
          <w:sz w:val="24"/>
        </w:rPr>
        <w:t xml:space="preserve">Submitters noted that in practice, the DWSNZ 2005 incorporated both the Maximum Acceptable Values (MAV) for </w:t>
      </w:r>
      <w:r w:rsidR="00135EBC" w:rsidRPr="007E3072">
        <w:rPr>
          <w:rFonts w:asciiTheme="minorHAnsi" w:eastAsiaTheme="minorHAnsi" w:hAnsiTheme="minorHAnsi" w:cstheme="minorHAnsi"/>
          <w:i/>
          <w:iCs/>
          <w:sz w:val="24"/>
        </w:rPr>
        <w:t>E. coli</w:t>
      </w:r>
      <w:r w:rsidR="00811BA4" w:rsidRPr="007E3072">
        <w:rPr>
          <w:rFonts w:asciiTheme="minorHAnsi" w:eastAsiaTheme="minorHAnsi" w:hAnsiTheme="minorHAnsi" w:cstheme="minorHAnsi"/>
          <w:i/>
          <w:iCs/>
          <w:sz w:val="24"/>
        </w:rPr>
        <w:t>.</w:t>
      </w:r>
      <w:r w:rsidRPr="007E3072">
        <w:rPr>
          <w:rFonts w:asciiTheme="minorHAnsi" w:eastAsiaTheme="minorHAnsi" w:hAnsiTheme="minorHAnsi" w:cstheme="minorHAnsi"/>
          <w:i/>
          <w:iCs/>
          <w:sz w:val="24"/>
        </w:rPr>
        <w:t xml:space="preserve"> </w:t>
      </w:r>
      <w:r w:rsidRPr="00675A06">
        <w:rPr>
          <w:rFonts w:asciiTheme="minorHAnsi" w:eastAsiaTheme="minorHAnsi" w:hAnsiTheme="minorHAnsi" w:cstheme="minorHAnsi"/>
          <w:sz w:val="24"/>
        </w:rPr>
        <w:t xml:space="preserve">and Protozoa, along with a range of other health-significant </w:t>
      </w:r>
      <w:proofErr w:type="spellStart"/>
      <w:r w:rsidRPr="00675A06">
        <w:rPr>
          <w:rFonts w:asciiTheme="minorHAnsi" w:eastAsiaTheme="minorHAnsi" w:hAnsiTheme="minorHAnsi" w:cstheme="minorHAnsi"/>
          <w:sz w:val="24"/>
        </w:rPr>
        <w:t>determinands</w:t>
      </w:r>
      <w:proofErr w:type="spellEnd"/>
      <w:r w:rsidR="00135EBC">
        <w:rPr>
          <w:rFonts w:asciiTheme="minorHAnsi" w:eastAsiaTheme="minorHAnsi" w:hAnsiTheme="minorHAnsi" w:cstheme="minorHAnsi"/>
          <w:sz w:val="24"/>
        </w:rPr>
        <w:t>.</w:t>
      </w:r>
      <w:r w:rsidR="00135EBC" w:rsidRPr="00675A06">
        <w:rPr>
          <w:rFonts w:asciiTheme="minorHAnsi" w:eastAsiaTheme="minorHAnsi" w:hAnsiTheme="minorHAnsi" w:cstheme="minorHAnsi"/>
          <w:sz w:val="24"/>
        </w:rPr>
        <w:t xml:space="preserve"> </w:t>
      </w:r>
      <w:r w:rsidR="00135EBC">
        <w:rPr>
          <w:rFonts w:asciiTheme="minorHAnsi" w:eastAsiaTheme="minorHAnsi" w:hAnsiTheme="minorHAnsi" w:cstheme="minorHAnsi"/>
          <w:sz w:val="24"/>
        </w:rPr>
        <w:t>It also included</w:t>
      </w:r>
      <w:r w:rsidR="00EA15F6">
        <w:rPr>
          <w:rFonts w:asciiTheme="minorHAnsi" w:eastAsiaTheme="minorHAnsi" w:hAnsiTheme="minorHAnsi" w:cstheme="minorHAnsi"/>
          <w:sz w:val="24"/>
        </w:rPr>
        <w:t xml:space="preserve"> </w:t>
      </w:r>
      <w:r w:rsidRPr="00675A06">
        <w:rPr>
          <w:rFonts w:asciiTheme="minorHAnsi" w:eastAsiaTheme="minorHAnsi" w:hAnsiTheme="minorHAnsi" w:cstheme="minorHAnsi"/>
          <w:sz w:val="24"/>
        </w:rPr>
        <w:t xml:space="preserve">operational, </w:t>
      </w:r>
      <w:proofErr w:type="gramStart"/>
      <w:r w:rsidRPr="00675A06">
        <w:rPr>
          <w:rFonts w:asciiTheme="minorHAnsi" w:eastAsiaTheme="minorHAnsi" w:hAnsiTheme="minorHAnsi" w:cstheme="minorHAnsi"/>
          <w:sz w:val="24"/>
        </w:rPr>
        <w:t>monitoring</w:t>
      </w:r>
      <w:proofErr w:type="gramEnd"/>
      <w:r w:rsidRPr="00675A06">
        <w:rPr>
          <w:rFonts w:asciiTheme="minorHAnsi" w:eastAsiaTheme="minorHAnsi" w:hAnsiTheme="minorHAnsi" w:cstheme="minorHAnsi"/>
          <w:sz w:val="24"/>
        </w:rPr>
        <w:t xml:space="preserve"> and other requirements to demonstrate </w:t>
      </w:r>
      <w:r w:rsidR="00135EBC">
        <w:rPr>
          <w:rFonts w:asciiTheme="minorHAnsi" w:eastAsiaTheme="minorHAnsi" w:hAnsiTheme="minorHAnsi" w:cstheme="minorHAnsi"/>
          <w:sz w:val="24"/>
        </w:rPr>
        <w:t>treatment efficacy</w:t>
      </w:r>
      <w:r w:rsidRPr="00675A06">
        <w:rPr>
          <w:rFonts w:asciiTheme="minorHAnsi" w:eastAsiaTheme="minorHAnsi" w:hAnsiTheme="minorHAnsi" w:cstheme="minorHAnsi"/>
          <w:sz w:val="24"/>
        </w:rPr>
        <w:t xml:space="preserve"> and </w:t>
      </w:r>
      <w:r w:rsidR="00135EBC">
        <w:rPr>
          <w:rFonts w:asciiTheme="minorHAnsi" w:eastAsiaTheme="minorHAnsi" w:hAnsiTheme="minorHAnsi" w:cstheme="minorHAnsi"/>
          <w:sz w:val="24"/>
        </w:rPr>
        <w:t>ensure compliance with the MAVs</w:t>
      </w:r>
      <w:r w:rsidRPr="00675A06">
        <w:rPr>
          <w:rFonts w:asciiTheme="minorHAnsi" w:eastAsiaTheme="minorHAnsi" w:hAnsiTheme="minorHAnsi" w:cstheme="minorHAnsi"/>
          <w:sz w:val="24"/>
        </w:rPr>
        <w:t xml:space="preserve">. Together, the </w:t>
      </w:r>
      <w:r w:rsidR="00765244">
        <w:rPr>
          <w:rFonts w:asciiTheme="minorHAnsi" w:eastAsiaTheme="minorHAnsi" w:hAnsiTheme="minorHAnsi" w:cstheme="minorHAnsi"/>
          <w:sz w:val="24"/>
        </w:rPr>
        <w:t>Standards</w:t>
      </w:r>
      <w:r w:rsidRPr="00675A06">
        <w:rPr>
          <w:rFonts w:asciiTheme="minorHAnsi" w:eastAsiaTheme="minorHAnsi" w:hAnsiTheme="minorHAnsi" w:cstheme="minorHAnsi"/>
          <w:sz w:val="24"/>
        </w:rPr>
        <w:t xml:space="preserve"> 2022 and the DWQAR 2022 comprise what the DWSNZ 2005 contained in a single document.</w:t>
      </w:r>
    </w:p>
    <w:p w14:paraId="3E1545D3" w14:textId="678A1867" w:rsidR="00BB192A" w:rsidRPr="00675A06" w:rsidRDefault="00BB192A" w:rsidP="00BB192A">
      <w:pPr>
        <w:pStyle w:val="Numberedpara3level1"/>
        <w:numPr>
          <w:ilvl w:val="0"/>
          <w:numId w:val="33"/>
        </w:numPr>
        <w:ind w:left="567" w:hanging="567"/>
        <w:rPr>
          <w:rFonts w:asciiTheme="minorHAnsi" w:eastAsiaTheme="minorHAnsi" w:hAnsiTheme="minorHAnsi" w:cstheme="minorHAnsi"/>
          <w:sz w:val="24"/>
        </w:rPr>
      </w:pPr>
      <w:bookmarkStart w:id="7" w:name="_Hlk170123418"/>
      <w:r w:rsidRPr="00675A06">
        <w:rPr>
          <w:rFonts w:asciiTheme="minorHAnsi" w:eastAsiaTheme="minorHAnsi" w:hAnsiTheme="minorHAnsi" w:cstheme="minorHAnsi"/>
          <w:sz w:val="24"/>
        </w:rPr>
        <w:t xml:space="preserve">The measures as proposed did not include any of the 24/7 operational safety performance criteria, and if only including reference to the </w:t>
      </w:r>
      <w:r w:rsidR="00765244">
        <w:rPr>
          <w:rFonts w:asciiTheme="minorHAnsi" w:eastAsiaTheme="minorHAnsi" w:hAnsiTheme="minorHAnsi" w:cstheme="minorHAnsi"/>
          <w:sz w:val="24"/>
        </w:rPr>
        <w:t>Standards</w:t>
      </w:r>
      <w:r w:rsidRPr="00675A06">
        <w:rPr>
          <w:rFonts w:asciiTheme="minorHAnsi" w:eastAsiaTheme="minorHAnsi" w:hAnsiTheme="minorHAnsi" w:cstheme="minorHAnsi"/>
          <w:sz w:val="24"/>
        </w:rPr>
        <w:t xml:space="preserve"> 2022, do not provide a useful measure of water quality</w:t>
      </w:r>
      <w:bookmarkEnd w:id="7"/>
      <w:r w:rsidRPr="00675A06">
        <w:rPr>
          <w:rFonts w:asciiTheme="minorHAnsi" w:eastAsiaTheme="minorHAnsi" w:hAnsiTheme="minorHAnsi" w:cstheme="minorHAnsi"/>
          <w:sz w:val="24"/>
        </w:rPr>
        <w:t xml:space="preserve">. </w:t>
      </w:r>
      <w:r w:rsidR="006B367E">
        <w:rPr>
          <w:rFonts w:asciiTheme="minorHAnsi" w:eastAsiaTheme="minorHAnsi" w:hAnsiTheme="minorHAnsi" w:cstheme="minorHAnsi"/>
          <w:sz w:val="24"/>
        </w:rPr>
        <w:t>Submitters expressed that including r</w:t>
      </w:r>
      <w:r w:rsidRPr="00675A06">
        <w:rPr>
          <w:rFonts w:asciiTheme="minorHAnsi" w:eastAsiaTheme="minorHAnsi" w:hAnsiTheme="minorHAnsi" w:cstheme="minorHAnsi"/>
          <w:sz w:val="24"/>
        </w:rPr>
        <w:t xml:space="preserve">eference to the relevant rules within the DWQAR 2022 will measure operational performance of a supply’s multi barrier protection. </w:t>
      </w:r>
    </w:p>
    <w:p w14:paraId="51248AFD" w14:textId="7D0CA25F" w:rsidR="00BB192A" w:rsidRPr="00675A06" w:rsidRDefault="00BB192A" w:rsidP="00BB192A">
      <w:pPr>
        <w:pStyle w:val="Numberedpara3level1"/>
        <w:numPr>
          <w:ilvl w:val="0"/>
          <w:numId w:val="33"/>
        </w:numPr>
        <w:ind w:left="567" w:hanging="567"/>
        <w:rPr>
          <w:rFonts w:asciiTheme="minorHAnsi" w:eastAsiaTheme="minorHAnsi" w:hAnsiTheme="minorHAnsi" w:cstheme="minorHAnsi"/>
          <w:sz w:val="24"/>
        </w:rPr>
      </w:pPr>
      <w:r w:rsidRPr="00675A06">
        <w:rPr>
          <w:rFonts w:asciiTheme="minorHAnsi" w:eastAsiaTheme="minorHAnsi" w:hAnsiTheme="minorHAnsi" w:cstheme="minorHAnsi"/>
          <w:sz w:val="24"/>
        </w:rPr>
        <w:t xml:space="preserve">Wellington Water’s submission specifically noted that as the proposed measure </w:t>
      </w:r>
      <w:r w:rsidR="00FD19F3">
        <w:rPr>
          <w:rFonts w:asciiTheme="minorHAnsi" w:eastAsiaTheme="minorHAnsi" w:hAnsiTheme="minorHAnsi" w:cstheme="minorHAnsi"/>
          <w:sz w:val="24"/>
        </w:rPr>
        <w:t>“</w:t>
      </w:r>
      <w:r w:rsidRPr="00675A06">
        <w:rPr>
          <w:rFonts w:asciiTheme="minorHAnsi" w:eastAsiaTheme="minorHAnsi" w:hAnsiTheme="minorHAnsi" w:cstheme="minorHAnsi"/>
          <w:sz w:val="24"/>
        </w:rPr>
        <w:t xml:space="preserve">only </w:t>
      </w:r>
      <w:r w:rsidR="00135EBC" w:rsidRPr="00675A06">
        <w:rPr>
          <w:rFonts w:asciiTheme="minorHAnsi" w:eastAsiaTheme="minorHAnsi" w:hAnsiTheme="minorHAnsi" w:cstheme="minorHAnsi"/>
          <w:sz w:val="24"/>
        </w:rPr>
        <w:t>provide</w:t>
      </w:r>
      <w:r w:rsidR="00135EBC">
        <w:rPr>
          <w:rFonts w:asciiTheme="minorHAnsi" w:eastAsiaTheme="minorHAnsi" w:hAnsiTheme="minorHAnsi" w:cstheme="minorHAnsi"/>
          <w:sz w:val="24"/>
        </w:rPr>
        <w:t>d</w:t>
      </w:r>
      <w:r w:rsidR="00135EBC" w:rsidRPr="00675A06">
        <w:rPr>
          <w:rFonts w:asciiTheme="minorHAnsi" w:eastAsiaTheme="minorHAnsi" w:hAnsiTheme="minorHAnsi" w:cstheme="minorHAnsi"/>
          <w:sz w:val="24"/>
        </w:rPr>
        <w:t xml:space="preserve"> </w:t>
      </w:r>
      <w:r w:rsidRPr="00675A06">
        <w:rPr>
          <w:rFonts w:asciiTheme="minorHAnsi" w:eastAsiaTheme="minorHAnsi" w:hAnsiTheme="minorHAnsi" w:cstheme="minorHAnsi"/>
          <w:sz w:val="24"/>
        </w:rPr>
        <w:t xml:space="preserve">a binary view of whether a water supply is contaminated at the time of sampling, it </w:t>
      </w:r>
      <w:r w:rsidR="00135EBC">
        <w:rPr>
          <w:rFonts w:asciiTheme="minorHAnsi" w:eastAsiaTheme="minorHAnsi" w:hAnsiTheme="minorHAnsi" w:cstheme="minorHAnsi"/>
          <w:sz w:val="24"/>
        </w:rPr>
        <w:t>did</w:t>
      </w:r>
      <w:r w:rsidR="00135EBC" w:rsidRPr="00675A06">
        <w:rPr>
          <w:rFonts w:asciiTheme="minorHAnsi" w:eastAsiaTheme="minorHAnsi" w:hAnsiTheme="minorHAnsi" w:cstheme="minorHAnsi"/>
          <w:sz w:val="24"/>
        </w:rPr>
        <w:t xml:space="preserve"> </w:t>
      </w:r>
      <w:r w:rsidRPr="00675A06">
        <w:rPr>
          <w:rFonts w:asciiTheme="minorHAnsi" w:eastAsiaTheme="minorHAnsi" w:hAnsiTheme="minorHAnsi" w:cstheme="minorHAnsi"/>
          <w:sz w:val="24"/>
        </w:rPr>
        <w:t>not allow communities to either understand or compare a level of service on the compliance of the treatment and distribution networks that water suppliers operate and maintain using ratepayers</w:t>
      </w:r>
      <w:r w:rsidR="00135EBC">
        <w:rPr>
          <w:rFonts w:asciiTheme="minorHAnsi" w:eastAsiaTheme="minorHAnsi" w:hAnsiTheme="minorHAnsi" w:cstheme="minorHAnsi"/>
          <w:sz w:val="24"/>
        </w:rPr>
        <w:t>’</w:t>
      </w:r>
      <w:r w:rsidRPr="00675A06">
        <w:rPr>
          <w:rFonts w:asciiTheme="minorHAnsi" w:eastAsiaTheme="minorHAnsi" w:hAnsiTheme="minorHAnsi" w:cstheme="minorHAnsi"/>
          <w:sz w:val="24"/>
        </w:rPr>
        <w:t xml:space="preserve"> money.</w:t>
      </w:r>
      <w:r w:rsidR="00FD19F3">
        <w:rPr>
          <w:rFonts w:asciiTheme="minorHAnsi" w:eastAsiaTheme="minorHAnsi" w:hAnsiTheme="minorHAnsi" w:cstheme="minorHAnsi"/>
          <w:sz w:val="24"/>
        </w:rPr>
        <w:t>”</w:t>
      </w:r>
    </w:p>
    <w:p w14:paraId="01F4F5DD" w14:textId="77777777" w:rsidR="00BB192A" w:rsidRPr="00675A06" w:rsidRDefault="00BB192A" w:rsidP="00BB192A">
      <w:pPr>
        <w:pStyle w:val="Numberedpara3level1"/>
        <w:numPr>
          <w:ilvl w:val="0"/>
          <w:numId w:val="33"/>
        </w:numPr>
        <w:ind w:left="567" w:hanging="567"/>
        <w:rPr>
          <w:rFonts w:asciiTheme="minorHAnsi" w:eastAsiaTheme="minorHAnsi" w:hAnsiTheme="minorHAnsi" w:cstheme="minorHAnsi"/>
          <w:sz w:val="24"/>
        </w:rPr>
      </w:pPr>
      <w:r w:rsidRPr="00675A06">
        <w:rPr>
          <w:rFonts w:asciiTheme="minorHAnsi" w:eastAsiaTheme="minorHAnsi" w:hAnsiTheme="minorHAnsi" w:cstheme="minorHAnsi"/>
          <w:sz w:val="24"/>
        </w:rPr>
        <w:t xml:space="preserve">“It would be not only possible to achieve the measure as proposed with treatment that is non-compliant with the DWQAR 2022 (or indeed, not treated at all), but it is in fact likely many non-compliant supplies would be free from contamination in any given year. Given the significant investment challenges that face councils across the country, </w:t>
      </w:r>
      <w:r w:rsidRPr="00675A06">
        <w:rPr>
          <w:rFonts w:asciiTheme="minorHAnsi" w:eastAsiaTheme="minorHAnsi" w:hAnsiTheme="minorHAnsi" w:cstheme="minorHAnsi"/>
          <w:sz w:val="24"/>
        </w:rPr>
        <w:lastRenderedPageBreak/>
        <w:t>we believe it is important for communities to understand the level of compliance of their water supplies against the requirements set by the regulator. This will be more difficult, or could in fact be undermined, by reporting in a council Annual Report on a binary measure of contamination alone. This could provide false assurance to communities as well as decision-makers, as past contamination is not a predictor of future contamination.”</w:t>
      </w:r>
    </w:p>
    <w:p w14:paraId="2D88CC9E" w14:textId="2910FD52" w:rsidR="00BB192A" w:rsidRPr="00675A06" w:rsidRDefault="00BB192A" w:rsidP="00BB192A">
      <w:pPr>
        <w:pStyle w:val="Numberedpara3level1"/>
        <w:numPr>
          <w:ilvl w:val="0"/>
          <w:numId w:val="33"/>
        </w:numPr>
        <w:ind w:left="567" w:hanging="567"/>
        <w:rPr>
          <w:rFonts w:asciiTheme="minorHAnsi" w:eastAsiaTheme="minorHAnsi" w:hAnsiTheme="minorHAnsi" w:cstheme="minorHAnsi"/>
          <w:sz w:val="24"/>
        </w:rPr>
      </w:pPr>
      <w:r w:rsidRPr="00675A06">
        <w:rPr>
          <w:rFonts w:asciiTheme="minorHAnsi" w:eastAsiaTheme="minorHAnsi" w:hAnsiTheme="minorHAnsi" w:cstheme="minorHAnsi"/>
          <w:sz w:val="24"/>
        </w:rPr>
        <w:t>Both Westland District Council</w:t>
      </w:r>
      <w:r w:rsidR="00EA15F6">
        <w:rPr>
          <w:rFonts w:asciiTheme="minorHAnsi" w:eastAsiaTheme="minorHAnsi" w:hAnsiTheme="minorHAnsi" w:cstheme="minorHAnsi"/>
          <w:sz w:val="24"/>
        </w:rPr>
        <w:t>’s</w:t>
      </w:r>
      <w:r w:rsidRPr="00675A06">
        <w:rPr>
          <w:rFonts w:asciiTheme="minorHAnsi" w:eastAsiaTheme="minorHAnsi" w:hAnsiTheme="minorHAnsi" w:cstheme="minorHAnsi"/>
          <w:sz w:val="24"/>
        </w:rPr>
        <w:t xml:space="preserve"> and </w:t>
      </w:r>
      <w:proofErr w:type="spellStart"/>
      <w:r w:rsidRPr="00675A06">
        <w:rPr>
          <w:rFonts w:asciiTheme="minorHAnsi" w:eastAsiaTheme="minorHAnsi" w:hAnsiTheme="minorHAnsi" w:cstheme="minorHAnsi"/>
          <w:sz w:val="24"/>
        </w:rPr>
        <w:t>WaiComply</w:t>
      </w:r>
      <w:r w:rsidR="00EA15F6">
        <w:rPr>
          <w:rFonts w:asciiTheme="minorHAnsi" w:eastAsiaTheme="minorHAnsi" w:hAnsiTheme="minorHAnsi" w:cstheme="minorHAnsi"/>
          <w:sz w:val="24"/>
        </w:rPr>
        <w:t>’s</w:t>
      </w:r>
      <w:proofErr w:type="spellEnd"/>
      <w:r w:rsidR="00EA15F6">
        <w:rPr>
          <w:rFonts w:asciiTheme="minorHAnsi" w:eastAsiaTheme="minorHAnsi" w:hAnsiTheme="minorHAnsi" w:cstheme="minorHAnsi"/>
          <w:sz w:val="24"/>
        </w:rPr>
        <w:t xml:space="preserve"> </w:t>
      </w:r>
      <w:r w:rsidRPr="00675A06">
        <w:rPr>
          <w:rFonts w:asciiTheme="minorHAnsi" w:eastAsiaTheme="minorHAnsi" w:hAnsiTheme="minorHAnsi" w:cstheme="minorHAnsi"/>
          <w:sz w:val="24"/>
        </w:rPr>
        <w:t>submissions</w:t>
      </w:r>
      <w:r w:rsidR="00E01372">
        <w:rPr>
          <w:rFonts w:asciiTheme="minorHAnsi" w:eastAsiaTheme="minorHAnsi" w:hAnsiTheme="minorHAnsi" w:cstheme="minorHAnsi"/>
          <w:sz w:val="24"/>
        </w:rPr>
        <w:t xml:space="preserve"> also raised</w:t>
      </w:r>
      <w:r w:rsidRPr="00675A06">
        <w:rPr>
          <w:rFonts w:asciiTheme="minorHAnsi" w:eastAsiaTheme="minorHAnsi" w:hAnsiTheme="minorHAnsi" w:cstheme="minorHAnsi"/>
          <w:sz w:val="24"/>
        </w:rPr>
        <w:t xml:space="preserve"> concern that the proposed change does not reflect what councils are required to report to </w:t>
      </w:r>
      <w:proofErr w:type="spellStart"/>
      <w:r w:rsidRPr="00675A06">
        <w:rPr>
          <w:rFonts w:asciiTheme="minorHAnsi" w:eastAsiaTheme="minorHAnsi" w:hAnsiTheme="minorHAnsi" w:cstheme="minorHAnsi"/>
          <w:sz w:val="24"/>
        </w:rPr>
        <w:t>Taumata</w:t>
      </w:r>
      <w:proofErr w:type="spellEnd"/>
      <w:r w:rsidRPr="00675A06">
        <w:rPr>
          <w:rFonts w:asciiTheme="minorHAnsi" w:eastAsiaTheme="minorHAnsi" w:hAnsiTheme="minorHAnsi" w:cstheme="minorHAnsi"/>
          <w:sz w:val="24"/>
        </w:rPr>
        <w:t xml:space="preserve"> </w:t>
      </w:r>
      <w:proofErr w:type="spellStart"/>
      <w:r w:rsidRPr="00675A06">
        <w:rPr>
          <w:rFonts w:asciiTheme="minorHAnsi" w:eastAsiaTheme="minorHAnsi" w:hAnsiTheme="minorHAnsi" w:cstheme="minorHAnsi"/>
          <w:sz w:val="24"/>
        </w:rPr>
        <w:t>Arowai</w:t>
      </w:r>
      <w:proofErr w:type="spellEnd"/>
      <w:r w:rsidRPr="00675A06">
        <w:rPr>
          <w:rFonts w:asciiTheme="minorHAnsi" w:eastAsiaTheme="minorHAnsi" w:hAnsiTheme="minorHAnsi" w:cstheme="minorHAnsi"/>
          <w:sz w:val="24"/>
        </w:rPr>
        <w:t xml:space="preserve"> for protozoal compliance criteria, as pathogenic protozoa </w:t>
      </w:r>
      <w:r w:rsidR="00135EBC" w:rsidRPr="00675A06">
        <w:rPr>
          <w:rFonts w:asciiTheme="minorHAnsi" w:eastAsiaTheme="minorHAnsi" w:hAnsiTheme="minorHAnsi" w:cstheme="minorHAnsi"/>
          <w:sz w:val="24"/>
        </w:rPr>
        <w:t>are</w:t>
      </w:r>
      <w:r w:rsidRPr="00675A06">
        <w:rPr>
          <w:rFonts w:asciiTheme="minorHAnsi" w:eastAsiaTheme="minorHAnsi" w:hAnsiTheme="minorHAnsi" w:cstheme="minorHAnsi"/>
          <w:sz w:val="24"/>
        </w:rPr>
        <w:t xml:space="preserve"> not typically directly tested by water suppliers in New Zealand. </w:t>
      </w:r>
    </w:p>
    <w:p w14:paraId="741E9F1E" w14:textId="35E9A417" w:rsidR="00BB192A" w:rsidRPr="00675A06" w:rsidRDefault="00BB192A" w:rsidP="00BB192A">
      <w:pPr>
        <w:pStyle w:val="Numberedpara3level1"/>
        <w:numPr>
          <w:ilvl w:val="0"/>
          <w:numId w:val="33"/>
        </w:numPr>
        <w:ind w:left="567" w:hanging="567"/>
        <w:rPr>
          <w:rFonts w:asciiTheme="minorHAnsi" w:eastAsiaTheme="minorHAnsi" w:hAnsiTheme="minorHAnsi" w:cstheme="minorHAnsi"/>
          <w:sz w:val="24"/>
        </w:rPr>
      </w:pPr>
      <w:r w:rsidRPr="00675A06">
        <w:rPr>
          <w:rFonts w:asciiTheme="minorHAnsi" w:eastAsiaTheme="minorHAnsi" w:hAnsiTheme="minorHAnsi" w:cstheme="minorHAnsi"/>
          <w:sz w:val="24"/>
        </w:rPr>
        <w:t>Westland District Council raised that the proposed wording “</w:t>
      </w:r>
      <w:proofErr w:type="spellStart"/>
      <w:r w:rsidRPr="00675A06">
        <w:rPr>
          <w:rFonts w:asciiTheme="minorHAnsi" w:eastAsiaTheme="minorHAnsi" w:hAnsiTheme="minorHAnsi" w:cstheme="minorHAnsi"/>
          <w:sz w:val="24"/>
        </w:rPr>
        <w:t>Determinand</w:t>
      </w:r>
      <w:proofErr w:type="spellEnd"/>
      <w:r w:rsidRPr="00675A06">
        <w:rPr>
          <w:rFonts w:asciiTheme="minorHAnsi" w:eastAsiaTheme="minorHAnsi" w:hAnsiTheme="minorHAnsi" w:cstheme="minorHAnsi"/>
          <w:sz w:val="24"/>
        </w:rPr>
        <w:t xml:space="preserve"> – total pathogenic protozoa” implies that the samples must be taken to achieve compliance with measure, while previously Councils </w:t>
      </w:r>
      <w:r w:rsidR="00135EBC">
        <w:rPr>
          <w:rFonts w:asciiTheme="minorHAnsi" w:eastAsiaTheme="minorHAnsi" w:hAnsiTheme="minorHAnsi" w:cstheme="minorHAnsi"/>
          <w:sz w:val="24"/>
        </w:rPr>
        <w:t>were</w:t>
      </w:r>
      <w:r w:rsidR="00135EBC" w:rsidRPr="00675A06">
        <w:rPr>
          <w:rFonts w:asciiTheme="minorHAnsi" w:eastAsiaTheme="minorHAnsi" w:hAnsiTheme="minorHAnsi" w:cstheme="minorHAnsi"/>
          <w:sz w:val="24"/>
        </w:rPr>
        <w:t xml:space="preserve"> </w:t>
      </w:r>
      <w:r w:rsidRPr="00675A06">
        <w:rPr>
          <w:rFonts w:asciiTheme="minorHAnsi" w:eastAsiaTheme="minorHAnsi" w:hAnsiTheme="minorHAnsi" w:cstheme="minorHAnsi"/>
          <w:sz w:val="24"/>
        </w:rPr>
        <w:t xml:space="preserve">able to prove compliance with the protozoal criteria to </w:t>
      </w:r>
      <w:proofErr w:type="spellStart"/>
      <w:r w:rsidRPr="00675A06">
        <w:rPr>
          <w:rFonts w:asciiTheme="minorHAnsi" w:eastAsiaTheme="minorHAnsi" w:hAnsiTheme="minorHAnsi" w:cstheme="minorHAnsi"/>
          <w:sz w:val="24"/>
        </w:rPr>
        <w:t>Taumata</w:t>
      </w:r>
      <w:proofErr w:type="spellEnd"/>
      <w:r w:rsidRPr="00675A06">
        <w:rPr>
          <w:rFonts w:asciiTheme="minorHAnsi" w:eastAsiaTheme="minorHAnsi" w:hAnsiTheme="minorHAnsi" w:cstheme="minorHAnsi"/>
          <w:sz w:val="24"/>
        </w:rPr>
        <w:t xml:space="preserve"> </w:t>
      </w:r>
      <w:proofErr w:type="spellStart"/>
      <w:r w:rsidRPr="00675A06">
        <w:rPr>
          <w:rFonts w:asciiTheme="minorHAnsi" w:eastAsiaTheme="minorHAnsi" w:hAnsiTheme="minorHAnsi" w:cstheme="minorHAnsi"/>
          <w:sz w:val="24"/>
        </w:rPr>
        <w:t>Arowai</w:t>
      </w:r>
      <w:proofErr w:type="spellEnd"/>
      <w:r w:rsidRPr="00675A06">
        <w:rPr>
          <w:rFonts w:asciiTheme="minorHAnsi" w:eastAsiaTheme="minorHAnsi" w:hAnsiTheme="minorHAnsi" w:cstheme="minorHAnsi"/>
          <w:sz w:val="24"/>
        </w:rPr>
        <w:t xml:space="preserve"> without proof of sampling</w:t>
      </w:r>
      <w:r w:rsidR="00135EBC">
        <w:rPr>
          <w:rFonts w:asciiTheme="minorHAnsi" w:eastAsiaTheme="minorHAnsi" w:hAnsiTheme="minorHAnsi" w:cstheme="minorHAnsi"/>
          <w:sz w:val="24"/>
        </w:rPr>
        <w:t>.</w:t>
      </w:r>
      <w:r w:rsidR="00135EBC" w:rsidRPr="00675A06">
        <w:rPr>
          <w:rFonts w:asciiTheme="minorHAnsi" w:eastAsiaTheme="minorHAnsi" w:hAnsiTheme="minorHAnsi" w:cstheme="minorHAnsi"/>
          <w:sz w:val="24"/>
        </w:rPr>
        <w:t xml:space="preserve"> </w:t>
      </w:r>
      <w:r w:rsidRPr="00675A06">
        <w:rPr>
          <w:rFonts w:asciiTheme="minorHAnsi" w:eastAsiaTheme="minorHAnsi" w:hAnsiTheme="minorHAnsi" w:cstheme="minorHAnsi"/>
          <w:sz w:val="24"/>
        </w:rPr>
        <w:t>Th</w:t>
      </w:r>
      <w:r>
        <w:rPr>
          <w:rFonts w:asciiTheme="minorHAnsi" w:eastAsiaTheme="minorHAnsi" w:hAnsiTheme="minorHAnsi" w:cstheme="minorHAnsi"/>
          <w:sz w:val="24"/>
        </w:rPr>
        <w:t xml:space="preserve">e </w:t>
      </w:r>
      <w:r w:rsidRPr="00675A06">
        <w:rPr>
          <w:rFonts w:asciiTheme="minorHAnsi" w:eastAsiaTheme="minorHAnsi" w:hAnsiTheme="minorHAnsi" w:cstheme="minorHAnsi"/>
          <w:sz w:val="24"/>
        </w:rPr>
        <w:t>submission argues that any additional protozoal sampling would be onerous and expensive, and difficult to achieve.</w:t>
      </w:r>
    </w:p>
    <w:p w14:paraId="55CB2AF2" w14:textId="62579444" w:rsidR="00BB192A" w:rsidRPr="00675A06" w:rsidRDefault="00135EBC" w:rsidP="00BB192A">
      <w:pPr>
        <w:pStyle w:val="Numberedpara3level1"/>
        <w:numPr>
          <w:ilvl w:val="0"/>
          <w:numId w:val="33"/>
        </w:numPr>
        <w:ind w:left="567" w:hanging="567"/>
        <w:rPr>
          <w:rFonts w:asciiTheme="minorHAnsi" w:eastAsiaTheme="minorHAnsi" w:hAnsiTheme="minorHAnsi" w:cstheme="minorHAnsi"/>
          <w:sz w:val="24"/>
        </w:rPr>
      </w:pPr>
      <w:r>
        <w:rPr>
          <w:rFonts w:asciiTheme="minorHAnsi" w:eastAsiaTheme="minorHAnsi" w:hAnsiTheme="minorHAnsi" w:cstheme="minorHAnsi"/>
          <w:sz w:val="24"/>
        </w:rPr>
        <w:t>S</w:t>
      </w:r>
      <w:r w:rsidRPr="00675A06">
        <w:rPr>
          <w:rFonts w:asciiTheme="minorHAnsi" w:eastAsiaTheme="minorHAnsi" w:hAnsiTheme="minorHAnsi" w:cstheme="minorHAnsi"/>
          <w:sz w:val="24"/>
        </w:rPr>
        <w:t xml:space="preserve">ubmitters had a range of opinions </w:t>
      </w:r>
      <w:r>
        <w:rPr>
          <w:rFonts w:asciiTheme="minorHAnsi" w:eastAsiaTheme="minorHAnsi" w:hAnsiTheme="minorHAnsi" w:cstheme="minorHAnsi"/>
          <w:sz w:val="24"/>
        </w:rPr>
        <w:t xml:space="preserve">on </w:t>
      </w:r>
      <w:r w:rsidR="00BB192A" w:rsidRPr="00675A06">
        <w:rPr>
          <w:rFonts w:asciiTheme="minorHAnsi" w:eastAsiaTheme="minorHAnsi" w:hAnsiTheme="minorHAnsi" w:cstheme="minorHAnsi"/>
          <w:sz w:val="24"/>
        </w:rPr>
        <w:t>the suggested references to the DWQAR 2022 in any proposed Rule change. The</w:t>
      </w:r>
      <w:r w:rsidR="00E01372">
        <w:rPr>
          <w:rFonts w:asciiTheme="minorHAnsi" w:eastAsiaTheme="minorHAnsi" w:hAnsiTheme="minorHAnsi" w:cstheme="minorHAnsi"/>
          <w:sz w:val="24"/>
        </w:rPr>
        <w:t>se</w:t>
      </w:r>
      <w:r w:rsidR="00BB192A" w:rsidRPr="00675A06">
        <w:rPr>
          <w:rFonts w:asciiTheme="minorHAnsi" w:eastAsiaTheme="minorHAnsi" w:hAnsiTheme="minorHAnsi" w:cstheme="minorHAnsi"/>
          <w:sz w:val="24"/>
        </w:rPr>
        <w:t xml:space="preserve"> ranged from overall recognition that reference to the DWQAR 2022 should be included in the revised Rules, to the inclusions of specific references to sections of the DWQAR 2022.</w:t>
      </w:r>
    </w:p>
    <w:p w14:paraId="6E3B793A" w14:textId="77777777" w:rsidR="00BB192A" w:rsidRPr="00675A06" w:rsidRDefault="00BB192A" w:rsidP="00BB192A">
      <w:pPr>
        <w:pStyle w:val="Numberedpara3level1"/>
        <w:numPr>
          <w:ilvl w:val="0"/>
          <w:numId w:val="33"/>
        </w:numPr>
        <w:ind w:left="567" w:hanging="567"/>
        <w:rPr>
          <w:rFonts w:asciiTheme="minorHAnsi" w:eastAsiaTheme="minorHAnsi" w:hAnsiTheme="minorHAnsi" w:cstheme="minorHAnsi"/>
          <w:sz w:val="24"/>
        </w:rPr>
      </w:pPr>
      <w:r w:rsidRPr="00675A06">
        <w:rPr>
          <w:rFonts w:asciiTheme="minorHAnsi" w:eastAsiaTheme="minorHAnsi" w:hAnsiTheme="minorHAnsi" w:cstheme="minorHAnsi"/>
          <w:sz w:val="24"/>
        </w:rPr>
        <w:t xml:space="preserve">Dunedin City Council questioned the scope of the proposed Rule – noting that the DWQAR 2022 contains different rule modules for different sizes of drinking water supplies, and a mixture of monitoring rules and assurance rules. Their submission stated that this means the measure would need to allow for councils to report against only those rules within the DWQAR 2022 that are relevant to their drinking water supplies. </w:t>
      </w:r>
    </w:p>
    <w:bookmarkEnd w:id="5"/>
    <w:p w14:paraId="122C17F3" w14:textId="77777777" w:rsidR="00196436" w:rsidRDefault="00196436" w:rsidP="008C4701">
      <w:pPr>
        <w:rPr>
          <w:rFonts w:asciiTheme="minorHAnsi" w:hAnsiTheme="minorHAnsi" w:cstheme="minorHAnsi"/>
          <w:lang w:eastAsia="en-NZ"/>
        </w:rPr>
      </w:pPr>
    </w:p>
    <w:p w14:paraId="138B4E0C" w14:textId="7F94BFD3" w:rsidR="00F025BE" w:rsidRDefault="00AC4CA6" w:rsidP="00F025BE">
      <w:pPr>
        <w:rPr>
          <w:rStyle w:val="Heading4Char"/>
        </w:rPr>
      </w:pPr>
      <w:r>
        <w:rPr>
          <w:rStyle w:val="Heading4Char"/>
        </w:rPr>
        <w:t>Analysis and r</w:t>
      </w:r>
      <w:r w:rsidR="00F025BE">
        <w:rPr>
          <w:rStyle w:val="Heading4Char"/>
        </w:rPr>
        <w:t>ecommendation on wording for measures on safety of drinking water</w:t>
      </w:r>
    </w:p>
    <w:p w14:paraId="1B84F2CD" w14:textId="77777777" w:rsidR="00FA1E73" w:rsidRPr="00675A06" w:rsidRDefault="00FA1E73" w:rsidP="00960E42">
      <w:pPr>
        <w:rPr>
          <w:rFonts w:asciiTheme="minorHAnsi" w:eastAsiaTheme="minorEastAsia" w:hAnsiTheme="minorHAnsi" w:cstheme="minorBidi"/>
          <w:szCs w:val="22"/>
          <w:highlight w:val="yellow"/>
        </w:rPr>
      </w:pPr>
    </w:p>
    <w:p w14:paraId="45DB7017" w14:textId="588BE83A" w:rsidR="006B367E" w:rsidRDefault="006B367E" w:rsidP="00F8006E">
      <w:pPr>
        <w:pStyle w:val="Numberedpara3level1"/>
        <w:numPr>
          <w:ilvl w:val="0"/>
          <w:numId w:val="33"/>
        </w:numPr>
        <w:ind w:left="567" w:hanging="567"/>
        <w:rPr>
          <w:rFonts w:asciiTheme="minorHAnsi" w:eastAsiaTheme="minorHAnsi" w:hAnsiTheme="minorHAnsi" w:cstheme="minorHAnsi"/>
          <w:sz w:val="24"/>
        </w:rPr>
      </w:pPr>
      <w:r w:rsidRPr="007E3072">
        <w:rPr>
          <w:rFonts w:asciiTheme="minorHAnsi" w:eastAsiaTheme="minorHAnsi" w:hAnsiTheme="minorHAnsi" w:cstheme="minorHAnsi"/>
          <w:sz w:val="24"/>
        </w:rPr>
        <w:t xml:space="preserve">The Department consulted with </w:t>
      </w:r>
      <w:proofErr w:type="spellStart"/>
      <w:r w:rsidRPr="007E3072">
        <w:rPr>
          <w:rFonts w:asciiTheme="minorHAnsi" w:eastAsiaTheme="minorHAnsi" w:hAnsiTheme="minorHAnsi" w:cstheme="minorHAnsi"/>
          <w:sz w:val="24"/>
        </w:rPr>
        <w:t>Taumata</w:t>
      </w:r>
      <w:proofErr w:type="spellEnd"/>
      <w:r w:rsidRPr="007E3072">
        <w:rPr>
          <w:rFonts w:asciiTheme="minorHAnsi" w:eastAsiaTheme="minorHAnsi" w:hAnsiTheme="minorHAnsi" w:cstheme="minorHAnsi"/>
          <w:sz w:val="24"/>
        </w:rPr>
        <w:t xml:space="preserve"> </w:t>
      </w:r>
      <w:proofErr w:type="spellStart"/>
      <w:r w:rsidRPr="007E3072">
        <w:rPr>
          <w:rFonts w:asciiTheme="minorHAnsi" w:eastAsiaTheme="minorHAnsi" w:hAnsiTheme="minorHAnsi" w:cstheme="minorHAnsi"/>
          <w:sz w:val="24"/>
        </w:rPr>
        <w:t>Arowai</w:t>
      </w:r>
      <w:proofErr w:type="spellEnd"/>
      <w:r w:rsidRPr="007E3072">
        <w:rPr>
          <w:rFonts w:asciiTheme="minorHAnsi" w:eastAsiaTheme="minorHAnsi" w:hAnsiTheme="minorHAnsi" w:cstheme="minorHAnsi"/>
          <w:sz w:val="24"/>
        </w:rPr>
        <w:t xml:space="preserve">, the Water Services Regulator in the consideration of submissions. </w:t>
      </w:r>
    </w:p>
    <w:p w14:paraId="02BEF159" w14:textId="77777777" w:rsidR="008E5008" w:rsidRPr="002E1A6E" w:rsidRDefault="006B367E" w:rsidP="006B367E">
      <w:pPr>
        <w:pStyle w:val="Numberedpara3level1"/>
        <w:numPr>
          <w:ilvl w:val="0"/>
          <w:numId w:val="33"/>
        </w:numPr>
        <w:ind w:left="567" w:hanging="567"/>
        <w:rPr>
          <w:rFonts w:asciiTheme="minorHAnsi" w:eastAsiaTheme="minorHAnsi" w:hAnsiTheme="minorHAnsi" w:cstheme="minorHAnsi"/>
          <w:sz w:val="24"/>
        </w:rPr>
      </w:pPr>
      <w:bookmarkStart w:id="8" w:name="_Hlk170123329"/>
      <w:r w:rsidRPr="006B367E">
        <w:rPr>
          <w:rFonts w:asciiTheme="minorHAnsi" w:eastAsiaTheme="minorHAnsi" w:hAnsiTheme="minorHAnsi" w:cstheme="minorHAnsi"/>
          <w:sz w:val="24"/>
        </w:rPr>
        <w:t xml:space="preserve">The Department agrees with submitters that the initial proposal did not include the equivalent measures </w:t>
      </w:r>
      <w:r>
        <w:rPr>
          <w:rFonts w:asciiTheme="minorHAnsi" w:eastAsiaTheme="minorHAnsi" w:hAnsiTheme="minorHAnsi" w:cstheme="minorHAnsi"/>
          <w:sz w:val="24"/>
        </w:rPr>
        <w:t xml:space="preserve">to the </w:t>
      </w:r>
      <w:r w:rsidRPr="00675A06">
        <w:rPr>
          <w:rFonts w:asciiTheme="minorHAnsi" w:eastAsiaTheme="minorHAnsi" w:hAnsiTheme="minorHAnsi" w:cstheme="minorHAnsi"/>
          <w:sz w:val="24"/>
        </w:rPr>
        <w:t>DWSNZ 2005</w:t>
      </w:r>
      <w:r>
        <w:rPr>
          <w:rFonts w:asciiTheme="minorHAnsi" w:eastAsiaTheme="minorHAnsi" w:hAnsiTheme="minorHAnsi" w:cstheme="minorHAnsi"/>
          <w:sz w:val="24"/>
        </w:rPr>
        <w:t xml:space="preserve"> references currently in the Rules.</w:t>
      </w:r>
      <w:r w:rsidRPr="006B367E">
        <w:rPr>
          <w:rFonts w:asciiTheme="minorHAnsi" w:eastAsiaTheme="minorHAnsi" w:hAnsiTheme="minorHAnsi" w:cstheme="minorHAnsi"/>
          <w:sz w:val="24"/>
        </w:rPr>
        <w:t xml:space="preserve"> </w:t>
      </w:r>
      <w:r w:rsidR="00F76FFE" w:rsidRPr="006B367E">
        <w:rPr>
          <w:rFonts w:asciiTheme="minorHAnsi" w:eastAsiaTheme="minorHAnsi" w:hAnsiTheme="minorHAnsi" w:cstheme="minorHAnsi"/>
          <w:sz w:val="24"/>
        </w:rPr>
        <w:t>The</w:t>
      </w:r>
      <w:r>
        <w:rPr>
          <w:rFonts w:asciiTheme="minorHAnsi" w:eastAsiaTheme="minorHAnsi" w:hAnsiTheme="minorHAnsi" w:cstheme="minorHAnsi"/>
          <w:sz w:val="24"/>
        </w:rPr>
        <w:t xml:space="preserve"> Department recommends that the</w:t>
      </w:r>
      <w:r w:rsidR="00F76FFE" w:rsidRPr="006B367E">
        <w:rPr>
          <w:rFonts w:asciiTheme="minorHAnsi" w:eastAsiaTheme="minorHAnsi" w:hAnsiTheme="minorHAnsi" w:cstheme="minorHAnsi"/>
          <w:sz w:val="24"/>
        </w:rPr>
        <w:t xml:space="preserve"> measures include references to the</w:t>
      </w:r>
      <w:r>
        <w:rPr>
          <w:rFonts w:asciiTheme="minorHAnsi" w:eastAsiaTheme="minorHAnsi" w:hAnsiTheme="minorHAnsi" w:cstheme="minorHAnsi"/>
          <w:sz w:val="24"/>
        </w:rPr>
        <w:t xml:space="preserve"> relevant</w:t>
      </w:r>
      <w:r w:rsidR="00F76FFE" w:rsidRPr="006B367E">
        <w:rPr>
          <w:rFonts w:asciiTheme="minorHAnsi" w:eastAsiaTheme="minorHAnsi" w:hAnsiTheme="minorHAnsi" w:cstheme="minorHAnsi"/>
          <w:sz w:val="24"/>
        </w:rPr>
        <w:t xml:space="preserve"> DWQAR 2022 rules</w:t>
      </w:r>
      <w:r>
        <w:rPr>
          <w:rFonts w:asciiTheme="minorHAnsi" w:eastAsiaTheme="minorHAnsi" w:hAnsiTheme="minorHAnsi" w:cstheme="minorHAnsi"/>
          <w:sz w:val="24"/>
        </w:rPr>
        <w:t>, to provide more meaningful measures of drinking water quality</w:t>
      </w:r>
      <w:r w:rsidR="00811BA4">
        <w:rPr>
          <w:rFonts w:asciiTheme="minorHAnsi" w:eastAsiaTheme="minorHAnsi" w:hAnsiTheme="minorHAnsi" w:cstheme="minorHAnsi"/>
          <w:sz w:val="24"/>
        </w:rPr>
        <w:t xml:space="preserve">, </w:t>
      </w:r>
      <w:r w:rsidR="00811BA4" w:rsidRPr="002E1A6E">
        <w:rPr>
          <w:rFonts w:asciiTheme="minorHAnsi" w:eastAsiaTheme="minorHAnsi" w:hAnsiTheme="minorHAnsi" w:cstheme="minorHAnsi"/>
          <w:sz w:val="24"/>
        </w:rPr>
        <w:t xml:space="preserve">allowing councils to </w:t>
      </w:r>
      <w:proofErr w:type="gramStart"/>
      <w:r w:rsidR="00811BA4" w:rsidRPr="002E1A6E">
        <w:rPr>
          <w:rFonts w:asciiTheme="minorHAnsi" w:eastAsiaTheme="minorHAnsi" w:hAnsiTheme="minorHAnsi" w:cstheme="minorHAnsi"/>
          <w:sz w:val="24"/>
        </w:rPr>
        <w:t>more effectively communicate performance</w:t>
      </w:r>
      <w:proofErr w:type="gramEnd"/>
      <w:r w:rsidR="00811BA4" w:rsidRPr="002E1A6E">
        <w:rPr>
          <w:rFonts w:asciiTheme="minorHAnsi" w:eastAsiaTheme="minorHAnsi" w:hAnsiTheme="minorHAnsi" w:cstheme="minorHAnsi"/>
          <w:sz w:val="24"/>
        </w:rPr>
        <w:t xml:space="preserve"> to their communities. </w:t>
      </w:r>
    </w:p>
    <w:p w14:paraId="22BF7771" w14:textId="20DF5966" w:rsidR="00F76FFE" w:rsidRPr="002E1A6E" w:rsidRDefault="008E5008" w:rsidP="006B367E">
      <w:pPr>
        <w:pStyle w:val="Numberedpara3level1"/>
        <w:numPr>
          <w:ilvl w:val="0"/>
          <w:numId w:val="33"/>
        </w:numPr>
        <w:ind w:left="567" w:hanging="567"/>
        <w:rPr>
          <w:rFonts w:asciiTheme="minorHAnsi" w:eastAsiaTheme="minorHAnsi" w:hAnsiTheme="minorHAnsi" w:cstheme="minorHAnsi"/>
          <w:sz w:val="24"/>
        </w:rPr>
      </w:pPr>
      <w:r w:rsidRPr="002E1A6E">
        <w:rPr>
          <w:rFonts w:asciiTheme="minorHAnsi" w:eastAsiaTheme="minorHAnsi" w:hAnsiTheme="minorHAnsi" w:cstheme="minorHAnsi"/>
          <w:sz w:val="24"/>
        </w:rPr>
        <w:t>To provide for new measures that are equivalent to the scope of the current Rules, the Department recommends including the relevant Treatment Rules and Distribution System Rules within the DWQAR</w:t>
      </w:r>
      <w:r w:rsidR="00E3545A" w:rsidRPr="002E1A6E">
        <w:rPr>
          <w:rFonts w:asciiTheme="minorHAnsi" w:eastAsiaTheme="minorHAnsi" w:hAnsiTheme="minorHAnsi" w:cstheme="minorHAnsi"/>
          <w:sz w:val="24"/>
        </w:rPr>
        <w:t xml:space="preserve"> 2022</w:t>
      </w:r>
      <w:r w:rsidRPr="002E1A6E">
        <w:rPr>
          <w:rFonts w:asciiTheme="minorHAnsi" w:eastAsiaTheme="minorHAnsi" w:hAnsiTheme="minorHAnsi" w:cstheme="minorHAnsi"/>
          <w:sz w:val="24"/>
        </w:rPr>
        <w:t xml:space="preserve">. </w:t>
      </w:r>
    </w:p>
    <w:bookmarkEnd w:id="8"/>
    <w:p w14:paraId="2BF95EA2" w14:textId="1D8DFB61" w:rsidR="00F8006E" w:rsidRPr="002E1A6E" w:rsidRDefault="00811BA4" w:rsidP="00AC4CA6">
      <w:pPr>
        <w:pStyle w:val="Numberedpara3level1"/>
        <w:numPr>
          <w:ilvl w:val="0"/>
          <w:numId w:val="33"/>
        </w:numPr>
        <w:ind w:left="567" w:hanging="567"/>
        <w:rPr>
          <w:rFonts w:asciiTheme="minorHAnsi" w:eastAsiaTheme="minorHAnsi" w:hAnsiTheme="minorHAnsi" w:cstheme="minorHAnsi"/>
          <w:sz w:val="24"/>
        </w:rPr>
      </w:pPr>
      <w:r w:rsidRPr="002E1A6E">
        <w:rPr>
          <w:rFonts w:asciiTheme="minorHAnsi" w:eastAsiaTheme="minorHAnsi" w:hAnsiTheme="minorHAnsi" w:cstheme="minorHAnsi"/>
          <w:sz w:val="24"/>
        </w:rPr>
        <w:t>T</w:t>
      </w:r>
      <w:r w:rsidR="00F8006E" w:rsidRPr="002E1A6E">
        <w:rPr>
          <w:rFonts w:asciiTheme="minorHAnsi" w:eastAsiaTheme="minorHAnsi" w:hAnsiTheme="minorHAnsi" w:cstheme="minorHAnsi"/>
          <w:sz w:val="24"/>
        </w:rPr>
        <w:t xml:space="preserve">he Department recommends including </w:t>
      </w:r>
      <w:r w:rsidR="00F76FFE" w:rsidRPr="002E1A6E">
        <w:rPr>
          <w:rFonts w:asciiTheme="minorHAnsi" w:eastAsiaTheme="minorHAnsi" w:hAnsiTheme="minorHAnsi" w:cstheme="minorHAnsi"/>
          <w:sz w:val="24"/>
        </w:rPr>
        <w:t xml:space="preserve">reference to the rules </w:t>
      </w:r>
      <w:r w:rsidR="00C51B94" w:rsidRPr="002E1A6E">
        <w:rPr>
          <w:rFonts w:asciiTheme="minorHAnsi" w:eastAsiaTheme="minorHAnsi" w:hAnsiTheme="minorHAnsi" w:cstheme="minorHAnsi"/>
          <w:sz w:val="24"/>
        </w:rPr>
        <w:t xml:space="preserve">required for water supplies that service 26 people and more. </w:t>
      </w:r>
      <w:r w:rsidR="008029E1" w:rsidRPr="002E1A6E">
        <w:rPr>
          <w:rFonts w:asciiTheme="minorHAnsi" w:eastAsiaTheme="minorHAnsi" w:hAnsiTheme="minorHAnsi" w:cstheme="minorHAnsi"/>
          <w:sz w:val="24"/>
        </w:rPr>
        <w:t>While some councils operate water supplies serving 25 people or fewer, it was advised that the number was not significant enough to warrant additional measures for coverage.</w:t>
      </w:r>
    </w:p>
    <w:p w14:paraId="49165DD9" w14:textId="1F109C5A" w:rsidR="00AC4CA6" w:rsidRPr="002E1A6E" w:rsidRDefault="00F8006E" w:rsidP="003A5FCC">
      <w:pPr>
        <w:pStyle w:val="Numberedpara3level1"/>
        <w:numPr>
          <w:ilvl w:val="0"/>
          <w:numId w:val="36"/>
        </w:numPr>
        <w:rPr>
          <w:rFonts w:asciiTheme="minorHAnsi" w:eastAsiaTheme="minorHAnsi" w:hAnsiTheme="minorHAnsi" w:cstheme="minorHAnsi"/>
          <w:sz w:val="24"/>
        </w:rPr>
      </w:pPr>
      <w:r w:rsidRPr="002E1A6E">
        <w:rPr>
          <w:rFonts w:asciiTheme="minorHAnsi" w:eastAsiaTheme="minorHAnsi" w:hAnsiTheme="minorHAnsi" w:cstheme="minorHAnsi"/>
          <w:sz w:val="24"/>
        </w:rPr>
        <w:t>The Department recommends that the</w:t>
      </w:r>
      <w:r w:rsidR="00AC4CA6" w:rsidRPr="002E1A6E">
        <w:rPr>
          <w:rFonts w:asciiTheme="minorHAnsi" w:eastAsiaTheme="minorHAnsi" w:hAnsiTheme="minorHAnsi" w:cstheme="minorHAnsi"/>
          <w:sz w:val="24"/>
        </w:rPr>
        <w:t xml:space="preserve"> </w:t>
      </w:r>
      <w:r w:rsidRPr="002E1A6E">
        <w:rPr>
          <w:rFonts w:asciiTheme="minorHAnsi" w:eastAsiaTheme="minorHAnsi" w:hAnsiTheme="minorHAnsi" w:cstheme="minorHAnsi"/>
          <w:sz w:val="24"/>
        </w:rPr>
        <w:t>following</w:t>
      </w:r>
      <w:r w:rsidR="00AC4CA6" w:rsidRPr="002E1A6E">
        <w:rPr>
          <w:rFonts w:asciiTheme="minorHAnsi" w:eastAsiaTheme="minorHAnsi" w:hAnsiTheme="minorHAnsi" w:cstheme="minorHAnsi"/>
          <w:sz w:val="24"/>
        </w:rPr>
        <w:t xml:space="preserve"> rules in the DWQAR </w:t>
      </w:r>
      <w:r w:rsidRPr="002E1A6E">
        <w:rPr>
          <w:rFonts w:asciiTheme="minorHAnsi" w:eastAsiaTheme="minorHAnsi" w:hAnsiTheme="minorHAnsi" w:cstheme="minorHAnsi"/>
          <w:sz w:val="24"/>
        </w:rPr>
        <w:t xml:space="preserve">2022 are incorporated into </w:t>
      </w:r>
      <w:r w:rsidR="006B367E" w:rsidRPr="002E1A6E">
        <w:rPr>
          <w:rFonts w:asciiTheme="minorHAnsi" w:eastAsiaTheme="minorHAnsi" w:hAnsiTheme="minorHAnsi" w:cstheme="minorHAnsi"/>
          <w:sz w:val="24"/>
        </w:rPr>
        <w:t>Performance Measure 1 (safety of drinking water):</w:t>
      </w:r>
    </w:p>
    <w:p w14:paraId="506FB7AD" w14:textId="1CB0466C" w:rsidR="00AC4CA6" w:rsidRPr="002E1A6E" w:rsidRDefault="00676023" w:rsidP="003A5FCC">
      <w:pPr>
        <w:pStyle w:val="Numberedpara3level1"/>
        <w:numPr>
          <w:ilvl w:val="1"/>
          <w:numId w:val="36"/>
        </w:numPr>
        <w:rPr>
          <w:rFonts w:asciiTheme="minorHAnsi" w:eastAsiaTheme="minorHAnsi" w:hAnsiTheme="minorHAnsi" w:cstheme="minorHAnsi"/>
          <w:sz w:val="24"/>
        </w:rPr>
      </w:pPr>
      <w:r w:rsidRPr="002E1A6E">
        <w:rPr>
          <w:rFonts w:asciiTheme="minorHAnsi" w:eastAsiaTheme="minorHAnsi" w:hAnsiTheme="minorHAnsi" w:cstheme="minorHAnsi"/>
          <w:sz w:val="24"/>
        </w:rPr>
        <w:lastRenderedPageBreak/>
        <w:t>f</w:t>
      </w:r>
      <w:r w:rsidR="00202530" w:rsidRPr="002E1A6E">
        <w:rPr>
          <w:rFonts w:asciiTheme="minorHAnsi" w:eastAsiaTheme="minorHAnsi" w:hAnsiTheme="minorHAnsi" w:cstheme="minorHAnsi"/>
          <w:sz w:val="24"/>
        </w:rPr>
        <w:t xml:space="preserve">or water supplies serving </w:t>
      </w:r>
      <w:r w:rsidR="00AC4CA6" w:rsidRPr="002E1A6E">
        <w:rPr>
          <w:rFonts w:asciiTheme="minorHAnsi" w:eastAsiaTheme="minorHAnsi" w:hAnsiTheme="minorHAnsi" w:cstheme="minorHAnsi"/>
          <w:sz w:val="24"/>
        </w:rPr>
        <w:t>between 26 and 100 people</w:t>
      </w:r>
      <w:r w:rsidRPr="002E1A6E">
        <w:rPr>
          <w:rFonts w:asciiTheme="minorHAnsi" w:eastAsiaTheme="minorHAnsi" w:hAnsiTheme="minorHAnsi" w:cstheme="minorHAnsi"/>
          <w:sz w:val="24"/>
        </w:rPr>
        <w:t xml:space="preserve"> – </w:t>
      </w:r>
      <w:r w:rsidR="00AC4CA6" w:rsidRPr="002E1A6E">
        <w:rPr>
          <w:rFonts w:asciiTheme="minorHAnsi" w:eastAsiaTheme="minorHAnsi" w:hAnsiTheme="minorHAnsi" w:cstheme="minorHAnsi"/>
          <w:sz w:val="24"/>
        </w:rPr>
        <w:t>section 4.</w:t>
      </w:r>
      <w:r w:rsidR="001E1E9C" w:rsidRPr="002E1A6E">
        <w:rPr>
          <w:rFonts w:asciiTheme="minorHAnsi" w:eastAsiaTheme="minorHAnsi" w:hAnsiTheme="minorHAnsi" w:cstheme="minorHAnsi"/>
          <w:sz w:val="24"/>
        </w:rPr>
        <w:t>4</w:t>
      </w:r>
      <w:r w:rsidR="00AC4CA6" w:rsidRPr="002E1A6E">
        <w:rPr>
          <w:rFonts w:asciiTheme="minorHAnsi" w:eastAsiaTheme="minorHAnsi" w:hAnsiTheme="minorHAnsi" w:cstheme="minorHAnsi"/>
          <w:sz w:val="24"/>
        </w:rPr>
        <w:t xml:space="preserve"> T1 Treatment Rules</w:t>
      </w:r>
      <w:r w:rsidR="008E5008" w:rsidRPr="002E1A6E">
        <w:rPr>
          <w:rFonts w:asciiTheme="minorHAnsi" w:eastAsiaTheme="minorHAnsi" w:hAnsiTheme="minorHAnsi" w:cstheme="minorHAnsi"/>
          <w:sz w:val="24"/>
        </w:rPr>
        <w:t xml:space="preserve"> and 4.5 D1.1 Distribution System </w:t>
      </w:r>
      <w:proofErr w:type="gramStart"/>
      <w:r w:rsidR="008E5008" w:rsidRPr="002E1A6E">
        <w:rPr>
          <w:rFonts w:asciiTheme="minorHAnsi" w:eastAsiaTheme="minorHAnsi" w:hAnsiTheme="minorHAnsi" w:cstheme="minorHAnsi"/>
          <w:sz w:val="24"/>
        </w:rPr>
        <w:t>Rule;</w:t>
      </w:r>
      <w:proofErr w:type="gramEnd"/>
    </w:p>
    <w:p w14:paraId="0D4B8893" w14:textId="58F3E3B7" w:rsidR="00676023" w:rsidRPr="002E1A6E" w:rsidRDefault="00676023" w:rsidP="003A5FCC">
      <w:pPr>
        <w:pStyle w:val="Numberedpara3level1"/>
        <w:numPr>
          <w:ilvl w:val="1"/>
          <w:numId w:val="36"/>
        </w:numPr>
        <w:rPr>
          <w:rFonts w:asciiTheme="minorHAnsi" w:eastAsiaTheme="minorHAnsi" w:hAnsiTheme="minorHAnsi" w:cstheme="minorHAnsi"/>
          <w:sz w:val="24"/>
        </w:rPr>
      </w:pPr>
      <w:r w:rsidRPr="002E1A6E">
        <w:rPr>
          <w:rFonts w:asciiTheme="minorHAnsi" w:eastAsiaTheme="minorHAnsi" w:hAnsiTheme="minorHAnsi" w:cstheme="minorHAnsi"/>
          <w:sz w:val="24"/>
        </w:rPr>
        <w:t>f</w:t>
      </w:r>
      <w:r w:rsidR="00202530" w:rsidRPr="002E1A6E">
        <w:rPr>
          <w:rFonts w:asciiTheme="minorHAnsi" w:eastAsiaTheme="minorHAnsi" w:hAnsiTheme="minorHAnsi" w:cstheme="minorHAnsi"/>
          <w:sz w:val="24"/>
        </w:rPr>
        <w:t>or water supplies serving between</w:t>
      </w:r>
      <w:r w:rsidRPr="002E1A6E">
        <w:rPr>
          <w:rFonts w:asciiTheme="minorHAnsi" w:eastAsiaTheme="minorHAnsi" w:hAnsiTheme="minorHAnsi" w:cstheme="minorHAnsi"/>
          <w:sz w:val="24"/>
        </w:rPr>
        <w:t xml:space="preserve"> </w:t>
      </w:r>
      <w:r w:rsidR="00AC4CA6" w:rsidRPr="002E1A6E">
        <w:rPr>
          <w:rFonts w:asciiTheme="minorHAnsi" w:eastAsiaTheme="minorHAnsi" w:hAnsiTheme="minorHAnsi" w:cstheme="minorHAnsi"/>
          <w:sz w:val="24"/>
        </w:rPr>
        <w:t>101 and 500 people</w:t>
      </w:r>
      <w:r w:rsidRPr="002E1A6E">
        <w:rPr>
          <w:rFonts w:asciiTheme="minorHAnsi" w:eastAsiaTheme="minorHAnsi" w:hAnsiTheme="minorHAnsi" w:cstheme="minorHAnsi"/>
          <w:sz w:val="24"/>
        </w:rPr>
        <w:t xml:space="preserve"> – </w:t>
      </w:r>
      <w:r w:rsidR="00AC4CA6" w:rsidRPr="002E1A6E">
        <w:rPr>
          <w:rFonts w:asciiTheme="minorHAnsi" w:eastAsiaTheme="minorHAnsi" w:hAnsiTheme="minorHAnsi" w:cstheme="minorHAnsi"/>
          <w:sz w:val="24"/>
        </w:rPr>
        <w:t>sections 4.7.1 T2 Treatment Monitoring Rules, 4.7.2 T2 Filtration Rules, 4.7.3 T2 UV Rules</w:t>
      </w:r>
      <w:r w:rsidR="008E5008" w:rsidRPr="002E1A6E">
        <w:rPr>
          <w:rFonts w:asciiTheme="minorHAnsi" w:eastAsiaTheme="minorHAnsi" w:hAnsiTheme="minorHAnsi" w:cstheme="minorHAnsi"/>
          <w:sz w:val="24"/>
        </w:rPr>
        <w:t xml:space="preserve">, </w:t>
      </w:r>
      <w:r w:rsidR="00AC4CA6" w:rsidRPr="002E1A6E">
        <w:rPr>
          <w:rFonts w:asciiTheme="minorHAnsi" w:eastAsiaTheme="minorHAnsi" w:hAnsiTheme="minorHAnsi" w:cstheme="minorHAnsi"/>
          <w:sz w:val="24"/>
        </w:rPr>
        <w:t>4.7.4 T2 Chlorine Rules</w:t>
      </w:r>
      <w:r w:rsidR="008E5008" w:rsidRPr="002E1A6E">
        <w:rPr>
          <w:rFonts w:asciiTheme="minorHAnsi" w:eastAsiaTheme="minorHAnsi" w:hAnsiTheme="minorHAnsi" w:cstheme="minorHAnsi"/>
          <w:sz w:val="24"/>
        </w:rPr>
        <w:t xml:space="preserve"> and 4.8 D2.1 Distribution System Rule</w:t>
      </w:r>
      <w:r w:rsidRPr="002E1A6E">
        <w:rPr>
          <w:rFonts w:asciiTheme="minorHAnsi" w:eastAsiaTheme="minorHAnsi" w:hAnsiTheme="minorHAnsi" w:cstheme="minorHAnsi"/>
          <w:sz w:val="24"/>
        </w:rPr>
        <w:t>; and</w:t>
      </w:r>
    </w:p>
    <w:p w14:paraId="5B28AB22" w14:textId="4492C29C" w:rsidR="00AC4CA6" w:rsidRPr="002E1A6E" w:rsidRDefault="00676023" w:rsidP="003A5FCC">
      <w:pPr>
        <w:pStyle w:val="Numberedpara3level1"/>
        <w:numPr>
          <w:ilvl w:val="1"/>
          <w:numId w:val="36"/>
        </w:numPr>
        <w:rPr>
          <w:rFonts w:asciiTheme="minorHAnsi" w:eastAsiaTheme="minorHAnsi" w:hAnsiTheme="minorHAnsi" w:cstheme="minorHAnsi"/>
          <w:sz w:val="24"/>
        </w:rPr>
      </w:pPr>
      <w:r w:rsidRPr="002E1A6E">
        <w:rPr>
          <w:rFonts w:asciiTheme="minorHAnsi" w:eastAsiaTheme="minorHAnsi" w:hAnsiTheme="minorHAnsi" w:cstheme="minorHAnsi"/>
          <w:sz w:val="24"/>
        </w:rPr>
        <w:t>f</w:t>
      </w:r>
      <w:r w:rsidR="00202530" w:rsidRPr="002E1A6E">
        <w:rPr>
          <w:rFonts w:asciiTheme="minorHAnsi" w:eastAsiaTheme="minorHAnsi" w:hAnsiTheme="minorHAnsi" w:cstheme="minorHAnsi"/>
          <w:sz w:val="24"/>
        </w:rPr>
        <w:t xml:space="preserve">or water supplies serving between </w:t>
      </w:r>
      <w:r w:rsidR="00AC4CA6" w:rsidRPr="002E1A6E">
        <w:rPr>
          <w:rFonts w:asciiTheme="minorHAnsi" w:eastAsiaTheme="minorHAnsi" w:hAnsiTheme="minorHAnsi" w:cstheme="minorHAnsi"/>
          <w:sz w:val="24"/>
        </w:rPr>
        <w:t>more than 500 people</w:t>
      </w:r>
      <w:r w:rsidRPr="002E1A6E">
        <w:rPr>
          <w:rFonts w:asciiTheme="minorHAnsi" w:eastAsiaTheme="minorHAnsi" w:hAnsiTheme="minorHAnsi" w:cstheme="minorHAnsi"/>
          <w:sz w:val="24"/>
        </w:rPr>
        <w:t xml:space="preserve"> –</w:t>
      </w:r>
      <w:r w:rsidR="00AC4CA6" w:rsidRPr="002E1A6E">
        <w:rPr>
          <w:rFonts w:asciiTheme="minorHAnsi" w:eastAsiaTheme="minorHAnsi" w:hAnsiTheme="minorHAnsi" w:cstheme="minorHAnsi"/>
          <w:sz w:val="24"/>
        </w:rPr>
        <w:t xml:space="preserve"> sections 4.10.1 T3 Bacterial Rules</w:t>
      </w:r>
      <w:r w:rsidR="00E3545A" w:rsidRPr="002E1A6E">
        <w:rPr>
          <w:rFonts w:asciiTheme="minorHAnsi" w:eastAsiaTheme="minorHAnsi" w:hAnsiTheme="minorHAnsi" w:cstheme="minorHAnsi"/>
          <w:sz w:val="24"/>
        </w:rPr>
        <w:t>,</w:t>
      </w:r>
      <w:r w:rsidR="00AC4CA6" w:rsidRPr="002E1A6E">
        <w:rPr>
          <w:rFonts w:asciiTheme="minorHAnsi" w:eastAsiaTheme="minorHAnsi" w:hAnsiTheme="minorHAnsi" w:cstheme="minorHAnsi"/>
          <w:sz w:val="24"/>
        </w:rPr>
        <w:t xml:space="preserve"> 4.10.2 T3 Protozoal Rules</w:t>
      </w:r>
      <w:r w:rsidR="00E3545A" w:rsidRPr="002E1A6E">
        <w:rPr>
          <w:rFonts w:asciiTheme="minorHAnsi" w:eastAsiaTheme="minorHAnsi" w:hAnsiTheme="minorHAnsi" w:cstheme="minorHAnsi"/>
          <w:sz w:val="24"/>
        </w:rPr>
        <w:t xml:space="preserve"> and 4.11.5 D3.29 Microbiological Monitoring Rule</w:t>
      </w:r>
      <w:r w:rsidR="00AC4CA6" w:rsidRPr="002E1A6E">
        <w:rPr>
          <w:rFonts w:asciiTheme="minorHAnsi" w:eastAsiaTheme="minorHAnsi" w:hAnsiTheme="minorHAnsi" w:cstheme="minorHAnsi"/>
          <w:sz w:val="24"/>
        </w:rPr>
        <w:t>.</w:t>
      </w:r>
    </w:p>
    <w:p w14:paraId="45595F4A" w14:textId="77777777" w:rsidR="007E3072" w:rsidRDefault="007E3072" w:rsidP="007E3072">
      <w:pPr>
        <w:pStyle w:val="Numberedpara3level1"/>
        <w:numPr>
          <w:ilvl w:val="0"/>
          <w:numId w:val="33"/>
        </w:numPr>
        <w:ind w:left="567" w:hanging="567"/>
        <w:rPr>
          <w:rFonts w:asciiTheme="minorHAnsi" w:eastAsiaTheme="minorHAnsi" w:hAnsiTheme="minorHAnsi" w:cstheme="minorHAnsi"/>
          <w:sz w:val="24"/>
        </w:rPr>
      </w:pPr>
      <w:r>
        <w:rPr>
          <w:rFonts w:asciiTheme="minorHAnsi" w:eastAsiaTheme="minorHAnsi" w:hAnsiTheme="minorHAnsi" w:cstheme="minorHAnsi"/>
          <w:sz w:val="24"/>
        </w:rPr>
        <w:t xml:space="preserve">The Department notes that while this recommendation provides additional rules for councils to report on as part of the non-financial performance measures, councils are already required to report on the DWAQAR 2022 to </w:t>
      </w:r>
      <w:proofErr w:type="spellStart"/>
      <w:r>
        <w:rPr>
          <w:rFonts w:asciiTheme="minorHAnsi" w:eastAsiaTheme="minorHAnsi" w:hAnsiTheme="minorHAnsi" w:cstheme="minorHAnsi"/>
          <w:sz w:val="24"/>
        </w:rPr>
        <w:t>Taumata</w:t>
      </w:r>
      <w:proofErr w:type="spellEnd"/>
      <w:r>
        <w:rPr>
          <w:rFonts w:asciiTheme="minorHAnsi" w:eastAsiaTheme="minorHAnsi" w:hAnsiTheme="minorHAnsi" w:cstheme="minorHAnsi"/>
          <w:sz w:val="24"/>
        </w:rPr>
        <w:t xml:space="preserve"> </w:t>
      </w:r>
      <w:proofErr w:type="spellStart"/>
      <w:r>
        <w:rPr>
          <w:rFonts w:asciiTheme="minorHAnsi" w:eastAsiaTheme="minorHAnsi" w:hAnsiTheme="minorHAnsi" w:cstheme="minorHAnsi"/>
          <w:sz w:val="24"/>
        </w:rPr>
        <w:t>Arowai</w:t>
      </w:r>
      <w:proofErr w:type="spellEnd"/>
      <w:r>
        <w:rPr>
          <w:rFonts w:asciiTheme="minorHAnsi" w:eastAsiaTheme="minorHAnsi" w:hAnsiTheme="minorHAnsi" w:cstheme="minorHAnsi"/>
          <w:sz w:val="24"/>
        </w:rPr>
        <w:t xml:space="preserve">, meaning that councils will already have these monitoring and compliance systems in place. </w:t>
      </w:r>
    </w:p>
    <w:p w14:paraId="4E1E482E" w14:textId="7475F7AC" w:rsidR="00811BA4" w:rsidRPr="007E3072" w:rsidRDefault="00811BA4" w:rsidP="007E3072">
      <w:pPr>
        <w:pStyle w:val="Numberedpara3level1"/>
        <w:numPr>
          <w:ilvl w:val="0"/>
          <w:numId w:val="33"/>
        </w:numPr>
        <w:ind w:left="567" w:hanging="567"/>
        <w:rPr>
          <w:rFonts w:asciiTheme="minorHAnsi" w:eastAsiaTheme="minorHAnsi" w:hAnsiTheme="minorHAnsi" w:cstheme="minorHAnsi"/>
          <w:sz w:val="24"/>
        </w:rPr>
      </w:pPr>
      <w:bookmarkStart w:id="9" w:name="_Hlk170123464"/>
      <w:r w:rsidRPr="007E3072">
        <w:rPr>
          <w:rFonts w:asciiTheme="minorHAnsi" w:eastAsiaTheme="minorHAnsi" w:hAnsiTheme="minorHAnsi" w:cstheme="minorHAnsi"/>
          <w:sz w:val="24"/>
        </w:rPr>
        <w:t xml:space="preserve">The Department also recommends </w:t>
      </w:r>
      <w:r w:rsidR="007E3072" w:rsidRPr="007E3072">
        <w:rPr>
          <w:rFonts w:asciiTheme="minorHAnsi" w:eastAsiaTheme="minorHAnsi" w:hAnsiTheme="minorHAnsi" w:cstheme="minorHAnsi"/>
          <w:sz w:val="24"/>
        </w:rPr>
        <w:t>removing</w:t>
      </w:r>
      <w:r w:rsidRPr="007E3072">
        <w:rPr>
          <w:rFonts w:asciiTheme="minorHAnsi" w:eastAsiaTheme="minorHAnsi" w:hAnsiTheme="minorHAnsi" w:cstheme="minorHAnsi"/>
          <w:sz w:val="24"/>
        </w:rPr>
        <w:t xml:space="preserve"> the proposed references to the Standards 2022. As noted in the submissions, there was conc</w:t>
      </w:r>
      <w:r w:rsidR="007E3072">
        <w:rPr>
          <w:rFonts w:asciiTheme="minorHAnsi" w:eastAsiaTheme="minorHAnsi" w:hAnsiTheme="minorHAnsi" w:cstheme="minorHAnsi"/>
          <w:sz w:val="24"/>
        </w:rPr>
        <w:t xml:space="preserve">ern that the wording would create additional sampling and compliance requirements, without providing additional benefit. Following consultation with </w:t>
      </w:r>
      <w:proofErr w:type="spellStart"/>
      <w:r w:rsidR="007E3072">
        <w:rPr>
          <w:rFonts w:asciiTheme="minorHAnsi" w:eastAsiaTheme="minorHAnsi" w:hAnsiTheme="minorHAnsi" w:cstheme="minorHAnsi"/>
          <w:sz w:val="24"/>
        </w:rPr>
        <w:t>Taumata</w:t>
      </w:r>
      <w:proofErr w:type="spellEnd"/>
      <w:r w:rsidR="007E3072">
        <w:rPr>
          <w:rFonts w:asciiTheme="minorHAnsi" w:eastAsiaTheme="minorHAnsi" w:hAnsiTheme="minorHAnsi" w:cstheme="minorHAnsi"/>
          <w:sz w:val="24"/>
        </w:rPr>
        <w:t xml:space="preserve"> </w:t>
      </w:r>
      <w:proofErr w:type="spellStart"/>
      <w:r w:rsidR="007E3072">
        <w:rPr>
          <w:rFonts w:asciiTheme="minorHAnsi" w:eastAsiaTheme="minorHAnsi" w:hAnsiTheme="minorHAnsi" w:cstheme="minorHAnsi"/>
          <w:sz w:val="24"/>
        </w:rPr>
        <w:t>Arowai</w:t>
      </w:r>
      <w:proofErr w:type="spellEnd"/>
      <w:r w:rsidR="007E3072">
        <w:rPr>
          <w:rFonts w:asciiTheme="minorHAnsi" w:eastAsiaTheme="minorHAnsi" w:hAnsiTheme="minorHAnsi" w:cstheme="minorHAnsi"/>
          <w:sz w:val="24"/>
        </w:rPr>
        <w:t xml:space="preserve">, the Department recommends that the relevant sections of the DWQAR 2022 provide appropriate replacement of the references to the revoked standards. </w:t>
      </w:r>
    </w:p>
    <w:bookmarkEnd w:id="9"/>
    <w:p w14:paraId="6D583CE7" w14:textId="612CC9E5" w:rsidR="00BB192A" w:rsidRDefault="00BB192A" w:rsidP="00675A06">
      <w:pPr>
        <w:pStyle w:val="Heading2"/>
      </w:pPr>
      <w:r>
        <w:t xml:space="preserve">Audit </w:t>
      </w:r>
      <w:r w:rsidR="00DF7321">
        <w:t xml:space="preserve">and implementation </w:t>
      </w:r>
      <w:r>
        <w:t xml:space="preserve">considerations </w:t>
      </w:r>
    </w:p>
    <w:p w14:paraId="6D2565D9" w14:textId="77777777" w:rsidR="00BB192A" w:rsidRPr="00675A06" w:rsidRDefault="00BB192A" w:rsidP="00675A06">
      <w:pPr>
        <w:pStyle w:val="Numberedpara3level1"/>
        <w:numPr>
          <w:ilvl w:val="0"/>
          <w:numId w:val="25"/>
        </w:numPr>
        <w:spacing w:before="120" w:line="240" w:lineRule="auto"/>
        <w:ind w:left="567" w:hanging="567"/>
        <w:rPr>
          <w:rFonts w:ascii="Calibri" w:eastAsiaTheme="minorHAnsi" w:hAnsi="Calibri"/>
          <w:sz w:val="24"/>
        </w:rPr>
      </w:pPr>
      <w:r w:rsidRPr="00675A06">
        <w:rPr>
          <w:rFonts w:ascii="Calibri" w:eastAsiaTheme="minorHAnsi" w:hAnsi="Calibri"/>
          <w:sz w:val="24"/>
        </w:rPr>
        <w:t xml:space="preserve">Six submissions noted concerns over the cost to councils to independently audit their drinking water compliance under the </w:t>
      </w:r>
      <w:proofErr w:type="spellStart"/>
      <w:r w:rsidRPr="00675A06">
        <w:rPr>
          <w:rFonts w:ascii="Calibri" w:eastAsiaTheme="minorHAnsi" w:hAnsi="Calibri"/>
          <w:sz w:val="24"/>
        </w:rPr>
        <w:t>Taumata</w:t>
      </w:r>
      <w:proofErr w:type="spellEnd"/>
      <w:r w:rsidRPr="00675A06">
        <w:rPr>
          <w:rFonts w:ascii="Calibri" w:eastAsiaTheme="minorHAnsi" w:hAnsi="Calibri"/>
          <w:sz w:val="24"/>
        </w:rPr>
        <w:t xml:space="preserve"> </w:t>
      </w:r>
      <w:proofErr w:type="spellStart"/>
      <w:r w:rsidRPr="00675A06">
        <w:rPr>
          <w:rFonts w:ascii="Calibri" w:eastAsiaTheme="minorHAnsi" w:hAnsi="Calibri"/>
          <w:sz w:val="24"/>
        </w:rPr>
        <w:t>Arowai</w:t>
      </w:r>
      <w:proofErr w:type="spellEnd"/>
      <w:r w:rsidRPr="00675A06">
        <w:rPr>
          <w:rFonts w:ascii="Calibri" w:eastAsiaTheme="minorHAnsi" w:hAnsi="Calibri"/>
          <w:sz w:val="24"/>
        </w:rPr>
        <w:t xml:space="preserve"> regulatory system. </w:t>
      </w:r>
    </w:p>
    <w:p w14:paraId="4EC12074" w14:textId="22E137E1" w:rsidR="00BB192A" w:rsidRPr="00675A06" w:rsidRDefault="00BB192A" w:rsidP="00675A06">
      <w:pPr>
        <w:pStyle w:val="Numberedpara3level1"/>
        <w:numPr>
          <w:ilvl w:val="0"/>
          <w:numId w:val="25"/>
        </w:numPr>
        <w:spacing w:before="120" w:line="240" w:lineRule="auto"/>
        <w:ind w:left="567" w:hanging="567"/>
        <w:rPr>
          <w:rFonts w:ascii="Calibri" w:eastAsiaTheme="minorHAnsi" w:hAnsi="Calibri"/>
          <w:sz w:val="24"/>
        </w:rPr>
      </w:pPr>
      <w:r w:rsidRPr="00675A06">
        <w:rPr>
          <w:rFonts w:ascii="Calibri" w:eastAsiaTheme="minorHAnsi" w:hAnsi="Calibri"/>
          <w:sz w:val="24"/>
        </w:rPr>
        <w:t xml:space="preserve">Submissions raised concerns that while councils reported to </w:t>
      </w:r>
      <w:proofErr w:type="spellStart"/>
      <w:r w:rsidRPr="00675A06">
        <w:rPr>
          <w:rFonts w:ascii="Calibri" w:eastAsiaTheme="minorHAnsi" w:hAnsi="Calibri"/>
          <w:sz w:val="24"/>
        </w:rPr>
        <w:t>Taumata</w:t>
      </w:r>
      <w:proofErr w:type="spellEnd"/>
      <w:r w:rsidRPr="00675A06">
        <w:rPr>
          <w:rFonts w:ascii="Calibri" w:eastAsiaTheme="minorHAnsi" w:hAnsi="Calibri"/>
          <w:sz w:val="24"/>
        </w:rPr>
        <w:t xml:space="preserve"> </w:t>
      </w:r>
      <w:proofErr w:type="spellStart"/>
      <w:r w:rsidRPr="00675A06">
        <w:rPr>
          <w:rFonts w:ascii="Calibri" w:eastAsiaTheme="minorHAnsi" w:hAnsi="Calibri"/>
          <w:sz w:val="24"/>
        </w:rPr>
        <w:t>Arowai</w:t>
      </w:r>
      <w:proofErr w:type="spellEnd"/>
      <w:r w:rsidRPr="00675A06">
        <w:rPr>
          <w:rFonts w:ascii="Calibri" w:eastAsiaTheme="minorHAnsi" w:hAnsi="Calibri"/>
          <w:sz w:val="24"/>
        </w:rPr>
        <w:t xml:space="preserve"> on the DWQAR 2022, these</w:t>
      </w:r>
      <w:r w:rsidR="008029E1">
        <w:rPr>
          <w:rFonts w:ascii="Calibri" w:eastAsiaTheme="minorHAnsi" w:hAnsi="Calibri"/>
          <w:sz w:val="24"/>
        </w:rPr>
        <w:t xml:space="preserve"> reports</w:t>
      </w:r>
      <w:r w:rsidRPr="00675A06">
        <w:rPr>
          <w:rFonts w:ascii="Calibri" w:eastAsiaTheme="minorHAnsi" w:hAnsi="Calibri"/>
          <w:sz w:val="24"/>
        </w:rPr>
        <w:t xml:space="preserve"> are not required to be independently audited</w:t>
      </w:r>
      <w:r w:rsidR="00C51B94">
        <w:rPr>
          <w:rFonts w:ascii="Calibri" w:eastAsiaTheme="minorHAnsi" w:hAnsi="Calibri"/>
          <w:sz w:val="24"/>
        </w:rPr>
        <w:t xml:space="preserve">. However, </w:t>
      </w:r>
      <w:r w:rsidRPr="00675A06">
        <w:rPr>
          <w:rFonts w:ascii="Calibri" w:eastAsiaTheme="minorHAnsi" w:hAnsi="Calibri"/>
          <w:sz w:val="24"/>
        </w:rPr>
        <w:t>the audit of long-term plans and annual reports requires independent verification of the non-financial performance measures reported</w:t>
      </w:r>
      <w:r w:rsidR="00C51B94">
        <w:rPr>
          <w:rFonts w:ascii="Calibri" w:eastAsiaTheme="minorHAnsi" w:hAnsi="Calibri"/>
          <w:sz w:val="24"/>
        </w:rPr>
        <w:t>, and t</w:t>
      </w:r>
      <w:r w:rsidRPr="00675A06">
        <w:rPr>
          <w:rFonts w:ascii="Calibri" w:eastAsiaTheme="minorHAnsi" w:hAnsi="Calibri"/>
          <w:sz w:val="24"/>
        </w:rPr>
        <w:t>his audit was required last year for the 2022/23 annual reports.</w:t>
      </w:r>
      <w:r w:rsidR="00C51B94">
        <w:rPr>
          <w:rFonts w:ascii="Calibri" w:eastAsiaTheme="minorHAnsi" w:hAnsi="Calibri"/>
          <w:sz w:val="24"/>
        </w:rPr>
        <w:t xml:space="preserve"> </w:t>
      </w:r>
      <w:r w:rsidRPr="00675A06">
        <w:rPr>
          <w:rFonts w:ascii="Calibri" w:eastAsiaTheme="minorHAnsi" w:hAnsi="Calibri"/>
          <w:sz w:val="24"/>
        </w:rPr>
        <w:t>This has become a new cost</w:t>
      </w:r>
      <w:r w:rsidR="00E169A3">
        <w:rPr>
          <w:rFonts w:ascii="Calibri" w:eastAsiaTheme="minorHAnsi" w:hAnsi="Calibri"/>
          <w:sz w:val="24"/>
        </w:rPr>
        <w:t xml:space="preserve"> </w:t>
      </w:r>
      <w:r w:rsidR="008029E1">
        <w:rPr>
          <w:rFonts w:ascii="Calibri" w:eastAsiaTheme="minorHAnsi" w:hAnsi="Calibri"/>
          <w:sz w:val="24"/>
        </w:rPr>
        <w:t xml:space="preserve">to </w:t>
      </w:r>
      <w:r w:rsidR="00E169A3">
        <w:rPr>
          <w:rFonts w:ascii="Calibri" w:eastAsiaTheme="minorHAnsi" w:hAnsi="Calibri"/>
          <w:sz w:val="24"/>
        </w:rPr>
        <w:t>councils</w:t>
      </w:r>
      <w:r w:rsidRPr="00675A06">
        <w:rPr>
          <w:rFonts w:ascii="Calibri" w:eastAsiaTheme="minorHAnsi" w:hAnsi="Calibri"/>
          <w:sz w:val="24"/>
        </w:rPr>
        <w:t>, as under the previous regulatory regime, Drinking Water Assessors through the Ministry of Health acted as compliance assessors and independent auditors.</w:t>
      </w:r>
    </w:p>
    <w:p w14:paraId="7CB16D33" w14:textId="77777777" w:rsidR="00E169A3" w:rsidRDefault="00BB192A" w:rsidP="00E169A3">
      <w:pPr>
        <w:pStyle w:val="Numberedpara3level1"/>
        <w:numPr>
          <w:ilvl w:val="0"/>
          <w:numId w:val="25"/>
        </w:numPr>
        <w:spacing w:before="120" w:line="240" w:lineRule="auto"/>
        <w:ind w:left="567" w:hanging="567"/>
        <w:rPr>
          <w:rFonts w:ascii="Calibri" w:eastAsiaTheme="minorHAnsi" w:hAnsi="Calibri"/>
          <w:sz w:val="24"/>
        </w:rPr>
      </w:pPr>
      <w:r w:rsidRPr="00675A06">
        <w:rPr>
          <w:rFonts w:ascii="Calibri" w:eastAsiaTheme="minorHAnsi" w:hAnsi="Calibri"/>
          <w:sz w:val="24"/>
        </w:rPr>
        <w:t xml:space="preserve">Invercargill City Council’s submission stated that it would cost their council $20,000 this year to necessitate a water compliance audit. </w:t>
      </w:r>
    </w:p>
    <w:p w14:paraId="5A477833" w14:textId="2E174564" w:rsidR="00BB192A" w:rsidRPr="00675A06" w:rsidRDefault="00BB192A" w:rsidP="00675A06">
      <w:pPr>
        <w:pStyle w:val="Numberedpara3level1"/>
        <w:numPr>
          <w:ilvl w:val="0"/>
          <w:numId w:val="25"/>
        </w:numPr>
        <w:spacing w:before="120" w:line="240" w:lineRule="auto"/>
        <w:ind w:left="567" w:hanging="567"/>
        <w:rPr>
          <w:rFonts w:ascii="Calibri" w:eastAsiaTheme="minorHAnsi" w:hAnsi="Calibri"/>
          <w:sz w:val="24"/>
        </w:rPr>
      </w:pPr>
      <w:r w:rsidRPr="00675A06">
        <w:rPr>
          <w:rFonts w:ascii="Calibri" w:eastAsiaTheme="minorHAnsi" w:hAnsi="Calibri"/>
          <w:sz w:val="24"/>
        </w:rPr>
        <w:t xml:space="preserve">Three submitters also </w:t>
      </w:r>
      <w:r w:rsidR="0099028F" w:rsidRPr="00675A06">
        <w:rPr>
          <w:rFonts w:ascii="Calibri" w:eastAsiaTheme="minorHAnsi" w:hAnsi="Calibri"/>
          <w:sz w:val="24"/>
        </w:rPr>
        <w:t>raised concerns about how to align</w:t>
      </w:r>
      <w:r w:rsidR="00E169A3">
        <w:rPr>
          <w:rFonts w:ascii="Calibri" w:eastAsiaTheme="minorHAnsi" w:hAnsi="Calibri"/>
          <w:sz w:val="24"/>
        </w:rPr>
        <w:t xml:space="preserve"> the</w:t>
      </w:r>
      <w:r w:rsidR="0099028F" w:rsidRPr="00675A06">
        <w:rPr>
          <w:rFonts w:ascii="Calibri" w:eastAsiaTheme="minorHAnsi" w:hAnsi="Calibri"/>
          <w:sz w:val="24"/>
        </w:rPr>
        <w:t xml:space="preserve"> current reporting of drinking water compliance with </w:t>
      </w:r>
      <w:r w:rsidR="00E169A3" w:rsidRPr="00675A06">
        <w:rPr>
          <w:rFonts w:ascii="Calibri" w:eastAsiaTheme="minorHAnsi" w:hAnsi="Calibri"/>
          <w:sz w:val="24"/>
        </w:rPr>
        <w:t xml:space="preserve">the reporting cycles of the non-financial performance measures. Tasman and Marlborough District Councils both raised that </w:t>
      </w:r>
      <w:proofErr w:type="spellStart"/>
      <w:r w:rsidR="00E169A3" w:rsidRPr="00675A06">
        <w:rPr>
          <w:rFonts w:ascii="Calibri" w:eastAsiaTheme="minorHAnsi" w:hAnsi="Calibri"/>
          <w:sz w:val="24"/>
        </w:rPr>
        <w:t>Taumata</w:t>
      </w:r>
      <w:proofErr w:type="spellEnd"/>
      <w:r w:rsidR="00E169A3" w:rsidRPr="00675A06">
        <w:rPr>
          <w:rFonts w:ascii="Calibri" w:eastAsiaTheme="minorHAnsi" w:hAnsi="Calibri"/>
          <w:sz w:val="24"/>
        </w:rPr>
        <w:t xml:space="preserve"> </w:t>
      </w:r>
      <w:proofErr w:type="spellStart"/>
      <w:r w:rsidR="00E169A3" w:rsidRPr="00675A06">
        <w:rPr>
          <w:rFonts w:ascii="Calibri" w:eastAsiaTheme="minorHAnsi" w:hAnsi="Calibri"/>
          <w:sz w:val="24"/>
        </w:rPr>
        <w:t>Arowai</w:t>
      </w:r>
      <w:proofErr w:type="spellEnd"/>
      <w:r w:rsidR="00E169A3" w:rsidRPr="00675A06">
        <w:rPr>
          <w:rFonts w:ascii="Calibri" w:eastAsiaTheme="minorHAnsi" w:hAnsi="Calibri"/>
          <w:sz w:val="24"/>
        </w:rPr>
        <w:t xml:space="preserve"> requires suppliers to report against a small number of rules within the DWQAR 2022 on </w:t>
      </w:r>
      <w:r w:rsidR="00C51B94">
        <w:rPr>
          <w:rFonts w:ascii="Calibri" w:eastAsiaTheme="minorHAnsi" w:hAnsi="Calibri"/>
          <w:sz w:val="24"/>
        </w:rPr>
        <w:t>differing</w:t>
      </w:r>
      <w:r w:rsidR="00E169A3" w:rsidRPr="00675A06">
        <w:rPr>
          <w:rFonts w:ascii="Calibri" w:eastAsiaTheme="minorHAnsi" w:hAnsi="Calibri"/>
          <w:sz w:val="24"/>
        </w:rPr>
        <w:t xml:space="preserve"> regular </w:t>
      </w:r>
      <w:r w:rsidR="00C51B94">
        <w:rPr>
          <w:rFonts w:ascii="Calibri" w:eastAsiaTheme="minorHAnsi" w:hAnsi="Calibri"/>
          <w:sz w:val="24"/>
        </w:rPr>
        <w:t xml:space="preserve">cycles </w:t>
      </w:r>
      <w:r w:rsidR="00E169A3" w:rsidRPr="00675A06">
        <w:rPr>
          <w:rFonts w:ascii="Calibri" w:eastAsiaTheme="minorHAnsi" w:hAnsi="Calibri"/>
          <w:sz w:val="24"/>
        </w:rPr>
        <w:t xml:space="preserve">depending on supply size, and then requires reporting against the remainder of the rules annually in February for the previous calendar year. This </w:t>
      </w:r>
      <w:r w:rsidR="00C51B94" w:rsidRPr="00675A06">
        <w:rPr>
          <w:rFonts w:ascii="Calibri" w:eastAsiaTheme="minorHAnsi" w:hAnsi="Calibri"/>
          <w:sz w:val="24"/>
        </w:rPr>
        <w:t>contrasts with</w:t>
      </w:r>
      <w:r w:rsidR="00E169A3" w:rsidRPr="00675A06">
        <w:rPr>
          <w:rFonts w:ascii="Calibri" w:eastAsiaTheme="minorHAnsi" w:hAnsi="Calibri"/>
          <w:sz w:val="24"/>
        </w:rPr>
        <w:t xml:space="preserve"> the requirement to report on the non-financial measures in council’s annual reports, which is based on the previous </w:t>
      </w:r>
      <w:r w:rsidR="005946EF" w:rsidRPr="00675A06">
        <w:rPr>
          <w:rFonts w:ascii="Calibri" w:eastAsiaTheme="minorHAnsi" w:hAnsi="Calibri"/>
          <w:sz w:val="24"/>
        </w:rPr>
        <w:t>financial</w:t>
      </w:r>
      <w:r w:rsidR="00E169A3" w:rsidRPr="00675A06">
        <w:rPr>
          <w:rFonts w:ascii="Calibri" w:eastAsiaTheme="minorHAnsi" w:hAnsi="Calibri"/>
          <w:sz w:val="24"/>
        </w:rPr>
        <w:t xml:space="preserve"> year. </w:t>
      </w:r>
    </w:p>
    <w:p w14:paraId="00018146" w14:textId="352971AE" w:rsidR="00BB192A" w:rsidRDefault="00BB192A" w:rsidP="00BB192A">
      <w:pPr>
        <w:pStyle w:val="Numberedpara3level1"/>
        <w:numPr>
          <w:ilvl w:val="0"/>
          <w:numId w:val="25"/>
        </w:numPr>
        <w:spacing w:before="120" w:line="240" w:lineRule="auto"/>
        <w:ind w:left="567" w:hanging="567"/>
        <w:rPr>
          <w:rFonts w:ascii="Calibri" w:eastAsiaTheme="minorHAnsi" w:hAnsi="Calibri"/>
          <w:sz w:val="24"/>
        </w:rPr>
      </w:pPr>
      <w:r w:rsidRPr="00675A06">
        <w:rPr>
          <w:rFonts w:ascii="Calibri" w:eastAsiaTheme="minorHAnsi" w:hAnsi="Calibri"/>
          <w:sz w:val="24"/>
        </w:rPr>
        <w:t>However, Wellington Water</w:t>
      </w:r>
      <w:r w:rsidR="0099028F">
        <w:rPr>
          <w:rFonts w:ascii="Calibri" w:eastAsiaTheme="minorHAnsi" w:hAnsi="Calibri"/>
          <w:sz w:val="24"/>
        </w:rPr>
        <w:t xml:space="preserve"> stated</w:t>
      </w:r>
      <w:r w:rsidRPr="00675A06">
        <w:rPr>
          <w:rFonts w:ascii="Calibri" w:eastAsiaTheme="minorHAnsi" w:hAnsi="Calibri"/>
          <w:sz w:val="24"/>
        </w:rPr>
        <w:t xml:space="preserve"> that they would not expect that there would be issues providing independent assurance on measures referencing the new standards, as under the new </w:t>
      </w:r>
      <w:r w:rsidR="0099028F" w:rsidRPr="0099028F">
        <w:rPr>
          <w:rFonts w:ascii="Calibri" w:eastAsiaTheme="minorHAnsi" w:hAnsi="Calibri"/>
          <w:sz w:val="24"/>
        </w:rPr>
        <w:t>regulatory</w:t>
      </w:r>
      <w:r w:rsidRPr="00675A06">
        <w:rPr>
          <w:rFonts w:ascii="Calibri" w:eastAsiaTheme="minorHAnsi" w:hAnsi="Calibri"/>
          <w:sz w:val="24"/>
        </w:rPr>
        <w:t xml:space="preserve"> regime, they have contracted an independent expert to provide similar assurance to</w:t>
      </w:r>
      <w:r w:rsidR="00765244">
        <w:rPr>
          <w:rFonts w:ascii="Calibri" w:eastAsiaTheme="minorHAnsi" w:hAnsi="Calibri"/>
          <w:sz w:val="24"/>
        </w:rPr>
        <w:t xml:space="preserve"> their </w:t>
      </w:r>
      <w:r w:rsidRPr="00675A06">
        <w:rPr>
          <w:rFonts w:ascii="Calibri" w:eastAsiaTheme="minorHAnsi" w:hAnsi="Calibri"/>
          <w:sz w:val="24"/>
        </w:rPr>
        <w:t xml:space="preserve">board under the new </w:t>
      </w:r>
      <w:r w:rsidR="0099028F" w:rsidRPr="0099028F">
        <w:rPr>
          <w:rFonts w:ascii="Calibri" w:eastAsiaTheme="minorHAnsi" w:hAnsi="Calibri"/>
          <w:sz w:val="24"/>
        </w:rPr>
        <w:t>regulations and</w:t>
      </w:r>
      <w:r w:rsidRPr="00675A06">
        <w:rPr>
          <w:rFonts w:ascii="Calibri" w:eastAsiaTheme="minorHAnsi" w:hAnsi="Calibri"/>
          <w:sz w:val="24"/>
        </w:rPr>
        <w:t xml:space="preserve"> continue to be comfortable with this approach. </w:t>
      </w:r>
    </w:p>
    <w:p w14:paraId="0E542789" w14:textId="609FA578" w:rsidR="0099028F" w:rsidRDefault="0099028F" w:rsidP="0099028F">
      <w:pPr>
        <w:pStyle w:val="Numberedpara3level1"/>
        <w:numPr>
          <w:ilvl w:val="0"/>
          <w:numId w:val="25"/>
        </w:numPr>
        <w:spacing w:before="120" w:line="240" w:lineRule="auto"/>
        <w:ind w:left="567" w:hanging="567"/>
        <w:rPr>
          <w:rFonts w:ascii="Calibri" w:eastAsiaTheme="minorHAnsi" w:hAnsi="Calibri"/>
          <w:sz w:val="24"/>
        </w:rPr>
      </w:pPr>
      <w:r>
        <w:rPr>
          <w:rFonts w:ascii="Calibri" w:eastAsiaTheme="minorHAnsi" w:hAnsi="Calibri"/>
          <w:sz w:val="24"/>
        </w:rPr>
        <w:lastRenderedPageBreak/>
        <w:t>Submissions</w:t>
      </w:r>
      <w:r w:rsidRPr="00680BDB">
        <w:rPr>
          <w:rFonts w:ascii="Calibri" w:eastAsiaTheme="minorHAnsi" w:hAnsi="Calibri"/>
          <w:sz w:val="24"/>
        </w:rPr>
        <w:t xml:space="preserve"> </w:t>
      </w:r>
      <w:r w:rsidR="00E169A3">
        <w:rPr>
          <w:rFonts w:ascii="Calibri" w:eastAsiaTheme="minorHAnsi" w:hAnsi="Calibri"/>
          <w:sz w:val="24"/>
        </w:rPr>
        <w:t>expressed strong</w:t>
      </w:r>
      <w:r>
        <w:rPr>
          <w:rFonts w:ascii="Calibri" w:eastAsiaTheme="minorHAnsi" w:hAnsi="Calibri"/>
          <w:sz w:val="24"/>
        </w:rPr>
        <w:t xml:space="preserve"> desire for further guidance on the reporting approach for any new measures, and the need for this to be consistent with auditor’s expectations.  </w:t>
      </w:r>
    </w:p>
    <w:p w14:paraId="275CA787" w14:textId="3375156E" w:rsidR="00A66753" w:rsidRDefault="00E169A3" w:rsidP="00675A06">
      <w:pPr>
        <w:pStyle w:val="Numberedpara3level1"/>
        <w:numPr>
          <w:ilvl w:val="0"/>
          <w:numId w:val="25"/>
        </w:numPr>
        <w:spacing w:before="120" w:line="240" w:lineRule="auto"/>
        <w:ind w:left="567" w:hanging="567"/>
        <w:rPr>
          <w:rFonts w:ascii="Calibri" w:eastAsiaTheme="minorHAnsi" w:hAnsi="Calibri"/>
          <w:sz w:val="24"/>
        </w:rPr>
      </w:pPr>
      <w:r>
        <w:rPr>
          <w:rFonts w:ascii="Calibri" w:eastAsiaTheme="minorHAnsi" w:hAnsi="Calibri"/>
          <w:sz w:val="24"/>
        </w:rPr>
        <w:t xml:space="preserve">Both Hamilton and </w:t>
      </w:r>
      <w:r w:rsidR="00DF7321">
        <w:rPr>
          <w:rFonts w:ascii="Calibri" w:eastAsiaTheme="minorHAnsi" w:hAnsi="Calibri"/>
          <w:sz w:val="24"/>
        </w:rPr>
        <w:t>Invercargill</w:t>
      </w:r>
      <w:r>
        <w:rPr>
          <w:rFonts w:ascii="Calibri" w:eastAsiaTheme="minorHAnsi" w:hAnsi="Calibri"/>
          <w:sz w:val="24"/>
        </w:rPr>
        <w:t xml:space="preserve"> City Councils also raised questions about the implementation approach for the new measures, noting tha</w:t>
      </w:r>
      <w:r w:rsidR="00DF7321">
        <w:rPr>
          <w:rFonts w:ascii="Calibri" w:eastAsiaTheme="minorHAnsi" w:hAnsi="Calibri"/>
          <w:sz w:val="24"/>
        </w:rPr>
        <w:t>t at the time any new measures are in effect, many councils will have adopted their 2024-2034 long-term plans. Invercargill City Council’s submission requested that any changes be implemented in a way that any councils who adopted their long-term plans</w:t>
      </w:r>
      <w:r w:rsidR="00DF7321" w:rsidRPr="00675A06">
        <w:rPr>
          <w:rFonts w:ascii="Calibri" w:eastAsiaTheme="minorHAnsi" w:hAnsi="Calibri"/>
          <w:sz w:val="24"/>
        </w:rPr>
        <w:t xml:space="preserve"> prior, are not left in the position of having to report on measures which have been revoked for three years or alternatively to amend their </w:t>
      </w:r>
      <w:r w:rsidR="00DF7321">
        <w:rPr>
          <w:rFonts w:ascii="Calibri" w:eastAsiaTheme="minorHAnsi" w:hAnsi="Calibri"/>
          <w:sz w:val="24"/>
        </w:rPr>
        <w:t xml:space="preserve">long-term plans. </w:t>
      </w:r>
    </w:p>
    <w:p w14:paraId="514A7D41" w14:textId="0F954FB4" w:rsidR="005946EF" w:rsidRDefault="00AC4CA6" w:rsidP="005946EF">
      <w:pPr>
        <w:rPr>
          <w:rStyle w:val="Heading4Char"/>
        </w:rPr>
      </w:pPr>
      <w:r>
        <w:rPr>
          <w:rStyle w:val="Heading4Char"/>
        </w:rPr>
        <w:t>Analysis and r</w:t>
      </w:r>
      <w:r w:rsidR="005946EF">
        <w:rPr>
          <w:rStyle w:val="Heading4Char"/>
        </w:rPr>
        <w:t>ecommendation</w:t>
      </w:r>
    </w:p>
    <w:p w14:paraId="2DC3F2E8" w14:textId="6160DA24" w:rsidR="005946EF" w:rsidRDefault="00216498" w:rsidP="00675A06">
      <w:pPr>
        <w:pStyle w:val="Numberedpara3level1"/>
        <w:numPr>
          <w:ilvl w:val="0"/>
          <w:numId w:val="25"/>
        </w:numPr>
        <w:spacing w:before="120" w:line="240" w:lineRule="auto"/>
        <w:ind w:left="567" w:hanging="567"/>
        <w:rPr>
          <w:rFonts w:ascii="Calibri" w:eastAsiaTheme="minorHAnsi" w:hAnsi="Calibri"/>
          <w:sz w:val="24"/>
        </w:rPr>
      </w:pPr>
      <w:r>
        <w:rPr>
          <w:rFonts w:ascii="Calibri" w:eastAsiaTheme="minorHAnsi" w:hAnsi="Calibri"/>
          <w:sz w:val="24"/>
        </w:rPr>
        <w:t>The Department consulted with the Office of the Auditor General</w:t>
      </w:r>
      <w:r w:rsidR="00FC4C71">
        <w:rPr>
          <w:rFonts w:ascii="Calibri" w:eastAsiaTheme="minorHAnsi" w:hAnsi="Calibri"/>
          <w:sz w:val="24"/>
        </w:rPr>
        <w:t xml:space="preserve"> (OAG)</w:t>
      </w:r>
      <w:r>
        <w:rPr>
          <w:rFonts w:ascii="Calibri" w:eastAsiaTheme="minorHAnsi" w:hAnsi="Calibri"/>
          <w:sz w:val="24"/>
        </w:rPr>
        <w:t xml:space="preserve"> in</w:t>
      </w:r>
      <w:r w:rsidR="00FC4C71">
        <w:rPr>
          <w:rFonts w:ascii="Calibri" w:eastAsiaTheme="minorHAnsi" w:hAnsi="Calibri"/>
          <w:sz w:val="24"/>
        </w:rPr>
        <w:t xml:space="preserve"> the </w:t>
      </w:r>
      <w:r>
        <w:rPr>
          <w:rFonts w:ascii="Calibri" w:eastAsiaTheme="minorHAnsi" w:hAnsi="Calibri"/>
          <w:sz w:val="24"/>
        </w:rPr>
        <w:t xml:space="preserve">consideration of submissions. </w:t>
      </w:r>
    </w:p>
    <w:p w14:paraId="3B74DE2F" w14:textId="11FAE9DE" w:rsidR="00FC4C71" w:rsidRDefault="00FC4C71" w:rsidP="00675A06">
      <w:pPr>
        <w:pStyle w:val="Numberedpara3level1"/>
        <w:numPr>
          <w:ilvl w:val="0"/>
          <w:numId w:val="25"/>
        </w:numPr>
        <w:spacing w:before="120" w:line="240" w:lineRule="auto"/>
        <w:ind w:left="567" w:hanging="567"/>
        <w:rPr>
          <w:rFonts w:ascii="Calibri" w:eastAsiaTheme="minorHAnsi" w:hAnsi="Calibri"/>
          <w:sz w:val="24"/>
        </w:rPr>
      </w:pPr>
      <w:r>
        <w:rPr>
          <w:rFonts w:ascii="Calibri" w:eastAsiaTheme="minorHAnsi" w:hAnsi="Calibri"/>
          <w:sz w:val="24"/>
        </w:rPr>
        <w:t xml:space="preserve">The Department acknowledges the cost of independently auditing drinking water compliance. However, prior to the changes proposed to the non-financial performance measures, councils were already expected to report on similar measures in their 2022/23 Annual Reports. </w:t>
      </w:r>
      <w:r w:rsidR="00F76FFE">
        <w:rPr>
          <w:rFonts w:ascii="Calibri" w:eastAsiaTheme="minorHAnsi" w:hAnsi="Calibri"/>
          <w:sz w:val="24"/>
        </w:rPr>
        <w:t>This means that the proposal to officially update the measures to reference the correct standards does not in it</w:t>
      </w:r>
      <w:r w:rsidR="00221CE4">
        <w:rPr>
          <w:rFonts w:ascii="Calibri" w:eastAsiaTheme="minorHAnsi" w:hAnsi="Calibri"/>
          <w:sz w:val="24"/>
        </w:rPr>
        <w:t xml:space="preserve">self provide any new requirement for councils to commission independent verification of their drinking water compliance. </w:t>
      </w:r>
    </w:p>
    <w:p w14:paraId="5496BA85" w14:textId="2E94B5BC" w:rsidR="00B733FE" w:rsidRPr="00B733FE" w:rsidRDefault="00765244" w:rsidP="00B733FE">
      <w:pPr>
        <w:pStyle w:val="Numberedpara3level1"/>
        <w:numPr>
          <w:ilvl w:val="0"/>
          <w:numId w:val="25"/>
        </w:numPr>
        <w:spacing w:before="120" w:line="240" w:lineRule="auto"/>
        <w:ind w:left="567" w:hanging="567"/>
        <w:rPr>
          <w:rFonts w:ascii="Calibri" w:eastAsiaTheme="minorHAnsi" w:hAnsi="Calibri"/>
          <w:sz w:val="24"/>
        </w:rPr>
      </w:pPr>
      <w:r>
        <w:rPr>
          <w:rFonts w:ascii="Calibri" w:eastAsiaTheme="minorHAnsi" w:hAnsi="Calibri"/>
          <w:sz w:val="24"/>
        </w:rPr>
        <w:t xml:space="preserve">The Department also acknowledges that there is no simple solution </w:t>
      </w:r>
      <w:r w:rsidR="002A7115">
        <w:rPr>
          <w:rFonts w:ascii="Calibri" w:eastAsiaTheme="minorHAnsi" w:hAnsi="Calibri"/>
          <w:sz w:val="24"/>
        </w:rPr>
        <w:t xml:space="preserve">to </w:t>
      </w:r>
      <w:r>
        <w:rPr>
          <w:rFonts w:ascii="Calibri" w:eastAsiaTheme="minorHAnsi" w:hAnsi="Calibri"/>
          <w:sz w:val="24"/>
        </w:rPr>
        <w:t xml:space="preserve">the concerns raised regarding the misalignment of the reporting cycles between council’s annual reports, and </w:t>
      </w:r>
      <w:proofErr w:type="spellStart"/>
      <w:r>
        <w:rPr>
          <w:rFonts w:ascii="Calibri" w:eastAsiaTheme="minorHAnsi" w:hAnsi="Calibri"/>
          <w:sz w:val="24"/>
        </w:rPr>
        <w:t>Taumata</w:t>
      </w:r>
      <w:proofErr w:type="spellEnd"/>
      <w:r>
        <w:rPr>
          <w:rFonts w:ascii="Calibri" w:eastAsiaTheme="minorHAnsi" w:hAnsi="Calibri"/>
          <w:sz w:val="24"/>
        </w:rPr>
        <w:t xml:space="preserve"> </w:t>
      </w:r>
      <w:proofErr w:type="spellStart"/>
      <w:r>
        <w:rPr>
          <w:rFonts w:ascii="Calibri" w:eastAsiaTheme="minorHAnsi" w:hAnsi="Calibri"/>
          <w:sz w:val="24"/>
        </w:rPr>
        <w:t>Arowai’s</w:t>
      </w:r>
      <w:proofErr w:type="spellEnd"/>
      <w:r>
        <w:rPr>
          <w:rFonts w:ascii="Calibri" w:eastAsiaTheme="minorHAnsi" w:hAnsi="Calibri"/>
          <w:sz w:val="24"/>
        </w:rPr>
        <w:t xml:space="preserve"> reporting</w:t>
      </w:r>
      <w:r w:rsidR="00B733FE">
        <w:rPr>
          <w:rFonts w:ascii="Calibri" w:eastAsiaTheme="minorHAnsi" w:hAnsi="Calibri"/>
          <w:sz w:val="24"/>
        </w:rPr>
        <w:t xml:space="preserve"> requirements. </w:t>
      </w:r>
      <w:r w:rsidR="00B733FE" w:rsidRPr="007E3072">
        <w:rPr>
          <w:rFonts w:ascii="Calibri" w:eastAsiaTheme="minorHAnsi" w:hAnsi="Calibri"/>
          <w:sz w:val="24"/>
        </w:rPr>
        <w:t xml:space="preserve">However, as noted above, councils were already reporting under this new regime in </w:t>
      </w:r>
      <w:r w:rsidR="003042C5" w:rsidRPr="003042C5">
        <w:rPr>
          <w:rFonts w:ascii="Calibri" w:eastAsiaTheme="minorHAnsi" w:hAnsi="Calibri"/>
          <w:sz w:val="24"/>
        </w:rPr>
        <w:t>2023 and</w:t>
      </w:r>
      <w:r w:rsidR="00B733FE" w:rsidRPr="007E3072">
        <w:rPr>
          <w:rFonts w:ascii="Calibri" w:eastAsiaTheme="minorHAnsi" w:hAnsi="Calibri"/>
          <w:sz w:val="24"/>
        </w:rPr>
        <w:t xml:space="preserve"> managing the differing cycles. The</w:t>
      </w:r>
      <w:r w:rsidR="003042C5">
        <w:rPr>
          <w:rFonts w:ascii="Calibri" w:eastAsiaTheme="minorHAnsi" w:hAnsi="Calibri"/>
          <w:sz w:val="24"/>
        </w:rPr>
        <w:t>re has been some frustration and inefficiencies in</w:t>
      </w:r>
      <w:r w:rsidR="00B733FE" w:rsidRPr="007E3072">
        <w:rPr>
          <w:rFonts w:ascii="Calibri" w:eastAsiaTheme="minorHAnsi" w:hAnsi="Calibri"/>
          <w:sz w:val="24"/>
        </w:rPr>
        <w:t xml:space="preserve"> moving to </w:t>
      </w:r>
      <w:r w:rsidR="00B733FE">
        <w:rPr>
          <w:rFonts w:ascii="Calibri" w:eastAsiaTheme="minorHAnsi" w:hAnsi="Calibri"/>
          <w:sz w:val="24"/>
        </w:rPr>
        <w:t xml:space="preserve">the new regime, </w:t>
      </w:r>
      <w:r w:rsidR="00B733FE" w:rsidRPr="007E3072">
        <w:rPr>
          <w:rFonts w:ascii="Calibri" w:eastAsiaTheme="minorHAnsi" w:hAnsi="Calibri"/>
          <w:sz w:val="24"/>
        </w:rPr>
        <w:t xml:space="preserve">but </w:t>
      </w:r>
      <w:r w:rsidR="00B733FE">
        <w:rPr>
          <w:rFonts w:ascii="Calibri" w:eastAsiaTheme="minorHAnsi" w:hAnsi="Calibri"/>
          <w:sz w:val="24"/>
        </w:rPr>
        <w:t>the OAG</w:t>
      </w:r>
      <w:r w:rsidR="00B733FE" w:rsidRPr="007E3072">
        <w:rPr>
          <w:rFonts w:ascii="Calibri" w:eastAsiaTheme="minorHAnsi" w:hAnsi="Calibri"/>
          <w:sz w:val="24"/>
        </w:rPr>
        <w:t xml:space="preserve"> expect things to settle as new systems for monitoring and reporting are established and embedded.</w:t>
      </w:r>
    </w:p>
    <w:p w14:paraId="7219DEF5" w14:textId="6DAA0F78" w:rsidR="00FC4C71" w:rsidRPr="005946EF" w:rsidRDefault="00FC4C71" w:rsidP="00675A06">
      <w:pPr>
        <w:pStyle w:val="Numberedpara3level1"/>
        <w:numPr>
          <w:ilvl w:val="0"/>
          <w:numId w:val="25"/>
        </w:numPr>
        <w:spacing w:before="120" w:line="240" w:lineRule="auto"/>
        <w:ind w:left="567" w:hanging="567"/>
        <w:rPr>
          <w:rFonts w:ascii="Calibri" w:eastAsiaTheme="minorHAnsi" w:hAnsi="Calibri"/>
          <w:sz w:val="24"/>
        </w:rPr>
      </w:pPr>
      <w:bookmarkStart w:id="10" w:name="_Hlk170123801"/>
      <w:r>
        <w:rPr>
          <w:rFonts w:ascii="Calibri" w:eastAsiaTheme="minorHAnsi" w:hAnsi="Calibri"/>
          <w:sz w:val="24"/>
        </w:rPr>
        <w:t xml:space="preserve">The Department will work with the OAG and sector bodies in developing </w:t>
      </w:r>
      <w:r w:rsidR="00F76FFE">
        <w:rPr>
          <w:rFonts w:ascii="Calibri" w:eastAsiaTheme="minorHAnsi" w:hAnsi="Calibri"/>
          <w:sz w:val="24"/>
        </w:rPr>
        <w:t>consistent guidance for reporting on the new measures, to provide as much clarity for councils as possible</w:t>
      </w:r>
      <w:r w:rsidR="00221CE4">
        <w:rPr>
          <w:rFonts w:ascii="Calibri" w:eastAsiaTheme="minorHAnsi" w:hAnsi="Calibri"/>
          <w:sz w:val="24"/>
        </w:rPr>
        <w:t xml:space="preserve">. </w:t>
      </w:r>
      <w:r w:rsidR="003042C5">
        <w:rPr>
          <w:rFonts w:ascii="Calibri" w:eastAsiaTheme="minorHAnsi" w:hAnsi="Calibri"/>
          <w:sz w:val="24"/>
        </w:rPr>
        <w:t xml:space="preserve">We recommend that any guidance </w:t>
      </w:r>
      <w:proofErr w:type="gramStart"/>
      <w:r w:rsidR="003042C5">
        <w:rPr>
          <w:rFonts w:ascii="Calibri" w:eastAsiaTheme="minorHAnsi" w:hAnsi="Calibri"/>
          <w:sz w:val="24"/>
        </w:rPr>
        <w:t xml:space="preserve">give specific </w:t>
      </w:r>
      <w:r w:rsidR="00F8006E">
        <w:rPr>
          <w:rFonts w:ascii="Calibri" w:eastAsiaTheme="minorHAnsi" w:hAnsi="Calibri"/>
          <w:sz w:val="24"/>
        </w:rPr>
        <w:t>consideration to</w:t>
      </w:r>
      <w:proofErr w:type="gramEnd"/>
      <w:r w:rsidR="00F8006E">
        <w:rPr>
          <w:rFonts w:ascii="Calibri" w:eastAsiaTheme="minorHAnsi" w:hAnsi="Calibri"/>
          <w:sz w:val="24"/>
        </w:rPr>
        <w:t xml:space="preserve"> the timing of implementation of the new measures, allowing for practical and meaningful reporting requirements for councils, regardless of what measures were used in their 2024 long-term plans. </w:t>
      </w:r>
    </w:p>
    <w:bookmarkEnd w:id="10"/>
    <w:p w14:paraId="3C5A0857" w14:textId="6325FFCA" w:rsidR="00DF7321" w:rsidRDefault="00A66753" w:rsidP="00675A06">
      <w:pPr>
        <w:pStyle w:val="Heading2"/>
      </w:pPr>
      <w:r w:rsidRPr="00DF7321">
        <w:rPr>
          <w:rStyle w:val="Heading4Char"/>
          <w:b/>
          <w:bCs/>
          <w:i w:val="0"/>
          <w:color w:val="1F546B"/>
        </w:rPr>
        <w:t>Alignment with</w:t>
      </w:r>
      <w:r w:rsidR="005946EF">
        <w:rPr>
          <w:rStyle w:val="Heading4Char"/>
          <w:b/>
          <w:bCs/>
          <w:i w:val="0"/>
          <w:color w:val="1F546B"/>
        </w:rPr>
        <w:t xml:space="preserve"> other</w:t>
      </w:r>
      <w:r w:rsidRPr="00DF7321">
        <w:rPr>
          <w:rStyle w:val="Heading4Char"/>
          <w:b/>
          <w:bCs/>
          <w:i w:val="0"/>
          <w:color w:val="1F546B"/>
        </w:rPr>
        <w:t xml:space="preserve"> reporting </w:t>
      </w:r>
      <w:r w:rsidR="005946EF">
        <w:rPr>
          <w:rStyle w:val="Heading4Char"/>
          <w:b/>
          <w:bCs/>
          <w:i w:val="0"/>
          <w:color w:val="1F546B"/>
        </w:rPr>
        <w:t>requirements</w:t>
      </w:r>
    </w:p>
    <w:p w14:paraId="59784198" w14:textId="30EFE28C" w:rsidR="00DF7321" w:rsidRDefault="00DF7321" w:rsidP="00BC4705">
      <w:pPr>
        <w:pStyle w:val="Numberedpara3level1"/>
        <w:numPr>
          <w:ilvl w:val="0"/>
          <w:numId w:val="25"/>
        </w:numPr>
        <w:spacing w:before="120" w:line="240" w:lineRule="auto"/>
        <w:ind w:left="567" w:hanging="567"/>
        <w:rPr>
          <w:rFonts w:ascii="Calibri" w:eastAsiaTheme="minorHAnsi" w:hAnsi="Calibri"/>
          <w:sz w:val="24"/>
        </w:rPr>
      </w:pPr>
      <w:r w:rsidRPr="00675A06">
        <w:rPr>
          <w:rFonts w:ascii="Calibri" w:eastAsiaTheme="minorHAnsi" w:hAnsi="Calibri"/>
          <w:sz w:val="24"/>
        </w:rPr>
        <w:t>The issue of potential duplication of reporting was raised in the previous section, with seven submissions commenting that councils producing two sets of similar measure</w:t>
      </w:r>
      <w:r w:rsidR="008029E1">
        <w:rPr>
          <w:rFonts w:ascii="Calibri" w:eastAsiaTheme="minorHAnsi" w:hAnsi="Calibri"/>
          <w:sz w:val="24"/>
        </w:rPr>
        <w:t>s</w:t>
      </w:r>
      <w:r w:rsidRPr="00675A06">
        <w:rPr>
          <w:rFonts w:ascii="Calibri" w:eastAsiaTheme="minorHAnsi" w:hAnsi="Calibri"/>
          <w:sz w:val="24"/>
        </w:rPr>
        <w:t>, for different reporting (</w:t>
      </w:r>
      <w:r w:rsidR="00BC4705">
        <w:rPr>
          <w:rFonts w:ascii="Calibri" w:eastAsiaTheme="minorHAnsi" w:hAnsi="Calibri"/>
          <w:sz w:val="24"/>
        </w:rPr>
        <w:t xml:space="preserve">the </w:t>
      </w:r>
      <w:r w:rsidRPr="00675A06">
        <w:rPr>
          <w:rFonts w:ascii="Calibri" w:eastAsiaTheme="minorHAnsi" w:hAnsi="Calibri"/>
          <w:sz w:val="24"/>
        </w:rPr>
        <w:t>network</w:t>
      </w:r>
      <w:r w:rsidR="00BC4705">
        <w:rPr>
          <w:rFonts w:ascii="Calibri" w:eastAsiaTheme="minorHAnsi" w:hAnsi="Calibri"/>
          <w:sz w:val="24"/>
        </w:rPr>
        <w:t xml:space="preserve"> environmental</w:t>
      </w:r>
      <w:r w:rsidRPr="00675A06">
        <w:rPr>
          <w:rFonts w:ascii="Calibri" w:eastAsiaTheme="minorHAnsi" w:hAnsi="Calibri"/>
          <w:sz w:val="24"/>
        </w:rPr>
        <w:t xml:space="preserve"> </w:t>
      </w:r>
      <w:r w:rsidR="00BC4705">
        <w:rPr>
          <w:rFonts w:ascii="Calibri" w:eastAsiaTheme="minorHAnsi" w:hAnsi="Calibri"/>
          <w:sz w:val="24"/>
        </w:rPr>
        <w:t>performance measures</w:t>
      </w:r>
      <w:r w:rsidRPr="00675A06">
        <w:rPr>
          <w:rFonts w:ascii="Calibri" w:eastAsiaTheme="minorHAnsi" w:hAnsi="Calibri"/>
          <w:sz w:val="24"/>
        </w:rPr>
        <w:t xml:space="preserve"> and </w:t>
      </w:r>
      <w:r w:rsidR="00BC4705">
        <w:rPr>
          <w:rFonts w:ascii="Calibri" w:eastAsiaTheme="minorHAnsi" w:hAnsi="Calibri"/>
          <w:sz w:val="24"/>
        </w:rPr>
        <w:t xml:space="preserve">the </w:t>
      </w:r>
      <w:r w:rsidRPr="00675A06">
        <w:rPr>
          <w:rFonts w:ascii="Calibri" w:eastAsiaTheme="minorHAnsi" w:hAnsi="Calibri"/>
          <w:sz w:val="24"/>
        </w:rPr>
        <w:t xml:space="preserve">non-financial performance measures) is not particularly efficient. </w:t>
      </w:r>
    </w:p>
    <w:p w14:paraId="413E8A2A" w14:textId="74DA5341" w:rsidR="00BC4705" w:rsidRPr="00675A06" w:rsidRDefault="00BC4705" w:rsidP="00675A06">
      <w:pPr>
        <w:pStyle w:val="Numberedpara3level1"/>
        <w:numPr>
          <w:ilvl w:val="0"/>
          <w:numId w:val="25"/>
        </w:numPr>
        <w:spacing w:before="120" w:line="240" w:lineRule="auto"/>
        <w:ind w:left="567" w:hanging="567"/>
        <w:rPr>
          <w:rFonts w:ascii="Calibri" w:eastAsiaTheme="minorHAnsi" w:hAnsi="Calibri"/>
          <w:sz w:val="24"/>
        </w:rPr>
      </w:pPr>
      <w:r w:rsidRPr="00680BDB">
        <w:rPr>
          <w:rFonts w:ascii="Calibri" w:eastAsiaTheme="minorHAnsi" w:hAnsi="Calibri"/>
          <w:sz w:val="24"/>
        </w:rPr>
        <w:t>Water New Zealand</w:t>
      </w:r>
      <w:r>
        <w:rPr>
          <w:rFonts w:ascii="Calibri" w:eastAsiaTheme="minorHAnsi" w:hAnsi="Calibri"/>
          <w:sz w:val="24"/>
        </w:rPr>
        <w:t>’s submission</w:t>
      </w:r>
      <w:r w:rsidRPr="00680BDB">
        <w:rPr>
          <w:rFonts w:ascii="Calibri" w:eastAsiaTheme="minorHAnsi" w:hAnsi="Calibri"/>
          <w:sz w:val="24"/>
        </w:rPr>
        <w:t xml:space="preserve"> compared the </w:t>
      </w:r>
      <w:r>
        <w:rPr>
          <w:rFonts w:ascii="Calibri" w:eastAsiaTheme="minorHAnsi" w:hAnsi="Calibri"/>
          <w:sz w:val="24"/>
        </w:rPr>
        <w:t xml:space="preserve">non-financial performance </w:t>
      </w:r>
      <w:r w:rsidRPr="00680BDB">
        <w:rPr>
          <w:rFonts w:ascii="Calibri" w:eastAsiaTheme="minorHAnsi" w:hAnsi="Calibri"/>
          <w:sz w:val="24"/>
        </w:rPr>
        <w:t xml:space="preserve">measures to the </w:t>
      </w:r>
      <w:r>
        <w:rPr>
          <w:rFonts w:ascii="Calibri" w:eastAsiaTheme="minorHAnsi" w:hAnsi="Calibri"/>
          <w:sz w:val="24"/>
        </w:rPr>
        <w:t>n</w:t>
      </w:r>
      <w:r w:rsidRPr="00680BDB">
        <w:rPr>
          <w:rFonts w:ascii="Calibri" w:eastAsiaTheme="minorHAnsi" w:hAnsi="Calibri"/>
          <w:sz w:val="24"/>
        </w:rPr>
        <w:t xml:space="preserve">etwork environmental performance measure rules which are centrally collated by </w:t>
      </w:r>
      <w:proofErr w:type="spellStart"/>
      <w:r w:rsidRPr="00680BDB">
        <w:rPr>
          <w:rFonts w:ascii="Calibri" w:eastAsiaTheme="minorHAnsi" w:hAnsi="Calibri"/>
          <w:sz w:val="24"/>
        </w:rPr>
        <w:t>Taumata</w:t>
      </w:r>
      <w:proofErr w:type="spellEnd"/>
      <w:r w:rsidRPr="00680BDB">
        <w:rPr>
          <w:rFonts w:ascii="Calibri" w:eastAsiaTheme="minorHAnsi" w:hAnsi="Calibri"/>
          <w:sz w:val="24"/>
        </w:rPr>
        <w:t xml:space="preserve"> </w:t>
      </w:r>
      <w:proofErr w:type="spellStart"/>
      <w:r w:rsidRPr="00680BDB">
        <w:rPr>
          <w:rFonts w:ascii="Calibri" w:eastAsiaTheme="minorHAnsi" w:hAnsi="Calibri"/>
          <w:sz w:val="24"/>
        </w:rPr>
        <w:t>Arowai</w:t>
      </w:r>
      <w:proofErr w:type="spellEnd"/>
      <w:r w:rsidRPr="00680BDB">
        <w:rPr>
          <w:rFonts w:ascii="Calibri" w:eastAsiaTheme="minorHAnsi" w:hAnsi="Calibri"/>
          <w:sz w:val="24"/>
        </w:rPr>
        <w:t xml:space="preserve">, noting that although these reporting initiatives are parallel in some </w:t>
      </w:r>
      <w:proofErr w:type="gramStart"/>
      <w:r w:rsidRPr="00680BDB">
        <w:rPr>
          <w:rFonts w:ascii="Calibri" w:eastAsiaTheme="minorHAnsi" w:hAnsi="Calibri"/>
          <w:sz w:val="24"/>
        </w:rPr>
        <w:t>aspects</w:t>
      </w:r>
      <w:proofErr w:type="gramEnd"/>
      <w:r w:rsidRPr="00680BDB">
        <w:rPr>
          <w:rFonts w:ascii="Calibri" w:eastAsiaTheme="minorHAnsi" w:hAnsi="Calibri"/>
          <w:sz w:val="24"/>
        </w:rPr>
        <w:t>, they do serve different and valuable functions</w:t>
      </w:r>
      <w:r>
        <w:rPr>
          <w:rFonts w:ascii="Calibri" w:eastAsiaTheme="minorHAnsi" w:hAnsi="Calibri"/>
          <w:sz w:val="24"/>
        </w:rPr>
        <w:t xml:space="preserve">. </w:t>
      </w:r>
      <w:r w:rsidRPr="00680BDB">
        <w:rPr>
          <w:rFonts w:ascii="Calibri" w:eastAsiaTheme="minorHAnsi" w:hAnsi="Calibri"/>
          <w:sz w:val="24"/>
        </w:rPr>
        <w:t xml:space="preserve">However, their submission notes that neither framework currently provides sufficiently accessible public reporting to provide consumers with ready access to performance information </w:t>
      </w:r>
      <w:r w:rsidRPr="00680BDB">
        <w:rPr>
          <w:rFonts w:ascii="Calibri" w:eastAsiaTheme="minorHAnsi" w:hAnsi="Calibri"/>
          <w:sz w:val="24"/>
        </w:rPr>
        <w:lastRenderedPageBreak/>
        <w:t xml:space="preserve">on water services. The submission recommends that </w:t>
      </w:r>
      <w:proofErr w:type="spellStart"/>
      <w:r w:rsidRPr="00680BDB">
        <w:rPr>
          <w:rFonts w:ascii="Calibri" w:eastAsiaTheme="minorHAnsi" w:hAnsi="Calibri"/>
          <w:sz w:val="24"/>
        </w:rPr>
        <w:t>Taumata</w:t>
      </w:r>
      <w:proofErr w:type="spellEnd"/>
      <w:r w:rsidRPr="00680BDB">
        <w:rPr>
          <w:rFonts w:ascii="Calibri" w:eastAsiaTheme="minorHAnsi" w:hAnsi="Calibri"/>
          <w:sz w:val="24"/>
        </w:rPr>
        <w:t xml:space="preserve"> </w:t>
      </w:r>
      <w:proofErr w:type="spellStart"/>
      <w:r w:rsidRPr="00680BDB">
        <w:rPr>
          <w:rFonts w:ascii="Calibri" w:eastAsiaTheme="minorHAnsi" w:hAnsi="Calibri"/>
          <w:sz w:val="24"/>
        </w:rPr>
        <w:t>Arowai</w:t>
      </w:r>
      <w:proofErr w:type="spellEnd"/>
      <w:r w:rsidRPr="00680BDB">
        <w:rPr>
          <w:rFonts w:ascii="Calibri" w:eastAsiaTheme="minorHAnsi" w:hAnsi="Calibri"/>
          <w:sz w:val="24"/>
        </w:rPr>
        <w:t xml:space="preserve"> and </w:t>
      </w:r>
      <w:r>
        <w:rPr>
          <w:rFonts w:ascii="Calibri" w:eastAsiaTheme="minorHAnsi" w:hAnsi="Calibri"/>
          <w:sz w:val="24"/>
        </w:rPr>
        <w:t xml:space="preserve">the </w:t>
      </w:r>
      <w:r w:rsidRPr="00680BDB">
        <w:rPr>
          <w:rFonts w:ascii="Calibri" w:eastAsiaTheme="minorHAnsi" w:hAnsi="Calibri"/>
          <w:sz w:val="24"/>
        </w:rPr>
        <w:t xml:space="preserve">Department collaborate to improve alignment and uplift the value of existing performance measure reporting. </w:t>
      </w:r>
    </w:p>
    <w:p w14:paraId="14201DF0" w14:textId="175D1396" w:rsidR="00BC4705" w:rsidRDefault="00DF7321" w:rsidP="00BC4705">
      <w:pPr>
        <w:pStyle w:val="Numberedpara3level1"/>
        <w:numPr>
          <w:ilvl w:val="0"/>
          <w:numId w:val="25"/>
        </w:numPr>
        <w:spacing w:before="120" w:line="240" w:lineRule="auto"/>
        <w:ind w:left="567" w:hanging="567"/>
        <w:rPr>
          <w:rFonts w:ascii="Calibri" w:eastAsiaTheme="minorHAnsi" w:hAnsi="Calibri"/>
          <w:sz w:val="24"/>
        </w:rPr>
      </w:pPr>
      <w:r w:rsidRPr="00675A06">
        <w:rPr>
          <w:rFonts w:ascii="Calibri" w:eastAsiaTheme="minorHAnsi" w:hAnsi="Calibri"/>
          <w:sz w:val="24"/>
        </w:rPr>
        <w:t xml:space="preserve">Some submitters </w:t>
      </w:r>
      <w:r w:rsidR="00BC4705" w:rsidRPr="00675A06">
        <w:rPr>
          <w:rFonts w:ascii="Calibri" w:eastAsiaTheme="minorHAnsi" w:hAnsi="Calibri"/>
          <w:sz w:val="24"/>
        </w:rPr>
        <w:t xml:space="preserve">argued </w:t>
      </w:r>
      <w:r w:rsidR="00BC4705">
        <w:rPr>
          <w:rFonts w:ascii="Calibri" w:eastAsiaTheme="minorHAnsi" w:hAnsi="Calibri"/>
          <w:sz w:val="24"/>
        </w:rPr>
        <w:t xml:space="preserve">that </w:t>
      </w:r>
      <w:r w:rsidR="00BC4705" w:rsidRPr="00675A06">
        <w:rPr>
          <w:rFonts w:ascii="Calibri" w:eastAsiaTheme="minorHAnsi" w:hAnsi="Calibri"/>
          <w:sz w:val="24"/>
        </w:rPr>
        <w:t xml:space="preserve">by either providing better alignment between the two measures or even aligning reporting into a single process </w:t>
      </w:r>
      <w:r w:rsidRPr="00675A06">
        <w:rPr>
          <w:rFonts w:ascii="Calibri" w:eastAsiaTheme="minorHAnsi" w:hAnsi="Calibri"/>
          <w:sz w:val="24"/>
        </w:rPr>
        <w:t xml:space="preserve">would have potential benefits for resource efficiency, improved decision making and a more consistent approach to performance management within </w:t>
      </w:r>
      <w:r w:rsidR="00221CE4">
        <w:rPr>
          <w:rFonts w:ascii="Calibri" w:eastAsiaTheme="minorHAnsi" w:hAnsi="Calibri"/>
          <w:sz w:val="24"/>
        </w:rPr>
        <w:t>c</w:t>
      </w:r>
      <w:r w:rsidRPr="00675A06">
        <w:rPr>
          <w:rFonts w:ascii="Calibri" w:eastAsiaTheme="minorHAnsi" w:hAnsi="Calibri"/>
          <w:sz w:val="24"/>
        </w:rPr>
        <w:t>ouncil</w:t>
      </w:r>
      <w:r w:rsidR="00221CE4">
        <w:rPr>
          <w:rFonts w:ascii="Calibri" w:eastAsiaTheme="minorHAnsi" w:hAnsi="Calibri"/>
          <w:sz w:val="24"/>
        </w:rPr>
        <w:t>s</w:t>
      </w:r>
      <w:r w:rsidRPr="00675A06">
        <w:rPr>
          <w:rFonts w:ascii="Calibri" w:eastAsiaTheme="minorHAnsi" w:hAnsi="Calibri"/>
          <w:sz w:val="24"/>
        </w:rPr>
        <w:t>.</w:t>
      </w:r>
    </w:p>
    <w:p w14:paraId="4E21D27C" w14:textId="700942FE" w:rsidR="005946EF" w:rsidRDefault="00AC4CA6" w:rsidP="005946EF">
      <w:pPr>
        <w:rPr>
          <w:rStyle w:val="Heading4Char"/>
        </w:rPr>
      </w:pPr>
      <w:r>
        <w:rPr>
          <w:rStyle w:val="Heading4Char"/>
        </w:rPr>
        <w:t>Analysis and r</w:t>
      </w:r>
      <w:r w:rsidR="005946EF">
        <w:rPr>
          <w:rStyle w:val="Heading4Char"/>
        </w:rPr>
        <w:t>ecommendation</w:t>
      </w:r>
    </w:p>
    <w:p w14:paraId="0A4358C8" w14:textId="77777777" w:rsidR="00221CE4" w:rsidRDefault="00216498" w:rsidP="005946EF">
      <w:pPr>
        <w:pStyle w:val="Numberedpara3level1"/>
        <w:numPr>
          <w:ilvl w:val="0"/>
          <w:numId w:val="25"/>
        </w:numPr>
        <w:spacing w:before="120" w:line="240" w:lineRule="auto"/>
        <w:ind w:left="567" w:hanging="567"/>
        <w:rPr>
          <w:rFonts w:ascii="Calibri" w:eastAsiaTheme="minorHAnsi" w:hAnsi="Calibri"/>
          <w:sz w:val="24"/>
        </w:rPr>
      </w:pPr>
      <w:bookmarkStart w:id="11" w:name="_Hlk170124845"/>
      <w:r>
        <w:rPr>
          <w:rFonts w:ascii="Calibri" w:eastAsiaTheme="minorHAnsi" w:hAnsi="Calibri"/>
          <w:sz w:val="24"/>
        </w:rPr>
        <w:t xml:space="preserve">The Department acknowledges </w:t>
      </w:r>
      <w:r w:rsidR="00221CE4">
        <w:rPr>
          <w:rFonts w:ascii="Calibri" w:eastAsiaTheme="minorHAnsi" w:hAnsi="Calibri"/>
          <w:sz w:val="24"/>
        </w:rPr>
        <w:t xml:space="preserve">that any proposed changes to the non-financial performance measures will result in some duplication of reporting already required by </w:t>
      </w:r>
      <w:proofErr w:type="spellStart"/>
      <w:r w:rsidR="00221CE4">
        <w:rPr>
          <w:rFonts w:ascii="Calibri" w:eastAsiaTheme="minorHAnsi" w:hAnsi="Calibri"/>
          <w:sz w:val="24"/>
        </w:rPr>
        <w:t>Taumata</w:t>
      </w:r>
      <w:proofErr w:type="spellEnd"/>
      <w:r w:rsidR="00221CE4">
        <w:rPr>
          <w:rFonts w:ascii="Calibri" w:eastAsiaTheme="minorHAnsi" w:hAnsi="Calibri"/>
          <w:sz w:val="24"/>
        </w:rPr>
        <w:t xml:space="preserve"> </w:t>
      </w:r>
      <w:proofErr w:type="spellStart"/>
      <w:r w:rsidR="00221CE4">
        <w:rPr>
          <w:rFonts w:ascii="Calibri" w:eastAsiaTheme="minorHAnsi" w:hAnsi="Calibri"/>
          <w:sz w:val="24"/>
        </w:rPr>
        <w:t>Arowai</w:t>
      </w:r>
      <w:proofErr w:type="spellEnd"/>
      <w:r w:rsidR="00221CE4">
        <w:rPr>
          <w:rFonts w:ascii="Calibri" w:eastAsiaTheme="minorHAnsi" w:hAnsi="Calibri"/>
          <w:sz w:val="24"/>
        </w:rPr>
        <w:t xml:space="preserve">. </w:t>
      </w:r>
    </w:p>
    <w:p w14:paraId="27A2D119" w14:textId="3007E2CA" w:rsidR="00EA15F6" w:rsidRDefault="00221CE4" w:rsidP="005946EF">
      <w:pPr>
        <w:pStyle w:val="Numberedpara3level1"/>
        <w:numPr>
          <w:ilvl w:val="0"/>
          <w:numId w:val="25"/>
        </w:numPr>
        <w:spacing w:before="120" w:line="240" w:lineRule="auto"/>
        <w:ind w:left="567" w:hanging="567"/>
        <w:rPr>
          <w:rFonts w:ascii="Calibri" w:eastAsiaTheme="minorHAnsi" w:hAnsi="Calibri"/>
          <w:sz w:val="24"/>
        </w:rPr>
      </w:pPr>
      <w:r>
        <w:rPr>
          <w:rFonts w:ascii="Calibri" w:eastAsiaTheme="minorHAnsi" w:hAnsi="Calibri"/>
          <w:sz w:val="24"/>
        </w:rPr>
        <w:t xml:space="preserve">However, under the existing planning and reporting framework provided for in the Local Government Act 2002, the Department believes that having clear measures for the safety of drinking water included in council’s long-term plans and annual reports is important for communities to understand their expected levels of service and council performance. </w:t>
      </w:r>
    </w:p>
    <w:p w14:paraId="1C3F941D" w14:textId="30414A17" w:rsidR="005946EF" w:rsidRDefault="00221CE4" w:rsidP="005946EF">
      <w:pPr>
        <w:pStyle w:val="Numberedpara3level1"/>
        <w:numPr>
          <w:ilvl w:val="0"/>
          <w:numId w:val="25"/>
        </w:numPr>
        <w:spacing w:before="120" w:line="240" w:lineRule="auto"/>
        <w:ind w:left="567" w:hanging="567"/>
        <w:rPr>
          <w:rFonts w:ascii="Calibri" w:eastAsiaTheme="minorHAnsi" w:hAnsi="Calibri"/>
          <w:sz w:val="24"/>
        </w:rPr>
      </w:pPr>
      <w:r>
        <w:rPr>
          <w:rFonts w:ascii="Calibri" w:eastAsiaTheme="minorHAnsi" w:hAnsi="Calibri"/>
          <w:sz w:val="24"/>
        </w:rPr>
        <w:t xml:space="preserve">As this compliance data is already being collected for reporting to </w:t>
      </w:r>
      <w:proofErr w:type="spellStart"/>
      <w:r>
        <w:rPr>
          <w:rFonts w:ascii="Calibri" w:eastAsiaTheme="minorHAnsi" w:hAnsi="Calibri"/>
          <w:sz w:val="24"/>
        </w:rPr>
        <w:t>Taumata</w:t>
      </w:r>
      <w:proofErr w:type="spellEnd"/>
      <w:r>
        <w:rPr>
          <w:rFonts w:ascii="Calibri" w:eastAsiaTheme="minorHAnsi" w:hAnsi="Calibri"/>
          <w:sz w:val="24"/>
        </w:rPr>
        <w:t xml:space="preserve"> </w:t>
      </w:r>
      <w:proofErr w:type="spellStart"/>
      <w:r>
        <w:rPr>
          <w:rFonts w:ascii="Calibri" w:eastAsiaTheme="minorHAnsi" w:hAnsi="Calibri"/>
          <w:sz w:val="24"/>
        </w:rPr>
        <w:t>Arowai</w:t>
      </w:r>
      <w:proofErr w:type="spellEnd"/>
      <w:r>
        <w:rPr>
          <w:rFonts w:ascii="Calibri" w:eastAsiaTheme="minorHAnsi" w:hAnsi="Calibri"/>
          <w:sz w:val="24"/>
        </w:rPr>
        <w:t xml:space="preserve">, the intention is </w:t>
      </w:r>
      <w:r w:rsidR="00EA15F6">
        <w:rPr>
          <w:rFonts w:ascii="Calibri" w:eastAsiaTheme="minorHAnsi" w:hAnsi="Calibri"/>
          <w:sz w:val="24"/>
        </w:rPr>
        <w:t>to allow councils to include this reporting in their non-financial performance measures in the most efficient manner possible.</w:t>
      </w:r>
      <w:r w:rsidR="00AC4CA6">
        <w:rPr>
          <w:rFonts w:ascii="Calibri" w:eastAsiaTheme="minorHAnsi" w:hAnsi="Calibri"/>
          <w:sz w:val="24"/>
        </w:rPr>
        <w:t xml:space="preserve"> The Department recommends that this be</w:t>
      </w:r>
      <w:r w:rsidR="00EA15F6">
        <w:rPr>
          <w:rFonts w:ascii="Calibri" w:eastAsiaTheme="minorHAnsi" w:hAnsi="Calibri"/>
          <w:sz w:val="24"/>
        </w:rPr>
        <w:t xml:space="preserve"> a consideration when developing reporting guidance. </w:t>
      </w:r>
    </w:p>
    <w:p w14:paraId="60A763A2" w14:textId="7A3B7BC9" w:rsidR="00F76FFE" w:rsidRDefault="00F76FFE" w:rsidP="005946EF">
      <w:pPr>
        <w:pStyle w:val="Numberedpara3level1"/>
        <w:numPr>
          <w:ilvl w:val="0"/>
          <w:numId w:val="25"/>
        </w:numPr>
        <w:spacing w:before="120" w:line="240" w:lineRule="auto"/>
        <w:ind w:left="567" w:hanging="567"/>
        <w:rPr>
          <w:rFonts w:ascii="Calibri" w:eastAsiaTheme="minorHAnsi" w:hAnsi="Calibri"/>
          <w:sz w:val="24"/>
        </w:rPr>
      </w:pPr>
      <w:r>
        <w:rPr>
          <w:rFonts w:ascii="Calibri" w:eastAsiaTheme="minorHAnsi" w:hAnsi="Calibri"/>
          <w:sz w:val="24"/>
        </w:rPr>
        <w:t xml:space="preserve">Aligning the reporting of the various drinking-water related measures </w:t>
      </w:r>
      <w:r w:rsidR="00221CE4">
        <w:rPr>
          <w:rFonts w:ascii="Calibri" w:eastAsiaTheme="minorHAnsi" w:hAnsi="Calibri"/>
          <w:sz w:val="24"/>
        </w:rPr>
        <w:t>is out-of-scope for this consultation, but the issues raised in the submissions have been noted</w:t>
      </w:r>
      <w:r w:rsidR="00EA15F6">
        <w:rPr>
          <w:rFonts w:ascii="Calibri" w:eastAsiaTheme="minorHAnsi" w:hAnsi="Calibri"/>
          <w:sz w:val="24"/>
        </w:rPr>
        <w:t xml:space="preserve"> for any future work undertaken in this area. </w:t>
      </w:r>
    </w:p>
    <w:p w14:paraId="55EBAA09" w14:textId="422FE923" w:rsidR="00BC4705" w:rsidRPr="00680BDB" w:rsidRDefault="00BC4705" w:rsidP="00BC4705">
      <w:pPr>
        <w:pStyle w:val="Heading2"/>
        <w:rPr>
          <w:rFonts w:eastAsiaTheme="minorHAnsi"/>
        </w:rPr>
      </w:pPr>
      <w:bookmarkStart w:id="12" w:name="_Hlk170122658"/>
      <w:bookmarkEnd w:id="11"/>
      <w:r w:rsidRPr="00680BDB">
        <w:t>The non-financial performance measure framework is</w:t>
      </w:r>
      <w:r w:rsidR="009A39FF">
        <w:t xml:space="preserve"> </w:t>
      </w:r>
      <w:r w:rsidRPr="00680BDB">
        <w:t>n</w:t>
      </w:r>
      <w:r w:rsidR="009A39FF">
        <w:t>o</w:t>
      </w:r>
      <w:r w:rsidRPr="00680BDB">
        <w:t>t fit for purpose</w:t>
      </w:r>
      <w:r w:rsidRPr="00680BDB">
        <w:rPr>
          <w:rStyle w:val="Heading4Char"/>
          <w:rFonts w:asciiTheme="minorHAnsi" w:hAnsiTheme="minorHAnsi" w:cstheme="minorHAnsi"/>
          <w:b/>
          <w:bCs/>
        </w:rPr>
        <w:t xml:space="preserve"> </w:t>
      </w:r>
    </w:p>
    <w:bookmarkEnd w:id="12"/>
    <w:p w14:paraId="4CE6F34F" w14:textId="77777777" w:rsidR="00BC4705" w:rsidRPr="00680BDB" w:rsidRDefault="00BC4705" w:rsidP="00BC4705">
      <w:pPr>
        <w:pStyle w:val="Numberedpara3level1"/>
        <w:numPr>
          <w:ilvl w:val="0"/>
          <w:numId w:val="33"/>
        </w:numPr>
        <w:ind w:left="567" w:hanging="567"/>
        <w:rPr>
          <w:rFonts w:asciiTheme="minorHAnsi" w:eastAsiaTheme="minorHAnsi" w:hAnsiTheme="minorHAnsi" w:cstheme="minorHAnsi"/>
          <w:sz w:val="24"/>
        </w:rPr>
      </w:pPr>
      <w:r w:rsidRPr="00680BDB">
        <w:rPr>
          <w:rFonts w:asciiTheme="minorHAnsi" w:eastAsiaTheme="minorHAnsi" w:hAnsiTheme="minorHAnsi" w:cstheme="minorHAnsi"/>
          <w:sz w:val="24"/>
        </w:rPr>
        <w:t xml:space="preserve">Seven submitters made specific reference to the purpose and continued relevance of the Non-Financial Performance Measure </w:t>
      </w:r>
      <w:proofErr w:type="gramStart"/>
      <w:r w:rsidRPr="00680BDB">
        <w:rPr>
          <w:rFonts w:asciiTheme="minorHAnsi" w:eastAsiaTheme="minorHAnsi" w:hAnsiTheme="minorHAnsi" w:cstheme="minorHAnsi"/>
          <w:sz w:val="24"/>
        </w:rPr>
        <w:t>framework as a whole</w:t>
      </w:r>
      <w:proofErr w:type="gramEnd"/>
      <w:r w:rsidRPr="00680BDB">
        <w:rPr>
          <w:rFonts w:asciiTheme="minorHAnsi" w:eastAsiaTheme="minorHAnsi" w:hAnsiTheme="minorHAnsi" w:cstheme="minorHAnsi"/>
          <w:sz w:val="24"/>
        </w:rPr>
        <w:t xml:space="preserve">. Several submitters acknowledged the intended purpose of the Rules, and the value of the providing independently audited information for </w:t>
      </w:r>
      <w:proofErr w:type="gramStart"/>
      <w:r w:rsidRPr="00680BDB">
        <w:rPr>
          <w:rFonts w:asciiTheme="minorHAnsi" w:eastAsiaTheme="minorHAnsi" w:hAnsiTheme="minorHAnsi" w:cstheme="minorHAnsi"/>
          <w:sz w:val="24"/>
        </w:rPr>
        <w:t>communities, but</w:t>
      </w:r>
      <w:proofErr w:type="gramEnd"/>
      <w:r w:rsidRPr="00680BDB">
        <w:rPr>
          <w:rFonts w:asciiTheme="minorHAnsi" w:eastAsiaTheme="minorHAnsi" w:hAnsiTheme="minorHAnsi" w:cstheme="minorHAnsi"/>
          <w:sz w:val="24"/>
        </w:rPr>
        <w:t xml:space="preserve"> raised questions around how effective the measures are in practice, and how they align with other reporting requirements for local authorities. </w:t>
      </w:r>
    </w:p>
    <w:p w14:paraId="531107F2" w14:textId="313FF69C" w:rsidR="00BC4705" w:rsidRPr="00680BDB" w:rsidRDefault="00BC4705" w:rsidP="00BC4705">
      <w:pPr>
        <w:pStyle w:val="Numberedpara3level1"/>
        <w:numPr>
          <w:ilvl w:val="0"/>
          <w:numId w:val="33"/>
        </w:numPr>
        <w:ind w:left="567" w:hanging="567"/>
        <w:rPr>
          <w:rFonts w:asciiTheme="minorHAnsi" w:eastAsiaTheme="minorHAnsi" w:hAnsiTheme="minorHAnsi" w:cstheme="minorHAnsi"/>
          <w:sz w:val="24"/>
        </w:rPr>
      </w:pPr>
      <w:r w:rsidRPr="00680BDB">
        <w:rPr>
          <w:rFonts w:asciiTheme="minorHAnsi" w:eastAsiaTheme="minorHAnsi" w:hAnsiTheme="minorHAnsi" w:cstheme="minorHAnsi"/>
          <w:sz w:val="24"/>
        </w:rPr>
        <w:t xml:space="preserve">Acknowledging that the issue was out of scope for the current consultation, </w:t>
      </w:r>
      <w:proofErr w:type="spellStart"/>
      <w:r w:rsidRPr="00680BDB">
        <w:rPr>
          <w:rFonts w:asciiTheme="minorHAnsi" w:eastAsiaTheme="minorHAnsi" w:hAnsiTheme="minorHAnsi" w:cstheme="minorHAnsi"/>
          <w:sz w:val="24"/>
        </w:rPr>
        <w:t>Taituarā</w:t>
      </w:r>
      <w:proofErr w:type="spellEnd"/>
      <w:r w:rsidRPr="00680BDB">
        <w:rPr>
          <w:rFonts w:asciiTheme="minorHAnsi" w:eastAsiaTheme="minorHAnsi" w:hAnsiTheme="minorHAnsi" w:cstheme="minorHAnsi"/>
          <w:sz w:val="24"/>
        </w:rPr>
        <w:t xml:space="preserve"> </w:t>
      </w:r>
      <w:r w:rsidR="006426AF">
        <w:rPr>
          <w:rFonts w:asciiTheme="minorHAnsi" w:eastAsiaTheme="minorHAnsi" w:hAnsiTheme="minorHAnsi" w:cstheme="minorHAnsi"/>
          <w:sz w:val="24"/>
        </w:rPr>
        <w:t>submitted</w:t>
      </w:r>
      <w:r w:rsidR="006426AF" w:rsidRPr="00680BDB">
        <w:rPr>
          <w:rFonts w:asciiTheme="minorHAnsi" w:eastAsiaTheme="minorHAnsi" w:hAnsiTheme="minorHAnsi" w:cstheme="minorHAnsi"/>
          <w:sz w:val="24"/>
        </w:rPr>
        <w:t xml:space="preserve"> </w:t>
      </w:r>
      <w:r w:rsidRPr="00680BDB">
        <w:rPr>
          <w:rFonts w:asciiTheme="minorHAnsi" w:eastAsiaTheme="minorHAnsi" w:hAnsiTheme="minorHAnsi" w:cstheme="minorHAnsi"/>
          <w:sz w:val="24"/>
        </w:rPr>
        <w:t xml:space="preserve">that the Non-Financial Performance Measure framework is serving very little purpose, noting that there has not been a substantive review of the Rules during this period. Three additional submitters noted support of </w:t>
      </w:r>
      <w:proofErr w:type="spellStart"/>
      <w:r w:rsidRPr="00680BDB">
        <w:rPr>
          <w:rFonts w:asciiTheme="minorHAnsi" w:eastAsiaTheme="minorHAnsi" w:hAnsiTheme="minorHAnsi" w:cstheme="minorHAnsi"/>
          <w:sz w:val="24"/>
        </w:rPr>
        <w:t>Taituarā’s</w:t>
      </w:r>
      <w:proofErr w:type="spellEnd"/>
      <w:r w:rsidRPr="00680BDB">
        <w:rPr>
          <w:rFonts w:asciiTheme="minorHAnsi" w:eastAsiaTheme="minorHAnsi" w:hAnsiTheme="minorHAnsi" w:cstheme="minorHAnsi"/>
          <w:sz w:val="24"/>
        </w:rPr>
        <w:t xml:space="preserve"> submission within their own feedback. </w:t>
      </w:r>
    </w:p>
    <w:p w14:paraId="4F6ABE7B" w14:textId="77777777" w:rsidR="00BC4705" w:rsidRPr="00680BDB" w:rsidRDefault="00BC4705" w:rsidP="00BC4705">
      <w:pPr>
        <w:pStyle w:val="Numberedpara3level1"/>
        <w:numPr>
          <w:ilvl w:val="0"/>
          <w:numId w:val="33"/>
        </w:numPr>
        <w:ind w:left="567" w:hanging="567"/>
        <w:rPr>
          <w:rFonts w:asciiTheme="minorHAnsi" w:eastAsiaTheme="minorHAnsi" w:hAnsiTheme="minorHAnsi" w:cstheme="minorHAnsi"/>
          <w:sz w:val="24"/>
        </w:rPr>
      </w:pPr>
      <w:proofErr w:type="spellStart"/>
      <w:r w:rsidRPr="00680BDB">
        <w:rPr>
          <w:rFonts w:asciiTheme="minorHAnsi" w:eastAsiaTheme="minorHAnsi" w:hAnsiTheme="minorHAnsi" w:cstheme="minorHAnsi"/>
          <w:sz w:val="24"/>
        </w:rPr>
        <w:t>Taituarā</w:t>
      </w:r>
      <w:proofErr w:type="spellEnd"/>
      <w:r w:rsidRPr="00680BDB">
        <w:rPr>
          <w:rFonts w:asciiTheme="minorHAnsi" w:eastAsiaTheme="minorHAnsi" w:hAnsiTheme="minorHAnsi" w:cstheme="minorHAnsi"/>
          <w:sz w:val="24"/>
        </w:rPr>
        <w:t xml:space="preserve"> note that the setting of levels of service, and the associated performance measures and targets are important to good local governance, but suggests the current Rules be repealed, arguing that the wording in the current rules likely fall below the standards set out in section 216</w:t>
      </w:r>
      <w:proofErr w:type="gramStart"/>
      <w:r w:rsidRPr="00680BDB">
        <w:rPr>
          <w:rFonts w:asciiTheme="minorHAnsi" w:eastAsiaTheme="minorHAnsi" w:hAnsiTheme="minorHAnsi" w:cstheme="minorHAnsi"/>
          <w:sz w:val="24"/>
        </w:rPr>
        <w:t>B(</w:t>
      </w:r>
      <w:proofErr w:type="gramEnd"/>
      <w:r w:rsidRPr="00680BDB">
        <w:rPr>
          <w:rFonts w:asciiTheme="minorHAnsi" w:eastAsiaTheme="minorHAnsi" w:hAnsiTheme="minorHAnsi" w:cstheme="minorHAnsi"/>
          <w:sz w:val="24"/>
        </w:rPr>
        <w:t xml:space="preserve">1) of the LGA, and that they are not an effective tool for councils to communicate performance with their communities.  </w:t>
      </w:r>
    </w:p>
    <w:p w14:paraId="4D1A6048" w14:textId="77777777" w:rsidR="00BC4705" w:rsidRPr="00680BDB" w:rsidRDefault="00BC4705" w:rsidP="00BC4705">
      <w:pPr>
        <w:pStyle w:val="Numberedpara3level1"/>
        <w:numPr>
          <w:ilvl w:val="0"/>
          <w:numId w:val="33"/>
        </w:numPr>
        <w:ind w:left="567" w:hanging="567"/>
        <w:rPr>
          <w:rFonts w:asciiTheme="minorHAnsi" w:eastAsiaTheme="minorHAnsi" w:hAnsiTheme="minorHAnsi" w:cstheme="minorHAnsi"/>
          <w:sz w:val="24"/>
        </w:rPr>
      </w:pPr>
      <w:r w:rsidRPr="00680BDB">
        <w:rPr>
          <w:rFonts w:asciiTheme="minorHAnsi" w:eastAsiaTheme="minorHAnsi" w:hAnsiTheme="minorHAnsi" w:cstheme="minorHAnsi"/>
          <w:sz w:val="24"/>
        </w:rPr>
        <w:lastRenderedPageBreak/>
        <w:t xml:space="preserve">Invercargill City Council supported </w:t>
      </w:r>
      <w:proofErr w:type="spellStart"/>
      <w:r w:rsidRPr="00680BDB">
        <w:rPr>
          <w:rFonts w:asciiTheme="minorHAnsi" w:eastAsiaTheme="minorHAnsi" w:hAnsiTheme="minorHAnsi" w:cstheme="minorHAnsi"/>
          <w:sz w:val="24"/>
        </w:rPr>
        <w:t>Taituarā’s</w:t>
      </w:r>
      <w:proofErr w:type="spellEnd"/>
      <w:r w:rsidRPr="00680BDB">
        <w:rPr>
          <w:rFonts w:asciiTheme="minorHAnsi" w:eastAsiaTheme="minorHAnsi" w:hAnsiTheme="minorHAnsi" w:cstheme="minorHAnsi"/>
          <w:sz w:val="24"/>
        </w:rPr>
        <w:t xml:space="preserve"> submission on this issue, stating “the detail of many of the measures seems arbitrary and is not supporting effective decision making, which is one of the key benefits of key performance indicators.”</w:t>
      </w:r>
    </w:p>
    <w:p w14:paraId="07EC7DB4" w14:textId="4E943719" w:rsidR="00BC4705" w:rsidRDefault="00F8090F" w:rsidP="00BC4705">
      <w:pPr>
        <w:rPr>
          <w:rStyle w:val="Heading4Char"/>
        </w:rPr>
      </w:pPr>
      <w:r>
        <w:rPr>
          <w:rStyle w:val="Heading4Char"/>
        </w:rPr>
        <w:t>Analysis and r</w:t>
      </w:r>
      <w:r w:rsidR="00BC4705">
        <w:rPr>
          <w:rStyle w:val="Heading4Char"/>
        </w:rPr>
        <w:t>ecommendation</w:t>
      </w:r>
    </w:p>
    <w:p w14:paraId="169F2A2D" w14:textId="1CA4F064" w:rsidR="00BC4705" w:rsidRPr="00680BDB" w:rsidRDefault="00BC4705" w:rsidP="00BC4705">
      <w:pPr>
        <w:pStyle w:val="Numberedpara3level1"/>
        <w:numPr>
          <w:ilvl w:val="0"/>
          <w:numId w:val="25"/>
        </w:numPr>
        <w:spacing w:before="120" w:line="240" w:lineRule="auto"/>
        <w:ind w:left="567" w:hanging="567"/>
        <w:rPr>
          <w:rFonts w:ascii="Calibri" w:eastAsiaTheme="minorHAnsi" w:hAnsi="Calibri"/>
          <w:sz w:val="24"/>
        </w:rPr>
      </w:pPr>
      <w:r w:rsidRPr="00680BDB">
        <w:rPr>
          <w:rFonts w:ascii="Calibri" w:eastAsiaTheme="minorHAnsi" w:hAnsi="Calibri"/>
          <w:sz w:val="24"/>
        </w:rPr>
        <w:t>The Department acknowledges the current suite of measures have been in place for at least 10 years, and that in the interests of regulatory stewardship it may be timely to review these. Any future review would need to consider ministerial and departmental priorities and any associated resourcing.</w:t>
      </w:r>
    </w:p>
    <w:p w14:paraId="325CC992" w14:textId="43BEE227" w:rsidR="00BC4705" w:rsidRPr="005946EF" w:rsidRDefault="00BC4705" w:rsidP="005946EF">
      <w:pPr>
        <w:pStyle w:val="Numberedpara3level1"/>
        <w:numPr>
          <w:ilvl w:val="0"/>
          <w:numId w:val="25"/>
        </w:numPr>
        <w:spacing w:before="120" w:line="240" w:lineRule="auto"/>
        <w:ind w:left="567" w:hanging="567"/>
        <w:rPr>
          <w:rFonts w:ascii="Calibri" w:eastAsiaTheme="minorHAnsi" w:hAnsi="Calibri"/>
          <w:sz w:val="24"/>
        </w:rPr>
      </w:pPr>
      <w:r w:rsidRPr="00680BDB">
        <w:rPr>
          <w:rFonts w:ascii="Calibri" w:eastAsiaTheme="minorHAnsi" w:hAnsi="Calibri"/>
          <w:sz w:val="24"/>
        </w:rPr>
        <w:t xml:space="preserve">It is recommended that the Department note the issues raised by submitters in relation to non-financial performance measures and consider how any work may be progressed in </w:t>
      </w:r>
      <w:r w:rsidR="006426AF" w:rsidRPr="00680BDB">
        <w:rPr>
          <w:rFonts w:ascii="Calibri" w:eastAsiaTheme="minorHAnsi" w:hAnsi="Calibri"/>
          <w:sz w:val="24"/>
        </w:rPr>
        <w:t>th</w:t>
      </w:r>
      <w:r w:rsidR="006426AF">
        <w:rPr>
          <w:rFonts w:ascii="Calibri" w:eastAsiaTheme="minorHAnsi" w:hAnsi="Calibri"/>
          <w:sz w:val="24"/>
        </w:rPr>
        <w:t>is</w:t>
      </w:r>
      <w:r w:rsidR="006426AF" w:rsidRPr="00680BDB">
        <w:rPr>
          <w:rFonts w:ascii="Calibri" w:eastAsiaTheme="minorHAnsi" w:hAnsi="Calibri"/>
          <w:sz w:val="24"/>
        </w:rPr>
        <w:t xml:space="preserve"> </w:t>
      </w:r>
      <w:r w:rsidRPr="00680BDB">
        <w:rPr>
          <w:rFonts w:ascii="Calibri" w:eastAsiaTheme="minorHAnsi" w:hAnsi="Calibri"/>
          <w:sz w:val="24"/>
        </w:rPr>
        <w:t xml:space="preserve">area subject to other priorities and resource requirements. </w:t>
      </w:r>
    </w:p>
    <w:p w14:paraId="2DACF91E" w14:textId="77777777" w:rsidR="00875B99" w:rsidRPr="00960E42" w:rsidRDefault="00875B99" w:rsidP="00960E42"/>
    <w:sectPr w:rsidR="00875B99" w:rsidRPr="00960E42" w:rsidSect="00CF4BE3">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20D5D" w14:textId="77777777" w:rsidR="00960E42" w:rsidRDefault="00960E42">
      <w:r>
        <w:separator/>
      </w:r>
    </w:p>
    <w:p w14:paraId="5B876853" w14:textId="77777777" w:rsidR="00960E42" w:rsidRDefault="00960E42"/>
    <w:p w14:paraId="74BA1330" w14:textId="77777777" w:rsidR="00960E42" w:rsidRDefault="00960E42"/>
  </w:endnote>
  <w:endnote w:type="continuationSeparator" w:id="0">
    <w:p w14:paraId="221DD1B5" w14:textId="77777777" w:rsidR="00960E42" w:rsidRDefault="00960E42">
      <w:r>
        <w:continuationSeparator/>
      </w:r>
    </w:p>
    <w:p w14:paraId="6D02C88B" w14:textId="77777777" w:rsidR="00960E42" w:rsidRDefault="00960E42"/>
    <w:p w14:paraId="1ED47AC1" w14:textId="77777777" w:rsidR="00960E42" w:rsidRDefault="00960E42"/>
  </w:endnote>
  <w:endnote w:type="continuationNotice" w:id="1">
    <w:p w14:paraId="4023BB21" w14:textId="77777777" w:rsidR="009968E8" w:rsidRDefault="009968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308D" w14:textId="77777777"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0D02"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fldSimple w:instr=" NUMPAGES   \* MERGEFORMAT ">
      <w:r w:rsidR="00603635">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28A8" w14:textId="77777777"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4AB47" w14:textId="77777777" w:rsidR="00960E42" w:rsidRDefault="00960E42" w:rsidP="00FB1990">
      <w:pPr>
        <w:pStyle w:val="Spacer"/>
      </w:pPr>
      <w:r>
        <w:separator/>
      </w:r>
    </w:p>
    <w:p w14:paraId="51EB9703" w14:textId="77777777" w:rsidR="00960E42" w:rsidRDefault="00960E42" w:rsidP="00FB1990">
      <w:pPr>
        <w:pStyle w:val="Spacer"/>
      </w:pPr>
    </w:p>
  </w:footnote>
  <w:footnote w:type="continuationSeparator" w:id="0">
    <w:p w14:paraId="52B31C45" w14:textId="77777777" w:rsidR="00960E42" w:rsidRDefault="00960E42">
      <w:r>
        <w:continuationSeparator/>
      </w:r>
    </w:p>
    <w:p w14:paraId="3C505B8F" w14:textId="77777777" w:rsidR="00960E42" w:rsidRDefault="00960E42"/>
    <w:p w14:paraId="71D54447" w14:textId="77777777" w:rsidR="00960E42" w:rsidRDefault="00960E42"/>
  </w:footnote>
  <w:footnote w:type="continuationNotice" w:id="1">
    <w:p w14:paraId="042EA88F" w14:textId="77777777" w:rsidR="009968E8" w:rsidRDefault="009968E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210A" w14:textId="63FCA91F"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D15F" w14:textId="6EF0E333"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B390" w14:textId="2C9ED275"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lvlText w:val="%1."/>
      <w:lvlJc w:val="left"/>
      <w:pPr>
        <w:ind w:left="567" w:hanging="567"/>
      </w:pPr>
      <w:rPr>
        <w:rFonts w:hint="default"/>
      </w:rPr>
    </w:lvl>
    <w:lvl w:ilvl="1">
      <w:start w:val="1"/>
      <w:numFmt w:val="decimal"/>
      <w:lvlText w:val="%1.%2"/>
      <w:lvlJc w:val="left"/>
      <w:pPr>
        <w:ind w:left="1247" w:hanging="680"/>
      </w:pPr>
      <w:rPr>
        <w:rFonts w:hint="default"/>
      </w:rPr>
    </w:lvl>
    <w:lvl w:ilvl="2">
      <w:start w:val="1"/>
      <w:numFmt w:val="decimal"/>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2C44CA6"/>
    <w:multiLevelType w:val="hybridMultilevel"/>
    <w:tmpl w:val="611CDF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15:restartNumberingAfterBreak="0">
    <w:nsid w:val="06936854"/>
    <w:multiLevelType w:val="hybridMultilevel"/>
    <w:tmpl w:val="4120BF28"/>
    <w:lvl w:ilvl="0" w:tplc="0809000F">
      <w:start w:val="1"/>
      <w:numFmt w:val="decimal"/>
      <w:lvlText w:val="%1."/>
      <w:lvlJc w:val="left"/>
      <w:pPr>
        <w:tabs>
          <w:tab w:val="num" w:pos="2061"/>
        </w:tabs>
        <w:ind w:left="2061" w:hanging="360"/>
      </w:pPr>
    </w:lvl>
    <w:lvl w:ilvl="1" w:tplc="0809000F">
      <w:start w:val="1"/>
      <w:numFmt w:val="decimal"/>
      <w:lvlText w:val="%2."/>
      <w:lvlJc w:val="left"/>
      <w:pPr>
        <w:tabs>
          <w:tab w:val="num" w:pos="2061"/>
        </w:tabs>
        <w:ind w:left="2061" w:hanging="360"/>
      </w:pPr>
    </w:lvl>
    <w:lvl w:ilvl="2" w:tplc="0809001B">
      <w:start w:val="1"/>
      <w:numFmt w:val="lowerRoman"/>
      <w:lvlText w:val="%3."/>
      <w:lvlJc w:val="right"/>
      <w:pPr>
        <w:tabs>
          <w:tab w:val="num" w:pos="3501"/>
        </w:tabs>
        <w:ind w:left="3501" w:hanging="180"/>
      </w:pPr>
    </w:lvl>
    <w:lvl w:ilvl="3" w:tplc="08090001">
      <w:start w:val="1"/>
      <w:numFmt w:val="bullet"/>
      <w:lvlText w:val=""/>
      <w:lvlJc w:val="left"/>
      <w:pPr>
        <w:tabs>
          <w:tab w:val="num" w:pos="4221"/>
        </w:tabs>
        <w:ind w:left="4221" w:hanging="360"/>
      </w:pPr>
      <w:rPr>
        <w:rFonts w:ascii="Symbol" w:hAnsi="Symbol" w:hint="default"/>
      </w:rPr>
    </w:lvl>
    <w:lvl w:ilvl="4" w:tplc="08090019" w:tentative="1">
      <w:start w:val="1"/>
      <w:numFmt w:val="lowerLetter"/>
      <w:lvlText w:val="%5."/>
      <w:lvlJc w:val="left"/>
      <w:pPr>
        <w:tabs>
          <w:tab w:val="num" w:pos="4941"/>
        </w:tabs>
        <w:ind w:left="4941" w:hanging="360"/>
      </w:pPr>
    </w:lvl>
    <w:lvl w:ilvl="5" w:tplc="0809001B" w:tentative="1">
      <w:start w:val="1"/>
      <w:numFmt w:val="lowerRoman"/>
      <w:lvlText w:val="%6."/>
      <w:lvlJc w:val="right"/>
      <w:pPr>
        <w:tabs>
          <w:tab w:val="num" w:pos="5661"/>
        </w:tabs>
        <w:ind w:left="5661" w:hanging="180"/>
      </w:pPr>
    </w:lvl>
    <w:lvl w:ilvl="6" w:tplc="0809000F" w:tentative="1">
      <w:start w:val="1"/>
      <w:numFmt w:val="decimal"/>
      <w:lvlText w:val="%7."/>
      <w:lvlJc w:val="left"/>
      <w:pPr>
        <w:tabs>
          <w:tab w:val="num" w:pos="6381"/>
        </w:tabs>
        <w:ind w:left="6381" w:hanging="360"/>
      </w:pPr>
    </w:lvl>
    <w:lvl w:ilvl="7" w:tplc="08090019" w:tentative="1">
      <w:start w:val="1"/>
      <w:numFmt w:val="lowerLetter"/>
      <w:lvlText w:val="%8."/>
      <w:lvlJc w:val="left"/>
      <w:pPr>
        <w:tabs>
          <w:tab w:val="num" w:pos="7101"/>
        </w:tabs>
        <w:ind w:left="7101" w:hanging="360"/>
      </w:pPr>
    </w:lvl>
    <w:lvl w:ilvl="8" w:tplc="0809001B" w:tentative="1">
      <w:start w:val="1"/>
      <w:numFmt w:val="lowerRoman"/>
      <w:lvlText w:val="%9."/>
      <w:lvlJc w:val="right"/>
      <w:pPr>
        <w:tabs>
          <w:tab w:val="num" w:pos="7821"/>
        </w:tabs>
        <w:ind w:left="7821" w:hanging="180"/>
      </w:pPr>
    </w:lvl>
  </w:abstractNum>
  <w:abstractNum w:abstractNumId="10"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6BC6F02"/>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5670B33"/>
    <w:multiLevelType w:val="hybridMultilevel"/>
    <w:tmpl w:val="9FFABF5C"/>
    <w:lvl w:ilvl="0" w:tplc="14090015">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336BD1"/>
    <w:multiLevelType w:val="hybridMultilevel"/>
    <w:tmpl w:val="FB9C2E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46766B7"/>
    <w:multiLevelType w:val="hybridMultilevel"/>
    <w:tmpl w:val="95BCB5E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893018E"/>
    <w:multiLevelType w:val="hybridMultilevel"/>
    <w:tmpl w:val="7B387B30"/>
    <w:lvl w:ilvl="0" w:tplc="3902848C">
      <w:start w:val="8"/>
      <w:numFmt w:val="bullet"/>
      <w:lvlText w:val=""/>
      <w:lvlJc w:val="left"/>
      <w:pPr>
        <w:ind w:left="720" w:hanging="360"/>
      </w:pPr>
      <w:rPr>
        <w:rFonts w:ascii="Wingdings" w:eastAsia="Times New Roman" w:hAnsi="Wingdings"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08F39E9"/>
    <w:multiLevelType w:val="multilevel"/>
    <w:tmpl w:val="494EAA0C"/>
    <w:lvl w:ilvl="0">
      <w:start w:val="1"/>
      <w:numFmt w:val="decimal"/>
      <w:lvlText w:val="%1."/>
      <w:lvlJc w:val="left"/>
      <w:pPr>
        <w:ind w:left="0" w:firstLine="0"/>
      </w:pPr>
      <w:rPr>
        <w:rFonts w:ascii="Arial" w:hAnsi="Arial" w:cs="Arial" w:hint="default"/>
        <w:b w:val="0"/>
        <w:i w:val="0"/>
        <w:caps w:val="0"/>
        <w:smallCaps w:val="0"/>
        <w:strike w:val="0"/>
        <w:dstrike w:val="0"/>
        <w:vanish w:val="0"/>
        <w:webHidden w:val="0"/>
        <w:color w:val="auto"/>
        <w:sz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rFonts w:ascii="Arial" w:hAnsi="Arial" w:cs="Arial" w:hint="default"/>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0"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0"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0" w:firstLine="0"/>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0" w:firstLine="0"/>
      </w:pPr>
      <w:rPr>
        <w:rFonts w:asciiTheme="minorHAnsi" w:eastAsia="Times New Roman" w:hAnsiTheme="minorHAnsi" w:cstheme="minorHAnsi"/>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0" w:firstLine="0"/>
      </w:pPr>
      <w:rPr>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0" w:firstLine="0"/>
      </w:pPr>
      <w:rPr>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0" w:firstLine="0"/>
      </w:pPr>
      <w:rPr>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7"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8"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9" w15:restartNumberingAfterBreak="0">
    <w:nsid w:val="69082862"/>
    <w:multiLevelType w:val="hybridMultilevel"/>
    <w:tmpl w:val="E676BC8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1"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2" w15:restartNumberingAfterBreak="0">
    <w:nsid w:val="731422C7"/>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4" w15:restartNumberingAfterBreak="0">
    <w:nsid w:val="791D1AB5"/>
    <w:multiLevelType w:val="hybridMultilevel"/>
    <w:tmpl w:val="B1103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61634856">
    <w:abstractNumId w:val="5"/>
  </w:num>
  <w:num w:numId="2" w16cid:durableId="1753893192">
    <w:abstractNumId w:val="4"/>
  </w:num>
  <w:num w:numId="3" w16cid:durableId="811601444">
    <w:abstractNumId w:val="3"/>
  </w:num>
  <w:num w:numId="4" w16cid:durableId="797378698">
    <w:abstractNumId w:val="2"/>
  </w:num>
  <w:num w:numId="5" w16cid:durableId="1670524643">
    <w:abstractNumId w:val="1"/>
  </w:num>
  <w:num w:numId="6" w16cid:durableId="2097288350">
    <w:abstractNumId w:val="0"/>
  </w:num>
  <w:num w:numId="7" w16cid:durableId="489908961">
    <w:abstractNumId w:val="24"/>
  </w:num>
  <w:num w:numId="8" w16cid:durableId="1363702303">
    <w:abstractNumId w:val="25"/>
  </w:num>
  <w:num w:numId="9" w16cid:durableId="51274225">
    <w:abstractNumId w:val="19"/>
  </w:num>
  <w:num w:numId="10" w16cid:durableId="1825853022">
    <w:abstractNumId w:val="13"/>
  </w:num>
  <w:num w:numId="11" w16cid:durableId="189608138">
    <w:abstractNumId w:val="26"/>
  </w:num>
  <w:num w:numId="12" w16cid:durableId="836385938">
    <w:abstractNumId w:val="28"/>
  </w:num>
  <w:num w:numId="13" w16cid:durableId="318969119">
    <w:abstractNumId w:val="31"/>
  </w:num>
  <w:num w:numId="14" w16cid:durableId="219824810">
    <w:abstractNumId w:val="8"/>
  </w:num>
  <w:num w:numId="15" w16cid:durableId="1175261501">
    <w:abstractNumId w:val="16"/>
  </w:num>
  <w:num w:numId="16" w16cid:durableId="1239703915">
    <w:abstractNumId w:val="33"/>
  </w:num>
  <w:num w:numId="17" w16cid:durableId="419790638">
    <w:abstractNumId w:val="30"/>
  </w:num>
  <w:num w:numId="18" w16cid:durableId="1987780468">
    <w:abstractNumId w:val="27"/>
  </w:num>
  <w:num w:numId="19" w16cid:durableId="59451116">
    <w:abstractNumId w:val="22"/>
  </w:num>
  <w:num w:numId="20" w16cid:durableId="2067675970">
    <w:abstractNumId w:val="17"/>
  </w:num>
  <w:num w:numId="21" w16cid:durableId="1299334354">
    <w:abstractNumId w:val="11"/>
  </w:num>
  <w:num w:numId="22" w16cid:durableId="601376426">
    <w:abstractNumId w:val="6"/>
  </w:num>
  <w:num w:numId="23" w16cid:durableId="206450807">
    <w:abstractNumId w:val="14"/>
  </w:num>
  <w:num w:numId="24" w16cid:durableId="1743673616">
    <w:abstractNumId w:val="10"/>
  </w:num>
  <w:num w:numId="25" w16cid:durableId="531457259">
    <w:abstractNumId w:val="9"/>
  </w:num>
  <w:num w:numId="26" w16cid:durableId="517545976">
    <w:abstractNumId w:val="21"/>
  </w:num>
  <w:num w:numId="27" w16cid:durableId="733429558">
    <w:abstractNumId w:val="18"/>
  </w:num>
  <w:num w:numId="28" w16cid:durableId="9221053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4970670">
    <w:abstractNumId w:val="15"/>
  </w:num>
  <w:num w:numId="30" w16cid:durableId="1867715110">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7948165">
    <w:abstractNumId w:val="20"/>
  </w:num>
  <w:num w:numId="32" w16cid:durableId="321592794">
    <w:abstractNumId w:val="34"/>
  </w:num>
  <w:num w:numId="33" w16cid:durableId="1909461702">
    <w:abstractNumId w:val="12"/>
  </w:num>
  <w:num w:numId="34" w16cid:durableId="1595630601">
    <w:abstractNumId w:val="29"/>
  </w:num>
  <w:num w:numId="35" w16cid:durableId="738020035">
    <w:abstractNumId w:val="7"/>
  </w:num>
  <w:num w:numId="36" w16cid:durableId="1211453387">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60E42"/>
    <w:rsid w:val="00003360"/>
    <w:rsid w:val="00003FC7"/>
    <w:rsid w:val="00005919"/>
    <w:rsid w:val="00007C42"/>
    <w:rsid w:val="00015020"/>
    <w:rsid w:val="0001647B"/>
    <w:rsid w:val="00020010"/>
    <w:rsid w:val="00022D1F"/>
    <w:rsid w:val="000235F1"/>
    <w:rsid w:val="0002411F"/>
    <w:rsid w:val="00034673"/>
    <w:rsid w:val="00036671"/>
    <w:rsid w:val="00037226"/>
    <w:rsid w:val="00037F91"/>
    <w:rsid w:val="000409E2"/>
    <w:rsid w:val="00044EA1"/>
    <w:rsid w:val="00054574"/>
    <w:rsid w:val="0005649A"/>
    <w:rsid w:val="00063BB2"/>
    <w:rsid w:val="00065F18"/>
    <w:rsid w:val="00067005"/>
    <w:rsid w:val="00076035"/>
    <w:rsid w:val="00077013"/>
    <w:rsid w:val="00091C3A"/>
    <w:rsid w:val="000C032C"/>
    <w:rsid w:val="000D61F6"/>
    <w:rsid w:val="000D65D0"/>
    <w:rsid w:val="000D7A82"/>
    <w:rsid w:val="000E3240"/>
    <w:rsid w:val="000E677B"/>
    <w:rsid w:val="000F2379"/>
    <w:rsid w:val="000F4ADF"/>
    <w:rsid w:val="000F61AF"/>
    <w:rsid w:val="0010171C"/>
    <w:rsid w:val="00102FAD"/>
    <w:rsid w:val="001100AD"/>
    <w:rsid w:val="00121870"/>
    <w:rsid w:val="001252D8"/>
    <w:rsid w:val="00126FDE"/>
    <w:rsid w:val="00135EBC"/>
    <w:rsid w:val="0013703F"/>
    <w:rsid w:val="00140ED2"/>
    <w:rsid w:val="00143E7C"/>
    <w:rsid w:val="0014415C"/>
    <w:rsid w:val="0014565E"/>
    <w:rsid w:val="001536C9"/>
    <w:rsid w:val="0016433D"/>
    <w:rsid w:val="001765BA"/>
    <w:rsid w:val="00181EC3"/>
    <w:rsid w:val="00183101"/>
    <w:rsid w:val="00184C0F"/>
    <w:rsid w:val="0018732F"/>
    <w:rsid w:val="00196436"/>
    <w:rsid w:val="001A5F55"/>
    <w:rsid w:val="001B725E"/>
    <w:rsid w:val="001C0031"/>
    <w:rsid w:val="001C0C30"/>
    <w:rsid w:val="001D0111"/>
    <w:rsid w:val="001D7EAE"/>
    <w:rsid w:val="001E1E9C"/>
    <w:rsid w:val="001E64FC"/>
    <w:rsid w:val="001F0724"/>
    <w:rsid w:val="001F4031"/>
    <w:rsid w:val="002007DF"/>
    <w:rsid w:val="00202530"/>
    <w:rsid w:val="00205FE8"/>
    <w:rsid w:val="00206BA3"/>
    <w:rsid w:val="00215160"/>
    <w:rsid w:val="00216498"/>
    <w:rsid w:val="00221CE4"/>
    <w:rsid w:val="002224B4"/>
    <w:rsid w:val="0022484C"/>
    <w:rsid w:val="00226D5E"/>
    <w:rsid w:val="00232ED2"/>
    <w:rsid w:val="00237A3D"/>
    <w:rsid w:val="00240E83"/>
    <w:rsid w:val="002502D1"/>
    <w:rsid w:val="00260A17"/>
    <w:rsid w:val="00270EEC"/>
    <w:rsid w:val="002777D8"/>
    <w:rsid w:val="002806A2"/>
    <w:rsid w:val="002960BB"/>
    <w:rsid w:val="00297CC7"/>
    <w:rsid w:val="002A194F"/>
    <w:rsid w:val="002A4BD9"/>
    <w:rsid w:val="002A4FE7"/>
    <w:rsid w:val="002A7115"/>
    <w:rsid w:val="002B1CEB"/>
    <w:rsid w:val="002C16D1"/>
    <w:rsid w:val="002C75BC"/>
    <w:rsid w:val="002D3125"/>
    <w:rsid w:val="002D4F42"/>
    <w:rsid w:val="002E1A6E"/>
    <w:rsid w:val="002E77F5"/>
    <w:rsid w:val="002F5E17"/>
    <w:rsid w:val="0030084C"/>
    <w:rsid w:val="003039E1"/>
    <w:rsid w:val="003042C5"/>
    <w:rsid w:val="003129BA"/>
    <w:rsid w:val="003148FC"/>
    <w:rsid w:val="0032132E"/>
    <w:rsid w:val="00330820"/>
    <w:rsid w:val="003465C8"/>
    <w:rsid w:val="00357D17"/>
    <w:rsid w:val="00360B1A"/>
    <w:rsid w:val="00366F3F"/>
    <w:rsid w:val="00367681"/>
    <w:rsid w:val="0037016B"/>
    <w:rsid w:val="00370FC0"/>
    <w:rsid w:val="00373206"/>
    <w:rsid w:val="003737ED"/>
    <w:rsid w:val="00375B80"/>
    <w:rsid w:val="00377352"/>
    <w:rsid w:val="003A10DA"/>
    <w:rsid w:val="003A12C8"/>
    <w:rsid w:val="003A5FCC"/>
    <w:rsid w:val="003A6FFE"/>
    <w:rsid w:val="003A7695"/>
    <w:rsid w:val="003B0C8D"/>
    <w:rsid w:val="003B3A23"/>
    <w:rsid w:val="003B6592"/>
    <w:rsid w:val="003C7510"/>
    <w:rsid w:val="003C772C"/>
    <w:rsid w:val="003F2B58"/>
    <w:rsid w:val="003F5886"/>
    <w:rsid w:val="0040020C"/>
    <w:rsid w:val="00401CA0"/>
    <w:rsid w:val="00405EF2"/>
    <w:rsid w:val="0040700B"/>
    <w:rsid w:val="00407F54"/>
    <w:rsid w:val="00411341"/>
    <w:rsid w:val="004117D2"/>
    <w:rsid w:val="00413966"/>
    <w:rsid w:val="00414748"/>
    <w:rsid w:val="00415015"/>
    <w:rsid w:val="00415CDB"/>
    <w:rsid w:val="004231DC"/>
    <w:rsid w:val="0042551E"/>
    <w:rsid w:val="00433AD8"/>
    <w:rsid w:val="00437A53"/>
    <w:rsid w:val="00453F3F"/>
    <w:rsid w:val="0045495C"/>
    <w:rsid w:val="004552A0"/>
    <w:rsid w:val="00457E34"/>
    <w:rsid w:val="00460A83"/>
    <w:rsid w:val="00460B3F"/>
    <w:rsid w:val="00464752"/>
    <w:rsid w:val="00465A93"/>
    <w:rsid w:val="00472A55"/>
    <w:rsid w:val="00475878"/>
    <w:rsid w:val="00476068"/>
    <w:rsid w:val="004763B3"/>
    <w:rsid w:val="00477619"/>
    <w:rsid w:val="00486E6E"/>
    <w:rsid w:val="004875DF"/>
    <w:rsid w:val="00487C1D"/>
    <w:rsid w:val="00494C6F"/>
    <w:rsid w:val="004A5823"/>
    <w:rsid w:val="004B0AAF"/>
    <w:rsid w:val="004B214C"/>
    <w:rsid w:val="004B3924"/>
    <w:rsid w:val="004B7389"/>
    <w:rsid w:val="004C4DDD"/>
    <w:rsid w:val="004C5F40"/>
    <w:rsid w:val="004C6953"/>
    <w:rsid w:val="004C7001"/>
    <w:rsid w:val="004D1706"/>
    <w:rsid w:val="004D243F"/>
    <w:rsid w:val="004D27CF"/>
    <w:rsid w:val="004D4899"/>
    <w:rsid w:val="004D7473"/>
    <w:rsid w:val="004E1F3F"/>
    <w:rsid w:val="004F2E8A"/>
    <w:rsid w:val="004F55E1"/>
    <w:rsid w:val="00501C4B"/>
    <w:rsid w:val="005028A7"/>
    <w:rsid w:val="005078B7"/>
    <w:rsid w:val="00510D73"/>
    <w:rsid w:val="00512ACB"/>
    <w:rsid w:val="0052216D"/>
    <w:rsid w:val="00526115"/>
    <w:rsid w:val="00533FAF"/>
    <w:rsid w:val="00535CA0"/>
    <w:rsid w:val="005366B6"/>
    <w:rsid w:val="00554BCD"/>
    <w:rsid w:val="00555F60"/>
    <w:rsid w:val="005605A5"/>
    <w:rsid w:val="00560B3C"/>
    <w:rsid w:val="00561A97"/>
    <w:rsid w:val="00563DAC"/>
    <w:rsid w:val="005675E0"/>
    <w:rsid w:val="00570A71"/>
    <w:rsid w:val="00570C00"/>
    <w:rsid w:val="005711BB"/>
    <w:rsid w:val="00576AAA"/>
    <w:rsid w:val="0058206B"/>
    <w:rsid w:val="00585690"/>
    <w:rsid w:val="00591BDC"/>
    <w:rsid w:val="005946EF"/>
    <w:rsid w:val="00594AAA"/>
    <w:rsid w:val="00595B33"/>
    <w:rsid w:val="0059662F"/>
    <w:rsid w:val="005B7254"/>
    <w:rsid w:val="005D3066"/>
    <w:rsid w:val="005D698D"/>
    <w:rsid w:val="005E4B13"/>
    <w:rsid w:val="005E4C02"/>
    <w:rsid w:val="005F01DF"/>
    <w:rsid w:val="005F76CC"/>
    <w:rsid w:val="005F7FF8"/>
    <w:rsid w:val="006004C4"/>
    <w:rsid w:val="00600CA4"/>
    <w:rsid w:val="00602416"/>
    <w:rsid w:val="006025CE"/>
    <w:rsid w:val="00603635"/>
    <w:rsid w:val="006041F2"/>
    <w:rsid w:val="006064F5"/>
    <w:rsid w:val="00617298"/>
    <w:rsid w:val="006237AE"/>
    <w:rsid w:val="00627DA3"/>
    <w:rsid w:val="00637753"/>
    <w:rsid w:val="006426AF"/>
    <w:rsid w:val="00660CE4"/>
    <w:rsid w:val="00662716"/>
    <w:rsid w:val="00675A06"/>
    <w:rsid w:val="00676023"/>
    <w:rsid w:val="00676C9F"/>
    <w:rsid w:val="00677B13"/>
    <w:rsid w:val="00677F4E"/>
    <w:rsid w:val="00677F8A"/>
    <w:rsid w:val="00681A08"/>
    <w:rsid w:val="0068243D"/>
    <w:rsid w:val="00685ECF"/>
    <w:rsid w:val="006875B8"/>
    <w:rsid w:val="00687CEA"/>
    <w:rsid w:val="00690190"/>
    <w:rsid w:val="006911E7"/>
    <w:rsid w:val="00694E01"/>
    <w:rsid w:val="00695171"/>
    <w:rsid w:val="00695B75"/>
    <w:rsid w:val="006A1A95"/>
    <w:rsid w:val="006A38B7"/>
    <w:rsid w:val="006A5C31"/>
    <w:rsid w:val="006B1CB2"/>
    <w:rsid w:val="006B1DD1"/>
    <w:rsid w:val="006B3396"/>
    <w:rsid w:val="006B367E"/>
    <w:rsid w:val="006B4FE7"/>
    <w:rsid w:val="006C195E"/>
    <w:rsid w:val="006D638F"/>
    <w:rsid w:val="006D7384"/>
    <w:rsid w:val="006E7BF7"/>
    <w:rsid w:val="00702F2C"/>
    <w:rsid w:val="007042D1"/>
    <w:rsid w:val="007068C8"/>
    <w:rsid w:val="00715B8F"/>
    <w:rsid w:val="0073106E"/>
    <w:rsid w:val="0074533E"/>
    <w:rsid w:val="00755142"/>
    <w:rsid w:val="00756BB7"/>
    <w:rsid w:val="0075764B"/>
    <w:rsid w:val="00760C01"/>
    <w:rsid w:val="00761293"/>
    <w:rsid w:val="00765244"/>
    <w:rsid w:val="00767C04"/>
    <w:rsid w:val="007736A2"/>
    <w:rsid w:val="00786E1B"/>
    <w:rsid w:val="007A6226"/>
    <w:rsid w:val="007B3C61"/>
    <w:rsid w:val="007D1918"/>
    <w:rsid w:val="007D2BC7"/>
    <w:rsid w:val="007E3072"/>
    <w:rsid w:val="007F03F2"/>
    <w:rsid w:val="008029E1"/>
    <w:rsid w:val="008031DF"/>
    <w:rsid w:val="008065D7"/>
    <w:rsid w:val="008111A3"/>
    <w:rsid w:val="00811BA4"/>
    <w:rsid w:val="00813D23"/>
    <w:rsid w:val="0081414A"/>
    <w:rsid w:val="00816E30"/>
    <w:rsid w:val="0082264B"/>
    <w:rsid w:val="0082765B"/>
    <w:rsid w:val="008352B1"/>
    <w:rsid w:val="008353E7"/>
    <w:rsid w:val="00835BD7"/>
    <w:rsid w:val="008428E8"/>
    <w:rsid w:val="00843D71"/>
    <w:rsid w:val="00846F11"/>
    <w:rsid w:val="0084745A"/>
    <w:rsid w:val="008504D0"/>
    <w:rsid w:val="00870045"/>
    <w:rsid w:val="00875B99"/>
    <w:rsid w:val="00876E5F"/>
    <w:rsid w:val="00884A12"/>
    <w:rsid w:val="00890CE4"/>
    <w:rsid w:val="00891ED7"/>
    <w:rsid w:val="008A30F5"/>
    <w:rsid w:val="008B7B54"/>
    <w:rsid w:val="008C3187"/>
    <w:rsid w:val="008C4701"/>
    <w:rsid w:val="008C5E4F"/>
    <w:rsid w:val="008D63B7"/>
    <w:rsid w:val="008D6A03"/>
    <w:rsid w:val="008D6CA7"/>
    <w:rsid w:val="008E5008"/>
    <w:rsid w:val="008E508C"/>
    <w:rsid w:val="008E7FEE"/>
    <w:rsid w:val="008F2F06"/>
    <w:rsid w:val="008F31F5"/>
    <w:rsid w:val="008F67F5"/>
    <w:rsid w:val="008F6BCE"/>
    <w:rsid w:val="00900D4B"/>
    <w:rsid w:val="00904E76"/>
    <w:rsid w:val="00905F9B"/>
    <w:rsid w:val="00913E95"/>
    <w:rsid w:val="0091426C"/>
    <w:rsid w:val="009170B9"/>
    <w:rsid w:val="00922BF3"/>
    <w:rsid w:val="00923A87"/>
    <w:rsid w:val="00927482"/>
    <w:rsid w:val="00936FF5"/>
    <w:rsid w:val="0094654B"/>
    <w:rsid w:val="0095112B"/>
    <w:rsid w:val="00952610"/>
    <w:rsid w:val="009533F8"/>
    <w:rsid w:val="0095712A"/>
    <w:rsid w:val="00960E42"/>
    <w:rsid w:val="00967D91"/>
    <w:rsid w:val="00973A6D"/>
    <w:rsid w:val="009804E0"/>
    <w:rsid w:val="00983735"/>
    <w:rsid w:val="009865AA"/>
    <w:rsid w:val="00987080"/>
    <w:rsid w:val="0098765A"/>
    <w:rsid w:val="00987E5B"/>
    <w:rsid w:val="0099028F"/>
    <w:rsid w:val="00991620"/>
    <w:rsid w:val="0099253C"/>
    <w:rsid w:val="009968B0"/>
    <w:rsid w:val="009968E8"/>
    <w:rsid w:val="009A39FF"/>
    <w:rsid w:val="009A6CB2"/>
    <w:rsid w:val="009B0982"/>
    <w:rsid w:val="009B4C99"/>
    <w:rsid w:val="009C13FB"/>
    <w:rsid w:val="009D146D"/>
    <w:rsid w:val="009D28CF"/>
    <w:rsid w:val="009E40D5"/>
    <w:rsid w:val="009E5D36"/>
    <w:rsid w:val="009E6375"/>
    <w:rsid w:val="009E7CA0"/>
    <w:rsid w:val="00A04392"/>
    <w:rsid w:val="00A069CE"/>
    <w:rsid w:val="00A109D8"/>
    <w:rsid w:val="00A16003"/>
    <w:rsid w:val="00A167D7"/>
    <w:rsid w:val="00A23D39"/>
    <w:rsid w:val="00A23EC2"/>
    <w:rsid w:val="00A24FBB"/>
    <w:rsid w:val="00A3201F"/>
    <w:rsid w:val="00A3453E"/>
    <w:rsid w:val="00A42ED2"/>
    <w:rsid w:val="00A44B33"/>
    <w:rsid w:val="00A50E00"/>
    <w:rsid w:val="00A52529"/>
    <w:rsid w:val="00A53624"/>
    <w:rsid w:val="00A55EAF"/>
    <w:rsid w:val="00A5766B"/>
    <w:rsid w:val="00A63B87"/>
    <w:rsid w:val="00A641CC"/>
    <w:rsid w:val="00A65FF0"/>
    <w:rsid w:val="00A66753"/>
    <w:rsid w:val="00A77512"/>
    <w:rsid w:val="00A863E3"/>
    <w:rsid w:val="00A94161"/>
    <w:rsid w:val="00A97BFB"/>
    <w:rsid w:val="00AB0BBC"/>
    <w:rsid w:val="00AB3A92"/>
    <w:rsid w:val="00AB478B"/>
    <w:rsid w:val="00AB47AC"/>
    <w:rsid w:val="00AB4AD9"/>
    <w:rsid w:val="00AC4CA6"/>
    <w:rsid w:val="00AD6E77"/>
    <w:rsid w:val="00AD7A25"/>
    <w:rsid w:val="00AE2666"/>
    <w:rsid w:val="00AE478C"/>
    <w:rsid w:val="00AF3A5A"/>
    <w:rsid w:val="00AF3E15"/>
    <w:rsid w:val="00AF5218"/>
    <w:rsid w:val="00AF60A0"/>
    <w:rsid w:val="00B01A6F"/>
    <w:rsid w:val="00B0480E"/>
    <w:rsid w:val="00B06D2E"/>
    <w:rsid w:val="00B1026A"/>
    <w:rsid w:val="00B206F0"/>
    <w:rsid w:val="00B21166"/>
    <w:rsid w:val="00B263AE"/>
    <w:rsid w:val="00B33719"/>
    <w:rsid w:val="00B33A6C"/>
    <w:rsid w:val="00B42F17"/>
    <w:rsid w:val="00B43A02"/>
    <w:rsid w:val="00B47091"/>
    <w:rsid w:val="00B56534"/>
    <w:rsid w:val="00B57A21"/>
    <w:rsid w:val="00B62C3E"/>
    <w:rsid w:val="00B645DE"/>
    <w:rsid w:val="00B65857"/>
    <w:rsid w:val="00B66698"/>
    <w:rsid w:val="00B733FE"/>
    <w:rsid w:val="00B745DC"/>
    <w:rsid w:val="00B76954"/>
    <w:rsid w:val="00B81A30"/>
    <w:rsid w:val="00B833E5"/>
    <w:rsid w:val="00B84350"/>
    <w:rsid w:val="00B855A6"/>
    <w:rsid w:val="00B91098"/>
    <w:rsid w:val="00B91904"/>
    <w:rsid w:val="00B92735"/>
    <w:rsid w:val="00B969ED"/>
    <w:rsid w:val="00BA77F1"/>
    <w:rsid w:val="00BB0D90"/>
    <w:rsid w:val="00BB192A"/>
    <w:rsid w:val="00BB60C6"/>
    <w:rsid w:val="00BB7984"/>
    <w:rsid w:val="00BC45F7"/>
    <w:rsid w:val="00BC4705"/>
    <w:rsid w:val="00BC6A06"/>
    <w:rsid w:val="00BD137C"/>
    <w:rsid w:val="00BD6D9E"/>
    <w:rsid w:val="00BE3BC7"/>
    <w:rsid w:val="00BF1AB7"/>
    <w:rsid w:val="00BF34B8"/>
    <w:rsid w:val="00BF7FE9"/>
    <w:rsid w:val="00C03596"/>
    <w:rsid w:val="00C05EEC"/>
    <w:rsid w:val="00C15A13"/>
    <w:rsid w:val="00C238D9"/>
    <w:rsid w:val="00C24823"/>
    <w:rsid w:val="00C24A9D"/>
    <w:rsid w:val="00C2677E"/>
    <w:rsid w:val="00C31542"/>
    <w:rsid w:val="00C425A0"/>
    <w:rsid w:val="00C5028E"/>
    <w:rsid w:val="00C51B94"/>
    <w:rsid w:val="00C54E78"/>
    <w:rsid w:val="00C6078D"/>
    <w:rsid w:val="00C657CF"/>
    <w:rsid w:val="00C80D62"/>
    <w:rsid w:val="00C8225B"/>
    <w:rsid w:val="00C8388B"/>
    <w:rsid w:val="00C84944"/>
    <w:rsid w:val="00C90217"/>
    <w:rsid w:val="00C96BFD"/>
    <w:rsid w:val="00C96C98"/>
    <w:rsid w:val="00CA5358"/>
    <w:rsid w:val="00CB0B17"/>
    <w:rsid w:val="00CB1DCA"/>
    <w:rsid w:val="00CD502A"/>
    <w:rsid w:val="00CF12CF"/>
    <w:rsid w:val="00CF4BE3"/>
    <w:rsid w:val="00D051E0"/>
    <w:rsid w:val="00D060D2"/>
    <w:rsid w:val="00D13E2D"/>
    <w:rsid w:val="00D14394"/>
    <w:rsid w:val="00D23F4B"/>
    <w:rsid w:val="00D242CD"/>
    <w:rsid w:val="00D26F74"/>
    <w:rsid w:val="00D341C3"/>
    <w:rsid w:val="00D3442C"/>
    <w:rsid w:val="00D3472B"/>
    <w:rsid w:val="00D42843"/>
    <w:rsid w:val="00D5152A"/>
    <w:rsid w:val="00D560EB"/>
    <w:rsid w:val="00D56CC6"/>
    <w:rsid w:val="00D60566"/>
    <w:rsid w:val="00D6295C"/>
    <w:rsid w:val="00D65145"/>
    <w:rsid w:val="00D73D87"/>
    <w:rsid w:val="00D74314"/>
    <w:rsid w:val="00D80E3F"/>
    <w:rsid w:val="00D81410"/>
    <w:rsid w:val="00D92505"/>
    <w:rsid w:val="00DA1E18"/>
    <w:rsid w:val="00DA267C"/>
    <w:rsid w:val="00DA27B3"/>
    <w:rsid w:val="00DA5101"/>
    <w:rsid w:val="00DA79EF"/>
    <w:rsid w:val="00DB0C0B"/>
    <w:rsid w:val="00DB3B74"/>
    <w:rsid w:val="00DC2E65"/>
    <w:rsid w:val="00DC5870"/>
    <w:rsid w:val="00DD0384"/>
    <w:rsid w:val="00DD0901"/>
    <w:rsid w:val="00DD4AB0"/>
    <w:rsid w:val="00DE16B6"/>
    <w:rsid w:val="00DE3323"/>
    <w:rsid w:val="00DE36CA"/>
    <w:rsid w:val="00DE7E63"/>
    <w:rsid w:val="00DF7321"/>
    <w:rsid w:val="00DF77A2"/>
    <w:rsid w:val="00E01372"/>
    <w:rsid w:val="00E05E7C"/>
    <w:rsid w:val="00E0782F"/>
    <w:rsid w:val="00E169A3"/>
    <w:rsid w:val="00E3545A"/>
    <w:rsid w:val="00E361A2"/>
    <w:rsid w:val="00E367C5"/>
    <w:rsid w:val="00E37E71"/>
    <w:rsid w:val="00E42486"/>
    <w:rsid w:val="00E42847"/>
    <w:rsid w:val="00E46064"/>
    <w:rsid w:val="00E604A1"/>
    <w:rsid w:val="00E62515"/>
    <w:rsid w:val="00E64702"/>
    <w:rsid w:val="00E7293C"/>
    <w:rsid w:val="00E73AA8"/>
    <w:rsid w:val="00E76812"/>
    <w:rsid w:val="00E80228"/>
    <w:rsid w:val="00E81ED7"/>
    <w:rsid w:val="00E847BB"/>
    <w:rsid w:val="00E86D2A"/>
    <w:rsid w:val="00E8711A"/>
    <w:rsid w:val="00EA15F6"/>
    <w:rsid w:val="00EA2ED4"/>
    <w:rsid w:val="00EA491A"/>
    <w:rsid w:val="00EB1583"/>
    <w:rsid w:val="00EB54A9"/>
    <w:rsid w:val="00EC23FB"/>
    <w:rsid w:val="00EC7017"/>
    <w:rsid w:val="00ED4356"/>
    <w:rsid w:val="00ED7681"/>
    <w:rsid w:val="00EE243C"/>
    <w:rsid w:val="00EF63C6"/>
    <w:rsid w:val="00F025BE"/>
    <w:rsid w:val="00F034FB"/>
    <w:rsid w:val="00F05606"/>
    <w:rsid w:val="00F105F5"/>
    <w:rsid w:val="00F1075A"/>
    <w:rsid w:val="00F14CFC"/>
    <w:rsid w:val="00F16A6D"/>
    <w:rsid w:val="00F22E82"/>
    <w:rsid w:val="00F2483A"/>
    <w:rsid w:val="00F337BF"/>
    <w:rsid w:val="00F33D14"/>
    <w:rsid w:val="00F41396"/>
    <w:rsid w:val="00F473B6"/>
    <w:rsid w:val="00F52E57"/>
    <w:rsid w:val="00F53E06"/>
    <w:rsid w:val="00F54188"/>
    <w:rsid w:val="00F54CC0"/>
    <w:rsid w:val="00F727A5"/>
    <w:rsid w:val="00F76FFE"/>
    <w:rsid w:val="00F8006E"/>
    <w:rsid w:val="00F8090F"/>
    <w:rsid w:val="00F8450B"/>
    <w:rsid w:val="00F847A9"/>
    <w:rsid w:val="00F97BE4"/>
    <w:rsid w:val="00FA1E73"/>
    <w:rsid w:val="00FA5FE9"/>
    <w:rsid w:val="00FA67D2"/>
    <w:rsid w:val="00FB1990"/>
    <w:rsid w:val="00FB302F"/>
    <w:rsid w:val="00FB5A92"/>
    <w:rsid w:val="00FC1C69"/>
    <w:rsid w:val="00FC3739"/>
    <w:rsid w:val="00FC4C71"/>
    <w:rsid w:val="00FD19F3"/>
    <w:rsid w:val="00FD271E"/>
    <w:rsid w:val="00FE5AD9"/>
    <w:rsid w:val="00FE7A33"/>
    <w:rsid w:val="00FF3414"/>
    <w:rsid w:val="45E6D3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76A97"/>
  <w15:chartTrackingRefBased/>
  <w15:docId w15:val="{8D67E0FF-C228-4E45-B09B-77009CE2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E42"/>
    <w:pPr>
      <w:spacing w:before="0" w:after="0" w:line="280" w:lineRule="atLeast"/>
    </w:pPr>
    <w:rPr>
      <w:rFonts w:ascii="Arial" w:eastAsia="Times New Roman" w:hAnsi="Arial"/>
      <w:sz w:val="22"/>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qFormat/>
    <w:rsid w:val="004F2E8A"/>
    <w:pPr>
      <w:spacing w:after="120"/>
    </w:pPr>
  </w:style>
  <w:style w:type="paragraph" w:customStyle="1" w:styleId="Numberedpara3level211">
    <w:name w:val="Numbered para (3) level 2 (1.1)"/>
    <w:basedOn w:val="Normal"/>
    <w:semiHidden/>
    <w:qFormat/>
    <w:rsid w:val="004F2E8A"/>
    <w:pPr>
      <w:spacing w:after="120"/>
    </w:pPr>
  </w:style>
  <w:style w:type="paragraph" w:customStyle="1" w:styleId="Numberedpara3level3111">
    <w:name w:val="Numbered para (3) level 3 (1.1.1)"/>
    <w:basedOn w:val="Normal"/>
    <w:semiHidden/>
    <w:qFormat/>
    <w:rsid w:val="004F2E8A"/>
    <w:pPr>
      <w:spacing w:after="120"/>
    </w:pPr>
  </w:style>
  <w:style w:type="paragraph" w:styleId="EndnoteText">
    <w:name w:val="endnote text"/>
    <w:basedOn w:val="Normal"/>
    <w:link w:val="EndnoteTextChar"/>
    <w:uiPriority w:val="99"/>
    <w:semiHidden/>
    <w:rsid w:val="00ED4356"/>
    <w:pPr>
      <w:tabs>
        <w:tab w:val="left" w:pos="170"/>
      </w:tabs>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HeadingPage0">
    <w:name w:val="Heading Page"/>
    <w:basedOn w:val="BodyText"/>
    <w:rsid w:val="00960E42"/>
    <w:pPr>
      <w:spacing w:before="400" w:after="60"/>
    </w:pPr>
    <w:rPr>
      <w:b/>
      <w:sz w:val="48"/>
    </w:rPr>
  </w:style>
  <w:style w:type="paragraph" w:styleId="CommentText">
    <w:name w:val="annotation text"/>
    <w:basedOn w:val="Normal"/>
    <w:link w:val="CommentTextChar"/>
    <w:uiPriority w:val="99"/>
    <w:unhideWhenUsed/>
    <w:rsid w:val="0022484C"/>
    <w:pPr>
      <w:spacing w:line="240" w:lineRule="auto"/>
    </w:pPr>
    <w:rPr>
      <w:sz w:val="20"/>
      <w:szCs w:val="20"/>
    </w:rPr>
  </w:style>
  <w:style w:type="character" w:customStyle="1" w:styleId="CommentTextChar">
    <w:name w:val="Comment Text Char"/>
    <w:basedOn w:val="DefaultParagraphFont"/>
    <w:link w:val="CommentText"/>
    <w:uiPriority w:val="99"/>
    <w:rsid w:val="0022484C"/>
    <w:rPr>
      <w:rFonts w:ascii="Arial" w:eastAsia="Times New Roman" w:hAnsi="Arial"/>
      <w:sz w:val="20"/>
      <w:szCs w:val="20"/>
      <w:lang w:eastAsia="en-US"/>
    </w:rPr>
  </w:style>
  <w:style w:type="paragraph" w:styleId="CommentSubject">
    <w:name w:val="annotation subject"/>
    <w:basedOn w:val="CommentText"/>
    <w:next w:val="CommentText"/>
    <w:link w:val="CommentSubjectChar"/>
    <w:uiPriority w:val="99"/>
    <w:semiHidden/>
    <w:unhideWhenUsed/>
    <w:rsid w:val="0022484C"/>
    <w:rPr>
      <w:b/>
      <w:bCs/>
    </w:rPr>
  </w:style>
  <w:style w:type="character" w:customStyle="1" w:styleId="CommentSubjectChar">
    <w:name w:val="Comment Subject Char"/>
    <w:basedOn w:val="CommentTextChar"/>
    <w:link w:val="CommentSubject"/>
    <w:uiPriority w:val="99"/>
    <w:semiHidden/>
    <w:rsid w:val="0022484C"/>
    <w:rPr>
      <w:rFonts w:ascii="Arial" w:eastAsia="Times New Roman" w:hAnsi="Arial"/>
      <w:b/>
      <w:bCs/>
      <w:sz w:val="20"/>
      <w:szCs w:val="20"/>
      <w:lang w:eastAsia="en-US"/>
    </w:rPr>
  </w:style>
  <w:style w:type="paragraph" w:styleId="Revision">
    <w:name w:val="Revision"/>
    <w:hidden/>
    <w:uiPriority w:val="99"/>
    <w:semiHidden/>
    <w:rsid w:val="00E64702"/>
    <w:pPr>
      <w:spacing w:before="0" w:after="0"/>
    </w:pPr>
    <w:rPr>
      <w:rFonts w:ascii="Arial" w:eastAsia="Times New Roman" w:hAnsi="Arial"/>
      <w:sz w:val="22"/>
      <w:lang w:eastAsia="en-US"/>
    </w:rPr>
  </w:style>
  <w:style w:type="paragraph" w:customStyle="1" w:styleId="Default">
    <w:name w:val="Default"/>
    <w:rsid w:val="0068243D"/>
    <w:pPr>
      <w:autoSpaceDE w:val="0"/>
      <w:autoSpaceDN w:val="0"/>
      <w:adjustRightInd w:val="0"/>
      <w:spacing w:before="0" w:after="0"/>
    </w:pPr>
    <w:rPr>
      <w:rFonts w:ascii="Segoe UI" w:hAnsi="Segoe UI" w:cs="Segoe U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5865">
      <w:bodyDiv w:val="1"/>
      <w:marLeft w:val="0"/>
      <w:marRight w:val="0"/>
      <w:marTop w:val="0"/>
      <w:marBottom w:val="0"/>
      <w:divBdr>
        <w:top w:val="none" w:sz="0" w:space="0" w:color="auto"/>
        <w:left w:val="none" w:sz="0" w:space="0" w:color="auto"/>
        <w:bottom w:val="none" w:sz="0" w:space="0" w:color="auto"/>
        <w:right w:val="none" w:sz="0" w:space="0" w:color="auto"/>
      </w:divBdr>
    </w:div>
    <w:div w:id="24186169">
      <w:bodyDiv w:val="1"/>
      <w:marLeft w:val="0"/>
      <w:marRight w:val="0"/>
      <w:marTop w:val="0"/>
      <w:marBottom w:val="0"/>
      <w:divBdr>
        <w:top w:val="none" w:sz="0" w:space="0" w:color="auto"/>
        <w:left w:val="none" w:sz="0" w:space="0" w:color="auto"/>
        <w:bottom w:val="none" w:sz="0" w:space="0" w:color="auto"/>
        <w:right w:val="none" w:sz="0" w:space="0" w:color="auto"/>
      </w:divBdr>
    </w:div>
    <w:div w:id="176237538">
      <w:bodyDiv w:val="1"/>
      <w:marLeft w:val="0"/>
      <w:marRight w:val="0"/>
      <w:marTop w:val="0"/>
      <w:marBottom w:val="0"/>
      <w:divBdr>
        <w:top w:val="none" w:sz="0" w:space="0" w:color="auto"/>
        <w:left w:val="none" w:sz="0" w:space="0" w:color="auto"/>
        <w:bottom w:val="none" w:sz="0" w:space="0" w:color="auto"/>
        <w:right w:val="none" w:sz="0" w:space="0" w:color="auto"/>
      </w:divBdr>
    </w:div>
    <w:div w:id="414058253">
      <w:bodyDiv w:val="1"/>
      <w:marLeft w:val="0"/>
      <w:marRight w:val="0"/>
      <w:marTop w:val="0"/>
      <w:marBottom w:val="0"/>
      <w:divBdr>
        <w:top w:val="none" w:sz="0" w:space="0" w:color="auto"/>
        <w:left w:val="none" w:sz="0" w:space="0" w:color="auto"/>
        <w:bottom w:val="none" w:sz="0" w:space="0" w:color="auto"/>
        <w:right w:val="none" w:sz="0" w:space="0" w:color="auto"/>
      </w:divBdr>
    </w:div>
    <w:div w:id="456484353">
      <w:bodyDiv w:val="1"/>
      <w:marLeft w:val="0"/>
      <w:marRight w:val="0"/>
      <w:marTop w:val="0"/>
      <w:marBottom w:val="0"/>
      <w:divBdr>
        <w:top w:val="none" w:sz="0" w:space="0" w:color="auto"/>
        <w:left w:val="none" w:sz="0" w:space="0" w:color="auto"/>
        <w:bottom w:val="none" w:sz="0" w:space="0" w:color="auto"/>
        <w:right w:val="none" w:sz="0" w:space="0" w:color="auto"/>
      </w:divBdr>
    </w:div>
    <w:div w:id="464738022">
      <w:bodyDiv w:val="1"/>
      <w:marLeft w:val="0"/>
      <w:marRight w:val="0"/>
      <w:marTop w:val="0"/>
      <w:marBottom w:val="0"/>
      <w:divBdr>
        <w:top w:val="none" w:sz="0" w:space="0" w:color="auto"/>
        <w:left w:val="none" w:sz="0" w:space="0" w:color="auto"/>
        <w:bottom w:val="none" w:sz="0" w:space="0" w:color="auto"/>
        <w:right w:val="none" w:sz="0" w:space="0" w:color="auto"/>
      </w:divBdr>
    </w:div>
    <w:div w:id="543061814">
      <w:bodyDiv w:val="1"/>
      <w:marLeft w:val="0"/>
      <w:marRight w:val="0"/>
      <w:marTop w:val="0"/>
      <w:marBottom w:val="0"/>
      <w:divBdr>
        <w:top w:val="none" w:sz="0" w:space="0" w:color="auto"/>
        <w:left w:val="none" w:sz="0" w:space="0" w:color="auto"/>
        <w:bottom w:val="none" w:sz="0" w:space="0" w:color="auto"/>
        <w:right w:val="none" w:sz="0" w:space="0" w:color="auto"/>
      </w:divBdr>
    </w:div>
    <w:div w:id="596641534">
      <w:bodyDiv w:val="1"/>
      <w:marLeft w:val="0"/>
      <w:marRight w:val="0"/>
      <w:marTop w:val="0"/>
      <w:marBottom w:val="0"/>
      <w:divBdr>
        <w:top w:val="none" w:sz="0" w:space="0" w:color="auto"/>
        <w:left w:val="none" w:sz="0" w:space="0" w:color="auto"/>
        <w:bottom w:val="none" w:sz="0" w:space="0" w:color="auto"/>
        <w:right w:val="none" w:sz="0" w:space="0" w:color="auto"/>
      </w:divBdr>
    </w:div>
    <w:div w:id="600652342">
      <w:bodyDiv w:val="1"/>
      <w:marLeft w:val="0"/>
      <w:marRight w:val="0"/>
      <w:marTop w:val="0"/>
      <w:marBottom w:val="0"/>
      <w:divBdr>
        <w:top w:val="none" w:sz="0" w:space="0" w:color="auto"/>
        <w:left w:val="none" w:sz="0" w:space="0" w:color="auto"/>
        <w:bottom w:val="none" w:sz="0" w:space="0" w:color="auto"/>
        <w:right w:val="none" w:sz="0" w:space="0" w:color="auto"/>
      </w:divBdr>
    </w:div>
    <w:div w:id="689600855">
      <w:bodyDiv w:val="1"/>
      <w:marLeft w:val="0"/>
      <w:marRight w:val="0"/>
      <w:marTop w:val="0"/>
      <w:marBottom w:val="0"/>
      <w:divBdr>
        <w:top w:val="none" w:sz="0" w:space="0" w:color="auto"/>
        <w:left w:val="none" w:sz="0" w:space="0" w:color="auto"/>
        <w:bottom w:val="none" w:sz="0" w:space="0" w:color="auto"/>
        <w:right w:val="none" w:sz="0" w:space="0" w:color="auto"/>
      </w:divBdr>
    </w:div>
    <w:div w:id="814949842">
      <w:bodyDiv w:val="1"/>
      <w:marLeft w:val="0"/>
      <w:marRight w:val="0"/>
      <w:marTop w:val="0"/>
      <w:marBottom w:val="0"/>
      <w:divBdr>
        <w:top w:val="none" w:sz="0" w:space="0" w:color="auto"/>
        <w:left w:val="none" w:sz="0" w:space="0" w:color="auto"/>
        <w:bottom w:val="none" w:sz="0" w:space="0" w:color="auto"/>
        <w:right w:val="none" w:sz="0" w:space="0" w:color="auto"/>
      </w:divBdr>
    </w:div>
    <w:div w:id="947546178">
      <w:bodyDiv w:val="1"/>
      <w:marLeft w:val="0"/>
      <w:marRight w:val="0"/>
      <w:marTop w:val="0"/>
      <w:marBottom w:val="0"/>
      <w:divBdr>
        <w:top w:val="none" w:sz="0" w:space="0" w:color="auto"/>
        <w:left w:val="none" w:sz="0" w:space="0" w:color="auto"/>
        <w:bottom w:val="none" w:sz="0" w:space="0" w:color="auto"/>
        <w:right w:val="none" w:sz="0" w:space="0" w:color="auto"/>
      </w:divBdr>
    </w:div>
    <w:div w:id="974067500">
      <w:bodyDiv w:val="1"/>
      <w:marLeft w:val="0"/>
      <w:marRight w:val="0"/>
      <w:marTop w:val="0"/>
      <w:marBottom w:val="0"/>
      <w:divBdr>
        <w:top w:val="none" w:sz="0" w:space="0" w:color="auto"/>
        <w:left w:val="none" w:sz="0" w:space="0" w:color="auto"/>
        <w:bottom w:val="none" w:sz="0" w:space="0" w:color="auto"/>
        <w:right w:val="none" w:sz="0" w:space="0" w:color="auto"/>
      </w:divBdr>
    </w:div>
    <w:div w:id="975138486">
      <w:bodyDiv w:val="1"/>
      <w:marLeft w:val="0"/>
      <w:marRight w:val="0"/>
      <w:marTop w:val="0"/>
      <w:marBottom w:val="0"/>
      <w:divBdr>
        <w:top w:val="none" w:sz="0" w:space="0" w:color="auto"/>
        <w:left w:val="none" w:sz="0" w:space="0" w:color="auto"/>
        <w:bottom w:val="none" w:sz="0" w:space="0" w:color="auto"/>
        <w:right w:val="none" w:sz="0" w:space="0" w:color="auto"/>
      </w:divBdr>
    </w:div>
    <w:div w:id="988244738">
      <w:bodyDiv w:val="1"/>
      <w:marLeft w:val="0"/>
      <w:marRight w:val="0"/>
      <w:marTop w:val="0"/>
      <w:marBottom w:val="0"/>
      <w:divBdr>
        <w:top w:val="none" w:sz="0" w:space="0" w:color="auto"/>
        <w:left w:val="none" w:sz="0" w:space="0" w:color="auto"/>
        <w:bottom w:val="none" w:sz="0" w:space="0" w:color="auto"/>
        <w:right w:val="none" w:sz="0" w:space="0" w:color="auto"/>
      </w:divBdr>
    </w:div>
    <w:div w:id="1008098476">
      <w:bodyDiv w:val="1"/>
      <w:marLeft w:val="0"/>
      <w:marRight w:val="0"/>
      <w:marTop w:val="0"/>
      <w:marBottom w:val="0"/>
      <w:divBdr>
        <w:top w:val="none" w:sz="0" w:space="0" w:color="auto"/>
        <w:left w:val="none" w:sz="0" w:space="0" w:color="auto"/>
        <w:bottom w:val="none" w:sz="0" w:space="0" w:color="auto"/>
        <w:right w:val="none" w:sz="0" w:space="0" w:color="auto"/>
      </w:divBdr>
    </w:div>
    <w:div w:id="1080559444">
      <w:bodyDiv w:val="1"/>
      <w:marLeft w:val="0"/>
      <w:marRight w:val="0"/>
      <w:marTop w:val="0"/>
      <w:marBottom w:val="0"/>
      <w:divBdr>
        <w:top w:val="none" w:sz="0" w:space="0" w:color="auto"/>
        <w:left w:val="none" w:sz="0" w:space="0" w:color="auto"/>
        <w:bottom w:val="none" w:sz="0" w:space="0" w:color="auto"/>
        <w:right w:val="none" w:sz="0" w:space="0" w:color="auto"/>
      </w:divBdr>
    </w:div>
    <w:div w:id="1122308441">
      <w:bodyDiv w:val="1"/>
      <w:marLeft w:val="0"/>
      <w:marRight w:val="0"/>
      <w:marTop w:val="0"/>
      <w:marBottom w:val="0"/>
      <w:divBdr>
        <w:top w:val="none" w:sz="0" w:space="0" w:color="auto"/>
        <w:left w:val="none" w:sz="0" w:space="0" w:color="auto"/>
        <w:bottom w:val="none" w:sz="0" w:space="0" w:color="auto"/>
        <w:right w:val="none" w:sz="0" w:space="0" w:color="auto"/>
      </w:divBdr>
    </w:div>
    <w:div w:id="1251432719">
      <w:bodyDiv w:val="1"/>
      <w:marLeft w:val="0"/>
      <w:marRight w:val="0"/>
      <w:marTop w:val="0"/>
      <w:marBottom w:val="0"/>
      <w:divBdr>
        <w:top w:val="none" w:sz="0" w:space="0" w:color="auto"/>
        <w:left w:val="none" w:sz="0" w:space="0" w:color="auto"/>
        <w:bottom w:val="none" w:sz="0" w:space="0" w:color="auto"/>
        <w:right w:val="none" w:sz="0" w:space="0" w:color="auto"/>
      </w:divBdr>
    </w:div>
    <w:div w:id="1327436889">
      <w:bodyDiv w:val="1"/>
      <w:marLeft w:val="0"/>
      <w:marRight w:val="0"/>
      <w:marTop w:val="0"/>
      <w:marBottom w:val="0"/>
      <w:divBdr>
        <w:top w:val="none" w:sz="0" w:space="0" w:color="auto"/>
        <w:left w:val="none" w:sz="0" w:space="0" w:color="auto"/>
        <w:bottom w:val="none" w:sz="0" w:space="0" w:color="auto"/>
        <w:right w:val="none" w:sz="0" w:space="0" w:color="auto"/>
      </w:divBdr>
    </w:div>
    <w:div w:id="1342318535">
      <w:bodyDiv w:val="1"/>
      <w:marLeft w:val="0"/>
      <w:marRight w:val="0"/>
      <w:marTop w:val="0"/>
      <w:marBottom w:val="0"/>
      <w:divBdr>
        <w:top w:val="none" w:sz="0" w:space="0" w:color="auto"/>
        <w:left w:val="none" w:sz="0" w:space="0" w:color="auto"/>
        <w:bottom w:val="none" w:sz="0" w:space="0" w:color="auto"/>
        <w:right w:val="none" w:sz="0" w:space="0" w:color="auto"/>
      </w:divBdr>
    </w:div>
    <w:div w:id="1352681689">
      <w:bodyDiv w:val="1"/>
      <w:marLeft w:val="0"/>
      <w:marRight w:val="0"/>
      <w:marTop w:val="0"/>
      <w:marBottom w:val="0"/>
      <w:divBdr>
        <w:top w:val="none" w:sz="0" w:space="0" w:color="auto"/>
        <w:left w:val="none" w:sz="0" w:space="0" w:color="auto"/>
        <w:bottom w:val="none" w:sz="0" w:space="0" w:color="auto"/>
        <w:right w:val="none" w:sz="0" w:space="0" w:color="auto"/>
      </w:divBdr>
    </w:div>
    <w:div w:id="1396469559">
      <w:bodyDiv w:val="1"/>
      <w:marLeft w:val="0"/>
      <w:marRight w:val="0"/>
      <w:marTop w:val="0"/>
      <w:marBottom w:val="0"/>
      <w:divBdr>
        <w:top w:val="none" w:sz="0" w:space="0" w:color="auto"/>
        <w:left w:val="none" w:sz="0" w:space="0" w:color="auto"/>
        <w:bottom w:val="none" w:sz="0" w:space="0" w:color="auto"/>
        <w:right w:val="none" w:sz="0" w:space="0" w:color="auto"/>
      </w:divBdr>
    </w:div>
    <w:div w:id="1408267604">
      <w:bodyDiv w:val="1"/>
      <w:marLeft w:val="0"/>
      <w:marRight w:val="0"/>
      <w:marTop w:val="0"/>
      <w:marBottom w:val="0"/>
      <w:divBdr>
        <w:top w:val="none" w:sz="0" w:space="0" w:color="auto"/>
        <w:left w:val="none" w:sz="0" w:space="0" w:color="auto"/>
        <w:bottom w:val="none" w:sz="0" w:space="0" w:color="auto"/>
        <w:right w:val="none" w:sz="0" w:space="0" w:color="auto"/>
      </w:divBdr>
    </w:div>
    <w:div w:id="1426416069">
      <w:bodyDiv w:val="1"/>
      <w:marLeft w:val="0"/>
      <w:marRight w:val="0"/>
      <w:marTop w:val="0"/>
      <w:marBottom w:val="0"/>
      <w:divBdr>
        <w:top w:val="none" w:sz="0" w:space="0" w:color="auto"/>
        <w:left w:val="none" w:sz="0" w:space="0" w:color="auto"/>
        <w:bottom w:val="none" w:sz="0" w:space="0" w:color="auto"/>
        <w:right w:val="none" w:sz="0" w:space="0" w:color="auto"/>
      </w:divBdr>
    </w:div>
    <w:div w:id="1436704619">
      <w:bodyDiv w:val="1"/>
      <w:marLeft w:val="0"/>
      <w:marRight w:val="0"/>
      <w:marTop w:val="0"/>
      <w:marBottom w:val="0"/>
      <w:divBdr>
        <w:top w:val="none" w:sz="0" w:space="0" w:color="auto"/>
        <w:left w:val="none" w:sz="0" w:space="0" w:color="auto"/>
        <w:bottom w:val="none" w:sz="0" w:space="0" w:color="auto"/>
        <w:right w:val="none" w:sz="0" w:space="0" w:color="auto"/>
      </w:divBdr>
    </w:div>
    <w:div w:id="1442072270">
      <w:bodyDiv w:val="1"/>
      <w:marLeft w:val="0"/>
      <w:marRight w:val="0"/>
      <w:marTop w:val="0"/>
      <w:marBottom w:val="0"/>
      <w:divBdr>
        <w:top w:val="none" w:sz="0" w:space="0" w:color="auto"/>
        <w:left w:val="none" w:sz="0" w:space="0" w:color="auto"/>
        <w:bottom w:val="none" w:sz="0" w:space="0" w:color="auto"/>
        <w:right w:val="none" w:sz="0" w:space="0" w:color="auto"/>
      </w:divBdr>
    </w:div>
    <w:div w:id="1538158461">
      <w:bodyDiv w:val="1"/>
      <w:marLeft w:val="0"/>
      <w:marRight w:val="0"/>
      <w:marTop w:val="0"/>
      <w:marBottom w:val="0"/>
      <w:divBdr>
        <w:top w:val="none" w:sz="0" w:space="0" w:color="auto"/>
        <w:left w:val="none" w:sz="0" w:space="0" w:color="auto"/>
        <w:bottom w:val="none" w:sz="0" w:space="0" w:color="auto"/>
        <w:right w:val="none" w:sz="0" w:space="0" w:color="auto"/>
      </w:divBdr>
    </w:div>
    <w:div w:id="1554194155">
      <w:bodyDiv w:val="1"/>
      <w:marLeft w:val="0"/>
      <w:marRight w:val="0"/>
      <w:marTop w:val="0"/>
      <w:marBottom w:val="0"/>
      <w:divBdr>
        <w:top w:val="none" w:sz="0" w:space="0" w:color="auto"/>
        <w:left w:val="none" w:sz="0" w:space="0" w:color="auto"/>
        <w:bottom w:val="none" w:sz="0" w:space="0" w:color="auto"/>
        <w:right w:val="none" w:sz="0" w:space="0" w:color="auto"/>
      </w:divBdr>
    </w:div>
    <w:div w:id="1646350922">
      <w:bodyDiv w:val="1"/>
      <w:marLeft w:val="0"/>
      <w:marRight w:val="0"/>
      <w:marTop w:val="0"/>
      <w:marBottom w:val="0"/>
      <w:divBdr>
        <w:top w:val="none" w:sz="0" w:space="0" w:color="auto"/>
        <w:left w:val="none" w:sz="0" w:space="0" w:color="auto"/>
        <w:bottom w:val="none" w:sz="0" w:space="0" w:color="auto"/>
        <w:right w:val="none" w:sz="0" w:space="0" w:color="auto"/>
      </w:divBdr>
    </w:div>
    <w:div w:id="1649702490">
      <w:bodyDiv w:val="1"/>
      <w:marLeft w:val="0"/>
      <w:marRight w:val="0"/>
      <w:marTop w:val="0"/>
      <w:marBottom w:val="0"/>
      <w:divBdr>
        <w:top w:val="none" w:sz="0" w:space="0" w:color="auto"/>
        <w:left w:val="none" w:sz="0" w:space="0" w:color="auto"/>
        <w:bottom w:val="none" w:sz="0" w:space="0" w:color="auto"/>
        <w:right w:val="none" w:sz="0" w:space="0" w:color="auto"/>
      </w:divBdr>
    </w:div>
    <w:div w:id="1782454532">
      <w:bodyDiv w:val="1"/>
      <w:marLeft w:val="0"/>
      <w:marRight w:val="0"/>
      <w:marTop w:val="0"/>
      <w:marBottom w:val="0"/>
      <w:divBdr>
        <w:top w:val="none" w:sz="0" w:space="0" w:color="auto"/>
        <w:left w:val="none" w:sz="0" w:space="0" w:color="auto"/>
        <w:bottom w:val="none" w:sz="0" w:space="0" w:color="auto"/>
        <w:right w:val="none" w:sz="0" w:space="0" w:color="auto"/>
      </w:divBdr>
    </w:div>
    <w:div w:id="1785225808">
      <w:bodyDiv w:val="1"/>
      <w:marLeft w:val="0"/>
      <w:marRight w:val="0"/>
      <w:marTop w:val="0"/>
      <w:marBottom w:val="0"/>
      <w:divBdr>
        <w:top w:val="none" w:sz="0" w:space="0" w:color="auto"/>
        <w:left w:val="none" w:sz="0" w:space="0" w:color="auto"/>
        <w:bottom w:val="none" w:sz="0" w:space="0" w:color="auto"/>
        <w:right w:val="none" w:sz="0" w:space="0" w:color="auto"/>
      </w:divBdr>
    </w:div>
    <w:div w:id="1792551394">
      <w:bodyDiv w:val="1"/>
      <w:marLeft w:val="0"/>
      <w:marRight w:val="0"/>
      <w:marTop w:val="0"/>
      <w:marBottom w:val="0"/>
      <w:divBdr>
        <w:top w:val="none" w:sz="0" w:space="0" w:color="auto"/>
        <w:left w:val="none" w:sz="0" w:space="0" w:color="auto"/>
        <w:bottom w:val="none" w:sz="0" w:space="0" w:color="auto"/>
        <w:right w:val="none" w:sz="0" w:space="0" w:color="auto"/>
      </w:divBdr>
    </w:div>
    <w:div w:id="1798597678">
      <w:bodyDiv w:val="1"/>
      <w:marLeft w:val="0"/>
      <w:marRight w:val="0"/>
      <w:marTop w:val="0"/>
      <w:marBottom w:val="0"/>
      <w:divBdr>
        <w:top w:val="none" w:sz="0" w:space="0" w:color="auto"/>
        <w:left w:val="none" w:sz="0" w:space="0" w:color="auto"/>
        <w:bottom w:val="none" w:sz="0" w:space="0" w:color="auto"/>
        <w:right w:val="none" w:sz="0" w:space="0" w:color="auto"/>
      </w:divBdr>
    </w:div>
    <w:div w:id="2030065873">
      <w:bodyDiv w:val="1"/>
      <w:marLeft w:val="0"/>
      <w:marRight w:val="0"/>
      <w:marTop w:val="0"/>
      <w:marBottom w:val="0"/>
      <w:divBdr>
        <w:top w:val="none" w:sz="0" w:space="0" w:color="auto"/>
        <w:left w:val="none" w:sz="0" w:space="0" w:color="auto"/>
        <w:bottom w:val="none" w:sz="0" w:space="0" w:color="auto"/>
        <w:right w:val="none" w:sz="0" w:space="0" w:color="auto"/>
      </w:divBdr>
    </w:div>
    <w:div w:id="2086368045">
      <w:bodyDiv w:val="1"/>
      <w:marLeft w:val="0"/>
      <w:marRight w:val="0"/>
      <w:marTop w:val="0"/>
      <w:marBottom w:val="0"/>
      <w:divBdr>
        <w:top w:val="none" w:sz="0" w:space="0" w:color="auto"/>
        <w:left w:val="none" w:sz="0" w:space="0" w:color="auto"/>
        <w:bottom w:val="none" w:sz="0" w:space="0" w:color="auto"/>
        <w:right w:val="none" w:sz="0" w:space="0" w:color="auto"/>
      </w:divBdr>
    </w:div>
    <w:div w:id="2121760030">
      <w:bodyDiv w:val="1"/>
      <w:marLeft w:val="0"/>
      <w:marRight w:val="0"/>
      <w:marTop w:val="0"/>
      <w:marBottom w:val="0"/>
      <w:divBdr>
        <w:top w:val="none" w:sz="0" w:space="0" w:color="auto"/>
        <w:left w:val="none" w:sz="0" w:space="0" w:color="auto"/>
        <w:bottom w:val="none" w:sz="0" w:space="0" w:color="auto"/>
        <w:right w:val="none" w:sz="0" w:space="0" w:color="auto"/>
      </w:divBdr>
    </w:div>
    <w:div w:id="214107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11323</TotalTime>
  <Pages>8</Pages>
  <Words>3015</Words>
  <Characters>17191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Thompson</dc:creator>
  <cp:keywords/>
  <dc:description/>
  <cp:lastModifiedBy>Lauren Thompson</cp:lastModifiedBy>
  <cp:revision>38</cp:revision>
  <cp:lastPrinted>2014-03-27T01:47:00Z</cp:lastPrinted>
  <dcterms:created xsi:type="dcterms:W3CDTF">2024-05-12T20:59:00Z</dcterms:created>
  <dcterms:modified xsi:type="dcterms:W3CDTF">2024-07-24T02:00:00Z</dcterms:modified>
</cp:coreProperties>
</file>