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D9" w:rsidRPr="008C2DE9" w:rsidRDefault="008D5CD9" w:rsidP="00B56B1B">
      <w:pPr>
        <w:pStyle w:val="Heading1NoContents"/>
      </w:pPr>
      <w:bookmarkStart w:id="0" w:name="_Regulatory_Impact_Statement"/>
      <w:bookmarkStart w:id="1" w:name="_Toc244580362"/>
      <w:bookmarkStart w:id="2" w:name="_Toc244587038"/>
      <w:bookmarkStart w:id="3" w:name="_Toc244857272"/>
      <w:bookmarkStart w:id="4" w:name="_Toc244912537"/>
      <w:bookmarkStart w:id="5" w:name="_Toc244916994"/>
      <w:bookmarkStart w:id="6" w:name="_Toc362368102"/>
      <w:bookmarkStart w:id="7" w:name="_Toc362940592"/>
      <w:bookmarkStart w:id="8" w:name="_Toc363047100"/>
      <w:bookmarkStart w:id="9" w:name="_Toc111173195"/>
      <w:bookmarkStart w:id="10" w:name="_Toc112306482"/>
      <w:bookmarkStart w:id="11" w:name="_Toc114287559"/>
      <w:bookmarkStart w:id="12" w:name="_Toc115188196"/>
      <w:bookmarkStart w:id="13" w:name="_Toc118514380"/>
      <w:bookmarkStart w:id="14" w:name="_Toc110071692"/>
      <w:bookmarkStart w:id="15" w:name="_Toc110072564"/>
      <w:bookmarkStart w:id="16" w:name="_Toc138735614"/>
      <w:bookmarkStart w:id="17" w:name="_Toc139335927"/>
      <w:bookmarkStart w:id="18" w:name="_Toc362526401"/>
      <w:bookmarkStart w:id="19" w:name="_GoBack"/>
      <w:bookmarkEnd w:id="0"/>
      <w:bookmarkEnd w:id="19"/>
      <w:r w:rsidRPr="008C2DE9">
        <w:t>Regulatory Impact Statement</w:t>
      </w:r>
      <w:bookmarkEnd w:id="1"/>
      <w:bookmarkEnd w:id="2"/>
      <w:bookmarkEnd w:id="3"/>
      <w:bookmarkEnd w:id="4"/>
      <w:bookmarkEnd w:id="5"/>
      <w:bookmarkEnd w:id="6"/>
      <w:bookmarkEnd w:id="7"/>
      <w:bookmarkEnd w:id="8"/>
    </w:p>
    <w:p w:rsidR="00634154" w:rsidRDefault="00634154" w:rsidP="00BD4E0A">
      <w:pPr>
        <w:pStyle w:val="Heading2nocontents"/>
      </w:pPr>
      <w:bookmarkStart w:id="20" w:name="_Toc362434943"/>
      <w:bookmarkStart w:id="21" w:name="_Toc362589329"/>
      <w:bookmarkStart w:id="22" w:name="_Toc362619029"/>
      <w:bookmarkStart w:id="23" w:name="_Toc362940593"/>
      <w:bookmarkStart w:id="24" w:name="_Toc363047101"/>
      <w:r w:rsidRPr="00634154">
        <w:t xml:space="preserve">Local Government Regulatory Systems Omnibus Bill </w:t>
      </w:r>
    </w:p>
    <w:p w:rsidR="008D5CD9" w:rsidRPr="00082653" w:rsidRDefault="008D5CD9" w:rsidP="00BD4E0A">
      <w:pPr>
        <w:pStyle w:val="Heading2nocontents"/>
      </w:pPr>
      <w:r w:rsidRPr="00082653">
        <w:t>Agency Disclosure Statement</w:t>
      </w:r>
      <w:bookmarkEnd w:id="20"/>
      <w:bookmarkEnd w:id="21"/>
      <w:bookmarkEnd w:id="22"/>
      <w:bookmarkEnd w:id="23"/>
      <w:bookmarkEnd w:id="24"/>
      <w:r w:rsidRPr="00082653">
        <w:t xml:space="preserve"> </w:t>
      </w:r>
    </w:p>
    <w:p w:rsidR="00082631" w:rsidRDefault="00082631" w:rsidP="001F492F">
      <w:pPr>
        <w:pStyle w:val="ListParagraph"/>
        <w:ind w:left="0" w:right="170"/>
        <w:contextualSpacing w:val="0"/>
        <w:rPr>
          <w:rFonts w:cs="Arial"/>
        </w:rPr>
      </w:pPr>
    </w:p>
    <w:p w:rsidR="008D5CD9" w:rsidRPr="00082653" w:rsidRDefault="008D5CD9" w:rsidP="001F492F">
      <w:pPr>
        <w:pStyle w:val="ListParagraph"/>
        <w:ind w:left="0" w:right="170"/>
        <w:contextualSpacing w:val="0"/>
        <w:rPr>
          <w:rFonts w:cs="Arial"/>
        </w:rPr>
      </w:pPr>
      <w:r w:rsidRPr="00BC677F">
        <w:rPr>
          <w:rFonts w:cs="Arial"/>
        </w:rPr>
        <w:t xml:space="preserve">This </w:t>
      </w:r>
      <w:r w:rsidR="003C5B6F">
        <w:rPr>
          <w:rFonts w:cs="Arial"/>
        </w:rPr>
        <w:t>Regulatory Impact Statement</w:t>
      </w:r>
      <w:r w:rsidR="00780146">
        <w:rPr>
          <w:rFonts w:cs="Arial"/>
        </w:rPr>
        <w:t xml:space="preserve"> </w:t>
      </w:r>
      <w:r w:rsidR="002273B3">
        <w:rPr>
          <w:rFonts w:cs="Arial"/>
        </w:rPr>
        <w:t>(RIS)</w:t>
      </w:r>
      <w:r w:rsidRPr="00BC677F">
        <w:rPr>
          <w:rFonts w:cs="Arial"/>
        </w:rPr>
        <w:t xml:space="preserve"> has been prepared by</w:t>
      </w:r>
      <w:r w:rsidRPr="00082653">
        <w:rPr>
          <w:rFonts w:cs="Arial"/>
        </w:rPr>
        <w:t xml:space="preserve"> </w:t>
      </w:r>
      <w:r w:rsidR="00634154">
        <w:rPr>
          <w:rFonts w:cs="Arial"/>
        </w:rPr>
        <w:t xml:space="preserve">the Department of </w:t>
      </w:r>
      <w:r w:rsidR="00B07EB7">
        <w:rPr>
          <w:rFonts w:cs="Arial"/>
        </w:rPr>
        <w:t>I</w:t>
      </w:r>
      <w:r w:rsidR="00634154">
        <w:rPr>
          <w:rFonts w:cs="Arial"/>
        </w:rPr>
        <w:t>nternal Affairs</w:t>
      </w:r>
      <w:r w:rsidRPr="00082653">
        <w:rPr>
          <w:rFonts w:cs="Arial"/>
        </w:rPr>
        <w:t xml:space="preserve"> </w:t>
      </w:r>
    </w:p>
    <w:p w:rsidR="008D5CD9" w:rsidRPr="00082653" w:rsidRDefault="00AF1112" w:rsidP="001F492F">
      <w:pPr>
        <w:pStyle w:val="ListParagraph"/>
        <w:ind w:left="0" w:right="170"/>
        <w:contextualSpacing w:val="0"/>
        <w:rPr>
          <w:rFonts w:cs="Arial"/>
        </w:rPr>
      </w:pPr>
      <w:r>
        <w:rPr>
          <w:rFonts w:cs="Arial"/>
        </w:rPr>
        <w:t>This RIS</w:t>
      </w:r>
      <w:r w:rsidRPr="007004BE">
        <w:rPr>
          <w:rFonts w:cs="Arial"/>
        </w:rPr>
        <w:t xml:space="preserve"> </w:t>
      </w:r>
      <w:r w:rsidR="008D5CD9" w:rsidRPr="007004BE">
        <w:rPr>
          <w:rFonts w:cs="Arial"/>
        </w:rPr>
        <w:t xml:space="preserve">provides an analysis of options </w:t>
      </w:r>
      <w:r w:rsidR="00387B34" w:rsidRPr="007004BE">
        <w:rPr>
          <w:rFonts w:cs="Arial"/>
        </w:rPr>
        <w:t>for the repair and maintenance of existing local government legislation so that it remains fit for purpose.</w:t>
      </w:r>
      <w:r w:rsidR="007004BE">
        <w:rPr>
          <w:rFonts w:cs="Arial"/>
        </w:rPr>
        <w:t xml:space="preserve"> </w:t>
      </w:r>
      <w:r>
        <w:rPr>
          <w:rFonts w:cs="Arial"/>
        </w:rPr>
        <w:t xml:space="preserve">It focuses on the </w:t>
      </w:r>
      <w:r w:rsidR="00B616C1">
        <w:rPr>
          <w:rFonts w:cs="Arial"/>
        </w:rPr>
        <w:t>two</w:t>
      </w:r>
      <w:r>
        <w:rPr>
          <w:rFonts w:cs="Arial"/>
        </w:rPr>
        <w:t xml:space="preserve"> most complex issues of the </w:t>
      </w:r>
      <w:r w:rsidR="00B616C1">
        <w:rPr>
          <w:rFonts w:cs="Arial"/>
        </w:rPr>
        <w:t>twelve</w:t>
      </w:r>
      <w:r>
        <w:rPr>
          <w:rFonts w:cs="Arial"/>
        </w:rPr>
        <w:t xml:space="preserve"> identified </w:t>
      </w:r>
      <w:r w:rsidR="00B616C1">
        <w:rPr>
          <w:rFonts w:cs="Arial"/>
        </w:rPr>
        <w:t>amendments</w:t>
      </w:r>
      <w:r w:rsidR="00E017D3">
        <w:rPr>
          <w:rFonts w:cs="Arial"/>
        </w:rPr>
        <w:t xml:space="preserve">. </w:t>
      </w:r>
    </w:p>
    <w:p w:rsidR="008B69A9" w:rsidRDefault="008B69A9" w:rsidP="001F492F">
      <w:pPr>
        <w:pStyle w:val="Text"/>
        <w:spacing w:before="0" w:after="240" w:line="280" w:lineRule="atLeast"/>
        <w:ind w:right="170"/>
        <w:rPr>
          <w:rFonts w:cs="Arial"/>
          <w:lang w:val="en-NZ"/>
        </w:rPr>
      </w:pPr>
      <w:r>
        <w:rPr>
          <w:rFonts w:cs="Arial"/>
          <w:lang w:val="en-NZ"/>
        </w:rPr>
        <w:t xml:space="preserve">The issues identified for analysis were collated from Departmental </w:t>
      </w:r>
      <w:r w:rsidR="004B7F3A">
        <w:rPr>
          <w:rFonts w:cs="Arial"/>
          <w:lang w:val="en-NZ"/>
        </w:rPr>
        <w:t>a</w:t>
      </w:r>
      <w:r>
        <w:rPr>
          <w:rFonts w:cs="Arial"/>
          <w:lang w:val="en-NZ"/>
        </w:rPr>
        <w:t>dvisors</w:t>
      </w:r>
      <w:r w:rsidR="00B616C1">
        <w:rPr>
          <w:rFonts w:cs="Arial"/>
          <w:lang w:val="en-NZ"/>
        </w:rPr>
        <w:t>, Auckland Council</w:t>
      </w:r>
      <w:r>
        <w:rPr>
          <w:rFonts w:cs="Arial"/>
          <w:lang w:val="en-NZ"/>
        </w:rPr>
        <w:t>, Local Government New Zealand and the Society of Local Government Managers. The finalised issues were limited to those that could b</w:t>
      </w:r>
      <w:r w:rsidR="00B07EB7">
        <w:rPr>
          <w:rFonts w:cs="Arial"/>
          <w:lang w:val="en-NZ"/>
        </w:rPr>
        <w:t>e addressed through an omnibus b</w:t>
      </w:r>
      <w:r>
        <w:rPr>
          <w:rFonts w:cs="Arial"/>
          <w:lang w:val="en-NZ"/>
        </w:rPr>
        <w:t>ill</w:t>
      </w:r>
      <w:r w:rsidR="00AA5E41">
        <w:rPr>
          <w:rFonts w:cs="Arial"/>
          <w:lang w:val="en-NZ"/>
        </w:rPr>
        <w:t xml:space="preserve"> </w:t>
      </w:r>
      <w:r w:rsidR="00AA5E41" w:rsidRPr="00AA5E41">
        <w:rPr>
          <w:rFonts w:cs="Arial"/>
          <w:lang w:val="en-NZ"/>
        </w:rPr>
        <w:t>under Standing Order 260(c)</w:t>
      </w:r>
      <w:r w:rsidR="00AA5E41">
        <w:rPr>
          <w:rFonts w:cs="Arial"/>
          <w:lang w:val="en-NZ"/>
        </w:rPr>
        <w:t>.</w:t>
      </w:r>
    </w:p>
    <w:p w:rsidR="00A636F2" w:rsidRDefault="00A636F2" w:rsidP="001F492F">
      <w:pPr>
        <w:pStyle w:val="Text"/>
        <w:spacing w:before="0" w:after="240" w:line="280" w:lineRule="atLeast"/>
        <w:ind w:right="170"/>
        <w:rPr>
          <w:rFonts w:cs="Arial"/>
          <w:lang w:val="en-NZ"/>
        </w:rPr>
      </w:pPr>
      <w:r>
        <w:rPr>
          <w:rFonts w:cs="Arial"/>
          <w:lang w:val="en-NZ"/>
        </w:rPr>
        <w:t>Consultation has been limited to high level proposals</w:t>
      </w:r>
      <w:r w:rsidR="005B461F">
        <w:rPr>
          <w:rFonts w:cs="Arial"/>
          <w:lang w:val="en-NZ"/>
        </w:rPr>
        <w:t xml:space="preserve"> with in principle support</w:t>
      </w:r>
      <w:r w:rsidR="004E0568">
        <w:rPr>
          <w:rFonts w:cs="Arial"/>
          <w:lang w:val="en-NZ"/>
        </w:rPr>
        <w:t xml:space="preserve"> provided by the external parties consulted.</w:t>
      </w:r>
    </w:p>
    <w:p w:rsidR="00CC08C1" w:rsidRDefault="00EB4E6F" w:rsidP="001F492F">
      <w:pPr>
        <w:pStyle w:val="Text"/>
        <w:spacing w:before="0" w:after="240" w:line="280" w:lineRule="atLeast"/>
        <w:ind w:right="170"/>
        <w:rPr>
          <w:rFonts w:cs="Arial"/>
          <w:lang w:val="en-NZ"/>
        </w:rPr>
      </w:pPr>
      <w:r>
        <w:rPr>
          <w:rFonts w:cs="Arial"/>
          <w:lang w:val="en-NZ"/>
        </w:rPr>
        <w:t>The frequency of occurrence for all issues is believed to be low</w:t>
      </w:r>
      <w:r w:rsidR="00BE511A">
        <w:rPr>
          <w:rFonts w:cs="Arial"/>
          <w:lang w:val="en-NZ"/>
        </w:rPr>
        <w:t xml:space="preserve"> and the impact for most is low</w:t>
      </w:r>
      <w:r w:rsidR="00CE45AC">
        <w:rPr>
          <w:rFonts w:cs="Arial"/>
          <w:lang w:val="en-NZ"/>
        </w:rPr>
        <w:t xml:space="preserve">. </w:t>
      </w:r>
      <w:r w:rsidR="00716B67">
        <w:rPr>
          <w:rFonts w:cs="Arial"/>
          <w:lang w:val="en-NZ"/>
        </w:rPr>
        <w:t>However, the</w:t>
      </w:r>
      <w:r w:rsidR="003C7585">
        <w:rPr>
          <w:rFonts w:cs="Arial"/>
          <w:lang w:val="en-NZ"/>
        </w:rPr>
        <w:t xml:space="preserve"> repetition of incidents is fairly high as most issues impact</w:t>
      </w:r>
      <w:r w:rsidR="00042607">
        <w:rPr>
          <w:rFonts w:cs="Arial"/>
          <w:lang w:val="en-NZ"/>
        </w:rPr>
        <w:t xml:space="preserve"> the</w:t>
      </w:r>
      <w:r w:rsidR="003C7585">
        <w:rPr>
          <w:rFonts w:cs="Arial"/>
          <w:lang w:val="en-NZ"/>
        </w:rPr>
        <w:t xml:space="preserve"> 67 territorial authorities</w:t>
      </w:r>
      <w:r w:rsidR="00AE6A58">
        <w:rPr>
          <w:rFonts w:cs="Arial"/>
          <w:lang w:val="en-NZ"/>
        </w:rPr>
        <w:t>,</w:t>
      </w:r>
      <w:r w:rsidR="00AC6A94">
        <w:rPr>
          <w:rFonts w:cs="Arial"/>
          <w:lang w:val="en-NZ"/>
        </w:rPr>
        <w:t xml:space="preserve"> with</w:t>
      </w:r>
      <w:r w:rsidR="007C58E9">
        <w:rPr>
          <w:rFonts w:cs="Arial"/>
          <w:lang w:val="en-NZ"/>
        </w:rPr>
        <w:t xml:space="preserve"> </w:t>
      </w:r>
      <w:r w:rsidR="00042607">
        <w:rPr>
          <w:rFonts w:cs="Arial"/>
          <w:lang w:val="en-NZ"/>
        </w:rPr>
        <w:t>some impact</w:t>
      </w:r>
      <w:r w:rsidR="00AC6A94">
        <w:rPr>
          <w:rFonts w:cs="Arial"/>
          <w:lang w:val="en-NZ"/>
        </w:rPr>
        <w:t>ing</w:t>
      </w:r>
      <w:r w:rsidR="00042607">
        <w:rPr>
          <w:rFonts w:cs="Arial"/>
          <w:lang w:val="en-NZ"/>
        </w:rPr>
        <w:t xml:space="preserve"> the </w:t>
      </w:r>
      <w:r w:rsidR="007C58E9">
        <w:rPr>
          <w:rFonts w:cs="Arial"/>
          <w:lang w:val="en-NZ"/>
        </w:rPr>
        <w:t>11 regional councils</w:t>
      </w:r>
      <w:r w:rsidR="00AC6A94">
        <w:rPr>
          <w:rFonts w:cs="Arial"/>
          <w:lang w:val="en-NZ"/>
        </w:rPr>
        <w:t>.</w:t>
      </w:r>
    </w:p>
    <w:p w:rsidR="00EB4E6F" w:rsidRDefault="001E0165" w:rsidP="001F492F">
      <w:pPr>
        <w:pStyle w:val="Text"/>
        <w:spacing w:before="0" w:after="240" w:line="280" w:lineRule="atLeast"/>
        <w:ind w:right="170"/>
        <w:rPr>
          <w:rFonts w:cs="Arial"/>
          <w:lang w:val="en-NZ"/>
        </w:rPr>
      </w:pPr>
      <w:r>
        <w:rPr>
          <w:rFonts w:cs="Arial"/>
          <w:lang w:val="en-NZ"/>
        </w:rPr>
        <w:t>Data does not exist on</w:t>
      </w:r>
      <w:r w:rsidR="00420D0F">
        <w:rPr>
          <w:rFonts w:cs="Arial"/>
          <w:lang w:val="en-NZ"/>
        </w:rPr>
        <w:t xml:space="preserve"> frequency or scale of</w:t>
      </w:r>
      <w:r>
        <w:rPr>
          <w:rFonts w:cs="Arial"/>
          <w:lang w:val="en-NZ"/>
        </w:rPr>
        <w:t xml:space="preserve"> actual incidents or lost opportunities</w:t>
      </w:r>
      <w:r w:rsidR="00AF1112">
        <w:rPr>
          <w:rFonts w:cs="Arial"/>
          <w:lang w:val="en-NZ"/>
        </w:rPr>
        <w:t xml:space="preserve"> arising</w:t>
      </w:r>
      <w:r>
        <w:rPr>
          <w:rFonts w:cs="Arial"/>
          <w:lang w:val="en-NZ"/>
        </w:rPr>
        <w:t xml:space="preserve"> from the </w:t>
      </w:r>
      <w:r w:rsidR="00B07EB7">
        <w:rPr>
          <w:rFonts w:cs="Arial"/>
          <w:lang w:val="en-NZ"/>
        </w:rPr>
        <w:t>identified issues</w:t>
      </w:r>
      <w:r>
        <w:rPr>
          <w:rFonts w:cs="Arial"/>
          <w:lang w:val="en-NZ"/>
        </w:rPr>
        <w:t xml:space="preserve">. Collecting this data would require a disproportionate </w:t>
      </w:r>
      <w:r w:rsidR="009A3F2D">
        <w:rPr>
          <w:rFonts w:cs="Arial"/>
          <w:lang w:val="en-NZ"/>
        </w:rPr>
        <w:t>amount of time and resources</w:t>
      </w:r>
      <w:r w:rsidR="00463039">
        <w:rPr>
          <w:rFonts w:cs="Arial"/>
          <w:lang w:val="en-NZ"/>
        </w:rPr>
        <w:t>,</w:t>
      </w:r>
      <w:r w:rsidR="009A3F2D">
        <w:rPr>
          <w:rFonts w:cs="Arial"/>
          <w:lang w:val="en-NZ"/>
        </w:rPr>
        <w:t xml:space="preserve"> relative to the minor nature of the issues. </w:t>
      </w:r>
      <w:r w:rsidR="0030148D">
        <w:rPr>
          <w:rFonts w:cs="Arial"/>
          <w:lang w:val="en-NZ"/>
        </w:rPr>
        <w:t>A requirement to collect this information would</w:t>
      </w:r>
      <w:r w:rsidR="009A3F2D">
        <w:rPr>
          <w:rFonts w:cs="Arial"/>
          <w:lang w:val="en-NZ"/>
        </w:rPr>
        <w:t xml:space="preserve"> </w:t>
      </w:r>
      <w:r w:rsidR="00FA69F4">
        <w:rPr>
          <w:rFonts w:cs="Arial"/>
          <w:lang w:val="en-NZ"/>
        </w:rPr>
        <w:t>preclude</w:t>
      </w:r>
      <w:r w:rsidR="009A3F2D">
        <w:rPr>
          <w:rFonts w:cs="Arial"/>
          <w:lang w:val="en-NZ"/>
        </w:rPr>
        <w:t xml:space="preserve"> this type of </w:t>
      </w:r>
      <w:r w:rsidR="003C7585">
        <w:rPr>
          <w:rFonts w:cs="Arial"/>
          <w:lang w:val="en-NZ"/>
        </w:rPr>
        <w:t>maintenance of regulatory systems.</w:t>
      </w:r>
    </w:p>
    <w:p w:rsidR="005E759A" w:rsidRPr="00026C21" w:rsidRDefault="005E759A" w:rsidP="005E759A">
      <w:pPr>
        <w:pStyle w:val="Text"/>
        <w:spacing w:before="0" w:after="240" w:line="280" w:lineRule="atLeast"/>
        <w:ind w:right="170"/>
        <w:rPr>
          <w:rFonts w:cs="Arial"/>
          <w:lang w:val="en-NZ"/>
        </w:rPr>
      </w:pPr>
      <w:r>
        <w:rPr>
          <w:rFonts w:cs="Arial"/>
          <w:lang w:val="en-NZ"/>
        </w:rPr>
        <w:t xml:space="preserve">The level and detail of analysis is proportionate to the </w:t>
      </w:r>
      <w:r w:rsidR="00270DE6">
        <w:rPr>
          <w:rFonts w:cs="Arial"/>
          <w:lang w:val="en-NZ"/>
        </w:rPr>
        <w:t>narrow</w:t>
      </w:r>
      <w:r w:rsidR="007638AC">
        <w:rPr>
          <w:rFonts w:cs="Arial"/>
          <w:lang w:val="en-NZ"/>
        </w:rPr>
        <w:t xml:space="preserve"> scope and technical nature </w:t>
      </w:r>
      <w:r>
        <w:rPr>
          <w:rFonts w:cs="Arial"/>
          <w:lang w:val="en-NZ"/>
        </w:rPr>
        <w:t>of issues that were considered. The proposed amendments are consistent with an omnibus bill</w:t>
      </w:r>
      <w:r w:rsidR="000349AF">
        <w:rPr>
          <w:rFonts w:cs="Arial"/>
          <w:lang w:val="en-NZ"/>
        </w:rPr>
        <w:t>.</w:t>
      </w:r>
    </w:p>
    <w:p w:rsidR="00AA0D9A" w:rsidRDefault="00AA0D9A" w:rsidP="001F492F">
      <w:pPr>
        <w:pStyle w:val="Text"/>
        <w:spacing w:before="0" w:after="180" w:line="280" w:lineRule="atLeast"/>
        <w:ind w:right="170"/>
        <w:rPr>
          <w:rFonts w:cs="Arial"/>
          <w:lang w:val="en-NZ"/>
        </w:rPr>
      </w:pPr>
    </w:p>
    <w:p w:rsidR="00AA0D9A" w:rsidRDefault="00AA0D9A" w:rsidP="001F492F">
      <w:pPr>
        <w:pStyle w:val="Text"/>
        <w:spacing w:before="0" w:after="180" w:line="280" w:lineRule="atLeast"/>
        <w:ind w:right="170"/>
        <w:rPr>
          <w:rFonts w:cs="Arial"/>
          <w:lang w:val="en-NZ"/>
        </w:rPr>
      </w:pPr>
    </w:p>
    <w:p w:rsidR="00AA0D9A" w:rsidRDefault="00AA0D9A" w:rsidP="001F492F">
      <w:pPr>
        <w:pStyle w:val="Text"/>
        <w:spacing w:before="0" w:after="180" w:line="280" w:lineRule="atLeast"/>
        <w:ind w:right="170"/>
        <w:rPr>
          <w:rFonts w:cs="Arial"/>
          <w:lang w:val="en-NZ"/>
        </w:rPr>
      </w:pPr>
    </w:p>
    <w:p w:rsidR="008D5CD9" w:rsidRPr="00082653" w:rsidRDefault="00C843A6" w:rsidP="001F492F">
      <w:pPr>
        <w:pStyle w:val="Text"/>
        <w:spacing w:before="0" w:after="180" w:line="280" w:lineRule="atLeast"/>
        <w:ind w:right="170"/>
        <w:rPr>
          <w:rFonts w:cs="Arial"/>
          <w:lang w:val="en-NZ"/>
        </w:rPr>
      </w:pPr>
      <w:r>
        <w:rPr>
          <w:rFonts w:cs="Arial"/>
          <w:lang w:val="en-NZ"/>
        </w:rPr>
        <w:t xml:space="preserve">Steve </w:t>
      </w:r>
      <w:proofErr w:type="spellStart"/>
      <w:r>
        <w:rPr>
          <w:rFonts w:cs="Arial"/>
          <w:lang w:val="en-NZ"/>
        </w:rPr>
        <w:t>Waldegrave</w:t>
      </w:r>
      <w:proofErr w:type="spellEnd"/>
    </w:p>
    <w:p w:rsidR="008D5CD9" w:rsidRPr="00082653" w:rsidRDefault="008D5CD9" w:rsidP="001F492F">
      <w:pPr>
        <w:pStyle w:val="Text"/>
        <w:spacing w:before="0" w:after="180" w:line="280" w:lineRule="atLeast"/>
        <w:ind w:right="170"/>
        <w:rPr>
          <w:rFonts w:cs="Arial"/>
          <w:lang w:val="en-NZ"/>
        </w:rPr>
      </w:pPr>
    </w:p>
    <w:p w:rsidR="008D5CD9" w:rsidRPr="00082653" w:rsidRDefault="008D5CD9" w:rsidP="001F492F">
      <w:pPr>
        <w:pStyle w:val="Text"/>
        <w:tabs>
          <w:tab w:val="left" w:pos="6521"/>
        </w:tabs>
        <w:spacing w:before="0" w:after="180" w:line="280" w:lineRule="atLeast"/>
        <w:ind w:right="170"/>
        <w:rPr>
          <w:rFonts w:cs="Arial"/>
          <w:lang w:val="en-NZ"/>
        </w:rPr>
      </w:pPr>
      <w:r>
        <w:rPr>
          <w:rFonts w:cs="Arial"/>
          <w:lang w:val="en-NZ"/>
        </w:rPr>
        <w:tab/>
      </w:r>
      <w:r w:rsidR="00417D32">
        <w:rPr>
          <w:rFonts w:cs="Arial"/>
          <w:lang w:val="en-NZ"/>
        </w:rPr>
        <w:t>23 June 2016</w:t>
      </w:r>
    </w:p>
    <w:p w:rsidR="00CC430D" w:rsidRDefault="00CC430D">
      <w:pPr>
        <w:spacing w:after="0" w:line="240" w:lineRule="auto"/>
        <w:rPr>
          <w:b/>
          <w:color w:val="335087"/>
          <w:spacing w:val="20"/>
          <w:w w:val="90"/>
          <w:sz w:val="32"/>
          <w:szCs w:val="24"/>
        </w:rPr>
      </w:pPr>
      <w:bookmarkStart w:id="25" w:name="_Toc362368103"/>
      <w:bookmarkStart w:id="26" w:name="_Toc362434944"/>
      <w:bookmarkStart w:id="27" w:name="_Toc362589330"/>
      <w:bookmarkStart w:id="28" w:name="_Toc362619030"/>
      <w:bookmarkStart w:id="29" w:name="_Toc362940594"/>
      <w:bookmarkStart w:id="30" w:name="_Toc363047102"/>
      <w:r>
        <w:br w:type="page"/>
      </w:r>
    </w:p>
    <w:p w:rsidR="00A8261D" w:rsidRDefault="00A8261D" w:rsidP="00BD4E0A">
      <w:pPr>
        <w:pStyle w:val="Heading2nocontents"/>
      </w:pPr>
      <w:r>
        <w:lastRenderedPageBreak/>
        <w:t>Contents</w:t>
      </w:r>
    </w:p>
    <w:p w:rsidR="00EC39C9" w:rsidRDefault="009352F9">
      <w:pPr>
        <w:pStyle w:val="TOC1"/>
        <w:rPr>
          <w:rFonts w:asciiTheme="minorHAnsi" w:eastAsiaTheme="minorEastAsia" w:hAnsiTheme="minorHAnsi" w:cstheme="minorBidi"/>
          <w:bCs w:val="0"/>
          <w:sz w:val="22"/>
          <w:szCs w:val="22"/>
          <w:lang w:val="en-NZ" w:eastAsia="en-NZ"/>
        </w:rPr>
      </w:pPr>
      <w:r>
        <w:rPr>
          <w:bCs w:val="0"/>
        </w:rPr>
        <w:fldChar w:fldCharType="begin"/>
      </w:r>
      <w:r>
        <w:rPr>
          <w:bCs w:val="0"/>
        </w:rPr>
        <w:instrText xml:space="preserve"> TOC \h \z \t "Heading 2,1,Heading 3,2" </w:instrText>
      </w:r>
      <w:r>
        <w:rPr>
          <w:bCs w:val="0"/>
        </w:rPr>
        <w:fldChar w:fldCharType="separate"/>
      </w:r>
      <w:hyperlink w:anchor="_Toc454520704" w:history="1">
        <w:r w:rsidR="00EC39C9" w:rsidRPr="00B43B79">
          <w:rPr>
            <w:rStyle w:val="Hyperlink"/>
          </w:rPr>
          <w:t>Executive summary</w:t>
        </w:r>
        <w:r w:rsidR="00EC39C9">
          <w:rPr>
            <w:webHidden/>
          </w:rPr>
          <w:tab/>
        </w:r>
        <w:r w:rsidR="00EC39C9">
          <w:rPr>
            <w:webHidden/>
          </w:rPr>
          <w:fldChar w:fldCharType="begin"/>
        </w:r>
        <w:r w:rsidR="00EC39C9">
          <w:rPr>
            <w:webHidden/>
          </w:rPr>
          <w:instrText xml:space="preserve"> PAGEREF _Toc454520704 \h </w:instrText>
        </w:r>
        <w:r w:rsidR="00EC39C9">
          <w:rPr>
            <w:webHidden/>
          </w:rPr>
        </w:r>
        <w:r w:rsidR="00EC39C9">
          <w:rPr>
            <w:webHidden/>
          </w:rPr>
          <w:fldChar w:fldCharType="separate"/>
        </w:r>
        <w:r w:rsidR="00082F71">
          <w:rPr>
            <w:webHidden/>
          </w:rPr>
          <w:t>3</w:t>
        </w:r>
        <w:r w:rsidR="00EC39C9">
          <w:rPr>
            <w:webHidden/>
          </w:rPr>
          <w:fldChar w:fldCharType="end"/>
        </w:r>
      </w:hyperlink>
    </w:p>
    <w:p w:rsidR="00EC39C9" w:rsidRDefault="008465CC">
      <w:pPr>
        <w:pStyle w:val="TOC1"/>
        <w:rPr>
          <w:rFonts w:asciiTheme="minorHAnsi" w:eastAsiaTheme="minorEastAsia" w:hAnsiTheme="minorHAnsi" w:cstheme="minorBidi"/>
          <w:bCs w:val="0"/>
          <w:sz w:val="22"/>
          <w:szCs w:val="22"/>
          <w:lang w:val="en-NZ" w:eastAsia="en-NZ"/>
        </w:rPr>
      </w:pPr>
      <w:hyperlink w:anchor="_Toc454520705" w:history="1">
        <w:r w:rsidR="00EC39C9" w:rsidRPr="00B43B79">
          <w:rPr>
            <w:rStyle w:val="Hyperlink"/>
          </w:rPr>
          <w:t>Status quo and problem definition for initiative</w:t>
        </w:r>
        <w:r w:rsidR="00EC39C9">
          <w:rPr>
            <w:webHidden/>
          </w:rPr>
          <w:tab/>
        </w:r>
        <w:r w:rsidR="00EC39C9">
          <w:rPr>
            <w:webHidden/>
          </w:rPr>
          <w:fldChar w:fldCharType="begin"/>
        </w:r>
        <w:r w:rsidR="00EC39C9">
          <w:rPr>
            <w:webHidden/>
          </w:rPr>
          <w:instrText xml:space="preserve"> PAGEREF _Toc454520705 \h </w:instrText>
        </w:r>
        <w:r w:rsidR="00EC39C9">
          <w:rPr>
            <w:webHidden/>
          </w:rPr>
        </w:r>
        <w:r w:rsidR="00EC39C9">
          <w:rPr>
            <w:webHidden/>
          </w:rPr>
          <w:fldChar w:fldCharType="separate"/>
        </w:r>
        <w:r w:rsidR="00082F71">
          <w:rPr>
            <w:webHidden/>
          </w:rPr>
          <w:t>4</w:t>
        </w:r>
        <w:r w:rsidR="00EC39C9">
          <w:rPr>
            <w:webHidden/>
          </w:rPr>
          <w:fldChar w:fldCharType="end"/>
        </w:r>
      </w:hyperlink>
    </w:p>
    <w:p w:rsidR="00EC39C9" w:rsidRDefault="008465CC">
      <w:pPr>
        <w:pStyle w:val="TOC1"/>
        <w:rPr>
          <w:rFonts w:asciiTheme="minorHAnsi" w:eastAsiaTheme="minorEastAsia" w:hAnsiTheme="minorHAnsi" w:cstheme="minorBidi"/>
          <w:bCs w:val="0"/>
          <w:sz w:val="22"/>
          <w:szCs w:val="22"/>
          <w:lang w:val="en-NZ" w:eastAsia="en-NZ"/>
        </w:rPr>
      </w:pPr>
      <w:hyperlink w:anchor="_Toc454520706" w:history="1">
        <w:r w:rsidR="00EC39C9" w:rsidRPr="00B43B79">
          <w:rPr>
            <w:rStyle w:val="Hyperlink"/>
          </w:rPr>
          <w:t>Initiative objectives</w:t>
        </w:r>
        <w:r w:rsidR="00EC39C9">
          <w:rPr>
            <w:webHidden/>
          </w:rPr>
          <w:tab/>
        </w:r>
        <w:r w:rsidR="00EC39C9">
          <w:rPr>
            <w:webHidden/>
          </w:rPr>
          <w:fldChar w:fldCharType="begin"/>
        </w:r>
        <w:r w:rsidR="00EC39C9">
          <w:rPr>
            <w:webHidden/>
          </w:rPr>
          <w:instrText xml:space="preserve"> PAGEREF _Toc454520706 \h </w:instrText>
        </w:r>
        <w:r w:rsidR="00EC39C9">
          <w:rPr>
            <w:webHidden/>
          </w:rPr>
        </w:r>
        <w:r w:rsidR="00EC39C9">
          <w:rPr>
            <w:webHidden/>
          </w:rPr>
          <w:fldChar w:fldCharType="separate"/>
        </w:r>
        <w:r w:rsidR="00082F71">
          <w:rPr>
            <w:webHidden/>
          </w:rPr>
          <w:t>4</w:t>
        </w:r>
        <w:r w:rsidR="00EC39C9">
          <w:rPr>
            <w:webHidden/>
          </w:rPr>
          <w:fldChar w:fldCharType="end"/>
        </w:r>
      </w:hyperlink>
    </w:p>
    <w:p w:rsidR="00EC39C9" w:rsidRDefault="008465CC">
      <w:pPr>
        <w:pStyle w:val="TOC1"/>
        <w:rPr>
          <w:rFonts w:asciiTheme="minorHAnsi" w:eastAsiaTheme="minorEastAsia" w:hAnsiTheme="minorHAnsi" w:cstheme="minorBidi"/>
          <w:bCs w:val="0"/>
          <w:sz w:val="22"/>
          <w:szCs w:val="22"/>
          <w:lang w:val="en-NZ" w:eastAsia="en-NZ"/>
        </w:rPr>
      </w:pPr>
      <w:hyperlink w:anchor="_Toc454520707" w:history="1">
        <w:r w:rsidR="00EC39C9" w:rsidRPr="00B43B79">
          <w:rPr>
            <w:rStyle w:val="Hyperlink"/>
          </w:rPr>
          <w:t>Options and impact analysis</w:t>
        </w:r>
        <w:r w:rsidR="00EC39C9">
          <w:rPr>
            <w:webHidden/>
          </w:rPr>
          <w:tab/>
        </w:r>
        <w:r w:rsidR="00EC39C9">
          <w:rPr>
            <w:webHidden/>
          </w:rPr>
          <w:fldChar w:fldCharType="begin"/>
        </w:r>
        <w:r w:rsidR="00EC39C9">
          <w:rPr>
            <w:webHidden/>
          </w:rPr>
          <w:instrText xml:space="preserve"> PAGEREF _Toc454520707 \h </w:instrText>
        </w:r>
        <w:r w:rsidR="00EC39C9">
          <w:rPr>
            <w:webHidden/>
          </w:rPr>
        </w:r>
        <w:r w:rsidR="00EC39C9">
          <w:rPr>
            <w:webHidden/>
          </w:rPr>
          <w:fldChar w:fldCharType="separate"/>
        </w:r>
        <w:r w:rsidR="00082F71">
          <w:rPr>
            <w:webHidden/>
          </w:rPr>
          <w:t>5</w:t>
        </w:r>
        <w:r w:rsidR="00EC39C9">
          <w:rPr>
            <w:webHidden/>
          </w:rPr>
          <w:fldChar w:fldCharType="end"/>
        </w:r>
      </w:hyperlink>
    </w:p>
    <w:p w:rsidR="00EC39C9" w:rsidRDefault="008465CC">
      <w:pPr>
        <w:pStyle w:val="TOC2"/>
        <w:rPr>
          <w:rFonts w:asciiTheme="minorHAnsi" w:eastAsiaTheme="minorEastAsia" w:hAnsiTheme="minorHAnsi" w:cstheme="minorBidi"/>
          <w:sz w:val="22"/>
          <w:szCs w:val="22"/>
          <w:lang w:val="en-NZ" w:eastAsia="en-NZ"/>
        </w:rPr>
      </w:pPr>
      <w:hyperlink w:anchor="_Toc454520708" w:history="1">
        <w:r w:rsidR="00EC39C9" w:rsidRPr="00B43B79">
          <w:rPr>
            <w:rStyle w:val="Hyperlink"/>
          </w:rPr>
          <w:t>1) Reduce local government filing requirements and improve document accessibility</w:t>
        </w:r>
        <w:r w:rsidR="00EC39C9">
          <w:rPr>
            <w:webHidden/>
          </w:rPr>
          <w:tab/>
        </w:r>
        <w:r w:rsidR="00EC39C9">
          <w:rPr>
            <w:webHidden/>
          </w:rPr>
          <w:fldChar w:fldCharType="begin"/>
        </w:r>
        <w:r w:rsidR="00EC39C9">
          <w:rPr>
            <w:webHidden/>
          </w:rPr>
          <w:instrText xml:space="preserve"> PAGEREF _Toc454520708 \h </w:instrText>
        </w:r>
        <w:r w:rsidR="00EC39C9">
          <w:rPr>
            <w:webHidden/>
          </w:rPr>
        </w:r>
        <w:r w:rsidR="00EC39C9">
          <w:rPr>
            <w:webHidden/>
          </w:rPr>
          <w:fldChar w:fldCharType="separate"/>
        </w:r>
        <w:r w:rsidR="00082F71">
          <w:rPr>
            <w:webHidden/>
          </w:rPr>
          <w:t>6</w:t>
        </w:r>
        <w:r w:rsidR="00EC39C9">
          <w:rPr>
            <w:webHidden/>
          </w:rPr>
          <w:fldChar w:fldCharType="end"/>
        </w:r>
      </w:hyperlink>
    </w:p>
    <w:p w:rsidR="00EC39C9" w:rsidRDefault="008465CC">
      <w:pPr>
        <w:pStyle w:val="TOC2"/>
        <w:rPr>
          <w:rFonts w:asciiTheme="minorHAnsi" w:eastAsiaTheme="minorEastAsia" w:hAnsiTheme="minorHAnsi" w:cstheme="minorBidi"/>
          <w:sz w:val="22"/>
          <w:szCs w:val="22"/>
          <w:lang w:val="en-NZ" w:eastAsia="en-NZ"/>
        </w:rPr>
      </w:pPr>
      <w:hyperlink w:anchor="_Toc454520709" w:history="1">
        <w:r w:rsidR="00EC39C9" w:rsidRPr="00B43B79">
          <w:rPr>
            <w:rStyle w:val="Hyperlink"/>
          </w:rPr>
          <w:t>2) Clarify the timing of taking office by a successful candidate following a by-election</w:t>
        </w:r>
        <w:r w:rsidR="00EC39C9">
          <w:rPr>
            <w:webHidden/>
          </w:rPr>
          <w:tab/>
        </w:r>
        <w:r w:rsidR="00EC39C9">
          <w:rPr>
            <w:webHidden/>
          </w:rPr>
          <w:fldChar w:fldCharType="begin"/>
        </w:r>
        <w:r w:rsidR="00EC39C9">
          <w:rPr>
            <w:webHidden/>
          </w:rPr>
          <w:instrText xml:space="preserve"> PAGEREF _Toc454520709 \h </w:instrText>
        </w:r>
        <w:r w:rsidR="00EC39C9">
          <w:rPr>
            <w:webHidden/>
          </w:rPr>
        </w:r>
        <w:r w:rsidR="00EC39C9">
          <w:rPr>
            <w:webHidden/>
          </w:rPr>
          <w:fldChar w:fldCharType="separate"/>
        </w:r>
        <w:r w:rsidR="00082F71">
          <w:rPr>
            <w:webHidden/>
          </w:rPr>
          <w:t>9</w:t>
        </w:r>
        <w:r w:rsidR="00EC39C9">
          <w:rPr>
            <w:webHidden/>
          </w:rPr>
          <w:fldChar w:fldCharType="end"/>
        </w:r>
      </w:hyperlink>
    </w:p>
    <w:p w:rsidR="00EC39C9" w:rsidRDefault="008465CC">
      <w:pPr>
        <w:pStyle w:val="TOC1"/>
        <w:rPr>
          <w:rFonts w:asciiTheme="minorHAnsi" w:eastAsiaTheme="minorEastAsia" w:hAnsiTheme="minorHAnsi" w:cstheme="minorBidi"/>
          <w:bCs w:val="0"/>
          <w:sz w:val="22"/>
          <w:szCs w:val="22"/>
          <w:lang w:val="en-NZ" w:eastAsia="en-NZ"/>
        </w:rPr>
      </w:pPr>
      <w:hyperlink w:anchor="_Toc454520710" w:history="1">
        <w:r w:rsidR="00EC39C9" w:rsidRPr="00B43B79">
          <w:rPr>
            <w:rStyle w:val="Hyperlink"/>
          </w:rPr>
          <w:t>Consultation</w:t>
        </w:r>
        <w:r w:rsidR="00EC39C9">
          <w:rPr>
            <w:webHidden/>
          </w:rPr>
          <w:tab/>
        </w:r>
        <w:r w:rsidR="00EC39C9">
          <w:rPr>
            <w:webHidden/>
          </w:rPr>
          <w:fldChar w:fldCharType="begin"/>
        </w:r>
        <w:r w:rsidR="00EC39C9">
          <w:rPr>
            <w:webHidden/>
          </w:rPr>
          <w:instrText xml:space="preserve"> PAGEREF _Toc454520710 \h </w:instrText>
        </w:r>
        <w:r w:rsidR="00EC39C9">
          <w:rPr>
            <w:webHidden/>
          </w:rPr>
        </w:r>
        <w:r w:rsidR="00EC39C9">
          <w:rPr>
            <w:webHidden/>
          </w:rPr>
          <w:fldChar w:fldCharType="separate"/>
        </w:r>
        <w:r w:rsidR="00082F71">
          <w:rPr>
            <w:webHidden/>
          </w:rPr>
          <w:t>11</w:t>
        </w:r>
        <w:r w:rsidR="00EC39C9">
          <w:rPr>
            <w:webHidden/>
          </w:rPr>
          <w:fldChar w:fldCharType="end"/>
        </w:r>
      </w:hyperlink>
    </w:p>
    <w:p w:rsidR="00EC39C9" w:rsidRDefault="008465CC">
      <w:pPr>
        <w:pStyle w:val="TOC1"/>
        <w:rPr>
          <w:rFonts w:asciiTheme="minorHAnsi" w:eastAsiaTheme="minorEastAsia" w:hAnsiTheme="minorHAnsi" w:cstheme="minorBidi"/>
          <w:bCs w:val="0"/>
          <w:sz w:val="22"/>
          <w:szCs w:val="22"/>
          <w:lang w:val="en-NZ" w:eastAsia="en-NZ"/>
        </w:rPr>
      </w:pPr>
      <w:hyperlink w:anchor="_Toc454520711" w:history="1">
        <w:r w:rsidR="00EC39C9" w:rsidRPr="00B43B79">
          <w:rPr>
            <w:rStyle w:val="Hyperlink"/>
          </w:rPr>
          <w:t>Conclusion</w:t>
        </w:r>
        <w:r w:rsidR="00EC39C9">
          <w:rPr>
            <w:webHidden/>
          </w:rPr>
          <w:tab/>
        </w:r>
        <w:r w:rsidR="00EC39C9">
          <w:rPr>
            <w:webHidden/>
          </w:rPr>
          <w:fldChar w:fldCharType="begin"/>
        </w:r>
        <w:r w:rsidR="00EC39C9">
          <w:rPr>
            <w:webHidden/>
          </w:rPr>
          <w:instrText xml:space="preserve"> PAGEREF _Toc454520711 \h </w:instrText>
        </w:r>
        <w:r w:rsidR="00EC39C9">
          <w:rPr>
            <w:webHidden/>
          </w:rPr>
        </w:r>
        <w:r w:rsidR="00EC39C9">
          <w:rPr>
            <w:webHidden/>
          </w:rPr>
          <w:fldChar w:fldCharType="separate"/>
        </w:r>
        <w:r w:rsidR="00082F71">
          <w:rPr>
            <w:webHidden/>
          </w:rPr>
          <w:t>12</w:t>
        </w:r>
        <w:r w:rsidR="00EC39C9">
          <w:rPr>
            <w:webHidden/>
          </w:rPr>
          <w:fldChar w:fldCharType="end"/>
        </w:r>
      </w:hyperlink>
    </w:p>
    <w:p w:rsidR="00EC39C9" w:rsidRDefault="008465CC">
      <w:pPr>
        <w:pStyle w:val="TOC1"/>
        <w:rPr>
          <w:rFonts w:asciiTheme="minorHAnsi" w:eastAsiaTheme="minorEastAsia" w:hAnsiTheme="minorHAnsi" w:cstheme="minorBidi"/>
          <w:bCs w:val="0"/>
          <w:sz w:val="22"/>
          <w:szCs w:val="22"/>
          <w:lang w:val="en-NZ" w:eastAsia="en-NZ"/>
        </w:rPr>
      </w:pPr>
      <w:hyperlink w:anchor="_Toc454520712" w:history="1">
        <w:r w:rsidR="00EC39C9" w:rsidRPr="00B43B79">
          <w:rPr>
            <w:rStyle w:val="Hyperlink"/>
          </w:rPr>
          <w:t>Implementation plan</w:t>
        </w:r>
        <w:r w:rsidR="00EC39C9">
          <w:rPr>
            <w:webHidden/>
          </w:rPr>
          <w:tab/>
        </w:r>
        <w:r w:rsidR="00EC39C9">
          <w:rPr>
            <w:webHidden/>
          </w:rPr>
          <w:fldChar w:fldCharType="begin"/>
        </w:r>
        <w:r w:rsidR="00EC39C9">
          <w:rPr>
            <w:webHidden/>
          </w:rPr>
          <w:instrText xml:space="preserve"> PAGEREF _Toc454520712 \h </w:instrText>
        </w:r>
        <w:r w:rsidR="00EC39C9">
          <w:rPr>
            <w:webHidden/>
          </w:rPr>
        </w:r>
        <w:r w:rsidR="00EC39C9">
          <w:rPr>
            <w:webHidden/>
          </w:rPr>
          <w:fldChar w:fldCharType="separate"/>
        </w:r>
        <w:r w:rsidR="00082F71">
          <w:rPr>
            <w:webHidden/>
          </w:rPr>
          <w:t>12</w:t>
        </w:r>
        <w:r w:rsidR="00EC39C9">
          <w:rPr>
            <w:webHidden/>
          </w:rPr>
          <w:fldChar w:fldCharType="end"/>
        </w:r>
      </w:hyperlink>
    </w:p>
    <w:p w:rsidR="00EC39C9" w:rsidRDefault="008465CC">
      <w:pPr>
        <w:pStyle w:val="TOC1"/>
        <w:rPr>
          <w:rFonts w:asciiTheme="minorHAnsi" w:eastAsiaTheme="minorEastAsia" w:hAnsiTheme="minorHAnsi" w:cstheme="minorBidi"/>
          <w:bCs w:val="0"/>
          <w:sz w:val="22"/>
          <w:szCs w:val="22"/>
          <w:lang w:val="en-NZ" w:eastAsia="en-NZ"/>
        </w:rPr>
      </w:pPr>
      <w:hyperlink w:anchor="_Toc454520713" w:history="1">
        <w:r w:rsidR="00EC39C9" w:rsidRPr="00B43B79">
          <w:rPr>
            <w:rStyle w:val="Hyperlink"/>
          </w:rPr>
          <w:t>Monitoring, evaluation and review</w:t>
        </w:r>
        <w:r w:rsidR="00EC39C9">
          <w:rPr>
            <w:webHidden/>
          </w:rPr>
          <w:tab/>
        </w:r>
        <w:r w:rsidR="00EC39C9">
          <w:rPr>
            <w:webHidden/>
          </w:rPr>
          <w:fldChar w:fldCharType="begin"/>
        </w:r>
        <w:r w:rsidR="00EC39C9">
          <w:rPr>
            <w:webHidden/>
          </w:rPr>
          <w:instrText xml:space="preserve"> PAGEREF _Toc454520713 \h </w:instrText>
        </w:r>
        <w:r w:rsidR="00EC39C9">
          <w:rPr>
            <w:webHidden/>
          </w:rPr>
        </w:r>
        <w:r w:rsidR="00EC39C9">
          <w:rPr>
            <w:webHidden/>
          </w:rPr>
          <w:fldChar w:fldCharType="separate"/>
        </w:r>
        <w:r w:rsidR="00082F71">
          <w:rPr>
            <w:webHidden/>
          </w:rPr>
          <w:t>13</w:t>
        </w:r>
        <w:r w:rsidR="00EC39C9">
          <w:rPr>
            <w:webHidden/>
          </w:rPr>
          <w:fldChar w:fldCharType="end"/>
        </w:r>
      </w:hyperlink>
    </w:p>
    <w:p w:rsidR="00EC39C9" w:rsidRDefault="008465CC">
      <w:pPr>
        <w:pStyle w:val="TOC1"/>
        <w:rPr>
          <w:rFonts w:asciiTheme="minorHAnsi" w:eastAsiaTheme="minorEastAsia" w:hAnsiTheme="minorHAnsi" w:cstheme="minorBidi"/>
          <w:bCs w:val="0"/>
          <w:sz w:val="22"/>
          <w:szCs w:val="22"/>
          <w:lang w:val="en-NZ" w:eastAsia="en-NZ"/>
        </w:rPr>
      </w:pPr>
      <w:hyperlink w:anchor="_Toc454520714" w:history="1">
        <w:r w:rsidR="00EC39C9" w:rsidRPr="00B43B79">
          <w:rPr>
            <w:rStyle w:val="Hyperlink"/>
          </w:rPr>
          <w:t>Appendix A: Complete list of proposed amendments</w:t>
        </w:r>
        <w:r w:rsidR="00EC39C9">
          <w:rPr>
            <w:webHidden/>
          </w:rPr>
          <w:tab/>
        </w:r>
        <w:r w:rsidR="00EC39C9">
          <w:rPr>
            <w:webHidden/>
          </w:rPr>
          <w:fldChar w:fldCharType="begin"/>
        </w:r>
        <w:r w:rsidR="00EC39C9">
          <w:rPr>
            <w:webHidden/>
          </w:rPr>
          <w:instrText xml:space="preserve"> PAGEREF _Toc454520714 \h </w:instrText>
        </w:r>
        <w:r w:rsidR="00EC39C9">
          <w:rPr>
            <w:webHidden/>
          </w:rPr>
        </w:r>
        <w:r w:rsidR="00EC39C9">
          <w:rPr>
            <w:webHidden/>
          </w:rPr>
          <w:fldChar w:fldCharType="separate"/>
        </w:r>
        <w:r w:rsidR="00082F71">
          <w:rPr>
            <w:webHidden/>
          </w:rPr>
          <w:t>14</w:t>
        </w:r>
        <w:r w:rsidR="00EC39C9">
          <w:rPr>
            <w:webHidden/>
          </w:rPr>
          <w:fldChar w:fldCharType="end"/>
        </w:r>
      </w:hyperlink>
    </w:p>
    <w:p w:rsidR="00C76A67" w:rsidRDefault="009352F9" w:rsidP="00C76A67">
      <w:pPr>
        <w:rPr>
          <w:b/>
          <w:color w:val="335087"/>
          <w:spacing w:val="20"/>
          <w:w w:val="90"/>
          <w:sz w:val="32"/>
          <w:szCs w:val="24"/>
        </w:rPr>
      </w:pPr>
      <w:r>
        <w:rPr>
          <w:bCs/>
          <w:noProof/>
          <w:sz w:val="24"/>
          <w:szCs w:val="44"/>
        </w:rPr>
        <w:fldChar w:fldCharType="end"/>
      </w:r>
      <w:r w:rsidR="00C76A67">
        <w:br w:type="page"/>
      </w:r>
    </w:p>
    <w:p w:rsidR="008D5CD9" w:rsidRDefault="007276CD" w:rsidP="000775ED">
      <w:pPr>
        <w:pStyle w:val="Heading2"/>
      </w:pPr>
      <w:bookmarkStart w:id="31" w:name="_Toc438117156"/>
      <w:bookmarkStart w:id="32" w:name="_Toc454520704"/>
      <w:r>
        <w:lastRenderedPageBreak/>
        <w:t>Executive s</w:t>
      </w:r>
      <w:r w:rsidR="008D5CD9">
        <w:t>ummary</w:t>
      </w:r>
      <w:bookmarkEnd w:id="25"/>
      <w:bookmarkEnd w:id="26"/>
      <w:bookmarkEnd w:id="27"/>
      <w:bookmarkEnd w:id="28"/>
      <w:bookmarkEnd w:id="29"/>
      <w:bookmarkEnd w:id="30"/>
      <w:bookmarkEnd w:id="31"/>
      <w:bookmarkEnd w:id="32"/>
    </w:p>
    <w:p w:rsidR="004A1DE8" w:rsidRDefault="004A7118" w:rsidP="00A72DF3">
      <w:pPr>
        <w:pStyle w:val="Numberedpara3level1"/>
      </w:pPr>
      <w:r>
        <w:t>The overarching aim of this initiative is to improve and maintain the effectiveness and efficiency of the regulatory sys</w:t>
      </w:r>
      <w:r w:rsidR="00980E5F">
        <w:t>tem established by the principal</w:t>
      </w:r>
      <w:r>
        <w:t xml:space="preserve"> local government Acts. </w:t>
      </w:r>
    </w:p>
    <w:p w:rsidR="002373E5" w:rsidRDefault="004A7118" w:rsidP="00A72DF3">
      <w:pPr>
        <w:pStyle w:val="Numberedpara3level1"/>
      </w:pPr>
      <w:r>
        <w:t xml:space="preserve">This initiative is in performance of the Department’s stewardship of local government regulation. </w:t>
      </w:r>
      <w:r w:rsidR="009471C2">
        <w:t xml:space="preserve">The Department has undertaken to address some of the known issues within the local government regulatory framework. </w:t>
      </w:r>
      <w:r w:rsidR="004A1DE8">
        <w:t>Twelve</w:t>
      </w:r>
      <w:r w:rsidR="005E4BC4">
        <w:t xml:space="preserve"> amendments </w:t>
      </w:r>
      <w:r w:rsidR="005E759A">
        <w:t>were</w:t>
      </w:r>
      <w:r w:rsidR="005E4BC4">
        <w:t xml:space="preserve"> identified that will address issues that cannot or are unlikely to be addressed through other planned changes to the regulatory system.</w:t>
      </w:r>
    </w:p>
    <w:p w:rsidR="00EB5216" w:rsidRDefault="00A712B6" w:rsidP="00A72DF3">
      <w:pPr>
        <w:pStyle w:val="Numberedpara3level1"/>
      </w:pPr>
      <w:r>
        <w:t xml:space="preserve">This </w:t>
      </w:r>
      <w:r w:rsidR="00780146">
        <w:t xml:space="preserve">Regulatory Impact Statement (RIS) </w:t>
      </w:r>
      <w:r>
        <w:t xml:space="preserve">directly addresses </w:t>
      </w:r>
      <w:r w:rsidR="00D54677">
        <w:t>two</w:t>
      </w:r>
      <w:r w:rsidR="00471413">
        <w:t xml:space="preserve"> of the </w:t>
      </w:r>
      <w:r w:rsidR="004A1DE8">
        <w:t>twelve</w:t>
      </w:r>
      <w:r w:rsidR="00474BED">
        <w:t xml:space="preserve"> </w:t>
      </w:r>
      <w:r w:rsidR="00471413">
        <w:t>issues identified</w:t>
      </w:r>
      <w:r w:rsidR="00B8632F">
        <w:t xml:space="preserve"> for legislative amendments</w:t>
      </w:r>
      <w:r w:rsidR="00471413">
        <w:t xml:space="preserve">. </w:t>
      </w:r>
      <w:r w:rsidR="0067714D">
        <w:t>Although minor, t</w:t>
      </w:r>
      <w:r w:rsidR="00471413">
        <w:t xml:space="preserve">hese issues have </w:t>
      </w:r>
      <w:r w:rsidR="0067714D">
        <w:t>more significant policy implications</w:t>
      </w:r>
      <w:r w:rsidR="008033B1">
        <w:t xml:space="preserve"> than the </w:t>
      </w:r>
      <w:r w:rsidR="00D54677">
        <w:t>remaining ten</w:t>
      </w:r>
      <w:r w:rsidR="00BC677F">
        <w:t xml:space="preserve"> issues</w:t>
      </w:r>
      <w:r w:rsidR="008033B1">
        <w:t xml:space="preserve"> that</w:t>
      </w:r>
      <w:r w:rsidR="00BC677F">
        <w:t xml:space="preserve"> are of a</w:t>
      </w:r>
      <w:r w:rsidR="00474BED">
        <w:t xml:space="preserve"> more</w:t>
      </w:r>
      <w:r w:rsidR="00BC677F">
        <w:t xml:space="preserve"> </w:t>
      </w:r>
      <w:r w:rsidR="00EC39C9">
        <w:t>minor technical nature (a complete list of proposals is included in Appendix A).</w:t>
      </w:r>
      <w:r w:rsidR="008033B1">
        <w:t xml:space="preserve"> </w:t>
      </w:r>
      <w:r w:rsidR="00D308B4">
        <w:t>These issues update the current policy position rather than simply improving the implementation of the existing position.</w:t>
      </w:r>
    </w:p>
    <w:p w:rsidR="000B6EB0" w:rsidRDefault="000B6EB0" w:rsidP="00A72DF3">
      <w:pPr>
        <w:pStyle w:val="Numberedpara3level1"/>
      </w:pPr>
      <w:r>
        <w:t>The policy proposals addressed by th</w:t>
      </w:r>
      <w:r w:rsidR="00780146">
        <w:t>is</w:t>
      </w:r>
      <w:r>
        <w:t xml:space="preserve"> </w:t>
      </w:r>
      <w:r w:rsidR="00780146">
        <w:t xml:space="preserve">RIS </w:t>
      </w:r>
      <w:r>
        <w:t>are:</w:t>
      </w:r>
    </w:p>
    <w:p w:rsidR="005619D8" w:rsidRDefault="005619D8" w:rsidP="00BA2B5E">
      <w:pPr>
        <w:pStyle w:val="Bullet"/>
      </w:pPr>
      <w:r w:rsidRPr="005619D8">
        <w:t>Reduce local government filing requirements and improve document accessibility</w:t>
      </w:r>
      <w:r w:rsidR="005B461F">
        <w:t>.</w:t>
      </w:r>
    </w:p>
    <w:p w:rsidR="005619D8" w:rsidRPr="005619D8" w:rsidRDefault="005619D8" w:rsidP="00BA2B5E">
      <w:pPr>
        <w:pStyle w:val="Bullet"/>
      </w:pPr>
      <w:r w:rsidRPr="005619D8">
        <w:t>Clarify the timing of taking office by a successful candidate following a by-election</w:t>
      </w:r>
      <w:r w:rsidR="005B461F">
        <w:t>.</w:t>
      </w:r>
    </w:p>
    <w:p w:rsidR="00B47B16" w:rsidRDefault="000171D5" w:rsidP="008A6E8F">
      <w:pPr>
        <w:pStyle w:val="Numberedpara3level1"/>
      </w:pPr>
      <w:r>
        <w:t>Implementing the preferred option for the proposals above would require amendments to the following Acts:</w:t>
      </w:r>
    </w:p>
    <w:p w:rsidR="00B47B16" w:rsidRDefault="00B47B16" w:rsidP="00BA2B5E">
      <w:pPr>
        <w:pStyle w:val="Bullet"/>
      </w:pPr>
      <w:r>
        <w:t>Local Government Act 2002</w:t>
      </w:r>
    </w:p>
    <w:p w:rsidR="00E96B81" w:rsidRDefault="00B47B16" w:rsidP="00E96B81">
      <w:pPr>
        <w:pStyle w:val="Bullet"/>
      </w:pPr>
      <w:r>
        <w:t>Local Electoral Act 2001</w:t>
      </w:r>
      <w:bookmarkStart w:id="33" w:name="_Toc362368104"/>
      <w:bookmarkStart w:id="34" w:name="_Toc362434945"/>
      <w:bookmarkStart w:id="35" w:name="_Toc362589331"/>
      <w:bookmarkStart w:id="36" w:name="_Toc362619031"/>
      <w:bookmarkStart w:id="37" w:name="_Toc362940595"/>
      <w:bookmarkStart w:id="38" w:name="_Toc363047103"/>
      <w:bookmarkStart w:id="39" w:name="_Toc438117157"/>
    </w:p>
    <w:p w:rsidR="00E96B81" w:rsidRDefault="00E96B81" w:rsidP="00E96B81">
      <w:pPr>
        <w:pStyle w:val="Bullet"/>
      </w:pPr>
      <w:r w:rsidRPr="00E96B81">
        <w:t>Local Government (Rating) Act 2002</w:t>
      </w:r>
    </w:p>
    <w:p w:rsidR="00E96B81" w:rsidRPr="00E96B81" w:rsidRDefault="00E96B81" w:rsidP="00E96B81">
      <w:pPr>
        <w:pStyle w:val="Bullet"/>
      </w:pPr>
      <w:r>
        <w:t>Dog Control Act 1996</w:t>
      </w:r>
    </w:p>
    <w:p w:rsidR="004868E8" w:rsidRDefault="004868E8">
      <w:pPr>
        <w:spacing w:after="0" w:line="240" w:lineRule="auto"/>
        <w:rPr>
          <w:b/>
          <w:color w:val="335087"/>
          <w:spacing w:val="20"/>
          <w:w w:val="90"/>
          <w:sz w:val="32"/>
          <w:szCs w:val="24"/>
        </w:rPr>
      </w:pPr>
      <w:r>
        <w:br w:type="page"/>
      </w:r>
    </w:p>
    <w:p w:rsidR="008D5CD9" w:rsidRDefault="007D37E2" w:rsidP="000775ED">
      <w:pPr>
        <w:pStyle w:val="Heading2"/>
      </w:pPr>
      <w:bookmarkStart w:id="40" w:name="_Toc454520705"/>
      <w:r>
        <w:lastRenderedPageBreak/>
        <w:t>S</w:t>
      </w:r>
      <w:r w:rsidR="008D5CD9" w:rsidRPr="00082653">
        <w:t>tatus quo and problem definition</w:t>
      </w:r>
      <w:bookmarkEnd w:id="33"/>
      <w:bookmarkEnd w:id="34"/>
      <w:bookmarkEnd w:id="35"/>
      <w:bookmarkEnd w:id="36"/>
      <w:bookmarkEnd w:id="37"/>
      <w:bookmarkEnd w:id="38"/>
      <w:r w:rsidR="00CC277C">
        <w:t xml:space="preserve"> for initiative</w:t>
      </w:r>
      <w:bookmarkEnd w:id="39"/>
      <w:bookmarkEnd w:id="40"/>
    </w:p>
    <w:p w:rsidR="00C31D4E" w:rsidRDefault="00E7009B" w:rsidP="00420D0F">
      <w:pPr>
        <w:pStyle w:val="Numberedpara3level1"/>
      </w:pPr>
      <w:r>
        <w:t>Overtime</w:t>
      </w:r>
      <w:r w:rsidR="00C12597">
        <w:t xml:space="preserve"> regulatory</w:t>
      </w:r>
      <w:r w:rsidR="009868BA">
        <w:t xml:space="preserve"> framework</w:t>
      </w:r>
      <w:r w:rsidR="00C12597">
        <w:t>s</w:t>
      </w:r>
      <w:r>
        <w:t xml:space="preserve"> </w:t>
      </w:r>
      <w:r w:rsidR="00C12597">
        <w:t>require ‘</w:t>
      </w:r>
      <w:r>
        <w:t>repair and maintenance</w:t>
      </w:r>
      <w:r w:rsidR="00C12597">
        <w:t>’</w:t>
      </w:r>
      <w:r>
        <w:t xml:space="preserve"> to ensure </w:t>
      </w:r>
      <w:r w:rsidR="00C12597">
        <w:t>they</w:t>
      </w:r>
      <w:r>
        <w:t xml:space="preserve"> remain</w:t>
      </w:r>
      <w:r w:rsidR="00367E5F">
        <w:t xml:space="preserve"> up to date and</w:t>
      </w:r>
      <w:r>
        <w:t xml:space="preserve"> fit for purpose.</w:t>
      </w:r>
      <w:r w:rsidR="002F1C16">
        <w:rPr>
          <w:rStyle w:val="FootnoteReference"/>
        </w:rPr>
        <w:footnoteReference w:id="1"/>
      </w:r>
      <w:r w:rsidR="00C12597">
        <w:t xml:space="preserve"> Several Acts form the core regulatory system for local gov</w:t>
      </w:r>
      <w:r w:rsidR="008F4F5A">
        <w:t>ernment. As these Acts are individually amended and updated issues begin to arise that need to be addressed</w:t>
      </w:r>
      <w:r w:rsidR="007D0592">
        <w:t xml:space="preserve"> to main</w:t>
      </w:r>
      <w:r w:rsidR="003B0790">
        <w:t xml:space="preserve">tain the integrity of the </w:t>
      </w:r>
      <w:r w:rsidR="007D0592">
        <w:t>system</w:t>
      </w:r>
      <w:r w:rsidR="003B0790">
        <w:t xml:space="preserve"> as a whole</w:t>
      </w:r>
      <w:r w:rsidR="007D0592">
        <w:t>. Additiona</w:t>
      </w:r>
      <w:r w:rsidR="003B0790">
        <w:t xml:space="preserve">lly regulation needs </w:t>
      </w:r>
      <w:r w:rsidR="007D0592">
        <w:t xml:space="preserve">to be kept current to </w:t>
      </w:r>
      <w:r w:rsidR="003B0790" w:rsidRPr="003B0790">
        <w:t>meet contemporary service delivery and representation expectations from communities.</w:t>
      </w:r>
    </w:p>
    <w:p w:rsidR="00154161" w:rsidRPr="00864007" w:rsidRDefault="00896F9D" w:rsidP="00864007">
      <w:pPr>
        <w:pStyle w:val="Numberedpara3level1"/>
        <w:rPr>
          <w:b/>
          <w:color w:val="335087"/>
          <w:spacing w:val="20"/>
          <w:w w:val="90"/>
          <w:sz w:val="32"/>
        </w:rPr>
      </w:pPr>
      <w:r>
        <w:t>T</w:t>
      </w:r>
      <w:r w:rsidR="00367E5F">
        <w:t xml:space="preserve">he Department </w:t>
      </w:r>
      <w:r w:rsidR="003B0790">
        <w:t xml:space="preserve">has identified </w:t>
      </w:r>
      <w:r w:rsidR="00E3049A">
        <w:t xml:space="preserve">a number of small errors and opportunities to modernise the </w:t>
      </w:r>
      <w:r>
        <w:t>core local government legislation it administers</w:t>
      </w:r>
      <w:r w:rsidR="00E3049A">
        <w:t>.</w:t>
      </w:r>
      <w:r>
        <w:t xml:space="preserve"> These errors and opportunities impact the effecti</w:t>
      </w:r>
      <w:r w:rsidR="00AA70CF">
        <w:t>veness of th</w:t>
      </w:r>
      <w:r w:rsidR="000D047A">
        <w:t>e regulatory</w:t>
      </w:r>
      <w:r w:rsidR="00254687">
        <w:t xml:space="preserve"> system. They impact council operations and the</w:t>
      </w:r>
      <w:r w:rsidR="000D047A">
        <w:t xml:space="preserve"> effectiveness of decision making in local government.</w:t>
      </w:r>
      <w:r w:rsidR="002B5B5C">
        <w:t xml:space="preserve"> In this RIS the problem definitions for each issue are addressed in turn.</w:t>
      </w:r>
      <w:bookmarkStart w:id="41" w:name="_Toc244580364"/>
      <w:bookmarkStart w:id="42" w:name="_Toc244587040"/>
      <w:bookmarkStart w:id="43" w:name="_Toc244857274"/>
      <w:bookmarkStart w:id="44" w:name="_Toc244912539"/>
      <w:bookmarkStart w:id="45" w:name="_Toc244916996"/>
      <w:bookmarkStart w:id="46" w:name="_Toc362368105"/>
      <w:bookmarkStart w:id="47" w:name="_Toc362434946"/>
      <w:bookmarkStart w:id="48" w:name="_Toc362589332"/>
      <w:bookmarkStart w:id="49" w:name="_Toc362619032"/>
      <w:bookmarkStart w:id="50" w:name="_Toc362940596"/>
      <w:bookmarkStart w:id="51" w:name="_Toc363047104"/>
    </w:p>
    <w:p w:rsidR="008D5CD9" w:rsidRDefault="00CC277C" w:rsidP="000775ED">
      <w:pPr>
        <w:pStyle w:val="Heading2"/>
      </w:pPr>
      <w:bookmarkStart w:id="52" w:name="_Toc438117158"/>
      <w:bookmarkStart w:id="53" w:name="_Toc454520706"/>
      <w:r>
        <w:t>Initiative o</w:t>
      </w:r>
      <w:r w:rsidR="008D5CD9" w:rsidRPr="00082653">
        <w:t>bjectives</w:t>
      </w:r>
      <w:bookmarkEnd w:id="41"/>
      <w:bookmarkEnd w:id="42"/>
      <w:bookmarkEnd w:id="43"/>
      <w:bookmarkEnd w:id="44"/>
      <w:bookmarkEnd w:id="45"/>
      <w:bookmarkEnd w:id="46"/>
      <w:bookmarkEnd w:id="47"/>
      <w:bookmarkEnd w:id="48"/>
      <w:bookmarkEnd w:id="49"/>
      <w:bookmarkEnd w:id="50"/>
      <w:bookmarkEnd w:id="51"/>
      <w:bookmarkEnd w:id="52"/>
      <w:bookmarkEnd w:id="53"/>
    </w:p>
    <w:p w:rsidR="00DA71F4" w:rsidRDefault="00DA71F4" w:rsidP="003F4D98">
      <w:pPr>
        <w:pStyle w:val="Numberedpara3level1"/>
      </w:pPr>
      <w:r>
        <w:t xml:space="preserve">The </w:t>
      </w:r>
      <w:r w:rsidR="00841F00">
        <w:t>overarching</w:t>
      </w:r>
      <w:r>
        <w:t xml:space="preserve"> </w:t>
      </w:r>
      <w:r w:rsidR="005E63AF">
        <w:t>aim</w:t>
      </w:r>
      <w:r>
        <w:t xml:space="preserve"> of this initiative is to:</w:t>
      </w:r>
    </w:p>
    <w:p w:rsidR="000E7680" w:rsidRDefault="000E7680" w:rsidP="000E7680">
      <w:pPr>
        <w:pStyle w:val="Bullet"/>
      </w:pPr>
      <w:r>
        <w:t>I</w:t>
      </w:r>
      <w:r w:rsidRPr="00C4387C">
        <w:t>mprove and maintain the effectiveness and effi</w:t>
      </w:r>
      <w:r w:rsidR="0004515A">
        <w:t>ciency of the regulatory system</w:t>
      </w:r>
      <w:r w:rsidRPr="00C4387C">
        <w:t xml:space="preserve"> established by the princip</w:t>
      </w:r>
      <w:r w:rsidR="00DD71EA">
        <w:t>al</w:t>
      </w:r>
      <w:r w:rsidRPr="00C4387C">
        <w:t xml:space="preserve"> local government Acts</w:t>
      </w:r>
      <w:r>
        <w:t>.</w:t>
      </w:r>
    </w:p>
    <w:p w:rsidR="00533524" w:rsidRPr="00533524" w:rsidRDefault="00533524" w:rsidP="003F4D98">
      <w:pPr>
        <w:pStyle w:val="Numberedpara3level1"/>
      </w:pPr>
      <w:r>
        <w:t>The policy objectives of the initiative are to:</w:t>
      </w:r>
    </w:p>
    <w:p w:rsidR="00533524" w:rsidRPr="003F72B5" w:rsidRDefault="000755F5" w:rsidP="003F72B5">
      <w:pPr>
        <w:pStyle w:val="Bullet"/>
      </w:pPr>
      <w:r w:rsidRPr="00864007">
        <w:rPr>
          <w:b/>
        </w:rPr>
        <w:t>Objective 1</w:t>
      </w:r>
      <w:r>
        <w:t xml:space="preserve"> - </w:t>
      </w:r>
      <w:r w:rsidR="00533524" w:rsidRPr="003F72B5">
        <w:t>Clarify and update statutory provisions to give effect to the intended purpose of the Act and its provisions and keep the regulatory system up to date and relevant.</w:t>
      </w:r>
    </w:p>
    <w:p w:rsidR="00533524" w:rsidRPr="003F72B5" w:rsidRDefault="000755F5" w:rsidP="003F72B5">
      <w:pPr>
        <w:pStyle w:val="Bullet"/>
      </w:pPr>
      <w:r w:rsidRPr="00864007">
        <w:rPr>
          <w:b/>
        </w:rPr>
        <w:t>Objective 2</w:t>
      </w:r>
      <w:r>
        <w:t xml:space="preserve"> - </w:t>
      </w:r>
      <w:r w:rsidR="00533524" w:rsidRPr="003F72B5">
        <w:t>Address regulatory duplication, gaps, errors, and inconsistencies within and between different pieces of legislation.</w:t>
      </w:r>
    </w:p>
    <w:p w:rsidR="00533524" w:rsidRPr="003F72B5" w:rsidRDefault="000755F5" w:rsidP="003F72B5">
      <w:pPr>
        <w:pStyle w:val="Bullet"/>
      </w:pPr>
      <w:r w:rsidRPr="00864007">
        <w:rPr>
          <w:b/>
        </w:rPr>
        <w:t>Objective 3</w:t>
      </w:r>
      <w:r>
        <w:t xml:space="preserve"> - </w:t>
      </w:r>
      <w:r w:rsidR="00533524" w:rsidRPr="003F72B5">
        <w:t>Remove any unnecessary compliance costs and costs of doing business.</w:t>
      </w:r>
    </w:p>
    <w:p w:rsidR="003F21C5" w:rsidRPr="00896F9D" w:rsidRDefault="00D93C10" w:rsidP="003F4D98">
      <w:pPr>
        <w:pStyle w:val="Numberedpara3level1"/>
      </w:pPr>
      <w:r w:rsidRPr="00D93C10">
        <w:t xml:space="preserve">The amendments were identified </w:t>
      </w:r>
      <w:r>
        <w:t>in the exercise of the Department</w:t>
      </w:r>
      <w:r w:rsidR="00420D0F">
        <w:t>’</w:t>
      </w:r>
      <w:r>
        <w:t xml:space="preserve">s </w:t>
      </w:r>
      <w:r w:rsidRPr="00D93C10">
        <w:t>responsibility to relevant Minis</w:t>
      </w:r>
      <w:r>
        <w:t xml:space="preserve">ters for the stewardship of </w:t>
      </w:r>
      <w:r w:rsidRPr="00D93C10">
        <w:t xml:space="preserve">legislation administered by the </w:t>
      </w:r>
      <w:r>
        <w:t>Department</w:t>
      </w:r>
      <w:r w:rsidRPr="00D93C10">
        <w:t xml:space="preserve"> under section 32</w:t>
      </w:r>
      <w:r w:rsidR="00E73B02">
        <w:t>(1</w:t>
      </w:r>
      <w:proofErr w:type="gramStart"/>
      <w:r w:rsidR="00E73B02">
        <w:t>)(</w:t>
      </w:r>
      <w:proofErr w:type="gramEnd"/>
      <w:r w:rsidR="00E73B02">
        <w:t>d)(ii)</w:t>
      </w:r>
      <w:r w:rsidRPr="00D93C10">
        <w:t xml:space="preserve"> of the State Sector Act 1988.</w:t>
      </w:r>
      <w:r w:rsidR="003F21C5">
        <w:t xml:space="preserve"> These amendments would be included in a Local Government Regulatory Systems </w:t>
      </w:r>
      <w:r w:rsidR="00B07EB7">
        <w:t>bill</w:t>
      </w:r>
      <w:r w:rsidR="003F21C5">
        <w:t xml:space="preserve"> (the </w:t>
      </w:r>
      <w:r w:rsidR="00B07EB7">
        <w:t>bill</w:t>
      </w:r>
      <w:r w:rsidR="003F21C5">
        <w:t xml:space="preserve">). The </w:t>
      </w:r>
      <w:r w:rsidR="00B07EB7">
        <w:t>bill</w:t>
      </w:r>
      <w:r w:rsidR="003F21C5">
        <w:t xml:space="preserve"> is </w:t>
      </w:r>
      <w:r w:rsidR="003F21C5" w:rsidRPr="00327B35">
        <w:t xml:space="preserve">a vehicle </w:t>
      </w:r>
      <w:r w:rsidR="003F21C5">
        <w:t xml:space="preserve">to progress </w:t>
      </w:r>
      <w:r w:rsidR="003F21C5" w:rsidRPr="00327B35">
        <w:t xml:space="preserve">smaller regulatory fixes in a timely and cost effective </w:t>
      </w:r>
      <w:r w:rsidR="003F21C5">
        <w:t xml:space="preserve">manner </w:t>
      </w:r>
      <w:r w:rsidR="003F21C5" w:rsidRPr="00327B35">
        <w:t xml:space="preserve">in order to deliver the flow-on benefits to </w:t>
      </w:r>
      <w:r w:rsidR="003F21C5">
        <w:t xml:space="preserve">councils </w:t>
      </w:r>
      <w:r w:rsidR="003F21C5" w:rsidRPr="00327B35">
        <w:t>and</w:t>
      </w:r>
      <w:r w:rsidR="003F21C5">
        <w:t xml:space="preserve"> communities.</w:t>
      </w:r>
    </w:p>
    <w:p w:rsidR="00327B35" w:rsidRDefault="001F6166" w:rsidP="003F4D98">
      <w:pPr>
        <w:pStyle w:val="Numberedpara3level1"/>
      </w:pPr>
      <w:r>
        <w:t>This approach to</w:t>
      </w:r>
      <w:r w:rsidR="004B7F3A">
        <w:t xml:space="preserve"> the</w:t>
      </w:r>
      <w:r>
        <w:t xml:space="preserve"> Department’s stewardship role is consistent with</w:t>
      </w:r>
      <w:r w:rsidR="00327B35" w:rsidRPr="00327B35">
        <w:t xml:space="preserve"> the Productivity Commission’s July 2014 report </w:t>
      </w:r>
      <w:r w:rsidR="00327B35">
        <w:t>“</w:t>
      </w:r>
      <w:r w:rsidR="00327B35" w:rsidRPr="00327B35">
        <w:t>Regulatory institutions and practices</w:t>
      </w:r>
      <w:r w:rsidR="00327B35">
        <w:t>”</w:t>
      </w:r>
      <w:r w:rsidR="00327B35" w:rsidRPr="00327B35">
        <w:t xml:space="preserve">. The Commission found that it can be difficult to find time on the Parliamentary calendar for “repairs and maintenance” of existing legislation. As a result, regulatory agencies often have to work with legislation that is out of date or not fit for purpose. This creates unnecessary costs for regulators and regulated parties, and means that regimes may not keep </w:t>
      </w:r>
      <w:r w:rsidR="001F2F47">
        <w:t>pace with</w:t>
      </w:r>
      <w:r w:rsidR="00327B35" w:rsidRPr="00327B35">
        <w:t xml:space="preserve"> public or political expectations.</w:t>
      </w:r>
    </w:p>
    <w:p w:rsidR="008D5CD9" w:rsidRDefault="008D5CD9" w:rsidP="000775ED">
      <w:pPr>
        <w:pStyle w:val="Heading2"/>
      </w:pPr>
      <w:bookmarkStart w:id="54" w:name="_Toc244580365"/>
      <w:bookmarkStart w:id="55" w:name="_Toc244587041"/>
      <w:bookmarkStart w:id="56" w:name="_Toc244857275"/>
      <w:bookmarkStart w:id="57" w:name="_Toc244912540"/>
      <w:bookmarkStart w:id="58" w:name="_Toc244916997"/>
      <w:bookmarkStart w:id="59" w:name="_Toc362368106"/>
      <w:bookmarkStart w:id="60" w:name="_Toc362434947"/>
      <w:bookmarkStart w:id="61" w:name="_Toc362589333"/>
      <w:bookmarkStart w:id="62" w:name="_Toc362619033"/>
      <w:bookmarkStart w:id="63" w:name="_Toc362940597"/>
      <w:bookmarkStart w:id="64" w:name="_Toc363047105"/>
      <w:bookmarkStart w:id="65" w:name="_Toc438117159"/>
      <w:bookmarkStart w:id="66" w:name="_Toc454520707"/>
      <w:r>
        <w:lastRenderedPageBreak/>
        <w:t xml:space="preserve">Options and </w:t>
      </w:r>
      <w:r w:rsidRPr="00082653">
        <w:t>impact analysis</w:t>
      </w:r>
      <w:bookmarkEnd w:id="54"/>
      <w:bookmarkEnd w:id="55"/>
      <w:bookmarkEnd w:id="56"/>
      <w:bookmarkEnd w:id="57"/>
      <w:bookmarkEnd w:id="58"/>
      <w:bookmarkEnd w:id="59"/>
      <w:bookmarkEnd w:id="60"/>
      <w:bookmarkEnd w:id="61"/>
      <w:bookmarkEnd w:id="62"/>
      <w:bookmarkEnd w:id="63"/>
      <w:bookmarkEnd w:id="64"/>
      <w:bookmarkEnd w:id="65"/>
      <w:bookmarkEnd w:id="66"/>
    </w:p>
    <w:p w:rsidR="0057491B" w:rsidRDefault="00A53FA8" w:rsidP="003F4D98">
      <w:pPr>
        <w:pStyle w:val="Numberedpara3level1"/>
      </w:pPr>
      <w:r>
        <w:t>The problems addressed by this initiative</w:t>
      </w:r>
      <w:r w:rsidR="009A7469">
        <w:t xml:space="preserve"> </w:t>
      </w:r>
      <w:r>
        <w:t>were identified from a long-list of potential issues within the local government</w:t>
      </w:r>
      <w:r w:rsidR="00AF707D">
        <w:t xml:space="preserve"> regulatory system</w:t>
      </w:r>
      <w:r w:rsidR="0057491B">
        <w:t>.</w:t>
      </w:r>
      <w:r w:rsidR="00DF1A76">
        <w:t xml:space="preserve"> </w:t>
      </w:r>
      <w:r w:rsidR="009A7469">
        <w:fldChar w:fldCharType="begin"/>
      </w:r>
      <w:r w:rsidR="009A7469">
        <w:instrText xml:space="preserve"> REF _Ref447015556 \h </w:instrText>
      </w:r>
      <w:r w:rsidR="009A7469">
        <w:fldChar w:fldCharType="separate"/>
      </w:r>
      <w:r w:rsidR="00082F71">
        <w:t xml:space="preserve">Table </w:t>
      </w:r>
      <w:r w:rsidR="00082F71">
        <w:rPr>
          <w:noProof/>
        </w:rPr>
        <w:t>1</w:t>
      </w:r>
      <w:r w:rsidR="009A7469">
        <w:fldChar w:fldCharType="end"/>
      </w:r>
      <w:r w:rsidR="00DF1A76">
        <w:t xml:space="preserve"> below shows the problems with more significant policy implications that have been included in this RIS.</w:t>
      </w:r>
    </w:p>
    <w:p w:rsidR="002A2CD0" w:rsidRDefault="00A53FA8" w:rsidP="007611AB">
      <w:pPr>
        <w:pStyle w:val="Numberedpara3level1"/>
        <w:keepLines/>
      </w:pPr>
      <w:r>
        <w:t xml:space="preserve">The issues </w:t>
      </w:r>
      <w:r w:rsidR="00270C27">
        <w:t>identified for inclusion were those that could not be addressed by non-regulatory means, were eligible for inclusion in an omnibus bill and c</w:t>
      </w:r>
      <w:r w:rsidR="0027194C">
        <w:t xml:space="preserve">ontributed to the policy objectives. </w:t>
      </w:r>
      <w:r w:rsidR="008C0B01">
        <w:t xml:space="preserve">The Department has included </w:t>
      </w:r>
      <w:r w:rsidR="004A1DE8">
        <w:t>two</w:t>
      </w:r>
      <w:r w:rsidR="00F8316F">
        <w:t xml:space="preserve"> </w:t>
      </w:r>
      <w:r w:rsidR="0058303A">
        <w:t>problems</w:t>
      </w:r>
      <w:r w:rsidR="003B316E">
        <w:t xml:space="preserve"> in this </w:t>
      </w:r>
      <w:r w:rsidR="00780146">
        <w:t xml:space="preserve">RIS </w:t>
      </w:r>
      <w:r w:rsidR="00027631">
        <w:t xml:space="preserve">of the </w:t>
      </w:r>
      <w:r w:rsidR="004A1DE8">
        <w:t>twelve</w:t>
      </w:r>
      <w:r w:rsidR="0058303A">
        <w:t xml:space="preserve"> that will b</w:t>
      </w:r>
      <w:r w:rsidR="0027194C">
        <w:t>e addressed by this initiative</w:t>
      </w:r>
      <w:r w:rsidR="00547344">
        <w:t xml:space="preserve"> and </w:t>
      </w:r>
      <w:r w:rsidR="008A444F">
        <w:t>would be</w:t>
      </w:r>
      <w:r w:rsidR="00547344">
        <w:t xml:space="preserve"> included in the </w:t>
      </w:r>
      <w:r w:rsidR="008A444F">
        <w:t xml:space="preserve">proposed </w:t>
      </w:r>
      <w:r w:rsidR="00547344">
        <w:t>bill</w:t>
      </w:r>
      <w:r w:rsidR="0027194C">
        <w:t>. P</w:t>
      </w:r>
      <w:r w:rsidR="00955AD9">
        <w:t>roposals included</w:t>
      </w:r>
      <w:r w:rsidR="002A50FA">
        <w:t xml:space="preserve"> </w:t>
      </w:r>
      <w:r w:rsidR="00E5136B">
        <w:t>in this analysis are</w:t>
      </w:r>
      <w:r w:rsidR="00AF3713">
        <w:t xml:space="preserve"> those</w:t>
      </w:r>
      <w:r w:rsidR="00E5136B">
        <w:t xml:space="preserve"> likely to have</w:t>
      </w:r>
      <w:r w:rsidR="002A50FA">
        <w:t xml:space="preserve"> </w:t>
      </w:r>
      <w:r w:rsidR="00AF3713">
        <w:t xml:space="preserve">a </w:t>
      </w:r>
      <w:r w:rsidR="002A50FA">
        <w:t>more than minor impact.</w:t>
      </w:r>
      <w:r w:rsidR="0049581F">
        <w:t xml:space="preserve"> A complete list of all twelve amendments is contained in Appendix A of the RIS.</w:t>
      </w:r>
    </w:p>
    <w:p w:rsidR="003B3001" w:rsidRDefault="003B3001" w:rsidP="00864007">
      <w:pPr>
        <w:pStyle w:val="Caption"/>
        <w:keepNext/>
      </w:pPr>
      <w:bookmarkStart w:id="67" w:name="_Ref447015556"/>
      <w:r>
        <w:t xml:space="preserve">Table </w:t>
      </w:r>
      <w:r>
        <w:fldChar w:fldCharType="begin"/>
      </w:r>
      <w:r>
        <w:instrText xml:space="preserve"> SEQ Table \* ARABIC </w:instrText>
      </w:r>
      <w:r>
        <w:fldChar w:fldCharType="separate"/>
      </w:r>
      <w:r w:rsidR="00082F71">
        <w:rPr>
          <w:noProof/>
        </w:rPr>
        <w:t>1</w:t>
      </w:r>
      <w:r>
        <w:fldChar w:fldCharType="end"/>
      </w:r>
      <w:bookmarkEnd w:id="67"/>
      <w:r>
        <w:t>: Problems addressed in this regulatory impact statement</w:t>
      </w:r>
    </w:p>
    <w:tbl>
      <w:tblPr>
        <w:tblStyle w:val="DIATable"/>
        <w:tblW w:w="0" w:type="auto"/>
        <w:tblLook w:val="04A0" w:firstRow="1" w:lastRow="0" w:firstColumn="1" w:lastColumn="0" w:noHBand="0" w:noVBand="1"/>
      </w:tblPr>
      <w:tblGrid>
        <w:gridCol w:w="5133"/>
        <w:gridCol w:w="3351"/>
        <w:gridCol w:w="695"/>
      </w:tblGrid>
      <w:tr w:rsidR="003B3001" w:rsidRPr="003F72B5" w:rsidTr="005B461F">
        <w:trPr>
          <w:cnfStyle w:val="100000000000" w:firstRow="1" w:lastRow="0" w:firstColumn="0" w:lastColumn="0" w:oddVBand="0" w:evenVBand="0" w:oddHBand="0" w:evenHBand="0" w:firstRowFirstColumn="0" w:firstRowLastColumn="0" w:lastRowFirstColumn="0" w:lastRowLastColumn="0"/>
          <w:trHeight w:val="53"/>
        </w:trPr>
        <w:tc>
          <w:tcPr>
            <w:tcW w:w="0" w:type="auto"/>
            <w:hideMark/>
          </w:tcPr>
          <w:p w:rsidR="003B3001" w:rsidRPr="003F72B5" w:rsidRDefault="003B3001">
            <w:pPr>
              <w:pStyle w:val="TableText"/>
              <w:keepLines/>
            </w:pPr>
            <w:r w:rsidRPr="003F72B5">
              <w:t>Title</w:t>
            </w:r>
          </w:p>
        </w:tc>
        <w:tc>
          <w:tcPr>
            <w:tcW w:w="0" w:type="auto"/>
            <w:hideMark/>
          </w:tcPr>
          <w:p w:rsidR="003B3001" w:rsidRPr="003F72B5" w:rsidRDefault="003B3001">
            <w:pPr>
              <w:pStyle w:val="TableText"/>
              <w:keepLines/>
            </w:pPr>
            <w:r w:rsidRPr="003F72B5">
              <w:t>Legislation affected</w:t>
            </w:r>
          </w:p>
        </w:tc>
        <w:tc>
          <w:tcPr>
            <w:tcW w:w="0" w:type="auto"/>
          </w:tcPr>
          <w:p w:rsidR="003B3001" w:rsidRPr="003F72B5" w:rsidRDefault="003B3001">
            <w:pPr>
              <w:pStyle w:val="TableText"/>
              <w:keepLines/>
            </w:pPr>
            <w:r>
              <w:t>Page</w:t>
            </w:r>
          </w:p>
        </w:tc>
      </w:tr>
      <w:tr w:rsidR="003B3001" w:rsidRPr="003F72B5" w:rsidTr="005B461F">
        <w:trPr>
          <w:trHeight w:val="123"/>
        </w:trPr>
        <w:tc>
          <w:tcPr>
            <w:tcW w:w="0" w:type="auto"/>
            <w:hideMark/>
          </w:tcPr>
          <w:p w:rsidR="003B3001" w:rsidRPr="004F5A48" w:rsidRDefault="00282124" w:rsidP="00282124">
            <w:pPr>
              <w:pStyle w:val="TableText"/>
              <w:keepNext/>
              <w:keepLines/>
            </w:pPr>
            <w:r w:rsidRPr="00282124">
              <w:t>1) Reduce local government filing requirements and improve document accessibility</w:t>
            </w:r>
          </w:p>
        </w:tc>
        <w:tc>
          <w:tcPr>
            <w:tcW w:w="0" w:type="auto"/>
            <w:hideMark/>
          </w:tcPr>
          <w:p w:rsidR="003B3001" w:rsidRPr="003F72B5" w:rsidRDefault="003B3001" w:rsidP="00282124">
            <w:pPr>
              <w:pStyle w:val="TableText"/>
              <w:keepNext/>
              <w:keepLines/>
            </w:pPr>
            <w:r w:rsidRPr="003F72B5">
              <w:t>Local Government Act 2002, Dog Control Act 1996</w:t>
            </w:r>
          </w:p>
        </w:tc>
        <w:tc>
          <w:tcPr>
            <w:tcW w:w="0" w:type="auto"/>
          </w:tcPr>
          <w:p w:rsidR="003B3001" w:rsidRPr="003F72B5" w:rsidRDefault="003B3001">
            <w:pPr>
              <w:pStyle w:val="TableText"/>
              <w:keepNext/>
              <w:keepLines/>
            </w:pPr>
            <w:r>
              <w:fldChar w:fldCharType="begin"/>
            </w:r>
            <w:r>
              <w:instrText xml:space="preserve"> PAGEREF _Ref438116487 \h </w:instrText>
            </w:r>
            <w:r>
              <w:fldChar w:fldCharType="separate"/>
            </w:r>
            <w:r w:rsidR="00082F71">
              <w:rPr>
                <w:noProof/>
              </w:rPr>
              <w:t>6</w:t>
            </w:r>
            <w:r>
              <w:fldChar w:fldCharType="end"/>
            </w:r>
          </w:p>
        </w:tc>
      </w:tr>
      <w:tr w:rsidR="003B3001" w:rsidRPr="003F72B5" w:rsidTr="005B461F">
        <w:trPr>
          <w:trHeight w:val="610"/>
        </w:trPr>
        <w:tc>
          <w:tcPr>
            <w:tcW w:w="0" w:type="auto"/>
          </w:tcPr>
          <w:p w:rsidR="00282124" w:rsidRPr="004F5A48" w:rsidRDefault="00282124" w:rsidP="00D75D71">
            <w:pPr>
              <w:pStyle w:val="TableText"/>
            </w:pPr>
            <w:r w:rsidRPr="00282124">
              <w:t>2) Clarify the timing of taking office by a successful candidate following a by-election</w:t>
            </w:r>
          </w:p>
        </w:tc>
        <w:tc>
          <w:tcPr>
            <w:tcW w:w="0" w:type="auto"/>
          </w:tcPr>
          <w:p w:rsidR="003B3001" w:rsidRPr="003F72B5" w:rsidRDefault="003B3001" w:rsidP="00282124">
            <w:pPr>
              <w:pStyle w:val="TableText"/>
              <w:keepNext/>
              <w:keepLines/>
            </w:pPr>
            <w:r w:rsidRPr="003F72B5">
              <w:t>Local Electoral Act 2001</w:t>
            </w:r>
          </w:p>
        </w:tc>
        <w:tc>
          <w:tcPr>
            <w:tcW w:w="0" w:type="auto"/>
          </w:tcPr>
          <w:p w:rsidR="003B3001" w:rsidRPr="003F72B5" w:rsidRDefault="005B461F">
            <w:pPr>
              <w:pStyle w:val="TableText"/>
              <w:keepNext/>
              <w:keepLines/>
            </w:pPr>
            <w:r>
              <w:t>9</w:t>
            </w:r>
          </w:p>
        </w:tc>
      </w:tr>
    </w:tbl>
    <w:p w:rsidR="006E39ED" w:rsidRDefault="00E5136B" w:rsidP="003F4D98">
      <w:pPr>
        <w:pStyle w:val="Numberedpara3level1"/>
      </w:pPr>
      <w:r>
        <w:t xml:space="preserve">Options for each of the problems addressed in this analysis have been assessed for their contribution to </w:t>
      </w:r>
      <w:r w:rsidRPr="003F4D98">
        <w:t>achieving</w:t>
      </w:r>
      <w:r>
        <w:t xml:space="preserve"> the policy objectives.</w:t>
      </w:r>
      <w:r w:rsidR="0027194C">
        <w:t xml:space="preserve"> Preference was given to options that </w:t>
      </w:r>
      <w:r w:rsidR="00317BFD">
        <w:t>the maximised the policy objectives and minimised potential costs.</w:t>
      </w:r>
    </w:p>
    <w:p w:rsidR="00D64654" w:rsidRDefault="00D64654" w:rsidP="00D64654">
      <w:bookmarkStart w:id="68" w:name="_Toc244580366"/>
      <w:bookmarkStart w:id="69" w:name="_Toc244587042"/>
      <w:bookmarkStart w:id="70" w:name="_Toc244857276"/>
      <w:bookmarkStart w:id="71" w:name="_Toc244912541"/>
      <w:bookmarkStart w:id="72" w:name="_Toc244916998"/>
      <w:bookmarkStart w:id="73" w:name="_Toc362368107"/>
      <w:bookmarkStart w:id="74" w:name="_Toc362434948"/>
      <w:bookmarkStart w:id="75" w:name="_Toc362589334"/>
      <w:bookmarkStart w:id="76" w:name="_Toc362619034"/>
      <w:bookmarkStart w:id="77" w:name="_Toc362940598"/>
      <w:bookmarkStart w:id="78" w:name="_Toc363047106"/>
      <w:r>
        <w:br w:type="page"/>
      </w:r>
    </w:p>
    <w:p w:rsidR="00B74168" w:rsidRPr="00282124" w:rsidRDefault="000133AD" w:rsidP="00282124">
      <w:pPr>
        <w:pStyle w:val="Heading3"/>
      </w:pPr>
      <w:bookmarkStart w:id="79" w:name="_Ref438116487"/>
      <w:bookmarkStart w:id="80" w:name="_Toc438117160"/>
      <w:bookmarkStart w:id="81" w:name="_Toc454520708"/>
      <w:r w:rsidRPr="00282124">
        <w:lastRenderedPageBreak/>
        <w:t xml:space="preserve">1) </w:t>
      </w:r>
      <w:r w:rsidR="00B74168" w:rsidRPr="00282124">
        <w:t>Reduce local government filing requirements and improve document accessibility</w:t>
      </w:r>
      <w:bookmarkEnd w:id="79"/>
      <w:bookmarkEnd w:id="80"/>
      <w:bookmarkEnd w:id="81"/>
    </w:p>
    <w:p w:rsidR="0084727D" w:rsidRDefault="0084727D" w:rsidP="002B4688">
      <w:pPr>
        <w:pStyle w:val="Heading4"/>
      </w:pPr>
      <w:r w:rsidRPr="005E10AB">
        <w:t>Status quo and problem</w:t>
      </w:r>
    </w:p>
    <w:p w:rsidR="00A9285C" w:rsidRPr="008A444F" w:rsidRDefault="00A9285C" w:rsidP="003F4D98">
      <w:pPr>
        <w:pStyle w:val="Numberedpara3level1"/>
      </w:pPr>
      <w:r w:rsidRPr="008A444F">
        <w:t>Statutory requirements</w:t>
      </w:r>
      <w:r w:rsidR="00027631" w:rsidRPr="008A444F">
        <w:t xml:space="preserve"> for local government</w:t>
      </w:r>
      <w:r w:rsidRPr="008A444F">
        <w:t xml:space="preserve"> to file documents increase the administrative and compliance </w:t>
      </w:r>
      <w:proofErr w:type="gramStart"/>
      <w:r w:rsidRPr="008A444F">
        <w:t>burdens,</w:t>
      </w:r>
      <w:proofErr w:type="gramEnd"/>
      <w:r w:rsidRPr="008A444F">
        <w:t xml:space="preserve"> and procedural risk for councils. </w:t>
      </w:r>
      <w:r w:rsidR="00675FA3" w:rsidRPr="008A444F">
        <w:t xml:space="preserve">The risk arises from unnecessary compliance requirements that if not followed </w:t>
      </w:r>
      <w:proofErr w:type="gramStart"/>
      <w:r w:rsidR="00675FA3" w:rsidRPr="008A444F">
        <w:t>may</w:t>
      </w:r>
      <w:proofErr w:type="gramEnd"/>
      <w:r w:rsidR="00675FA3" w:rsidRPr="008A444F">
        <w:t xml:space="preserve"> give rise to a claim of undue process</w:t>
      </w:r>
      <w:r w:rsidR="008C7DFF" w:rsidRPr="008A444F">
        <w:t xml:space="preserve"> and </w:t>
      </w:r>
      <w:r w:rsidR="008A444F">
        <w:t>question the</w:t>
      </w:r>
      <w:r w:rsidR="008C7DFF" w:rsidRPr="008A444F">
        <w:t xml:space="preserve"> validity of council decision making processes</w:t>
      </w:r>
      <w:r w:rsidR="00675FA3" w:rsidRPr="008A444F">
        <w:t xml:space="preserve">. </w:t>
      </w:r>
      <w:r w:rsidRPr="008A444F">
        <w:t>Where filed documents are of low value or duplicate existing information the benefits of the additional reporting may not outweigh the costs.</w:t>
      </w:r>
    </w:p>
    <w:p w:rsidR="007A78A7" w:rsidRDefault="00696B64" w:rsidP="003F4D98">
      <w:pPr>
        <w:pStyle w:val="Numberedpara3level1"/>
      </w:pPr>
      <w:r>
        <w:t>Council</w:t>
      </w:r>
      <w:r w:rsidR="009F6D83">
        <w:t xml:space="preserve">s are required to file a significant number of </w:t>
      </w:r>
      <w:r w:rsidR="00D31448">
        <w:t>reporting documents with agencies</w:t>
      </w:r>
      <w:r w:rsidR="002C39FE">
        <w:t>. For the most part these are financial, performance and compliance reporting.</w:t>
      </w:r>
      <w:r w:rsidR="00A9285C">
        <w:t xml:space="preserve"> Many of these documents include high value information to infor</w:t>
      </w:r>
      <w:r w:rsidR="00A50816">
        <w:t xml:space="preserve">m audit and decision making processes. </w:t>
      </w:r>
      <w:r w:rsidR="00C41C88">
        <w:t>This information assists internal and external auditors (for example the Office of the Auditor General).</w:t>
      </w:r>
      <w:r w:rsidR="0026536B">
        <w:t xml:space="preserve"> In the format that they are filed, these documents are considered to be of low value to the agencies that they are provided to.</w:t>
      </w:r>
    </w:p>
    <w:p w:rsidR="009F6D83" w:rsidRDefault="00DC3663" w:rsidP="003F4D98">
      <w:pPr>
        <w:pStyle w:val="Numberedpara3level1"/>
      </w:pPr>
      <w:r>
        <w:t xml:space="preserve">Where the purpose of filing a document is to inform the </w:t>
      </w:r>
      <w:r w:rsidR="0034405F">
        <w:t>agency of a decision or a matter for consideration or intervention then the act of notification is of high value. But where the purpose of filing is to provide access to information then priority should be given to the accessibility of information rather than the act of filing.</w:t>
      </w:r>
      <w:r w:rsidR="007E0380">
        <w:t xml:space="preserve"> Requiring documents to be filed</w:t>
      </w:r>
      <w:r w:rsidR="0026536B">
        <w:t xml:space="preserve"> in hardcopy</w:t>
      </w:r>
      <w:r w:rsidR="007E0380">
        <w:t xml:space="preserve"> unnecessarily increases administration and compliance costs</w:t>
      </w:r>
      <w:r w:rsidR="006C4C15">
        <w:t xml:space="preserve"> without improving accessibility</w:t>
      </w:r>
      <w:r w:rsidR="007E0380">
        <w:t>.</w:t>
      </w:r>
    </w:p>
    <w:p w:rsidR="00C302AE" w:rsidRDefault="00C302AE" w:rsidP="003F4D98">
      <w:pPr>
        <w:pStyle w:val="Numberedpara3level1"/>
      </w:pPr>
      <w:r>
        <w:t xml:space="preserve">The Department identified </w:t>
      </w:r>
      <w:r w:rsidR="007A1496">
        <w:t>four documents that</w:t>
      </w:r>
      <w:r w:rsidR="00631B87">
        <w:t xml:space="preserve"> are</w:t>
      </w:r>
      <w:r w:rsidR="007A1496">
        <w:t xml:space="preserve"> filed </w:t>
      </w:r>
      <w:r w:rsidR="0026536B">
        <w:t xml:space="preserve">in hardcopy </w:t>
      </w:r>
      <w:r w:rsidR="007A1496">
        <w:t xml:space="preserve">with agencies </w:t>
      </w:r>
      <w:r w:rsidR="007E0380">
        <w:t>where the</w:t>
      </w:r>
      <w:r w:rsidR="00631B87">
        <w:t xml:space="preserve"> primary</w:t>
      </w:r>
      <w:r w:rsidR="007E0380">
        <w:t xml:space="preserve"> purpose is for the public record</w:t>
      </w:r>
      <w:r w:rsidR="00631B87">
        <w:t xml:space="preserve"> and access to information</w:t>
      </w:r>
      <w:r w:rsidR="007E0380">
        <w:t xml:space="preserve"> and have low value as notifications</w:t>
      </w:r>
      <w:r w:rsidR="007A1496">
        <w:t>. They are:</w:t>
      </w:r>
    </w:p>
    <w:p w:rsidR="00CF0788" w:rsidRDefault="007A1496" w:rsidP="007A1496">
      <w:pPr>
        <w:pStyle w:val="Bullet"/>
      </w:pPr>
      <w:r w:rsidRPr="007A1496">
        <w:t>Council Long-Term</w:t>
      </w:r>
      <w:r w:rsidR="00CF0788">
        <w:t xml:space="preserve"> Plan</w:t>
      </w:r>
      <w:r w:rsidR="00027631">
        <w:t xml:space="preserve"> (triennial filing)</w:t>
      </w:r>
      <w:r w:rsidR="00CF0788">
        <w:t xml:space="preserve"> – s93(10)(b)</w:t>
      </w:r>
      <w:r w:rsidR="00A456D8">
        <w:t xml:space="preserve"> Local Government Act 2002</w:t>
      </w:r>
    </w:p>
    <w:p w:rsidR="007A1496" w:rsidRPr="007A1496" w:rsidRDefault="00CF0788" w:rsidP="00CF0788">
      <w:pPr>
        <w:pStyle w:val="Bulletlevel2"/>
      </w:pPr>
      <w:r>
        <w:t xml:space="preserve">Filed with: </w:t>
      </w:r>
      <w:r w:rsidR="007A1496" w:rsidRPr="007A1496">
        <w:t>Secretary</w:t>
      </w:r>
      <w:r w:rsidR="00547344">
        <w:t xml:space="preserve"> for</w:t>
      </w:r>
      <w:r w:rsidR="000F6C79">
        <w:t xml:space="preserve"> Local Government</w:t>
      </w:r>
      <w:r w:rsidR="007A1496" w:rsidRPr="007A1496">
        <w:t>, Auditor-General and the Parliamentary Library</w:t>
      </w:r>
    </w:p>
    <w:p w:rsidR="00CF0788" w:rsidRDefault="007A1496" w:rsidP="007A1496">
      <w:pPr>
        <w:pStyle w:val="Bullet"/>
      </w:pPr>
      <w:r w:rsidRPr="007A1496">
        <w:t>Annual Plan</w:t>
      </w:r>
      <w:r w:rsidR="00027631">
        <w:t xml:space="preserve"> (annual filing)</w:t>
      </w:r>
      <w:r w:rsidRPr="007A1496">
        <w:t xml:space="preserve"> – s95</w:t>
      </w:r>
      <w:r w:rsidR="00CF0788">
        <w:t>(7)(b)</w:t>
      </w:r>
      <w:r w:rsidR="002818DD">
        <w:t xml:space="preserve"> Local Government Act 2002</w:t>
      </w:r>
    </w:p>
    <w:p w:rsidR="007A1496" w:rsidRPr="007A1496" w:rsidRDefault="00CF0788" w:rsidP="00CF0788">
      <w:pPr>
        <w:pStyle w:val="Bulletlevel2"/>
      </w:pPr>
      <w:r>
        <w:t xml:space="preserve">Filed with: </w:t>
      </w:r>
      <w:r w:rsidR="000F6C79" w:rsidRPr="007A1496">
        <w:t>Secretary</w:t>
      </w:r>
      <w:r w:rsidR="00547344">
        <w:t xml:space="preserve"> for</w:t>
      </w:r>
      <w:r w:rsidR="000F6C79">
        <w:t xml:space="preserve"> Local Government</w:t>
      </w:r>
      <w:r w:rsidR="007A1496" w:rsidRPr="007A1496">
        <w:t>, Auditor-General and the Parliamentary Library</w:t>
      </w:r>
    </w:p>
    <w:p w:rsidR="00CF0788" w:rsidRDefault="007A1496" w:rsidP="007A1496">
      <w:pPr>
        <w:pStyle w:val="Bullet"/>
      </w:pPr>
      <w:r w:rsidRPr="007A1496">
        <w:t>Annu</w:t>
      </w:r>
      <w:r w:rsidR="00CF0788">
        <w:t xml:space="preserve">al Report and Summary </w:t>
      </w:r>
      <w:r w:rsidR="0006316B">
        <w:t xml:space="preserve">(annual filing) </w:t>
      </w:r>
      <w:r w:rsidR="00CF0788">
        <w:t>– s98(6)</w:t>
      </w:r>
      <w:r w:rsidR="002818DD">
        <w:t xml:space="preserve"> Local Government Act 2002</w:t>
      </w:r>
    </w:p>
    <w:p w:rsidR="007A1496" w:rsidRDefault="00CF0788" w:rsidP="00CF0788">
      <w:pPr>
        <w:pStyle w:val="Bulletlevel2"/>
      </w:pPr>
      <w:r>
        <w:t xml:space="preserve">Filed with: </w:t>
      </w:r>
      <w:r w:rsidR="000F6C79" w:rsidRPr="007A1496">
        <w:t>Secretary</w:t>
      </w:r>
      <w:r w:rsidR="00547344">
        <w:t xml:space="preserve"> for</w:t>
      </w:r>
      <w:r w:rsidR="000F6C79">
        <w:t xml:space="preserve"> Local Government</w:t>
      </w:r>
      <w:r w:rsidR="007A1496" w:rsidRPr="007A1496">
        <w:t>, Auditor-General and the Parliamentary Library</w:t>
      </w:r>
    </w:p>
    <w:p w:rsidR="0034405F" w:rsidRDefault="00FC1BD5" w:rsidP="0034405F">
      <w:pPr>
        <w:pStyle w:val="Bullet"/>
      </w:pPr>
      <w:r>
        <w:t>Rating resolutions</w:t>
      </w:r>
      <w:r w:rsidR="0006316B">
        <w:t xml:space="preserve"> (as made, generally </w:t>
      </w:r>
      <w:r w:rsidR="00B05C60">
        <w:t>annual</w:t>
      </w:r>
      <w:r w:rsidR="0006316B">
        <w:t xml:space="preserve"> filing</w:t>
      </w:r>
      <w:r w:rsidR="000F6C79">
        <w:t xml:space="preserve"> – s23(5) Local Government (Rating) Act 2002</w:t>
      </w:r>
    </w:p>
    <w:p w:rsidR="000F6C79" w:rsidRPr="007A1496" w:rsidRDefault="000F6C79" w:rsidP="000F6C79">
      <w:pPr>
        <w:pStyle w:val="Bulletlevel2"/>
      </w:pPr>
      <w:r>
        <w:t xml:space="preserve">Filed with: </w:t>
      </w:r>
      <w:r w:rsidRPr="007A1496">
        <w:t>Secretary</w:t>
      </w:r>
      <w:r w:rsidR="00547344">
        <w:t xml:space="preserve"> for</w:t>
      </w:r>
      <w:r>
        <w:t xml:space="preserve"> Local Government</w:t>
      </w:r>
    </w:p>
    <w:p w:rsidR="00A456D8" w:rsidRDefault="00A456D8" w:rsidP="00A456D8">
      <w:pPr>
        <w:pStyle w:val="Bullet"/>
      </w:pPr>
      <w:r>
        <w:t>Dog control policy and practice report</w:t>
      </w:r>
      <w:r w:rsidR="0006316B">
        <w:t xml:space="preserve"> (annual)</w:t>
      </w:r>
      <w:r w:rsidR="002818DD">
        <w:t xml:space="preserve">, </w:t>
      </w:r>
      <w:r w:rsidR="00145F1B">
        <w:t>s</w:t>
      </w:r>
      <w:r w:rsidR="002818DD">
        <w:t>10A Dog Control Act 1996</w:t>
      </w:r>
    </w:p>
    <w:p w:rsidR="00A456D8" w:rsidRPr="007A1496" w:rsidRDefault="00A456D8" w:rsidP="00A456D8">
      <w:pPr>
        <w:pStyle w:val="Bulletlevel2"/>
      </w:pPr>
      <w:r>
        <w:t xml:space="preserve">Filed with: </w:t>
      </w:r>
      <w:r w:rsidR="0086161F" w:rsidRPr="007A1496">
        <w:t>Secretary</w:t>
      </w:r>
      <w:r w:rsidR="00547344">
        <w:t xml:space="preserve"> for</w:t>
      </w:r>
      <w:r w:rsidR="0086161F">
        <w:t xml:space="preserve"> Local Government</w:t>
      </w:r>
    </w:p>
    <w:p w:rsidR="00C92541" w:rsidRDefault="00C92541">
      <w:pPr>
        <w:spacing w:after="0" w:line="240" w:lineRule="auto"/>
        <w:rPr>
          <w:b/>
          <w:bCs/>
          <w:color w:val="335087"/>
          <w:sz w:val="20"/>
        </w:rPr>
      </w:pPr>
      <w:r>
        <w:br w:type="page"/>
      </w:r>
    </w:p>
    <w:p w:rsidR="0080704D" w:rsidRDefault="0080704D" w:rsidP="002B4688">
      <w:pPr>
        <w:pStyle w:val="Heading4"/>
      </w:pPr>
      <w:r>
        <w:lastRenderedPageBreak/>
        <w:t>Options</w:t>
      </w:r>
      <w:r w:rsidR="005765BE">
        <w:t xml:space="preserve"> and analysis</w:t>
      </w:r>
    </w:p>
    <w:p w:rsidR="008B60F7" w:rsidRPr="006D5C8F" w:rsidRDefault="008B60F7" w:rsidP="008B60F7">
      <w:pPr>
        <w:pStyle w:val="Heading5"/>
      </w:pPr>
      <w:r w:rsidRPr="006D5C8F">
        <w:t>Policy objective</w:t>
      </w:r>
      <w:r w:rsidR="00337A66">
        <w:t>s</w:t>
      </w:r>
      <w:r w:rsidRPr="006D5C8F">
        <w:t xml:space="preserve"> and outcomes</w:t>
      </w:r>
    </w:p>
    <w:p w:rsidR="003A46C5" w:rsidRPr="00E914BA" w:rsidRDefault="003A46C5" w:rsidP="003A46C5">
      <w:pPr>
        <w:pStyle w:val="Numberedpara3level1"/>
      </w:pPr>
      <w:r>
        <w:t>(</w:t>
      </w:r>
      <w:proofErr w:type="spellStart"/>
      <w:r>
        <w:t>Obj</w:t>
      </w:r>
      <w:proofErr w:type="spellEnd"/>
      <w:r>
        <w:t xml:space="preserve"> 1) Statutory provisions are clarified</w:t>
      </w:r>
      <w:r w:rsidRPr="00E914BA">
        <w:t xml:space="preserve"> and update</w:t>
      </w:r>
      <w:r>
        <w:t>d to</w:t>
      </w:r>
      <w:r w:rsidRPr="00E914BA">
        <w:t xml:space="preserve"> give effect to the intended purpose of the Act and its provisions and keep the regulatory system relevant</w:t>
      </w:r>
      <w:r>
        <w:t>:</w:t>
      </w:r>
    </w:p>
    <w:p w:rsidR="003A46C5" w:rsidRDefault="003A46C5" w:rsidP="003A46C5">
      <w:pPr>
        <w:pStyle w:val="Numberedpara3level211"/>
      </w:pPr>
      <w:r>
        <w:t>Documents prepared under the Local Government Act 2002 that are made available for public information should be in accessible formats and locations.</w:t>
      </w:r>
    </w:p>
    <w:p w:rsidR="00861E5F" w:rsidRDefault="00AE7B19" w:rsidP="00864007">
      <w:pPr>
        <w:pStyle w:val="Numberedpara3level1"/>
        <w:keepNext/>
      </w:pPr>
      <w:r>
        <w:t>(</w:t>
      </w:r>
      <w:proofErr w:type="spellStart"/>
      <w:r>
        <w:t>Obj</w:t>
      </w:r>
      <w:proofErr w:type="spellEnd"/>
      <w:r>
        <w:t xml:space="preserve"> 3) </w:t>
      </w:r>
      <w:r w:rsidR="00861E5F">
        <w:t>U</w:t>
      </w:r>
      <w:r w:rsidR="00861E5F" w:rsidRPr="00861E5F">
        <w:t>nnecessary compliance costs and costs of doing business</w:t>
      </w:r>
      <w:r w:rsidR="007D5F6A">
        <w:t xml:space="preserve"> are removed:</w:t>
      </w:r>
    </w:p>
    <w:p w:rsidR="00015C88" w:rsidRPr="00A622C0" w:rsidRDefault="00015C88" w:rsidP="00A72DF3">
      <w:pPr>
        <w:pStyle w:val="Numberedpara3level211"/>
      </w:pPr>
      <w:r>
        <w:t>Filin</w:t>
      </w:r>
      <w:r w:rsidR="00D9463C">
        <w:t>g requirements should be reduce or removed</w:t>
      </w:r>
      <w:r>
        <w:t xml:space="preserve"> where the information provided has low value for the purpose of notification.</w:t>
      </w:r>
    </w:p>
    <w:p w:rsidR="009671CF" w:rsidRDefault="008F55FA" w:rsidP="00357256">
      <w:pPr>
        <w:pStyle w:val="Numberedpara3level1"/>
      </w:pPr>
      <w:r>
        <w:t xml:space="preserve">The Department has considered three options with </w:t>
      </w:r>
      <w:r w:rsidR="00AD18E1">
        <w:t>information</w:t>
      </w:r>
      <w:r>
        <w:t xml:space="preserve"> from the </w:t>
      </w:r>
      <w:r w:rsidR="00BB1A5E">
        <w:t xml:space="preserve">Office of the </w:t>
      </w:r>
      <w:r>
        <w:t>Auditor General and Parliamentary Library. The outcomes sought</w:t>
      </w:r>
      <w:r w:rsidR="001E144C">
        <w:t xml:space="preserve"> from addressing this problem are</w:t>
      </w:r>
      <w:r>
        <w:t xml:space="preserve"> to both reduce compliance costs and improve </w:t>
      </w:r>
      <w:r w:rsidR="00837AE9">
        <w:t>accessibility</w:t>
      </w:r>
      <w:r>
        <w:t>.</w:t>
      </w:r>
      <w:r w:rsidR="00837AE9">
        <w:t xml:space="preserve"> </w:t>
      </w:r>
    </w:p>
    <w:p w:rsidR="00837AE9" w:rsidRDefault="00837AE9" w:rsidP="00357256">
      <w:pPr>
        <w:pStyle w:val="Numberedpara3level1"/>
      </w:pPr>
      <w:r>
        <w:t>By improving accessibility the Department is supporting</w:t>
      </w:r>
      <w:r w:rsidR="00BB1A5E">
        <w:t xml:space="preserve"> effective decision making and </w:t>
      </w:r>
      <w:r>
        <w:t>local accountability</w:t>
      </w:r>
      <w:r w:rsidR="00BB1A5E">
        <w:t xml:space="preserve"> through transparent local government</w:t>
      </w:r>
      <w:r>
        <w:t>.</w:t>
      </w:r>
      <w:r w:rsidR="009670F7">
        <w:t xml:space="preserve"> It will enable people with disabilities to engage more fully with local civic processes. Accessibility requirements allow greater access to the </w:t>
      </w:r>
      <w:r w:rsidR="003D5003">
        <w:t>information within a file for a diverse range of hearing, movement, sight and cognitive abilities. It also improves the reuse of the information.</w:t>
      </w:r>
      <w:r w:rsidR="001F04CD">
        <w:t xml:space="preserve"> Accessibility standards are likely to change and improve over time as the technology that it supports changes. Flexibility would be required to allow for </w:t>
      </w:r>
      <w:r w:rsidR="00D7120A">
        <w:t>those changes. Enabling the Secretary for Local Government to identify appropriate accessibility standards that must be complied with will provide this flexibility.</w:t>
      </w:r>
    </w:p>
    <w:p w:rsidR="00BC0744" w:rsidRPr="00FC015D" w:rsidRDefault="00BC0744" w:rsidP="00BC0744">
      <w:pPr>
        <w:pStyle w:val="Heading5"/>
      </w:pPr>
      <w:r>
        <w:t>Options table</w:t>
      </w:r>
    </w:p>
    <w:tbl>
      <w:tblPr>
        <w:tblStyle w:val="DIATable"/>
        <w:tblW w:w="0" w:type="auto"/>
        <w:tblLook w:val="04A0" w:firstRow="1" w:lastRow="0" w:firstColumn="1" w:lastColumn="0" w:noHBand="0" w:noVBand="1"/>
      </w:tblPr>
      <w:tblGrid>
        <w:gridCol w:w="3185"/>
        <w:gridCol w:w="3336"/>
        <w:gridCol w:w="2658"/>
      </w:tblGrid>
      <w:tr w:rsidR="003D35B7" w:rsidTr="00F376A1">
        <w:trPr>
          <w:cnfStyle w:val="100000000000" w:firstRow="1" w:lastRow="0" w:firstColumn="0" w:lastColumn="0" w:oddVBand="0" w:evenVBand="0" w:oddHBand="0" w:evenHBand="0" w:firstRowFirstColumn="0" w:firstRowLastColumn="0" w:lastRowFirstColumn="0" w:lastRowLastColumn="0"/>
          <w:tblHeader/>
        </w:trPr>
        <w:tc>
          <w:tcPr>
            <w:tcW w:w="3185" w:type="dxa"/>
          </w:tcPr>
          <w:p w:rsidR="003D35B7" w:rsidRDefault="003D35B7" w:rsidP="00320125">
            <w:pPr>
              <w:pStyle w:val="TableText"/>
            </w:pPr>
            <w:r>
              <w:t>Option</w:t>
            </w:r>
          </w:p>
        </w:tc>
        <w:tc>
          <w:tcPr>
            <w:tcW w:w="3336" w:type="dxa"/>
          </w:tcPr>
          <w:p w:rsidR="003D35B7" w:rsidRDefault="003D35B7" w:rsidP="00320125">
            <w:pPr>
              <w:pStyle w:val="TableText"/>
            </w:pPr>
            <w:r>
              <w:t>Benefits/support for outcomes</w:t>
            </w:r>
          </w:p>
        </w:tc>
        <w:tc>
          <w:tcPr>
            <w:tcW w:w="2658" w:type="dxa"/>
          </w:tcPr>
          <w:p w:rsidR="003D35B7" w:rsidRDefault="003D35B7" w:rsidP="00320125">
            <w:pPr>
              <w:pStyle w:val="TableText"/>
            </w:pPr>
            <w:r>
              <w:t>Costs and risks</w:t>
            </w:r>
          </w:p>
        </w:tc>
      </w:tr>
      <w:tr w:rsidR="0080704D" w:rsidTr="001068CD">
        <w:tc>
          <w:tcPr>
            <w:tcW w:w="3185" w:type="dxa"/>
          </w:tcPr>
          <w:p w:rsidR="0080704D" w:rsidRPr="00E91B06" w:rsidRDefault="0080704D" w:rsidP="00590A49">
            <w:pPr>
              <w:pStyle w:val="TableText"/>
              <w:numPr>
                <w:ilvl w:val="0"/>
                <w:numId w:val="11"/>
              </w:numPr>
            </w:pPr>
            <w:r>
              <w:t xml:space="preserve">Status Quo </w:t>
            </w:r>
            <w:r w:rsidR="0082730A">
              <w:t>– No change</w:t>
            </w:r>
          </w:p>
        </w:tc>
        <w:tc>
          <w:tcPr>
            <w:tcW w:w="3336" w:type="dxa"/>
          </w:tcPr>
          <w:p w:rsidR="0080704D" w:rsidRDefault="0080704D" w:rsidP="001068CD">
            <w:pPr>
              <w:pStyle w:val="TableText"/>
            </w:pPr>
          </w:p>
        </w:tc>
        <w:tc>
          <w:tcPr>
            <w:tcW w:w="2658" w:type="dxa"/>
          </w:tcPr>
          <w:p w:rsidR="00991D59" w:rsidRDefault="008B60F7" w:rsidP="00991D59">
            <w:pPr>
              <w:pStyle w:val="TableText"/>
            </w:pPr>
            <w:r>
              <w:t>Administrative and compliance costs will continue.</w:t>
            </w:r>
          </w:p>
        </w:tc>
      </w:tr>
      <w:tr w:rsidR="0080704D" w:rsidTr="001068CD">
        <w:tc>
          <w:tcPr>
            <w:tcW w:w="3185" w:type="dxa"/>
          </w:tcPr>
          <w:p w:rsidR="0080704D" w:rsidRDefault="003D35B7" w:rsidP="00590A49">
            <w:pPr>
              <w:pStyle w:val="TableText"/>
              <w:numPr>
                <w:ilvl w:val="0"/>
                <w:numId w:val="11"/>
              </w:numPr>
            </w:pPr>
            <w:r>
              <w:t>The identified documents are not required to be filed with government agencies.</w:t>
            </w:r>
          </w:p>
          <w:p w:rsidR="0045390D" w:rsidRPr="00E91B06" w:rsidRDefault="0045390D" w:rsidP="0045390D">
            <w:pPr>
              <w:pStyle w:val="TableText"/>
              <w:ind w:left="720"/>
            </w:pPr>
            <w:r>
              <w:t>The identified documents are required to be made available on council web</w:t>
            </w:r>
            <w:r w:rsidR="007D77EB">
              <w:t xml:space="preserve">sites and in accessible formats </w:t>
            </w:r>
            <w:r w:rsidR="007D77EB" w:rsidRPr="007D77EB">
              <w:rPr>
                <w:b/>
              </w:rPr>
              <w:t>(preferred)</w:t>
            </w:r>
          </w:p>
        </w:tc>
        <w:tc>
          <w:tcPr>
            <w:tcW w:w="3336" w:type="dxa"/>
          </w:tcPr>
          <w:p w:rsidR="0080704D" w:rsidRDefault="00351FB9" w:rsidP="001068CD">
            <w:pPr>
              <w:pStyle w:val="TableText"/>
            </w:pPr>
            <w:r>
              <w:t xml:space="preserve">Removes filing compliance costs </w:t>
            </w:r>
            <w:r w:rsidR="008F08B7">
              <w:t xml:space="preserve">for central and local government </w:t>
            </w:r>
            <w:r>
              <w:t xml:space="preserve">and </w:t>
            </w:r>
            <w:r w:rsidR="008F08B7">
              <w:t xml:space="preserve">reduces the </w:t>
            </w:r>
            <w:r>
              <w:t>risk of non-compliance if not filed.</w:t>
            </w:r>
          </w:p>
          <w:p w:rsidR="00351FB9" w:rsidRDefault="00145F1B" w:rsidP="001068CD">
            <w:pPr>
              <w:pStyle w:val="TableText"/>
            </w:pPr>
            <w:r>
              <w:t>Provides for improved accessibility to documents. In the case of the Dog Control Act</w:t>
            </w:r>
            <w:r w:rsidR="004B7F3A">
              <w:t xml:space="preserve"> 1996</w:t>
            </w:r>
            <w:r>
              <w:t xml:space="preserve"> report this would include an additional requirement to the status quo for the inclusion on a council website.</w:t>
            </w:r>
          </w:p>
          <w:p w:rsidR="008F08B7" w:rsidRDefault="008F08B7" w:rsidP="001068CD">
            <w:pPr>
              <w:pStyle w:val="TableText"/>
            </w:pPr>
            <w:r>
              <w:t>Will support people with disabilities</w:t>
            </w:r>
            <w:r w:rsidR="00641360">
              <w:t xml:space="preserve"> </w:t>
            </w:r>
            <w:r w:rsidR="00D844BE">
              <w:t xml:space="preserve">to </w:t>
            </w:r>
            <w:r w:rsidR="00641360">
              <w:t>access information</w:t>
            </w:r>
            <w:r w:rsidR="00D844BE">
              <w:t xml:space="preserve"> and participate in local government decision making processes. For example, it will enable greater use of screen readers to assist the visually impaired.</w:t>
            </w:r>
            <w:r>
              <w:t xml:space="preserve"> </w:t>
            </w:r>
          </w:p>
          <w:p w:rsidR="00F827B7" w:rsidRDefault="00F827B7" w:rsidP="001068CD">
            <w:pPr>
              <w:pStyle w:val="TableText"/>
            </w:pPr>
            <w:r>
              <w:t>It will provide a minor decrease in compliance costs through the reduction of filing requirements for agencies</w:t>
            </w:r>
          </w:p>
        </w:tc>
        <w:tc>
          <w:tcPr>
            <w:tcW w:w="2658" w:type="dxa"/>
          </w:tcPr>
          <w:p w:rsidR="0080704D" w:rsidRDefault="00A04A64" w:rsidP="001068CD">
            <w:pPr>
              <w:pStyle w:val="TableText"/>
            </w:pPr>
            <w:r>
              <w:t xml:space="preserve">Increase in administrative costs </w:t>
            </w:r>
            <w:r w:rsidR="007D5F6A">
              <w:t xml:space="preserve">for local government </w:t>
            </w:r>
            <w:r>
              <w:t>from providing accessible format.</w:t>
            </w:r>
          </w:p>
        </w:tc>
      </w:tr>
      <w:tr w:rsidR="0045390D" w:rsidTr="001068CD">
        <w:tc>
          <w:tcPr>
            <w:tcW w:w="3185" w:type="dxa"/>
          </w:tcPr>
          <w:p w:rsidR="0045390D" w:rsidRDefault="0045390D" w:rsidP="00590A49">
            <w:pPr>
              <w:pStyle w:val="TableText"/>
              <w:numPr>
                <w:ilvl w:val="0"/>
                <w:numId w:val="11"/>
              </w:numPr>
            </w:pPr>
            <w:r>
              <w:lastRenderedPageBreak/>
              <w:t>The identified documents are filed with the Department of Internal Affairs and centrally collated for all agencies.</w:t>
            </w:r>
          </w:p>
        </w:tc>
        <w:tc>
          <w:tcPr>
            <w:tcW w:w="3336" w:type="dxa"/>
          </w:tcPr>
          <w:p w:rsidR="0045390D" w:rsidRDefault="00A04A64">
            <w:pPr>
              <w:pStyle w:val="TableText"/>
            </w:pPr>
            <w:r>
              <w:t>It will provide a minor decrease in compliance costs through the reduction</w:t>
            </w:r>
            <w:r w:rsidR="00FB76F7">
              <w:t xml:space="preserve"> of</w:t>
            </w:r>
            <w:r w:rsidR="00F827B7">
              <w:t xml:space="preserve"> filing</w:t>
            </w:r>
            <w:r>
              <w:t xml:space="preserve"> require</w:t>
            </w:r>
            <w:r w:rsidR="00F827B7">
              <w:t>ments for</w:t>
            </w:r>
            <w:r>
              <w:t xml:space="preserve"> agencies</w:t>
            </w:r>
          </w:p>
        </w:tc>
        <w:tc>
          <w:tcPr>
            <w:tcW w:w="2658" w:type="dxa"/>
          </w:tcPr>
          <w:p w:rsidR="0045390D" w:rsidRDefault="00A04A64" w:rsidP="0080704D">
            <w:pPr>
              <w:pStyle w:val="TableText"/>
            </w:pPr>
            <w:r>
              <w:t>This will increase the administrative cost</w:t>
            </w:r>
            <w:r w:rsidR="007036EA">
              <w:t>s for the Department.</w:t>
            </w:r>
          </w:p>
          <w:p w:rsidR="007036EA" w:rsidRDefault="007036EA" w:rsidP="0080704D">
            <w:pPr>
              <w:pStyle w:val="TableText"/>
            </w:pPr>
            <w:r>
              <w:t>May appear to diminish local authority record keeping responsibilities.</w:t>
            </w:r>
          </w:p>
        </w:tc>
      </w:tr>
    </w:tbl>
    <w:p w:rsidR="00F008E3" w:rsidRPr="004651EB" w:rsidRDefault="00F008E3" w:rsidP="004651EB">
      <w:pPr>
        <w:spacing w:after="0"/>
        <w:rPr>
          <w:b/>
          <w:color w:val="335087"/>
          <w:spacing w:val="20"/>
          <w:w w:val="90"/>
          <w:sz w:val="6"/>
          <w:szCs w:val="6"/>
        </w:rPr>
      </w:pPr>
    </w:p>
    <w:p w:rsidR="00F008E3" w:rsidRDefault="00F008E3" w:rsidP="002B4688">
      <w:pPr>
        <w:pStyle w:val="Heading4"/>
      </w:pPr>
      <w:r>
        <w:t>Recommendation</w:t>
      </w:r>
    </w:p>
    <w:p w:rsidR="00A43B4D" w:rsidRPr="00BB206E" w:rsidRDefault="00AF50C9" w:rsidP="00BB206E">
      <w:pPr>
        <w:pStyle w:val="Numberedpara3level1"/>
      </w:pPr>
      <w:r w:rsidRPr="00BB206E">
        <w:t>Option 2 is the recommended option as</w:t>
      </w:r>
      <w:r w:rsidR="005B7D7D" w:rsidRPr="00BB206E">
        <w:t xml:space="preserve"> it</w:t>
      </w:r>
      <w:r w:rsidRPr="00BB206E">
        <w:t xml:space="preserve"> removes the filing requirement completely </w:t>
      </w:r>
      <w:r w:rsidR="005B7D7D" w:rsidRPr="00BB206E">
        <w:t xml:space="preserve">for </w:t>
      </w:r>
      <w:r w:rsidRPr="00BB206E">
        <w:t xml:space="preserve">non-notification documents and it increases the accessibility of those documents providing benefits to both </w:t>
      </w:r>
      <w:r w:rsidR="00202C7E" w:rsidRPr="00BB206E">
        <w:t xml:space="preserve">central </w:t>
      </w:r>
      <w:r w:rsidRPr="00BB206E">
        <w:t>agencies and communities.</w:t>
      </w:r>
      <w:r w:rsidR="00D7120A" w:rsidRPr="00BB206E">
        <w:t xml:space="preserve"> The Secretary for Local Government would identify the applicable accessibility standards.</w:t>
      </w:r>
      <w:r w:rsidRPr="00BB206E">
        <w:t xml:space="preserve"> Implementing option 2 has lower</w:t>
      </w:r>
      <w:r w:rsidR="00202C7E" w:rsidRPr="00BB206E">
        <w:t xml:space="preserve"> compliance</w:t>
      </w:r>
      <w:r w:rsidRPr="00BB206E">
        <w:t xml:space="preserve"> costs than the status quo f</w:t>
      </w:r>
      <w:r w:rsidR="00202C7E" w:rsidRPr="00BB206E">
        <w:t>or local authorities. Option 2 will maximise the benefits derived from both outcomes</w:t>
      </w:r>
      <w:r w:rsidR="00CB4EB9" w:rsidRPr="00BB206E">
        <w:t>.</w:t>
      </w:r>
      <w:bookmarkStart w:id="82" w:name="_Ref438129181"/>
      <w:bookmarkStart w:id="83" w:name="_Ref438116566"/>
      <w:bookmarkStart w:id="84" w:name="_Toc438117164"/>
      <w:r w:rsidR="00641360">
        <w:t xml:space="preserve"> This proposal will not alter the requirements to make information publicly available within specified timeframes.</w:t>
      </w:r>
      <w:r w:rsidR="00A43B4D" w:rsidRPr="00BB206E">
        <w:br w:type="page"/>
      </w:r>
    </w:p>
    <w:p w:rsidR="00E7463E" w:rsidRPr="00BB206E" w:rsidRDefault="00A43B4D" w:rsidP="00BB206E">
      <w:pPr>
        <w:pStyle w:val="Heading3"/>
      </w:pPr>
      <w:bookmarkStart w:id="85" w:name="_Toc454520709"/>
      <w:r w:rsidRPr="00BB206E">
        <w:lastRenderedPageBreak/>
        <w:t xml:space="preserve">2) </w:t>
      </w:r>
      <w:r w:rsidR="00E7463E" w:rsidRPr="00BB206E">
        <w:t>Clarify the timing of taking office by a successful candidate following a by-election</w:t>
      </w:r>
      <w:bookmarkEnd w:id="82"/>
      <w:bookmarkEnd w:id="83"/>
      <w:bookmarkEnd w:id="84"/>
      <w:bookmarkEnd w:id="85"/>
    </w:p>
    <w:p w:rsidR="00B86D3F" w:rsidRDefault="00B86D3F" w:rsidP="006D5C8F">
      <w:pPr>
        <w:pStyle w:val="Heading4"/>
      </w:pPr>
      <w:r w:rsidRPr="005E10AB">
        <w:t>Status quo and problem</w:t>
      </w:r>
    </w:p>
    <w:p w:rsidR="00896ACB" w:rsidRPr="008A444F" w:rsidRDefault="00B86D3F" w:rsidP="00CF7821">
      <w:pPr>
        <w:pStyle w:val="Numberedpara3level1"/>
      </w:pPr>
      <w:r w:rsidRPr="008A444F">
        <w:t>It is unclear when candidates elected to fill an extraord</w:t>
      </w:r>
      <w:r w:rsidR="00CF7821" w:rsidRPr="008A444F">
        <w:t>inary vacancy come into office.</w:t>
      </w:r>
    </w:p>
    <w:p w:rsidR="00B86D3F" w:rsidRDefault="00B86D3F" w:rsidP="00CF7821">
      <w:pPr>
        <w:pStyle w:val="Numberedpara3level1"/>
      </w:pPr>
      <w:r>
        <w:t xml:space="preserve">This lack of clarity arose after the 2013 amendment to the Local Electoral Act 2001. Prior to the amendment, there was a difference between when a person declared to be elected before polling day in a triennial election, and when a person who was successful in an election, came into office. The latter provision applied both to triennial elections and by-elections. The 2013 amendment ensured that all candidates in a triennial election came into office at the same time. </w:t>
      </w:r>
    </w:p>
    <w:p w:rsidR="00B86D3F" w:rsidRDefault="00B86D3F" w:rsidP="00B140B1">
      <w:pPr>
        <w:pStyle w:val="Numberedpara3level1"/>
      </w:pPr>
      <w:r>
        <w:t xml:space="preserve">However, the 2013 amendment did not address by-elections. This error may have arisen as the time when someone is appointed to fill an extraordinary vacancy did not change in the 2013 amendment. But people may either be elected or appointed to fill an extraordinary vacancy, so the 2013 amendment created a gap in the law. </w:t>
      </w:r>
    </w:p>
    <w:p w:rsidR="00794685" w:rsidRDefault="00602A9F" w:rsidP="006D5C8F">
      <w:pPr>
        <w:pStyle w:val="Heading4"/>
      </w:pPr>
      <w:r>
        <w:t>Options and analysis</w:t>
      </w:r>
    </w:p>
    <w:p w:rsidR="00802168" w:rsidRPr="006D5C8F" w:rsidRDefault="00802168" w:rsidP="00802168">
      <w:pPr>
        <w:pStyle w:val="Heading5"/>
      </w:pPr>
      <w:r w:rsidRPr="006D5C8F">
        <w:t>Policy objective and outcomes</w:t>
      </w:r>
    </w:p>
    <w:p w:rsidR="00802168" w:rsidRPr="00E914BA" w:rsidRDefault="003A46C5" w:rsidP="00A72DF3">
      <w:pPr>
        <w:pStyle w:val="Numberedpara3level1"/>
      </w:pPr>
      <w:r>
        <w:t>(</w:t>
      </w:r>
      <w:proofErr w:type="spellStart"/>
      <w:r>
        <w:t>Obj</w:t>
      </w:r>
      <w:proofErr w:type="spellEnd"/>
      <w:r>
        <w:t xml:space="preserve"> 2) </w:t>
      </w:r>
      <w:r w:rsidR="00802168" w:rsidRPr="00802168">
        <w:t xml:space="preserve">Address regulatory duplication, gaps, errors, and inconsistencies within and between </w:t>
      </w:r>
      <w:r w:rsidR="00802168">
        <w:t>different pieces of legislation:</w:t>
      </w:r>
    </w:p>
    <w:p w:rsidR="00802168" w:rsidRDefault="00AF5D8D" w:rsidP="00A72DF3">
      <w:pPr>
        <w:pStyle w:val="Numberedpara3level211"/>
      </w:pPr>
      <w:r>
        <w:t>Provide for a consistent approach to local elections.</w:t>
      </w:r>
    </w:p>
    <w:p w:rsidR="00802168" w:rsidRDefault="00287084" w:rsidP="00B140B1">
      <w:pPr>
        <w:pStyle w:val="Numberedpara3level1"/>
      </w:pPr>
      <w:r w:rsidRPr="00287084">
        <w:t>When the Local Electoral Act 2001 was amended in 2013, it sought to align the time that candidates in triennial elections came into office, whether they were elected unopposed or were successful in the election. Unfortunately, the amendment did not address the time that candidates in other elections (i.e. by-elections) came into office. The current provision for when people appointed to fill extraordinary vacancies come into office only applies to appointments, not by-elections.</w:t>
      </w:r>
    </w:p>
    <w:p w:rsidR="00287084" w:rsidRDefault="00574756" w:rsidP="00B140B1">
      <w:pPr>
        <w:pStyle w:val="Numberedpara3level1"/>
      </w:pPr>
      <w:r>
        <w:t xml:space="preserve">The current provisions are unlikely to give rise to a legal challenge because it is possible to </w:t>
      </w:r>
      <w:r w:rsidR="0077776E">
        <w:t xml:space="preserve">apply a purposive approach and </w:t>
      </w:r>
      <w:r w:rsidR="0077776E" w:rsidRPr="0077776E">
        <w:t xml:space="preserve">interpret </w:t>
      </w:r>
      <w:r w:rsidR="00C32E34" w:rsidRPr="0077776E">
        <w:t>s115 (</w:t>
      </w:r>
      <w:r w:rsidR="0077776E" w:rsidRPr="0077776E">
        <w:t>1) of the Local Electoral Act</w:t>
      </w:r>
      <w:r w:rsidR="0077776E">
        <w:t xml:space="preserve"> 2001</w:t>
      </w:r>
      <w:r w:rsidR="0077776E" w:rsidRPr="0077776E">
        <w:t xml:space="preserve"> as applying equally to by-elections (effectively i</w:t>
      </w:r>
      <w:r w:rsidR="0077776E">
        <w:t>gnoring the word “triennial”). There appears to be an intention within the legislation that all elections will be treated the same, with the necessary modifications</w:t>
      </w:r>
      <w:r w:rsidR="00AF5D8D">
        <w:t>.</w:t>
      </w:r>
      <w:r w:rsidR="00AF5D8D">
        <w:rPr>
          <w:rStyle w:val="FootnoteReference"/>
        </w:rPr>
        <w:footnoteReference w:id="2"/>
      </w:r>
      <w:r w:rsidR="00AF5D8D">
        <w:t xml:space="preserve"> </w:t>
      </w:r>
    </w:p>
    <w:p w:rsidR="00AF5D8D" w:rsidRDefault="005F7B9B" w:rsidP="00B140B1">
      <w:pPr>
        <w:pStyle w:val="Numberedpara3level1"/>
      </w:pPr>
      <w:r>
        <w:t>To provide for the outcome to address this problem only one option was identified. Option 2 in the table below provides for a consistent approach to the timing of coming into office following a by-election</w:t>
      </w:r>
      <w:r w:rsidR="00BA11A9">
        <w:t>.</w:t>
      </w:r>
    </w:p>
    <w:p w:rsidR="00BA11A9" w:rsidRDefault="00BA11A9" w:rsidP="00B140B1">
      <w:pPr>
        <w:pStyle w:val="Numberedpara3level1"/>
      </w:pPr>
      <w:r>
        <w:t>We considered keeping the status quo, but that would continue the current lack of clarity for when successful candidates in a by-election come into office.</w:t>
      </w:r>
    </w:p>
    <w:p w:rsidR="007F2CEB" w:rsidRDefault="007F2CEB" w:rsidP="00864007">
      <w:pPr>
        <w:pStyle w:val="Heading5"/>
        <w:keepNext/>
      </w:pPr>
      <w:r>
        <w:lastRenderedPageBreak/>
        <w:t>Options table</w:t>
      </w:r>
    </w:p>
    <w:tbl>
      <w:tblPr>
        <w:tblStyle w:val="DIATable"/>
        <w:tblW w:w="0" w:type="auto"/>
        <w:tblInd w:w="0" w:type="dxa"/>
        <w:tblLook w:val="04A0" w:firstRow="1" w:lastRow="0" w:firstColumn="1" w:lastColumn="0" w:noHBand="0" w:noVBand="1"/>
      </w:tblPr>
      <w:tblGrid>
        <w:gridCol w:w="3553"/>
        <w:gridCol w:w="3064"/>
        <w:gridCol w:w="2670"/>
      </w:tblGrid>
      <w:tr w:rsidR="002845BB" w:rsidTr="001068CD">
        <w:trPr>
          <w:cnfStyle w:val="100000000000" w:firstRow="1" w:lastRow="0" w:firstColumn="0" w:lastColumn="0" w:oddVBand="0" w:evenVBand="0" w:oddHBand="0" w:evenHBand="0" w:firstRowFirstColumn="0" w:firstRowLastColumn="0" w:lastRowFirstColumn="0" w:lastRowLastColumn="0"/>
        </w:trPr>
        <w:tc>
          <w:tcPr>
            <w:tcW w:w="0" w:type="auto"/>
          </w:tcPr>
          <w:p w:rsidR="003A21C1" w:rsidRDefault="003A21C1">
            <w:pPr>
              <w:pStyle w:val="TableText"/>
            </w:pPr>
            <w:r>
              <w:t>Option</w:t>
            </w:r>
          </w:p>
        </w:tc>
        <w:tc>
          <w:tcPr>
            <w:tcW w:w="0" w:type="auto"/>
          </w:tcPr>
          <w:p w:rsidR="003A21C1" w:rsidRDefault="003A21C1">
            <w:pPr>
              <w:pStyle w:val="TableText"/>
            </w:pPr>
            <w:r>
              <w:t>Benefits/Pros</w:t>
            </w:r>
          </w:p>
        </w:tc>
        <w:tc>
          <w:tcPr>
            <w:tcW w:w="0" w:type="auto"/>
          </w:tcPr>
          <w:p w:rsidR="003A21C1" w:rsidRDefault="003A21C1">
            <w:pPr>
              <w:pStyle w:val="TableText"/>
            </w:pPr>
            <w:r>
              <w:t>Costs/Cons</w:t>
            </w:r>
          </w:p>
        </w:tc>
      </w:tr>
      <w:tr w:rsidR="002845BB" w:rsidTr="001068CD">
        <w:tc>
          <w:tcPr>
            <w:tcW w:w="0" w:type="auto"/>
          </w:tcPr>
          <w:p w:rsidR="003A21C1" w:rsidRPr="00E91B06" w:rsidRDefault="003A21C1" w:rsidP="00864007">
            <w:pPr>
              <w:pStyle w:val="TableText"/>
              <w:keepNext/>
              <w:numPr>
                <w:ilvl w:val="0"/>
                <w:numId w:val="10"/>
              </w:numPr>
            </w:pPr>
            <w:r>
              <w:t xml:space="preserve">Status Quo </w:t>
            </w:r>
          </w:p>
        </w:tc>
        <w:tc>
          <w:tcPr>
            <w:tcW w:w="0" w:type="auto"/>
          </w:tcPr>
          <w:p w:rsidR="003A21C1" w:rsidRDefault="003A21C1" w:rsidP="00864007">
            <w:pPr>
              <w:pStyle w:val="TableText"/>
              <w:keepNext/>
            </w:pPr>
          </w:p>
        </w:tc>
        <w:tc>
          <w:tcPr>
            <w:tcW w:w="0" w:type="auto"/>
          </w:tcPr>
          <w:p w:rsidR="003A21C1" w:rsidRPr="00504DA1" w:rsidRDefault="002845BB" w:rsidP="00864007">
            <w:pPr>
              <w:pStyle w:val="TableText"/>
              <w:keepNext/>
            </w:pPr>
            <w:r>
              <w:t>Perpetuates uncertainty</w:t>
            </w:r>
            <w:r w:rsidR="003A21C1">
              <w:t xml:space="preserve"> about when a successful candidate in a by-election comes into office.</w:t>
            </w:r>
          </w:p>
        </w:tc>
      </w:tr>
      <w:tr w:rsidR="002845BB" w:rsidTr="001068CD">
        <w:tc>
          <w:tcPr>
            <w:tcW w:w="0" w:type="auto"/>
          </w:tcPr>
          <w:p w:rsidR="003A21C1" w:rsidRPr="00E91B06" w:rsidRDefault="00C76C1A" w:rsidP="00864007">
            <w:pPr>
              <w:pStyle w:val="TableText"/>
              <w:keepNext/>
              <w:numPr>
                <w:ilvl w:val="0"/>
                <w:numId w:val="10"/>
              </w:numPr>
            </w:pPr>
            <w:r>
              <w:t>A</w:t>
            </w:r>
            <w:r w:rsidR="003A21C1">
              <w:t>mend section 115(1) so that it refers to “an election” rather than “a triennial general election</w:t>
            </w:r>
            <w:r w:rsidR="002E75AB">
              <w:t xml:space="preserve">” </w:t>
            </w:r>
            <w:r w:rsidR="002E75AB" w:rsidRPr="00C76C1A">
              <w:rPr>
                <w:b/>
              </w:rPr>
              <w:t>(preferred)</w:t>
            </w:r>
          </w:p>
        </w:tc>
        <w:tc>
          <w:tcPr>
            <w:tcW w:w="0" w:type="auto"/>
          </w:tcPr>
          <w:p w:rsidR="003A21C1" w:rsidRDefault="005F7B9B" w:rsidP="00864007">
            <w:pPr>
              <w:pStyle w:val="TableText"/>
              <w:keepNext/>
            </w:pPr>
            <w:r>
              <w:t>It will be</w:t>
            </w:r>
            <w:r w:rsidR="003A21C1">
              <w:t xml:space="preserve"> clear when a successful candidate in a by-election comes into office.</w:t>
            </w:r>
          </w:p>
          <w:p w:rsidR="003A21C1" w:rsidRDefault="00BA11A9" w:rsidP="00864007">
            <w:pPr>
              <w:pStyle w:val="TableText"/>
              <w:keepNext/>
            </w:pPr>
            <w:r>
              <w:t>The by-election process</w:t>
            </w:r>
            <w:r w:rsidR="003A21C1">
              <w:t xml:space="preserve"> </w:t>
            </w:r>
            <w:r>
              <w:t>will</w:t>
            </w:r>
            <w:r w:rsidR="003A21C1">
              <w:t xml:space="preserve"> consistent with processes for the triennial elections. </w:t>
            </w:r>
          </w:p>
          <w:p w:rsidR="003A21C1" w:rsidRDefault="003A21C1" w:rsidP="00864007">
            <w:pPr>
              <w:pStyle w:val="TableText"/>
              <w:keepNext/>
            </w:pPr>
            <w:r>
              <w:t>Beneficial to the efficiency and effectiveness of local government beca</w:t>
            </w:r>
            <w:r w:rsidR="00BA11A9">
              <w:t>use it provides clarity and consistency.</w:t>
            </w:r>
          </w:p>
        </w:tc>
        <w:tc>
          <w:tcPr>
            <w:tcW w:w="0" w:type="auto"/>
          </w:tcPr>
          <w:p w:rsidR="003A21C1" w:rsidRDefault="003A21C1" w:rsidP="00864007">
            <w:pPr>
              <w:pStyle w:val="TableText"/>
              <w:keepNext/>
            </w:pPr>
            <w:r>
              <w:t>None.</w:t>
            </w:r>
          </w:p>
        </w:tc>
      </w:tr>
    </w:tbl>
    <w:p w:rsidR="00C2237F" w:rsidRDefault="00C2237F" w:rsidP="00C2237F"/>
    <w:p w:rsidR="005D7A7E" w:rsidRDefault="005D7A7E" w:rsidP="006D5C8F">
      <w:pPr>
        <w:pStyle w:val="Heading4"/>
      </w:pPr>
      <w:r>
        <w:t>Recommendation</w:t>
      </w:r>
    </w:p>
    <w:p w:rsidR="005D7A7E" w:rsidRDefault="005D7A7E" w:rsidP="00B140B1">
      <w:pPr>
        <w:pStyle w:val="Numberedpara3level1"/>
      </w:pPr>
      <w:r>
        <w:t>We propose section 115</w:t>
      </w:r>
      <w:r w:rsidR="00C32E34">
        <w:t xml:space="preserve"> of the Local Electoral Act 2001</w:t>
      </w:r>
      <w:r w:rsidR="00EB605C">
        <w:t xml:space="preserve"> is amended</w:t>
      </w:r>
      <w:r>
        <w:t xml:space="preserve"> to provide that a successful candidate in a by-election comes into office </w:t>
      </w:r>
      <w:r w:rsidRPr="00A73854">
        <w:t xml:space="preserve">on the day after the day on which the official result of the election is </w:t>
      </w:r>
      <w:r w:rsidR="00CF7821">
        <w:t xml:space="preserve">declared by public notice under </w:t>
      </w:r>
      <w:hyperlink r:id="rId9" w:anchor="DLM94704" w:history="1">
        <w:r w:rsidRPr="00A73854">
          <w:t>section 86</w:t>
        </w:r>
      </w:hyperlink>
      <w:r w:rsidRPr="00A73854">
        <w:t>.</w:t>
      </w:r>
      <w:r>
        <w:t xml:space="preserve"> This is consistent with the processes for the triennial elections.</w:t>
      </w:r>
    </w:p>
    <w:p w:rsidR="005D7A7E" w:rsidRPr="00C2237F" w:rsidRDefault="005D7A7E" w:rsidP="00C2237F"/>
    <w:p w:rsidR="00C2237F" w:rsidRDefault="00C2237F" w:rsidP="000775ED">
      <w:pPr>
        <w:pStyle w:val="Heading2"/>
        <w:sectPr w:rsidR="00C2237F" w:rsidSect="000C0CE1">
          <w:footerReference w:type="even" r:id="rId10"/>
          <w:footerReference w:type="default" r:id="rId11"/>
          <w:footerReference w:type="first" r:id="rId12"/>
          <w:pgSz w:w="11907" w:h="16840" w:code="9"/>
          <w:pgMar w:top="1418" w:right="1418" w:bottom="1134" w:left="1418" w:header="454" w:footer="454" w:gutter="0"/>
          <w:cols w:space="720"/>
          <w:titlePg/>
          <w:docGrid w:linePitch="299"/>
        </w:sectPr>
      </w:pPr>
    </w:p>
    <w:p w:rsidR="008D5CD9" w:rsidRDefault="008D5CD9" w:rsidP="000775ED">
      <w:pPr>
        <w:pStyle w:val="Heading2"/>
      </w:pPr>
      <w:bookmarkStart w:id="86" w:name="_Toc438117165"/>
      <w:bookmarkStart w:id="87" w:name="_Toc454520710"/>
      <w:r w:rsidRPr="00082653">
        <w:lastRenderedPageBreak/>
        <w:t>Consultation</w:t>
      </w:r>
      <w:bookmarkEnd w:id="68"/>
      <w:bookmarkEnd w:id="69"/>
      <w:bookmarkEnd w:id="70"/>
      <w:bookmarkEnd w:id="71"/>
      <w:bookmarkEnd w:id="72"/>
      <w:bookmarkEnd w:id="73"/>
      <w:bookmarkEnd w:id="74"/>
      <w:bookmarkEnd w:id="75"/>
      <w:bookmarkEnd w:id="76"/>
      <w:bookmarkEnd w:id="77"/>
      <w:bookmarkEnd w:id="78"/>
      <w:bookmarkEnd w:id="86"/>
      <w:bookmarkEnd w:id="87"/>
    </w:p>
    <w:p w:rsidR="00B746DC" w:rsidRDefault="00754229" w:rsidP="00B140B1">
      <w:pPr>
        <w:pStyle w:val="Numberedpara3level1"/>
      </w:pPr>
      <w:r>
        <w:t xml:space="preserve">During the initial issue identification phase </w:t>
      </w:r>
      <w:r w:rsidR="00486CA6">
        <w:t>the Department</w:t>
      </w:r>
      <w:r>
        <w:t xml:space="preserve"> invited suggestions from Auckland Council, Local Government New Zealand and the Society of Local Government Managers. </w:t>
      </w:r>
    </w:p>
    <w:p w:rsidR="00B746DC" w:rsidRDefault="00B746DC" w:rsidP="00B140B1">
      <w:pPr>
        <w:pStyle w:val="Numberedpara3level1"/>
      </w:pPr>
      <w:r>
        <w:t xml:space="preserve">The final list of </w:t>
      </w:r>
      <w:r w:rsidR="00C245B3">
        <w:t>proposed amendments</w:t>
      </w:r>
      <w:r>
        <w:t xml:space="preserve"> was provided to both the Society of Local Government Managers and Local Government New Zealand</w:t>
      </w:r>
      <w:r w:rsidR="00842D0F">
        <w:t>. They suppo</w:t>
      </w:r>
      <w:r w:rsidR="0049541E">
        <w:t>rt the amendments in principle.</w:t>
      </w:r>
    </w:p>
    <w:p w:rsidR="00C245B3" w:rsidRDefault="00C245B3" w:rsidP="00B140B1">
      <w:pPr>
        <w:pStyle w:val="Numberedpara3level1"/>
      </w:pPr>
      <w:r>
        <w:t xml:space="preserve">Consultation was deliberately limited to </w:t>
      </w:r>
      <w:r w:rsidR="002F6F6C">
        <w:t xml:space="preserve">local government </w:t>
      </w:r>
      <w:r>
        <w:t xml:space="preserve">representative organisations rather than </w:t>
      </w:r>
      <w:r w:rsidR="002F6F6C">
        <w:t xml:space="preserve">a broader consultation with all local authorities. This was to manage expectation for the types of issues that could be included in an omnibus bill and to avoid </w:t>
      </w:r>
      <w:r w:rsidR="002A2CD0">
        <w:t>competing with higher priority local government policy initiatives.</w:t>
      </w:r>
      <w:r w:rsidR="006D49DD">
        <w:t xml:space="preserve"> The feedback was generally limited to in principle support for the proposals.</w:t>
      </w:r>
    </w:p>
    <w:p w:rsidR="00326DEF" w:rsidRDefault="00326DEF" w:rsidP="00326DEF">
      <w:pPr>
        <w:pStyle w:val="Numberedpara3level1"/>
      </w:pPr>
      <w:r>
        <w:t xml:space="preserve">In December 2015 the Department consulted </w:t>
      </w:r>
      <w:r w:rsidR="009B5FDB">
        <w:t>the following</w:t>
      </w:r>
      <w:r>
        <w:t xml:space="preserve"> government agencies on the detailed proposals</w:t>
      </w:r>
      <w:r w:rsidR="009B5FDB">
        <w:t>.</w:t>
      </w:r>
    </w:p>
    <w:p w:rsidR="00326DEF" w:rsidRPr="001A5AD7" w:rsidRDefault="003D5344" w:rsidP="00326DEF">
      <w:pPr>
        <w:pStyle w:val="Bullet"/>
        <w:keepLines w:val="0"/>
      </w:pPr>
      <w:r>
        <w:t>Ministry for the Environment;</w:t>
      </w:r>
    </w:p>
    <w:p w:rsidR="00326DEF" w:rsidRPr="001A5AD7" w:rsidRDefault="00326DEF" w:rsidP="00326DEF">
      <w:pPr>
        <w:pStyle w:val="Bullet"/>
        <w:keepLines w:val="0"/>
      </w:pPr>
      <w:r w:rsidRPr="001A5AD7">
        <w:t xml:space="preserve">Ministry of Business, Innovation and Employment; </w:t>
      </w:r>
    </w:p>
    <w:p w:rsidR="00326DEF" w:rsidRDefault="00326DEF" w:rsidP="00326DEF">
      <w:pPr>
        <w:pStyle w:val="Bullet"/>
        <w:keepLines w:val="0"/>
      </w:pPr>
      <w:r w:rsidRPr="001A5AD7">
        <w:t>Ministry of Justice</w:t>
      </w:r>
      <w:r>
        <w:t>;</w:t>
      </w:r>
    </w:p>
    <w:p w:rsidR="00326DEF" w:rsidRPr="001A5AD7" w:rsidRDefault="00326DEF" w:rsidP="00326DEF">
      <w:pPr>
        <w:pStyle w:val="Bullet"/>
        <w:keepLines w:val="0"/>
      </w:pPr>
      <w:r w:rsidRPr="001A5AD7">
        <w:t xml:space="preserve">Ministry of Transport; </w:t>
      </w:r>
    </w:p>
    <w:p w:rsidR="00326DEF" w:rsidRPr="001A5AD7" w:rsidRDefault="00326DEF" w:rsidP="00326DEF">
      <w:pPr>
        <w:pStyle w:val="Bullet"/>
        <w:keepLines w:val="0"/>
      </w:pPr>
      <w:r w:rsidRPr="001A5AD7">
        <w:t xml:space="preserve">Office for Disability Issues; </w:t>
      </w:r>
    </w:p>
    <w:p w:rsidR="00326DEF" w:rsidRDefault="00326DEF" w:rsidP="00326DEF">
      <w:pPr>
        <w:pStyle w:val="Bullet"/>
        <w:keepLines w:val="0"/>
      </w:pPr>
      <w:r w:rsidRPr="001A5AD7">
        <w:t xml:space="preserve">Parliamentary Library; </w:t>
      </w:r>
    </w:p>
    <w:p w:rsidR="00326DEF" w:rsidRPr="001A5AD7" w:rsidRDefault="006D49DD" w:rsidP="00326DEF">
      <w:pPr>
        <w:pStyle w:val="Bullet"/>
        <w:keepLines w:val="0"/>
      </w:pPr>
      <w:r>
        <w:t xml:space="preserve">Te </w:t>
      </w:r>
      <w:proofErr w:type="spellStart"/>
      <w:r>
        <w:t>Puni</w:t>
      </w:r>
      <w:proofErr w:type="spellEnd"/>
      <w:r>
        <w:t xml:space="preserve"> </w:t>
      </w:r>
      <w:proofErr w:type="spellStart"/>
      <w:r>
        <w:t>Kōkiri</w:t>
      </w:r>
      <w:proofErr w:type="spellEnd"/>
      <w:r>
        <w:t>;</w:t>
      </w:r>
    </w:p>
    <w:p w:rsidR="00326DEF" w:rsidRDefault="00326DEF" w:rsidP="00326DEF">
      <w:pPr>
        <w:pStyle w:val="Bullet"/>
        <w:keepLines w:val="0"/>
      </w:pPr>
      <w:r>
        <w:t xml:space="preserve">the </w:t>
      </w:r>
      <w:r w:rsidRPr="001A5AD7">
        <w:t>Treasury</w:t>
      </w:r>
      <w:r w:rsidR="006D49DD">
        <w:t>; and</w:t>
      </w:r>
    </w:p>
    <w:p w:rsidR="006D49DD" w:rsidRPr="001A5AD7" w:rsidRDefault="006D49DD">
      <w:pPr>
        <w:pStyle w:val="Bullet"/>
        <w:keepLines w:val="0"/>
      </w:pPr>
      <w:r w:rsidRPr="001A5AD7">
        <w:t>Department of Prime Minister and Cabinet</w:t>
      </w:r>
      <w:r>
        <w:t xml:space="preserve"> (informed).</w:t>
      </w:r>
    </w:p>
    <w:p w:rsidR="00016C30" w:rsidRDefault="00016C30" w:rsidP="00B140B1">
      <w:pPr>
        <w:pStyle w:val="Numberedpara3level1"/>
      </w:pPr>
      <w:r>
        <w:t xml:space="preserve">The Department </w:t>
      </w:r>
      <w:r w:rsidR="003D07CE">
        <w:t>has provided the</w:t>
      </w:r>
      <w:r w:rsidR="009B5FDB">
        <w:t xml:space="preserve"> detailed proposals</w:t>
      </w:r>
      <w:r w:rsidR="003D07CE">
        <w:t xml:space="preserve"> to</w:t>
      </w:r>
      <w:r w:rsidR="00326DEF">
        <w:t>:</w:t>
      </w:r>
      <w:r w:rsidR="009B5FDB">
        <w:t xml:space="preserve"> Local Government Commission officials, Local Government New Zealand, Socie</w:t>
      </w:r>
      <w:r w:rsidR="00282124">
        <w:t>ty of Local Government Managers. It provided one specific issue to</w:t>
      </w:r>
      <w:r w:rsidR="009B5FDB">
        <w:t xml:space="preserve"> the Independent </w:t>
      </w:r>
      <w:r w:rsidR="009B5FDB" w:rsidRPr="00484A9E">
        <w:rPr>
          <w:lang w:val="mi-NZ"/>
        </w:rPr>
        <w:t xml:space="preserve">Māori </w:t>
      </w:r>
      <w:r w:rsidR="009B5FDB">
        <w:t xml:space="preserve">Statutory </w:t>
      </w:r>
      <w:r w:rsidR="00962440">
        <w:t xml:space="preserve">Board and </w:t>
      </w:r>
      <w:r w:rsidR="009B5FDB">
        <w:t>A</w:t>
      </w:r>
      <w:r w:rsidR="00962440">
        <w:t>uckland Council</w:t>
      </w:r>
      <w:r w:rsidR="00282124">
        <w:t>, which was later discounted as outside the scope of an omnibus bill.</w:t>
      </w:r>
    </w:p>
    <w:p w:rsidR="003147DF" w:rsidRPr="00B746DC" w:rsidRDefault="00CC3B94" w:rsidP="00B140B1">
      <w:pPr>
        <w:pStyle w:val="Numberedpara3level1"/>
      </w:pPr>
      <w:r>
        <w:t xml:space="preserve">Consultation has been scaled in accordance with the minor, technical nature of the policy proposals. </w:t>
      </w:r>
      <w:r w:rsidR="009B5FDB">
        <w:t>The Department is seeking the release of an exposure draft for consultation.</w:t>
      </w:r>
    </w:p>
    <w:p w:rsidR="003D5344" w:rsidRDefault="003D5344">
      <w:pPr>
        <w:spacing w:after="0" w:line="240" w:lineRule="auto"/>
        <w:rPr>
          <w:b/>
          <w:color w:val="335087"/>
          <w:spacing w:val="20"/>
          <w:w w:val="90"/>
          <w:sz w:val="32"/>
          <w:szCs w:val="24"/>
        </w:rPr>
      </w:pPr>
      <w:bookmarkStart w:id="88" w:name="_Preferred_option_[optional]"/>
      <w:bookmarkStart w:id="89" w:name="_Toc244580367"/>
      <w:bookmarkStart w:id="90" w:name="_Toc244587043"/>
      <w:bookmarkStart w:id="91" w:name="_Toc244857277"/>
      <w:bookmarkStart w:id="92" w:name="_Toc244912542"/>
      <w:bookmarkStart w:id="93" w:name="_Toc244916999"/>
      <w:bookmarkStart w:id="94" w:name="_Toc362368108"/>
      <w:bookmarkStart w:id="95" w:name="_Toc362434949"/>
      <w:bookmarkStart w:id="96" w:name="_Toc362589335"/>
      <w:bookmarkStart w:id="97" w:name="_Toc362619035"/>
      <w:bookmarkStart w:id="98" w:name="_Toc362940599"/>
      <w:bookmarkStart w:id="99" w:name="_Toc363047107"/>
      <w:bookmarkStart w:id="100" w:name="_Toc438117166"/>
      <w:bookmarkEnd w:id="88"/>
      <w:r>
        <w:br w:type="page"/>
      </w:r>
    </w:p>
    <w:p w:rsidR="008D5CD9" w:rsidRDefault="008D5CD9" w:rsidP="000775ED">
      <w:pPr>
        <w:pStyle w:val="Heading2"/>
      </w:pPr>
      <w:bookmarkStart w:id="101" w:name="_Toc454520711"/>
      <w:r>
        <w:lastRenderedPageBreak/>
        <w:t>Conclusion</w:t>
      </w:r>
      <w:bookmarkEnd w:id="89"/>
      <w:bookmarkEnd w:id="90"/>
      <w:bookmarkEnd w:id="91"/>
      <w:bookmarkEnd w:id="92"/>
      <w:bookmarkEnd w:id="93"/>
      <w:bookmarkEnd w:id="94"/>
      <w:bookmarkEnd w:id="95"/>
      <w:bookmarkEnd w:id="96"/>
      <w:bookmarkEnd w:id="97"/>
      <w:bookmarkEnd w:id="98"/>
      <w:bookmarkEnd w:id="99"/>
      <w:bookmarkEnd w:id="100"/>
      <w:bookmarkEnd w:id="101"/>
    </w:p>
    <w:p w:rsidR="00475E63" w:rsidRDefault="001D3B9D" w:rsidP="00B140B1">
      <w:pPr>
        <w:pStyle w:val="Numberedpara3level1"/>
      </w:pPr>
      <w:r>
        <w:t>The Department has ass</w:t>
      </w:r>
      <w:r w:rsidR="0003060F">
        <w:t xml:space="preserve">essed all issues against the identified policy objectives. For each problem </w:t>
      </w:r>
      <w:r w:rsidR="007B13A9">
        <w:t>the options identified were assessed for their contribution and impact on achieving the desired outcomes.</w:t>
      </w:r>
    </w:p>
    <w:tbl>
      <w:tblPr>
        <w:tblStyle w:val="DIATable"/>
        <w:tblW w:w="0" w:type="auto"/>
        <w:tblInd w:w="0" w:type="dxa"/>
        <w:tblLook w:val="04A0" w:firstRow="1" w:lastRow="0" w:firstColumn="1" w:lastColumn="0" w:noHBand="0" w:noVBand="1"/>
      </w:tblPr>
      <w:tblGrid>
        <w:gridCol w:w="8159"/>
        <w:gridCol w:w="564"/>
        <w:gridCol w:w="564"/>
      </w:tblGrid>
      <w:tr w:rsidR="00A20CD2" w:rsidRPr="001028CB" w:rsidTr="00FC4AC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20CD2" w:rsidRPr="001028CB" w:rsidRDefault="00A20CD2" w:rsidP="008D558B">
            <w:pPr>
              <w:pStyle w:val="TableText"/>
              <w:jc w:val="center"/>
            </w:pPr>
          </w:p>
        </w:tc>
        <w:tc>
          <w:tcPr>
            <w:tcW w:w="0" w:type="auto"/>
            <w:gridSpan w:val="2"/>
            <w:vAlign w:val="center"/>
          </w:tcPr>
          <w:p w:rsidR="00A20CD2" w:rsidRDefault="00A20CD2" w:rsidP="008D558B">
            <w:pPr>
              <w:pStyle w:val="TableText"/>
              <w:jc w:val="center"/>
              <w:rPr>
                <w:b w:val="0"/>
              </w:rPr>
            </w:pPr>
            <w:r>
              <w:t>Problems</w:t>
            </w:r>
          </w:p>
        </w:tc>
      </w:tr>
      <w:tr w:rsidR="00A20CD2" w:rsidRPr="001028CB" w:rsidTr="00EC585D">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bottom w:val="single" w:sz="6" w:space="0" w:color="1F497D" w:themeColor="text2"/>
            </w:tcBorders>
            <w:vAlign w:val="center"/>
          </w:tcPr>
          <w:p w:rsidR="00A20CD2" w:rsidRPr="001028CB" w:rsidRDefault="00A20CD2" w:rsidP="008D558B">
            <w:pPr>
              <w:pStyle w:val="TableText"/>
              <w:jc w:val="center"/>
            </w:pPr>
            <w:r>
              <w:t>Policy Objectives</w:t>
            </w:r>
          </w:p>
        </w:tc>
        <w:tc>
          <w:tcPr>
            <w:tcW w:w="0" w:type="auto"/>
            <w:tcBorders>
              <w:top w:val="nil"/>
              <w:bottom w:val="single" w:sz="6" w:space="0" w:color="1F497D" w:themeColor="text2"/>
            </w:tcBorders>
            <w:vAlign w:val="center"/>
          </w:tcPr>
          <w:p w:rsidR="00A20CD2" w:rsidRPr="001028CB" w:rsidRDefault="00A20CD2" w:rsidP="008D558B">
            <w:pPr>
              <w:pStyle w:val="TableText"/>
              <w:jc w:val="center"/>
            </w:pPr>
            <w:r>
              <w:t>1</w:t>
            </w:r>
          </w:p>
        </w:tc>
        <w:tc>
          <w:tcPr>
            <w:tcW w:w="0" w:type="auto"/>
            <w:tcBorders>
              <w:top w:val="nil"/>
              <w:bottom w:val="single" w:sz="6" w:space="0" w:color="1F497D" w:themeColor="text2"/>
            </w:tcBorders>
            <w:vAlign w:val="center"/>
          </w:tcPr>
          <w:p w:rsidR="00A20CD2" w:rsidRPr="001028CB" w:rsidRDefault="00A20CD2" w:rsidP="008D558B">
            <w:pPr>
              <w:pStyle w:val="TableText"/>
              <w:jc w:val="center"/>
            </w:pPr>
            <w:r>
              <w:t>2</w:t>
            </w:r>
          </w:p>
        </w:tc>
      </w:tr>
      <w:tr w:rsidR="00A20CD2" w:rsidRPr="001028CB" w:rsidTr="00EC585D">
        <w:tc>
          <w:tcPr>
            <w:tcW w:w="0" w:type="auto"/>
            <w:tcBorders>
              <w:top w:val="single" w:sz="6" w:space="0" w:color="1F497D" w:themeColor="text2"/>
            </w:tcBorders>
            <w:vAlign w:val="center"/>
          </w:tcPr>
          <w:p w:rsidR="00A20CD2" w:rsidRPr="00864007" w:rsidRDefault="00A20CD2" w:rsidP="00864007">
            <w:pPr>
              <w:pStyle w:val="Tablenormal0"/>
            </w:pPr>
            <w:r w:rsidRPr="00864007">
              <w:rPr>
                <w:rFonts w:cs="Times New Roman"/>
              </w:rPr>
              <w:t>Clarify and update statutory provisions to give effect to the intended purpose of the Act and its provisions and keep the regulatory system up to date and relevant.</w:t>
            </w:r>
          </w:p>
        </w:tc>
        <w:tc>
          <w:tcPr>
            <w:tcW w:w="0" w:type="auto"/>
            <w:tcBorders>
              <w:top w:val="single" w:sz="6" w:space="0" w:color="1F497D" w:themeColor="text2"/>
            </w:tcBorders>
            <w:vAlign w:val="center"/>
          </w:tcPr>
          <w:p w:rsidR="00A20CD2" w:rsidRPr="00864007" w:rsidRDefault="00A20CD2" w:rsidP="00864007">
            <w:pPr>
              <w:pStyle w:val="Tablenormal0"/>
            </w:pPr>
            <w:r w:rsidRPr="00864007">
              <w:rPr>
                <w:rFonts w:cs="Times New Roman"/>
              </w:rPr>
              <w:t>Y</w:t>
            </w:r>
          </w:p>
        </w:tc>
        <w:tc>
          <w:tcPr>
            <w:tcW w:w="0" w:type="auto"/>
            <w:tcBorders>
              <w:top w:val="single" w:sz="6" w:space="0" w:color="1F497D" w:themeColor="text2"/>
            </w:tcBorders>
            <w:vAlign w:val="center"/>
          </w:tcPr>
          <w:p w:rsidR="00A20CD2" w:rsidRPr="00864007" w:rsidRDefault="00A20CD2" w:rsidP="00864007">
            <w:pPr>
              <w:pStyle w:val="Tablenormal0"/>
            </w:pPr>
            <w:r w:rsidRPr="00864007">
              <w:rPr>
                <w:rFonts w:cs="Times New Roman"/>
              </w:rPr>
              <w:t>Y</w:t>
            </w:r>
          </w:p>
        </w:tc>
      </w:tr>
      <w:tr w:rsidR="00A20CD2" w:rsidRPr="001028CB" w:rsidTr="00EC585D">
        <w:tc>
          <w:tcPr>
            <w:tcW w:w="0" w:type="auto"/>
            <w:vAlign w:val="center"/>
          </w:tcPr>
          <w:p w:rsidR="00A20CD2" w:rsidRPr="00864007" w:rsidRDefault="00A20CD2" w:rsidP="00864007">
            <w:pPr>
              <w:pStyle w:val="Tablenormal0"/>
            </w:pPr>
            <w:r w:rsidRPr="00864007">
              <w:rPr>
                <w:rFonts w:cs="Times New Roman"/>
              </w:rPr>
              <w:t>Address regulatory duplication, gaps, errors, and inconsistencies within and between different pieces of legislation.</w:t>
            </w:r>
          </w:p>
        </w:tc>
        <w:tc>
          <w:tcPr>
            <w:tcW w:w="0" w:type="auto"/>
            <w:vAlign w:val="center"/>
          </w:tcPr>
          <w:p w:rsidR="00A20CD2" w:rsidRPr="00864007" w:rsidRDefault="00A20CD2" w:rsidP="00864007">
            <w:pPr>
              <w:pStyle w:val="Tablenormal0"/>
            </w:pPr>
          </w:p>
        </w:tc>
        <w:tc>
          <w:tcPr>
            <w:tcW w:w="0" w:type="auto"/>
            <w:vAlign w:val="center"/>
          </w:tcPr>
          <w:p w:rsidR="00A20CD2" w:rsidRPr="00864007" w:rsidRDefault="00A20CD2" w:rsidP="00864007">
            <w:pPr>
              <w:pStyle w:val="Tablenormal0"/>
            </w:pPr>
            <w:r>
              <w:t>Y</w:t>
            </w:r>
          </w:p>
        </w:tc>
      </w:tr>
      <w:tr w:rsidR="00A20CD2" w:rsidRPr="001028CB" w:rsidTr="00EC585D">
        <w:tc>
          <w:tcPr>
            <w:tcW w:w="0" w:type="auto"/>
            <w:vAlign w:val="center"/>
          </w:tcPr>
          <w:p w:rsidR="00A20CD2" w:rsidRPr="00864007" w:rsidRDefault="00A20CD2" w:rsidP="00864007">
            <w:pPr>
              <w:pStyle w:val="Tablenormal0"/>
            </w:pPr>
            <w:r w:rsidRPr="00864007">
              <w:rPr>
                <w:rFonts w:cs="Times New Roman"/>
              </w:rPr>
              <w:t>Remove any unnecessary compliance costs and costs of doing business.</w:t>
            </w:r>
          </w:p>
        </w:tc>
        <w:tc>
          <w:tcPr>
            <w:tcW w:w="0" w:type="auto"/>
            <w:vAlign w:val="center"/>
          </w:tcPr>
          <w:p w:rsidR="00A20CD2" w:rsidRPr="00864007" w:rsidRDefault="00A20CD2" w:rsidP="00864007">
            <w:pPr>
              <w:pStyle w:val="Tablenormal0"/>
            </w:pPr>
            <w:r w:rsidRPr="00864007">
              <w:rPr>
                <w:rFonts w:cs="Times New Roman"/>
              </w:rPr>
              <w:t>Y</w:t>
            </w:r>
          </w:p>
        </w:tc>
        <w:tc>
          <w:tcPr>
            <w:tcW w:w="0" w:type="auto"/>
            <w:vAlign w:val="center"/>
          </w:tcPr>
          <w:p w:rsidR="00A20CD2" w:rsidRPr="00864007" w:rsidRDefault="00A20CD2" w:rsidP="00864007">
            <w:pPr>
              <w:pStyle w:val="Tablenormal0"/>
            </w:pPr>
          </w:p>
        </w:tc>
      </w:tr>
    </w:tbl>
    <w:p w:rsidR="00602A9F" w:rsidRDefault="00596D41" w:rsidP="00B140B1">
      <w:pPr>
        <w:pStyle w:val="Numberedpara3level1"/>
      </w:pPr>
      <w:r>
        <w:t>The Department recommends that the following amendments are made to the local government regulatory system</w:t>
      </w:r>
      <w:r w:rsidR="004C2E9E">
        <w:t>. Collectively these amendments will i</w:t>
      </w:r>
      <w:r w:rsidR="004C2E9E" w:rsidRPr="004C2E9E">
        <w:t>mprove the operational efficiency and ef</w:t>
      </w:r>
      <w:r w:rsidR="004C2E9E">
        <w:t>fectiveness of local government</w:t>
      </w:r>
      <w:r>
        <w:t>:</w:t>
      </w:r>
    </w:p>
    <w:tbl>
      <w:tblPr>
        <w:tblStyle w:val="DIATable"/>
        <w:tblW w:w="0" w:type="auto"/>
        <w:tblInd w:w="0" w:type="dxa"/>
        <w:tblLook w:val="04A0" w:firstRow="1" w:lastRow="0" w:firstColumn="1" w:lastColumn="0" w:noHBand="0" w:noVBand="1"/>
      </w:tblPr>
      <w:tblGrid>
        <w:gridCol w:w="328"/>
        <w:gridCol w:w="2872"/>
        <w:gridCol w:w="5975"/>
      </w:tblGrid>
      <w:tr w:rsidR="009E2323" w:rsidRPr="00246F0B" w:rsidTr="005357CB">
        <w:trPr>
          <w:cnfStyle w:val="100000000000" w:firstRow="1" w:lastRow="0" w:firstColumn="0" w:lastColumn="0" w:oddVBand="0" w:evenVBand="0" w:oddHBand="0" w:evenHBand="0" w:firstRowFirstColumn="0" w:firstRowLastColumn="0" w:lastRowFirstColumn="0" w:lastRowLastColumn="0"/>
          <w:trHeight w:val="346"/>
          <w:tblHeader/>
        </w:trPr>
        <w:tc>
          <w:tcPr>
            <w:tcW w:w="0" w:type="auto"/>
          </w:tcPr>
          <w:p w:rsidR="009E2323" w:rsidRPr="00246F0B" w:rsidRDefault="009E2323" w:rsidP="00A50816">
            <w:pPr>
              <w:rPr>
                <w:sz w:val="20"/>
              </w:rPr>
            </w:pPr>
          </w:p>
        </w:tc>
        <w:tc>
          <w:tcPr>
            <w:tcW w:w="2872" w:type="dxa"/>
            <w:hideMark/>
          </w:tcPr>
          <w:p w:rsidR="009E2323" w:rsidRPr="00246F0B" w:rsidRDefault="009E2323" w:rsidP="00A50816">
            <w:pPr>
              <w:rPr>
                <w:sz w:val="20"/>
                <w:szCs w:val="20"/>
              </w:rPr>
            </w:pPr>
            <w:r w:rsidRPr="00246F0B">
              <w:rPr>
                <w:sz w:val="20"/>
                <w:szCs w:val="20"/>
              </w:rPr>
              <w:t>Title</w:t>
            </w:r>
          </w:p>
        </w:tc>
        <w:tc>
          <w:tcPr>
            <w:tcW w:w="5975" w:type="dxa"/>
            <w:hideMark/>
          </w:tcPr>
          <w:p w:rsidR="009E2323" w:rsidRPr="00246F0B" w:rsidRDefault="009E2323" w:rsidP="00A50816">
            <w:pPr>
              <w:rPr>
                <w:sz w:val="20"/>
                <w:szCs w:val="20"/>
              </w:rPr>
            </w:pPr>
            <w:r w:rsidRPr="00246F0B">
              <w:rPr>
                <w:sz w:val="20"/>
                <w:szCs w:val="20"/>
              </w:rPr>
              <w:t>Description</w:t>
            </w:r>
          </w:p>
        </w:tc>
      </w:tr>
      <w:tr w:rsidR="009E2323" w:rsidRPr="00246F0B" w:rsidTr="005357CB">
        <w:trPr>
          <w:trHeight w:val="808"/>
        </w:trPr>
        <w:tc>
          <w:tcPr>
            <w:tcW w:w="0" w:type="auto"/>
          </w:tcPr>
          <w:p w:rsidR="009E2323" w:rsidRDefault="009E2323" w:rsidP="00864007">
            <w:pPr>
              <w:pStyle w:val="Tablenormal0"/>
            </w:pPr>
            <w:r>
              <w:t>1</w:t>
            </w:r>
          </w:p>
        </w:tc>
        <w:tc>
          <w:tcPr>
            <w:tcW w:w="2872" w:type="dxa"/>
            <w:hideMark/>
          </w:tcPr>
          <w:p w:rsidR="009E2323" w:rsidRPr="00246F0B" w:rsidRDefault="00587FE1" w:rsidP="00864007">
            <w:pPr>
              <w:pStyle w:val="Tablenormal0"/>
              <w:rPr>
                <w:szCs w:val="20"/>
              </w:rPr>
            </w:pPr>
            <w:r w:rsidRPr="00587FE1">
              <w:rPr>
                <w:szCs w:val="20"/>
              </w:rPr>
              <w:t>Reduce local government filing requirements and improve document accessibility</w:t>
            </w:r>
          </w:p>
        </w:tc>
        <w:tc>
          <w:tcPr>
            <w:tcW w:w="5975" w:type="dxa"/>
            <w:hideMark/>
          </w:tcPr>
          <w:p w:rsidR="009E2323" w:rsidRDefault="009E2323" w:rsidP="00864007">
            <w:pPr>
              <w:pStyle w:val="Tablenormal0"/>
            </w:pPr>
            <w:r w:rsidRPr="00246F0B">
              <w:t xml:space="preserve">Rationalise </w:t>
            </w:r>
            <w:r w:rsidR="00BF1EF2">
              <w:t>filing</w:t>
            </w:r>
            <w:r w:rsidRPr="00246F0B">
              <w:t xml:space="preserve"> requirements to the </w:t>
            </w:r>
            <w:r w:rsidR="00EB605C">
              <w:t>Secretary for</w:t>
            </w:r>
            <w:r w:rsidR="00CE5CCD" w:rsidRPr="00CE5CCD">
              <w:t xml:space="preserve"> Local Government, Auditor-General and the Parliamentary Library</w:t>
            </w:r>
            <w:r w:rsidRPr="00246F0B">
              <w:t>.</w:t>
            </w:r>
            <w:r>
              <w:t xml:space="preserve"> Replace with </w:t>
            </w:r>
            <w:r w:rsidR="0086161F">
              <w:t xml:space="preserve">a </w:t>
            </w:r>
            <w:r>
              <w:t>requirement to publish on a council website</w:t>
            </w:r>
            <w:r w:rsidR="00BF1EF2">
              <w:t xml:space="preserve"> in an accessible format</w:t>
            </w:r>
            <w:r>
              <w:t>.</w:t>
            </w:r>
            <w:r w:rsidR="0086161F">
              <w:t xml:space="preserve"> The following reporting documents would be effected:</w:t>
            </w:r>
          </w:p>
          <w:p w:rsidR="009E2323" w:rsidRPr="0086161F" w:rsidRDefault="0086161F">
            <w:pPr>
              <w:pStyle w:val="Tablebullet"/>
            </w:pPr>
            <w:r w:rsidRPr="0086161F">
              <w:t>Council Long-Term Plan</w:t>
            </w:r>
          </w:p>
          <w:p w:rsidR="0086161F" w:rsidRPr="0086161F" w:rsidRDefault="0086161F">
            <w:pPr>
              <w:pStyle w:val="Tablebullet"/>
            </w:pPr>
            <w:r w:rsidRPr="0086161F">
              <w:t>Annual Plan</w:t>
            </w:r>
          </w:p>
          <w:p w:rsidR="0086161F" w:rsidRPr="0086161F" w:rsidRDefault="0086161F">
            <w:pPr>
              <w:pStyle w:val="Tablebullet"/>
            </w:pPr>
            <w:r w:rsidRPr="0086161F">
              <w:t>Annual Report and Summary</w:t>
            </w:r>
          </w:p>
          <w:p w:rsidR="0086161F" w:rsidRPr="0086161F" w:rsidRDefault="0086161F">
            <w:pPr>
              <w:pStyle w:val="Tablebullet"/>
            </w:pPr>
            <w:r w:rsidRPr="0086161F">
              <w:t>Rating resolutions</w:t>
            </w:r>
          </w:p>
          <w:p w:rsidR="0086161F" w:rsidRPr="00246F0B" w:rsidRDefault="0086161F">
            <w:pPr>
              <w:pStyle w:val="Tablebullet"/>
              <w:rPr>
                <w:szCs w:val="20"/>
              </w:rPr>
            </w:pPr>
            <w:r w:rsidRPr="0086161F">
              <w:t>Dog control policy and practice report</w:t>
            </w:r>
          </w:p>
        </w:tc>
      </w:tr>
      <w:tr w:rsidR="009E2323" w:rsidRPr="00246F0B" w:rsidTr="005357CB">
        <w:trPr>
          <w:trHeight w:val="346"/>
        </w:trPr>
        <w:tc>
          <w:tcPr>
            <w:tcW w:w="0" w:type="auto"/>
          </w:tcPr>
          <w:p w:rsidR="009E2323" w:rsidRPr="00246F0B" w:rsidRDefault="006B0E02" w:rsidP="00864007">
            <w:pPr>
              <w:pStyle w:val="Tablenormal0"/>
            </w:pPr>
            <w:r>
              <w:t>4</w:t>
            </w:r>
          </w:p>
        </w:tc>
        <w:tc>
          <w:tcPr>
            <w:tcW w:w="2872" w:type="dxa"/>
          </w:tcPr>
          <w:p w:rsidR="009E2323" w:rsidRPr="00246F0B" w:rsidRDefault="004B0319" w:rsidP="00864007">
            <w:pPr>
              <w:pStyle w:val="Tablenormal0"/>
              <w:rPr>
                <w:szCs w:val="20"/>
              </w:rPr>
            </w:pPr>
            <w:r w:rsidRPr="004B0319">
              <w:rPr>
                <w:szCs w:val="20"/>
              </w:rPr>
              <w:t>Clarify the timing of taking office by a successful candidate following a by-election</w:t>
            </w:r>
          </w:p>
        </w:tc>
        <w:tc>
          <w:tcPr>
            <w:tcW w:w="5975" w:type="dxa"/>
          </w:tcPr>
          <w:p w:rsidR="009E2323" w:rsidRPr="00246F0B" w:rsidRDefault="009E2323" w:rsidP="00864007">
            <w:pPr>
              <w:pStyle w:val="Tablenormal0"/>
              <w:rPr>
                <w:szCs w:val="20"/>
              </w:rPr>
            </w:pPr>
            <w:r>
              <w:rPr>
                <w:szCs w:val="20"/>
              </w:rPr>
              <w:t>A</w:t>
            </w:r>
            <w:r w:rsidRPr="00F37AE1">
              <w:rPr>
                <w:szCs w:val="20"/>
              </w:rPr>
              <w:t>mend section 115</w:t>
            </w:r>
            <w:r>
              <w:rPr>
                <w:szCs w:val="20"/>
              </w:rPr>
              <w:t xml:space="preserve"> of the Local Electoral Act 2001</w:t>
            </w:r>
            <w:r w:rsidRPr="00F37AE1">
              <w:rPr>
                <w:szCs w:val="20"/>
              </w:rPr>
              <w:t xml:space="preserve"> to provide that a successful candidate in a by-election comes into office on the day after the day on which the official result of the election is declared by public notice</w:t>
            </w:r>
            <w:r>
              <w:rPr>
                <w:szCs w:val="20"/>
              </w:rPr>
              <w:t>.</w:t>
            </w:r>
          </w:p>
        </w:tc>
      </w:tr>
    </w:tbl>
    <w:p w:rsidR="00885DB0" w:rsidRPr="00864007" w:rsidRDefault="00885DB0" w:rsidP="00864007">
      <w:pPr>
        <w:spacing w:after="0"/>
        <w:rPr>
          <w:color w:val="335087"/>
          <w:spacing w:val="20"/>
          <w:w w:val="90"/>
          <w:sz w:val="2"/>
          <w:szCs w:val="2"/>
        </w:rPr>
      </w:pPr>
      <w:bookmarkStart w:id="102" w:name="_Toc244580368"/>
      <w:bookmarkStart w:id="103" w:name="_Toc244587044"/>
      <w:bookmarkStart w:id="104" w:name="_Toc244857278"/>
      <w:bookmarkStart w:id="105" w:name="_Toc244912543"/>
      <w:bookmarkStart w:id="106" w:name="_Toc244917000"/>
      <w:bookmarkStart w:id="107" w:name="_Toc362368109"/>
      <w:bookmarkStart w:id="108" w:name="_Toc362434950"/>
      <w:bookmarkStart w:id="109" w:name="_Toc362589336"/>
      <w:bookmarkStart w:id="110" w:name="_Toc362619036"/>
      <w:bookmarkStart w:id="111" w:name="_Toc362940600"/>
      <w:bookmarkStart w:id="112" w:name="_Toc363047108"/>
    </w:p>
    <w:p w:rsidR="008D5CD9" w:rsidRDefault="008D5CD9" w:rsidP="000775ED">
      <w:pPr>
        <w:pStyle w:val="Heading2"/>
      </w:pPr>
      <w:bookmarkStart w:id="113" w:name="_Toc438117167"/>
      <w:bookmarkStart w:id="114" w:name="_Toc454520712"/>
      <w:r w:rsidRPr="00082653">
        <w:t>Implementation</w:t>
      </w:r>
      <w:bookmarkEnd w:id="102"/>
      <w:bookmarkEnd w:id="103"/>
      <w:bookmarkEnd w:id="104"/>
      <w:bookmarkEnd w:id="105"/>
      <w:bookmarkEnd w:id="106"/>
      <w:r>
        <w:t xml:space="preserve"> plan</w:t>
      </w:r>
      <w:bookmarkEnd w:id="107"/>
      <w:bookmarkEnd w:id="108"/>
      <w:bookmarkEnd w:id="109"/>
      <w:bookmarkEnd w:id="110"/>
      <w:bookmarkEnd w:id="111"/>
      <w:bookmarkEnd w:id="112"/>
      <w:bookmarkEnd w:id="113"/>
      <w:bookmarkEnd w:id="114"/>
    </w:p>
    <w:p w:rsidR="000C20D1" w:rsidRDefault="000C20D1" w:rsidP="00B140B1">
      <w:pPr>
        <w:pStyle w:val="Numberedpara3level1"/>
      </w:pPr>
      <w:r>
        <w:t xml:space="preserve">A Cabinet paper is being prepared for early 2016 seeking approval to provide the Parliamentary Counsel Office with drafting instructions. The proposed amendments will require changes to </w:t>
      </w:r>
      <w:r w:rsidR="005357CB">
        <w:t xml:space="preserve">Local Government Act 2002, Local Electoral Act 2001, Local Government (Rating) Act 2002, </w:t>
      </w:r>
      <w:proofErr w:type="gramStart"/>
      <w:r w:rsidR="005357CB">
        <w:t>Dog</w:t>
      </w:r>
      <w:proofErr w:type="gramEnd"/>
      <w:r w:rsidR="005357CB">
        <w:t xml:space="preserve"> Control Act 1996.</w:t>
      </w:r>
    </w:p>
    <w:p w:rsidR="0024012A" w:rsidRDefault="00486CA6" w:rsidP="00B140B1">
      <w:pPr>
        <w:pStyle w:val="Numberedpara3level1"/>
      </w:pPr>
      <w:r>
        <w:t xml:space="preserve">All the proposed amendments will be given effect by local authorities. </w:t>
      </w:r>
      <w:r w:rsidR="00E87A06">
        <w:t>Guidance will be prepared by the Department and provided to all local authorities on implementing the changes. This advice will be provided in advance of the commencement of the amendments.</w:t>
      </w:r>
      <w:r w:rsidR="000C20D1">
        <w:t xml:space="preserve"> </w:t>
      </w:r>
      <w:r w:rsidR="00C120A8">
        <w:t>G</w:t>
      </w:r>
      <w:r w:rsidR="009C5FAF">
        <w:t>uidance will raise awareness of the changes and assist with the interpretation of the changes.</w:t>
      </w:r>
    </w:p>
    <w:p w:rsidR="00C120A8" w:rsidRDefault="005357CB" w:rsidP="00B140B1">
      <w:pPr>
        <w:pStyle w:val="Numberedpara3level1"/>
      </w:pPr>
      <w:r>
        <w:lastRenderedPageBreak/>
        <w:t>The two proposal considered here</w:t>
      </w:r>
      <w:r w:rsidR="00C120A8">
        <w:t xml:space="preserve"> will </w:t>
      </w:r>
      <w:r w:rsidR="00F61CD2">
        <w:t>result in</w:t>
      </w:r>
      <w:r w:rsidR="00C120A8">
        <w:t xml:space="preserve"> some changes to council processes. </w:t>
      </w:r>
      <w:r w:rsidR="009263BA">
        <w:t>Any costs associated will be minor and are likely to be offset by the efficiency savings from the changes.</w:t>
      </w:r>
    </w:p>
    <w:p w:rsidR="00D259F1" w:rsidRDefault="00D259F1" w:rsidP="00B140B1">
      <w:pPr>
        <w:pStyle w:val="Numberedpara3level1"/>
      </w:pPr>
      <w:r>
        <w:t xml:space="preserve">Where the amendments include changes for the public, advice to local authorities will include </w:t>
      </w:r>
      <w:r w:rsidR="00811104">
        <w:t>additional information that local authorities can incorporate into public communications.</w:t>
      </w:r>
      <w:r w:rsidR="001D3B9D">
        <w:t xml:space="preserve"> Support will b</w:t>
      </w:r>
      <w:r w:rsidR="009C5FAF">
        <w:t>e provided to Local Government N</w:t>
      </w:r>
      <w:r w:rsidR="001D3B9D">
        <w:t xml:space="preserve">ew Zealand and the Society of Local Government Managers in advising their members accordingly. </w:t>
      </w:r>
      <w:r>
        <w:t>All guidance will be made publicly available on the Department’s website.</w:t>
      </w:r>
      <w:r w:rsidR="00475E63">
        <w:t xml:space="preserve"> </w:t>
      </w:r>
    </w:p>
    <w:p w:rsidR="008D5CD9" w:rsidRDefault="008D5CD9" w:rsidP="000775ED">
      <w:pPr>
        <w:pStyle w:val="Heading2"/>
      </w:pPr>
      <w:bookmarkStart w:id="115" w:name="_Toc244580369"/>
      <w:bookmarkStart w:id="116" w:name="_Toc244587045"/>
      <w:bookmarkStart w:id="117" w:name="_Toc244857279"/>
      <w:bookmarkStart w:id="118" w:name="_Toc244912544"/>
      <w:bookmarkStart w:id="119" w:name="_Toc244917001"/>
      <w:bookmarkStart w:id="120" w:name="_Toc362368110"/>
      <w:bookmarkStart w:id="121" w:name="_Toc362434951"/>
      <w:bookmarkStart w:id="122" w:name="_Toc362589337"/>
      <w:bookmarkStart w:id="123" w:name="_Toc362619037"/>
      <w:bookmarkStart w:id="124" w:name="_Toc362940601"/>
      <w:bookmarkStart w:id="125" w:name="_Toc363047109"/>
      <w:bookmarkStart w:id="126" w:name="_Toc438117168"/>
      <w:bookmarkStart w:id="127" w:name="_Toc454520713"/>
      <w:r w:rsidRPr="00082653">
        <w:t>Monitoring, evaluation and review</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F376A1" w:rsidRPr="00F376A1" w:rsidRDefault="00811104" w:rsidP="0079105B">
      <w:pPr>
        <w:pStyle w:val="Numberedpara3level1"/>
        <w:rPr>
          <w:b/>
          <w:color w:val="335087"/>
          <w:spacing w:val="20"/>
          <w:w w:val="90"/>
          <w:sz w:val="32"/>
        </w:rPr>
      </w:pPr>
      <w:r>
        <w:t xml:space="preserve">The Department will seek the support of Local Government New Zealand and the Society of Local Government Managers to </w:t>
      </w:r>
      <w:r w:rsidR="00EC5CB7">
        <w:t xml:space="preserve">provide </w:t>
      </w:r>
      <w:r w:rsidRPr="00F376A1">
        <w:t>feedback</w:t>
      </w:r>
      <w:r>
        <w:t xml:space="preserve"> </w:t>
      </w:r>
      <w:r w:rsidR="00EC5CB7">
        <w:t>on behalf of their members</w:t>
      </w:r>
      <w:r w:rsidR="009263BA">
        <w:t xml:space="preserve"> on the effectiveness of the changes</w:t>
      </w:r>
      <w:r w:rsidR="000A7003">
        <w:t xml:space="preserve"> and the process undertaken</w:t>
      </w:r>
      <w:r w:rsidR="009263BA">
        <w:t>.</w:t>
      </w:r>
      <w:r w:rsidR="00DE19CA" w:rsidRPr="00DE19CA">
        <w:t xml:space="preserve"> </w:t>
      </w:r>
      <w:r w:rsidR="00DE19CA">
        <w:t>The information collected will be used to inform the decision to undertake another regulatory systems omnibus bill.</w:t>
      </w:r>
    </w:p>
    <w:p w:rsidR="0079105B" w:rsidRDefault="0049541E" w:rsidP="0079105B">
      <w:pPr>
        <w:pStyle w:val="Numberedpara3level1"/>
      </w:pPr>
      <w:r>
        <w:t>Separate monitoring and evaluating</w:t>
      </w:r>
      <w:r w:rsidR="00EC39C9">
        <w:t xml:space="preserve"> of the</w:t>
      </w:r>
      <w:r>
        <w:t xml:space="preserve"> implementation</w:t>
      </w:r>
      <w:r w:rsidR="00EC39C9">
        <w:t xml:space="preserve"> of the proposals</w:t>
      </w:r>
      <w:r>
        <w:t xml:space="preserve"> will not be undertaken </w:t>
      </w:r>
      <w:r w:rsidR="00EC39C9">
        <w:t>b</w:t>
      </w:r>
      <w:r w:rsidR="00DE19CA">
        <w:t>ecause of the minor nature of the proposals</w:t>
      </w:r>
      <w:bookmarkEnd w:id="9"/>
      <w:bookmarkEnd w:id="10"/>
      <w:bookmarkEnd w:id="11"/>
      <w:bookmarkEnd w:id="12"/>
      <w:bookmarkEnd w:id="13"/>
      <w:bookmarkEnd w:id="14"/>
      <w:bookmarkEnd w:id="15"/>
      <w:bookmarkEnd w:id="16"/>
      <w:bookmarkEnd w:id="17"/>
      <w:bookmarkEnd w:id="18"/>
      <w:r w:rsidR="00EC39C9">
        <w:t>.</w:t>
      </w:r>
    </w:p>
    <w:p w:rsidR="0079105B" w:rsidRDefault="0079105B">
      <w:pPr>
        <w:spacing w:after="0" w:line="240" w:lineRule="auto"/>
        <w:rPr>
          <w:rFonts w:ascii="Calibri" w:eastAsiaTheme="minorHAnsi" w:hAnsi="Calibri"/>
          <w:sz w:val="24"/>
          <w:szCs w:val="24"/>
          <w:lang w:val="en-NZ" w:eastAsia="en-US"/>
        </w:rPr>
      </w:pPr>
      <w:r>
        <w:br w:type="page"/>
      </w:r>
    </w:p>
    <w:p w:rsidR="003A3E6A" w:rsidRDefault="0079105B" w:rsidP="0079105B">
      <w:pPr>
        <w:pStyle w:val="Heading2"/>
      </w:pPr>
      <w:bookmarkStart w:id="128" w:name="_Toc454520714"/>
      <w:r>
        <w:lastRenderedPageBreak/>
        <w:t>Appendix</w:t>
      </w:r>
      <w:r w:rsidR="00765225">
        <w:t xml:space="preserve"> A</w:t>
      </w:r>
      <w:r>
        <w:t>: Complete list of proposed amendments</w:t>
      </w:r>
      <w:bookmarkEnd w:id="128"/>
    </w:p>
    <w:tbl>
      <w:tblPr>
        <w:tblStyle w:val="DIATable"/>
        <w:tblW w:w="0" w:type="auto"/>
        <w:tblLook w:val="04A0" w:firstRow="1" w:lastRow="0" w:firstColumn="1" w:lastColumn="0" w:noHBand="0" w:noVBand="1"/>
      </w:tblPr>
      <w:tblGrid>
        <w:gridCol w:w="440"/>
        <w:gridCol w:w="2457"/>
        <w:gridCol w:w="5747"/>
        <w:gridCol w:w="535"/>
      </w:tblGrid>
      <w:tr w:rsidR="0079105B" w:rsidRPr="00AB16AD" w:rsidTr="00972E63">
        <w:trPr>
          <w:cnfStyle w:val="100000000000" w:firstRow="1" w:lastRow="0" w:firstColumn="0" w:lastColumn="0" w:oddVBand="0" w:evenVBand="0" w:oddHBand="0" w:evenHBand="0" w:firstRowFirstColumn="0" w:firstRowLastColumn="0" w:lastRowFirstColumn="0" w:lastRowLastColumn="0"/>
          <w:trHeight w:val="577"/>
        </w:trPr>
        <w:tc>
          <w:tcPr>
            <w:tcW w:w="0" w:type="auto"/>
          </w:tcPr>
          <w:p w:rsidR="0079105B" w:rsidRPr="00AB16AD" w:rsidRDefault="0079105B" w:rsidP="00972E63">
            <w:pPr>
              <w:pStyle w:val="Tablenormal0"/>
            </w:pPr>
            <w:r w:rsidRPr="00AB16AD">
              <w:t>#</w:t>
            </w:r>
          </w:p>
        </w:tc>
        <w:tc>
          <w:tcPr>
            <w:tcW w:w="0" w:type="auto"/>
          </w:tcPr>
          <w:p w:rsidR="0079105B" w:rsidRPr="00AB16AD" w:rsidRDefault="0079105B" w:rsidP="00972E63">
            <w:pPr>
              <w:pStyle w:val="Tablenormal0"/>
            </w:pPr>
            <w:r w:rsidRPr="00AB16AD">
              <w:t>Title</w:t>
            </w:r>
          </w:p>
        </w:tc>
        <w:tc>
          <w:tcPr>
            <w:tcW w:w="0" w:type="auto"/>
          </w:tcPr>
          <w:p w:rsidR="0079105B" w:rsidRPr="00AB16AD" w:rsidRDefault="0079105B" w:rsidP="00972E63">
            <w:pPr>
              <w:pStyle w:val="Tablenormal0"/>
            </w:pPr>
            <w:r w:rsidRPr="00AB16AD">
              <w:t>Description</w:t>
            </w:r>
          </w:p>
        </w:tc>
        <w:tc>
          <w:tcPr>
            <w:tcW w:w="0" w:type="auto"/>
          </w:tcPr>
          <w:p w:rsidR="0079105B" w:rsidRPr="00AB16AD" w:rsidRDefault="0079105B" w:rsidP="00972E63">
            <w:pPr>
              <w:pStyle w:val="Tablenormal0"/>
            </w:pPr>
            <w:r w:rsidRPr="00AB16AD">
              <w:t>In RIS</w:t>
            </w:r>
          </w:p>
        </w:tc>
      </w:tr>
      <w:tr w:rsidR="0079105B" w:rsidRPr="00AB16AD" w:rsidTr="00972E63">
        <w:trPr>
          <w:trHeight w:val="577"/>
        </w:trPr>
        <w:tc>
          <w:tcPr>
            <w:tcW w:w="0" w:type="auto"/>
          </w:tcPr>
          <w:p w:rsidR="0079105B" w:rsidRPr="00AB16AD" w:rsidRDefault="0079105B" w:rsidP="00972E63">
            <w:pPr>
              <w:pStyle w:val="Tablenormal0"/>
            </w:pPr>
            <w:r w:rsidRPr="00AB16AD">
              <w:t>1</w:t>
            </w:r>
          </w:p>
        </w:tc>
        <w:tc>
          <w:tcPr>
            <w:tcW w:w="0" w:type="auto"/>
          </w:tcPr>
          <w:p w:rsidR="0079105B" w:rsidRPr="00AB16AD" w:rsidRDefault="0079105B" w:rsidP="00972E63">
            <w:pPr>
              <w:pStyle w:val="Tablenormal0"/>
            </w:pPr>
            <w:r>
              <w:t>Require digital public notices</w:t>
            </w:r>
          </w:p>
        </w:tc>
        <w:tc>
          <w:tcPr>
            <w:tcW w:w="0" w:type="auto"/>
          </w:tcPr>
          <w:p w:rsidR="0079105B" w:rsidRPr="00AB16AD" w:rsidRDefault="0079105B" w:rsidP="00972E63">
            <w:pPr>
              <w:pStyle w:val="Tablenormal0"/>
            </w:pPr>
            <w:r w:rsidRPr="00AB16AD">
              <w:t xml:space="preserve">The current public notice definition restricts notices to newspapers. There is no ability to substitute with a notice on an authority's website. The proposal is to require public notices to be placed in a prominent place on a </w:t>
            </w:r>
            <w:proofErr w:type="gramStart"/>
            <w:r w:rsidRPr="00AB16AD">
              <w:t>councils</w:t>
            </w:r>
            <w:proofErr w:type="gramEnd"/>
            <w:r w:rsidRPr="00AB16AD">
              <w:t xml:space="preserve"> website.</w:t>
            </w:r>
          </w:p>
        </w:tc>
        <w:tc>
          <w:tcPr>
            <w:tcW w:w="0" w:type="auto"/>
            <w:vAlign w:val="center"/>
          </w:tcPr>
          <w:p w:rsidR="0079105B" w:rsidRPr="00AB16AD" w:rsidRDefault="0079105B" w:rsidP="00972E63">
            <w:pPr>
              <w:pStyle w:val="Tablenormal0"/>
              <w:jc w:val="center"/>
              <w:rPr>
                <w:b/>
              </w:rPr>
            </w:pPr>
            <w:r>
              <w:rPr>
                <w:b/>
              </w:rPr>
              <w:t>-</w:t>
            </w:r>
          </w:p>
        </w:tc>
      </w:tr>
      <w:tr w:rsidR="0079105B" w:rsidRPr="00AB16AD" w:rsidTr="00972E63">
        <w:trPr>
          <w:trHeight w:val="808"/>
        </w:trPr>
        <w:tc>
          <w:tcPr>
            <w:tcW w:w="0" w:type="auto"/>
            <w:hideMark/>
          </w:tcPr>
          <w:p w:rsidR="0079105B" w:rsidRPr="00AB16AD" w:rsidRDefault="0079105B" w:rsidP="00972E63">
            <w:pPr>
              <w:pStyle w:val="Tablenormal0"/>
            </w:pPr>
            <w:r w:rsidRPr="00AB16AD">
              <w:t>2</w:t>
            </w:r>
          </w:p>
        </w:tc>
        <w:tc>
          <w:tcPr>
            <w:tcW w:w="0" w:type="auto"/>
            <w:hideMark/>
          </w:tcPr>
          <w:p w:rsidR="0079105B" w:rsidRPr="00AB16AD" w:rsidRDefault="0079105B" w:rsidP="00972E63">
            <w:pPr>
              <w:pStyle w:val="Tablenormal0"/>
            </w:pPr>
            <w:r w:rsidRPr="00AB16AD">
              <w:t>Standardi</w:t>
            </w:r>
            <w:r>
              <w:t>se the meaning of "working day"</w:t>
            </w:r>
          </w:p>
        </w:tc>
        <w:tc>
          <w:tcPr>
            <w:tcW w:w="0" w:type="auto"/>
            <w:hideMark/>
          </w:tcPr>
          <w:p w:rsidR="0079105B" w:rsidRPr="00AB16AD" w:rsidRDefault="0079105B" w:rsidP="00972E63">
            <w:pPr>
              <w:pStyle w:val="Tablenormal0"/>
            </w:pPr>
            <w:r w:rsidRPr="00AB16AD">
              <w:t>The Local Government Act 2002 and Local Government and Official Information and Meetings Act 1987 contain different definitions of a working day. This impacts the length of time over the December-January holiday period for processing requests for service.</w:t>
            </w:r>
          </w:p>
        </w:tc>
        <w:tc>
          <w:tcPr>
            <w:tcW w:w="0" w:type="auto"/>
            <w:vAlign w:val="center"/>
          </w:tcPr>
          <w:p w:rsidR="0079105B" w:rsidRPr="00AB16AD" w:rsidRDefault="0079105B" w:rsidP="00972E63">
            <w:pPr>
              <w:pStyle w:val="Tablenormal0"/>
              <w:jc w:val="center"/>
              <w:rPr>
                <w:b/>
              </w:rPr>
            </w:pPr>
            <w:r>
              <w:rPr>
                <w:b/>
              </w:rPr>
              <w:t>-</w:t>
            </w:r>
          </w:p>
        </w:tc>
      </w:tr>
      <w:tr w:rsidR="0079105B" w:rsidRPr="00AB16AD" w:rsidTr="00972E63">
        <w:trPr>
          <w:trHeight w:val="577"/>
        </w:trPr>
        <w:tc>
          <w:tcPr>
            <w:tcW w:w="0" w:type="auto"/>
            <w:hideMark/>
          </w:tcPr>
          <w:p w:rsidR="0079105B" w:rsidRPr="00AB16AD" w:rsidRDefault="0079105B" w:rsidP="00972E63">
            <w:pPr>
              <w:pStyle w:val="Tablenormal0"/>
            </w:pPr>
            <w:r w:rsidRPr="00AB16AD">
              <w:t>3</w:t>
            </w:r>
          </w:p>
        </w:tc>
        <w:tc>
          <w:tcPr>
            <w:tcW w:w="0" w:type="auto"/>
            <w:hideMark/>
          </w:tcPr>
          <w:p w:rsidR="0079105B" w:rsidRPr="00AB16AD" w:rsidRDefault="0079105B" w:rsidP="00972E63">
            <w:pPr>
              <w:pStyle w:val="Tablenormal0"/>
            </w:pPr>
            <w:r w:rsidRPr="00AB16AD">
              <w:t>Clarify the public notification requirements for th</w:t>
            </w:r>
            <w:r>
              <w:t>e creation of a pedestrian mall</w:t>
            </w:r>
          </w:p>
        </w:tc>
        <w:tc>
          <w:tcPr>
            <w:tcW w:w="0" w:type="auto"/>
            <w:hideMark/>
          </w:tcPr>
          <w:p w:rsidR="0079105B" w:rsidRPr="00AB16AD" w:rsidRDefault="0079105B" w:rsidP="00972E63">
            <w:pPr>
              <w:pStyle w:val="Tablenormal0"/>
            </w:pPr>
            <w:r w:rsidRPr="00AB16AD">
              <w:t>Correct</w:t>
            </w:r>
            <w:r w:rsidR="00A24528">
              <w:t xml:space="preserve"> an</w:t>
            </w:r>
            <w:r w:rsidRPr="00AB16AD">
              <w:t xml:space="preserve"> error in the LGA74 where section 336(9) LGA74 refers to a public notice required by section 83(1</w:t>
            </w:r>
            <w:proofErr w:type="gramStart"/>
            <w:r w:rsidRPr="00AB16AD">
              <w:t>)(</w:t>
            </w:r>
            <w:proofErr w:type="gramEnd"/>
            <w:r w:rsidRPr="00AB16AD">
              <w:t>3) of the LGA02, that section no longer refers to a public notice. Require the rights of appeal to be noted in the statement of proposal and summary of information if one is provided.</w:t>
            </w:r>
          </w:p>
        </w:tc>
        <w:tc>
          <w:tcPr>
            <w:tcW w:w="0" w:type="auto"/>
            <w:vAlign w:val="center"/>
          </w:tcPr>
          <w:p w:rsidR="0079105B" w:rsidRPr="00AB16AD" w:rsidRDefault="0079105B" w:rsidP="00972E63">
            <w:pPr>
              <w:pStyle w:val="Tablenormal0"/>
              <w:jc w:val="center"/>
              <w:rPr>
                <w:b/>
              </w:rPr>
            </w:pPr>
            <w:r>
              <w:rPr>
                <w:b/>
              </w:rPr>
              <w:t>-</w:t>
            </w:r>
          </w:p>
        </w:tc>
      </w:tr>
      <w:tr w:rsidR="0079105B" w:rsidRPr="00AB16AD" w:rsidTr="00972E63">
        <w:trPr>
          <w:trHeight w:val="693"/>
        </w:trPr>
        <w:tc>
          <w:tcPr>
            <w:tcW w:w="0" w:type="auto"/>
            <w:hideMark/>
          </w:tcPr>
          <w:p w:rsidR="0079105B" w:rsidRPr="00AB16AD" w:rsidRDefault="0079105B" w:rsidP="00972E63">
            <w:pPr>
              <w:pStyle w:val="Tablenormal0"/>
            </w:pPr>
            <w:r w:rsidRPr="00AB16AD">
              <w:t>4</w:t>
            </w:r>
          </w:p>
        </w:tc>
        <w:tc>
          <w:tcPr>
            <w:tcW w:w="0" w:type="auto"/>
            <w:hideMark/>
          </w:tcPr>
          <w:p w:rsidR="0079105B" w:rsidRPr="00AB16AD" w:rsidRDefault="0079105B" w:rsidP="00972E63">
            <w:pPr>
              <w:pStyle w:val="Tablenormal0"/>
            </w:pPr>
            <w:r w:rsidRPr="00AB16AD">
              <w:t>Clarify the organisations permitted to verify disability Assist Dog</w:t>
            </w:r>
          </w:p>
        </w:tc>
        <w:tc>
          <w:tcPr>
            <w:tcW w:w="0" w:type="auto"/>
            <w:hideMark/>
          </w:tcPr>
          <w:p w:rsidR="0079105B" w:rsidRPr="00AB16AD" w:rsidRDefault="0079105B" w:rsidP="00972E63">
            <w:pPr>
              <w:pStyle w:val="Tablenormal0"/>
            </w:pPr>
            <w:r w:rsidRPr="00AB16AD">
              <w:t xml:space="preserve">The legal definition of "Disability Assist Dog" includes a list of the organisations which are authorised to certify a dog as such. Legislative change is required each time an organisation is added to or removed from the list. </w:t>
            </w:r>
            <w:r>
              <w:t xml:space="preserve">It </w:t>
            </w:r>
            <w:r w:rsidRPr="00AB16AD">
              <w:t>propose</w:t>
            </w:r>
            <w:r>
              <w:t>d</w:t>
            </w:r>
            <w:r w:rsidRPr="00AB16AD">
              <w:t xml:space="preserve"> to allow for organisations to be added or removed without legislative change.</w:t>
            </w:r>
          </w:p>
        </w:tc>
        <w:tc>
          <w:tcPr>
            <w:tcW w:w="0" w:type="auto"/>
            <w:vAlign w:val="center"/>
          </w:tcPr>
          <w:p w:rsidR="0079105B" w:rsidRPr="00AB16AD" w:rsidRDefault="0079105B" w:rsidP="00972E63">
            <w:pPr>
              <w:pStyle w:val="Tablenormal0"/>
              <w:jc w:val="center"/>
              <w:rPr>
                <w:b/>
              </w:rPr>
            </w:pPr>
            <w:r>
              <w:rPr>
                <w:b/>
              </w:rPr>
              <w:t>-</w:t>
            </w:r>
          </w:p>
        </w:tc>
      </w:tr>
      <w:tr w:rsidR="0079105B" w:rsidRPr="00AB16AD" w:rsidTr="00972E63">
        <w:trPr>
          <w:trHeight w:val="346"/>
        </w:trPr>
        <w:tc>
          <w:tcPr>
            <w:tcW w:w="0" w:type="auto"/>
            <w:hideMark/>
          </w:tcPr>
          <w:p w:rsidR="0079105B" w:rsidRPr="00AB16AD" w:rsidRDefault="0079105B" w:rsidP="00972E63">
            <w:pPr>
              <w:pStyle w:val="Tablenormal0"/>
            </w:pPr>
            <w:r w:rsidRPr="00AB16AD">
              <w:t>5</w:t>
            </w:r>
          </w:p>
        </w:tc>
        <w:tc>
          <w:tcPr>
            <w:tcW w:w="0" w:type="auto"/>
            <w:hideMark/>
          </w:tcPr>
          <w:p w:rsidR="0079105B" w:rsidRPr="00AB16AD" w:rsidRDefault="0079105B" w:rsidP="00972E63">
            <w:pPr>
              <w:pStyle w:val="Tablenormal0"/>
            </w:pPr>
            <w:r w:rsidRPr="00AB16AD">
              <w:t xml:space="preserve">Clarify war veterans' eligibility for rates rebates </w:t>
            </w:r>
          </w:p>
        </w:tc>
        <w:tc>
          <w:tcPr>
            <w:tcW w:w="0" w:type="auto"/>
            <w:hideMark/>
          </w:tcPr>
          <w:p w:rsidR="0079105B" w:rsidRPr="00AB16AD" w:rsidRDefault="0079105B" w:rsidP="00972E63">
            <w:pPr>
              <w:pStyle w:val="Tablenormal0"/>
            </w:pPr>
            <w:r w:rsidRPr="00AB16AD">
              <w:t>Remo</w:t>
            </w:r>
            <w:r>
              <w:t>ve ambiguity by amending the Rates Rebate Act 1973</w:t>
            </w:r>
            <w:r w:rsidRPr="00AB16AD">
              <w:t xml:space="preserve"> to refer instead to any allowances</w:t>
            </w:r>
            <w:r>
              <w:t>, particular entitlements paid by</w:t>
            </w:r>
            <w:r w:rsidRPr="00AB16AD">
              <w:t xml:space="preserve"> Veterans' Affairs.</w:t>
            </w:r>
          </w:p>
        </w:tc>
        <w:tc>
          <w:tcPr>
            <w:tcW w:w="0" w:type="auto"/>
            <w:vAlign w:val="center"/>
          </w:tcPr>
          <w:p w:rsidR="0079105B" w:rsidRPr="00AB16AD" w:rsidRDefault="0079105B" w:rsidP="00972E63">
            <w:pPr>
              <w:pStyle w:val="Tablenormal0"/>
              <w:jc w:val="center"/>
              <w:rPr>
                <w:b/>
              </w:rPr>
            </w:pPr>
            <w:r>
              <w:rPr>
                <w:b/>
              </w:rPr>
              <w:t>-</w:t>
            </w:r>
          </w:p>
        </w:tc>
      </w:tr>
      <w:tr w:rsidR="0079105B" w:rsidRPr="00AB16AD" w:rsidTr="00972E63">
        <w:trPr>
          <w:trHeight w:val="346"/>
        </w:trPr>
        <w:tc>
          <w:tcPr>
            <w:tcW w:w="0" w:type="auto"/>
          </w:tcPr>
          <w:p w:rsidR="0079105B" w:rsidRPr="00AB16AD" w:rsidRDefault="0079105B" w:rsidP="00972E63">
            <w:pPr>
              <w:pStyle w:val="Tablenormal0"/>
            </w:pPr>
            <w:r w:rsidRPr="00AB16AD">
              <w:t>6</w:t>
            </w:r>
          </w:p>
        </w:tc>
        <w:tc>
          <w:tcPr>
            <w:tcW w:w="0" w:type="auto"/>
          </w:tcPr>
          <w:p w:rsidR="0079105B" w:rsidRPr="00AB16AD" w:rsidRDefault="0079105B" w:rsidP="00972E63">
            <w:pPr>
              <w:pStyle w:val="Tablenormal0"/>
            </w:pPr>
            <w:r w:rsidRPr="00AB16AD">
              <w:t>Remove the requirement for a statement on rates limits in council financial strategies</w:t>
            </w:r>
          </w:p>
        </w:tc>
        <w:tc>
          <w:tcPr>
            <w:tcW w:w="0" w:type="auto"/>
          </w:tcPr>
          <w:p w:rsidR="0079105B" w:rsidRPr="00AB16AD" w:rsidRDefault="0079105B" w:rsidP="00972E63">
            <w:pPr>
              <w:pStyle w:val="Tablenormal0"/>
            </w:pPr>
            <w:r w:rsidRPr="00AB16AD">
              <w:t xml:space="preserve">Remove the requirement to include a statement of a local authority’s limit on rates. This statement is unnecessary we propose amending sections 93C and 101A of the Local Government Act 2002 to remove the requirement for the inclusion of a statement on the quantified limit on rates in a council long-term plan and consultation documents. </w:t>
            </w:r>
          </w:p>
        </w:tc>
        <w:tc>
          <w:tcPr>
            <w:tcW w:w="0" w:type="auto"/>
            <w:vAlign w:val="center"/>
          </w:tcPr>
          <w:p w:rsidR="0079105B" w:rsidRPr="00AB16AD" w:rsidRDefault="0079105B" w:rsidP="00972E63">
            <w:pPr>
              <w:pStyle w:val="Tablenormal0"/>
              <w:jc w:val="center"/>
              <w:rPr>
                <w:b/>
              </w:rPr>
            </w:pPr>
            <w:r>
              <w:rPr>
                <w:b/>
              </w:rPr>
              <w:t>-</w:t>
            </w:r>
          </w:p>
        </w:tc>
      </w:tr>
      <w:tr w:rsidR="0079105B" w:rsidRPr="00AB16AD" w:rsidTr="00972E63">
        <w:trPr>
          <w:trHeight w:val="808"/>
        </w:trPr>
        <w:tc>
          <w:tcPr>
            <w:tcW w:w="0" w:type="auto"/>
            <w:hideMark/>
          </w:tcPr>
          <w:p w:rsidR="0079105B" w:rsidRPr="00AB16AD" w:rsidRDefault="0079105B" w:rsidP="00972E63">
            <w:pPr>
              <w:pStyle w:val="Tablenormal0"/>
            </w:pPr>
            <w:r w:rsidRPr="00AB16AD">
              <w:t>7</w:t>
            </w:r>
          </w:p>
        </w:tc>
        <w:tc>
          <w:tcPr>
            <w:tcW w:w="0" w:type="auto"/>
            <w:hideMark/>
          </w:tcPr>
          <w:p w:rsidR="0079105B" w:rsidRPr="00AB16AD" w:rsidRDefault="0079105B" w:rsidP="00972E63">
            <w:pPr>
              <w:pStyle w:val="Tablenormal0"/>
            </w:pPr>
            <w:r w:rsidRPr="00AB16AD">
              <w:t>Reduce local government filing requirements and</w:t>
            </w:r>
            <w:r>
              <w:t xml:space="preserve"> improve document accessibility</w:t>
            </w:r>
          </w:p>
        </w:tc>
        <w:tc>
          <w:tcPr>
            <w:tcW w:w="0" w:type="auto"/>
            <w:hideMark/>
          </w:tcPr>
          <w:p w:rsidR="0079105B" w:rsidRPr="00AB16AD" w:rsidRDefault="0079105B" w:rsidP="00972E63">
            <w:pPr>
              <w:pStyle w:val="Tablenormal0"/>
            </w:pPr>
            <w:r w:rsidRPr="00AB16AD">
              <w:t>Rationalise filing requirements to the Secretary of Local Government, Auditor-General and the Parliamentary Library. Replace with a requirement to publish on a council website in an accessible format. The following reporting documents would be effected:</w:t>
            </w:r>
          </w:p>
          <w:p w:rsidR="0079105B" w:rsidRPr="00AB16AD" w:rsidRDefault="0079105B" w:rsidP="00972E63">
            <w:pPr>
              <w:pStyle w:val="Tablebullet"/>
            </w:pPr>
            <w:r w:rsidRPr="00AB16AD">
              <w:t>Council Long-Term Plan</w:t>
            </w:r>
          </w:p>
          <w:p w:rsidR="0079105B" w:rsidRPr="00AB16AD" w:rsidRDefault="0079105B" w:rsidP="00972E63">
            <w:pPr>
              <w:pStyle w:val="Tablebullet"/>
            </w:pPr>
            <w:r w:rsidRPr="00AB16AD">
              <w:t>Annual Plan</w:t>
            </w:r>
          </w:p>
          <w:p w:rsidR="0079105B" w:rsidRPr="00AB16AD" w:rsidRDefault="0079105B" w:rsidP="00972E63">
            <w:pPr>
              <w:pStyle w:val="Tablebullet"/>
            </w:pPr>
            <w:r w:rsidRPr="00AB16AD">
              <w:t>Annual Report and Summary</w:t>
            </w:r>
          </w:p>
          <w:p w:rsidR="0079105B" w:rsidRPr="00AB16AD" w:rsidRDefault="0079105B" w:rsidP="00972E63">
            <w:pPr>
              <w:pStyle w:val="Tablebullet"/>
            </w:pPr>
            <w:r w:rsidRPr="00AB16AD">
              <w:t>Rating resolutions</w:t>
            </w:r>
          </w:p>
          <w:p w:rsidR="0079105B" w:rsidRPr="00AB16AD" w:rsidRDefault="0079105B" w:rsidP="00972E63">
            <w:pPr>
              <w:pStyle w:val="Tablebullet"/>
            </w:pPr>
            <w:r w:rsidRPr="00AB16AD">
              <w:t>Dog control policy and practice report</w:t>
            </w:r>
          </w:p>
        </w:tc>
        <w:tc>
          <w:tcPr>
            <w:tcW w:w="0" w:type="auto"/>
            <w:vAlign w:val="center"/>
          </w:tcPr>
          <w:p w:rsidR="0079105B" w:rsidRPr="00AB16AD" w:rsidRDefault="0079105B" w:rsidP="00972E63">
            <w:pPr>
              <w:pStyle w:val="Tablenormal0"/>
              <w:jc w:val="center"/>
              <w:rPr>
                <w:b/>
              </w:rPr>
            </w:pPr>
            <w:r w:rsidRPr="00AB16AD">
              <w:rPr>
                <w:b/>
              </w:rPr>
              <w:sym w:font="Wingdings 2" w:char="F050"/>
            </w:r>
          </w:p>
        </w:tc>
      </w:tr>
      <w:tr w:rsidR="0079105B" w:rsidRPr="00AB16AD" w:rsidTr="00972E63">
        <w:trPr>
          <w:trHeight w:val="577"/>
        </w:trPr>
        <w:tc>
          <w:tcPr>
            <w:tcW w:w="0" w:type="auto"/>
            <w:hideMark/>
          </w:tcPr>
          <w:p w:rsidR="0079105B" w:rsidRPr="00AB16AD" w:rsidRDefault="0079105B" w:rsidP="00972E63">
            <w:pPr>
              <w:pStyle w:val="Tablenormal0"/>
            </w:pPr>
            <w:r w:rsidRPr="00AB16AD">
              <w:t>8</w:t>
            </w:r>
          </w:p>
        </w:tc>
        <w:tc>
          <w:tcPr>
            <w:tcW w:w="0" w:type="auto"/>
            <w:hideMark/>
          </w:tcPr>
          <w:p w:rsidR="0079105B" w:rsidRPr="00AB16AD" w:rsidRDefault="0079105B" w:rsidP="00972E63">
            <w:pPr>
              <w:pStyle w:val="Tablenormal0"/>
            </w:pPr>
            <w:r w:rsidRPr="00AB16AD">
              <w:t>Align deleg</w:t>
            </w:r>
            <w:r>
              <w:t>ation and sub-delegation powers</w:t>
            </w:r>
          </w:p>
        </w:tc>
        <w:tc>
          <w:tcPr>
            <w:tcW w:w="0" w:type="auto"/>
            <w:hideMark/>
          </w:tcPr>
          <w:p w:rsidR="0079105B" w:rsidRPr="00AB16AD" w:rsidRDefault="0079105B" w:rsidP="00972E63">
            <w:pPr>
              <w:pStyle w:val="Tablenormal0"/>
            </w:pPr>
            <w:r w:rsidRPr="00AB16AD">
              <w:t>Currently the LGA reads as though the power to sub-delegate is broader than the power to delegate.</w:t>
            </w:r>
            <w:r>
              <w:t xml:space="preserve"> It is proposed</w:t>
            </w:r>
            <w:r w:rsidRPr="00AB16AD">
              <w:t xml:space="preserve"> to limit the sub-delegation power so that it aligns with the limits on the delegation power.</w:t>
            </w:r>
          </w:p>
        </w:tc>
        <w:tc>
          <w:tcPr>
            <w:tcW w:w="0" w:type="auto"/>
            <w:vAlign w:val="center"/>
          </w:tcPr>
          <w:p w:rsidR="0079105B" w:rsidRPr="00AB16AD" w:rsidRDefault="0079105B" w:rsidP="00972E63">
            <w:pPr>
              <w:pStyle w:val="Tablenormal0"/>
              <w:jc w:val="center"/>
              <w:rPr>
                <w:b/>
              </w:rPr>
            </w:pPr>
            <w:r>
              <w:rPr>
                <w:b/>
              </w:rPr>
              <w:t>-</w:t>
            </w:r>
          </w:p>
        </w:tc>
      </w:tr>
      <w:tr w:rsidR="0079105B" w:rsidRPr="00AB16AD" w:rsidTr="00972E63">
        <w:trPr>
          <w:trHeight w:val="346"/>
        </w:trPr>
        <w:tc>
          <w:tcPr>
            <w:tcW w:w="0" w:type="auto"/>
            <w:hideMark/>
          </w:tcPr>
          <w:p w:rsidR="0079105B" w:rsidRPr="00AB16AD" w:rsidRDefault="0079105B" w:rsidP="00972E63">
            <w:pPr>
              <w:pStyle w:val="Tablenormal0"/>
            </w:pPr>
            <w:r w:rsidRPr="00AB16AD">
              <w:lastRenderedPageBreak/>
              <w:t>9</w:t>
            </w:r>
          </w:p>
        </w:tc>
        <w:tc>
          <w:tcPr>
            <w:tcW w:w="0" w:type="auto"/>
            <w:hideMark/>
          </w:tcPr>
          <w:p w:rsidR="0079105B" w:rsidRPr="00AB16AD" w:rsidRDefault="0079105B" w:rsidP="00972E63">
            <w:pPr>
              <w:pStyle w:val="Tablenormal0"/>
            </w:pPr>
            <w:r w:rsidRPr="00AB16AD">
              <w:t>Clarify the me</w:t>
            </w:r>
            <w:r>
              <w:t>aning of extraordinary meetings</w:t>
            </w:r>
          </w:p>
        </w:tc>
        <w:tc>
          <w:tcPr>
            <w:tcW w:w="0" w:type="auto"/>
            <w:hideMark/>
          </w:tcPr>
          <w:p w:rsidR="0079105B" w:rsidRPr="00AB16AD" w:rsidRDefault="0079105B" w:rsidP="00972E63">
            <w:pPr>
              <w:pStyle w:val="Tablenormal0"/>
            </w:pPr>
            <w:r w:rsidRPr="00AB16AD">
              <w:t xml:space="preserve">Clarify what an “extraordinary meeting” is in the Local Government Act 2002 to ensure they are used appropriately. </w:t>
            </w:r>
            <w:r>
              <w:t>It is</w:t>
            </w:r>
            <w:r w:rsidRPr="00AB16AD">
              <w:t xml:space="preserve"> propose</w:t>
            </w:r>
            <w:r>
              <w:t>d</w:t>
            </w:r>
            <w:r w:rsidRPr="00AB16AD">
              <w:t xml:space="preserve"> to distinguish the concepts within the LGA02 or defining the term. </w:t>
            </w:r>
          </w:p>
        </w:tc>
        <w:tc>
          <w:tcPr>
            <w:tcW w:w="0" w:type="auto"/>
            <w:vAlign w:val="center"/>
          </w:tcPr>
          <w:p w:rsidR="0079105B" w:rsidRPr="00AB16AD" w:rsidRDefault="0079105B" w:rsidP="00972E63">
            <w:pPr>
              <w:pStyle w:val="Tablenormal0"/>
              <w:jc w:val="center"/>
              <w:rPr>
                <w:b/>
              </w:rPr>
            </w:pPr>
            <w:r>
              <w:rPr>
                <w:b/>
              </w:rPr>
              <w:t>-</w:t>
            </w:r>
          </w:p>
        </w:tc>
      </w:tr>
      <w:tr w:rsidR="0079105B" w:rsidRPr="00AB16AD" w:rsidTr="00972E63">
        <w:trPr>
          <w:trHeight w:val="224"/>
        </w:trPr>
        <w:tc>
          <w:tcPr>
            <w:tcW w:w="0" w:type="auto"/>
            <w:hideMark/>
          </w:tcPr>
          <w:p w:rsidR="0079105B" w:rsidRPr="00AB16AD" w:rsidRDefault="0079105B" w:rsidP="00972E63">
            <w:pPr>
              <w:pStyle w:val="Tablenormal0"/>
            </w:pPr>
            <w:r w:rsidRPr="00AB16AD">
              <w:t>10</w:t>
            </w:r>
          </w:p>
        </w:tc>
        <w:tc>
          <w:tcPr>
            <w:tcW w:w="0" w:type="auto"/>
            <w:hideMark/>
          </w:tcPr>
          <w:p w:rsidR="0079105B" w:rsidRPr="00AB16AD" w:rsidRDefault="0079105B" w:rsidP="00972E63">
            <w:pPr>
              <w:pStyle w:val="Tablenormal0"/>
            </w:pPr>
            <w:r w:rsidRPr="00AB16AD">
              <w:t>Correct a mismatched offence for advertising during r</w:t>
            </w:r>
            <w:r>
              <w:t>eorganisation referendum period</w:t>
            </w:r>
            <w:r w:rsidRPr="00AB16AD">
              <w:t>)</w:t>
            </w:r>
          </w:p>
        </w:tc>
        <w:tc>
          <w:tcPr>
            <w:tcW w:w="0" w:type="auto"/>
            <w:hideMark/>
          </w:tcPr>
          <w:p w:rsidR="0079105B" w:rsidRPr="00AB16AD" w:rsidRDefault="0079105B" w:rsidP="00972E63">
            <w:pPr>
              <w:pStyle w:val="Tablenormal0"/>
            </w:pPr>
            <w:r w:rsidRPr="00AB16AD">
              <w:t>The offence i</w:t>
            </w:r>
            <w:r>
              <w:t>n section 233 of the Local Government Act 2002</w:t>
            </w:r>
            <w:r w:rsidRPr="00AB16AD">
              <w:t xml:space="preserve"> related to clause 58 Schedule 3 as it was prior to the enactment of the Local Government Act 2002 Amendment Act 2012. The equivalent clause in Schedule 3 is now clause 32 of Schedule 3. Realign this cross reference.</w:t>
            </w:r>
          </w:p>
        </w:tc>
        <w:tc>
          <w:tcPr>
            <w:tcW w:w="0" w:type="auto"/>
            <w:vAlign w:val="center"/>
          </w:tcPr>
          <w:p w:rsidR="0079105B" w:rsidRPr="00AB16AD" w:rsidRDefault="0079105B" w:rsidP="00972E63">
            <w:pPr>
              <w:pStyle w:val="Tablenormal0"/>
              <w:jc w:val="center"/>
              <w:rPr>
                <w:b/>
              </w:rPr>
            </w:pPr>
            <w:r>
              <w:rPr>
                <w:b/>
              </w:rPr>
              <w:t>-</w:t>
            </w:r>
          </w:p>
        </w:tc>
      </w:tr>
      <w:tr w:rsidR="0079105B" w:rsidRPr="00AB16AD" w:rsidTr="00972E63">
        <w:trPr>
          <w:trHeight w:val="462"/>
        </w:trPr>
        <w:tc>
          <w:tcPr>
            <w:tcW w:w="0" w:type="auto"/>
            <w:hideMark/>
          </w:tcPr>
          <w:p w:rsidR="0079105B" w:rsidRPr="00AB16AD" w:rsidRDefault="00A24528" w:rsidP="00972E63">
            <w:pPr>
              <w:pStyle w:val="Tablenormal0"/>
            </w:pPr>
            <w:r>
              <w:t>11</w:t>
            </w:r>
          </w:p>
        </w:tc>
        <w:tc>
          <w:tcPr>
            <w:tcW w:w="0" w:type="auto"/>
            <w:hideMark/>
          </w:tcPr>
          <w:p w:rsidR="0079105B" w:rsidRPr="00AB16AD" w:rsidRDefault="0079105B" w:rsidP="00972E63">
            <w:pPr>
              <w:pStyle w:val="Tablenormal0"/>
            </w:pPr>
            <w:r w:rsidRPr="00AB16AD">
              <w:t>Create a mandate to facilitate voter p</w:t>
            </w:r>
            <w:r>
              <w:t>articipation in local elections</w:t>
            </w:r>
          </w:p>
        </w:tc>
        <w:tc>
          <w:tcPr>
            <w:tcW w:w="0" w:type="auto"/>
            <w:hideMark/>
          </w:tcPr>
          <w:p w:rsidR="0079105B" w:rsidRPr="00AB16AD" w:rsidRDefault="0079105B" w:rsidP="00972E63">
            <w:pPr>
              <w:pStyle w:val="Tablenormal0"/>
            </w:pPr>
            <w:r w:rsidRPr="00AB16AD">
              <w:t>The inclusion of an explicit legislative mandate for local authorities to facilitate participation in local elections.</w:t>
            </w:r>
          </w:p>
        </w:tc>
        <w:tc>
          <w:tcPr>
            <w:tcW w:w="0" w:type="auto"/>
            <w:vAlign w:val="center"/>
          </w:tcPr>
          <w:p w:rsidR="0079105B" w:rsidRPr="00AB16AD" w:rsidRDefault="00A24528" w:rsidP="00972E63">
            <w:pPr>
              <w:pStyle w:val="Tablenormal0"/>
              <w:jc w:val="center"/>
              <w:rPr>
                <w:b/>
              </w:rPr>
            </w:pPr>
            <w:r>
              <w:rPr>
                <w:b/>
              </w:rPr>
              <w:t>-</w:t>
            </w:r>
          </w:p>
        </w:tc>
      </w:tr>
      <w:tr w:rsidR="0079105B" w:rsidRPr="00AB16AD" w:rsidTr="00972E63">
        <w:trPr>
          <w:trHeight w:val="346"/>
        </w:trPr>
        <w:tc>
          <w:tcPr>
            <w:tcW w:w="0" w:type="auto"/>
            <w:hideMark/>
          </w:tcPr>
          <w:p w:rsidR="0079105B" w:rsidRPr="00AB16AD" w:rsidRDefault="00A24528" w:rsidP="00972E63">
            <w:pPr>
              <w:pStyle w:val="Tablenormal0"/>
            </w:pPr>
            <w:r>
              <w:t>12</w:t>
            </w:r>
          </w:p>
        </w:tc>
        <w:tc>
          <w:tcPr>
            <w:tcW w:w="0" w:type="auto"/>
            <w:hideMark/>
          </w:tcPr>
          <w:p w:rsidR="0079105B" w:rsidRPr="00AB16AD" w:rsidRDefault="0079105B" w:rsidP="00972E63">
            <w:pPr>
              <w:pStyle w:val="Tablenormal0"/>
            </w:pPr>
            <w:r w:rsidRPr="00AB16AD">
              <w:t>Clarify the timing of taking office by a successful ca</w:t>
            </w:r>
            <w:r>
              <w:t>ndidate following a by-election</w:t>
            </w:r>
          </w:p>
        </w:tc>
        <w:tc>
          <w:tcPr>
            <w:tcW w:w="0" w:type="auto"/>
            <w:hideMark/>
          </w:tcPr>
          <w:p w:rsidR="0079105B" w:rsidRPr="00AB16AD" w:rsidRDefault="0079105B" w:rsidP="00972E63">
            <w:pPr>
              <w:pStyle w:val="Tablenormal0"/>
            </w:pPr>
            <w:r w:rsidRPr="00AB16AD">
              <w:t>Amend section 115 of the Local Electoral Act 2001 to provide that a successful candidate in a by-election comes into office on the day after the day on which the official result of the election is declared by public notice.</w:t>
            </w:r>
          </w:p>
        </w:tc>
        <w:tc>
          <w:tcPr>
            <w:tcW w:w="0" w:type="auto"/>
            <w:vAlign w:val="center"/>
          </w:tcPr>
          <w:p w:rsidR="0079105B" w:rsidRPr="00AB16AD" w:rsidRDefault="0079105B" w:rsidP="00972E63">
            <w:pPr>
              <w:pStyle w:val="Tablenormal0"/>
              <w:jc w:val="center"/>
              <w:rPr>
                <w:b/>
              </w:rPr>
            </w:pPr>
            <w:r w:rsidRPr="00AB16AD">
              <w:rPr>
                <w:b/>
              </w:rPr>
              <w:sym w:font="Wingdings 2" w:char="F050"/>
            </w:r>
          </w:p>
        </w:tc>
      </w:tr>
    </w:tbl>
    <w:p w:rsidR="0079105B" w:rsidRPr="0079105B" w:rsidRDefault="0079105B" w:rsidP="0079105B"/>
    <w:sectPr w:rsidR="0079105B" w:rsidRPr="0079105B" w:rsidSect="007A4CBF">
      <w:pgSz w:w="11907" w:h="16840" w:code="9"/>
      <w:pgMar w:top="1418" w:right="1418" w:bottom="1134" w:left="1418" w:header="454"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A8" w:rsidRDefault="006674A8" w:rsidP="00F72085">
      <w:r>
        <w:separator/>
      </w:r>
    </w:p>
  </w:endnote>
  <w:endnote w:type="continuationSeparator" w:id="0">
    <w:p w:rsidR="006674A8" w:rsidRDefault="006674A8" w:rsidP="00F7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illSans">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4D" w:rsidRPr="00317BFD" w:rsidRDefault="00A43B4D" w:rsidP="00317BFD">
    <w:pPr>
      <w:pStyle w:val="Footer"/>
      <w:rPr>
        <w:lang w:val="en-NZ"/>
      </w:rPr>
    </w:pPr>
    <w:r>
      <w:rPr>
        <w:lang w:val="en-NZ"/>
      </w:rPr>
      <w:t>Not Government Policy</w:t>
    </w:r>
    <w:r>
      <w:rPr>
        <w:lang w:val="en-NZ"/>
      </w:rPr>
      <w:tab/>
      <w:t>Draft Regulatory Impact Statement</w:t>
    </w:r>
    <w:r>
      <w:rPr>
        <w:lang w:val="en-NZ"/>
      </w:rPr>
      <w:tab/>
      <w:t xml:space="preserve">Page </w:t>
    </w:r>
    <w:r w:rsidRPr="00F73330">
      <w:rPr>
        <w:noProof w:val="0"/>
        <w:lang w:val="en-NZ"/>
      </w:rPr>
      <w:fldChar w:fldCharType="begin"/>
    </w:r>
    <w:r w:rsidRPr="00F73330">
      <w:rPr>
        <w:lang w:val="en-NZ"/>
      </w:rPr>
      <w:instrText xml:space="preserve"> PAGE   \* MERGEFORMAT </w:instrText>
    </w:r>
    <w:r w:rsidRPr="00F73330">
      <w:rPr>
        <w:noProof w:val="0"/>
        <w:lang w:val="en-NZ"/>
      </w:rPr>
      <w:fldChar w:fldCharType="separate"/>
    </w:r>
    <w:r>
      <w:rPr>
        <w:lang w:val="en-NZ"/>
      </w:rPr>
      <w:t>6</w:t>
    </w:r>
    <w:r w:rsidRPr="00F73330">
      <w:rPr>
        <w:lang w:val="en-NZ"/>
      </w:rPr>
      <w:fldChar w:fldCharType="end"/>
    </w:r>
    <w:r>
      <w:rPr>
        <w:lang w:val="en-NZ"/>
      </w:rPr>
      <w:t xml:space="preserve"> of </w:t>
    </w:r>
    <w:r>
      <w:rPr>
        <w:noProof w:val="0"/>
        <w:lang w:val="en-NZ"/>
      </w:rPr>
      <w:fldChar w:fldCharType="begin"/>
    </w:r>
    <w:r>
      <w:rPr>
        <w:noProof w:val="0"/>
        <w:lang w:val="en-NZ"/>
      </w:rPr>
      <w:instrText xml:space="preserve"> NUMPAGES   \* MERGEFORMAT </w:instrText>
    </w:r>
    <w:r>
      <w:rPr>
        <w:noProof w:val="0"/>
        <w:lang w:val="en-NZ"/>
      </w:rPr>
      <w:fldChar w:fldCharType="separate"/>
    </w:r>
    <w:r w:rsidR="00082F71">
      <w:rPr>
        <w:lang w:val="en-NZ"/>
      </w:rPr>
      <w:t>15</w:t>
    </w:r>
    <w:r>
      <w:rPr>
        <w:noProof w:val="0"/>
        <w:lang w:val="en-N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4D" w:rsidRPr="00391E24" w:rsidRDefault="00B51B40">
    <w:pPr>
      <w:pStyle w:val="Footer"/>
      <w:rPr>
        <w:lang w:val="en-NZ"/>
      </w:rPr>
    </w:pPr>
    <w:r>
      <w:rPr>
        <w:lang w:val="en-NZ"/>
      </w:rPr>
      <w:tab/>
    </w:r>
    <w:r w:rsidR="00A43B4D">
      <w:rPr>
        <w:lang w:val="en-NZ"/>
      </w:rPr>
      <w:tab/>
      <w:t xml:space="preserve">Page </w:t>
    </w:r>
    <w:r w:rsidR="00A43B4D" w:rsidRPr="00F73330">
      <w:rPr>
        <w:noProof w:val="0"/>
        <w:lang w:val="en-NZ"/>
      </w:rPr>
      <w:fldChar w:fldCharType="begin"/>
    </w:r>
    <w:r w:rsidR="00A43B4D" w:rsidRPr="00F73330">
      <w:rPr>
        <w:lang w:val="en-NZ"/>
      </w:rPr>
      <w:instrText xml:space="preserve"> PAGE   \* MERGEFORMAT </w:instrText>
    </w:r>
    <w:r w:rsidR="00A43B4D" w:rsidRPr="00F73330">
      <w:rPr>
        <w:noProof w:val="0"/>
        <w:lang w:val="en-NZ"/>
      </w:rPr>
      <w:fldChar w:fldCharType="separate"/>
    </w:r>
    <w:r w:rsidR="008465CC">
      <w:rPr>
        <w:lang w:val="en-NZ"/>
      </w:rPr>
      <w:t>15</w:t>
    </w:r>
    <w:r w:rsidR="00A43B4D" w:rsidRPr="00F73330">
      <w:rPr>
        <w:lang w:val="en-NZ"/>
      </w:rPr>
      <w:fldChar w:fldCharType="end"/>
    </w:r>
    <w:r w:rsidR="00A43B4D">
      <w:rPr>
        <w:lang w:val="en-NZ"/>
      </w:rPr>
      <w:t xml:space="preserve"> of </w:t>
    </w:r>
    <w:r w:rsidR="00A43B4D">
      <w:rPr>
        <w:noProof w:val="0"/>
        <w:lang w:val="en-NZ"/>
      </w:rPr>
      <w:fldChar w:fldCharType="begin"/>
    </w:r>
    <w:r w:rsidR="00A43B4D">
      <w:rPr>
        <w:noProof w:val="0"/>
        <w:lang w:val="en-NZ"/>
      </w:rPr>
      <w:instrText xml:space="preserve"> NUMPAGES   \* MERGEFORMAT </w:instrText>
    </w:r>
    <w:r w:rsidR="00A43B4D">
      <w:rPr>
        <w:noProof w:val="0"/>
        <w:lang w:val="en-NZ"/>
      </w:rPr>
      <w:fldChar w:fldCharType="separate"/>
    </w:r>
    <w:r w:rsidR="008465CC">
      <w:rPr>
        <w:lang w:val="en-NZ"/>
      </w:rPr>
      <w:t>15</w:t>
    </w:r>
    <w:r w:rsidR="00A43B4D">
      <w:rPr>
        <w:noProof w:val="0"/>
        <w:lang w:val="en-NZ"/>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4D" w:rsidRPr="00391E24" w:rsidRDefault="004B7F3A" w:rsidP="00391E24">
    <w:pPr>
      <w:pStyle w:val="Footer"/>
      <w:rPr>
        <w:lang w:val="en-NZ"/>
      </w:rPr>
    </w:pPr>
    <w:r>
      <w:rPr>
        <w:lang w:val="en-NZ"/>
      </w:rPr>
      <w:tab/>
    </w:r>
    <w:r w:rsidR="00A43B4D">
      <w:rPr>
        <w:lang w:val="en-NZ"/>
      </w:rPr>
      <w:tab/>
      <w:t xml:space="preserve">Page </w:t>
    </w:r>
    <w:r w:rsidR="00A43B4D" w:rsidRPr="00F73330">
      <w:rPr>
        <w:noProof w:val="0"/>
        <w:lang w:val="en-NZ"/>
      </w:rPr>
      <w:fldChar w:fldCharType="begin"/>
    </w:r>
    <w:r w:rsidR="00A43B4D" w:rsidRPr="00F73330">
      <w:rPr>
        <w:lang w:val="en-NZ"/>
      </w:rPr>
      <w:instrText xml:space="preserve"> PAGE   \* MERGEFORMAT </w:instrText>
    </w:r>
    <w:r w:rsidR="00A43B4D" w:rsidRPr="00F73330">
      <w:rPr>
        <w:noProof w:val="0"/>
        <w:lang w:val="en-NZ"/>
      </w:rPr>
      <w:fldChar w:fldCharType="separate"/>
    </w:r>
    <w:r w:rsidR="008465CC">
      <w:rPr>
        <w:lang w:val="en-NZ"/>
      </w:rPr>
      <w:t>1</w:t>
    </w:r>
    <w:r w:rsidR="00A43B4D" w:rsidRPr="00F73330">
      <w:rPr>
        <w:lang w:val="en-NZ"/>
      </w:rPr>
      <w:fldChar w:fldCharType="end"/>
    </w:r>
    <w:r w:rsidR="00A43B4D">
      <w:rPr>
        <w:lang w:val="en-NZ"/>
      </w:rPr>
      <w:t xml:space="preserve"> of </w:t>
    </w:r>
    <w:r w:rsidR="00A43B4D">
      <w:rPr>
        <w:noProof w:val="0"/>
        <w:lang w:val="en-NZ"/>
      </w:rPr>
      <w:fldChar w:fldCharType="begin"/>
    </w:r>
    <w:r w:rsidR="00A43B4D">
      <w:rPr>
        <w:noProof w:val="0"/>
        <w:lang w:val="en-NZ"/>
      </w:rPr>
      <w:instrText xml:space="preserve"> NUMPAGES   \* MERGEFORMAT </w:instrText>
    </w:r>
    <w:r w:rsidR="00A43B4D">
      <w:rPr>
        <w:noProof w:val="0"/>
        <w:lang w:val="en-NZ"/>
      </w:rPr>
      <w:fldChar w:fldCharType="separate"/>
    </w:r>
    <w:r w:rsidR="008465CC">
      <w:rPr>
        <w:lang w:val="en-NZ"/>
      </w:rPr>
      <w:t>15</w:t>
    </w:r>
    <w:r w:rsidR="00A43B4D">
      <w:rPr>
        <w:noProof w:val="0"/>
        <w:lang w:val="en-N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A8" w:rsidRDefault="006674A8" w:rsidP="00F72085">
      <w:r>
        <w:separator/>
      </w:r>
    </w:p>
  </w:footnote>
  <w:footnote w:type="continuationSeparator" w:id="0">
    <w:p w:rsidR="006674A8" w:rsidRDefault="006674A8" w:rsidP="00F72085">
      <w:r>
        <w:continuationSeparator/>
      </w:r>
    </w:p>
  </w:footnote>
  <w:footnote w:id="1">
    <w:p w:rsidR="00A43B4D" w:rsidRPr="002F1C16" w:rsidRDefault="00A43B4D">
      <w:pPr>
        <w:pStyle w:val="FootnoteText"/>
        <w:rPr>
          <w:lang w:val="en-NZ"/>
        </w:rPr>
      </w:pPr>
      <w:r>
        <w:rPr>
          <w:rStyle w:val="FootnoteReference"/>
        </w:rPr>
        <w:footnoteRef/>
      </w:r>
      <w:r>
        <w:t xml:space="preserve"> New Zealand Productivity Commission, Regulatory institutions and practices, June 2014, p</w:t>
      </w:r>
      <w:r>
        <w:rPr>
          <w:lang w:val="en-NZ"/>
        </w:rPr>
        <w:t>28</w:t>
      </w:r>
    </w:p>
  </w:footnote>
  <w:footnote w:id="2">
    <w:p w:rsidR="00A43B4D" w:rsidRPr="00AF5D8D" w:rsidRDefault="00A43B4D">
      <w:pPr>
        <w:pStyle w:val="FootnoteText"/>
        <w:rPr>
          <w:lang w:val="en-NZ"/>
        </w:rPr>
      </w:pPr>
      <w:r>
        <w:rPr>
          <w:rStyle w:val="FootnoteReference"/>
        </w:rPr>
        <w:footnoteRef/>
      </w:r>
      <w:r>
        <w:t xml:space="preserve"> </w:t>
      </w:r>
      <w:r>
        <w:rPr>
          <w:lang w:val="en-NZ"/>
        </w:rPr>
        <w:t xml:space="preserve">Local Electoral Act 2001, </w:t>
      </w:r>
      <w:proofErr w:type="gramStart"/>
      <w:r>
        <w:rPr>
          <w:lang w:val="en-NZ"/>
        </w:rPr>
        <w:t>s120(</w:t>
      </w:r>
      <w:proofErr w:type="gramEnd"/>
      <w:r>
        <w:rPr>
          <w:lang w:val="en-NZ"/>
        </w:rPr>
        <w:t>1)(b).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F24566"/>
    <w:multiLevelType w:val="hybridMultilevel"/>
    <w:tmpl w:val="5CB60F3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2BA46F3"/>
    <w:multiLevelType w:val="multilevel"/>
    <w:tmpl w:val="1616871E"/>
    <w:lvl w:ilvl="0">
      <w:start w:val="1"/>
      <w:numFmt w:val="decimal"/>
      <w:pStyle w:val="Numberedpara3level1"/>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para3level211"/>
      <w:lvlText w:val="%1.%2"/>
      <w:lvlJc w:val="left"/>
      <w:pPr>
        <w:ind w:left="1304" w:hanging="737"/>
      </w:pPr>
      <w:rPr>
        <w:rFonts w:hint="default"/>
      </w:rPr>
    </w:lvl>
    <w:lvl w:ilvl="2">
      <w:start w:val="1"/>
      <w:numFmt w:val="decimal"/>
      <w:pStyle w:val="Numberedpara3level3111"/>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382410"/>
    <w:multiLevelType w:val="hybridMultilevel"/>
    <w:tmpl w:val="7882A4D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nsid w:val="19DB2D74"/>
    <w:multiLevelType w:val="hybridMultilevel"/>
    <w:tmpl w:val="0FDA6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6">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9185E3F"/>
    <w:multiLevelType w:val="multilevel"/>
    <w:tmpl w:val="53566624"/>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8A40E7"/>
    <w:multiLevelType w:val="hybridMultilevel"/>
    <w:tmpl w:val="434E9052"/>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553F38"/>
    <w:multiLevelType w:val="hybridMultilevel"/>
    <w:tmpl w:val="EDC89A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2">
    <w:nsid w:val="63D937C6"/>
    <w:multiLevelType w:val="hybridMultilevel"/>
    <w:tmpl w:val="C3902206"/>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4">
    <w:nsid w:val="6B2A7B0B"/>
    <w:multiLevelType w:val="multilevel"/>
    <w:tmpl w:val="D46496EA"/>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5">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0"/>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06F178A"/>
    <w:multiLevelType w:val="hybridMultilevel"/>
    <w:tmpl w:val="7A3A7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518740E"/>
    <w:multiLevelType w:val="hybridMultilevel"/>
    <w:tmpl w:val="C3902206"/>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5"/>
  </w:num>
  <w:num w:numId="5">
    <w:abstractNumId w:val="2"/>
  </w:num>
  <w:num w:numId="6">
    <w:abstractNumId w:val="14"/>
  </w:num>
  <w:num w:numId="7">
    <w:abstractNumId w:val="13"/>
  </w:num>
  <w:num w:numId="8">
    <w:abstractNumId w:val="11"/>
  </w:num>
  <w:num w:numId="9">
    <w:abstractNumId w:val="7"/>
  </w:num>
  <w:num w:numId="10">
    <w:abstractNumId w:val="1"/>
  </w:num>
  <w:num w:numId="11">
    <w:abstractNumId w:val="12"/>
  </w:num>
  <w:num w:numId="12">
    <w:abstractNumId w:val="8"/>
  </w:num>
  <w:num w:numId="13">
    <w:abstractNumId w:val="10"/>
  </w:num>
  <w:num w:numId="14">
    <w:abstractNumId w:val="4"/>
  </w:num>
  <w:num w:numId="15">
    <w:abstractNumId w:val="0"/>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3"/>
  </w:num>
  <w:num w:numId="29">
    <w:abstractNumId w:val="16"/>
  </w:num>
  <w:num w:numId="30">
    <w:abstractNumId w:val="2"/>
  </w:num>
  <w:num w:numId="31">
    <w:abstractNumId w:val="2"/>
  </w:num>
  <w:num w:numId="32">
    <w:abstractNumId w:val="2"/>
  </w:num>
  <w:num w:numId="3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fillcolor="white" stroke="f">
      <v:fill color="white" opacity="0"/>
      <v:stroke on="f"/>
      <o:colormru v:ext="edit" colors="#ddd,#cfcfcf,#cacaca,#66f,blue,#ccd3e1,#002469,#33508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27"/>
    <w:rsid w:val="00001539"/>
    <w:rsid w:val="00002433"/>
    <w:rsid w:val="000037F4"/>
    <w:rsid w:val="00004A8A"/>
    <w:rsid w:val="00004F20"/>
    <w:rsid w:val="00005DC9"/>
    <w:rsid w:val="00010986"/>
    <w:rsid w:val="00010F7D"/>
    <w:rsid w:val="000118C9"/>
    <w:rsid w:val="000133AD"/>
    <w:rsid w:val="00013A18"/>
    <w:rsid w:val="000140CD"/>
    <w:rsid w:val="00014196"/>
    <w:rsid w:val="000147DC"/>
    <w:rsid w:val="00015072"/>
    <w:rsid w:val="00015C88"/>
    <w:rsid w:val="00016722"/>
    <w:rsid w:val="00016C30"/>
    <w:rsid w:val="000171D5"/>
    <w:rsid w:val="0002068B"/>
    <w:rsid w:val="000232EB"/>
    <w:rsid w:val="00023BAB"/>
    <w:rsid w:val="00023EA6"/>
    <w:rsid w:val="0002568E"/>
    <w:rsid w:val="00025954"/>
    <w:rsid w:val="00027631"/>
    <w:rsid w:val="0003060F"/>
    <w:rsid w:val="00030DEA"/>
    <w:rsid w:val="00033950"/>
    <w:rsid w:val="00033F61"/>
    <w:rsid w:val="000343E7"/>
    <w:rsid w:val="000349AF"/>
    <w:rsid w:val="00035185"/>
    <w:rsid w:val="00036A3D"/>
    <w:rsid w:val="00036EE4"/>
    <w:rsid w:val="00041469"/>
    <w:rsid w:val="00041AE9"/>
    <w:rsid w:val="00042607"/>
    <w:rsid w:val="00043135"/>
    <w:rsid w:val="000435AD"/>
    <w:rsid w:val="0004515A"/>
    <w:rsid w:val="00045AFC"/>
    <w:rsid w:val="00046AA7"/>
    <w:rsid w:val="00046F46"/>
    <w:rsid w:val="00047559"/>
    <w:rsid w:val="000523FC"/>
    <w:rsid w:val="000526E4"/>
    <w:rsid w:val="0005434D"/>
    <w:rsid w:val="0005503E"/>
    <w:rsid w:val="00055373"/>
    <w:rsid w:val="00056263"/>
    <w:rsid w:val="00056F77"/>
    <w:rsid w:val="00057AC4"/>
    <w:rsid w:val="00057F1E"/>
    <w:rsid w:val="000606D4"/>
    <w:rsid w:val="00060AAB"/>
    <w:rsid w:val="00060CD3"/>
    <w:rsid w:val="0006316B"/>
    <w:rsid w:val="000655B2"/>
    <w:rsid w:val="0006718F"/>
    <w:rsid w:val="00070193"/>
    <w:rsid w:val="00073A19"/>
    <w:rsid w:val="00073F31"/>
    <w:rsid w:val="00074B13"/>
    <w:rsid w:val="00074D02"/>
    <w:rsid w:val="000755F5"/>
    <w:rsid w:val="000775ED"/>
    <w:rsid w:val="00080CE0"/>
    <w:rsid w:val="00080DE3"/>
    <w:rsid w:val="00082631"/>
    <w:rsid w:val="00082ABC"/>
    <w:rsid w:val="00082F71"/>
    <w:rsid w:val="00083ADB"/>
    <w:rsid w:val="00086007"/>
    <w:rsid w:val="000863E2"/>
    <w:rsid w:val="00086898"/>
    <w:rsid w:val="000870DF"/>
    <w:rsid w:val="0008712F"/>
    <w:rsid w:val="00087A25"/>
    <w:rsid w:val="00087C41"/>
    <w:rsid w:val="00096BFA"/>
    <w:rsid w:val="000A20D1"/>
    <w:rsid w:val="000A39F4"/>
    <w:rsid w:val="000A43F8"/>
    <w:rsid w:val="000A4419"/>
    <w:rsid w:val="000A4EFB"/>
    <w:rsid w:val="000A7003"/>
    <w:rsid w:val="000B005C"/>
    <w:rsid w:val="000B01CC"/>
    <w:rsid w:val="000B0480"/>
    <w:rsid w:val="000B0615"/>
    <w:rsid w:val="000B0C12"/>
    <w:rsid w:val="000B0D42"/>
    <w:rsid w:val="000B16BF"/>
    <w:rsid w:val="000B3C8A"/>
    <w:rsid w:val="000B5B1E"/>
    <w:rsid w:val="000B6EB0"/>
    <w:rsid w:val="000C0912"/>
    <w:rsid w:val="000C0CE1"/>
    <w:rsid w:val="000C1756"/>
    <w:rsid w:val="000C20D1"/>
    <w:rsid w:val="000C26E9"/>
    <w:rsid w:val="000C3EB5"/>
    <w:rsid w:val="000C43B6"/>
    <w:rsid w:val="000C684B"/>
    <w:rsid w:val="000C6EED"/>
    <w:rsid w:val="000D047A"/>
    <w:rsid w:val="000D0FA0"/>
    <w:rsid w:val="000D2A6B"/>
    <w:rsid w:val="000D2E8B"/>
    <w:rsid w:val="000D3A34"/>
    <w:rsid w:val="000D5E01"/>
    <w:rsid w:val="000D6393"/>
    <w:rsid w:val="000D70E2"/>
    <w:rsid w:val="000D7A39"/>
    <w:rsid w:val="000D7C12"/>
    <w:rsid w:val="000E0036"/>
    <w:rsid w:val="000E3979"/>
    <w:rsid w:val="000E398A"/>
    <w:rsid w:val="000E3CE1"/>
    <w:rsid w:val="000E730B"/>
    <w:rsid w:val="000E73FF"/>
    <w:rsid w:val="000E7680"/>
    <w:rsid w:val="000E7C1C"/>
    <w:rsid w:val="000F03B0"/>
    <w:rsid w:val="000F3333"/>
    <w:rsid w:val="000F4A1A"/>
    <w:rsid w:val="000F6405"/>
    <w:rsid w:val="000F6C79"/>
    <w:rsid w:val="000F6F99"/>
    <w:rsid w:val="000F7020"/>
    <w:rsid w:val="001015C8"/>
    <w:rsid w:val="00101A24"/>
    <w:rsid w:val="0010203D"/>
    <w:rsid w:val="001028CB"/>
    <w:rsid w:val="001068CD"/>
    <w:rsid w:val="00107A88"/>
    <w:rsid w:val="00113146"/>
    <w:rsid w:val="00114F56"/>
    <w:rsid w:val="00116006"/>
    <w:rsid w:val="00116B51"/>
    <w:rsid w:val="0012410B"/>
    <w:rsid w:val="00125812"/>
    <w:rsid w:val="00126CD1"/>
    <w:rsid w:val="00127757"/>
    <w:rsid w:val="00130E8F"/>
    <w:rsid w:val="00132CFE"/>
    <w:rsid w:val="00133143"/>
    <w:rsid w:val="001336E3"/>
    <w:rsid w:val="001339BB"/>
    <w:rsid w:val="001349FA"/>
    <w:rsid w:val="00136EED"/>
    <w:rsid w:val="00141B20"/>
    <w:rsid w:val="00141D39"/>
    <w:rsid w:val="00141F5D"/>
    <w:rsid w:val="00142051"/>
    <w:rsid w:val="00143437"/>
    <w:rsid w:val="00144369"/>
    <w:rsid w:val="00144ADC"/>
    <w:rsid w:val="00144BBB"/>
    <w:rsid w:val="00145F1B"/>
    <w:rsid w:val="00146FC1"/>
    <w:rsid w:val="00147B73"/>
    <w:rsid w:val="00147F5D"/>
    <w:rsid w:val="00150932"/>
    <w:rsid w:val="001524BA"/>
    <w:rsid w:val="00152D49"/>
    <w:rsid w:val="001540D7"/>
    <w:rsid w:val="00154161"/>
    <w:rsid w:val="0015448E"/>
    <w:rsid w:val="00157E18"/>
    <w:rsid w:val="0016031D"/>
    <w:rsid w:val="00161022"/>
    <w:rsid w:val="00161358"/>
    <w:rsid w:val="001620EB"/>
    <w:rsid w:val="0016538E"/>
    <w:rsid w:val="001665B0"/>
    <w:rsid w:val="00166A7A"/>
    <w:rsid w:val="00166C49"/>
    <w:rsid w:val="001674EB"/>
    <w:rsid w:val="00167EE1"/>
    <w:rsid w:val="001705C4"/>
    <w:rsid w:val="00170BB3"/>
    <w:rsid w:val="00171281"/>
    <w:rsid w:val="001712D6"/>
    <w:rsid w:val="001726B0"/>
    <w:rsid w:val="00174A13"/>
    <w:rsid w:val="00175644"/>
    <w:rsid w:val="001767C7"/>
    <w:rsid w:val="001800AF"/>
    <w:rsid w:val="00180A3B"/>
    <w:rsid w:val="00180BD5"/>
    <w:rsid w:val="00180D17"/>
    <w:rsid w:val="00181680"/>
    <w:rsid w:val="00183D99"/>
    <w:rsid w:val="00183EB1"/>
    <w:rsid w:val="00184219"/>
    <w:rsid w:val="00185884"/>
    <w:rsid w:val="001901C1"/>
    <w:rsid w:val="00190331"/>
    <w:rsid w:val="0019141D"/>
    <w:rsid w:val="00191B67"/>
    <w:rsid w:val="00191EEC"/>
    <w:rsid w:val="00194CF9"/>
    <w:rsid w:val="00195586"/>
    <w:rsid w:val="00197273"/>
    <w:rsid w:val="001A09E4"/>
    <w:rsid w:val="001A13C8"/>
    <w:rsid w:val="001A1685"/>
    <w:rsid w:val="001A1C61"/>
    <w:rsid w:val="001A1DFB"/>
    <w:rsid w:val="001A5694"/>
    <w:rsid w:val="001A5BEE"/>
    <w:rsid w:val="001A6C15"/>
    <w:rsid w:val="001B0726"/>
    <w:rsid w:val="001B0DF0"/>
    <w:rsid w:val="001B1A87"/>
    <w:rsid w:val="001B1BAA"/>
    <w:rsid w:val="001B1BDF"/>
    <w:rsid w:val="001B24D5"/>
    <w:rsid w:val="001B2869"/>
    <w:rsid w:val="001B298E"/>
    <w:rsid w:val="001B3F6D"/>
    <w:rsid w:val="001B3F81"/>
    <w:rsid w:val="001B411E"/>
    <w:rsid w:val="001B41EF"/>
    <w:rsid w:val="001B4B4F"/>
    <w:rsid w:val="001B4E6C"/>
    <w:rsid w:val="001B7122"/>
    <w:rsid w:val="001C0CF6"/>
    <w:rsid w:val="001C2214"/>
    <w:rsid w:val="001C2523"/>
    <w:rsid w:val="001C2524"/>
    <w:rsid w:val="001C41C2"/>
    <w:rsid w:val="001C4555"/>
    <w:rsid w:val="001D0A46"/>
    <w:rsid w:val="001D22ED"/>
    <w:rsid w:val="001D3440"/>
    <w:rsid w:val="001D37FB"/>
    <w:rsid w:val="001D3B9D"/>
    <w:rsid w:val="001D53A8"/>
    <w:rsid w:val="001D7325"/>
    <w:rsid w:val="001E0165"/>
    <w:rsid w:val="001E144C"/>
    <w:rsid w:val="001E1A8F"/>
    <w:rsid w:val="001E1E1D"/>
    <w:rsid w:val="001E1F3D"/>
    <w:rsid w:val="001E3C5A"/>
    <w:rsid w:val="001F04CD"/>
    <w:rsid w:val="001F0DD3"/>
    <w:rsid w:val="001F14DA"/>
    <w:rsid w:val="001F21CB"/>
    <w:rsid w:val="001F2F47"/>
    <w:rsid w:val="001F3EB3"/>
    <w:rsid w:val="001F492F"/>
    <w:rsid w:val="001F6166"/>
    <w:rsid w:val="001F6750"/>
    <w:rsid w:val="00200311"/>
    <w:rsid w:val="002008D1"/>
    <w:rsid w:val="00201C40"/>
    <w:rsid w:val="0020298F"/>
    <w:rsid w:val="00202C7E"/>
    <w:rsid w:val="002036AA"/>
    <w:rsid w:val="00203789"/>
    <w:rsid w:val="00205334"/>
    <w:rsid w:val="0020565B"/>
    <w:rsid w:val="00205893"/>
    <w:rsid w:val="00207041"/>
    <w:rsid w:val="00213A98"/>
    <w:rsid w:val="00213B41"/>
    <w:rsid w:val="00216566"/>
    <w:rsid w:val="002166D7"/>
    <w:rsid w:val="00216DB5"/>
    <w:rsid w:val="00216F08"/>
    <w:rsid w:val="00217119"/>
    <w:rsid w:val="00221B55"/>
    <w:rsid w:val="00222CA5"/>
    <w:rsid w:val="00224A1F"/>
    <w:rsid w:val="002258FC"/>
    <w:rsid w:val="00226226"/>
    <w:rsid w:val="00226FD2"/>
    <w:rsid w:val="002273B3"/>
    <w:rsid w:val="00227D78"/>
    <w:rsid w:val="00227FE4"/>
    <w:rsid w:val="002317B4"/>
    <w:rsid w:val="002331A0"/>
    <w:rsid w:val="00233DC9"/>
    <w:rsid w:val="0023447D"/>
    <w:rsid w:val="0023708B"/>
    <w:rsid w:val="00237318"/>
    <w:rsid w:val="002373E5"/>
    <w:rsid w:val="00237FE9"/>
    <w:rsid w:val="0024012A"/>
    <w:rsid w:val="0024033D"/>
    <w:rsid w:val="00245847"/>
    <w:rsid w:val="00245DA0"/>
    <w:rsid w:val="00245EBA"/>
    <w:rsid w:val="00247ADA"/>
    <w:rsid w:val="00251406"/>
    <w:rsid w:val="00254687"/>
    <w:rsid w:val="00257836"/>
    <w:rsid w:val="00257CD6"/>
    <w:rsid w:val="00264EEE"/>
    <w:rsid w:val="0026530E"/>
    <w:rsid w:val="0026536B"/>
    <w:rsid w:val="00265DED"/>
    <w:rsid w:val="00265E6C"/>
    <w:rsid w:val="00266A30"/>
    <w:rsid w:val="0026794D"/>
    <w:rsid w:val="00267FAB"/>
    <w:rsid w:val="00270C27"/>
    <w:rsid w:val="00270DE6"/>
    <w:rsid w:val="002712C8"/>
    <w:rsid w:val="0027194C"/>
    <w:rsid w:val="002719ED"/>
    <w:rsid w:val="00271EB7"/>
    <w:rsid w:val="00272E82"/>
    <w:rsid w:val="00273732"/>
    <w:rsid w:val="00273D5C"/>
    <w:rsid w:val="00273ECF"/>
    <w:rsid w:val="00275209"/>
    <w:rsid w:val="0027527B"/>
    <w:rsid w:val="00275B26"/>
    <w:rsid w:val="0027706F"/>
    <w:rsid w:val="00281580"/>
    <w:rsid w:val="002818DD"/>
    <w:rsid w:val="00282124"/>
    <w:rsid w:val="00282DD1"/>
    <w:rsid w:val="00283AFA"/>
    <w:rsid w:val="0028434D"/>
    <w:rsid w:val="002845BB"/>
    <w:rsid w:val="00285E97"/>
    <w:rsid w:val="00286B62"/>
    <w:rsid w:val="00287084"/>
    <w:rsid w:val="00287942"/>
    <w:rsid w:val="00290996"/>
    <w:rsid w:val="0029399F"/>
    <w:rsid w:val="00293E21"/>
    <w:rsid w:val="00295264"/>
    <w:rsid w:val="00296404"/>
    <w:rsid w:val="0029649F"/>
    <w:rsid w:val="002A05D3"/>
    <w:rsid w:val="002A06C6"/>
    <w:rsid w:val="002A1E9E"/>
    <w:rsid w:val="002A2CD0"/>
    <w:rsid w:val="002A50FA"/>
    <w:rsid w:val="002A535E"/>
    <w:rsid w:val="002A5881"/>
    <w:rsid w:val="002A5E7A"/>
    <w:rsid w:val="002B0025"/>
    <w:rsid w:val="002B0801"/>
    <w:rsid w:val="002B4688"/>
    <w:rsid w:val="002B5324"/>
    <w:rsid w:val="002B56D3"/>
    <w:rsid w:val="002B56E7"/>
    <w:rsid w:val="002B5B5C"/>
    <w:rsid w:val="002C0074"/>
    <w:rsid w:val="002C097E"/>
    <w:rsid w:val="002C2315"/>
    <w:rsid w:val="002C301D"/>
    <w:rsid w:val="002C39FE"/>
    <w:rsid w:val="002C4A38"/>
    <w:rsid w:val="002C6298"/>
    <w:rsid w:val="002C65B8"/>
    <w:rsid w:val="002C734D"/>
    <w:rsid w:val="002C744C"/>
    <w:rsid w:val="002D01BF"/>
    <w:rsid w:val="002D07F9"/>
    <w:rsid w:val="002D0FAA"/>
    <w:rsid w:val="002D3E81"/>
    <w:rsid w:val="002D4AC3"/>
    <w:rsid w:val="002D52A0"/>
    <w:rsid w:val="002D61B5"/>
    <w:rsid w:val="002D6691"/>
    <w:rsid w:val="002D68CC"/>
    <w:rsid w:val="002E062E"/>
    <w:rsid w:val="002E0CA4"/>
    <w:rsid w:val="002E1D30"/>
    <w:rsid w:val="002E28C6"/>
    <w:rsid w:val="002E2ACE"/>
    <w:rsid w:val="002E4DB3"/>
    <w:rsid w:val="002E75AB"/>
    <w:rsid w:val="002E79A6"/>
    <w:rsid w:val="002F10BF"/>
    <w:rsid w:val="002F110D"/>
    <w:rsid w:val="002F1C16"/>
    <w:rsid w:val="002F32BD"/>
    <w:rsid w:val="002F4407"/>
    <w:rsid w:val="002F5A1A"/>
    <w:rsid w:val="002F6E67"/>
    <w:rsid w:val="002F6F6C"/>
    <w:rsid w:val="002F70A1"/>
    <w:rsid w:val="002F71F1"/>
    <w:rsid w:val="002F7C03"/>
    <w:rsid w:val="003010FC"/>
    <w:rsid w:val="0030111A"/>
    <w:rsid w:val="0030148D"/>
    <w:rsid w:val="003020F3"/>
    <w:rsid w:val="003038AC"/>
    <w:rsid w:val="00305726"/>
    <w:rsid w:val="00305E5F"/>
    <w:rsid w:val="00306B48"/>
    <w:rsid w:val="00306E9B"/>
    <w:rsid w:val="003076FA"/>
    <w:rsid w:val="00310D70"/>
    <w:rsid w:val="0031214B"/>
    <w:rsid w:val="00312AEE"/>
    <w:rsid w:val="003131EB"/>
    <w:rsid w:val="00313880"/>
    <w:rsid w:val="00313F3E"/>
    <w:rsid w:val="003147DF"/>
    <w:rsid w:val="00315307"/>
    <w:rsid w:val="00315D17"/>
    <w:rsid w:val="003176BB"/>
    <w:rsid w:val="00317BFD"/>
    <w:rsid w:val="00317E1A"/>
    <w:rsid w:val="00320125"/>
    <w:rsid w:val="003237B0"/>
    <w:rsid w:val="0032503F"/>
    <w:rsid w:val="003258CB"/>
    <w:rsid w:val="003262CE"/>
    <w:rsid w:val="003264ED"/>
    <w:rsid w:val="00326DEF"/>
    <w:rsid w:val="00327B35"/>
    <w:rsid w:val="003308B4"/>
    <w:rsid w:val="00331AD1"/>
    <w:rsid w:val="00333209"/>
    <w:rsid w:val="00334A4E"/>
    <w:rsid w:val="003352EF"/>
    <w:rsid w:val="003373B1"/>
    <w:rsid w:val="00337A66"/>
    <w:rsid w:val="003424A8"/>
    <w:rsid w:val="003425F7"/>
    <w:rsid w:val="00343012"/>
    <w:rsid w:val="00343233"/>
    <w:rsid w:val="003433D6"/>
    <w:rsid w:val="00343B25"/>
    <w:rsid w:val="0034405F"/>
    <w:rsid w:val="003441E3"/>
    <w:rsid w:val="003445EA"/>
    <w:rsid w:val="0035085C"/>
    <w:rsid w:val="00351EC0"/>
    <w:rsid w:val="00351FB9"/>
    <w:rsid w:val="00352990"/>
    <w:rsid w:val="00353113"/>
    <w:rsid w:val="00353518"/>
    <w:rsid w:val="00357256"/>
    <w:rsid w:val="003613F4"/>
    <w:rsid w:val="00361819"/>
    <w:rsid w:val="00362FE1"/>
    <w:rsid w:val="00363DCE"/>
    <w:rsid w:val="00364E9D"/>
    <w:rsid w:val="00365680"/>
    <w:rsid w:val="00366A1A"/>
    <w:rsid w:val="00367B6E"/>
    <w:rsid w:val="00367E5F"/>
    <w:rsid w:val="00370B2E"/>
    <w:rsid w:val="00371BF1"/>
    <w:rsid w:val="00372D68"/>
    <w:rsid w:val="0037447C"/>
    <w:rsid w:val="0037458C"/>
    <w:rsid w:val="00374E9A"/>
    <w:rsid w:val="00381DB8"/>
    <w:rsid w:val="003826A0"/>
    <w:rsid w:val="00383462"/>
    <w:rsid w:val="00384006"/>
    <w:rsid w:val="00385683"/>
    <w:rsid w:val="0038632A"/>
    <w:rsid w:val="00386DD1"/>
    <w:rsid w:val="00387B34"/>
    <w:rsid w:val="00387CA4"/>
    <w:rsid w:val="00391E24"/>
    <w:rsid w:val="00395750"/>
    <w:rsid w:val="0039581F"/>
    <w:rsid w:val="00396861"/>
    <w:rsid w:val="0039783E"/>
    <w:rsid w:val="003A0009"/>
    <w:rsid w:val="003A0ADF"/>
    <w:rsid w:val="003A21C1"/>
    <w:rsid w:val="003A3097"/>
    <w:rsid w:val="003A3E6A"/>
    <w:rsid w:val="003A4360"/>
    <w:rsid w:val="003A46C5"/>
    <w:rsid w:val="003A76E4"/>
    <w:rsid w:val="003B075F"/>
    <w:rsid w:val="003B0790"/>
    <w:rsid w:val="003B09F2"/>
    <w:rsid w:val="003B1384"/>
    <w:rsid w:val="003B1AD1"/>
    <w:rsid w:val="003B3001"/>
    <w:rsid w:val="003B316E"/>
    <w:rsid w:val="003B35B8"/>
    <w:rsid w:val="003B4A9D"/>
    <w:rsid w:val="003B4B13"/>
    <w:rsid w:val="003B4D2C"/>
    <w:rsid w:val="003B53A6"/>
    <w:rsid w:val="003B6BEC"/>
    <w:rsid w:val="003C0785"/>
    <w:rsid w:val="003C0E10"/>
    <w:rsid w:val="003C1764"/>
    <w:rsid w:val="003C1B23"/>
    <w:rsid w:val="003C3AD0"/>
    <w:rsid w:val="003C56BA"/>
    <w:rsid w:val="003C5B6F"/>
    <w:rsid w:val="003C722C"/>
    <w:rsid w:val="003C7585"/>
    <w:rsid w:val="003C7985"/>
    <w:rsid w:val="003C7CAC"/>
    <w:rsid w:val="003D07CE"/>
    <w:rsid w:val="003D20ED"/>
    <w:rsid w:val="003D35B7"/>
    <w:rsid w:val="003D4ED7"/>
    <w:rsid w:val="003D5003"/>
    <w:rsid w:val="003D5344"/>
    <w:rsid w:val="003D6531"/>
    <w:rsid w:val="003E017A"/>
    <w:rsid w:val="003E1FAF"/>
    <w:rsid w:val="003E20B9"/>
    <w:rsid w:val="003E3836"/>
    <w:rsid w:val="003E39B9"/>
    <w:rsid w:val="003E4AC8"/>
    <w:rsid w:val="003E4BB4"/>
    <w:rsid w:val="003E68FB"/>
    <w:rsid w:val="003E7645"/>
    <w:rsid w:val="003E7A0E"/>
    <w:rsid w:val="003E7F60"/>
    <w:rsid w:val="003F14AC"/>
    <w:rsid w:val="003F21C5"/>
    <w:rsid w:val="003F27A7"/>
    <w:rsid w:val="003F2D09"/>
    <w:rsid w:val="003F34BF"/>
    <w:rsid w:val="003F37EA"/>
    <w:rsid w:val="003F47F5"/>
    <w:rsid w:val="003F4D98"/>
    <w:rsid w:val="003F59CC"/>
    <w:rsid w:val="003F5E57"/>
    <w:rsid w:val="003F5F9D"/>
    <w:rsid w:val="003F72B5"/>
    <w:rsid w:val="003F7652"/>
    <w:rsid w:val="003F7EDA"/>
    <w:rsid w:val="00401033"/>
    <w:rsid w:val="00401D87"/>
    <w:rsid w:val="00402241"/>
    <w:rsid w:val="00402BF8"/>
    <w:rsid w:val="00402C60"/>
    <w:rsid w:val="00403755"/>
    <w:rsid w:val="00406227"/>
    <w:rsid w:val="00407D3B"/>
    <w:rsid w:val="0041057C"/>
    <w:rsid w:val="00413B5A"/>
    <w:rsid w:val="00415CC4"/>
    <w:rsid w:val="00415FD6"/>
    <w:rsid w:val="0041696F"/>
    <w:rsid w:val="00417D32"/>
    <w:rsid w:val="0042084D"/>
    <w:rsid w:val="00420D0F"/>
    <w:rsid w:val="00420D4C"/>
    <w:rsid w:val="00423B79"/>
    <w:rsid w:val="004240D2"/>
    <w:rsid w:val="00424ADF"/>
    <w:rsid w:val="004303B8"/>
    <w:rsid w:val="004312B1"/>
    <w:rsid w:val="00431677"/>
    <w:rsid w:val="004325C4"/>
    <w:rsid w:val="00433183"/>
    <w:rsid w:val="00433AED"/>
    <w:rsid w:val="00435F4A"/>
    <w:rsid w:val="00437C49"/>
    <w:rsid w:val="0044117C"/>
    <w:rsid w:val="004418F2"/>
    <w:rsid w:val="00441FEA"/>
    <w:rsid w:val="00443662"/>
    <w:rsid w:val="00444BCD"/>
    <w:rsid w:val="00444E78"/>
    <w:rsid w:val="004455A5"/>
    <w:rsid w:val="00445911"/>
    <w:rsid w:val="00445F4D"/>
    <w:rsid w:val="00446050"/>
    <w:rsid w:val="00446FC1"/>
    <w:rsid w:val="00447C26"/>
    <w:rsid w:val="00447F1A"/>
    <w:rsid w:val="0045085A"/>
    <w:rsid w:val="00450CBA"/>
    <w:rsid w:val="0045110A"/>
    <w:rsid w:val="004533B1"/>
    <w:rsid w:val="004533C4"/>
    <w:rsid w:val="0045390D"/>
    <w:rsid w:val="00454396"/>
    <w:rsid w:val="00454774"/>
    <w:rsid w:val="004549F4"/>
    <w:rsid w:val="00454C2C"/>
    <w:rsid w:val="00455363"/>
    <w:rsid w:val="00455FE0"/>
    <w:rsid w:val="00456B8F"/>
    <w:rsid w:val="004574C4"/>
    <w:rsid w:val="00457A91"/>
    <w:rsid w:val="00460075"/>
    <w:rsid w:val="004604E9"/>
    <w:rsid w:val="00460A55"/>
    <w:rsid w:val="0046180A"/>
    <w:rsid w:val="00462BC6"/>
    <w:rsid w:val="00463039"/>
    <w:rsid w:val="00463306"/>
    <w:rsid w:val="00463DCA"/>
    <w:rsid w:val="00463FEB"/>
    <w:rsid w:val="004651EB"/>
    <w:rsid w:val="00470C11"/>
    <w:rsid w:val="00471413"/>
    <w:rsid w:val="00471759"/>
    <w:rsid w:val="0047175C"/>
    <w:rsid w:val="00471F21"/>
    <w:rsid w:val="004721E0"/>
    <w:rsid w:val="00472F9C"/>
    <w:rsid w:val="00473803"/>
    <w:rsid w:val="00473BD5"/>
    <w:rsid w:val="00474BED"/>
    <w:rsid w:val="00475E63"/>
    <w:rsid w:val="00476857"/>
    <w:rsid w:val="00476B4E"/>
    <w:rsid w:val="0047782F"/>
    <w:rsid w:val="00481E8C"/>
    <w:rsid w:val="004828C6"/>
    <w:rsid w:val="004841EF"/>
    <w:rsid w:val="00484675"/>
    <w:rsid w:val="00484F33"/>
    <w:rsid w:val="004868E8"/>
    <w:rsid w:val="004869CF"/>
    <w:rsid w:val="00486CA6"/>
    <w:rsid w:val="00487545"/>
    <w:rsid w:val="00490239"/>
    <w:rsid w:val="00490B1D"/>
    <w:rsid w:val="004911B9"/>
    <w:rsid w:val="00491DC5"/>
    <w:rsid w:val="00492871"/>
    <w:rsid w:val="004928C8"/>
    <w:rsid w:val="004929EC"/>
    <w:rsid w:val="004935F6"/>
    <w:rsid w:val="00493AAE"/>
    <w:rsid w:val="00493B10"/>
    <w:rsid w:val="00493F24"/>
    <w:rsid w:val="00495017"/>
    <w:rsid w:val="0049541E"/>
    <w:rsid w:val="0049581F"/>
    <w:rsid w:val="0049615F"/>
    <w:rsid w:val="004971EF"/>
    <w:rsid w:val="004A1BA7"/>
    <w:rsid w:val="004A1DE8"/>
    <w:rsid w:val="004A1F58"/>
    <w:rsid w:val="004A2043"/>
    <w:rsid w:val="004A6D51"/>
    <w:rsid w:val="004A7118"/>
    <w:rsid w:val="004B0319"/>
    <w:rsid w:val="004B03BE"/>
    <w:rsid w:val="004B1950"/>
    <w:rsid w:val="004B2839"/>
    <w:rsid w:val="004B300A"/>
    <w:rsid w:val="004B3C51"/>
    <w:rsid w:val="004B4468"/>
    <w:rsid w:val="004B4B2B"/>
    <w:rsid w:val="004B4E7B"/>
    <w:rsid w:val="004B7418"/>
    <w:rsid w:val="004B780C"/>
    <w:rsid w:val="004B7F3A"/>
    <w:rsid w:val="004C0FBA"/>
    <w:rsid w:val="004C1080"/>
    <w:rsid w:val="004C118D"/>
    <w:rsid w:val="004C17B8"/>
    <w:rsid w:val="004C2B29"/>
    <w:rsid w:val="004C2E9E"/>
    <w:rsid w:val="004C3F7B"/>
    <w:rsid w:val="004C46CE"/>
    <w:rsid w:val="004C61B8"/>
    <w:rsid w:val="004C6726"/>
    <w:rsid w:val="004C78C4"/>
    <w:rsid w:val="004D091B"/>
    <w:rsid w:val="004D135E"/>
    <w:rsid w:val="004D2B88"/>
    <w:rsid w:val="004D2EB8"/>
    <w:rsid w:val="004D3A3F"/>
    <w:rsid w:val="004D512D"/>
    <w:rsid w:val="004D58A1"/>
    <w:rsid w:val="004D5EC6"/>
    <w:rsid w:val="004D5F74"/>
    <w:rsid w:val="004D6ED4"/>
    <w:rsid w:val="004D77F5"/>
    <w:rsid w:val="004E0568"/>
    <w:rsid w:val="004E1004"/>
    <w:rsid w:val="004E10E0"/>
    <w:rsid w:val="004E198A"/>
    <w:rsid w:val="004E2A32"/>
    <w:rsid w:val="004E3F7E"/>
    <w:rsid w:val="004E4958"/>
    <w:rsid w:val="004E67E6"/>
    <w:rsid w:val="004E759F"/>
    <w:rsid w:val="004F19CD"/>
    <w:rsid w:val="004F1F6E"/>
    <w:rsid w:val="004F245D"/>
    <w:rsid w:val="004F4C01"/>
    <w:rsid w:val="004F5A48"/>
    <w:rsid w:val="004F5E93"/>
    <w:rsid w:val="004F603D"/>
    <w:rsid w:val="004F6545"/>
    <w:rsid w:val="004F6D32"/>
    <w:rsid w:val="004F6FC8"/>
    <w:rsid w:val="0050046F"/>
    <w:rsid w:val="00500EEF"/>
    <w:rsid w:val="005015CE"/>
    <w:rsid w:val="00501BD9"/>
    <w:rsid w:val="005041A7"/>
    <w:rsid w:val="00504E3C"/>
    <w:rsid w:val="00506456"/>
    <w:rsid w:val="00506825"/>
    <w:rsid w:val="00506FA2"/>
    <w:rsid w:val="00507196"/>
    <w:rsid w:val="00510167"/>
    <w:rsid w:val="005103B1"/>
    <w:rsid w:val="00513D86"/>
    <w:rsid w:val="00515680"/>
    <w:rsid w:val="00516410"/>
    <w:rsid w:val="005173F5"/>
    <w:rsid w:val="00517D7F"/>
    <w:rsid w:val="00517E7D"/>
    <w:rsid w:val="00520779"/>
    <w:rsid w:val="00523AAC"/>
    <w:rsid w:val="00523CF5"/>
    <w:rsid w:val="005246FD"/>
    <w:rsid w:val="00525A4C"/>
    <w:rsid w:val="00525C51"/>
    <w:rsid w:val="005279B1"/>
    <w:rsid w:val="00530417"/>
    <w:rsid w:val="00530B0F"/>
    <w:rsid w:val="005321B7"/>
    <w:rsid w:val="005328C3"/>
    <w:rsid w:val="0053349A"/>
    <w:rsid w:val="00533524"/>
    <w:rsid w:val="0053379A"/>
    <w:rsid w:val="005337D5"/>
    <w:rsid w:val="005357CB"/>
    <w:rsid w:val="0053679A"/>
    <w:rsid w:val="0054067C"/>
    <w:rsid w:val="00541C62"/>
    <w:rsid w:val="00543754"/>
    <w:rsid w:val="005437B7"/>
    <w:rsid w:val="00543E03"/>
    <w:rsid w:val="00545F4F"/>
    <w:rsid w:val="00545F60"/>
    <w:rsid w:val="0054658C"/>
    <w:rsid w:val="00546CFD"/>
    <w:rsid w:val="00547344"/>
    <w:rsid w:val="00547754"/>
    <w:rsid w:val="0054782B"/>
    <w:rsid w:val="0055051C"/>
    <w:rsid w:val="00550BD7"/>
    <w:rsid w:val="005520E3"/>
    <w:rsid w:val="005536BC"/>
    <w:rsid w:val="00554B2A"/>
    <w:rsid w:val="00554B2F"/>
    <w:rsid w:val="005552F9"/>
    <w:rsid w:val="00557118"/>
    <w:rsid w:val="00557E2A"/>
    <w:rsid w:val="00560A3B"/>
    <w:rsid w:val="005612C1"/>
    <w:rsid w:val="005619D8"/>
    <w:rsid w:val="00561CB5"/>
    <w:rsid w:val="0056357E"/>
    <w:rsid w:val="005638FF"/>
    <w:rsid w:val="00563B07"/>
    <w:rsid w:val="00564874"/>
    <w:rsid w:val="00566716"/>
    <w:rsid w:val="00566834"/>
    <w:rsid w:val="005668F0"/>
    <w:rsid w:val="005677E2"/>
    <w:rsid w:val="005678D9"/>
    <w:rsid w:val="0057019F"/>
    <w:rsid w:val="005704E5"/>
    <w:rsid w:val="00570549"/>
    <w:rsid w:val="00571705"/>
    <w:rsid w:val="00571BA5"/>
    <w:rsid w:val="00573B85"/>
    <w:rsid w:val="00574342"/>
    <w:rsid w:val="00574756"/>
    <w:rsid w:val="0057491B"/>
    <w:rsid w:val="00574953"/>
    <w:rsid w:val="005754DE"/>
    <w:rsid w:val="005765BE"/>
    <w:rsid w:val="00576798"/>
    <w:rsid w:val="00577C67"/>
    <w:rsid w:val="00580450"/>
    <w:rsid w:val="00580CDE"/>
    <w:rsid w:val="00582DC6"/>
    <w:rsid w:val="0058303A"/>
    <w:rsid w:val="00585F5E"/>
    <w:rsid w:val="00586DC7"/>
    <w:rsid w:val="00587067"/>
    <w:rsid w:val="00587FE1"/>
    <w:rsid w:val="0059003A"/>
    <w:rsid w:val="00590A49"/>
    <w:rsid w:val="00590BD9"/>
    <w:rsid w:val="00590D92"/>
    <w:rsid w:val="00593561"/>
    <w:rsid w:val="005940A1"/>
    <w:rsid w:val="00594B06"/>
    <w:rsid w:val="00596392"/>
    <w:rsid w:val="00596D41"/>
    <w:rsid w:val="00597DFE"/>
    <w:rsid w:val="00597EC6"/>
    <w:rsid w:val="00597FAF"/>
    <w:rsid w:val="005A13E7"/>
    <w:rsid w:val="005A196E"/>
    <w:rsid w:val="005A3D06"/>
    <w:rsid w:val="005A3DA9"/>
    <w:rsid w:val="005A6CC1"/>
    <w:rsid w:val="005A6CCD"/>
    <w:rsid w:val="005A6D41"/>
    <w:rsid w:val="005A7107"/>
    <w:rsid w:val="005B174D"/>
    <w:rsid w:val="005B29AF"/>
    <w:rsid w:val="005B31AF"/>
    <w:rsid w:val="005B3209"/>
    <w:rsid w:val="005B39D2"/>
    <w:rsid w:val="005B3B36"/>
    <w:rsid w:val="005B417C"/>
    <w:rsid w:val="005B461F"/>
    <w:rsid w:val="005B4A61"/>
    <w:rsid w:val="005B545C"/>
    <w:rsid w:val="005B55F8"/>
    <w:rsid w:val="005B5924"/>
    <w:rsid w:val="005B6561"/>
    <w:rsid w:val="005B6729"/>
    <w:rsid w:val="005B6E6A"/>
    <w:rsid w:val="005B7D7D"/>
    <w:rsid w:val="005C0453"/>
    <w:rsid w:val="005C10C5"/>
    <w:rsid w:val="005C21D1"/>
    <w:rsid w:val="005C24B6"/>
    <w:rsid w:val="005C29FA"/>
    <w:rsid w:val="005C6EDB"/>
    <w:rsid w:val="005C765F"/>
    <w:rsid w:val="005D0763"/>
    <w:rsid w:val="005D0FD8"/>
    <w:rsid w:val="005D2127"/>
    <w:rsid w:val="005D3791"/>
    <w:rsid w:val="005D3DE0"/>
    <w:rsid w:val="005D4C84"/>
    <w:rsid w:val="005D57F3"/>
    <w:rsid w:val="005D5863"/>
    <w:rsid w:val="005D67EA"/>
    <w:rsid w:val="005D7A7E"/>
    <w:rsid w:val="005E0B96"/>
    <w:rsid w:val="005E10AB"/>
    <w:rsid w:val="005E176C"/>
    <w:rsid w:val="005E2D8E"/>
    <w:rsid w:val="005E3825"/>
    <w:rsid w:val="005E4156"/>
    <w:rsid w:val="005E4BC4"/>
    <w:rsid w:val="005E61BD"/>
    <w:rsid w:val="005E63AF"/>
    <w:rsid w:val="005E7559"/>
    <w:rsid w:val="005E759A"/>
    <w:rsid w:val="005F2C40"/>
    <w:rsid w:val="005F4D93"/>
    <w:rsid w:val="005F4DCE"/>
    <w:rsid w:val="005F4E98"/>
    <w:rsid w:val="005F56ED"/>
    <w:rsid w:val="005F6398"/>
    <w:rsid w:val="005F7B9B"/>
    <w:rsid w:val="0060184B"/>
    <w:rsid w:val="00601A52"/>
    <w:rsid w:val="00602A9F"/>
    <w:rsid w:val="00602E73"/>
    <w:rsid w:val="00603627"/>
    <w:rsid w:val="006036A6"/>
    <w:rsid w:val="00603E2B"/>
    <w:rsid w:val="00603FA8"/>
    <w:rsid w:val="006041AE"/>
    <w:rsid w:val="00604B58"/>
    <w:rsid w:val="006050DD"/>
    <w:rsid w:val="006057D8"/>
    <w:rsid w:val="006062EF"/>
    <w:rsid w:val="0061025C"/>
    <w:rsid w:val="0061043B"/>
    <w:rsid w:val="00612D19"/>
    <w:rsid w:val="0061317B"/>
    <w:rsid w:val="00613972"/>
    <w:rsid w:val="006141B0"/>
    <w:rsid w:val="006159F2"/>
    <w:rsid w:val="00615E70"/>
    <w:rsid w:val="006170F2"/>
    <w:rsid w:val="00617398"/>
    <w:rsid w:val="0061761D"/>
    <w:rsid w:val="006207E9"/>
    <w:rsid w:val="00621CF7"/>
    <w:rsid w:val="00621E70"/>
    <w:rsid w:val="0062240C"/>
    <w:rsid w:val="006251C6"/>
    <w:rsid w:val="00626B7E"/>
    <w:rsid w:val="0063019C"/>
    <w:rsid w:val="00630450"/>
    <w:rsid w:val="00631B87"/>
    <w:rsid w:val="00632BA7"/>
    <w:rsid w:val="00632C89"/>
    <w:rsid w:val="00632E8C"/>
    <w:rsid w:val="00634154"/>
    <w:rsid w:val="00634F11"/>
    <w:rsid w:val="006359F5"/>
    <w:rsid w:val="00635A18"/>
    <w:rsid w:val="006362C2"/>
    <w:rsid w:val="006377D3"/>
    <w:rsid w:val="00637BB7"/>
    <w:rsid w:val="00641360"/>
    <w:rsid w:val="00642ADD"/>
    <w:rsid w:val="0064402C"/>
    <w:rsid w:val="006445A2"/>
    <w:rsid w:val="00645C45"/>
    <w:rsid w:val="00646179"/>
    <w:rsid w:val="006464FD"/>
    <w:rsid w:val="0064671E"/>
    <w:rsid w:val="0064763A"/>
    <w:rsid w:val="00653ECE"/>
    <w:rsid w:val="006544DB"/>
    <w:rsid w:val="00654F36"/>
    <w:rsid w:val="00656647"/>
    <w:rsid w:val="0065713B"/>
    <w:rsid w:val="0065713C"/>
    <w:rsid w:val="0065773E"/>
    <w:rsid w:val="00660B1F"/>
    <w:rsid w:val="00662194"/>
    <w:rsid w:val="006631E4"/>
    <w:rsid w:val="00663B17"/>
    <w:rsid w:val="00666A40"/>
    <w:rsid w:val="006674A8"/>
    <w:rsid w:val="00671103"/>
    <w:rsid w:val="00671424"/>
    <w:rsid w:val="00671A52"/>
    <w:rsid w:val="006755C1"/>
    <w:rsid w:val="00675FA3"/>
    <w:rsid w:val="00676503"/>
    <w:rsid w:val="0067714D"/>
    <w:rsid w:val="006772A7"/>
    <w:rsid w:val="006772CA"/>
    <w:rsid w:val="00677EE9"/>
    <w:rsid w:val="006822DA"/>
    <w:rsid w:val="00682473"/>
    <w:rsid w:val="006829A8"/>
    <w:rsid w:val="00682FBC"/>
    <w:rsid w:val="00683A57"/>
    <w:rsid w:val="0068449E"/>
    <w:rsid w:val="00684A4C"/>
    <w:rsid w:val="006873EA"/>
    <w:rsid w:val="00692162"/>
    <w:rsid w:val="00692DEC"/>
    <w:rsid w:val="00693024"/>
    <w:rsid w:val="00694ABE"/>
    <w:rsid w:val="00694E49"/>
    <w:rsid w:val="00696A21"/>
    <w:rsid w:val="00696B64"/>
    <w:rsid w:val="006A0E74"/>
    <w:rsid w:val="006A0FE1"/>
    <w:rsid w:val="006A20F9"/>
    <w:rsid w:val="006A218F"/>
    <w:rsid w:val="006A2EC2"/>
    <w:rsid w:val="006A3F76"/>
    <w:rsid w:val="006A4054"/>
    <w:rsid w:val="006A40A1"/>
    <w:rsid w:val="006A5C00"/>
    <w:rsid w:val="006A6165"/>
    <w:rsid w:val="006A6392"/>
    <w:rsid w:val="006A7E28"/>
    <w:rsid w:val="006B0E02"/>
    <w:rsid w:val="006B2116"/>
    <w:rsid w:val="006B2982"/>
    <w:rsid w:val="006B4903"/>
    <w:rsid w:val="006B5EBA"/>
    <w:rsid w:val="006C0A4C"/>
    <w:rsid w:val="006C1B43"/>
    <w:rsid w:val="006C1D7C"/>
    <w:rsid w:val="006C4C15"/>
    <w:rsid w:val="006C6FA2"/>
    <w:rsid w:val="006C7000"/>
    <w:rsid w:val="006C7763"/>
    <w:rsid w:val="006D012B"/>
    <w:rsid w:val="006D12A7"/>
    <w:rsid w:val="006D2BD5"/>
    <w:rsid w:val="006D3ECE"/>
    <w:rsid w:val="006D49DD"/>
    <w:rsid w:val="006D4E45"/>
    <w:rsid w:val="006D5350"/>
    <w:rsid w:val="006D5C8F"/>
    <w:rsid w:val="006E0317"/>
    <w:rsid w:val="006E0511"/>
    <w:rsid w:val="006E0ACA"/>
    <w:rsid w:val="006E12C1"/>
    <w:rsid w:val="006E1C1A"/>
    <w:rsid w:val="006E2308"/>
    <w:rsid w:val="006E39ED"/>
    <w:rsid w:val="006E5580"/>
    <w:rsid w:val="006E7DC2"/>
    <w:rsid w:val="006F0263"/>
    <w:rsid w:val="006F0D73"/>
    <w:rsid w:val="006F1342"/>
    <w:rsid w:val="006F3D80"/>
    <w:rsid w:val="006F3EF5"/>
    <w:rsid w:val="006F49F0"/>
    <w:rsid w:val="006F6E79"/>
    <w:rsid w:val="007004BE"/>
    <w:rsid w:val="00700AC2"/>
    <w:rsid w:val="00701E22"/>
    <w:rsid w:val="00702E8D"/>
    <w:rsid w:val="00703239"/>
    <w:rsid w:val="0070360B"/>
    <w:rsid w:val="007036EA"/>
    <w:rsid w:val="00704726"/>
    <w:rsid w:val="007053E7"/>
    <w:rsid w:val="00705884"/>
    <w:rsid w:val="00705BD1"/>
    <w:rsid w:val="007063F2"/>
    <w:rsid w:val="00706E77"/>
    <w:rsid w:val="00707B2E"/>
    <w:rsid w:val="00710B00"/>
    <w:rsid w:val="00711471"/>
    <w:rsid w:val="00716B67"/>
    <w:rsid w:val="00716DEA"/>
    <w:rsid w:val="00720A78"/>
    <w:rsid w:val="00720BC3"/>
    <w:rsid w:val="0072105B"/>
    <w:rsid w:val="00722CE9"/>
    <w:rsid w:val="00723508"/>
    <w:rsid w:val="007276CD"/>
    <w:rsid w:val="0073286C"/>
    <w:rsid w:val="007328CC"/>
    <w:rsid w:val="007330DF"/>
    <w:rsid w:val="00735070"/>
    <w:rsid w:val="00735AD3"/>
    <w:rsid w:val="00736054"/>
    <w:rsid w:val="007404F6"/>
    <w:rsid w:val="00742222"/>
    <w:rsid w:val="00743EA9"/>
    <w:rsid w:val="0074529C"/>
    <w:rsid w:val="007466B9"/>
    <w:rsid w:val="00747ECC"/>
    <w:rsid w:val="00750BF8"/>
    <w:rsid w:val="00750E2F"/>
    <w:rsid w:val="007515BC"/>
    <w:rsid w:val="00751F9D"/>
    <w:rsid w:val="00753328"/>
    <w:rsid w:val="00753433"/>
    <w:rsid w:val="00754229"/>
    <w:rsid w:val="00754E11"/>
    <w:rsid w:val="00756097"/>
    <w:rsid w:val="007611AB"/>
    <w:rsid w:val="007638AC"/>
    <w:rsid w:val="00764F3A"/>
    <w:rsid w:val="00765225"/>
    <w:rsid w:val="00765CC1"/>
    <w:rsid w:val="007669BA"/>
    <w:rsid w:val="007712EA"/>
    <w:rsid w:val="00772F02"/>
    <w:rsid w:val="00773ACD"/>
    <w:rsid w:val="00774E50"/>
    <w:rsid w:val="0077514B"/>
    <w:rsid w:val="007768C5"/>
    <w:rsid w:val="007773BD"/>
    <w:rsid w:val="0077776E"/>
    <w:rsid w:val="00777B72"/>
    <w:rsid w:val="00777EEE"/>
    <w:rsid w:val="00780146"/>
    <w:rsid w:val="007811C0"/>
    <w:rsid w:val="007819CF"/>
    <w:rsid w:val="00783657"/>
    <w:rsid w:val="00784598"/>
    <w:rsid w:val="00784745"/>
    <w:rsid w:val="00786840"/>
    <w:rsid w:val="0079105B"/>
    <w:rsid w:val="00791304"/>
    <w:rsid w:val="00791677"/>
    <w:rsid w:val="00791E8E"/>
    <w:rsid w:val="007931A9"/>
    <w:rsid w:val="00794685"/>
    <w:rsid w:val="007946A7"/>
    <w:rsid w:val="00794E52"/>
    <w:rsid w:val="00794E6C"/>
    <w:rsid w:val="007952A7"/>
    <w:rsid w:val="00796982"/>
    <w:rsid w:val="007A02C7"/>
    <w:rsid w:val="007A1334"/>
    <w:rsid w:val="007A1496"/>
    <w:rsid w:val="007A2C70"/>
    <w:rsid w:val="007A31CB"/>
    <w:rsid w:val="007A375D"/>
    <w:rsid w:val="007A4CBF"/>
    <w:rsid w:val="007A5456"/>
    <w:rsid w:val="007A5826"/>
    <w:rsid w:val="007A657A"/>
    <w:rsid w:val="007A78A7"/>
    <w:rsid w:val="007B13A9"/>
    <w:rsid w:val="007B249F"/>
    <w:rsid w:val="007B4330"/>
    <w:rsid w:val="007B435A"/>
    <w:rsid w:val="007B5D7E"/>
    <w:rsid w:val="007B6C69"/>
    <w:rsid w:val="007C1720"/>
    <w:rsid w:val="007C17B1"/>
    <w:rsid w:val="007C43BB"/>
    <w:rsid w:val="007C58E9"/>
    <w:rsid w:val="007C6ED9"/>
    <w:rsid w:val="007C7EE6"/>
    <w:rsid w:val="007D0592"/>
    <w:rsid w:val="007D1D13"/>
    <w:rsid w:val="007D36F2"/>
    <w:rsid w:val="007D37E2"/>
    <w:rsid w:val="007D3B6C"/>
    <w:rsid w:val="007D3F11"/>
    <w:rsid w:val="007D5112"/>
    <w:rsid w:val="007D55BC"/>
    <w:rsid w:val="007D57DC"/>
    <w:rsid w:val="007D5F6A"/>
    <w:rsid w:val="007D6746"/>
    <w:rsid w:val="007D6E64"/>
    <w:rsid w:val="007D77EB"/>
    <w:rsid w:val="007E00A1"/>
    <w:rsid w:val="007E0380"/>
    <w:rsid w:val="007E0717"/>
    <w:rsid w:val="007E2BB1"/>
    <w:rsid w:val="007E2F2D"/>
    <w:rsid w:val="007E3A3A"/>
    <w:rsid w:val="007E6D47"/>
    <w:rsid w:val="007E71C7"/>
    <w:rsid w:val="007F0096"/>
    <w:rsid w:val="007F0CA7"/>
    <w:rsid w:val="007F1137"/>
    <w:rsid w:val="007F2BB3"/>
    <w:rsid w:val="007F2CEB"/>
    <w:rsid w:val="007F35FA"/>
    <w:rsid w:val="007F36C1"/>
    <w:rsid w:val="007F3724"/>
    <w:rsid w:val="007F4330"/>
    <w:rsid w:val="007F45A7"/>
    <w:rsid w:val="007F4C1B"/>
    <w:rsid w:val="007F5C4F"/>
    <w:rsid w:val="007F62A9"/>
    <w:rsid w:val="008007C3"/>
    <w:rsid w:val="00802168"/>
    <w:rsid w:val="008022F1"/>
    <w:rsid w:val="0080288A"/>
    <w:rsid w:val="00802E2A"/>
    <w:rsid w:val="008033B1"/>
    <w:rsid w:val="00803569"/>
    <w:rsid w:val="008049CE"/>
    <w:rsid w:val="0080704D"/>
    <w:rsid w:val="00807058"/>
    <w:rsid w:val="0080739F"/>
    <w:rsid w:val="0080758E"/>
    <w:rsid w:val="0081025E"/>
    <w:rsid w:val="00811104"/>
    <w:rsid w:val="008124E6"/>
    <w:rsid w:val="00812B72"/>
    <w:rsid w:val="00813360"/>
    <w:rsid w:val="00813620"/>
    <w:rsid w:val="00816F3A"/>
    <w:rsid w:val="008171ED"/>
    <w:rsid w:val="00820A32"/>
    <w:rsid w:val="00820A94"/>
    <w:rsid w:val="008211DD"/>
    <w:rsid w:val="0082147B"/>
    <w:rsid w:val="008230AC"/>
    <w:rsid w:val="00823B52"/>
    <w:rsid w:val="00823B90"/>
    <w:rsid w:val="00826B78"/>
    <w:rsid w:val="0082730A"/>
    <w:rsid w:val="00831ACA"/>
    <w:rsid w:val="00831AD5"/>
    <w:rsid w:val="00831BAA"/>
    <w:rsid w:val="00831E32"/>
    <w:rsid w:val="00834AEF"/>
    <w:rsid w:val="00834C7B"/>
    <w:rsid w:val="00836367"/>
    <w:rsid w:val="008375CF"/>
    <w:rsid w:val="00837AE9"/>
    <w:rsid w:val="00841F00"/>
    <w:rsid w:val="00842D0F"/>
    <w:rsid w:val="00843D20"/>
    <w:rsid w:val="00844454"/>
    <w:rsid w:val="008465CC"/>
    <w:rsid w:val="00847192"/>
    <w:rsid w:val="0084727D"/>
    <w:rsid w:val="0084731D"/>
    <w:rsid w:val="00850142"/>
    <w:rsid w:val="008511D0"/>
    <w:rsid w:val="00855476"/>
    <w:rsid w:val="00856338"/>
    <w:rsid w:val="00857420"/>
    <w:rsid w:val="0085773A"/>
    <w:rsid w:val="008603F1"/>
    <w:rsid w:val="00860CCE"/>
    <w:rsid w:val="0086161F"/>
    <w:rsid w:val="00861E5F"/>
    <w:rsid w:val="00862540"/>
    <w:rsid w:val="00862551"/>
    <w:rsid w:val="0086294E"/>
    <w:rsid w:val="00863459"/>
    <w:rsid w:val="008637E1"/>
    <w:rsid w:val="00864007"/>
    <w:rsid w:val="00864CE2"/>
    <w:rsid w:val="00867E68"/>
    <w:rsid w:val="00871BAB"/>
    <w:rsid w:val="008721FC"/>
    <w:rsid w:val="00872624"/>
    <w:rsid w:val="0087340F"/>
    <w:rsid w:val="00873D37"/>
    <w:rsid w:val="0087438B"/>
    <w:rsid w:val="00876879"/>
    <w:rsid w:val="00880FE1"/>
    <w:rsid w:val="0088302D"/>
    <w:rsid w:val="008830D8"/>
    <w:rsid w:val="008830FE"/>
    <w:rsid w:val="008831E9"/>
    <w:rsid w:val="008841C7"/>
    <w:rsid w:val="00885271"/>
    <w:rsid w:val="0088541D"/>
    <w:rsid w:val="00885C28"/>
    <w:rsid w:val="00885DB0"/>
    <w:rsid w:val="00885F6B"/>
    <w:rsid w:val="00887803"/>
    <w:rsid w:val="00891481"/>
    <w:rsid w:val="00893A34"/>
    <w:rsid w:val="00893F1F"/>
    <w:rsid w:val="00896ACB"/>
    <w:rsid w:val="00896F9D"/>
    <w:rsid w:val="008971F3"/>
    <w:rsid w:val="00897964"/>
    <w:rsid w:val="008A2903"/>
    <w:rsid w:val="008A2ECB"/>
    <w:rsid w:val="008A41D1"/>
    <w:rsid w:val="008A444F"/>
    <w:rsid w:val="008A634A"/>
    <w:rsid w:val="008A6B32"/>
    <w:rsid w:val="008A6E8F"/>
    <w:rsid w:val="008A7DEB"/>
    <w:rsid w:val="008B39F2"/>
    <w:rsid w:val="008B552C"/>
    <w:rsid w:val="008B60F7"/>
    <w:rsid w:val="008B69A9"/>
    <w:rsid w:val="008B7CC7"/>
    <w:rsid w:val="008B7DCC"/>
    <w:rsid w:val="008B7F6B"/>
    <w:rsid w:val="008C0B01"/>
    <w:rsid w:val="008C0BAD"/>
    <w:rsid w:val="008C0DC4"/>
    <w:rsid w:val="008C1654"/>
    <w:rsid w:val="008C1F89"/>
    <w:rsid w:val="008C2E66"/>
    <w:rsid w:val="008C3CF3"/>
    <w:rsid w:val="008C4059"/>
    <w:rsid w:val="008C5061"/>
    <w:rsid w:val="008C520B"/>
    <w:rsid w:val="008C7DFF"/>
    <w:rsid w:val="008D2EC8"/>
    <w:rsid w:val="008D321E"/>
    <w:rsid w:val="008D4069"/>
    <w:rsid w:val="008D4C74"/>
    <w:rsid w:val="008D558B"/>
    <w:rsid w:val="008D578D"/>
    <w:rsid w:val="008D5CD9"/>
    <w:rsid w:val="008D5CFE"/>
    <w:rsid w:val="008D607D"/>
    <w:rsid w:val="008D6BA5"/>
    <w:rsid w:val="008E0799"/>
    <w:rsid w:val="008E144C"/>
    <w:rsid w:val="008E1524"/>
    <w:rsid w:val="008E1751"/>
    <w:rsid w:val="008E34B0"/>
    <w:rsid w:val="008E35D5"/>
    <w:rsid w:val="008E499D"/>
    <w:rsid w:val="008E6D15"/>
    <w:rsid w:val="008F078B"/>
    <w:rsid w:val="008F08B7"/>
    <w:rsid w:val="008F1742"/>
    <w:rsid w:val="008F45DD"/>
    <w:rsid w:val="008F4F5A"/>
    <w:rsid w:val="008F524F"/>
    <w:rsid w:val="008F546B"/>
    <w:rsid w:val="008F55FA"/>
    <w:rsid w:val="009011FA"/>
    <w:rsid w:val="00903A46"/>
    <w:rsid w:val="009062B0"/>
    <w:rsid w:val="00907276"/>
    <w:rsid w:val="00907EF1"/>
    <w:rsid w:val="009112D6"/>
    <w:rsid w:val="00911779"/>
    <w:rsid w:val="00912583"/>
    <w:rsid w:val="0091537A"/>
    <w:rsid w:val="00915665"/>
    <w:rsid w:val="00915888"/>
    <w:rsid w:val="0091613C"/>
    <w:rsid w:val="00916F10"/>
    <w:rsid w:val="00917703"/>
    <w:rsid w:val="00921613"/>
    <w:rsid w:val="00921AD9"/>
    <w:rsid w:val="00922DFB"/>
    <w:rsid w:val="00924DAD"/>
    <w:rsid w:val="00924EF9"/>
    <w:rsid w:val="009263BA"/>
    <w:rsid w:val="00926B17"/>
    <w:rsid w:val="00931139"/>
    <w:rsid w:val="00931186"/>
    <w:rsid w:val="00931C60"/>
    <w:rsid w:val="00932080"/>
    <w:rsid w:val="00932330"/>
    <w:rsid w:val="00932C34"/>
    <w:rsid w:val="00934DE7"/>
    <w:rsid w:val="009352F9"/>
    <w:rsid w:val="00935A09"/>
    <w:rsid w:val="009366A0"/>
    <w:rsid w:val="009407EE"/>
    <w:rsid w:val="0094197D"/>
    <w:rsid w:val="00943B26"/>
    <w:rsid w:val="009456CA"/>
    <w:rsid w:val="009471C2"/>
    <w:rsid w:val="00947BE5"/>
    <w:rsid w:val="00950357"/>
    <w:rsid w:val="00950F50"/>
    <w:rsid w:val="00951D9B"/>
    <w:rsid w:val="0095200D"/>
    <w:rsid w:val="009542D3"/>
    <w:rsid w:val="00955AD9"/>
    <w:rsid w:val="00956216"/>
    <w:rsid w:val="00956DA6"/>
    <w:rsid w:val="009575E3"/>
    <w:rsid w:val="00957F52"/>
    <w:rsid w:val="00960387"/>
    <w:rsid w:val="00961C3D"/>
    <w:rsid w:val="00961DC0"/>
    <w:rsid w:val="00962440"/>
    <w:rsid w:val="00962484"/>
    <w:rsid w:val="0096278C"/>
    <w:rsid w:val="009643C4"/>
    <w:rsid w:val="009670F7"/>
    <w:rsid w:val="009671CF"/>
    <w:rsid w:val="00967BAA"/>
    <w:rsid w:val="00970DF3"/>
    <w:rsid w:val="00972B5F"/>
    <w:rsid w:val="00975870"/>
    <w:rsid w:val="00975CDC"/>
    <w:rsid w:val="009768F2"/>
    <w:rsid w:val="009807BF"/>
    <w:rsid w:val="00980E5F"/>
    <w:rsid w:val="00981A56"/>
    <w:rsid w:val="00982B0C"/>
    <w:rsid w:val="00983242"/>
    <w:rsid w:val="00984467"/>
    <w:rsid w:val="00984755"/>
    <w:rsid w:val="0098563C"/>
    <w:rsid w:val="0098603E"/>
    <w:rsid w:val="009868BA"/>
    <w:rsid w:val="00986F53"/>
    <w:rsid w:val="0098752B"/>
    <w:rsid w:val="0099053A"/>
    <w:rsid w:val="009918E8"/>
    <w:rsid w:val="00991ACC"/>
    <w:rsid w:val="00991D59"/>
    <w:rsid w:val="00992345"/>
    <w:rsid w:val="0099604A"/>
    <w:rsid w:val="009962FE"/>
    <w:rsid w:val="00996CB4"/>
    <w:rsid w:val="00997E46"/>
    <w:rsid w:val="009A0E5A"/>
    <w:rsid w:val="009A131E"/>
    <w:rsid w:val="009A228F"/>
    <w:rsid w:val="009A2C24"/>
    <w:rsid w:val="009A3F2D"/>
    <w:rsid w:val="009A43AE"/>
    <w:rsid w:val="009A4559"/>
    <w:rsid w:val="009A5934"/>
    <w:rsid w:val="009A6068"/>
    <w:rsid w:val="009A70C1"/>
    <w:rsid w:val="009A7469"/>
    <w:rsid w:val="009B1019"/>
    <w:rsid w:val="009B1209"/>
    <w:rsid w:val="009B3145"/>
    <w:rsid w:val="009B3F9B"/>
    <w:rsid w:val="009B4464"/>
    <w:rsid w:val="009B5ED9"/>
    <w:rsid w:val="009B5FDB"/>
    <w:rsid w:val="009B6200"/>
    <w:rsid w:val="009B687E"/>
    <w:rsid w:val="009B78C5"/>
    <w:rsid w:val="009C4DC5"/>
    <w:rsid w:val="009C5262"/>
    <w:rsid w:val="009C5E51"/>
    <w:rsid w:val="009C5FAF"/>
    <w:rsid w:val="009C6B0A"/>
    <w:rsid w:val="009D202B"/>
    <w:rsid w:val="009D4282"/>
    <w:rsid w:val="009D5865"/>
    <w:rsid w:val="009D5E4C"/>
    <w:rsid w:val="009D6D25"/>
    <w:rsid w:val="009E03FB"/>
    <w:rsid w:val="009E17B9"/>
    <w:rsid w:val="009E2323"/>
    <w:rsid w:val="009E31E7"/>
    <w:rsid w:val="009E56D2"/>
    <w:rsid w:val="009F09E6"/>
    <w:rsid w:val="009F39B2"/>
    <w:rsid w:val="009F630C"/>
    <w:rsid w:val="009F68EF"/>
    <w:rsid w:val="009F6D83"/>
    <w:rsid w:val="009F7F75"/>
    <w:rsid w:val="00A0358C"/>
    <w:rsid w:val="00A03704"/>
    <w:rsid w:val="00A04A64"/>
    <w:rsid w:val="00A05AD3"/>
    <w:rsid w:val="00A05E74"/>
    <w:rsid w:val="00A067D6"/>
    <w:rsid w:val="00A06AC7"/>
    <w:rsid w:val="00A109B9"/>
    <w:rsid w:val="00A11347"/>
    <w:rsid w:val="00A12961"/>
    <w:rsid w:val="00A136AC"/>
    <w:rsid w:val="00A13885"/>
    <w:rsid w:val="00A139E0"/>
    <w:rsid w:val="00A144CF"/>
    <w:rsid w:val="00A169B4"/>
    <w:rsid w:val="00A16CD8"/>
    <w:rsid w:val="00A178DF"/>
    <w:rsid w:val="00A20C92"/>
    <w:rsid w:val="00A20CD2"/>
    <w:rsid w:val="00A227F2"/>
    <w:rsid w:val="00A23954"/>
    <w:rsid w:val="00A240B1"/>
    <w:rsid w:val="00A241BD"/>
    <w:rsid w:val="00A24528"/>
    <w:rsid w:val="00A2777E"/>
    <w:rsid w:val="00A3103A"/>
    <w:rsid w:val="00A31268"/>
    <w:rsid w:val="00A31E8F"/>
    <w:rsid w:val="00A3580A"/>
    <w:rsid w:val="00A41E37"/>
    <w:rsid w:val="00A43B4D"/>
    <w:rsid w:val="00A44EB9"/>
    <w:rsid w:val="00A456D8"/>
    <w:rsid w:val="00A458F0"/>
    <w:rsid w:val="00A46A67"/>
    <w:rsid w:val="00A474F8"/>
    <w:rsid w:val="00A50816"/>
    <w:rsid w:val="00A51CC9"/>
    <w:rsid w:val="00A51EF6"/>
    <w:rsid w:val="00A52763"/>
    <w:rsid w:val="00A52964"/>
    <w:rsid w:val="00A53FA8"/>
    <w:rsid w:val="00A5618B"/>
    <w:rsid w:val="00A57948"/>
    <w:rsid w:val="00A611AF"/>
    <w:rsid w:val="00A636F2"/>
    <w:rsid w:val="00A64B3E"/>
    <w:rsid w:val="00A65EA6"/>
    <w:rsid w:val="00A712B6"/>
    <w:rsid w:val="00A72B79"/>
    <w:rsid w:val="00A72D91"/>
    <w:rsid w:val="00A72DF3"/>
    <w:rsid w:val="00A73D4B"/>
    <w:rsid w:val="00A75996"/>
    <w:rsid w:val="00A761FA"/>
    <w:rsid w:val="00A771C0"/>
    <w:rsid w:val="00A80350"/>
    <w:rsid w:val="00A80CA4"/>
    <w:rsid w:val="00A81192"/>
    <w:rsid w:val="00A81297"/>
    <w:rsid w:val="00A8261D"/>
    <w:rsid w:val="00A82A72"/>
    <w:rsid w:val="00A85A08"/>
    <w:rsid w:val="00A86724"/>
    <w:rsid w:val="00A8672D"/>
    <w:rsid w:val="00A90B93"/>
    <w:rsid w:val="00A9285C"/>
    <w:rsid w:val="00A92E1D"/>
    <w:rsid w:val="00A94F1D"/>
    <w:rsid w:val="00A95810"/>
    <w:rsid w:val="00A95DA6"/>
    <w:rsid w:val="00A95E45"/>
    <w:rsid w:val="00A97DC2"/>
    <w:rsid w:val="00AA0305"/>
    <w:rsid w:val="00AA0C52"/>
    <w:rsid w:val="00AA0D9A"/>
    <w:rsid w:val="00AA1E55"/>
    <w:rsid w:val="00AA2A15"/>
    <w:rsid w:val="00AA2A96"/>
    <w:rsid w:val="00AA42A7"/>
    <w:rsid w:val="00AA45AC"/>
    <w:rsid w:val="00AA5E41"/>
    <w:rsid w:val="00AA6FCB"/>
    <w:rsid w:val="00AA70CF"/>
    <w:rsid w:val="00AA714E"/>
    <w:rsid w:val="00AB16AD"/>
    <w:rsid w:val="00AB1C8B"/>
    <w:rsid w:val="00AB3655"/>
    <w:rsid w:val="00AB3FCC"/>
    <w:rsid w:val="00AB4B80"/>
    <w:rsid w:val="00AB7678"/>
    <w:rsid w:val="00AC014E"/>
    <w:rsid w:val="00AC238D"/>
    <w:rsid w:val="00AC4B7F"/>
    <w:rsid w:val="00AC6A94"/>
    <w:rsid w:val="00AC7238"/>
    <w:rsid w:val="00AC7BEB"/>
    <w:rsid w:val="00AC7C05"/>
    <w:rsid w:val="00AD162D"/>
    <w:rsid w:val="00AD16E4"/>
    <w:rsid w:val="00AD18E1"/>
    <w:rsid w:val="00AD2189"/>
    <w:rsid w:val="00AD2C02"/>
    <w:rsid w:val="00AD31A9"/>
    <w:rsid w:val="00AD34BE"/>
    <w:rsid w:val="00AD5287"/>
    <w:rsid w:val="00AD6A63"/>
    <w:rsid w:val="00AD6CF5"/>
    <w:rsid w:val="00AD7847"/>
    <w:rsid w:val="00AE097A"/>
    <w:rsid w:val="00AE1B5A"/>
    <w:rsid w:val="00AE2151"/>
    <w:rsid w:val="00AE249D"/>
    <w:rsid w:val="00AE31B0"/>
    <w:rsid w:val="00AE3E0D"/>
    <w:rsid w:val="00AE3EC0"/>
    <w:rsid w:val="00AE64C1"/>
    <w:rsid w:val="00AE6A58"/>
    <w:rsid w:val="00AE6FC4"/>
    <w:rsid w:val="00AE7B19"/>
    <w:rsid w:val="00AF0479"/>
    <w:rsid w:val="00AF1112"/>
    <w:rsid w:val="00AF26A2"/>
    <w:rsid w:val="00AF3713"/>
    <w:rsid w:val="00AF3DFB"/>
    <w:rsid w:val="00AF411C"/>
    <w:rsid w:val="00AF4B64"/>
    <w:rsid w:val="00AF50C9"/>
    <w:rsid w:val="00AF5D8D"/>
    <w:rsid w:val="00AF68F7"/>
    <w:rsid w:val="00AF69EF"/>
    <w:rsid w:val="00AF707D"/>
    <w:rsid w:val="00AF7EC6"/>
    <w:rsid w:val="00B01B51"/>
    <w:rsid w:val="00B03333"/>
    <w:rsid w:val="00B033B6"/>
    <w:rsid w:val="00B0406A"/>
    <w:rsid w:val="00B05C60"/>
    <w:rsid w:val="00B06581"/>
    <w:rsid w:val="00B06841"/>
    <w:rsid w:val="00B06B03"/>
    <w:rsid w:val="00B07DB6"/>
    <w:rsid w:val="00B07EB7"/>
    <w:rsid w:val="00B10319"/>
    <w:rsid w:val="00B1089C"/>
    <w:rsid w:val="00B113E5"/>
    <w:rsid w:val="00B1162D"/>
    <w:rsid w:val="00B130C0"/>
    <w:rsid w:val="00B140B1"/>
    <w:rsid w:val="00B14C06"/>
    <w:rsid w:val="00B153F0"/>
    <w:rsid w:val="00B162A3"/>
    <w:rsid w:val="00B16D79"/>
    <w:rsid w:val="00B17ECC"/>
    <w:rsid w:val="00B23398"/>
    <w:rsid w:val="00B23650"/>
    <w:rsid w:val="00B245B0"/>
    <w:rsid w:val="00B26E56"/>
    <w:rsid w:val="00B31879"/>
    <w:rsid w:val="00B3311C"/>
    <w:rsid w:val="00B33125"/>
    <w:rsid w:val="00B34A3B"/>
    <w:rsid w:val="00B355C5"/>
    <w:rsid w:val="00B3673D"/>
    <w:rsid w:val="00B43F15"/>
    <w:rsid w:val="00B44C6C"/>
    <w:rsid w:val="00B4757F"/>
    <w:rsid w:val="00B47B16"/>
    <w:rsid w:val="00B5187A"/>
    <w:rsid w:val="00B51B40"/>
    <w:rsid w:val="00B52519"/>
    <w:rsid w:val="00B52E33"/>
    <w:rsid w:val="00B53883"/>
    <w:rsid w:val="00B55CD1"/>
    <w:rsid w:val="00B56B1B"/>
    <w:rsid w:val="00B605F9"/>
    <w:rsid w:val="00B616C1"/>
    <w:rsid w:val="00B61C67"/>
    <w:rsid w:val="00B62A9E"/>
    <w:rsid w:val="00B6314D"/>
    <w:rsid w:val="00B64BD8"/>
    <w:rsid w:val="00B65AEA"/>
    <w:rsid w:val="00B70EFF"/>
    <w:rsid w:val="00B713DA"/>
    <w:rsid w:val="00B71654"/>
    <w:rsid w:val="00B717B0"/>
    <w:rsid w:val="00B727C2"/>
    <w:rsid w:val="00B738C7"/>
    <w:rsid w:val="00B74168"/>
    <w:rsid w:val="00B746DC"/>
    <w:rsid w:val="00B747AC"/>
    <w:rsid w:val="00B77124"/>
    <w:rsid w:val="00B8023E"/>
    <w:rsid w:val="00B82106"/>
    <w:rsid w:val="00B82526"/>
    <w:rsid w:val="00B82809"/>
    <w:rsid w:val="00B85956"/>
    <w:rsid w:val="00B8632F"/>
    <w:rsid w:val="00B86D3F"/>
    <w:rsid w:val="00B91224"/>
    <w:rsid w:val="00B91420"/>
    <w:rsid w:val="00B92DEC"/>
    <w:rsid w:val="00B93DCC"/>
    <w:rsid w:val="00B9525A"/>
    <w:rsid w:val="00BA015D"/>
    <w:rsid w:val="00BA064C"/>
    <w:rsid w:val="00BA0C85"/>
    <w:rsid w:val="00BA11A9"/>
    <w:rsid w:val="00BA1B22"/>
    <w:rsid w:val="00BA2B5E"/>
    <w:rsid w:val="00BA4091"/>
    <w:rsid w:val="00BA43FB"/>
    <w:rsid w:val="00BA4735"/>
    <w:rsid w:val="00BB1A5E"/>
    <w:rsid w:val="00BB206E"/>
    <w:rsid w:val="00BB2DB8"/>
    <w:rsid w:val="00BB3A50"/>
    <w:rsid w:val="00BB4D9B"/>
    <w:rsid w:val="00BB6222"/>
    <w:rsid w:val="00BB647C"/>
    <w:rsid w:val="00BB6636"/>
    <w:rsid w:val="00BC0744"/>
    <w:rsid w:val="00BC0C83"/>
    <w:rsid w:val="00BC33E7"/>
    <w:rsid w:val="00BC3C9D"/>
    <w:rsid w:val="00BC61B1"/>
    <w:rsid w:val="00BC677F"/>
    <w:rsid w:val="00BC74B2"/>
    <w:rsid w:val="00BD143D"/>
    <w:rsid w:val="00BD1F16"/>
    <w:rsid w:val="00BD201F"/>
    <w:rsid w:val="00BD4E0A"/>
    <w:rsid w:val="00BD55D3"/>
    <w:rsid w:val="00BD70DC"/>
    <w:rsid w:val="00BD787F"/>
    <w:rsid w:val="00BD7E26"/>
    <w:rsid w:val="00BE00F2"/>
    <w:rsid w:val="00BE209A"/>
    <w:rsid w:val="00BE2293"/>
    <w:rsid w:val="00BE24AF"/>
    <w:rsid w:val="00BE37DF"/>
    <w:rsid w:val="00BE37E1"/>
    <w:rsid w:val="00BE4B28"/>
    <w:rsid w:val="00BE4ED0"/>
    <w:rsid w:val="00BE511A"/>
    <w:rsid w:val="00BE57F6"/>
    <w:rsid w:val="00BE6EAE"/>
    <w:rsid w:val="00BE7220"/>
    <w:rsid w:val="00BF021D"/>
    <w:rsid w:val="00BF1EF2"/>
    <w:rsid w:val="00BF2D80"/>
    <w:rsid w:val="00BF2DF2"/>
    <w:rsid w:val="00BF32A0"/>
    <w:rsid w:val="00BF34A5"/>
    <w:rsid w:val="00BF3828"/>
    <w:rsid w:val="00BF4B6C"/>
    <w:rsid w:val="00BF4F4D"/>
    <w:rsid w:val="00BF5144"/>
    <w:rsid w:val="00BF5E9D"/>
    <w:rsid w:val="00C00747"/>
    <w:rsid w:val="00C01086"/>
    <w:rsid w:val="00C01116"/>
    <w:rsid w:val="00C0147B"/>
    <w:rsid w:val="00C02336"/>
    <w:rsid w:val="00C04254"/>
    <w:rsid w:val="00C043A7"/>
    <w:rsid w:val="00C044F1"/>
    <w:rsid w:val="00C050D3"/>
    <w:rsid w:val="00C10374"/>
    <w:rsid w:val="00C120A8"/>
    <w:rsid w:val="00C12597"/>
    <w:rsid w:val="00C12840"/>
    <w:rsid w:val="00C1593D"/>
    <w:rsid w:val="00C15EAC"/>
    <w:rsid w:val="00C172E3"/>
    <w:rsid w:val="00C20B65"/>
    <w:rsid w:val="00C217D7"/>
    <w:rsid w:val="00C21910"/>
    <w:rsid w:val="00C22219"/>
    <w:rsid w:val="00C22372"/>
    <w:rsid w:val="00C2237F"/>
    <w:rsid w:val="00C22791"/>
    <w:rsid w:val="00C244FF"/>
    <w:rsid w:val="00C245B3"/>
    <w:rsid w:val="00C26A8B"/>
    <w:rsid w:val="00C27FC3"/>
    <w:rsid w:val="00C302AE"/>
    <w:rsid w:val="00C31D4E"/>
    <w:rsid w:val="00C32E34"/>
    <w:rsid w:val="00C33269"/>
    <w:rsid w:val="00C33D51"/>
    <w:rsid w:val="00C35BF3"/>
    <w:rsid w:val="00C3670D"/>
    <w:rsid w:val="00C3728B"/>
    <w:rsid w:val="00C407C6"/>
    <w:rsid w:val="00C41370"/>
    <w:rsid w:val="00C41C88"/>
    <w:rsid w:val="00C41EED"/>
    <w:rsid w:val="00C428D3"/>
    <w:rsid w:val="00C442B6"/>
    <w:rsid w:val="00C459A1"/>
    <w:rsid w:val="00C45CA3"/>
    <w:rsid w:val="00C5096F"/>
    <w:rsid w:val="00C525DC"/>
    <w:rsid w:val="00C52B10"/>
    <w:rsid w:val="00C5302D"/>
    <w:rsid w:val="00C5403F"/>
    <w:rsid w:val="00C54376"/>
    <w:rsid w:val="00C55956"/>
    <w:rsid w:val="00C55CDD"/>
    <w:rsid w:val="00C5787F"/>
    <w:rsid w:val="00C57E44"/>
    <w:rsid w:val="00C60E71"/>
    <w:rsid w:val="00C61A6F"/>
    <w:rsid w:val="00C62F4A"/>
    <w:rsid w:val="00C6318D"/>
    <w:rsid w:val="00C634DB"/>
    <w:rsid w:val="00C63883"/>
    <w:rsid w:val="00C641E0"/>
    <w:rsid w:val="00C66506"/>
    <w:rsid w:val="00C70729"/>
    <w:rsid w:val="00C717F5"/>
    <w:rsid w:val="00C72EF0"/>
    <w:rsid w:val="00C7318D"/>
    <w:rsid w:val="00C73AEA"/>
    <w:rsid w:val="00C74CC2"/>
    <w:rsid w:val="00C76287"/>
    <w:rsid w:val="00C76487"/>
    <w:rsid w:val="00C76A67"/>
    <w:rsid w:val="00C76C1A"/>
    <w:rsid w:val="00C77322"/>
    <w:rsid w:val="00C77ACD"/>
    <w:rsid w:val="00C8292E"/>
    <w:rsid w:val="00C82FC1"/>
    <w:rsid w:val="00C83726"/>
    <w:rsid w:val="00C843A6"/>
    <w:rsid w:val="00C85536"/>
    <w:rsid w:val="00C9240D"/>
    <w:rsid w:val="00C92541"/>
    <w:rsid w:val="00C942C8"/>
    <w:rsid w:val="00C96565"/>
    <w:rsid w:val="00C97657"/>
    <w:rsid w:val="00C9766A"/>
    <w:rsid w:val="00C9795B"/>
    <w:rsid w:val="00CA1310"/>
    <w:rsid w:val="00CA19C8"/>
    <w:rsid w:val="00CA1F3B"/>
    <w:rsid w:val="00CA27D5"/>
    <w:rsid w:val="00CA2FB8"/>
    <w:rsid w:val="00CA3336"/>
    <w:rsid w:val="00CA3630"/>
    <w:rsid w:val="00CA49A2"/>
    <w:rsid w:val="00CA4D80"/>
    <w:rsid w:val="00CA552A"/>
    <w:rsid w:val="00CA55AC"/>
    <w:rsid w:val="00CA5DA4"/>
    <w:rsid w:val="00CA6831"/>
    <w:rsid w:val="00CA683E"/>
    <w:rsid w:val="00CB0179"/>
    <w:rsid w:val="00CB0C87"/>
    <w:rsid w:val="00CB1900"/>
    <w:rsid w:val="00CB2278"/>
    <w:rsid w:val="00CB4EB9"/>
    <w:rsid w:val="00CB6BD8"/>
    <w:rsid w:val="00CB74C1"/>
    <w:rsid w:val="00CC0031"/>
    <w:rsid w:val="00CC08C1"/>
    <w:rsid w:val="00CC1B2D"/>
    <w:rsid w:val="00CC277C"/>
    <w:rsid w:val="00CC27F2"/>
    <w:rsid w:val="00CC2C4F"/>
    <w:rsid w:val="00CC3B94"/>
    <w:rsid w:val="00CC3FDF"/>
    <w:rsid w:val="00CC430D"/>
    <w:rsid w:val="00CC60B9"/>
    <w:rsid w:val="00CC6B4E"/>
    <w:rsid w:val="00CD1628"/>
    <w:rsid w:val="00CD2712"/>
    <w:rsid w:val="00CD41EE"/>
    <w:rsid w:val="00CD4482"/>
    <w:rsid w:val="00CD476F"/>
    <w:rsid w:val="00CD5F1E"/>
    <w:rsid w:val="00CD664F"/>
    <w:rsid w:val="00CD7C95"/>
    <w:rsid w:val="00CE3D5E"/>
    <w:rsid w:val="00CE45AC"/>
    <w:rsid w:val="00CE4977"/>
    <w:rsid w:val="00CE5CCD"/>
    <w:rsid w:val="00CF0788"/>
    <w:rsid w:val="00CF32E9"/>
    <w:rsid w:val="00CF345C"/>
    <w:rsid w:val="00CF4E94"/>
    <w:rsid w:val="00CF4F5B"/>
    <w:rsid w:val="00CF56C1"/>
    <w:rsid w:val="00CF75BA"/>
    <w:rsid w:val="00CF7821"/>
    <w:rsid w:val="00D010E3"/>
    <w:rsid w:val="00D01A19"/>
    <w:rsid w:val="00D01B1B"/>
    <w:rsid w:val="00D02DD2"/>
    <w:rsid w:val="00D02E90"/>
    <w:rsid w:val="00D03138"/>
    <w:rsid w:val="00D05810"/>
    <w:rsid w:val="00D10925"/>
    <w:rsid w:val="00D15ADE"/>
    <w:rsid w:val="00D20157"/>
    <w:rsid w:val="00D202AA"/>
    <w:rsid w:val="00D20416"/>
    <w:rsid w:val="00D20CCF"/>
    <w:rsid w:val="00D21942"/>
    <w:rsid w:val="00D22B65"/>
    <w:rsid w:val="00D23682"/>
    <w:rsid w:val="00D259F1"/>
    <w:rsid w:val="00D308B4"/>
    <w:rsid w:val="00D30C9F"/>
    <w:rsid w:val="00D31448"/>
    <w:rsid w:val="00D3196B"/>
    <w:rsid w:val="00D324FC"/>
    <w:rsid w:val="00D35F36"/>
    <w:rsid w:val="00D378DF"/>
    <w:rsid w:val="00D41322"/>
    <w:rsid w:val="00D42B0C"/>
    <w:rsid w:val="00D47AC5"/>
    <w:rsid w:val="00D47B54"/>
    <w:rsid w:val="00D5113F"/>
    <w:rsid w:val="00D53CE6"/>
    <w:rsid w:val="00D54677"/>
    <w:rsid w:val="00D54C21"/>
    <w:rsid w:val="00D56336"/>
    <w:rsid w:val="00D56BA7"/>
    <w:rsid w:val="00D576E9"/>
    <w:rsid w:val="00D5781D"/>
    <w:rsid w:val="00D617EF"/>
    <w:rsid w:val="00D61A28"/>
    <w:rsid w:val="00D62ECD"/>
    <w:rsid w:val="00D64654"/>
    <w:rsid w:val="00D65CF2"/>
    <w:rsid w:val="00D65EA9"/>
    <w:rsid w:val="00D6682C"/>
    <w:rsid w:val="00D66CF8"/>
    <w:rsid w:val="00D66DB5"/>
    <w:rsid w:val="00D67F9B"/>
    <w:rsid w:val="00D7008D"/>
    <w:rsid w:val="00D7086E"/>
    <w:rsid w:val="00D70C49"/>
    <w:rsid w:val="00D70F3A"/>
    <w:rsid w:val="00D7120A"/>
    <w:rsid w:val="00D72BEF"/>
    <w:rsid w:val="00D72C62"/>
    <w:rsid w:val="00D73886"/>
    <w:rsid w:val="00D75D71"/>
    <w:rsid w:val="00D76AB8"/>
    <w:rsid w:val="00D772B3"/>
    <w:rsid w:val="00D77A52"/>
    <w:rsid w:val="00D81B58"/>
    <w:rsid w:val="00D81C14"/>
    <w:rsid w:val="00D81EAD"/>
    <w:rsid w:val="00D832D5"/>
    <w:rsid w:val="00D83376"/>
    <w:rsid w:val="00D844BE"/>
    <w:rsid w:val="00D84B5D"/>
    <w:rsid w:val="00D853FF"/>
    <w:rsid w:val="00D8705F"/>
    <w:rsid w:val="00D87A07"/>
    <w:rsid w:val="00D92A15"/>
    <w:rsid w:val="00D93C10"/>
    <w:rsid w:val="00D9463C"/>
    <w:rsid w:val="00D957C0"/>
    <w:rsid w:val="00D965FE"/>
    <w:rsid w:val="00D97B4A"/>
    <w:rsid w:val="00DA03FB"/>
    <w:rsid w:val="00DA0546"/>
    <w:rsid w:val="00DA0EA9"/>
    <w:rsid w:val="00DA1332"/>
    <w:rsid w:val="00DA377B"/>
    <w:rsid w:val="00DA48F6"/>
    <w:rsid w:val="00DA5238"/>
    <w:rsid w:val="00DA53C1"/>
    <w:rsid w:val="00DA55AA"/>
    <w:rsid w:val="00DA5621"/>
    <w:rsid w:val="00DA5B67"/>
    <w:rsid w:val="00DA71F4"/>
    <w:rsid w:val="00DA7ECD"/>
    <w:rsid w:val="00DB09E4"/>
    <w:rsid w:val="00DB2D17"/>
    <w:rsid w:val="00DB5E4D"/>
    <w:rsid w:val="00DB5F9F"/>
    <w:rsid w:val="00DB6D1F"/>
    <w:rsid w:val="00DB78EA"/>
    <w:rsid w:val="00DC11CB"/>
    <w:rsid w:val="00DC13EA"/>
    <w:rsid w:val="00DC1BB7"/>
    <w:rsid w:val="00DC1EED"/>
    <w:rsid w:val="00DC22C9"/>
    <w:rsid w:val="00DC3663"/>
    <w:rsid w:val="00DC3ADA"/>
    <w:rsid w:val="00DC4A0B"/>
    <w:rsid w:val="00DC4D66"/>
    <w:rsid w:val="00DD026E"/>
    <w:rsid w:val="00DD0D10"/>
    <w:rsid w:val="00DD112A"/>
    <w:rsid w:val="00DD1715"/>
    <w:rsid w:val="00DD2C4D"/>
    <w:rsid w:val="00DD35FE"/>
    <w:rsid w:val="00DD37BF"/>
    <w:rsid w:val="00DD44AD"/>
    <w:rsid w:val="00DD45F6"/>
    <w:rsid w:val="00DD5596"/>
    <w:rsid w:val="00DD5A7F"/>
    <w:rsid w:val="00DD6B23"/>
    <w:rsid w:val="00DD71EA"/>
    <w:rsid w:val="00DD7DA8"/>
    <w:rsid w:val="00DE0AD2"/>
    <w:rsid w:val="00DE100A"/>
    <w:rsid w:val="00DE19CA"/>
    <w:rsid w:val="00DE1E06"/>
    <w:rsid w:val="00DE24BA"/>
    <w:rsid w:val="00DE342A"/>
    <w:rsid w:val="00DE48C3"/>
    <w:rsid w:val="00DE493A"/>
    <w:rsid w:val="00DE5099"/>
    <w:rsid w:val="00DE58AE"/>
    <w:rsid w:val="00DE7190"/>
    <w:rsid w:val="00DF1157"/>
    <w:rsid w:val="00DF178D"/>
    <w:rsid w:val="00DF1A76"/>
    <w:rsid w:val="00DF2E2D"/>
    <w:rsid w:val="00DF38C7"/>
    <w:rsid w:val="00DF4392"/>
    <w:rsid w:val="00DF4E1F"/>
    <w:rsid w:val="00DF69A1"/>
    <w:rsid w:val="00DF6DE1"/>
    <w:rsid w:val="00DF752E"/>
    <w:rsid w:val="00E0035B"/>
    <w:rsid w:val="00E00956"/>
    <w:rsid w:val="00E011B3"/>
    <w:rsid w:val="00E017D3"/>
    <w:rsid w:val="00E01A14"/>
    <w:rsid w:val="00E01A51"/>
    <w:rsid w:val="00E02EE2"/>
    <w:rsid w:val="00E04D61"/>
    <w:rsid w:val="00E05109"/>
    <w:rsid w:val="00E05894"/>
    <w:rsid w:val="00E0642C"/>
    <w:rsid w:val="00E06BD0"/>
    <w:rsid w:val="00E0766E"/>
    <w:rsid w:val="00E109E0"/>
    <w:rsid w:val="00E14FA3"/>
    <w:rsid w:val="00E151B6"/>
    <w:rsid w:val="00E153CF"/>
    <w:rsid w:val="00E1543D"/>
    <w:rsid w:val="00E15D9B"/>
    <w:rsid w:val="00E1738A"/>
    <w:rsid w:val="00E17572"/>
    <w:rsid w:val="00E176F6"/>
    <w:rsid w:val="00E177EE"/>
    <w:rsid w:val="00E204AA"/>
    <w:rsid w:val="00E245F0"/>
    <w:rsid w:val="00E2566D"/>
    <w:rsid w:val="00E25EF0"/>
    <w:rsid w:val="00E27820"/>
    <w:rsid w:val="00E3049A"/>
    <w:rsid w:val="00E304B3"/>
    <w:rsid w:val="00E3051F"/>
    <w:rsid w:val="00E31996"/>
    <w:rsid w:val="00E329AF"/>
    <w:rsid w:val="00E342B0"/>
    <w:rsid w:val="00E350B7"/>
    <w:rsid w:val="00E356BA"/>
    <w:rsid w:val="00E37D1E"/>
    <w:rsid w:val="00E40979"/>
    <w:rsid w:val="00E41DC3"/>
    <w:rsid w:val="00E435B7"/>
    <w:rsid w:val="00E43A26"/>
    <w:rsid w:val="00E466D8"/>
    <w:rsid w:val="00E46AF2"/>
    <w:rsid w:val="00E47557"/>
    <w:rsid w:val="00E503F7"/>
    <w:rsid w:val="00E50FE3"/>
    <w:rsid w:val="00E5136B"/>
    <w:rsid w:val="00E537FB"/>
    <w:rsid w:val="00E54B7B"/>
    <w:rsid w:val="00E5502A"/>
    <w:rsid w:val="00E5532A"/>
    <w:rsid w:val="00E5543F"/>
    <w:rsid w:val="00E563EE"/>
    <w:rsid w:val="00E57340"/>
    <w:rsid w:val="00E6115E"/>
    <w:rsid w:val="00E6140D"/>
    <w:rsid w:val="00E61B22"/>
    <w:rsid w:val="00E61B23"/>
    <w:rsid w:val="00E61F52"/>
    <w:rsid w:val="00E6258F"/>
    <w:rsid w:val="00E6414B"/>
    <w:rsid w:val="00E64851"/>
    <w:rsid w:val="00E67C51"/>
    <w:rsid w:val="00E7009B"/>
    <w:rsid w:val="00E70BD3"/>
    <w:rsid w:val="00E71783"/>
    <w:rsid w:val="00E7237E"/>
    <w:rsid w:val="00E72A5A"/>
    <w:rsid w:val="00E735B1"/>
    <w:rsid w:val="00E73B02"/>
    <w:rsid w:val="00E741ED"/>
    <w:rsid w:val="00E7463E"/>
    <w:rsid w:val="00E75775"/>
    <w:rsid w:val="00E770AD"/>
    <w:rsid w:val="00E77FD2"/>
    <w:rsid w:val="00E80C66"/>
    <w:rsid w:val="00E81DCB"/>
    <w:rsid w:val="00E85206"/>
    <w:rsid w:val="00E87A06"/>
    <w:rsid w:val="00E90B31"/>
    <w:rsid w:val="00E90BDF"/>
    <w:rsid w:val="00E91E19"/>
    <w:rsid w:val="00E93885"/>
    <w:rsid w:val="00E94F36"/>
    <w:rsid w:val="00E94FA7"/>
    <w:rsid w:val="00E95883"/>
    <w:rsid w:val="00E96B81"/>
    <w:rsid w:val="00EA258A"/>
    <w:rsid w:val="00EA2E95"/>
    <w:rsid w:val="00EA447E"/>
    <w:rsid w:val="00EA4DBC"/>
    <w:rsid w:val="00EB037F"/>
    <w:rsid w:val="00EB0B71"/>
    <w:rsid w:val="00EB10EA"/>
    <w:rsid w:val="00EB31AB"/>
    <w:rsid w:val="00EB4305"/>
    <w:rsid w:val="00EB4E6F"/>
    <w:rsid w:val="00EB4EFE"/>
    <w:rsid w:val="00EB5216"/>
    <w:rsid w:val="00EB5751"/>
    <w:rsid w:val="00EB5E51"/>
    <w:rsid w:val="00EB605C"/>
    <w:rsid w:val="00EC175E"/>
    <w:rsid w:val="00EC22D7"/>
    <w:rsid w:val="00EC245A"/>
    <w:rsid w:val="00EC39C9"/>
    <w:rsid w:val="00EC4771"/>
    <w:rsid w:val="00EC4BAE"/>
    <w:rsid w:val="00EC585D"/>
    <w:rsid w:val="00EC5CB7"/>
    <w:rsid w:val="00EC5D37"/>
    <w:rsid w:val="00EC6A3F"/>
    <w:rsid w:val="00ED06AE"/>
    <w:rsid w:val="00ED2391"/>
    <w:rsid w:val="00ED3DA3"/>
    <w:rsid w:val="00ED40B0"/>
    <w:rsid w:val="00ED411F"/>
    <w:rsid w:val="00ED7E92"/>
    <w:rsid w:val="00EE13F0"/>
    <w:rsid w:val="00EE361A"/>
    <w:rsid w:val="00EE41CD"/>
    <w:rsid w:val="00EE6411"/>
    <w:rsid w:val="00EE66C7"/>
    <w:rsid w:val="00EE6B2F"/>
    <w:rsid w:val="00EF02F8"/>
    <w:rsid w:val="00EF0400"/>
    <w:rsid w:val="00EF1737"/>
    <w:rsid w:val="00EF5C83"/>
    <w:rsid w:val="00EF7D7A"/>
    <w:rsid w:val="00F002B2"/>
    <w:rsid w:val="00F008E3"/>
    <w:rsid w:val="00F00AC2"/>
    <w:rsid w:val="00F01C27"/>
    <w:rsid w:val="00F0204B"/>
    <w:rsid w:val="00F03CA9"/>
    <w:rsid w:val="00F0421F"/>
    <w:rsid w:val="00F05859"/>
    <w:rsid w:val="00F0601A"/>
    <w:rsid w:val="00F0724E"/>
    <w:rsid w:val="00F105E2"/>
    <w:rsid w:val="00F109B8"/>
    <w:rsid w:val="00F12FA2"/>
    <w:rsid w:val="00F14C67"/>
    <w:rsid w:val="00F15518"/>
    <w:rsid w:val="00F17616"/>
    <w:rsid w:val="00F2287E"/>
    <w:rsid w:val="00F22E5F"/>
    <w:rsid w:val="00F233B0"/>
    <w:rsid w:val="00F24E5E"/>
    <w:rsid w:val="00F25D76"/>
    <w:rsid w:val="00F269A7"/>
    <w:rsid w:val="00F26DA9"/>
    <w:rsid w:val="00F31C71"/>
    <w:rsid w:val="00F31D64"/>
    <w:rsid w:val="00F33598"/>
    <w:rsid w:val="00F33736"/>
    <w:rsid w:val="00F33918"/>
    <w:rsid w:val="00F33B09"/>
    <w:rsid w:val="00F3434E"/>
    <w:rsid w:val="00F35873"/>
    <w:rsid w:val="00F358FC"/>
    <w:rsid w:val="00F36D4A"/>
    <w:rsid w:val="00F370F7"/>
    <w:rsid w:val="00F376A1"/>
    <w:rsid w:val="00F376EB"/>
    <w:rsid w:val="00F3786A"/>
    <w:rsid w:val="00F37FE5"/>
    <w:rsid w:val="00F40EC2"/>
    <w:rsid w:val="00F40EFA"/>
    <w:rsid w:val="00F41545"/>
    <w:rsid w:val="00F416D0"/>
    <w:rsid w:val="00F41EEA"/>
    <w:rsid w:val="00F4341D"/>
    <w:rsid w:val="00F4545C"/>
    <w:rsid w:val="00F45E80"/>
    <w:rsid w:val="00F50177"/>
    <w:rsid w:val="00F51132"/>
    <w:rsid w:val="00F51CC5"/>
    <w:rsid w:val="00F51F90"/>
    <w:rsid w:val="00F567BF"/>
    <w:rsid w:val="00F56AC0"/>
    <w:rsid w:val="00F56F0E"/>
    <w:rsid w:val="00F56F47"/>
    <w:rsid w:val="00F57335"/>
    <w:rsid w:val="00F57A39"/>
    <w:rsid w:val="00F61CD2"/>
    <w:rsid w:val="00F61F72"/>
    <w:rsid w:val="00F62039"/>
    <w:rsid w:val="00F62680"/>
    <w:rsid w:val="00F63723"/>
    <w:rsid w:val="00F63BA4"/>
    <w:rsid w:val="00F64101"/>
    <w:rsid w:val="00F65E9E"/>
    <w:rsid w:val="00F7025D"/>
    <w:rsid w:val="00F72085"/>
    <w:rsid w:val="00F73330"/>
    <w:rsid w:val="00F73FF5"/>
    <w:rsid w:val="00F74EFB"/>
    <w:rsid w:val="00F75F4B"/>
    <w:rsid w:val="00F76F54"/>
    <w:rsid w:val="00F7712A"/>
    <w:rsid w:val="00F803F8"/>
    <w:rsid w:val="00F80E02"/>
    <w:rsid w:val="00F8144D"/>
    <w:rsid w:val="00F81AAE"/>
    <w:rsid w:val="00F827B7"/>
    <w:rsid w:val="00F82B0E"/>
    <w:rsid w:val="00F8316F"/>
    <w:rsid w:val="00F8415B"/>
    <w:rsid w:val="00F84536"/>
    <w:rsid w:val="00F862DC"/>
    <w:rsid w:val="00F869F8"/>
    <w:rsid w:val="00F86BE3"/>
    <w:rsid w:val="00F90EFD"/>
    <w:rsid w:val="00F910DA"/>
    <w:rsid w:val="00F91D9B"/>
    <w:rsid w:val="00F926D8"/>
    <w:rsid w:val="00F93F4C"/>
    <w:rsid w:val="00F9535B"/>
    <w:rsid w:val="00F95DE8"/>
    <w:rsid w:val="00F962C7"/>
    <w:rsid w:val="00F96483"/>
    <w:rsid w:val="00F96FD2"/>
    <w:rsid w:val="00F9757F"/>
    <w:rsid w:val="00F9780A"/>
    <w:rsid w:val="00FA0E40"/>
    <w:rsid w:val="00FA13F8"/>
    <w:rsid w:val="00FA1906"/>
    <w:rsid w:val="00FA2EC0"/>
    <w:rsid w:val="00FA31AD"/>
    <w:rsid w:val="00FA47E1"/>
    <w:rsid w:val="00FA4EA3"/>
    <w:rsid w:val="00FA69F4"/>
    <w:rsid w:val="00FA7388"/>
    <w:rsid w:val="00FB0D1A"/>
    <w:rsid w:val="00FB13E0"/>
    <w:rsid w:val="00FB38D6"/>
    <w:rsid w:val="00FB4CA8"/>
    <w:rsid w:val="00FB5197"/>
    <w:rsid w:val="00FB5EBA"/>
    <w:rsid w:val="00FB6B34"/>
    <w:rsid w:val="00FB76F7"/>
    <w:rsid w:val="00FC015D"/>
    <w:rsid w:val="00FC07C4"/>
    <w:rsid w:val="00FC1619"/>
    <w:rsid w:val="00FC19E8"/>
    <w:rsid w:val="00FC1BD5"/>
    <w:rsid w:val="00FC22CF"/>
    <w:rsid w:val="00FC4541"/>
    <w:rsid w:val="00FC5866"/>
    <w:rsid w:val="00FC5B63"/>
    <w:rsid w:val="00FC5E53"/>
    <w:rsid w:val="00FC718F"/>
    <w:rsid w:val="00FD0BDA"/>
    <w:rsid w:val="00FD3EB9"/>
    <w:rsid w:val="00FD4975"/>
    <w:rsid w:val="00FD4992"/>
    <w:rsid w:val="00FD79FF"/>
    <w:rsid w:val="00FE297B"/>
    <w:rsid w:val="00FE371A"/>
    <w:rsid w:val="00FE3880"/>
    <w:rsid w:val="00FE47DF"/>
    <w:rsid w:val="00FE6381"/>
    <w:rsid w:val="00FE7555"/>
    <w:rsid w:val="00FE75DD"/>
    <w:rsid w:val="00FF0C5F"/>
    <w:rsid w:val="00FF0CC1"/>
    <w:rsid w:val="00FF274C"/>
    <w:rsid w:val="00FF2B67"/>
    <w:rsid w:val="00FF2CD4"/>
    <w:rsid w:val="00FF354D"/>
    <w:rsid w:val="00FF61E2"/>
    <w:rsid w:val="00FF6B48"/>
    <w:rsid w:val="00FF71AF"/>
    <w:rsid w:val="00FF7307"/>
    <w:rsid w:val="00FF7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opacity="0"/>
      <v:stroke on="f"/>
      <o:colormru v:ext="edit" colors="#ddd,#cfcfcf,#cacaca,#66f,blue,#ccd3e1,#002469,#33508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B435A"/>
    <w:pPr>
      <w:spacing w:after="240" w:line="280" w:lineRule="atLeast"/>
    </w:pPr>
    <w:rPr>
      <w:rFonts w:ascii="Arial" w:hAnsi="Arial"/>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0775ED"/>
    <w:pPr>
      <w:keepNext/>
      <w:tabs>
        <w:tab w:val="left" w:pos="0"/>
      </w:tabs>
      <w:spacing w:before="240" w:after="180" w:line="240" w:lineRule="auto"/>
      <w:outlineLvl w:val="1"/>
    </w:pPr>
    <w:rPr>
      <w:b/>
      <w:color w:val="335087"/>
      <w:spacing w:val="20"/>
      <w:w w:val="90"/>
      <w:sz w:val="32"/>
      <w:szCs w:val="24"/>
    </w:rPr>
  </w:style>
  <w:style w:type="paragraph" w:styleId="Heading3">
    <w:name w:val="heading 3"/>
    <w:basedOn w:val="Heading2"/>
    <w:next w:val="Normal"/>
    <w:qFormat/>
    <w:rsid w:val="00374E9A"/>
    <w:pPr>
      <w:spacing w:before="200"/>
      <w:outlineLvl w:val="2"/>
    </w:pPr>
    <w:rPr>
      <w:sz w:val="24"/>
      <w:szCs w:val="22"/>
    </w:rPr>
  </w:style>
  <w:style w:type="paragraph" w:styleId="Heading4">
    <w:name w:val="heading 4"/>
    <w:basedOn w:val="Normal"/>
    <w:next w:val="Normal"/>
    <w:qFormat/>
    <w:rsid w:val="00961DC0"/>
    <w:pPr>
      <w:spacing w:before="120" w:after="200" w:line="240" w:lineRule="auto"/>
      <w:outlineLvl w:val="3"/>
    </w:pPr>
    <w:rPr>
      <w:b/>
      <w:bCs/>
      <w:color w:val="335087"/>
      <w:sz w:val="20"/>
    </w:rPr>
  </w:style>
  <w:style w:type="paragraph" w:styleId="Heading5">
    <w:name w:val="heading 5"/>
    <w:basedOn w:val="Heading4"/>
    <w:next w:val="Normal"/>
    <w:rsid w:val="006D5C8F"/>
    <w:pPr>
      <w:outlineLvl w:val="4"/>
    </w:pPr>
    <w:rPr>
      <w:i/>
    </w:rPr>
  </w:style>
  <w:style w:type="paragraph" w:styleId="Heading6">
    <w:name w:val="heading 6"/>
    <w:basedOn w:val="Normal"/>
    <w:next w:val="Normal"/>
    <w:rsid w:val="00504E3C"/>
    <w:pPr>
      <w:spacing w:before="240"/>
      <w:outlineLvl w:val="5"/>
    </w:pPr>
    <w:rPr>
      <w:i/>
      <w:sz w:val="20"/>
    </w:rPr>
  </w:style>
  <w:style w:type="paragraph" w:styleId="Heading7">
    <w:name w:val="heading 7"/>
    <w:basedOn w:val="Normal"/>
    <w:next w:val="Normal"/>
    <w:rsid w:val="00504E3C"/>
    <w:pPr>
      <w:spacing w:before="240"/>
      <w:outlineLvl w:val="6"/>
    </w:pPr>
    <w:rPr>
      <w:sz w:val="20"/>
    </w:rPr>
  </w:style>
  <w:style w:type="paragraph" w:styleId="Heading8">
    <w:name w:val="heading 8"/>
    <w:basedOn w:val="Normal"/>
    <w:next w:val="Normal"/>
    <w:rsid w:val="00504E3C"/>
    <w:pPr>
      <w:spacing w:before="80" w:after="80"/>
      <w:outlineLvl w:val="7"/>
    </w:pPr>
    <w:rPr>
      <w:sz w:val="20"/>
    </w:rPr>
  </w:style>
  <w:style w:type="paragraph" w:styleId="Heading9">
    <w:name w:val="heading 9"/>
    <w:next w:val="Normal"/>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basedOn w:val="DefaultParagraphFont"/>
    <w:link w:val="Heading2"/>
    <w:rsid w:val="000775ED"/>
    <w:rPr>
      <w:rFonts w:ascii="Arial" w:hAnsi="Arial"/>
      <w:b/>
      <w:color w:val="335087"/>
      <w:spacing w:val="20"/>
      <w:w w:val="90"/>
      <w:sz w:val="32"/>
      <w:szCs w:val="24"/>
      <w:lang w:val="en-GB" w:eastAsia="en-GB"/>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rsid w:val="00317BFD"/>
    <w:pPr>
      <w:tabs>
        <w:tab w:val="center" w:pos="4395"/>
        <w:tab w:val="right" w:pos="9072"/>
      </w:tabs>
      <w:spacing w:after="0" w:line="240" w:lineRule="auto"/>
    </w:pPr>
    <w:rPr>
      <w:noProof/>
      <w:color w:val="002469"/>
      <w:spacing w:val="6"/>
      <w:sz w:val="16"/>
      <w:szCs w:val="16"/>
    </w:rPr>
  </w:style>
  <w:style w:type="character" w:customStyle="1" w:styleId="FooterChar">
    <w:name w:val="Footer Char"/>
    <w:basedOn w:val="DefaultParagraphFont"/>
    <w:link w:val="Footer"/>
    <w:rsid w:val="00317BFD"/>
    <w:rPr>
      <w:rFonts w:ascii="Arial" w:hAnsi="Arial"/>
      <w:noProof/>
      <w:color w:val="002469"/>
      <w:spacing w:val="6"/>
      <w:sz w:val="16"/>
      <w:szCs w:val="16"/>
      <w:lang w:val="en-GB" w:eastAsia="en-GB"/>
    </w:rPr>
  </w:style>
  <w:style w:type="character" w:styleId="Hyperlink">
    <w:name w:val="Hyperlink"/>
    <w:basedOn w:val="DefaultParagraphFont"/>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rsid w:val="006A3F76"/>
    <w:rPr>
      <w:b/>
      <w:bCs/>
      <w:sz w:val="20"/>
    </w:rPr>
  </w:style>
  <w:style w:type="paragraph" w:styleId="FootnoteText">
    <w:name w:val="footnote text"/>
    <w:basedOn w:val="Normal"/>
    <w:link w:val="FootnoteTextChar"/>
    <w:rsid w:val="00504E3C"/>
    <w:pPr>
      <w:tabs>
        <w:tab w:val="left" w:pos="425"/>
      </w:tabs>
      <w:spacing w:after="60" w:line="240" w:lineRule="auto"/>
      <w:ind w:left="425" w:hanging="425"/>
    </w:pPr>
    <w:rPr>
      <w:sz w:val="18"/>
    </w:rPr>
  </w:style>
  <w:style w:type="character" w:customStyle="1" w:styleId="FootnoteTextChar">
    <w:name w:val="Footnote Text Char"/>
    <w:basedOn w:val="DefaultParagraphFont"/>
    <w:link w:val="FootnoteText"/>
    <w:rsid w:val="00E25EF0"/>
    <w:rPr>
      <w:rFonts w:ascii="Arial" w:hAnsi="Arial"/>
      <w:sz w:val="18"/>
      <w:lang w:val="en-GB" w:eastAsia="en-GB"/>
    </w:rPr>
  </w:style>
  <w:style w:type="character" w:styleId="FootnoteReference">
    <w:name w:val="footnote reference"/>
    <w:basedOn w:val="DefaultParagraphFont"/>
    <w:semiHidden/>
    <w:rsid w:val="00504E3C"/>
    <w:rPr>
      <w:rFonts w:ascii="Arial" w:hAnsi="Arial"/>
      <w:color w:val="auto"/>
      <w:position w:val="8"/>
      <w:sz w:val="16"/>
    </w:rPr>
  </w:style>
  <w:style w:type="paragraph" w:styleId="TOC1">
    <w:name w:val="toc 1"/>
    <w:basedOn w:val="Normal"/>
    <w:next w:val="Normal"/>
    <w:uiPriority w:val="39"/>
    <w:rsid w:val="009352F9"/>
    <w:pPr>
      <w:tabs>
        <w:tab w:val="left" w:pos="426"/>
        <w:tab w:val="right" w:leader="dot" w:pos="9072"/>
      </w:tabs>
      <w:spacing w:before="120" w:after="120"/>
      <w:ind w:right="1134"/>
    </w:pPr>
    <w:rPr>
      <w:bCs/>
      <w:noProof/>
      <w:sz w:val="24"/>
      <w:szCs w:val="44"/>
    </w:rPr>
  </w:style>
  <w:style w:type="paragraph" w:styleId="TOC2">
    <w:name w:val="toc 2"/>
    <w:basedOn w:val="Normal"/>
    <w:next w:val="Normal"/>
    <w:uiPriority w:val="39"/>
    <w:rsid w:val="009352F9"/>
    <w:pPr>
      <w:tabs>
        <w:tab w:val="left" w:pos="851"/>
        <w:tab w:val="right" w:leader="dot" w:pos="9072"/>
      </w:tabs>
      <w:spacing w:after="100"/>
      <w:ind w:left="425" w:right="1134"/>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basedOn w:val="DefaultParagraphFont"/>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qFormat/>
    <w:rsid w:val="00CA5DA4"/>
    <w:pPr>
      <w:numPr>
        <w:numId w:val="2"/>
      </w:numPr>
      <w:spacing w:after="180" w:line="280" w:lineRule="exact"/>
      <w:ind w:left="284" w:hanging="284"/>
    </w:pPr>
    <w:rPr>
      <w:rFonts w:ascii="Arial" w:hAnsi="Arial"/>
      <w:sz w:val="22"/>
      <w:lang w:val="en-AU" w:eastAsia="en-US"/>
    </w:rPr>
  </w:style>
  <w:style w:type="paragraph" w:customStyle="1" w:styleId="EvenFooter">
    <w:name w:val="Even Footer"/>
    <w:basedOn w:val="Footer"/>
    <w:rsid w:val="0054782B"/>
  </w:style>
  <w:style w:type="table" w:styleId="TableGrid">
    <w:name w:val="Table Grid"/>
    <w:basedOn w:val="TableNormal"/>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basedOn w:val="DefaultParagraphFont"/>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basedOn w:val="DefaultParagraphFont"/>
    <w:uiPriority w:val="99"/>
    <w:semiHidden/>
    <w:rsid w:val="00504E3C"/>
    <w:rPr>
      <w:sz w:val="16"/>
      <w:szCs w:val="16"/>
    </w:rPr>
  </w:style>
  <w:style w:type="character" w:styleId="FollowedHyperlink">
    <w:name w:val="FollowedHyperlink"/>
    <w:basedOn w:val="DefaultParagraphFont"/>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basedOn w:val="DefaultParagraphFont"/>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8D5CD9"/>
    <w:pPr>
      <w:spacing w:line="360" w:lineRule="atLeast"/>
    </w:pPr>
    <w:rPr>
      <w:color w:val="335087"/>
      <w:sz w:val="24"/>
    </w:rPr>
  </w:style>
  <w:style w:type="paragraph" w:styleId="ListParagraph">
    <w:name w:val="List Paragraph"/>
    <w:basedOn w:val="Normal"/>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basedOn w:val="DefaultParagraphFont"/>
    <w:link w:val="Text"/>
    <w:rsid w:val="008D5CD9"/>
    <w:rPr>
      <w:rFonts w:ascii="Arial" w:hAnsi="Arial"/>
      <w:sz w:val="22"/>
      <w:lang w:val="en-GB" w:eastAsia="en-US"/>
    </w:rPr>
  </w:style>
  <w:style w:type="paragraph" w:customStyle="1" w:styleId="TableBullet0">
    <w:name w:val="Table Bullet"/>
    <w:basedOn w:val="Normal"/>
    <w:rsid w:val="001F492F"/>
    <w:pPr>
      <w:numPr>
        <w:ilvl w:val="1"/>
        <w:numId w:val="4"/>
      </w:numPr>
    </w:pPr>
  </w:style>
  <w:style w:type="paragraph" w:customStyle="1" w:styleId="Numberedpara3level1">
    <w:name w:val="Numbered para (3) level 1"/>
    <w:basedOn w:val="Normal"/>
    <w:qFormat/>
    <w:rsid w:val="00533524"/>
    <w:pPr>
      <w:numPr>
        <w:numId w:val="5"/>
      </w:numPr>
      <w:spacing w:before="120" w:after="120" w:line="240" w:lineRule="auto"/>
    </w:pPr>
    <w:rPr>
      <w:rFonts w:ascii="Calibri" w:eastAsiaTheme="minorHAnsi" w:hAnsi="Calibri"/>
      <w:sz w:val="24"/>
      <w:szCs w:val="24"/>
      <w:lang w:val="en-NZ" w:eastAsia="en-US"/>
    </w:rPr>
  </w:style>
  <w:style w:type="paragraph" w:customStyle="1" w:styleId="Numberedpara3level211">
    <w:name w:val="Numbered para (3) level 2 (1.1)"/>
    <w:basedOn w:val="Normal"/>
    <w:qFormat/>
    <w:rsid w:val="00533524"/>
    <w:pPr>
      <w:numPr>
        <w:ilvl w:val="1"/>
        <w:numId w:val="5"/>
      </w:numPr>
      <w:spacing w:before="120" w:after="120" w:line="240" w:lineRule="auto"/>
    </w:pPr>
    <w:rPr>
      <w:rFonts w:ascii="Calibri" w:eastAsiaTheme="minorHAnsi" w:hAnsi="Calibri"/>
      <w:sz w:val="24"/>
      <w:szCs w:val="24"/>
      <w:lang w:val="en-NZ" w:eastAsia="en-US"/>
    </w:rPr>
  </w:style>
  <w:style w:type="paragraph" w:customStyle="1" w:styleId="Numberedpara3level3111">
    <w:name w:val="Numbered para (3) level 3 (1.1.1)"/>
    <w:basedOn w:val="Normal"/>
    <w:qFormat/>
    <w:rsid w:val="00533524"/>
    <w:pPr>
      <w:numPr>
        <w:ilvl w:val="2"/>
        <w:numId w:val="5"/>
      </w:numPr>
      <w:spacing w:before="120" w:after="120" w:line="240" w:lineRule="auto"/>
    </w:pPr>
    <w:rPr>
      <w:rFonts w:ascii="Calibri" w:eastAsiaTheme="minorHAnsi" w:hAnsi="Calibri"/>
      <w:sz w:val="24"/>
      <w:szCs w:val="24"/>
      <w:lang w:val="en-NZ" w:eastAsia="en-US"/>
    </w:rPr>
  </w:style>
  <w:style w:type="table" w:customStyle="1" w:styleId="DIATable">
    <w:name w:val="_DIA Table"/>
    <w:basedOn w:val="TableNormal"/>
    <w:uiPriority w:val="99"/>
    <w:rsid w:val="003A3E6A"/>
    <w:pPr>
      <w:spacing w:before="56" w:after="32"/>
    </w:pPr>
    <w:rPr>
      <w:rFonts w:ascii="Calibri" w:eastAsiaTheme="minorHAnsi" w:hAnsi="Calibri" w:cstheme="minorBidi"/>
      <w:sz w:val="22"/>
      <w:szCs w:val="24"/>
      <w:lang w:eastAsia="en-US"/>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List123">
    <w:name w:val="List 1 2 3"/>
    <w:basedOn w:val="Normal"/>
    <w:rsid w:val="00E93885"/>
    <w:pPr>
      <w:keepLines/>
      <w:numPr>
        <w:numId w:val="6"/>
      </w:numPr>
      <w:spacing w:before="80" w:after="80" w:line="240" w:lineRule="auto"/>
    </w:pPr>
    <w:rPr>
      <w:rFonts w:ascii="Calibri" w:eastAsiaTheme="minorHAnsi" w:hAnsi="Calibri"/>
      <w:sz w:val="24"/>
      <w:szCs w:val="24"/>
      <w:lang w:val="en-NZ" w:eastAsia="en-US"/>
    </w:rPr>
  </w:style>
  <w:style w:type="paragraph" w:customStyle="1" w:styleId="List123level2">
    <w:name w:val="List 1 2 3 level 2"/>
    <w:basedOn w:val="Normal"/>
    <w:uiPriority w:val="1"/>
    <w:semiHidden/>
    <w:qFormat/>
    <w:rsid w:val="00E93885"/>
    <w:pPr>
      <w:keepLines/>
      <w:numPr>
        <w:ilvl w:val="1"/>
        <w:numId w:val="6"/>
      </w:numPr>
      <w:spacing w:before="80" w:after="80" w:line="240" w:lineRule="auto"/>
    </w:pPr>
    <w:rPr>
      <w:rFonts w:ascii="Calibri" w:eastAsiaTheme="minorHAnsi" w:hAnsi="Calibri"/>
      <w:sz w:val="24"/>
      <w:szCs w:val="24"/>
      <w:lang w:val="en-NZ" w:eastAsia="en-US"/>
    </w:rPr>
  </w:style>
  <w:style w:type="paragraph" w:customStyle="1" w:styleId="List123level3">
    <w:name w:val="List 1 2 3 level 3"/>
    <w:basedOn w:val="Normal"/>
    <w:uiPriority w:val="1"/>
    <w:semiHidden/>
    <w:qFormat/>
    <w:rsid w:val="00E93885"/>
    <w:pPr>
      <w:keepLines/>
      <w:numPr>
        <w:ilvl w:val="2"/>
        <w:numId w:val="6"/>
      </w:numPr>
      <w:spacing w:before="80" w:after="80" w:line="240" w:lineRule="auto"/>
    </w:pPr>
    <w:rPr>
      <w:rFonts w:ascii="Calibri" w:eastAsiaTheme="minorHAnsi" w:hAnsi="Calibri"/>
      <w:sz w:val="24"/>
      <w:szCs w:val="24"/>
      <w:lang w:val="en-NZ" w:eastAsia="en-US"/>
    </w:rPr>
  </w:style>
  <w:style w:type="paragraph" w:customStyle="1" w:styleId="Tablebullet">
    <w:name w:val="Table bullet"/>
    <w:rsid w:val="005B31AF"/>
    <w:pPr>
      <w:keepLines/>
      <w:numPr>
        <w:numId w:val="7"/>
      </w:numPr>
      <w:spacing w:before="40" w:after="40"/>
    </w:pPr>
    <w:rPr>
      <w:rFonts w:ascii="Calibri" w:eastAsiaTheme="minorHAnsi" w:hAnsi="Calibri"/>
      <w:sz w:val="22"/>
      <w:szCs w:val="24"/>
      <w:lang w:eastAsia="en-US"/>
    </w:rPr>
  </w:style>
  <w:style w:type="paragraph" w:customStyle="1" w:styleId="Tablebulletlevel2">
    <w:name w:val="Table bullet level 2"/>
    <w:uiPriority w:val="99"/>
    <w:semiHidden/>
    <w:rsid w:val="005B31AF"/>
    <w:pPr>
      <w:keepLines/>
      <w:numPr>
        <w:ilvl w:val="1"/>
        <w:numId w:val="7"/>
      </w:numPr>
      <w:spacing w:before="40" w:after="40"/>
    </w:pPr>
    <w:rPr>
      <w:rFonts w:ascii="Calibri" w:eastAsiaTheme="minorHAnsi" w:hAnsi="Calibri"/>
      <w:sz w:val="22"/>
      <w:szCs w:val="24"/>
      <w:lang w:eastAsia="en-US"/>
    </w:rPr>
  </w:style>
  <w:style w:type="paragraph" w:customStyle="1" w:styleId="TableBulletListLevel3">
    <w:name w:val="Table Bullet List Level 3"/>
    <w:basedOn w:val="Normal"/>
    <w:uiPriority w:val="11"/>
    <w:semiHidden/>
    <w:rsid w:val="005B31AF"/>
    <w:pPr>
      <w:keepLines/>
      <w:numPr>
        <w:ilvl w:val="2"/>
        <w:numId w:val="7"/>
      </w:numPr>
      <w:spacing w:before="60" w:after="60" w:line="260" w:lineRule="atLeast"/>
    </w:pPr>
    <w:rPr>
      <w:rFonts w:ascii="Calibri" w:eastAsiaTheme="minorHAnsi" w:hAnsi="Calibri"/>
      <w:szCs w:val="24"/>
      <w:lang w:val="en-NZ" w:eastAsia="en-US"/>
    </w:rPr>
  </w:style>
  <w:style w:type="paragraph" w:customStyle="1" w:styleId="Bullet">
    <w:name w:val="Bullet"/>
    <w:basedOn w:val="Normal"/>
    <w:rsid w:val="0024012A"/>
    <w:pPr>
      <w:keepLines/>
      <w:numPr>
        <w:numId w:val="8"/>
      </w:numPr>
      <w:spacing w:before="80" w:after="80" w:line="240" w:lineRule="auto"/>
    </w:pPr>
    <w:rPr>
      <w:rFonts w:ascii="Calibri" w:eastAsiaTheme="minorHAnsi" w:hAnsi="Calibri"/>
      <w:sz w:val="24"/>
      <w:szCs w:val="24"/>
      <w:lang w:val="en-NZ" w:eastAsia="en-US"/>
    </w:rPr>
  </w:style>
  <w:style w:type="paragraph" w:customStyle="1" w:styleId="Bulletlevel2">
    <w:name w:val="Bullet level 2"/>
    <w:basedOn w:val="Normal"/>
    <w:uiPriority w:val="1"/>
    <w:semiHidden/>
    <w:rsid w:val="0024012A"/>
    <w:pPr>
      <w:keepLines/>
      <w:numPr>
        <w:ilvl w:val="1"/>
        <w:numId w:val="8"/>
      </w:numPr>
      <w:spacing w:before="80" w:after="80" w:line="240" w:lineRule="auto"/>
    </w:pPr>
    <w:rPr>
      <w:rFonts w:ascii="Calibri" w:eastAsiaTheme="minorHAnsi" w:hAnsi="Calibri"/>
      <w:sz w:val="24"/>
      <w:szCs w:val="24"/>
      <w:lang w:val="en-NZ" w:eastAsia="en-US"/>
    </w:rPr>
  </w:style>
  <w:style w:type="paragraph" w:customStyle="1" w:styleId="Bulletlevel3">
    <w:name w:val="Bullet level 3"/>
    <w:basedOn w:val="Normal"/>
    <w:uiPriority w:val="1"/>
    <w:semiHidden/>
    <w:rsid w:val="0024012A"/>
    <w:pPr>
      <w:keepLines/>
      <w:numPr>
        <w:ilvl w:val="2"/>
        <w:numId w:val="8"/>
      </w:numPr>
      <w:spacing w:before="80" w:after="80" w:line="240" w:lineRule="auto"/>
    </w:pPr>
    <w:rPr>
      <w:rFonts w:ascii="Calibri" w:eastAsiaTheme="minorHAnsi" w:hAnsi="Calibri"/>
      <w:sz w:val="24"/>
      <w:szCs w:val="24"/>
      <w:lang w:val="en-NZ" w:eastAsia="en-US"/>
    </w:rPr>
  </w:style>
  <w:style w:type="paragraph" w:customStyle="1" w:styleId="Legislationsection">
    <w:name w:val="Legislation section"/>
    <w:basedOn w:val="Normal"/>
    <w:qFormat/>
    <w:rsid w:val="0024012A"/>
    <w:pPr>
      <w:keepNext/>
      <w:keepLines/>
      <w:numPr>
        <w:numId w:val="9"/>
      </w:numPr>
      <w:tabs>
        <w:tab w:val="left" w:pos="567"/>
      </w:tabs>
      <w:spacing w:before="120" w:after="60" w:line="240" w:lineRule="auto"/>
    </w:pPr>
    <w:rPr>
      <w:rFonts w:ascii="Calibri" w:eastAsiaTheme="minorHAnsi" w:hAnsi="Calibri"/>
      <w:b/>
      <w:szCs w:val="24"/>
      <w:lang w:val="en-NZ" w:eastAsia="en-US"/>
    </w:rPr>
  </w:style>
  <w:style w:type="paragraph" w:customStyle="1" w:styleId="Legislationnumber">
    <w:name w:val="Legislation number"/>
    <w:basedOn w:val="Normal"/>
    <w:qFormat/>
    <w:rsid w:val="0024012A"/>
    <w:pPr>
      <w:keepLines/>
      <w:numPr>
        <w:ilvl w:val="1"/>
        <w:numId w:val="9"/>
      </w:numPr>
      <w:tabs>
        <w:tab w:val="left" w:pos="567"/>
      </w:tabs>
      <w:spacing w:before="60" w:after="60" w:line="240" w:lineRule="auto"/>
    </w:pPr>
    <w:rPr>
      <w:rFonts w:ascii="Calibri" w:eastAsiaTheme="minorHAnsi" w:hAnsi="Calibri"/>
      <w:szCs w:val="24"/>
      <w:lang w:val="en-NZ" w:eastAsia="en-US"/>
    </w:rPr>
  </w:style>
  <w:style w:type="paragraph" w:customStyle="1" w:styleId="Legislationa">
    <w:name w:val="Legislation (a)"/>
    <w:basedOn w:val="Normal"/>
    <w:qFormat/>
    <w:rsid w:val="0024012A"/>
    <w:pPr>
      <w:keepLines/>
      <w:numPr>
        <w:ilvl w:val="2"/>
        <w:numId w:val="9"/>
      </w:numPr>
      <w:spacing w:before="60" w:after="60" w:line="240" w:lineRule="auto"/>
    </w:pPr>
    <w:rPr>
      <w:rFonts w:ascii="Calibri" w:eastAsiaTheme="minorHAnsi" w:hAnsi="Calibri"/>
      <w:szCs w:val="24"/>
      <w:lang w:val="en-NZ" w:eastAsia="en-US"/>
    </w:rPr>
  </w:style>
  <w:style w:type="paragraph" w:customStyle="1" w:styleId="Legislationi">
    <w:name w:val="Legislation (i)"/>
    <w:basedOn w:val="Normal"/>
    <w:qFormat/>
    <w:rsid w:val="0024012A"/>
    <w:pPr>
      <w:keepLines/>
      <w:numPr>
        <w:ilvl w:val="3"/>
        <w:numId w:val="9"/>
      </w:numPr>
      <w:spacing w:before="60" w:after="60" w:line="240" w:lineRule="auto"/>
    </w:pPr>
    <w:rPr>
      <w:rFonts w:ascii="Calibri" w:eastAsiaTheme="minorHAnsi" w:hAnsi="Calibri"/>
      <w:szCs w:val="24"/>
      <w:lang w:val="en-NZ" w:eastAsia="en-US"/>
    </w:rPr>
  </w:style>
  <w:style w:type="paragraph" w:styleId="ListBullet2">
    <w:name w:val="List Bullet 2"/>
    <w:basedOn w:val="Normal"/>
    <w:uiPriority w:val="99"/>
    <w:rsid w:val="00C22219"/>
    <w:pPr>
      <w:keepLines/>
      <w:numPr>
        <w:numId w:val="15"/>
      </w:numPr>
      <w:spacing w:before="120" w:line="240" w:lineRule="auto"/>
    </w:pPr>
    <w:rPr>
      <w:rFonts w:ascii="Calibri" w:eastAsiaTheme="minorHAnsi" w:hAnsi="Calibri"/>
      <w:sz w:val="24"/>
      <w:szCs w:val="24"/>
      <w:lang w:val="en-NZ" w:eastAsia="en-US"/>
    </w:rPr>
  </w:style>
  <w:style w:type="paragraph" w:customStyle="1" w:styleId="Heading2nocontents">
    <w:name w:val="Heading 2 no contents"/>
    <w:basedOn w:val="Heading2"/>
    <w:link w:val="Heading2nocontentsChar"/>
    <w:qFormat/>
    <w:rsid w:val="00BD4E0A"/>
    <w:rPr>
      <w:w w:val="100"/>
    </w:rPr>
  </w:style>
  <w:style w:type="character" w:customStyle="1" w:styleId="Heading2nocontentsChar">
    <w:name w:val="Heading 2 no contents Char"/>
    <w:basedOn w:val="Heading2Char"/>
    <w:link w:val="Heading2nocontents"/>
    <w:rsid w:val="00BD4E0A"/>
    <w:rPr>
      <w:rFonts w:ascii="Arial" w:hAnsi="Arial"/>
      <w:b/>
      <w:color w:val="335087"/>
      <w:spacing w:val="20"/>
      <w:w w:val="90"/>
      <w:sz w:val="32"/>
      <w:szCs w:val="24"/>
      <w:lang w:val="en-GB" w:eastAsia="en-GB"/>
    </w:rPr>
  </w:style>
  <w:style w:type="paragraph" w:customStyle="1" w:styleId="Tablenormal0">
    <w:name w:val="Table normal"/>
    <w:basedOn w:val="Normal"/>
    <w:qFormat/>
    <w:rsid w:val="007D6746"/>
    <w:pPr>
      <w:keepLines/>
      <w:spacing w:before="40" w:after="40" w:line="240" w:lineRule="auto"/>
    </w:pPr>
    <w:rPr>
      <w:rFonts w:ascii="Calibri" w:eastAsiaTheme="minorHAnsi" w:hAnsi="Calibri"/>
      <w:szCs w:val="24"/>
      <w:lang w:val="en-NZ" w:eastAsia="en-US"/>
    </w:rPr>
  </w:style>
  <w:style w:type="paragraph" w:customStyle="1" w:styleId="Heading1NoContents">
    <w:name w:val="Heading 1 No Contents"/>
    <w:basedOn w:val="Heading1"/>
    <w:link w:val="Heading1NoContentsChar"/>
    <w:qFormat/>
    <w:rsid w:val="00B56B1B"/>
  </w:style>
  <w:style w:type="character" w:customStyle="1" w:styleId="Heading1NoContentsChar">
    <w:name w:val="Heading 1 No Contents Char"/>
    <w:basedOn w:val="Heading1Char"/>
    <w:link w:val="Heading1NoContents"/>
    <w:rsid w:val="00B56B1B"/>
    <w:rPr>
      <w:rFonts w:ascii="Arial" w:hAnsi="Arial" w:cs="Arial"/>
      <w:b/>
      <w:color w:val="002469"/>
      <w:spacing w:val="20"/>
      <w:w w:val="90"/>
      <w:sz w:val="38"/>
      <w:szCs w:val="38"/>
      <w:lang w:val="en-GB" w:eastAsia="en-GB"/>
    </w:rPr>
  </w:style>
  <w:style w:type="paragraph" w:styleId="Revision">
    <w:name w:val="Revision"/>
    <w:hidden/>
    <w:uiPriority w:val="99"/>
    <w:semiHidden/>
    <w:rsid w:val="00834AEF"/>
    <w:rPr>
      <w:rFonts w:ascii="Arial" w:hAnsi="Arial"/>
      <w:sz w:val="22"/>
      <w:lang w:val="en-GB" w:eastAsia="en-GB"/>
    </w:rPr>
  </w:style>
  <w:style w:type="character" w:customStyle="1" w:styleId="Style1">
    <w:name w:val="Style1"/>
    <w:basedOn w:val="DefaultParagraphFont"/>
    <w:uiPriority w:val="1"/>
    <w:qFormat/>
    <w:rsid w:val="007B6C69"/>
    <w:rPr>
      <w:rFonts w:ascii="Times New Roman" w:hAnsi="Times New Roman" w:cs="Arial"/>
      <w:color w:val="FF0000"/>
      <w:u w:val="double"/>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B435A"/>
    <w:pPr>
      <w:spacing w:after="240" w:line="280" w:lineRule="atLeast"/>
    </w:pPr>
    <w:rPr>
      <w:rFonts w:ascii="Arial" w:hAnsi="Arial"/>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0775ED"/>
    <w:pPr>
      <w:keepNext/>
      <w:tabs>
        <w:tab w:val="left" w:pos="0"/>
      </w:tabs>
      <w:spacing w:before="240" w:after="180" w:line="240" w:lineRule="auto"/>
      <w:outlineLvl w:val="1"/>
    </w:pPr>
    <w:rPr>
      <w:b/>
      <w:color w:val="335087"/>
      <w:spacing w:val="20"/>
      <w:w w:val="90"/>
      <w:sz w:val="32"/>
      <w:szCs w:val="24"/>
    </w:rPr>
  </w:style>
  <w:style w:type="paragraph" w:styleId="Heading3">
    <w:name w:val="heading 3"/>
    <w:basedOn w:val="Heading2"/>
    <w:next w:val="Normal"/>
    <w:qFormat/>
    <w:rsid w:val="00374E9A"/>
    <w:pPr>
      <w:spacing w:before="200"/>
      <w:outlineLvl w:val="2"/>
    </w:pPr>
    <w:rPr>
      <w:sz w:val="24"/>
      <w:szCs w:val="22"/>
    </w:rPr>
  </w:style>
  <w:style w:type="paragraph" w:styleId="Heading4">
    <w:name w:val="heading 4"/>
    <w:basedOn w:val="Normal"/>
    <w:next w:val="Normal"/>
    <w:qFormat/>
    <w:rsid w:val="00961DC0"/>
    <w:pPr>
      <w:spacing w:before="120" w:after="200" w:line="240" w:lineRule="auto"/>
      <w:outlineLvl w:val="3"/>
    </w:pPr>
    <w:rPr>
      <w:b/>
      <w:bCs/>
      <w:color w:val="335087"/>
      <w:sz w:val="20"/>
    </w:rPr>
  </w:style>
  <w:style w:type="paragraph" w:styleId="Heading5">
    <w:name w:val="heading 5"/>
    <w:basedOn w:val="Heading4"/>
    <w:next w:val="Normal"/>
    <w:rsid w:val="006D5C8F"/>
    <w:pPr>
      <w:outlineLvl w:val="4"/>
    </w:pPr>
    <w:rPr>
      <w:i/>
    </w:rPr>
  </w:style>
  <w:style w:type="paragraph" w:styleId="Heading6">
    <w:name w:val="heading 6"/>
    <w:basedOn w:val="Normal"/>
    <w:next w:val="Normal"/>
    <w:rsid w:val="00504E3C"/>
    <w:pPr>
      <w:spacing w:before="240"/>
      <w:outlineLvl w:val="5"/>
    </w:pPr>
    <w:rPr>
      <w:i/>
      <w:sz w:val="20"/>
    </w:rPr>
  </w:style>
  <w:style w:type="paragraph" w:styleId="Heading7">
    <w:name w:val="heading 7"/>
    <w:basedOn w:val="Normal"/>
    <w:next w:val="Normal"/>
    <w:rsid w:val="00504E3C"/>
    <w:pPr>
      <w:spacing w:before="240"/>
      <w:outlineLvl w:val="6"/>
    </w:pPr>
    <w:rPr>
      <w:sz w:val="20"/>
    </w:rPr>
  </w:style>
  <w:style w:type="paragraph" w:styleId="Heading8">
    <w:name w:val="heading 8"/>
    <w:basedOn w:val="Normal"/>
    <w:next w:val="Normal"/>
    <w:rsid w:val="00504E3C"/>
    <w:pPr>
      <w:spacing w:before="80" w:after="80"/>
      <w:outlineLvl w:val="7"/>
    </w:pPr>
    <w:rPr>
      <w:sz w:val="20"/>
    </w:rPr>
  </w:style>
  <w:style w:type="paragraph" w:styleId="Heading9">
    <w:name w:val="heading 9"/>
    <w:next w:val="Normal"/>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basedOn w:val="DefaultParagraphFont"/>
    <w:link w:val="Heading2"/>
    <w:rsid w:val="000775ED"/>
    <w:rPr>
      <w:rFonts w:ascii="Arial" w:hAnsi="Arial"/>
      <w:b/>
      <w:color w:val="335087"/>
      <w:spacing w:val="20"/>
      <w:w w:val="90"/>
      <w:sz w:val="32"/>
      <w:szCs w:val="24"/>
      <w:lang w:val="en-GB" w:eastAsia="en-GB"/>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rsid w:val="00317BFD"/>
    <w:pPr>
      <w:tabs>
        <w:tab w:val="center" w:pos="4395"/>
        <w:tab w:val="right" w:pos="9072"/>
      </w:tabs>
      <w:spacing w:after="0" w:line="240" w:lineRule="auto"/>
    </w:pPr>
    <w:rPr>
      <w:noProof/>
      <w:color w:val="002469"/>
      <w:spacing w:val="6"/>
      <w:sz w:val="16"/>
      <w:szCs w:val="16"/>
    </w:rPr>
  </w:style>
  <w:style w:type="character" w:customStyle="1" w:styleId="FooterChar">
    <w:name w:val="Footer Char"/>
    <w:basedOn w:val="DefaultParagraphFont"/>
    <w:link w:val="Footer"/>
    <w:rsid w:val="00317BFD"/>
    <w:rPr>
      <w:rFonts w:ascii="Arial" w:hAnsi="Arial"/>
      <w:noProof/>
      <w:color w:val="002469"/>
      <w:spacing w:val="6"/>
      <w:sz w:val="16"/>
      <w:szCs w:val="16"/>
      <w:lang w:val="en-GB" w:eastAsia="en-GB"/>
    </w:rPr>
  </w:style>
  <w:style w:type="character" w:styleId="Hyperlink">
    <w:name w:val="Hyperlink"/>
    <w:basedOn w:val="DefaultParagraphFont"/>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rsid w:val="006A3F76"/>
    <w:rPr>
      <w:b/>
      <w:bCs/>
      <w:sz w:val="20"/>
    </w:rPr>
  </w:style>
  <w:style w:type="paragraph" w:styleId="FootnoteText">
    <w:name w:val="footnote text"/>
    <w:basedOn w:val="Normal"/>
    <w:link w:val="FootnoteTextChar"/>
    <w:rsid w:val="00504E3C"/>
    <w:pPr>
      <w:tabs>
        <w:tab w:val="left" w:pos="425"/>
      </w:tabs>
      <w:spacing w:after="60" w:line="240" w:lineRule="auto"/>
      <w:ind w:left="425" w:hanging="425"/>
    </w:pPr>
    <w:rPr>
      <w:sz w:val="18"/>
    </w:rPr>
  </w:style>
  <w:style w:type="character" w:customStyle="1" w:styleId="FootnoteTextChar">
    <w:name w:val="Footnote Text Char"/>
    <w:basedOn w:val="DefaultParagraphFont"/>
    <w:link w:val="FootnoteText"/>
    <w:rsid w:val="00E25EF0"/>
    <w:rPr>
      <w:rFonts w:ascii="Arial" w:hAnsi="Arial"/>
      <w:sz w:val="18"/>
      <w:lang w:val="en-GB" w:eastAsia="en-GB"/>
    </w:rPr>
  </w:style>
  <w:style w:type="character" w:styleId="FootnoteReference">
    <w:name w:val="footnote reference"/>
    <w:basedOn w:val="DefaultParagraphFont"/>
    <w:semiHidden/>
    <w:rsid w:val="00504E3C"/>
    <w:rPr>
      <w:rFonts w:ascii="Arial" w:hAnsi="Arial"/>
      <w:color w:val="auto"/>
      <w:position w:val="8"/>
      <w:sz w:val="16"/>
    </w:rPr>
  </w:style>
  <w:style w:type="paragraph" w:styleId="TOC1">
    <w:name w:val="toc 1"/>
    <w:basedOn w:val="Normal"/>
    <w:next w:val="Normal"/>
    <w:uiPriority w:val="39"/>
    <w:rsid w:val="009352F9"/>
    <w:pPr>
      <w:tabs>
        <w:tab w:val="left" w:pos="426"/>
        <w:tab w:val="right" w:leader="dot" w:pos="9072"/>
      </w:tabs>
      <w:spacing w:before="120" w:after="120"/>
      <w:ind w:right="1134"/>
    </w:pPr>
    <w:rPr>
      <w:bCs/>
      <w:noProof/>
      <w:sz w:val="24"/>
      <w:szCs w:val="44"/>
    </w:rPr>
  </w:style>
  <w:style w:type="paragraph" w:styleId="TOC2">
    <w:name w:val="toc 2"/>
    <w:basedOn w:val="Normal"/>
    <w:next w:val="Normal"/>
    <w:uiPriority w:val="39"/>
    <w:rsid w:val="009352F9"/>
    <w:pPr>
      <w:tabs>
        <w:tab w:val="left" w:pos="851"/>
        <w:tab w:val="right" w:leader="dot" w:pos="9072"/>
      </w:tabs>
      <w:spacing w:after="100"/>
      <w:ind w:left="425" w:right="1134"/>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basedOn w:val="DefaultParagraphFont"/>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qFormat/>
    <w:rsid w:val="00CA5DA4"/>
    <w:pPr>
      <w:numPr>
        <w:numId w:val="2"/>
      </w:numPr>
      <w:spacing w:after="180" w:line="280" w:lineRule="exact"/>
      <w:ind w:left="284" w:hanging="284"/>
    </w:pPr>
    <w:rPr>
      <w:rFonts w:ascii="Arial" w:hAnsi="Arial"/>
      <w:sz w:val="22"/>
      <w:lang w:val="en-AU" w:eastAsia="en-US"/>
    </w:rPr>
  </w:style>
  <w:style w:type="paragraph" w:customStyle="1" w:styleId="EvenFooter">
    <w:name w:val="Even Footer"/>
    <w:basedOn w:val="Footer"/>
    <w:rsid w:val="0054782B"/>
  </w:style>
  <w:style w:type="table" w:styleId="TableGrid">
    <w:name w:val="Table Grid"/>
    <w:basedOn w:val="TableNormal"/>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basedOn w:val="DefaultParagraphFont"/>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basedOn w:val="DefaultParagraphFont"/>
    <w:uiPriority w:val="99"/>
    <w:semiHidden/>
    <w:rsid w:val="00504E3C"/>
    <w:rPr>
      <w:sz w:val="16"/>
      <w:szCs w:val="16"/>
    </w:rPr>
  </w:style>
  <w:style w:type="character" w:styleId="FollowedHyperlink">
    <w:name w:val="FollowedHyperlink"/>
    <w:basedOn w:val="DefaultParagraphFont"/>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basedOn w:val="DefaultParagraphFont"/>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8D5CD9"/>
    <w:pPr>
      <w:spacing w:line="360" w:lineRule="atLeast"/>
    </w:pPr>
    <w:rPr>
      <w:color w:val="335087"/>
      <w:sz w:val="24"/>
    </w:rPr>
  </w:style>
  <w:style w:type="paragraph" w:styleId="ListParagraph">
    <w:name w:val="List Paragraph"/>
    <w:basedOn w:val="Normal"/>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basedOn w:val="DefaultParagraphFont"/>
    <w:link w:val="Text"/>
    <w:rsid w:val="008D5CD9"/>
    <w:rPr>
      <w:rFonts w:ascii="Arial" w:hAnsi="Arial"/>
      <w:sz w:val="22"/>
      <w:lang w:val="en-GB" w:eastAsia="en-US"/>
    </w:rPr>
  </w:style>
  <w:style w:type="paragraph" w:customStyle="1" w:styleId="TableBullet0">
    <w:name w:val="Table Bullet"/>
    <w:basedOn w:val="Normal"/>
    <w:rsid w:val="001F492F"/>
    <w:pPr>
      <w:numPr>
        <w:ilvl w:val="1"/>
        <w:numId w:val="4"/>
      </w:numPr>
    </w:pPr>
  </w:style>
  <w:style w:type="paragraph" w:customStyle="1" w:styleId="Numberedpara3level1">
    <w:name w:val="Numbered para (3) level 1"/>
    <w:basedOn w:val="Normal"/>
    <w:qFormat/>
    <w:rsid w:val="00533524"/>
    <w:pPr>
      <w:numPr>
        <w:numId w:val="5"/>
      </w:numPr>
      <w:spacing w:before="120" w:after="120" w:line="240" w:lineRule="auto"/>
    </w:pPr>
    <w:rPr>
      <w:rFonts w:ascii="Calibri" w:eastAsiaTheme="minorHAnsi" w:hAnsi="Calibri"/>
      <w:sz w:val="24"/>
      <w:szCs w:val="24"/>
      <w:lang w:val="en-NZ" w:eastAsia="en-US"/>
    </w:rPr>
  </w:style>
  <w:style w:type="paragraph" w:customStyle="1" w:styleId="Numberedpara3level211">
    <w:name w:val="Numbered para (3) level 2 (1.1)"/>
    <w:basedOn w:val="Normal"/>
    <w:qFormat/>
    <w:rsid w:val="00533524"/>
    <w:pPr>
      <w:numPr>
        <w:ilvl w:val="1"/>
        <w:numId w:val="5"/>
      </w:numPr>
      <w:spacing w:before="120" w:after="120" w:line="240" w:lineRule="auto"/>
    </w:pPr>
    <w:rPr>
      <w:rFonts w:ascii="Calibri" w:eastAsiaTheme="minorHAnsi" w:hAnsi="Calibri"/>
      <w:sz w:val="24"/>
      <w:szCs w:val="24"/>
      <w:lang w:val="en-NZ" w:eastAsia="en-US"/>
    </w:rPr>
  </w:style>
  <w:style w:type="paragraph" w:customStyle="1" w:styleId="Numberedpara3level3111">
    <w:name w:val="Numbered para (3) level 3 (1.1.1)"/>
    <w:basedOn w:val="Normal"/>
    <w:qFormat/>
    <w:rsid w:val="00533524"/>
    <w:pPr>
      <w:numPr>
        <w:ilvl w:val="2"/>
        <w:numId w:val="5"/>
      </w:numPr>
      <w:spacing w:before="120" w:after="120" w:line="240" w:lineRule="auto"/>
    </w:pPr>
    <w:rPr>
      <w:rFonts w:ascii="Calibri" w:eastAsiaTheme="minorHAnsi" w:hAnsi="Calibri"/>
      <w:sz w:val="24"/>
      <w:szCs w:val="24"/>
      <w:lang w:val="en-NZ" w:eastAsia="en-US"/>
    </w:rPr>
  </w:style>
  <w:style w:type="table" w:customStyle="1" w:styleId="DIATable">
    <w:name w:val="_DIA Table"/>
    <w:basedOn w:val="TableNormal"/>
    <w:uiPriority w:val="99"/>
    <w:rsid w:val="003A3E6A"/>
    <w:pPr>
      <w:spacing w:before="56" w:after="32"/>
    </w:pPr>
    <w:rPr>
      <w:rFonts w:ascii="Calibri" w:eastAsiaTheme="minorHAnsi" w:hAnsi="Calibri" w:cstheme="minorBidi"/>
      <w:sz w:val="22"/>
      <w:szCs w:val="24"/>
      <w:lang w:eastAsia="en-US"/>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List123">
    <w:name w:val="List 1 2 3"/>
    <w:basedOn w:val="Normal"/>
    <w:rsid w:val="00E93885"/>
    <w:pPr>
      <w:keepLines/>
      <w:numPr>
        <w:numId w:val="6"/>
      </w:numPr>
      <w:spacing w:before="80" w:after="80" w:line="240" w:lineRule="auto"/>
    </w:pPr>
    <w:rPr>
      <w:rFonts w:ascii="Calibri" w:eastAsiaTheme="minorHAnsi" w:hAnsi="Calibri"/>
      <w:sz w:val="24"/>
      <w:szCs w:val="24"/>
      <w:lang w:val="en-NZ" w:eastAsia="en-US"/>
    </w:rPr>
  </w:style>
  <w:style w:type="paragraph" w:customStyle="1" w:styleId="List123level2">
    <w:name w:val="List 1 2 3 level 2"/>
    <w:basedOn w:val="Normal"/>
    <w:uiPriority w:val="1"/>
    <w:semiHidden/>
    <w:qFormat/>
    <w:rsid w:val="00E93885"/>
    <w:pPr>
      <w:keepLines/>
      <w:numPr>
        <w:ilvl w:val="1"/>
        <w:numId w:val="6"/>
      </w:numPr>
      <w:spacing w:before="80" w:after="80" w:line="240" w:lineRule="auto"/>
    </w:pPr>
    <w:rPr>
      <w:rFonts w:ascii="Calibri" w:eastAsiaTheme="minorHAnsi" w:hAnsi="Calibri"/>
      <w:sz w:val="24"/>
      <w:szCs w:val="24"/>
      <w:lang w:val="en-NZ" w:eastAsia="en-US"/>
    </w:rPr>
  </w:style>
  <w:style w:type="paragraph" w:customStyle="1" w:styleId="List123level3">
    <w:name w:val="List 1 2 3 level 3"/>
    <w:basedOn w:val="Normal"/>
    <w:uiPriority w:val="1"/>
    <w:semiHidden/>
    <w:qFormat/>
    <w:rsid w:val="00E93885"/>
    <w:pPr>
      <w:keepLines/>
      <w:numPr>
        <w:ilvl w:val="2"/>
        <w:numId w:val="6"/>
      </w:numPr>
      <w:spacing w:before="80" w:after="80" w:line="240" w:lineRule="auto"/>
    </w:pPr>
    <w:rPr>
      <w:rFonts w:ascii="Calibri" w:eastAsiaTheme="minorHAnsi" w:hAnsi="Calibri"/>
      <w:sz w:val="24"/>
      <w:szCs w:val="24"/>
      <w:lang w:val="en-NZ" w:eastAsia="en-US"/>
    </w:rPr>
  </w:style>
  <w:style w:type="paragraph" w:customStyle="1" w:styleId="Tablebullet">
    <w:name w:val="Table bullet"/>
    <w:rsid w:val="005B31AF"/>
    <w:pPr>
      <w:keepLines/>
      <w:numPr>
        <w:numId w:val="7"/>
      </w:numPr>
      <w:spacing w:before="40" w:after="40"/>
    </w:pPr>
    <w:rPr>
      <w:rFonts w:ascii="Calibri" w:eastAsiaTheme="minorHAnsi" w:hAnsi="Calibri"/>
      <w:sz w:val="22"/>
      <w:szCs w:val="24"/>
      <w:lang w:eastAsia="en-US"/>
    </w:rPr>
  </w:style>
  <w:style w:type="paragraph" w:customStyle="1" w:styleId="Tablebulletlevel2">
    <w:name w:val="Table bullet level 2"/>
    <w:uiPriority w:val="99"/>
    <w:semiHidden/>
    <w:rsid w:val="005B31AF"/>
    <w:pPr>
      <w:keepLines/>
      <w:numPr>
        <w:ilvl w:val="1"/>
        <w:numId w:val="7"/>
      </w:numPr>
      <w:spacing w:before="40" w:after="40"/>
    </w:pPr>
    <w:rPr>
      <w:rFonts w:ascii="Calibri" w:eastAsiaTheme="minorHAnsi" w:hAnsi="Calibri"/>
      <w:sz w:val="22"/>
      <w:szCs w:val="24"/>
      <w:lang w:eastAsia="en-US"/>
    </w:rPr>
  </w:style>
  <w:style w:type="paragraph" w:customStyle="1" w:styleId="TableBulletListLevel3">
    <w:name w:val="Table Bullet List Level 3"/>
    <w:basedOn w:val="Normal"/>
    <w:uiPriority w:val="11"/>
    <w:semiHidden/>
    <w:rsid w:val="005B31AF"/>
    <w:pPr>
      <w:keepLines/>
      <w:numPr>
        <w:ilvl w:val="2"/>
        <w:numId w:val="7"/>
      </w:numPr>
      <w:spacing w:before="60" w:after="60" w:line="260" w:lineRule="atLeast"/>
    </w:pPr>
    <w:rPr>
      <w:rFonts w:ascii="Calibri" w:eastAsiaTheme="minorHAnsi" w:hAnsi="Calibri"/>
      <w:szCs w:val="24"/>
      <w:lang w:val="en-NZ" w:eastAsia="en-US"/>
    </w:rPr>
  </w:style>
  <w:style w:type="paragraph" w:customStyle="1" w:styleId="Bullet">
    <w:name w:val="Bullet"/>
    <w:basedOn w:val="Normal"/>
    <w:rsid w:val="0024012A"/>
    <w:pPr>
      <w:keepLines/>
      <w:numPr>
        <w:numId w:val="8"/>
      </w:numPr>
      <w:spacing w:before="80" w:after="80" w:line="240" w:lineRule="auto"/>
    </w:pPr>
    <w:rPr>
      <w:rFonts w:ascii="Calibri" w:eastAsiaTheme="minorHAnsi" w:hAnsi="Calibri"/>
      <w:sz w:val="24"/>
      <w:szCs w:val="24"/>
      <w:lang w:val="en-NZ" w:eastAsia="en-US"/>
    </w:rPr>
  </w:style>
  <w:style w:type="paragraph" w:customStyle="1" w:styleId="Bulletlevel2">
    <w:name w:val="Bullet level 2"/>
    <w:basedOn w:val="Normal"/>
    <w:uiPriority w:val="1"/>
    <w:semiHidden/>
    <w:rsid w:val="0024012A"/>
    <w:pPr>
      <w:keepLines/>
      <w:numPr>
        <w:ilvl w:val="1"/>
        <w:numId w:val="8"/>
      </w:numPr>
      <w:spacing w:before="80" w:after="80" w:line="240" w:lineRule="auto"/>
    </w:pPr>
    <w:rPr>
      <w:rFonts w:ascii="Calibri" w:eastAsiaTheme="minorHAnsi" w:hAnsi="Calibri"/>
      <w:sz w:val="24"/>
      <w:szCs w:val="24"/>
      <w:lang w:val="en-NZ" w:eastAsia="en-US"/>
    </w:rPr>
  </w:style>
  <w:style w:type="paragraph" w:customStyle="1" w:styleId="Bulletlevel3">
    <w:name w:val="Bullet level 3"/>
    <w:basedOn w:val="Normal"/>
    <w:uiPriority w:val="1"/>
    <w:semiHidden/>
    <w:rsid w:val="0024012A"/>
    <w:pPr>
      <w:keepLines/>
      <w:numPr>
        <w:ilvl w:val="2"/>
        <w:numId w:val="8"/>
      </w:numPr>
      <w:spacing w:before="80" w:after="80" w:line="240" w:lineRule="auto"/>
    </w:pPr>
    <w:rPr>
      <w:rFonts w:ascii="Calibri" w:eastAsiaTheme="minorHAnsi" w:hAnsi="Calibri"/>
      <w:sz w:val="24"/>
      <w:szCs w:val="24"/>
      <w:lang w:val="en-NZ" w:eastAsia="en-US"/>
    </w:rPr>
  </w:style>
  <w:style w:type="paragraph" w:customStyle="1" w:styleId="Legislationsection">
    <w:name w:val="Legislation section"/>
    <w:basedOn w:val="Normal"/>
    <w:qFormat/>
    <w:rsid w:val="0024012A"/>
    <w:pPr>
      <w:keepNext/>
      <w:keepLines/>
      <w:numPr>
        <w:numId w:val="9"/>
      </w:numPr>
      <w:tabs>
        <w:tab w:val="left" w:pos="567"/>
      </w:tabs>
      <w:spacing w:before="120" w:after="60" w:line="240" w:lineRule="auto"/>
    </w:pPr>
    <w:rPr>
      <w:rFonts w:ascii="Calibri" w:eastAsiaTheme="minorHAnsi" w:hAnsi="Calibri"/>
      <w:b/>
      <w:szCs w:val="24"/>
      <w:lang w:val="en-NZ" w:eastAsia="en-US"/>
    </w:rPr>
  </w:style>
  <w:style w:type="paragraph" w:customStyle="1" w:styleId="Legislationnumber">
    <w:name w:val="Legislation number"/>
    <w:basedOn w:val="Normal"/>
    <w:qFormat/>
    <w:rsid w:val="0024012A"/>
    <w:pPr>
      <w:keepLines/>
      <w:numPr>
        <w:ilvl w:val="1"/>
        <w:numId w:val="9"/>
      </w:numPr>
      <w:tabs>
        <w:tab w:val="left" w:pos="567"/>
      </w:tabs>
      <w:spacing w:before="60" w:after="60" w:line="240" w:lineRule="auto"/>
    </w:pPr>
    <w:rPr>
      <w:rFonts w:ascii="Calibri" w:eastAsiaTheme="minorHAnsi" w:hAnsi="Calibri"/>
      <w:szCs w:val="24"/>
      <w:lang w:val="en-NZ" w:eastAsia="en-US"/>
    </w:rPr>
  </w:style>
  <w:style w:type="paragraph" w:customStyle="1" w:styleId="Legislationa">
    <w:name w:val="Legislation (a)"/>
    <w:basedOn w:val="Normal"/>
    <w:qFormat/>
    <w:rsid w:val="0024012A"/>
    <w:pPr>
      <w:keepLines/>
      <w:numPr>
        <w:ilvl w:val="2"/>
        <w:numId w:val="9"/>
      </w:numPr>
      <w:spacing w:before="60" w:after="60" w:line="240" w:lineRule="auto"/>
    </w:pPr>
    <w:rPr>
      <w:rFonts w:ascii="Calibri" w:eastAsiaTheme="minorHAnsi" w:hAnsi="Calibri"/>
      <w:szCs w:val="24"/>
      <w:lang w:val="en-NZ" w:eastAsia="en-US"/>
    </w:rPr>
  </w:style>
  <w:style w:type="paragraph" w:customStyle="1" w:styleId="Legislationi">
    <w:name w:val="Legislation (i)"/>
    <w:basedOn w:val="Normal"/>
    <w:qFormat/>
    <w:rsid w:val="0024012A"/>
    <w:pPr>
      <w:keepLines/>
      <w:numPr>
        <w:ilvl w:val="3"/>
        <w:numId w:val="9"/>
      </w:numPr>
      <w:spacing w:before="60" w:after="60" w:line="240" w:lineRule="auto"/>
    </w:pPr>
    <w:rPr>
      <w:rFonts w:ascii="Calibri" w:eastAsiaTheme="minorHAnsi" w:hAnsi="Calibri"/>
      <w:szCs w:val="24"/>
      <w:lang w:val="en-NZ" w:eastAsia="en-US"/>
    </w:rPr>
  </w:style>
  <w:style w:type="paragraph" w:styleId="ListBullet2">
    <w:name w:val="List Bullet 2"/>
    <w:basedOn w:val="Normal"/>
    <w:uiPriority w:val="99"/>
    <w:rsid w:val="00C22219"/>
    <w:pPr>
      <w:keepLines/>
      <w:numPr>
        <w:numId w:val="15"/>
      </w:numPr>
      <w:spacing w:before="120" w:line="240" w:lineRule="auto"/>
    </w:pPr>
    <w:rPr>
      <w:rFonts w:ascii="Calibri" w:eastAsiaTheme="minorHAnsi" w:hAnsi="Calibri"/>
      <w:sz w:val="24"/>
      <w:szCs w:val="24"/>
      <w:lang w:val="en-NZ" w:eastAsia="en-US"/>
    </w:rPr>
  </w:style>
  <w:style w:type="paragraph" w:customStyle="1" w:styleId="Heading2nocontents">
    <w:name w:val="Heading 2 no contents"/>
    <w:basedOn w:val="Heading2"/>
    <w:link w:val="Heading2nocontentsChar"/>
    <w:qFormat/>
    <w:rsid w:val="00BD4E0A"/>
    <w:rPr>
      <w:w w:val="100"/>
    </w:rPr>
  </w:style>
  <w:style w:type="character" w:customStyle="1" w:styleId="Heading2nocontentsChar">
    <w:name w:val="Heading 2 no contents Char"/>
    <w:basedOn w:val="Heading2Char"/>
    <w:link w:val="Heading2nocontents"/>
    <w:rsid w:val="00BD4E0A"/>
    <w:rPr>
      <w:rFonts w:ascii="Arial" w:hAnsi="Arial"/>
      <w:b/>
      <w:color w:val="335087"/>
      <w:spacing w:val="20"/>
      <w:w w:val="90"/>
      <w:sz w:val="32"/>
      <w:szCs w:val="24"/>
      <w:lang w:val="en-GB" w:eastAsia="en-GB"/>
    </w:rPr>
  </w:style>
  <w:style w:type="paragraph" w:customStyle="1" w:styleId="Tablenormal0">
    <w:name w:val="Table normal"/>
    <w:basedOn w:val="Normal"/>
    <w:qFormat/>
    <w:rsid w:val="007D6746"/>
    <w:pPr>
      <w:keepLines/>
      <w:spacing w:before="40" w:after="40" w:line="240" w:lineRule="auto"/>
    </w:pPr>
    <w:rPr>
      <w:rFonts w:ascii="Calibri" w:eastAsiaTheme="minorHAnsi" w:hAnsi="Calibri"/>
      <w:szCs w:val="24"/>
      <w:lang w:val="en-NZ" w:eastAsia="en-US"/>
    </w:rPr>
  </w:style>
  <w:style w:type="paragraph" w:customStyle="1" w:styleId="Heading1NoContents">
    <w:name w:val="Heading 1 No Contents"/>
    <w:basedOn w:val="Heading1"/>
    <w:link w:val="Heading1NoContentsChar"/>
    <w:qFormat/>
    <w:rsid w:val="00B56B1B"/>
  </w:style>
  <w:style w:type="character" w:customStyle="1" w:styleId="Heading1NoContentsChar">
    <w:name w:val="Heading 1 No Contents Char"/>
    <w:basedOn w:val="Heading1Char"/>
    <w:link w:val="Heading1NoContents"/>
    <w:rsid w:val="00B56B1B"/>
    <w:rPr>
      <w:rFonts w:ascii="Arial" w:hAnsi="Arial" w:cs="Arial"/>
      <w:b/>
      <w:color w:val="002469"/>
      <w:spacing w:val="20"/>
      <w:w w:val="90"/>
      <w:sz w:val="38"/>
      <w:szCs w:val="38"/>
      <w:lang w:val="en-GB" w:eastAsia="en-GB"/>
    </w:rPr>
  </w:style>
  <w:style w:type="paragraph" w:styleId="Revision">
    <w:name w:val="Revision"/>
    <w:hidden/>
    <w:uiPriority w:val="99"/>
    <w:semiHidden/>
    <w:rsid w:val="00834AEF"/>
    <w:rPr>
      <w:rFonts w:ascii="Arial" w:hAnsi="Arial"/>
      <w:sz w:val="22"/>
      <w:lang w:val="en-GB" w:eastAsia="en-GB"/>
    </w:rPr>
  </w:style>
  <w:style w:type="character" w:customStyle="1" w:styleId="Style1">
    <w:name w:val="Style1"/>
    <w:basedOn w:val="DefaultParagraphFont"/>
    <w:uiPriority w:val="1"/>
    <w:qFormat/>
    <w:rsid w:val="007B6C69"/>
    <w:rPr>
      <w:rFonts w:ascii="Times New Roman" w:hAnsi="Times New Roman" w:cs="Arial"/>
      <w:color w:val="FF0000"/>
      <w:u w:val="double"/>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82383">
      <w:bodyDiv w:val="1"/>
      <w:marLeft w:val="0"/>
      <w:marRight w:val="0"/>
      <w:marTop w:val="0"/>
      <w:marBottom w:val="0"/>
      <w:divBdr>
        <w:top w:val="none" w:sz="0" w:space="0" w:color="auto"/>
        <w:left w:val="none" w:sz="0" w:space="0" w:color="auto"/>
        <w:bottom w:val="none" w:sz="0" w:space="0" w:color="auto"/>
        <w:right w:val="none" w:sz="0" w:space="0" w:color="auto"/>
      </w:divBdr>
      <w:divsChild>
        <w:div w:id="1370376247">
          <w:marLeft w:val="0"/>
          <w:marRight w:val="0"/>
          <w:marTop w:val="0"/>
          <w:marBottom w:val="0"/>
          <w:divBdr>
            <w:top w:val="none" w:sz="0" w:space="0" w:color="auto"/>
            <w:left w:val="none" w:sz="0" w:space="0" w:color="auto"/>
            <w:bottom w:val="none" w:sz="0" w:space="0" w:color="auto"/>
            <w:right w:val="none" w:sz="0" w:space="0" w:color="auto"/>
          </w:divBdr>
        </w:div>
        <w:div w:id="2049183065">
          <w:marLeft w:val="0"/>
          <w:marRight w:val="0"/>
          <w:marTop w:val="0"/>
          <w:marBottom w:val="0"/>
          <w:divBdr>
            <w:top w:val="none" w:sz="0" w:space="0" w:color="auto"/>
            <w:left w:val="none" w:sz="0" w:space="0" w:color="auto"/>
            <w:bottom w:val="none" w:sz="0" w:space="0" w:color="auto"/>
            <w:right w:val="none" w:sz="0" w:space="0" w:color="auto"/>
          </w:divBdr>
        </w:div>
      </w:divsChild>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07891">
      <w:bodyDiv w:val="1"/>
      <w:marLeft w:val="0"/>
      <w:marRight w:val="0"/>
      <w:marTop w:val="0"/>
      <w:marBottom w:val="0"/>
      <w:divBdr>
        <w:top w:val="none" w:sz="0" w:space="0" w:color="auto"/>
        <w:left w:val="none" w:sz="0" w:space="0" w:color="auto"/>
        <w:bottom w:val="none" w:sz="0" w:space="0" w:color="auto"/>
        <w:right w:val="none" w:sz="0" w:space="0" w:color="auto"/>
      </w:divBdr>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gislation.govt.nz/act/public/2001/0035/latest/link.aspx?id=DLM9470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yTemplates\Guid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F66B3-10C6-4F81-905A-9C9AE63D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Template>
  <TotalTime>1</TotalTime>
  <Pages>15</Pages>
  <Words>3976</Words>
  <Characters>22944</Characters>
  <Application>Microsoft Office Word</Application>
  <DocSecurity>4</DocSecurity>
  <Lines>603</Lines>
  <Paragraphs>289</Paragraphs>
  <ScaleCrop>false</ScaleCrop>
  <HeadingPairs>
    <vt:vector size="2" baseType="variant">
      <vt:variant>
        <vt:lpstr>Title</vt:lpstr>
      </vt:variant>
      <vt:variant>
        <vt:i4>1</vt:i4>
      </vt:variant>
    </vt:vector>
  </HeadingPairs>
  <TitlesOfParts>
    <vt:vector size="1" baseType="lpstr">
      <vt:lpstr>PFA SECTION 04(D) – 2006/07 SOI GUIDANCE</vt:lpstr>
    </vt:vector>
  </TitlesOfParts>
  <Company>The Treasury</Company>
  <LinksUpToDate>false</LinksUpToDate>
  <CharactersWithSpaces>26631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 SECTION 04(D) – 2006/07 SOI GUIDANCE</dc:title>
  <dc:creator>Geraldine Bruin</dc:creator>
  <cp:lastModifiedBy>Tim Bollinger</cp:lastModifiedBy>
  <cp:revision>2</cp:revision>
  <cp:lastPrinted>2016-06-23T22:23:00Z</cp:lastPrinted>
  <dcterms:created xsi:type="dcterms:W3CDTF">2016-08-01T20:46:00Z</dcterms:created>
  <dcterms:modified xsi:type="dcterms:W3CDTF">2016-08-01T20:46:00Z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UpdateFooter">
    <vt:bool>false</vt:bool>
  </property>
  <property fmtid="{D5CDD505-2E9C-101B-9397-08002B2CF9AE}" pid="3" name="TsySecurityClassification">
    <vt:lpwstr>IN-CONFIDENCE</vt:lpwstr>
  </property>
  <property fmtid="{D5CDD505-2E9C-101B-9397-08002B2CF9AE}" pid="4" name="TsyDisplayedSecurityClassification">
    <vt:lpwstr>IN-CONFIDENCE</vt:lpwstr>
  </property>
  <property fmtid="{D5CDD505-2E9C-101B-9397-08002B2CF9AE}" pid="5" name="TsySeemailSecurityClassification">
    <vt:lpwstr> [IN-CONFIDENCE]</vt:lpwstr>
  </property>
  <property fmtid="{D5CDD505-2E9C-101B-9397-08002B2CF9AE}" pid="6" name="TsyDocNum">
    <vt:i4>2702188</vt:i4>
  </property>
  <property fmtid="{D5CDD505-2E9C-101B-9397-08002B2CF9AE}" pid="7" name="TsyDocVer">
    <vt:i4>2</vt:i4>
  </property>
  <property fmtid="{D5CDD505-2E9C-101B-9397-08002B2CF9AE}" pid="8" name="TsyDisplayedDocNumVer">
    <vt:lpwstr>Treasury:2702188v2</vt:lpwstr>
  </property>
  <property fmtid="{D5CDD505-2E9C-101B-9397-08002B2CF9AE}" pid="9" name="TsyFileNo">
    <vt:lpwstr>SH-11-2-7-9</vt:lpwstr>
  </property>
  <property fmtid="{D5CDD505-2E9C-101B-9397-08002B2CF9AE}" pid="10" name="TsyDescription">
    <vt:lpwstr>RIA Handbook 2013 DRAFT (from KIS Web &amp; Publishing)</vt:lpwstr>
  </property>
  <property fmtid="{D5CDD505-2E9C-101B-9397-08002B2CF9AE}" pid="11" name="TsyTrNum">
    <vt:lpwstr> </vt:lpwstr>
  </property>
  <property fmtid="{D5CDD505-2E9C-101B-9397-08002B2CF9AE}" pid="12" name="TsyOiaNum">
    <vt:lpwstr> </vt:lpwstr>
  </property>
  <property fmtid="{D5CDD505-2E9C-101B-9397-08002B2CF9AE}" pid="13" name="TsyManagerUsername">
    <vt:lpwstr> </vt:lpwstr>
  </property>
  <property fmtid="{D5CDD505-2E9C-101B-9397-08002B2CF9AE}" pid="14" name="TsyManagerFullname">
    <vt:lpwstr> </vt:lpwstr>
  </property>
  <property fmtid="{D5CDD505-2E9C-101B-9397-08002B2CF9AE}" pid="15" name="TsyHeaderFooterPropertyVersion">
    <vt:i4>1</vt:i4>
  </property>
  <property fmtid="{D5CDD505-2E9C-101B-9397-08002B2CF9AE}" pid="16" name="TsyAuthorUsername">
    <vt:lpwstr>TEMPLEB</vt:lpwstr>
  </property>
  <property fmtid="{D5CDD505-2E9C-101B-9397-08002B2CF9AE}" pid="17" name="TsyAuthorFullname">
    <vt:lpwstr>Ben Temple</vt:lpwstr>
  </property>
</Properties>
</file>