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6E09" w14:textId="77777777" w:rsidR="00BD54C5" w:rsidRDefault="00BD54C5" w:rsidP="00107710">
      <w:pPr>
        <w:pStyle w:val="Heading1"/>
      </w:pPr>
      <w:bookmarkStart w:id="0" w:name="_Toc371087244"/>
      <w:bookmarkStart w:id="1" w:name="_Hlk179982283"/>
      <w:r>
        <w:t>Non-Financial Performance Measures Rules 20</w:t>
      </w:r>
      <w:r w:rsidR="00FE4261">
        <w:t>24</w:t>
      </w:r>
    </w:p>
    <w:p w14:paraId="097043A3" w14:textId="77777777" w:rsidR="00FE6E24" w:rsidRDefault="00BD54C5" w:rsidP="00AF670C">
      <w:pPr>
        <w:pStyle w:val="Heading1"/>
        <w:jc w:val="both"/>
      </w:pPr>
      <w:r>
        <w:t xml:space="preserve">Supporting guidance for </w:t>
      </w:r>
      <w:bookmarkEnd w:id="0"/>
      <w:r w:rsidR="009C6BEF">
        <w:t>drinking water</w:t>
      </w:r>
    </w:p>
    <w:p w14:paraId="32DF7B23" w14:textId="77777777" w:rsidR="008F4253" w:rsidRDefault="00ED47CF" w:rsidP="009120AE">
      <w:pPr>
        <w:pStyle w:val="Heading3"/>
      </w:pPr>
      <w:bookmarkStart w:id="2" w:name="_Toc371087245"/>
      <w:bookmarkEnd w:id="1"/>
      <w:r>
        <w:t xml:space="preserve">Introduction to the </w:t>
      </w:r>
      <w:r w:rsidR="00D76475">
        <w:t>a</w:t>
      </w:r>
      <w:r>
        <w:t>ctivity</w:t>
      </w:r>
      <w:bookmarkEnd w:id="2"/>
      <w:r w:rsidR="000F5A73">
        <w:t xml:space="preserve"> </w:t>
      </w:r>
    </w:p>
    <w:p w14:paraId="4283CD06" w14:textId="77777777" w:rsidR="009C6BEF" w:rsidRDefault="009C6BEF" w:rsidP="00381C3C">
      <w:pPr>
        <w:pStyle w:val="BodyText"/>
        <w:jc w:val="both"/>
        <w:rPr>
          <w:szCs w:val="22"/>
        </w:rPr>
      </w:pPr>
      <w:r w:rsidRPr="00AC35AC">
        <w:rPr>
          <w:szCs w:val="22"/>
        </w:rPr>
        <w:t xml:space="preserve">A reliable supply of water that is safe to drink is essential for good public health. </w:t>
      </w:r>
      <w:r w:rsidR="00675629">
        <w:rPr>
          <w:szCs w:val="22"/>
        </w:rPr>
        <w:t xml:space="preserve"> A good quality water supply </w:t>
      </w:r>
      <w:r w:rsidRPr="00AC35AC">
        <w:rPr>
          <w:szCs w:val="22"/>
        </w:rPr>
        <w:t>brings many direct</w:t>
      </w:r>
      <w:r>
        <w:rPr>
          <w:szCs w:val="22"/>
        </w:rPr>
        <w:t xml:space="preserve"> </w:t>
      </w:r>
      <w:r w:rsidRPr="00AC35AC">
        <w:rPr>
          <w:szCs w:val="22"/>
        </w:rPr>
        <w:t xml:space="preserve">and indirect benefits to communities and the country </w:t>
      </w:r>
      <w:proofErr w:type="gramStart"/>
      <w:r w:rsidRPr="00AC35AC">
        <w:rPr>
          <w:szCs w:val="22"/>
        </w:rPr>
        <w:t>as a whole by</w:t>
      </w:r>
      <w:proofErr w:type="gramEnd"/>
      <w:r w:rsidRPr="00AC35AC">
        <w:rPr>
          <w:szCs w:val="22"/>
        </w:rPr>
        <w:t xml:space="preserve"> helping to prevent the outbreak and spread of</w:t>
      </w:r>
      <w:r>
        <w:rPr>
          <w:szCs w:val="22"/>
        </w:rPr>
        <w:t xml:space="preserve"> </w:t>
      </w:r>
      <w:r w:rsidRPr="00AC35AC">
        <w:rPr>
          <w:szCs w:val="22"/>
        </w:rPr>
        <w:t xml:space="preserve">water-borne </w:t>
      </w:r>
      <w:r w:rsidR="00000A1C">
        <w:rPr>
          <w:szCs w:val="22"/>
        </w:rPr>
        <w:t>illnesses</w:t>
      </w:r>
      <w:r w:rsidRPr="00AC35AC">
        <w:rPr>
          <w:szCs w:val="22"/>
        </w:rPr>
        <w:t>.</w:t>
      </w:r>
    </w:p>
    <w:p w14:paraId="555D3AD1" w14:textId="77777777" w:rsidR="00A60351" w:rsidRDefault="00A60351" w:rsidP="00381C3C">
      <w:pPr>
        <w:pStyle w:val="BodyText"/>
        <w:jc w:val="both"/>
      </w:pPr>
      <w:r w:rsidRPr="4CAAF6D0">
        <w:t>The performance measures will provide information on local authorities’ levels of service in providing drinking water.  Being able to compare the levels of service provided by different local authorities will help communities to assess whether they need a better or lesser level of service.</w:t>
      </w:r>
    </w:p>
    <w:p w14:paraId="74A64362" w14:textId="3D08CA80" w:rsidR="009C6BEF" w:rsidRPr="00AC35AC" w:rsidRDefault="009C6BEF" w:rsidP="00381C3C">
      <w:pPr>
        <w:pStyle w:val="BodyText"/>
        <w:jc w:val="both"/>
        <w:rPr>
          <w:szCs w:val="22"/>
        </w:rPr>
      </w:pPr>
      <w:r>
        <w:rPr>
          <w:szCs w:val="22"/>
        </w:rPr>
        <w:t>The</w:t>
      </w:r>
      <w:r w:rsidRPr="00AC35AC">
        <w:rPr>
          <w:szCs w:val="22"/>
        </w:rPr>
        <w:t xml:space="preserve"> performance measures </w:t>
      </w:r>
      <w:r w:rsidR="00547DB2">
        <w:rPr>
          <w:szCs w:val="22"/>
        </w:rPr>
        <w:t>cover</w:t>
      </w:r>
      <w:r>
        <w:rPr>
          <w:szCs w:val="22"/>
        </w:rPr>
        <w:t xml:space="preserve"> the </w:t>
      </w:r>
      <w:r w:rsidR="00547DB2">
        <w:rPr>
          <w:szCs w:val="22"/>
        </w:rPr>
        <w:t>following</w:t>
      </w:r>
      <w:r w:rsidRPr="00AC35AC">
        <w:rPr>
          <w:szCs w:val="22"/>
        </w:rPr>
        <w:t xml:space="preserve"> aspects</w:t>
      </w:r>
      <w:r>
        <w:rPr>
          <w:szCs w:val="22"/>
        </w:rPr>
        <w:t>:</w:t>
      </w:r>
    </w:p>
    <w:p w14:paraId="2973F02D" w14:textId="77777777" w:rsidR="00741A80" w:rsidRPr="00741A80" w:rsidRDefault="00741A80" w:rsidP="008D6475">
      <w:pPr>
        <w:pStyle w:val="BodyText"/>
        <w:numPr>
          <w:ilvl w:val="0"/>
          <w:numId w:val="25"/>
        </w:numPr>
        <w:spacing w:line="0" w:lineRule="atLeast"/>
        <w:jc w:val="both"/>
        <w:rPr>
          <w:szCs w:val="22"/>
        </w:rPr>
      </w:pPr>
      <w:r w:rsidRPr="00741A80">
        <w:rPr>
          <w:szCs w:val="22"/>
        </w:rPr>
        <w:t xml:space="preserve">Is the water safe to drink? </w:t>
      </w:r>
    </w:p>
    <w:p w14:paraId="5FD1C5A3" w14:textId="77777777" w:rsidR="00741A80" w:rsidRPr="00741A80" w:rsidRDefault="00741A80" w:rsidP="008D6475">
      <w:pPr>
        <w:pStyle w:val="BodyText"/>
        <w:numPr>
          <w:ilvl w:val="0"/>
          <w:numId w:val="25"/>
        </w:numPr>
        <w:spacing w:line="0" w:lineRule="atLeast"/>
        <w:jc w:val="both"/>
        <w:rPr>
          <w:szCs w:val="22"/>
        </w:rPr>
      </w:pPr>
      <w:r w:rsidRPr="00741A80">
        <w:rPr>
          <w:szCs w:val="22"/>
        </w:rPr>
        <w:t xml:space="preserve">Is the water reticulation network being maintained to a standard that ensures safe water is available to customers? </w:t>
      </w:r>
    </w:p>
    <w:p w14:paraId="0D97EF83" w14:textId="77777777" w:rsidR="00741A80" w:rsidRPr="00741A80" w:rsidRDefault="00741A80" w:rsidP="008D6475">
      <w:pPr>
        <w:pStyle w:val="BodyText"/>
        <w:numPr>
          <w:ilvl w:val="0"/>
          <w:numId w:val="25"/>
        </w:numPr>
        <w:spacing w:line="0" w:lineRule="atLeast"/>
        <w:jc w:val="both"/>
        <w:rPr>
          <w:szCs w:val="22"/>
        </w:rPr>
      </w:pPr>
      <w:r w:rsidRPr="00741A80">
        <w:rPr>
          <w:szCs w:val="22"/>
        </w:rPr>
        <w:t xml:space="preserve">Does the </w:t>
      </w:r>
      <w:r w:rsidR="008B1780">
        <w:rPr>
          <w:szCs w:val="22"/>
        </w:rPr>
        <w:t>territorial authority</w:t>
      </w:r>
      <w:r w:rsidRPr="00741A80">
        <w:rPr>
          <w:szCs w:val="22"/>
        </w:rPr>
        <w:t xml:space="preserve"> responsible for the water service provide a timely response if there is a problem with the water supply? </w:t>
      </w:r>
    </w:p>
    <w:p w14:paraId="18CC1A48" w14:textId="77777777" w:rsidR="00741A80" w:rsidRPr="00741A80" w:rsidRDefault="00741A80" w:rsidP="008D6475">
      <w:pPr>
        <w:pStyle w:val="BodyText"/>
        <w:numPr>
          <w:ilvl w:val="0"/>
          <w:numId w:val="25"/>
        </w:numPr>
        <w:spacing w:line="0" w:lineRule="atLeast"/>
        <w:jc w:val="both"/>
        <w:rPr>
          <w:szCs w:val="22"/>
        </w:rPr>
      </w:pPr>
      <w:r w:rsidRPr="00741A80">
        <w:rPr>
          <w:szCs w:val="22"/>
        </w:rPr>
        <w:t xml:space="preserve">Are customers satisfied with the service provided with both the operation of the service itself and how the </w:t>
      </w:r>
      <w:r w:rsidR="008B1780">
        <w:rPr>
          <w:szCs w:val="22"/>
        </w:rPr>
        <w:t>territorial authority</w:t>
      </w:r>
      <w:r w:rsidRPr="00741A80">
        <w:rPr>
          <w:szCs w:val="22"/>
        </w:rPr>
        <w:t xml:space="preserve"> deals with complaints about the service? </w:t>
      </w:r>
    </w:p>
    <w:p w14:paraId="6918FDA4" w14:textId="77777777" w:rsidR="00741A80" w:rsidRDefault="00741A80" w:rsidP="008D6475">
      <w:pPr>
        <w:pStyle w:val="BodyText"/>
        <w:numPr>
          <w:ilvl w:val="0"/>
          <w:numId w:val="25"/>
        </w:numPr>
        <w:spacing w:line="0" w:lineRule="atLeast"/>
        <w:jc w:val="both"/>
        <w:rPr>
          <w:szCs w:val="22"/>
        </w:rPr>
      </w:pPr>
      <w:r w:rsidRPr="00741A80">
        <w:rPr>
          <w:szCs w:val="22"/>
        </w:rPr>
        <w:t xml:space="preserve">Is the water supply system being managed in a way that ensures demand does not outstrip the available capacity? </w:t>
      </w:r>
    </w:p>
    <w:p w14:paraId="7EC77356" w14:textId="77777777" w:rsidR="00685922" w:rsidRDefault="00685922" w:rsidP="00685922">
      <w:pPr>
        <w:pStyle w:val="BodyText"/>
        <w:spacing w:line="0" w:lineRule="atLeast"/>
        <w:jc w:val="both"/>
        <w:rPr>
          <w:szCs w:val="22"/>
        </w:rPr>
      </w:pPr>
      <w:r>
        <w:t xml:space="preserve">Please note that where the term </w:t>
      </w:r>
      <w:r w:rsidRPr="00DA6488">
        <w:rPr>
          <w:b/>
        </w:rPr>
        <w:t>territorial authority</w:t>
      </w:r>
      <w:r>
        <w:t xml:space="preserve"> is mentioned in this document, this can be taken to include </w:t>
      </w:r>
      <w:r>
        <w:rPr>
          <w:szCs w:val="22"/>
        </w:rPr>
        <w:t>council-controlled organisations (CCOs) who supply this service.</w:t>
      </w:r>
    </w:p>
    <w:p w14:paraId="44A0A6A0" w14:textId="77777777" w:rsidR="00A36A75" w:rsidRPr="00A36A75" w:rsidRDefault="00A36A75" w:rsidP="00A36A75">
      <w:pPr>
        <w:pStyle w:val="Heading3"/>
      </w:pPr>
      <w:r>
        <w:t>Do you need to apply the performance measures?</w:t>
      </w:r>
    </w:p>
    <w:p w14:paraId="62250FAE" w14:textId="77777777" w:rsidR="009C6BEF" w:rsidRDefault="009C6BEF" w:rsidP="00381C3C">
      <w:pPr>
        <w:pStyle w:val="BodyText"/>
        <w:jc w:val="both"/>
      </w:pPr>
      <w:r>
        <w:t xml:space="preserve">The performance measures will be used to report on </w:t>
      </w:r>
      <w:r w:rsidR="00A4659E">
        <w:t xml:space="preserve">territorial authorities </w:t>
      </w:r>
      <w:r w:rsidR="00A36A75">
        <w:t xml:space="preserve">and CCOs </w:t>
      </w:r>
      <w:r w:rsidR="005B4CD2">
        <w:t xml:space="preserve">who provide drinking </w:t>
      </w:r>
      <w:r>
        <w:t xml:space="preserve">water </w:t>
      </w:r>
      <w:r w:rsidR="005B4CD2">
        <w:t xml:space="preserve">supplies. </w:t>
      </w:r>
      <w:r>
        <w:t>This is because the measures are meant to provide information on services provided by local government rather than by private suppliers.</w:t>
      </w:r>
    </w:p>
    <w:p w14:paraId="42D771F5" w14:textId="77777777" w:rsidR="00902631" w:rsidRDefault="00902631" w:rsidP="00902631">
      <w:pPr>
        <w:pStyle w:val="BodyText"/>
        <w:jc w:val="both"/>
      </w:pPr>
      <w:r>
        <w:t xml:space="preserve">For the purposes of the mandatory performance measures, </w:t>
      </w:r>
      <w:r w:rsidRPr="00652B11">
        <w:rPr>
          <w:b/>
        </w:rPr>
        <w:t>water supply</w:t>
      </w:r>
      <w:r>
        <w:t xml:space="preserve"> </w:t>
      </w:r>
      <w:r w:rsidR="00671484">
        <w:t xml:space="preserve">uses the definition of drinking water supply set out in section 9 of the Water Services Act 2021. This largely means </w:t>
      </w:r>
      <w:r w:rsidR="00671484" w:rsidRPr="00671484">
        <w:t>the infrastructure and processes used to abstract, store, treat, transmit, or transport drinking water for supply to consumers or another drinking water supplier</w:t>
      </w:r>
      <w:r w:rsidR="00671484">
        <w:t>.</w:t>
      </w:r>
    </w:p>
    <w:p w14:paraId="5E3BA57C" w14:textId="77777777" w:rsidR="00902631" w:rsidRDefault="00902631" w:rsidP="00902631">
      <w:pPr>
        <w:pStyle w:val="BodyText"/>
        <w:jc w:val="both"/>
      </w:pPr>
      <w:r>
        <w:t xml:space="preserve">Specifically, the following aspects of the supply of water are </w:t>
      </w:r>
      <w:r w:rsidRPr="006C03B3">
        <w:rPr>
          <w:b/>
        </w:rPr>
        <w:t>excluded</w:t>
      </w:r>
      <w:r>
        <w:t>:</w:t>
      </w:r>
    </w:p>
    <w:p w14:paraId="31486BF3" w14:textId="77777777" w:rsidR="00146242" w:rsidRDefault="00902631" w:rsidP="008D6475">
      <w:pPr>
        <w:pStyle w:val="BodyText"/>
        <w:numPr>
          <w:ilvl w:val="0"/>
          <w:numId w:val="24"/>
        </w:numPr>
        <w:jc w:val="both"/>
      </w:pPr>
      <w:r>
        <w:t>measures relating to resource consent for the water take into the system</w:t>
      </w:r>
      <w:r w:rsidR="008F0DE3">
        <w:t xml:space="preserve">.  This is </w:t>
      </w:r>
      <w:r>
        <w:t>because there are already legislated requirements, under the Resource Management Act 1991, for the issuing and monitoring of resource consents</w:t>
      </w:r>
      <w:r w:rsidR="00164FD8">
        <w:t>; and</w:t>
      </w:r>
      <w:r>
        <w:t xml:space="preserve"> </w:t>
      </w:r>
    </w:p>
    <w:p w14:paraId="42622451" w14:textId="77777777" w:rsidR="00902631" w:rsidRDefault="00146242" w:rsidP="008D6475">
      <w:pPr>
        <w:pStyle w:val="BodyText"/>
        <w:numPr>
          <w:ilvl w:val="0"/>
          <w:numId w:val="24"/>
        </w:numPr>
        <w:jc w:val="both"/>
      </w:pPr>
      <w:r>
        <w:br w:type="page"/>
      </w:r>
      <w:r w:rsidR="00902631">
        <w:t xml:space="preserve">malfunctions of privately-owned infrastructure and connections. The measures are intended to provide information to members of the public on the services provided by their </w:t>
      </w:r>
      <w:r w:rsidR="00750DEE">
        <w:t>territorial authority</w:t>
      </w:r>
      <w:r w:rsidR="00902631">
        <w:t xml:space="preserve"> so only those services for which their </w:t>
      </w:r>
      <w:r w:rsidR="00750DEE">
        <w:t>territorial authority</w:t>
      </w:r>
      <w:r w:rsidR="00902631">
        <w:t xml:space="preserve"> is responsible should be included.</w:t>
      </w:r>
    </w:p>
    <w:p w14:paraId="4A180580" w14:textId="77777777" w:rsidR="00956190" w:rsidRDefault="00956190" w:rsidP="00956190">
      <w:pPr>
        <w:pStyle w:val="Heading3"/>
      </w:pPr>
      <w:r>
        <w:t>Reporting on results</w:t>
      </w:r>
    </w:p>
    <w:p w14:paraId="1697E3AF" w14:textId="77777777" w:rsidR="00956190" w:rsidRDefault="00956190" w:rsidP="00947561">
      <w:pPr>
        <w:pStyle w:val="BodyText"/>
        <w:jc w:val="both"/>
      </w:pPr>
      <w:r>
        <w:t xml:space="preserve">It is good practice to report more than one year’s performance against </w:t>
      </w:r>
      <w:proofErr w:type="gramStart"/>
      <w:r>
        <w:t>particular performance</w:t>
      </w:r>
      <w:proofErr w:type="gramEnd"/>
      <w:r>
        <w:t xml:space="preserve"> measures. This allows ratepayers and other stakeholders to identify trends in the local authority’s performance.  </w:t>
      </w:r>
      <w:r w:rsidR="002D0086">
        <w:t>T</w:t>
      </w:r>
      <w:r>
        <w:t>erritorial authorities</w:t>
      </w:r>
      <w:r w:rsidR="002D0086">
        <w:t xml:space="preserve"> are encouraged to</w:t>
      </w:r>
      <w:r>
        <w:t xml:space="preserve"> maintain time series data for the performance measures and</w:t>
      </w:r>
      <w:r w:rsidR="00A31E9C">
        <w:t>,</w:t>
      </w:r>
      <w:r>
        <w:t xml:space="preserve"> where appropriate</w:t>
      </w:r>
      <w:r w:rsidR="00A31E9C">
        <w:t>,</w:t>
      </w:r>
      <w:r>
        <w:t xml:space="preserve"> graph the results.</w:t>
      </w:r>
      <w:r w:rsidR="006B23A8">
        <w:t xml:space="preserve">  Where there are significant deviations between a target and the actual result, territorial authorities </w:t>
      </w:r>
      <w:r w:rsidR="00FD3A6D">
        <w:t>should</w:t>
      </w:r>
      <w:r w:rsidR="006B23A8">
        <w:t xml:space="preserve"> include a commentary as to why this is the case. </w:t>
      </w:r>
      <w:r w:rsidR="009268F9">
        <w:t xml:space="preserve"> Also, </w:t>
      </w:r>
      <w:proofErr w:type="gramStart"/>
      <w:r w:rsidR="009268F9">
        <w:t>i</w:t>
      </w:r>
      <w:r>
        <w:t>n order to</w:t>
      </w:r>
      <w:proofErr w:type="gramEnd"/>
      <w:r>
        <w:t xml:space="preserve"> maintain continuity of trend data, local authorities may choose to report against both the new standard measures, and their previous measures for a few years.</w:t>
      </w:r>
    </w:p>
    <w:p w14:paraId="5C065E6E" w14:textId="77777777" w:rsidR="00B74B60" w:rsidRPr="00B74B60" w:rsidRDefault="00B74B60" w:rsidP="00947561">
      <w:pPr>
        <w:pStyle w:val="BodyText"/>
        <w:jc w:val="both"/>
      </w:pPr>
      <w:r>
        <w:t>In general, territorial authorities should ensure that they have</w:t>
      </w:r>
      <w:r w:rsidRPr="00B74B60">
        <w:t xml:space="preserve"> appropriate systems in place to collect the information required to report against the</w:t>
      </w:r>
      <w:r>
        <w:t xml:space="preserve"> </w:t>
      </w:r>
      <w:r w:rsidR="001158CF">
        <w:t>performance</w:t>
      </w:r>
      <w:r w:rsidRPr="00B74B60">
        <w:t xml:space="preserve"> measure</w:t>
      </w:r>
      <w:r>
        <w:t xml:space="preserve">s. </w:t>
      </w:r>
      <w:r w:rsidR="00F03AF3">
        <w:t>The methodology for reporting, including calculations, should also be clearly outlined.</w:t>
      </w:r>
    </w:p>
    <w:p w14:paraId="7B618217" w14:textId="521896BA" w:rsidR="00CA3F08" w:rsidRDefault="004829BC" w:rsidP="00CA3F08">
      <w:pPr>
        <w:pStyle w:val="BodyText"/>
        <w:jc w:val="both"/>
      </w:pPr>
      <w:r w:rsidRPr="00947561">
        <w:t xml:space="preserve">Under the Non-Financial Performance Measures Rules </w:t>
      </w:r>
      <w:r w:rsidR="006A3480" w:rsidRPr="00947561">
        <w:t>20</w:t>
      </w:r>
      <w:r w:rsidR="006A3480">
        <w:t>24</w:t>
      </w:r>
      <w:r w:rsidR="006A3480" w:rsidRPr="00947561">
        <w:t xml:space="preserve"> </w:t>
      </w:r>
      <w:r w:rsidRPr="00947561">
        <w:t>any calculation, measure, number or percentage set out in the Rules must be calculated for a financial year</w:t>
      </w:r>
      <w:bookmarkStart w:id="3" w:name="_Hlk173764466"/>
      <w:r w:rsidR="00CA3F08">
        <w:t>.</w:t>
      </w:r>
    </w:p>
    <w:p w14:paraId="66C8AE47" w14:textId="77777777" w:rsidR="00846E2D" w:rsidRPr="00CA3F08" w:rsidRDefault="00846E2D" w:rsidP="00CA3F08">
      <w:pPr>
        <w:pStyle w:val="BodyText"/>
      </w:pPr>
    </w:p>
    <w:p w14:paraId="3BD2D8CC" w14:textId="77777777" w:rsidR="00CA3F08" w:rsidRDefault="00CA3F08">
      <w:bookmarkStart w:id="4" w:name="_Toc371087247"/>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9061"/>
      </w:tblGrid>
      <w:tr w:rsidR="008F4253" w14:paraId="3A666ACE" w14:textId="77777777" w:rsidTr="00CA3F08">
        <w:trPr>
          <w:trHeight w:val="5283"/>
          <w:tblHeader/>
        </w:trPr>
        <w:tc>
          <w:tcPr>
            <w:tcW w:w="9287" w:type="dxa"/>
            <w:tcBorders>
              <w:top w:val="single" w:sz="4" w:space="0" w:color="auto"/>
              <w:left w:val="single" w:sz="4" w:space="0" w:color="auto"/>
              <w:bottom w:val="single" w:sz="4" w:space="0" w:color="auto"/>
              <w:right w:val="single" w:sz="4" w:space="0" w:color="auto"/>
              <w:tl2br w:val="nil"/>
              <w:tr2bl w:val="nil"/>
            </w:tcBorders>
            <w:shd w:val="clear" w:color="000000" w:fill="CCCCCC"/>
          </w:tcPr>
          <w:p w14:paraId="22D3DF61" w14:textId="77777777" w:rsidR="00E6442F" w:rsidRPr="004B2034" w:rsidRDefault="00101A7D" w:rsidP="004B2034">
            <w:pPr>
              <w:pStyle w:val="Heading3"/>
              <w:jc w:val="both"/>
              <w:rPr>
                <w:bCs w:val="0"/>
              </w:rPr>
            </w:pPr>
            <w:r w:rsidRPr="004B2034">
              <w:rPr>
                <w:bCs w:val="0"/>
              </w:rPr>
              <w:t>Performance measure one (safety of drinking water)</w:t>
            </w:r>
            <w:bookmarkEnd w:id="4"/>
            <w:r w:rsidRPr="004B2034">
              <w:rPr>
                <w:bCs w:val="0"/>
              </w:rPr>
              <w:t>:</w:t>
            </w:r>
          </w:p>
          <w:p w14:paraId="352D5AD7" w14:textId="77777777" w:rsidR="0086565D" w:rsidRPr="003E0344" w:rsidRDefault="0086565D" w:rsidP="0086565D">
            <w:pPr>
              <w:spacing w:before="120" w:after="120"/>
            </w:pPr>
            <w:r w:rsidRPr="003E0344">
              <w:t xml:space="preserve">The extent to which the local authority’s drinking water supply complies with the following parts of the drinking water quality assurance rules: </w:t>
            </w:r>
          </w:p>
          <w:p w14:paraId="2802B257"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bookmarkStart w:id="5" w:name="_Hlk171948900"/>
            <w:r w:rsidRPr="00846E2D">
              <w:rPr>
                <w:rFonts w:ascii="Arial" w:hAnsi="Arial"/>
                <w:b w:val="0"/>
                <w:bCs w:val="0"/>
                <w:szCs w:val="24"/>
              </w:rPr>
              <w:t xml:space="preserve">4.4 T1 Treatment </w:t>
            </w:r>
            <w:proofErr w:type="gramStart"/>
            <w:r w:rsidRPr="00846E2D">
              <w:rPr>
                <w:rFonts w:ascii="Arial" w:hAnsi="Arial"/>
                <w:b w:val="0"/>
                <w:bCs w:val="0"/>
                <w:szCs w:val="24"/>
              </w:rPr>
              <w:t>Rules;</w:t>
            </w:r>
            <w:proofErr w:type="gramEnd"/>
          </w:p>
          <w:p w14:paraId="0A806AFB"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4.5 D1.1 Distribution System </w:t>
            </w:r>
            <w:proofErr w:type="gramStart"/>
            <w:r w:rsidRPr="00846E2D">
              <w:rPr>
                <w:rFonts w:ascii="Arial" w:hAnsi="Arial"/>
                <w:b w:val="0"/>
                <w:bCs w:val="0"/>
                <w:szCs w:val="24"/>
              </w:rPr>
              <w:t>Rule;</w:t>
            </w:r>
            <w:proofErr w:type="gramEnd"/>
          </w:p>
          <w:p w14:paraId="7B94DB93"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4.7.1 T2 Treatment Monitoring </w:t>
            </w:r>
            <w:proofErr w:type="gramStart"/>
            <w:r w:rsidRPr="00846E2D">
              <w:rPr>
                <w:rFonts w:ascii="Arial" w:hAnsi="Arial"/>
                <w:b w:val="0"/>
                <w:bCs w:val="0"/>
                <w:szCs w:val="24"/>
              </w:rPr>
              <w:t>Rules;</w:t>
            </w:r>
            <w:proofErr w:type="gramEnd"/>
          </w:p>
          <w:p w14:paraId="18B87FAE"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4.7.2 T2 Filtration </w:t>
            </w:r>
            <w:proofErr w:type="gramStart"/>
            <w:r w:rsidRPr="00846E2D">
              <w:rPr>
                <w:rFonts w:ascii="Arial" w:hAnsi="Arial"/>
                <w:b w:val="0"/>
                <w:bCs w:val="0"/>
                <w:szCs w:val="24"/>
              </w:rPr>
              <w:t>Rules;</w:t>
            </w:r>
            <w:proofErr w:type="gramEnd"/>
          </w:p>
          <w:p w14:paraId="7906F1A0"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4.7.3 T2 UV </w:t>
            </w:r>
            <w:proofErr w:type="gramStart"/>
            <w:r w:rsidRPr="00846E2D">
              <w:rPr>
                <w:rFonts w:ascii="Arial" w:hAnsi="Arial"/>
                <w:b w:val="0"/>
                <w:bCs w:val="0"/>
                <w:szCs w:val="24"/>
              </w:rPr>
              <w:t>Rules;</w:t>
            </w:r>
            <w:proofErr w:type="gramEnd"/>
          </w:p>
          <w:p w14:paraId="1A7088E7"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4.7.4 T2 Chlorine </w:t>
            </w:r>
            <w:proofErr w:type="gramStart"/>
            <w:r w:rsidRPr="00846E2D">
              <w:rPr>
                <w:rFonts w:ascii="Arial" w:hAnsi="Arial"/>
                <w:b w:val="0"/>
                <w:bCs w:val="0"/>
                <w:szCs w:val="24"/>
              </w:rPr>
              <w:t>Rules;</w:t>
            </w:r>
            <w:proofErr w:type="gramEnd"/>
          </w:p>
          <w:p w14:paraId="6A40D078"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4.8 D2.1 Distribution System </w:t>
            </w:r>
            <w:proofErr w:type="gramStart"/>
            <w:r w:rsidRPr="00846E2D">
              <w:rPr>
                <w:rFonts w:ascii="Arial" w:hAnsi="Arial"/>
                <w:b w:val="0"/>
                <w:bCs w:val="0"/>
                <w:szCs w:val="24"/>
              </w:rPr>
              <w:t>Rule;</w:t>
            </w:r>
            <w:proofErr w:type="gramEnd"/>
          </w:p>
          <w:p w14:paraId="538A8188"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 xml:space="preserve">4.10.1 T3 Bacterial </w:t>
            </w:r>
            <w:proofErr w:type="gramStart"/>
            <w:r w:rsidRPr="00846E2D">
              <w:rPr>
                <w:rFonts w:ascii="Arial" w:hAnsi="Arial"/>
                <w:b w:val="0"/>
                <w:bCs w:val="0"/>
                <w:szCs w:val="24"/>
              </w:rPr>
              <w:t>Rules;</w:t>
            </w:r>
            <w:proofErr w:type="gramEnd"/>
            <w:r w:rsidRPr="00846E2D">
              <w:rPr>
                <w:rFonts w:ascii="Arial" w:hAnsi="Arial"/>
                <w:b w:val="0"/>
                <w:bCs w:val="0"/>
                <w:szCs w:val="24"/>
              </w:rPr>
              <w:t xml:space="preserve"> </w:t>
            </w:r>
          </w:p>
          <w:p w14:paraId="03981481" w14:textId="77777777" w:rsidR="0086565D" w:rsidRPr="00846E2D"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4.10.2 T3 Protozoal Rules; and</w:t>
            </w:r>
          </w:p>
          <w:p w14:paraId="7C574106" w14:textId="77777777" w:rsidR="008F4253" w:rsidRPr="00CA3F08" w:rsidRDefault="0086565D" w:rsidP="008D6475">
            <w:pPr>
              <w:pStyle w:val="Heading6"/>
              <w:numPr>
                <w:ilvl w:val="5"/>
                <w:numId w:val="26"/>
              </w:numPr>
              <w:tabs>
                <w:tab w:val="left" w:pos="851"/>
              </w:tabs>
              <w:spacing w:before="120" w:after="120"/>
              <w:ind w:left="851" w:hanging="851"/>
              <w:rPr>
                <w:rFonts w:ascii="Arial" w:hAnsi="Arial"/>
                <w:b w:val="0"/>
                <w:bCs w:val="0"/>
                <w:szCs w:val="24"/>
              </w:rPr>
            </w:pPr>
            <w:r w:rsidRPr="00846E2D">
              <w:rPr>
                <w:rFonts w:ascii="Arial" w:hAnsi="Arial"/>
                <w:b w:val="0"/>
                <w:bCs w:val="0"/>
                <w:szCs w:val="24"/>
              </w:rPr>
              <w:t>4.11.5 D3.29 Microbiological Monitoring Rule.</w:t>
            </w:r>
            <w:bookmarkEnd w:id="5"/>
          </w:p>
        </w:tc>
      </w:tr>
    </w:tbl>
    <w:p w14:paraId="061C42C5" w14:textId="77777777" w:rsidR="00D609A5" w:rsidRPr="00CA3F08" w:rsidRDefault="00D609A5" w:rsidP="00D609A5">
      <w:pPr>
        <w:pStyle w:val="Heading3"/>
        <w:rPr>
          <w:sz w:val="22"/>
          <w:szCs w:val="22"/>
        </w:rPr>
      </w:pPr>
      <w:r w:rsidRPr="00CA3F08">
        <w:rPr>
          <w:sz w:val="22"/>
          <w:szCs w:val="22"/>
        </w:rPr>
        <w:t>Introduction to measure</w:t>
      </w:r>
    </w:p>
    <w:p w14:paraId="053A428E" w14:textId="77777777" w:rsidR="00D609A5" w:rsidRPr="00CA3F08" w:rsidRDefault="00D609A5" w:rsidP="00D609A5">
      <w:pPr>
        <w:pStyle w:val="BodyText"/>
        <w:jc w:val="both"/>
        <w:rPr>
          <w:rFonts w:cs="Arial"/>
          <w:szCs w:val="22"/>
        </w:rPr>
      </w:pPr>
      <w:r w:rsidRPr="00CA3F08">
        <w:rPr>
          <w:rFonts w:cs="Arial"/>
          <w:szCs w:val="22"/>
        </w:rPr>
        <w:t xml:space="preserve">This performance measure informs ratepayers and consumers on whether the water supplied to them is safe to drink. </w:t>
      </w:r>
    </w:p>
    <w:p w14:paraId="271803E6" w14:textId="6E45D2DD" w:rsidR="006954FE" w:rsidRPr="00CA3F08" w:rsidRDefault="20F0A887" w:rsidP="2AF2004A">
      <w:pPr>
        <w:autoSpaceDE w:val="0"/>
        <w:autoSpaceDN w:val="0"/>
        <w:adjustRightInd w:val="0"/>
        <w:spacing w:line="240" w:lineRule="auto"/>
        <w:rPr>
          <w:rFonts w:cs="Arial"/>
        </w:rPr>
      </w:pPr>
      <w:r w:rsidRPr="03370C2B">
        <w:rPr>
          <w:rFonts w:cs="Arial"/>
        </w:rPr>
        <w:t>This measure incorporates the Drinking Water Quality Assurance Rules 2022 (DWQAR)</w:t>
      </w:r>
      <w:r w:rsidR="29DB3172" w:rsidRPr="03370C2B">
        <w:rPr>
          <w:rFonts w:cs="Arial"/>
        </w:rPr>
        <w:t xml:space="preserve">, secondary legislation </w:t>
      </w:r>
      <w:r w:rsidR="144CEA71" w:rsidRPr="03370C2B">
        <w:rPr>
          <w:rFonts w:cs="Arial"/>
        </w:rPr>
        <w:t>under section 49 of the Water Services Act</w:t>
      </w:r>
      <w:r w:rsidR="29DB3172" w:rsidRPr="03370C2B">
        <w:rPr>
          <w:rFonts w:cs="Arial"/>
        </w:rPr>
        <w:t xml:space="preserve"> </w:t>
      </w:r>
      <w:r w:rsidR="28D9F23D" w:rsidRPr="03370C2B">
        <w:rPr>
          <w:rFonts w:cs="Arial"/>
        </w:rPr>
        <w:t xml:space="preserve">2021 </w:t>
      </w:r>
      <w:r w:rsidR="29DB3172" w:rsidRPr="03370C2B">
        <w:rPr>
          <w:rFonts w:cs="Arial"/>
        </w:rPr>
        <w:t xml:space="preserve">implemented by </w:t>
      </w:r>
      <w:r w:rsidR="0C3966A1" w:rsidRPr="03370C2B">
        <w:rPr>
          <w:rFonts w:cs="Arial"/>
        </w:rPr>
        <w:t>the Water Services Authority -</w:t>
      </w:r>
      <w:r w:rsidR="7DD6D8A8" w:rsidRPr="03370C2B">
        <w:rPr>
          <w:rFonts w:cs="Arial"/>
        </w:rPr>
        <w:t xml:space="preserve"> </w:t>
      </w:r>
      <w:proofErr w:type="spellStart"/>
      <w:r w:rsidR="29DB3172" w:rsidRPr="03370C2B">
        <w:rPr>
          <w:rFonts w:cs="Arial"/>
        </w:rPr>
        <w:t>Taumata</w:t>
      </w:r>
      <w:proofErr w:type="spellEnd"/>
      <w:r w:rsidR="29DB3172" w:rsidRPr="03370C2B">
        <w:rPr>
          <w:rFonts w:cs="Arial"/>
        </w:rPr>
        <w:t xml:space="preserve"> </w:t>
      </w:r>
      <w:proofErr w:type="spellStart"/>
      <w:r w:rsidR="29DB3172" w:rsidRPr="03370C2B">
        <w:rPr>
          <w:rFonts w:cs="Arial"/>
        </w:rPr>
        <w:t>Arowai</w:t>
      </w:r>
      <w:proofErr w:type="spellEnd"/>
      <w:r w:rsidR="12224688" w:rsidRPr="03370C2B">
        <w:rPr>
          <w:rFonts w:cs="Arial"/>
        </w:rPr>
        <w:t xml:space="preserve"> (the Water Services Authority)</w:t>
      </w:r>
      <w:r w:rsidRPr="03370C2B">
        <w:rPr>
          <w:rFonts w:cs="Arial"/>
        </w:rPr>
        <w:t xml:space="preserve">. The DWQAR set out the minimum requirements for monitoring and treatment of drinking water supplies in relation to a supply’s </w:t>
      </w:r>
      <w:r w:rsidR="1EC60B10" w:rsidRPr="03370C2B">
        <w:rPr>
          <w:rFonts w:cs="Arial"/>
        </w:rPr>
        <w:t xml:space="preserve">abstraction points, </w:t>
      </w:r>
      <w:r w:rsidRPr="03370C2B">
        <w:rPr>
          <w:rFonts w:cs="Arial"/>
        </w:rPr>
        <w:t>treatment plants and distribution zones.</w:t>
      </w:r>
      <w:r w:rsidR="183692F4" w:rsidRPr="03370C2B">
        <w:rPr>
          <w:rFonts w:cs="Arial"/>
        </w:rPr>
        <w:t xml:space="preserve"> </w:t>
      </w:r>
    </w:p>
    <w:p w14:paraId="5F5A5EE0" w14:textId="77777777" w:rsidR="00D609A5" w:rsidRPr="00CA3F08" w:rsidRDefault="00D609A5" w:rsidP="00D609A5">
      <w:pPr>
        <w:autoSpaceDE w:val="0"/>
        <w:autoSpaceDN w:val="0"/>
        <w:adjustRightInd w:val="0"/>
        <w:spacing w:line="240" w:lineRule="auto"/>
        <w:rPr>
          <w:rFonts w:cs="Arial"/>
          <w:szCs w:val="22"/>
        </w:rPr>
      </w:pPr>
    </w:p>
    <w:p w14:paraId="28F6ACCA" w14:textId="77777777" w:rsidR="00D609A5" w:rsidRPr="00CA3F08" w:rsidRDefault="00D609A5" w:rsidP="00070056">
      <w:pPr>
        <w:autoSpaceDE w:val="0"/>
        <w:autoSpaceDN w:val="0"/>
        <w:adjustRightInd w:val="0"/>
        <w:spacing w:line="240" w:lineRule="auto"/>
        <w:rPr>
          <w:rFonts w:cs="Arial"/>
          <w:szCs w:val="22"/>
        </w:rPr>
      </w:pPr>
      <w:r w:rsidRPr="00CA3F08">
        <w:rPr>
          <w:rFonts w:cs="Arial"/>
          <w:szCs w:val="22"/>
        </w:rPr>
        <w:t>This includes water quality monitoring to ensure the Water Services (Drinking Water Standards for New Zealand) Regulations 2022 are met</w:t>
      </w:r>
      <w:r w:rsidR="00CA3F08" w:rsidRPr="00CA3F08">
        <w:rPr>
          <w:rFonts w:cs="Arial"/>
          <w:szCs w:val="22"/>
        </w:rPr>
        <w:t>,</w:t>
      </w:r>
      <w:r w:rsidRPr="00CA3F08">
        <w:rPr>
          <w:rFonts w:cs="Arial"/>
          <w:szCs w:val="22"/>
        </w:rPr>
        <w:t xml:space="preserve"> and quality assurance measures to ensure systems, processes and monitoring equipment are working effectively.</w:t>
      </w:r>
      <w:r w:rsidRPr="00CA3F08" w:rsidDel="00094FD0">
        <w:rPr>
          <w:rFonts w:cs="Arial"/>
          <w:szCs w:val="22"/>
        </w:rPr>
        <w:t xml:space="preserve"> </w:t>
      </w:r>
    </w:p>
    <w:p w14:paraId="1A4F8D10" w14:textId="77777777" w:rsidR="006954FE" w:rsidRPr="00CA3F08" w:rsidRDefault="006954FE" w:rsidP="006954FE">
      <w:pPr>
        <w:autoSpaceDE w:val="0"/>
        <w:autoSpaceDN w:val="0"/>
        <w:adjustRightInd w:val="0"/>
        <w:spacing w:line="240" w:lineRule="auto"/>
        <w:rPr>
          <w:rFonts w:cs="Arial"/>
          <w:szCs w:val="22"/>
        </w:rPr>
      </w:pPr>
    </w:p>
    <w:p w14:paraId="4679544B" w14:textId="1162FDA1" w:rsidR="006954FE" w:rsidRPr="00CA3F08" w:rsidRDefault="006954FE" w:rsidP="006954FE">
      <w:pPr>
        <w:autoSpaceDE w:val="0"/>
        <w:autoSpaceDN w:val="0"/>
        <w:adjustRightInd w:val="0"/>
        <w:spacing w:line="240" w:lineRule="auto"/>
        <w:rPr>
          <w:rFonts w:cs="Arial"/>
          <w:szCs w:val="22"/>
        </w:rPr>
      </w:pPr>
      <w:r w:rsidRPr="2AF2004A">
        <w:rPr>
          <w:rFonts w:cs="Arial"/>
        </w:rPr>
        <w:t xml:space="preserve">The DWQAR can be viewed </w:t>
      </w:r>
      <w:r w:rsidR="00593FE8" w:rsidRPr="2AF2004A">
        <w:rPr>
          <w:rFonts w:cs="Arial"/>
        </w:rPr>
        <w:t xml:space="preserve">on the </w:t>
      </w:r>
      <w:r w:rsidR="6F8D0369" w:rsidRPr="2AF2004A">
        <w:rPr>
          <w:rFonts w:cs="Arial"/>
        </w:rPr>
        <w:t>Water Services Authority</w:t>
      </w:r>
      <w:r w:rsidR="7E58EAE3" w:rsidRPr="2AF2004A">
        <w:rPr>
          <w:rFonts w:cs="Arial"/>
        </w:rPr>
        <w:t>’s</w:t>
      </w:r>
      <w:r w:rsidR="00593FE8" w:rsidRPr="2AF2004A">
        <w:rPr>
          <w:rFonts w:cs="Arial"/>
        </w:rPr>
        <w:t xml:space="preserve"> website </w:t>
      </w:r>
      <w:r w:rsidRPr="2AF2004A">
        <w:rPr>
          <w:rFonts w:cs="Arial"/>
        </w:rPr>
        <w:t xml:space="preserve">at this link: </w:t>
      </w:r>
      <w:hyperlink r:id="rId12" w:history="1">
        <w:r w:rsidR="001B32B9" w:rsidRPr="007053E9">
          <w:rPr>
            <w:rStyle w:val="Hyperlink"/>
          </w:rPr>
          <w:t>https://www.taumataarowai.govt.nz/assets/Drinking-Water-Supplier/Drinking-Water-Quality-Assurance-Rules-2022-Revised-2024.pdf</w:t>
        </w:r>
      </w:hyperlink>
      <w:r w:rsidR="001B32B9">
        <w:t xml:space="preserve">. </w:t>
      </w:r>
    </w:p>
    <w:p w14:paraId="37A39564" w14:textId="77777777" w:rsidR="00D609A5" w:rsidRPr="00CA3F08" w:rsidRDefault="00D609A5" w:rsidP="00D609A5">
      <w:pPr>
        <w:pStyle w:val="Heading3"/>
        <w:rPr>
          <w:sz w:val="22"/>
          <w:szCs w:val="22"/>
        </w:rPr>
      </w:pPr>
      <w:r w:rsidRPr="00CA3F08">
        <w:rPr>
          <w:sz w:val="22"/>
          <w:szCs w:val="22"/>
        </w:rPr>
        <w:t>Guidance for reporting</w:t>
      </w:r>
    </w:p>
    <w:p w14:paraId="19A6F67F" w14:textId="3F22582B" w:rsidR="008F7E3A" w:rsidRPr="00CA3F08" w:rsidRDefault="00D609A5" w:rsidP="6E767D77">
      <w:pPr>
        <w:pStyle w:val="BodyText"/>
        <w:jc w:val="both"/>
        <w:rPr>
          <w:rFonts w:cs="Arial"/>
        </w:rPr>
      </w:pPr>
      <w:r w:rsidRPr="011490BF">
        <w:rPr>
          <w:rFonts w:cs="Arial"/>
        </w:rPr>
        <w:t xml:space="preserve">Where there is more than one water supply in a city or district, these must be reported on separately. The </w:t>
      </w:r>
      <w:r w:rsidRPr="011490BF">
        <w:rPr>
          <w:rFonts w:cs="Arial"/>
          <w:b/>
        </w:rPr>
        <w:t>water supply</w:t>
      </w:r>
      <w:r w:rsidRPr="011490BF">
        <w:rPr>
          <w:rFonts w:cs="Arial"/>
        </w:rPr>
        <w:t xml:space="preserve"> extents are to be defined </w:t>
      </w:r>
      <w:r w:rsidR="009E3989" w:rsidRPr="011490BF">
        <w:rPr>
          <w:rFonts w:cs="Arial"/>
        </w:rPr>
        <w:t xml:space="preserve">as registered </w:t>
      </w:r>
      <w:r w:rsidR="00E54300" w:rsidRPr="011490BF">
        <w:rPr>
          <w:rFonts w:cs="Arial"/>
        </w:rPr>
        <w:t xml:space="preserve">in </w:t>
      </w:r>
      <w:proofErr w:type="spellStart"/>
      <w:r w:rsidR="00E54300" w:rsidRPr="6E767D77">
        <w:rPr>
          <w:rFonts w:cs="Arial"/>
        </w:rPr>
        <w:t>Hinekōrako</w:t>
      </w:r>
      <w:proofErr w:type="spellEnd"/>
      <w:r w:rsidR="24FB7FCB" w:rsidRPr="6E767D77">
        <w:rPr>
          <w:rFonts w:cs="Arial"/>
        </w:rPr>
        <w:t>, the supplier portal hosted by the Water Services Authority</w:t>
      </w:r>
      <w:r w:rsidRPr="011490BF">
        <w:rPr>
          <w:rFonts w:cs="Arial"/>
        </w:rPr>
        <w:t>;</w:t>
      </w:r>
      <w:r w:rsidR="009E3989" w:rsidRPr="011490BF">
        <w:rPr>
          <w:rFonts w:cs="Arial"/>
        </w:rPr>
        <w:t xml:space="preserve"> </w:t>
      </w:r>
      <w:r w:rsidRPr="011490BF">
        <w:rPr>
          <w:rFonts w:cs="Arial"/>
        </w:rPr>
        <w:t xml:space="preserve">for </w:t>
      </w:r>
      <w:proofErr w:type="gramStart"/>
      <w:r w:rsidRPr="011490BF">
        <w:rPr>
          <w:rFonts w:cs="Arial"/>
        </w:rPr>
        <w:t>example</w:t>
      </w:r>
      <w:proofErr w:type="gramEnd"/>
      <w:r w:rsidRPr="011490BF">
        <w:rPr>
          <w:rFonts w:cs="Arial"/>
        </w:rPr>
        <w:t xml:space="preserve"> </w:t>
      </w:r>
      <w:r w:rsidR="00FD216B" w:rsidRPr="011490BF">
        <w:rPr>
          <w:rFonts w:cs="Arial"/>
        </w:rPr>
        <w:t>Town</w:t>
      </w:r>
      <w:r w:rsidR="00CA203A" w:rsidRPr="011490BF">
        <w:rPr>
          <w:rFonts w:cs="Arial"/>
        </w:rPr>
        <w:t xml:space="preserve"> </w:t>
      </w:r>
      <w:r w:rsidRPr="011490BF">
        <w:rPr>
          <w:rFonts w:cs="Arial"/>
        </w:rPr>
        <w:t xml:space="preserve">one, </w:t>
      </w:r>
      <w:r w:rsidR="00FD216B" w:rsidRPr="011490BF">
        <w:rPr>
          <w:rFonts w:cs="Arial"/>
        </w:rPr>
        <w:t>Town</w:t>
      </w:r>
      <w:r w:rsidR="00CA203A" w:rsidRPr="011490BF">
        <w:rPr>
          <w:rFonts w:cs="Arial"/>
        </w:rPr>
        <w:t xml:space="preserve"> </w:t>
      </w:r>
      <w:r w:rsidRPr="011490BF">
        <w:rPr>
          <w:rFonts w:cs="Arial"/>
        </w:rPr>
        <w:t>two etc.</w:t>
      </w:r>
    </w:p>
    <w:p w14:paraId="354B1F75" w14:textId="4550A121" w:rsidR="00144AEE" w:rsidRDefault="004A3142" w:rsidP="6E767D77">
      <w:pPr>
        <w:pStyle w:val="BodyText"/>
        <w:rPr>
          <w:rFonts w:cs="Arial"/>
        </w:rPr>
      </w:pPr>
      <w:r w:rsidRPr="24DB9B31">
        <w:rPr>
          <w:rFonts w:cs="Arial"/>
        </w:rPr>
        <w:t>In reporting on this measure, local authorities</w:t>
      </w:r>
      <w:r w:rsidR="00552966" w:rsidRPr="24DB9B31">
        <w:rPr>
          <w:rFonts w:cs="Arial"/>
        </w:rPr>
        <w:t xml:space="preserve"> should</w:t>
      </w:r>
      <w:r w:rsidR="00097B76" w:rsidRPr="24DB9B31">
        <w:rPr>
          <w:rFonts w:cs="Arial"/>
        </w:rPr>
        <w:t xml:space="preserve"> use</w:t>
      </w:r>
      <w:r w:rsidR="00552966" w:rsidRPr="24DB9B31">
        <w:rPr>
          <w:rFonts w:cs="Arial"/>
        </w:rPr>
        <w:t xml:space="preserve"> </w:t>
      </w:r>
      <w:r w:rsidR="00144AEE" w:rsidRPr="24DB9B31">
        <w:rPr>
          <w:rFonts w:cs="Arial"/>
        </w:rPr>
        <w:t>methodology</w:t>
      </w:r>
      <w:r w:rsidR="00097B76" w:rsidRPr="24DB9B31">
        <w:rPr>
          <w:rFonts w:cs="Arial"/>
        </w:rPr>
        <w:t xml:space="preserve"> and calculations that </w:t>
      </w:r>
      <w:r w:rsidR="00E54300" w:rsidRPr="24DB9B31">
        <w:rPr>
          <w:rFonts w:cs="Arial"/>
        </w:rPr>
        <w:t>the Water</w:t>
      </w:r>
      <w:r w:rsidR="008F0759" w:rsidRPr="24DB9B31">
        <w:rPr>
          <w:rFonts w:cs="Arial"/>
        </w:rPr>
        <w:t xml:space="preserve"> Services </w:t>
      </w:r>
      <w:r w:rsidR="00552966" w:rsidRPr="24DB9B31">
        <w:rPr>
          <w:rFonts w:cs="Arial"/>
        </w:rPr>
        <w:t xml:space="preserve">Authority defines </w:t>
      </w:r>
      <w:r w:rsidR="00097B76" w:rsidRPr="24DB9B31">
        <w:rPr>
          <w:rFonts w:cs="Arial"/>
        </w:rPr>
        <w:t xml:space="preserve">in their annual </w:t>
      </w:r>
      <w:r w:rsidR="00097B76" w:rsidRPr="00CA24FF">
        <w:rPr>
          <w:rFonts w:cs="Arial"/>
        </w:rPr>
        <w:t>Drinking Water Regulation Report</w:t>
      </w:r>
      <w:r w:rsidR="008F0759" w:rsidRPr="00CA24FF">
        <w:rPr>
          <w:rFonts w:cs="Arial"/>
        </w:rPr>
        <w:t xml:space="preserve"> (DWRR)</w:t>
      </w:r>
      <w:r w:rsidRPr="00CA24FF">
        <w:rPr>
          <w:rFonts w:cs="Arial"/>
        </w:rPr>
        <w:t>.</w:t>
      </w:r>
      <w:r w:rsidRPr="24DB9B31">
        <w:rPr>
          <w:rFonts w:cs="Arial"/>
        </w:rPr>
        <w:t xml:space="preserve"> </w:t>
      </w:r>
      <w:r w:rsidR="00CA24FF" w:rsidRPr="24DB9B31">
        <w:rPr>
          <w:rFonts w:cs="Arial"/>
          <w:b/>
        </w:rPr>
        <w:t xml:space="preserve"> </w:t>
      </w:r>
      <w:r w:rsidR="00CA24FF" w:rsidRPr="00540873">
        <w:rPr>
          <w:rFonts w:cs="Arial"/>
        </w:rPr>
        <w:t xml:space="preserve">This methodology is provided </w:t>
      </w:r>
      <w:r w:rsidR="0B2988E0" w:rsidRPr="00540873">
        <w:rPr>
          <w:rFonts w:cs="Arial"/>
        </w:rPr>
        <w:t>is the</w:t>
      </w:r>
      <w:r w:rsidR="0B2988E0" w:rsidRPr="24DB9B31">
        <w:rPr>
          <w:rFonts w:cs="Arial"/>
          <w:b/>
          <w:bCs/>
        </w:rPr>
        <w:t xml:space="preserve"> </w:t>
      </w:r>
      <w:r w:rsidR="0B2988E0" w:rsidRPr="0048585C">
        <w:rPr>
          <w:rFonts w:cs="Arial"/>
          <w:b/>
          <w:bCs/>
          <w:i/>
          <w:iCs/>
          <w:u w:val="single"/>
        </w:rPr>
        <w:t xml:space="preserve">DWQAR aggregate compliance rate </w:t>
      </w:r>
      <w:r w:rsidR="272950CB" w:rsidRPr="0048585C">
        <w:rPr>
          <w:rFonts w:cs="Arial"/>
          <w:b/>
          <w:bCs/>
          <w:i/>
          <w:iCs/>
          <w:u w:val="single"/>
        </w:rPr>
        <w:t>document.</w:t>
      </w:r>
      <w:r w:rsidR="0048585C">
        <w:rPr>
          <w:rFonts w:cs="Arial"/>
          <w:b/>
          <w:bCs/>
          <w:i/>
          <w:iCs/>
          <w:u w:val="single"/>
        </w:rPr>
        <w:t xml:space="preserve"> </w:t>
      </w:r>
      <w:r w:rsidR="00144AEE" w:rsidRPr="24DB9B31">
        <w:rPr>
          <w:rFonts w:cs="Arial"/>
        </w:rPr>
        <w:t xml:space="preserve">This </w:t>
      </w:r>
      <w:r w:rsidR="0004032B" w:rsidRPr="24DB9B31">
        <w:rPr>
          <w:rFonts w:cs="Arial"/>
        </w:rPr>
        <w:t xml:space="preserve">helps </w:t>
      </w:r>
      <w:r w:rsidR="00144AEE" w:rsidRPr="24DB9B31">
        <w:rPr>
          <w:rFonts w:cs="Arial"/>
        </w:rPr>
        <w:t>align methodologies to ensure consistent reporting on the safety and performance of drinking water supplies</w:t>
      </w:r>
      <w:r w:rsidRPr="24DB9B31">
        <w:rPr>
          <w:rFonts w:cs="Arial"/>
        </w:rPr>
        <w:t xml:space="preserve">. </w:t>
      </w:r>
    </w:p>
    <w:p w14:paraId="1E02A39F" w14:textId="77777777" w:rsidR="004B2F4E" w:rsidRPr="00373409" w:rsidRDefault="004B2F4E" w:rsidP="004B2F4E">
      <w:pPr>
        <w:pStyle w:val="BodyText"/>
        <w:rPr>
          <w:rFonts w:cs="Arial"/>
          <w:b/>
          <w:bCs/>
          <w:szCs w:val="22"/>
        </w:rPr>
      </w:pPr>
      <w:r w:rsidRPr="00373409">
        <w:rPr>
          <w:rFonts w:cs="Arial"/>
          <w:b/>
          <w:bCs/>
          <w:szCs w:val="22"/>
        </w:rPr>
        <w:t xml:space="preserve">The </w:t>
      </w:r>
      <w:r w:rsidR="001466C1">
        <w:rPr>
          <w:rFonts w:cs="Arial"/>
          <w:b/>
          <w:bCs/>
          <w:szCs w:val="22"/>
        </w:rPr>
        <w:t xml:space="preserve">compliance </w:t>
      </w:r>
      <w:r w:rsidRPr="00373409">
        <w:rPr>
          <w:rFonts w:cs="Arial"/>
          <w:b/>
          <w:bCs/>
          <w:szCs w:val="22"/>
        </w:rPr>
        <w:t xml:space="preserve">data which </w:t>
      </w:r>
      <w:r w:rsidR="001466C1">
        <w:rPr>
          <w:rFonts w:cs="Arial"/>
          <w:b/>
          <w:bCs/>
          <w:szCs w:val="22"/>
        </w:rPr>
        <w:t xml:space="preserve">local authorities </w:t>
      </w:r>
      <w:r w:rsidR="00F74C8F">
        <w:rPr>
          <w:rFonts w:cs="Arial"/>
          <w:b/>
          <w:bCs/>
          <w:szCs w:val="22"/>
        </w:rPr>
        <w:t>self-report</w:t>
      </w:r>
      <w:r w:rsidRPr="00373409">
        <w:rPr>
          <w:rFonts w:cs="Arial"/>
          <w:b/>
          <w:bCs/>
          <w:szCs w:val="22"/>
        </w:rPr>
        <w:t xml:space="preserve"> to the </w:t>
      </w:r>
      <w:r w:rsidR="001466C1">
        <w:rPr>
          <w:rFonts w:cs="Arial"/>
          <w:b/>
          <w:bCs/>
          <w:szCs w:val="22"/>
        </w:rPr>
        <w:t xml:space="preserve">Water Services </w:t>
      </w:r>
      <w:r w:rsidRPr="00373409">
        <w:rPr>
          <w:rFonts w:cs="Arial"/>
          <w:b/>
          <w:bCs/>
          <w:szCs w:val="22"/>
        </w:rPr>
        <w:t xml:space="preserve">Authority should not be considered an independent assessment of </w:t>
      </w:r>
      <w:r w:rsidR="001466C1">
        <w:rPr>
          <w:rFonts w:cs="Arial"/>
          <w:b/>
          <w:bCs/>
          <w:szCs w:val="22"/>
        </w:rPr>
        <w:t>c</w:t>
      </w:r>
      <w:r w:rsidRPr="00373409">
        <w:rPr>
          <w:rFonts w:cs="Arial"/>
          <w:b/>
          <w:bCs/>
          <w:szCs w:val="22"/>
        </w:rPr>
        <w:t>ouncil performance against th</w:t>
      </w:r>
      <w:r w:rsidR="001466C1">
        <w:rPr>
          <w:rFonts w:cs="Arial"/>
          <w:b/>
          <w:bCs/>
          <w:szCs w:val="22"/>
        </w:rPr>
        <w:t xml:space="preserve">is performance measure. </w:t>
      </w:r>
      <w:r w:rsidRPr="00373409">
        <w:rPr>
          <w:rFonts w:cs="Arial"/>
          <w:b/>
          <w:bCs/>
          <w:szCs w:val="22"/>
        </w:rPr>
        <w:t xml:space="preserve">The </w:t>
      </w:r>
      <w:r w:rsidR="001466C1">
        <w:rPr>
          <w:rFonts w:cs="Arial"/>
          <w:b/>
          <w:bCs/>
          <w:szCs w:val="22"/>
        </w:rPr>
        <w:t xml:space="preserve">Water Services </w:t>
      </w:r>
      <w:r w:rsidRPr="00373409">
        <w:rPr>
          <w:rFonts w:cs="Arial"/>
          <w:b/>
          <w:bCs/>
          <w:szCs w:val="22"/>
        </w:rPr>
        <w:t>Authority does not audit or assure this data</w:t>
      </w:r>
      <w:r w:rsidR="00420F87">
        <w:rPr>
          <w:rFonts w:cs="Arial"/>
          <w:b/>
          <w:bCs/>
          <w:szCs w:val="22"/>
        </w:rPr>
        <w:t xml:space="preserve"> for the purposes of reporting against the non-</w:t>
      </w:r>
      <w:r w:rsidR="0012177D">
        <w:rPr>
          <w:rFonts w:cs="Arial"/>
          <w:b/>
          <w:bCs/>
          <w:szCs w:val="22"/>
        </w:rPr>
        <w:t>financial</w:t>
      </w:r>
      <w:r w:rsidR="00420F87">
        <w:rPr>
          <w:rFonts w:cs="Arial"/>
          <w:b/>
          <w:bCs/>
          <w:szCs w:val="22"/>
        </w:rPr>
        <w:t xml:space="preserve"> performance measures. </w:t>
      </w:r>
    </w:p>
    <w:p w14:paraId="664BD59D" w14:textId="78257816" w:rsidR="00CE4CF7" w:rsidRPr="00CA3F08" w:rsidRDefault="00CE4CF7" w:rsidP="4FC4075F">
      <w:pPr>
        <w:pStyle w:val="BodyText"/>
        <w:jc w:val="both"/>
        <w:rPr>
          <w:rFonts w:cs="Arial"/>
        </w:rPr>
      </w:pPr>
      <w:r w:rsidRPr="4FC4075F">
        <w:rPr>
          <w:rFonts w:cs="Arial"/>
        </w:rPr>
        <w:t xml:space="preserve">To assist with the transition to reporting against the revised </w:t>
      </w:r>
      <w:r w:rsidR="46543473" w:rsidRPr="4FC4075F">
        <w:rPr>
          <w:rFonts w:cs="Arial"/>
        </w:rPr>
        <w:t>DWQAR</w:t>
      </w:r>
      <w:r w:rsidRPr="4FC4075F">
        <w:rPr>
          <w:rFonts w:cs="Arial"/>
        </w:rPr>
        <w:t xml:space="preserve"> (occurring between 2024 and 2025), it is best practice to report the compliance of each water supply under two ‘groups’ of rules: </w:t>
      </w:r>
      <w:r w:rsidRPr="4FC4075F">
        <w:rPr>
          <w:rFonts w:cs="Arial"/>
          <w:u w:val="single"/>
        </w:rPr>
        <w:t>Bacteriological Compliance</w:t>
      </w:r>
      <w:r w:rsidRPr="4FC4075F">
        <w:rPr>
          <w:rFonts w:cs="Arial"/>
        </w:rPr>
        <w:t xml:space="preserve"> and </w:t>
      </w:r>
      <w:r w:rsidRPr="4FC4075F">
        <w:rPr>
          <w:rFonts w:cs="Arial"/>
          <w:u w:val="single"/>
        </w:rPr>
        <w:t>Protozoal Compliance.</w:t>
      </w:r>
      <w:r w:rsidRPr="4FC4075F">
        <w:rPr>
          <w:rFonts w:cs="Arial"/>
        </w:rPr>
        <w:t xml:space="preserve"> </w:t>
      </w:r>
    </w:p>
    <w:p w14:paraId="064ED37C" w14:textId="77777777" w:rsidR="001466C1" w:rsidRDefault="0004032B" w:rsidP="0004032B">
      <w:pPr>
        <w:pStyle w:val="BodyText"/>
        <w:jc w:val="both"/>
        <w:rPr>
          <w:rFonts w:cs="Arial"/>
          <w:szCs w:val="22"/>
        </w:rPr>
      </w:pPr>
      <w:r>
        <w:rPr>
          <w:rFonts w:cs="Arial"/>
          <w:szCs w:val="22"/>
        </w:rPr>
        <w:t>W</w:t>
      </w:r>
      <w:r w:rsidRPr="00CA3F08">
        <w:rPr>
          <w:rFonts w:cs="Arial"/>
          <w:szCs w:val="22"/>
        </w:rPr>
        <w:t xml:space="preserve">e have indicated the key rules and </w:t>
      </w:r>
      <w:r>
        <w:rPr>
          <w:rFonts w:cs="Arial"/>
          <w:szCs w:val="22"/>
        </w:rPr>
        <w:t xml:space="preserve">considerations to assess </w:t>
      </w:r>
      <w:r w:rsidR="004A3142">
        <w:rPr>
          <w:rFonts w:cs="Arial"/>
          <w:szCs w:val="22"/>
        </w:rPr>
        <w:t>local authority</w:t>
      </w:r>
      <w:r>
        <w:rPr>
          <w:rFonts w:cs="Arial"/>
          <w:szCs w:val="22"/>
        </w:rPr>
        <w:t xml:space="preserve"> performance</w:t>
      </w:r>
      <w:r w:rsidR="001466C1">
        <w:rPr>
          <w:rFonts w:cs="Arial"/>
          <w:szCs w:val="22"/>
        </w:rPr>
        <w:t xml:space="preserve"> </w:t>
      </w:r>
      <w:r>
        <w:rPr>
          <w:rFonts w:cs="Arial"/>
          <w:szCs w:val="22"/>
        </w:rPr>
        <w:t>against this measure below</w:t>
      </w:r>
      <w:r w:rsidRPr="00CA3F08">
        <w:rPr>
          <w:rFonts w:cs="Arial"/>
          <w:szCs w:val="22"/>
        </w:rPr>
        <w:t xml:space="preserve">. </w:t>
      </w:r>
    </w:p>
    <w:p w14:paraId="191401A8" w14:textId="46B1F5F0" w:rsidR="0004032B" w:rsidRPr="00837AEF" w:rsidRDefault="001466C1" w:rsidP="0004032B">
      <w:pPr>
        <w:pStyle w:val="BodyText"/>
        <w:jc w:val="both"/>
        <w:rPr>
          <w:szCs w:val="22"/>
        </w:rPr>
      </w:pPr>
      <w:r>
        <w:rPr>
          <w:rFonts w:cs="Arial"/>
          <w:szCs w:val="22"/>
        </w:rPr>
        <w:t xml:space="preserve">Additional to the mandatory measures, we have also provided guidance for </w:t>
      </w:r>
      <w:r w:rsidR="00420F87">
        <w:rPr>
          <w:rFonts w:cs="Arial"/>
          <w:szCs w:val="22"/>
        </w:rPr>
        <w:t>additional information that councils may choose to include when reporting against this non</w:t>
      </w:r>
      <w:r w:rsidR="00373409">
        <w:rPr>
          <w:rFonts w:cs="Arial"/>
          <w:szCs w:val="22"/>
        </w:rPr>
        <w:t>-</w:t>
      </w:r>
      <w:r w:rsidR="00420F87">
        <w:rPr>
          <w:rFonts w:cs="Arial"/>
          <w:szCs w:val="22"/>
        </w:rPr>
        <w:t>financial performance measure</w:t>
      </w:r>
      <w:r w:rsidR="0084592D">
        <w:rPr>
          <w:rFonts w:cs="Arial"/>
          <w:szCs w:val="22"/>
        </w:rPr>
        <w:t xml:space="preserve">. This is additional information that we have suggested for councils use to better demonstrate or explain their level of compliance against the Rules. </w:t>
      </w:r>
      <w:r w:rsidR="00420F87">
        <w:rPr>
          <w:rFonts w:cs="Arial"/>
          <w:szCs w:val="22"/>
        </w:rPr>
        <w:t xml:space="preserve">These additional measures relate to </w:t>
      </w:r>
      <w:r w:rsidR="00837AEF">
        <w:rPr>
          <w:rFonts w:cs="Arial"/>
          <w:szCs w:val="22"/>
        </w:rPr>
        <w:t xml:space="preserve">the </w:t>
      </w:r>
      <w:r w:rsidR="00837AEF" w:rsidRPr="00837AEF">
        <w:rPr>
          <w:szCs w:val="22"/>
        </w:rPr>
        <w:t>Water Services (Drinking Water Standards for New Zealand) Regulations 2022</w:t>
      </w:r>
      <w:r w:rsidR="00837AEF">
        <w:rPr>
          <w:szCs w:val="22"/>
        </w:rPr>
        <w:t xml:space="preserve"> (the Standards), and notifications made to the Water Services Authority. </w:t>
      </w:r>
    </w:p>
    <w:p w14:paraId="4FDBA4A0" w14:textId="77777777" w:rsidR="00F84AEA" w:rsidRDefault="00F84AEA" w:rsidP="0004032B">
      <w:pPr>
        <w:pStyle w:val="BodyText"/>
        <w:jc w:val="both"/>
        <w:rPr>
          <w:rFonts w:cs="Arial"/>
          <w:szCs w:val="22"/>
        </w:rPr>
      </w:pPr>
    </w:p>
    <w:p w14:paraId="38476A4A" w14:textId="77777777" w:rsidR="0004032B" w:rsidRDefault="0004032B" w:rsidP="0004032B">
      <w:pPr>
        <w:pStyle w:val="BodyText"/>
        <w:jc w:val="both"/>
        <w:rPr>
          <w:rFonts w:cs="Arial"/>
          <w:szCs w:val="22"/>
        </w:rPr>
      </w:pPr>
    </w:p>
    <w:p w14:paraId="26C55C65" w14:textId="77777777" w:rsidR="0004032B" w:rsidRDefault="0004032B" w:rsidP="0004032B">
      <w:pPr>
        <w:pStyle w:val="BodyText"/>
        <w:jc w:val="both"/>
        <w:rPr>
          <w:rFonts w:cs="Arial"/>
          <w:szCs w:val="22"/>
        </w:rPr>
      </w:pPr>
    </w:p>
    <w:p w14:paraId="7C765B6A" w14:textId="77777777" w:rsidR="0004032B" w:rsidRDefault="0004032B" w:rsidP="0004032B">
      <w:pPr>
        <w:pStyle w:val="BodyText"/>
        <w:jc w:val="both"/>
        <w:rPr>
          <w:rFonts w:cs="Arial"/>
          <w:szCs w:val="22"/>
        </w:rPr>
      </w:pPr>
    </w:p>
    <w:p w14:paraId="639DF1B5" w14:textId="77777777" w:rsidR="0004032B" w:rsidRDefault="0004032B" w:rsidP="0004032B">
      <w:pPr>
        <w:pStyle w:val="BodyText"/>
        <w:jc w:val="both"/>
        <w:rPr>
          <w:rFonts w:cs="Arial"/>
          <w:szCs w:val="22"/>
        </w:rPr>
      </w:pPr>
    </w:p>
    <w:p w14:paraId="3D4EA4DD" w14:textId="77777777" w:rsidR="00A857A0" w:rsidRDefault="00A857A0" w:rsidP="0004032B">
      <w:pPr>
        <w:pStyle w:val="BodyText"/>
        <w:jc w:val="both"/>
        <w:rPr>
          <w:rFonts w:cs="Arial"/>
          <w:szCs w:val="22"/>
        </w:rPr>
      </w:pPr>
    </w:p>
    <w:p w14:paraId="0D1792A5" w14:textId="77777777" w:rsidR="00A857A0" w:rsidRDefault="00A857A0" w:rsidP="0004032B">
      <w:pPr>
        <w:pStyle w:val="BodyText"/>
        <w:jc w:val="both"/>
        <w:rPr>
          <w:rFonts w:cs="Arial"/>
          <w:szCs w:val="22"/>
        </w:rPr>
      </w:pPr>
    </w:p>
    <w:p w14:paraId="5C618E0B" w14:textId="77777777" w:rsidR="00A857A0" w:rsidRDefault="00A857A0" w:rsidP="0004032B">
      <w:pPr>
        <w:pStyle w:val="BodyText"/>
        <w:jc w:val="both"/>
        <w:rPr>
          <w:rFonts w:cs="Arial"/>
          <w:szCs w:val="22"/>
        </w:rPr>
      </w:pPr>
    </w:p>
    <w:p w14:paraId="25932E7D" w14:textId="77777777" w:rsidR="00A857A0" w:rsidRDefault="00A857A0" w:rsidP="0004032B">
      <w:pPr>
        <w:pStyle w:val="BodyText"/>
        <w:jc w:val="both"/>
        <w:rPr>
          <w:rFonts w:cs="Arial"/>
          <w:szCs w:val="22"/>
        </w:rPr>
      </w:pPr>
    </w:p>
    <w:p w14:paraId="1A6B39DE" w14:textId="77777777" w:rsidR="0004032B" w:rsidRDefault="0004032B" w:rsidP="0004032B">
      <w:pPr>
        <w:pStyle w:val="BodyText"/>
        <w:jc w:val="both"/>
        <w:rPr>
          <w:rFonts w:cs="Arial"/>
          <w:szCs w:val="22"/>
        </w:rPr>
      </w:pPr>
    </w:p>
    <w:p w14:paraId="1E97C5EE" w14:textId="77777777" w:rsidR="0004032B" w:rsidRDefault="0004032B" w:rsidP="0004032B">
      <w:pPr>
        <w:pStyle w:val="BodyText"/>
        <w:jc w:val="both"/>
        <w:rPr>
          <w:rFonts w:cs="Arial"/>
          <w:szCs w:val="22"/>
        </w:rPr>
      </w:pPr>
    </w:p>
    <w:p w14:paraId="3F90EB7E" w14:textId="77777777" w:rsidR="0004032B" w:rsidRDefault="0004032B" w:rsidP="0004032B">
      <w:pPr>
        <w:pStyle w:val="BodyText"/>
        <w:jc w:val="both"/>
        <w:rPr>
          <w:rFonts w:cs="Arial"/>
          <w:szCs w:val="22"/>
        </w:rPr>
      </w:pPr>
    </w:p>
    <w:p w14:paraId="35A704CF" w14:textId="77777777" w:rsidR="0004032B" w:rsidRDefault="0004032B" w:rsidP="0004032B">
      <w:pPr>
        <w:pStyle w:val="BodyText"/>
        <w:jc w:val="both"/>
        <w:rPr>
          <w:rFonts w:cs="Arial"/>
          <w:szCs w:val="22"/>
        </w:rPr>
      </w:pPr>
    </w:p>
    <w:p w14:paraId="63705057" w14:textId="77777777" w:rsidR="0004032B" w:rsidRDefault="0004032B" w:rsidP="0004032B">
      <w:pPr>
        <w:pStyle w:val="BodyText"/>
        <w:jc w:val="both"/>
        <w:rPr>
          <w:rFonts w:cs="Arial"/>
          <w:szCs w:val="22"/>
        </w:rPr>
      </w:pPr>
    </w:p>
    <w:p w14:paraId="66C6FCF5" w14:textId="77777777" w:rsidR="0004032B" w:rsidRDefault="0004032B" w:rsidP="0004032B">
      <w:pPr>
        <w:pStyle w:val="BodyText"/>
        <w:jc w:val="both"/>
        <w:rPr>
          <w:rFonts w:cs="Arial"/>
          <w:szCs w:val="22"/>
        </w:rPr>
      </w:pPr>
    </w:p>
    <w:p w14:paraId="7AE33DA9" w14:textId="77777777" w:rsidR="0004032B" w:rsidRDefault="0004032B" w:rsidP="0004032B">
      <w:pPr>
        <w:pStyle w:val="BodyText"/>
        <w:jc w:val="both"/>
        <w:rPr>
          <w:rFonts w:cs="Arial"/>
          <w:szCs w:val="22"/>
        </w:rPr>
      </w:pPr>
    </w:p>
    <w:p w14:paraId="7AC1637E" w14:textId="77777777" w:rsidR="00D609A5" w:rsidRDefault="004A3142" w:rsidP="008D6475">
      <w:pPr>
        <w:pStyle w:val="Heading3"/>
        <w:numPr>
          <w:ilvl w:val="0"/>
          <w:numId w:val="33"/>
        </w:numPr>
      </w:pPr>
      <w:r>
        <w:br w:type="page"/>
      </w:r>
      <w:r w:rsidR="00D609A5" w:rsidRPr="00000A1C">
        <w:t>Supplies serving 26 – 100 people, have the level 1 rules apply:</w:t>
      </w:r>
    </w:p>
    <w:p w14:paraId="6812D693" w14:textId="77777777" w:rsidR="00000A1C" w:rsidRPr="00000A1C" w:rsidRDefault="00000A1C" w:rsidP="00373409">
      <w:pPr>
        <w:pStyle w:val="BodyText"/>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796"/>
        <w:gridCol w:w="4337"/>
      </w:tblGrid>
      <w:tr w:rsidR="0048585C" w:rsidRPr="00CA3F08" w14:paraId="2AD92BE3" w14:textId="77777777" w:rsidTr="00373409">
        <w:trPr>
          <w:tblHeader/>
        </w:trPr>
        <w:tc>
          <w:tcPr>
            <w:tcW w:w="4909" w:type="dxa"/>
            <w:tcBorders>
              <w:top w:val="single" w:sz="4" w:space="0" w:color="auto"/>
              <w:left w:val="single" w:sz="4" w:space="0" w:color="auto"/>
              <w:bottom w:val="single" w:sz="4" w:space="0" w:color="auto"/>
              <w:right w:val="single" w:sz="6" w:space="0" w:color="auto"/>
              <w:tl2br w:val="nil"/>
              <w:tr2bl w:val="nil"/>
            </w:tcBorders>
            <w:shd w:val="clear" w:color="000000" w:fill="CCCCCC"/>
          </w:tcPr>
          <w:p w14:paraId="35BEC4B5" w14:textId="77777777" w:rsidR="00D609A5" w:rsidRPr="00373409" w:rsidRDefault="00F84AEA" w:rsidP="00373409">
            <w:pPr>
              <w:pStyle w:val="BodyText"/>
              <w:jc w:val="center"/>
              <w:rPr>
                <w:rFonts w:cs="Arial"/>
                <w:b/>
                <w:szCs w:val="22"/>
              </w:rPr>
            </w:pPr>
            <w:r>
              <w:rPr>
                <w:rFonts w:cs="Arial"/>
                <w:b/>
                <w:szCs w:val="22"/>
              </w:rPr>
              <w:t>Mandatory L</w:t>
            </w:r>
            <w:r w:rsidR="00000A1C">
              <w:rPr>
                <w:rFonts w:cs="Arial"/>
                <w:b/>
                <w:szCs w:val="22"/>
              </w:rPr>
              <w:t>evel 1 B</w:t>
            </w:r>
            <w:r w:rsidR="00D609A5" w:rsidRPr="00373409">
              <w:rPr>
                <w:rFonts w:cs="Arial"/>
                <w:b/>
                <w:szCs w:val="22"/>
              </w:rPr>
              <w:t xml:space="preserve">acteriological </w:t>
            </w:r>
            <w:r w:rsidR="00000A1C">
              <w:rPr>
                <w:rFonts w:cs="Arial"/>
                <w:b/>
                <w:szCs w:val="22"/>
              </w:rPr>
              <w:t>M</w:t>
            </w:r>
            <w:r w:rsidR="00D609A5" w:rsidRPr="00373409">
              <w:rPr>
                <w:rFonts w:cs="Arial"/>
                <w:b/>
                <w:szCs w:val="22"/>
              </w:rPr>
              <w:t>easures</w:t>
            </w:r>
          </w:p>
        </w:tc>
        <w:tc>
          <w:tcPr>
            <w:tcW w:w="4450"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728D1E88" w14:textId="77777777" w:rsidR="00D609A5" w:rsidRPr="00373409" w:rsidRDefault="00F84AEA" w:rsidP="00373409">
            <w:pPr>
              <w:pStyle w:val="BodyText"/>
              <w:jc w:val="center"/>
              <w:rPr>
                <w:rFonts w:cs="Arial"/>
                <w:b/>
                <w:szCs w:val="22"/>
              </w:rPr>
            </w:pPr>
            <w:r>
              <w:rPr>
                <w:rFonts w:cs="Arial"/>
                <w:b/>
                <w:szCs w:val="22"/>
              </w:rPr>
              <w:t xml:space="preserve">Mandatory Level </w:t>
            </w:r>
            <w:r w:rsidR="00000A1C">
              <w:rPr>
                <w:rFonts w:cs="Arial"/>
                <w:b/>
                <w:szCs w:val="22"/>
              </w:rPr>
              <w:t>1 P</w:t>
            </w:r>
            <w:r w:rsidR="00D609A5" w:rsidRPr="00373409">
              <w:rPr>
                <w:rFonts w:cs="Arial"/>
                <w:b/>
                <w:szCs w:val="22"/>
              </w:rPr>
              <w:t xml:space="preserve">rotozoal </w:t>
            </w:r>
            <w:r w:rsidR="00000A1C">
              <w:rPr>
                <w:rFonts w:cs="Arial"/>
                <w:b/>
                <w:szCs w:val="22"/>
              </w:rPr>
              <w:t>M</w:t>
            </w:r>
            <w:r w:rsidR="00D609A5" w:rsidRPr="00373409">
              <w:rPr>
                <w:rFonts w:cs="Arial"/>
                <w:b/>
                <w:szCs w:val="22"/>
              </w:rPr>
              <w:t>easures</w:t>
            </w:r>
          </w:p>
        </w:tc>
      </w:tr>
      <w:tr w:rsidR="007878BE" w:rsidRPr="00CA3F08" w14:paraId="24DBBDE8" w14:textId="77777777" w:rsidTr="00373409">
        <w:trPr>
          <w:cantSplit/>
          <w:trHeight w:val="652"/>
        </w:trPr>
        <w:tc>
          <w:tcPr>
            <w:tcW w:w="4909" w:type="dxa"/>
          </w:tcPr>
          <w:p w14:paraId="68756D44" w14:textId="6F451A46" w:rsidR="00000A1C" w:rsidRPr="00000A1C" w:rsidRDefault="004163B9" w:rsidP="004163B9">
            <w:pPr>
              <w:pStyle w:val="BodyText"/>
              <w:rPr>
                <w:rFonts w:cs="Arial"/>
                <w:szCs w:val="22"/>
              </w:rPr>
            </w:pPr>
            <w:r>
              <w:rPr>
                <w:rFonts w:cs="Arial"/>
                <w:b/>
                <w:bCs/>
                <w:szCs w:val="22"/>
              </w:rPr>
              <w:t xml:space="preserve">(a) </w:t>
            </w:r>
            <w:r w:rsidR="00000A1C" w:rsidRPr="00373409">
              <w:rPr>
                <w:rFonts w:cs="Arial"/>
                <w:b/>
                <w:bCs/>
                <w:szCs w:val="22"/>
              </w:rPr>
              <w:t>T1 Treatment Rules</w:t>
            </w:r>
          </w:p>
          <w:p w14:paraId="6BEC0083" w14:textId="5B2166DC" w:rsidR="00000A1C" w:rsidRPr="00373409" w:rsidRDefault="004163B9" w:rsidP="004163B9">
            <w:pPr>
              <w:pStyle w:val="BodyText"/>
              <w:rPr>
                <w:rFonts w:cs="Arial"/>
                <w:b/>
                <w:bCs/>
                <w:szCs w:val="22"/>
              </w:rPr>
            </w:pPr>
            <w:r>
              <w:rPr>
                <w:rFonts w:cs="Arial"/>
                <w:b/>
                <w:bCs/>
                <w:szCs w:val="22"/>
              </w:rPr>
              <w:t xml:space="preserve">(b) </w:t>
            </w:r>
            <w:r w:rsidR="00000A1C" w:rsidRPr="00373409">
              <w:rPr>
                <w:rFonts w:cs="Arial"/>
                <w:b/>
                <w:bCs/>
                <w:szCs w:val="22"/>
              </w:rPr>
              <w:t>D1.1 Distribution System Rule</w:t>
            </w:r>
          </w:p>
          <w:p w14:paraId="57DC92CE" w14:textId="2B73F9C3" w:rsidR="00097B76" w:rsidRPr="00097B76" w:rsidRDefault="00097B76" w:rsidP="00373409">
            <w:pPr>
              <w:pStyle w:val="BodyText"/>
              <w:ind w:left="567"/>
              <w:rPr>
                <w:rFonts w:cs="Arial"/>
                <w:szCs w:val="22"/>
              </w:rPr>
            </w:pPr>
          </w:p>
        </w:tc>
        <w:tc>
          <w:tcPr>
            <w:tcW w:w="4450" w:type="dxa"/>
          </w:tcPr>
          <w:p w14:paraId="43F8D45C" w14:textId="1B4180A3" w:rsidR="00000A1C" w:rsidRPr="00373409" w:rsidRDefault="004163B9" w:rsidP="004163B9">
            <w:pPr>
              <w:pStyle w:val="BodyText"/>
              <w:rPr>
                <w:rFonts w:cs="Arial"/>
                <w:b/>
                <w:bCs/>
                <w:szCs w:val="22"/>
              </w:rPr>
            </w:pPr>
            <w:r>
              <w:rPr>
                <w:rFonts w:cs="Arial"/>
                <w:b/>
                <w:bCs/>
                <w:szCs w:val="22"/>
              </w:rPr>
              <w:t xml:space="preserve">(a) </w:t>
            </w:r>
            <w:r w:rsidR="00000A1C" w:rsidRPr="00373409">
              <w:rPr>
                <w:rFonts w:cs="Arial"/>
                <w:b/>
                <w:bCs/>
                <w:szCs w:val="22"/>
              </w:rPr>
              <w:t>T1 Treatment Rules</w:t>
            </w:r>
          </w:p>
          <w:p w14:paraId="3BF79A00" w14:textId="406AA8C5" w:rsidR="00097B76" w:rsidRPr="00373409" w:rsidRDefault="00097B76" w:rsidP="004163B9">
            <w:pPr>
              <w:pStyle w:val="BodyText"/>
              <w:ind w:left="567"/>
              <w:rPr>
                <w:rFonts w:cs="Arial"/>
                <w:b/>
                <w:bCs/>
                <w:szCs w:val="22"/>
              </w:rPr>
            </w:pPr>
          </w:p>
        </w:tc>
      </w:tr>
    </w:tbl>
    <w:p w14:paraId="1D1120D6" w14:textId="77777777" w:rsidR="004A3142" w:rsidRDefault="004A3142" w:rsidP="00373409">
      <w:pPr>
        <w:pStyle w:val="BodyText"/>
        <w:jc w:val="both"/>
        <w:rPr>
          <w:rFonts w:cs="Arial"/>
          <w:strike/>
          <w:szCs w:val="22"/>
        </w:rPr>
      </w:pPr>
    </w:p>
    <w:p w14:paraId="35256405" w14:textId="61D3E4F3" w:rsidR="0004032B" w:rsidRPr="00373409" w:rsidRDefault="00000A1C" w:rsidP="00373409">
      <w:pPr>
        <w:pStyle w:val="BodyText"/>
        <w:jc w:val="both"/>
        <w:rPr>
          <w:rFonts w:cs="Arial"/>
          <w:szCs w:val="22"/>
        </w:rPr>
      </w:pPr>
      <w:r>
        <w:rPr>
          <w:rFonts w:cs="Arial"/>
          <w:szCs w:val="22"/>
        </w:rPr>
        <w:t>Additional</w:t>
      </w:r>
      <w:r w:rsidR="00420F87">
        <w:rPr>
          <w:rFonts w:cs="Arial"/>
          <w:szCs w:val="22"/>
        </w:rPr>
        <w:t xml:space="preserve"> information</w:t>
      </w:r>
      <w:r>
        <w:rPr>
          <w:rFonts w:cs="Arial"/>
          <w:szCs w:val="22"/>
        </w:rPr>
        <w:t xml:space="preserve"> that can be included in the reporting:</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787"/>
        <w:gridCol w:w="4346"/>
      </w:tblGrid>
      <w:tr w:rsidR="00DD24C3" w:rsidRPr="00CA3F08" w14:paraId="6F5EF286" w14:textId="77777777" w:rsidTr="1E78016A">
        <w:trPr>
          <w:tblHeader/>
        </w:trPr>
        <w:tc>
          <w:tcPr>
            <w:tcW w:w="4909" w:type="dxa"/>
            <w:tcBorders>
              <w:top w:val="single" w:sz="4" w:space="0" w:color="auto"/>
              <w:left w:val="single" w:sz="4" w:space="0" w:color="auto"/>
              <w:bottom w:val="single" w:sz="4" w:space="0" w:color="auto"/>
              <w:right w:val="single" w:sz="6" w:space="0" w:color="auto"/>
              <w:tl2br w:val="nil"/>
              <w:tr2bl w:val="nil"/>
            </w:tcBorders>
            <w:shd w:val="clear" w:color="auto" w:fill="CCCCCC"/>
          </w:tcPr>
          <w:p w14:paraId="767AE915" w14:textId="297A73A9" w:rsidR="00000A1C" w:rsidRPr="00373409" w:rsidRDefault="00055CC1" w:rsidP="00373409">
            <w:pPr>
              <w:pStyle w:val="BodyText"/>
              <w:jc w:val="center"/>
              <w:rPr>
                <w:rFonts w:cs="Arial"/>
                <w:b/>
                <w:szCs w:val="22"/>
              </w:rPr>
            </w:pPr>
            <w:r>
              <w:rPr>
                <w:rFonts w:cs="Arial"/>
                <w:b/>
                <w:szCs w:val="22"/>
              </w:rPr>
              <w:t xml:space="preserve">Recommended </w:t>
            </w:r>
            <w:r w:rsidR="00000A1C">
              <w:rPr>
                <w:rFonts w:cs="Arial"/>
                <w:b/>
                <w:szCs w:val="22"/>
              </w:rPr>
              <w:t>Level 1 B</w:t>
            </w:r>
            <w:r w:rsidR="00000A1C" w:rsidRPr="006659A7">
              <w:rPr>
                <w:rFonts w:cs="Arial"/>
                <w:b/>
                <w:szCs w:val="22"/>
              </w:rPr>
              <w:t xml:space="preserve">acteriological </w:t>
            </w:r>
            <w:r w:rsidR="00000A1C">
              <w:rPr>
                <w:rFonts w:cs="Arial"/>
                <w:b/>
                <w:szCs w:val="22"/>
              </w:rPr>
              <w:t>M</w:t>
            </w:r>
            <w:r w:rsidR="00000A1C" w:rsidRPr="006659A7">
              <w:rPr>
                <w:rFonts w:cs="Arial"/>
                <w:b/>
                <w:szCs w:val="22"/>
              </w:rPr>
              <w:t>easures</w:t>
            </w:r>
          </w:p>
        </w:tc>
        <w:tc>
          <w:tcPr>
            <w:tcW w:w="4450" w:type="dxa"/>
            <w:tcBorders>
              <w:top w:val="single" w:sz="4" w:space="0" w:color="auto"/>
              <w:left w:val="single" w:sz="6" w:space="0" w:color="auto"/>
              <w:bottom w:val="single" w:sz="4" w:space="0" w:color="auto"/>
              <w:right w:val="single" w:sz="4" w:space="0" w:color="auto"/>
              <w:tl2br w:val="nil"/>
              <w:tr2bl w:val="nil"/>
            </w:tcBorders>
            <w:shd w:val="clear" w:color="auto" w:fill="CCCCCC"/>
          </w:tcPr>
          <w:p w14:paraId="644CBF97" w14:textId="1903284E" w:rsidR="00000A1C" w:rsidRPr="00373409" w:rsidRDefault="00373409" w:rsidP="00373409">
            <w:pPr>
              <w:pStyle w:val="BodyText"/>
              <w:jc w:val="center"/>
              <w:rPr>
                <w:rFonts w:cs="Arial"/>
                <w:b/>
                <w:szCs w:val="22"/>
              </w:rPr>
            </w:pPr>
            <w:r>
              <w:rPr>
                <w:rFonts w:cs="Arial"/>
                <w:b/>
                <w:szCs w:val="22"/>
              </w:rPr>
              <w:t xml:space="preserve">Recommended </w:t>
            </w:r>
            <w:r w:rsidR="00000A1C">
              <w:rPr>
                <w:rFonts w:cs="Arial"/>
                <w:b/>
                <w:szCs w:val="22"/>
              </w:rPr>
              <w:t>Level 1 P</w:t>
            </w:r>
            <w:r w:rsidR="00000A1C" w:rsidRPr="006659A7">
              <w:rPr>
                <w:rFonts w:cs="Arial"/>
                <w:b/>
                <w:szCs w:val="22"/>
              </w:rPr>
              <w:t xml:space="preserve">rotozoal </w:t>
            </w:r>
            <w:r w:rsidR="00000A1C">
              <w:rPr>
                <w:rFonts w:cs="Arial"/>
                <w:b/>
                <w:szCs w:val="22"/>
              </w:rPr>
              <w:t>M</w:t>
            </w:r>
            <w:r w:rsidR="00000A1C" w:rsidRPr="006659A7">
              <w:rPr>
                <w:rFonts w:cs="Arial"/>
                <w:b/>
                <w:szCs w:val="22"/>
              </w:rPr>
              <w:t>easures</w:t>
            </w:r>
          </w:p>
        </w:tc>
      </w:tr>
      <w:tr w:rsidR="007878BE" w:rsidRPr="00CA3F08" w14:paraId="29E3CBC0" w14:textId="77777777" w:rsidTr="00373409">
        <w:trPr>
          <w:cantSplit/>
          <w:trHeight w:val="652"/>
        </w:trPr>
        <w:tc>
          <w:tcPr>
            <w:tcW w:w="4909" w:type="dxa"/>
          </w:tcPr>
          <w:p w14:paraId="288AE363" w14:textId="77777777" w:rsidR="00000A1C" w:rsidRDefault="00000A1C" w:rsidP="008D6475">
            <w:pPr>
              <w:pStyle w:val="BodyText"/>
              <w:numPr>
                <w:ilvl w:val="0"/>
                <w:numId w:val="28"/>
              </w:numPr>
              <w:ind w:left="347" w:hanging="347"/>
              <w:rPr>
                <w:rFonts w:cs="Arial"/>
                <w:szCs w:val="22"/>
              </w:rPr>
            </w:pPr>
            <w:r>
              <w:rPr>
                <w:rFonts w:cs="Arial"/>
                <w:szCs w:val="22"/>
              </w:rPr>
              <w:t xml:space="preserve">Report on any notifications made to the </w:t>
            </w:r>
            <w:r w:rsidR="00420F87">
              <w:rPr>
                <w:rFonts w:cs="Arial"/>
                <w:szCs w:val="22"/>
              </w:rPr>
              <w:t xml:space="preserve">Water Services </w:t>
            </w:r>
            <w:r>
              <w:rPr>
                <w:rFonts w:cs="Arial"/>
                <w:szCs w:val="22"/>
              </w:rPr>
              <w:t>Authority related to the supply of unsafe water related to bacteria risk.</w:t>
            </w:r>
          </w:p>
          <w:p w14:paraId="7342053C" w14:textId="77777777" w:rsidR="00000A1C" w:rsidRPr="00000A1C" w:rsidRDefault="00000A1C" w:rsidP="008D6475">
            <w:pPr>
              <w:pStyle w:val="BodyText"/>
              <w:numPr>
                <w:ilvl w:val="0"/>
                <w:numId w:val="28"/>
              </w:numPr>
              <w:ind w:left="347" w:hanging="347"/>
              <w:rPr>
                <w:rFonts w:cs="Arial"/>
              </w:rPr>
            </w:pPr>
            <w:r w:rsidRPr="1E78016A">
              <w:rPr>
                <w:rFonts w:cs="Arial"/>
              </w:rPr>
              <w:t xml:space="preserve">Report on total number of </w:t>
            </w:r>
            <w:r w:rsidRPr="1E78016A">
              <w:rPr>
                <w:rFonts w:cs="Arial"/>
                <w:i/>
              </w:rPr>
              <w:t xml:space="preserve">E. coli </w:t>
            </w:r>
            <w:r w:rsidRPr="1E78016A">
              <w:rPr>
                <w:rFonts w:cs="Arial"/>
              </w:rPr>
              <w:t>samples taken in the supply which did not meet the Standards and the response to those non-compliant samples.</w:t>
            </w:r>
          </w:p>
        </w:tc>
        <w:tc>
          <w:tcPr>
            <w:tcW w:w="4450" w:type="dxa"/>
          </w:tcPr>
          <w:p w14:paraId="46CFB872" w14:textId="77777777" w:rsidR="00000A1C" w:rsidRPr="00000A1C" w:rsidRDefault="00000A1C" w:rsidP="008D6475">
            <w:pPr>
              <w:pStyle w:val="BodyText"/>
              <w:numPr>
                <w:ilvl w:val="0"/>
                <w:numId w:val="27"/>
              </w:numPr>
              <w:ind w:left="271" w:hanging="265"/>
              <w:rPr>
                <w:rFonts w:cs="Arial"/>
                <w:szCs w:val="22"/>
              </w:rPr>
            </w:pPr>
            <w:r>
              <w:rPr>
                <w:rFonts w:cs="Arial"/>
                <w:szCs w:val="22"/>
              </w:rPr>
              <w:t xml:space="preserve">Report on any notifications made to the </w:t>
            </w:r>
            <w:r w:rsidR="00420F87">
              <w:rPr>
                <w:rFonts w:cs="Arial"/>
                <w:szCs w:val="22"/>
              </w:rPr>
              <w:t>Water Service</w:t>
            </w:r>
            <w:r w:rsidR="00837AEF">
              <w:rPr>
                <w:rFonts w:cs="Arial"/>
                <w:szCs w:val="22"/>
              </w:rPr>
              <w:t>s</w:t>
            </w:r>
            <w:r w:rsidR="00420F87">
              <w:rPr>
                <w:rFonts w:cs="Arial"/>
                <w:szCs w:val="22"/>
              </w:rPr>
              <w:t xml:space="preserve"> A</w:t>
            </w:r>
            <w:r>
              <w:rPr>
                <w:rFonts w:cs="Arial"/>
                <w:szCs w:val="22"/>
              </w:rPr>
              <w:t>uthority related to the supply of unsafe water related to protozoa risk.</w:t>
            </w:r>
          </w:p>
        </w:tc>
      </w:tr>
    </w:tbl>
    <w:p w14:paraId="230C5287" w14:textId="5FF377E4" w:rsidR="0004032B" w:rsidRPr="00373409" w:rsidRDefault="008D6475" w:rsidP="00CA3F08">
      <w:pPr>
        <w:pStyle w:val="BodyText"/>
        <w:ind w:left="360"/>
        <w:jc w:val="both"/>
        <w:rPr>
          <w:rFonts w:cs="Arial"/>
          <w:b/>
          <w:bCs/>
          <w:strike/>
          <w:szCs w:val="22"/>
        </w:rPr>
      </w:pPr>
      <w:r>
        <w:rPr>
          <w:noProof/>
        </w:rPr>
        <mc:AlternateContent>
          <mc:Choice Requires="wps">
            <w:drawing>
              <wp:anchor distT="45720" distB="45720" distL="114300" distR="114300" simplePos="0" relativeHeight="251658240" behindDoc="0" locked="0" layoutInCell="1" allowOverlap="1" wp14:anchorId="1F7C1A35" wp14:editId="245159EC">
                <wp:simplePos x="0" y="0"/>
                <wp:positionH relativeFrom="column">
                  <wp:posOffset>-167005</wp:posOffset>
                </wp:positionH>
                <wp:positionV relativeFrom="paragraph">
                  <wp:posOffset>391160</wp:posOffset>
                </wp:positionV>
                <wp:extent cx="5909945" cy="1421765"/>
                <wp:effectExtent l="13970" t="6985" r="10160" b="9525"/>
                <wp:wrapSquare wrapText="bothSides"/>
                <wp:docPr id="886641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1421765"/>
                        </a:xfrm>
                        <a:prstGeom prst="rect">
                          <a:avLst/>
                        </a:prstGeom>
                        <a:solidFill>
                          <a:srgbClr val="D0D0D0">
                            <a:alpha val="89999"/>
                          </a:srgbClr>
                        </a:solidFill>
                        <a:ln w="9525">
                          <a:solidFill>
                            <a:srgbClr val="000000"/>
                          </a:solidFill>
                          <a:miter lim="800000"/>
                          <a:headEnd/>
                          <a:tailEnd/>
                        </a:ln>
                      </wps:spPr>
                      <wps:txbx>
                        <w:txbxContent>
                          <w:p w14:paraId="6C40AA64" w14:textId="7B11B31A" w:rsidR="001466C1" w:rsidRPr="001466C1" w:rsidRDefault="001466C1" w:rsidP="00373409">
                            <w:pPr>
                              <w:pStyle w:val="BodyText"/>
                              <w:jc w:val="both"/>
                              <w:rPr>
                                <w:rFonts w:cs="Arial"/>
                                <w:szCs w:val="22"/>
                              </w:rPr>
                            </w:pPr>
                            <w:r w:rsidRPr="006659A7">
                              <w:rPr>
                                <w:rFonts w:cs="Arial"/>
                                <w:szCs w:val="22"/>
                              </w:rPr>
                              <w:t xml:space="preserve">Where a supplier has adopted an acceptable solution for a supply, the supply </w:t>
                            </w:r>
                            <w:r w:rsidR="00420F87">
                              <w:rPr>
                                <w:rFonts w:cs="Arial"/>
                                <w:szCs w:val="22"/>
                              </w:rPr>
                              <w:t xml:space="preserve">is not required to </w:t>
                            </w:r>
                            <w:r w:rsidRPr="006659A7">
                              <w:rPr>
                                <w:rFonts w:cs="Arial"/>
                                <w:szCs w:val="22"/>
                              </w:rPr>
                              <w:t xml:space="preserve">meet the requirements of the </w:t>
                            </w:r>
                            <w:r w:rsidR="00420F87">
                              <w:rPr>
                                <w:rFonts w:cs="Arial"/>
                                <w:szCs w:val="22"/>
                              </w:rPr>
                              <w:t>performance measure r</w:t>
                            </w:r>
                            <w:r w:rsidRPr="006659A7">
                              <w:rPr>
                                <w:rFonts w:cs="Arial"/>
                                <w:szCs w:val="22"/>
                              </w:rPr>
                              <w:t>ules.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7C1A35" id="_x0000_t202" coordsize="21600,21600" o:spt="202" path="m,l,21600r21600,l21600,xe">
                <v:stroke joinstyle="miter"/>
                <v:path gradientshapeok="t" o:connecttype="rect"/>
              </v:shapetype>
              <v:shape id="Text Box 2" o:spid="_x0000_s1026" type="#_x0000_t202" style="position:absolute;left:0;text-align:left;margin-left:-13.15pt;margin-top:30.8pt;width:465.35pt;height:111.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" fillcolor="#d0d0d0">
                <v:fill opacity="58853f"/>
                <v:textbox style="mso-fit-shape-to-text:t">
                  <w:txbxContent>
                    <w:p w14:paraId="6C40AA64" w14:textId="7B11B31A" w:rsidR="001466C1" w:rsidRPr="001466C1" w:rsidRDefault="001466C1" w:rsidP="00373409">
                      <w:pPr>
                        <w:pStyle w:val="BodyText"/>
                        <w:jc w:val="both"/>
                        <w:rPr>
                          <w:rFonts w:cs="Arial"/>
                          <w:szCs w:val="22"/>
                        </w:rPr>
                      </w:pPr>
                      <w:r w:rsidRPr="006659A7">
                        <w:rPr>
                          <w:rFonts w:cs="Arial"/>
                          <w:szCs w:val="22"/>
                        </w:rPr>
                        <w:t xml:space="preserve">Where a supplier has adopted an acceptable solution for a supply, the supply </w:t>
                      </w:r>
                      <w:r w:rsidR="00420F87">
                        <w:rPr>
                          <w:rFonts w:cs="Arial"/>
                          <w:szCs w:val="22"/>
                        </w:rPr>
                        <w:t xml:space="preserve">is not required to </w:t>
                      </w:r>
                      <w:r w:rsidRPr="006659A7">
                        <w:rPr>
                          <w:rFonts w:cs="Arial"/>
                          <w:szCs w:val="22"/>
                        </w:rPr>
                        <w:t xml:space="preserve">meet the requirements of the </w:t>
                      </w:r>
                      <w:r w:rsidR="00420F87">
                        <w:rPr>
                          <w:rFonts w:cs="Arial"/>
                          <w:szCs w:val="22"/>
                        </w:rPr>
                        <w:t>performance measure r</w:t>
                      </w:r>
                      <w:r w:rsidRPr="006659A7">
                        <w:rPr>
                          <w:rFonts w:cs="Arial"/>
                          <w:szCs w:val="22"/>
                        </w:rPr>
                        <w:t>ules.</w:t>
                      </w:r>
                    </w:p>
                  </w:txbxContent>
                </v:textbox>
                <w10:wrap type="square"/>
              </v:shape>
            </w:pict>
          </mc:Fallback>
        </mc:AlternateContent>
      </w:r>
    </w:p>
    <w:p w14:paraId="2AC6CD5A" w14:textId="77777777" w:rsidR="0004032B" w:rsidRDefault="0004032B" w:rsidP="00373409">
      <w:pPr>
        <w:pStyle w:val="BodyText"/>
        <w:jc w:val="both"/>
        <w:rPr>
          <w:rFonts w:cs="Arial"/>
          <w:strike/>
          <w:szCs w:val="22"/>
        </w:rPr>
      </w:pPr>
    </w:p>
    <w:p w14:paraId="27C0B40A" w14:textId="77777777" w:rsidR="0004032B" w:rsidRDefault="0004032B" w:rsidP="00CA3F08">
      <w:pPr>
        <w:pStyle w:val="BodyText"/>
        <w:ind w:left="360"/>
        <w:jc w:val="both"/>
        <w:rPr>
          <w:rFonts w:cs="Arial"/>
          <w:strike/>
          <w:szCs w:val="22"/>
        </w:rPr>
      </w:pPr>
    </w:p>
    <w:p w14:paraId="26C79BE8" w14:textId="77777777" w:rsidR="0004032B" w:rsidRDefault="0004032B" w:rsidP="00CA3F08">
      <w:pPr>
        <w:pStyle w:val="BodyText"/>
        <w:ind w:left="360"/>
        <w:jc w:val="both"/>
        <w:rPr>
          <w:rFonts w:cs="Arial"/>
          <w:strike/>
          <w:szCs w:val="22"/>
        </w:rPr>
      </w:pPr>
    </w:p>
    <w:p w14:paraId="52B4D691" w14:textId="77777777" w:rsidR="0004032B" w:rsidRDefault="0004032B" w:rsidP="00CA3F08">
      <w:pPr>
        <w:pStyle w:val="BodyText"/>
        <w:ind w:left="360"/>
        <w:jc w:val="both"/>
        <w:rPr>
          <w:rFonts w:cs="Arial"/>
          <w:strike/>
          <w:szCs w:val="22"/>
        </w:rPr>
      </w:pPr>
    </w:p>
    <w:p w14:paraId="7E9856DB" w14:textId="225D96EB" w:rsidR="00D609A5" w:rsidRDefault="00000A1C" w:rsidP="00592816">
      <w:pPr>
        <w:pStyle w:val="Heading3"/>
        <w:numPr>
          <w:ilvl w:val="0"/>
          <w:numId w:val="33"/>
        </w:numPr>
      </w:pPr>
      <w:r>
        <w:rPr>
          <w:szCs w:val="22"/>
        </w:rPr>
        <w:br w:type="page"/>
      </w:r>
      <w:r w:rsidR="00D609A5" w:rsidRPr="00000A1C">
        <w:t>Supplies serving 101 – 500 people, have the level 2 rules apply:</w:t>
      </w:r>
    </w:p>
    <w:p w14:paraId="35491C20" w14:textId="77777777" w:rsidR="00000A1C" w:rsidRPr="00000A1C" w:rsidRDefault="00000A1C" w:rsidP="00373409">
      <w:pPr>
        <w:pStyle w:val="BodyText"/>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786"/>
        <w:gridCol w:w="4347"/>
      </w:tblGrid>
      <w:tr w:rsidR="00DD24C3" w:rsidRPr="00CA3F08" w14:paraId="36D393DE" w14:textId="77777777" w:rsidTr="0D42433D">
        <w:trPr>
          <w:tblHeader/>
        </w:trPr>
        <w:tc>
          <w:tcPr>
            <w:tcW w:w="4899" w:type="dxa"/>
            <w:tcBorders>
              <w:top w:val="single" w:sz="4" w:space="0" w:color="auto"/>
              <w:left w:val="single" w:sz="4" w:space="0" w:color="auto"/>
              <w:bottom w:val="single" w:sz="4" w:space="0" w:color="auto"/>
              <w:right w:val="single" w:sz="6" w:space="0" w:color="auto"/>
              <w:tl2br w:val="nil"/>
              <w:tr2bl w:val="nil"/>
            </w:tcBorders>
            <w:shd w:val="clear" w:color="auto" w:fill="CCCCCC"/>
          </w:tcPr>
          <w:p w14:paraId="50C8C82C" w14:textId="77777777" w:rsidR="00000A1C" w:rsidRPr="00CA3F08" w:rsidRDefault="00F84AEA" w:rsidP="00373409">
            <w:pPr>
              <w:pStyle w:val="BodyText"/>
              <w:jc w:val="center"/>
              <w:rPr>
                <w:rFonts w:cs="Arial"/>
                <w:bCs/>
                <w:szCs w:val="22"/>
              </w:rPr>
            </w:pPr>
            <w:r>
              <w:rPr>
                <w:rFonts w:cs="Arial"/>
                <w:b/>
                <w:szCs w:val="22"/>
              </w:rPr>
              <w:t>Mandatory Level</w:t>
            </w:r>
            <w:r w:rsidR="00000A1C">
              <w:rPr>
                <w:rFonts w:cs="Arial"/>
                <w:b/>
                <w:szCs w:val="22"/>
              </w:rPr>
              <w:t xml:space="preserve"> 2 B</w:t>
            </w:r>
            <w:r w:rsidR="00000A1C" w:rsidRPr="006659A7">
              <w:rPr>
                <w:rFonts w:cs="Arial"/>
                <w:b/>
                <w:szCs w:val="22"/>
              </w:rPr>
              <w:t xml:space="preserve">acteriological </w:t>
            </w:r>
            <w:r w:rsidR="00000A1C">
              <w:rPr>
                <w:rFonts w:cs="Arial"/>
                <w:b/>
                <w:szCs w:val="22"/>
              </w:rPr>
              <w:t>M</w:t>
            </w:r>
            <w:r w:rsidR="00000A1C" w:rsidRPr="006659A7">
              <w:rPr>
                <w:rFonts w:cs="Arial"/>
                <w:b/>
                <w:szCs w:val="22"/>
              </w:rPr>
              <w:t xml:space="preserve">easures </w:t>
            </w:r>
          </w:p>
        </w:tc>
        <w:tc>
          <w:tcPr>
            <w:tcW w:w="4460" w:type="dxa"/>
            <w:tcBorders>
              <w:top w:val="single" w:sz="4" w:space="0" w:color="auto"/>
              <w:left w:val="single" w:sz="6" w:space="0" w:color="auto"/>
              <w:bottom w:val="single" w:sz="4" w:space="0" w:color="auto"/>
              <w:right w:val="single" w:sz="4" w:space="0" w:color="auto"/>
              <w:tl2br w:val="nil"/>
              <w:tr2bl w:val="nil"/>
            </w:tcBorders>
            <w:shd w:val="clear" w:color="auto" w:fill="CCCCCC"/>
          </w:tcPr>
          <w:p w14:paraId="41B423F0" w14:textId="77777777" w:rsidR="00000A1C" w:rsidRPr="00CA3F08" w:rsidRDefault="00F84AEA" w:rsidP="00373409">
            <w:pPr>
              <w:pStyle w:val="BodyText"/>
              <w:jc w:val="center"/>
              <w:rPr>
                <w:rFonts w:cs="Arial"/>
                <w:bCs/>
                <w:szCs w:val="22"/>
              </w:rPr>
            </w:pPr>
            <w:r>
              <w:rPr>
                <w:rFonts w:cs="Arial"/>
                <w:b/>
                <w:szCs w:val="22"/>
              </w:rPr>
              <w:t xml:space="preserve">Mandatory Level </w:t>
            </w:r>
            <w:r w:rsidR="00000A1C">
              <w:rPr>
                <w:rFonts w:cs="Arial"/>
                <w:b/>
                <w:szCs w:val="22"/>
              </w:rPr>
              <w:t>2 P</w:t>
            </w:r>
            <w:r w:rsidR="00000A1C" w:rsidRPr="006659A7">
              <w:rPr>
                <w:rFonts w:cs="Arial"/>
                <w:b/>
                <w:szCs w:val="22"/>
              </w:rPr>
              <w:t xml:space="preserve">rotozoal </w:t>
            </w:r>
            <w:r w:rsidR="00000A1C">
              <w:rPr>
                <w:rFonts w:cs="Arial"/>
                <w:b/>
                <w:szCs w:val="22"/>
              </w:rPr>
              <w:t>M</w:t>
            </w:r>
            <w:r w:rsidR="00000A1C" w:rsidRPr="006659A7">
              <w:rPr>
                <w:rFonts w:cs="Arial"/>
                <w:b/>
                <w:szCs w:val="22"/>
              </w:rPr>
              <w:t xml:space="preserve">easures </w:t>
            </w:r>
          </w:p>
        </w:tc>
      </w:tr>
      <w:tr w:rsidR="007878BE" w:rsidRPr="00CA3F08" w14:paraId="656D5699" w14:textId="77777777" w:rsidTr="0D42433D">
        <w:trPr>
          <w:cantSplit/>
          <w:trHeight w:val="652"/>
        </w:trPr>
        <w:tc>
          <w:tcPr>
            <w:tcW w:w="4899" w:type="dxa"/>
          </w:tcPr>
          <w:p w14:paraId="6DDC71C7" w14:textId="6C1C0111" w:rsidR="00000A1C" w:rsidRDefault="004163B9" w:rsidP="0D42433D">
            <w:pPr>
              <w:pStyle w:val="BodyText"/>
              <w:rPr>
                <w:rFonts w:cs="Arial"/>
                <w:b/>
                <w:bCs/>
              </w:rPr>
            </w:pPr>
            <w:r w:rsidRPr="0D42433D">
              <w:rPr>
                <w:rFonts w:cs="Arial"/>
                <w:b/>
                <w:bCs/>
              </w:rPr>
              <w:t xml:space="preserve">(c) </w:t>
            </w:r>
            <w:r w:rsidR="00000A1C" w:rsidRPr="0D42433D">
              <w:rPr>
                <w:rFonts w:cs="Arial"/>
                <w:b/>
                <w:bCs/>
              </w:rPr>
              <w:t>T2 Treatment Monitoring Rules</w:t>
            </w:r>
          </w:p>
          <w:p w14:paraId="3D05E018" w14:textId="0961C7E4" w:rsidR="00000A1C" w:rsidRPr="00373409" w:rsidRDefault="004163B9" w:rsidP="008D6475">
            <w:pPr>
              <w:pStyle w:val="BodyText"/>
              <w:numPr>
                <w:ilvl w:val="0"/>
                <w:numId w:val="35"/>
              </w:numPr>
              <w:rPr>
                <w:rFonts w:cs="Arial"/>
                <w:b/>
                <w:bCs/>
                <w:szCs w:val="22"/>
              </w:rPr>
            </w:pPr>
            <w:r>
              <w:rPr>
                <w:rFonts w:cs="Arial"/>
                <w:b/>
                <w:bCs/>
                <w:szCs w:val="22"/>
              </w:rPr>
              <w:t xml:space="preserve">(f) </w:t>
            </w:r>
            <w:r w:rsidR="00000A1C" w:rsidRPr="006659A7">
              <w:rPr>
                <w:rFonts w:cs="Arial"/>
                <w:b/>
                <w:bCs/>
                <w:szCs w:val="22"/>
              </w:rPr>
              <w:t>T2 Chlorine Rules</w:t>
            </w:r>
          </w:p>
          <w:p w14:paraId="503BBC98" w14:textId="4FACFA2B" w:rsidR="00097B76" w:rsidRPr="006C448E" w:rsidRDefault="004163B9" w:rsidP="00E90E51">
            <w:pPr>
              <w:pStyle w:val="BodyText"/>
              <w:numPr>
                <w:ilvl w:val="0"/>
                <w:numId w:val="35"/>
              </w:numPr>
              <w:rPr>
                <w:rFonts w:cs="Arial"/>
                <w:szCs w:val="22"/>
              </w:rPr>
            </w:pPr>
            <w:r>
              <w:rPr>
                <w:rFonts w:cs="Arial"/>
                <w:b/>
                <w:bCs/>
                <w:szCs w:val="22"/>
              </w:rPr>
              <w:t xml:space="preserve">(g) </w:t>
            </w:r>
            <w:r w:rsidR="00000A1C" w:rsidRPr="00373409">
              <w:rPr>
                <w:rFonts w:cs="Arial"/>
                <w:b/>
                <w:bCs/>
                <w:szCs w:val="22"/>
              </w:rPr>
              <w:t>D2.1 Distribution System Rule</w:t>
            </w:r>
          </w:p>
        </w:tc>
        <w:tc>
          <w:tcPr>
            <w:tcW w:w="4460" w:type="dxa"/>
          </w:tcPr>
          <w:p w14:paraId="1EBEE98A" w14:textId="3A061B71" w:rsidR="00604846" w:rsidRPr="00373409" w:rsidRDefault="004163B9" w:rsidP="008D6475">
            <w:pPr>
              <w:pStyle w:val="BodyText"/>
              <w:numPr>
                <w:ilvl w:val="0"/>
                <w:numId w:val="35"/>
              </w:numPr>
              <w:rPr>
                <w:rFonts w:cs="Arial"/>
                <w:b/>
                <w:bCs/>
                <w:szCs w:val="22"/>
              </w:rPr>
            </w:pPr>
            <w:r>
              <w:rPr>
                <w:rFonts w:cs="Arial"/>
                <w:b/>
                <w:bCs/>
                <w:szCs w:val="22"/>
              </w:rPr>
              <w:t xml:space="preserve">(c) </w:t>
            </w:r>
            <w:r w:rsidR="00604846" w:rsidRPr="00373409">
              <w:rPr>
                <w:rFonts w:cs="Arial"/>
                <w:b/>
                <w:bCs/>
                <w:szCs w:val="22"/>
              </w:rPr>
              <w:t>T2 Treatment Monitoring Rules</w:t>
            </w:r>
          </w:p>
          <w:p w14:paraId="1D121034" w14:textId="17578409" w:rsidR="00D609A5" w:rsidRPr="00373409" w:rsidRDefault="004163B9" w:rsidP="008D6475">
            <w:pPr>
              <w:pStyle w:val="BodyText"/>
              <w:numPr>
                <w:ilvl w:val="0"/>
                <w:numId w:val="35"/>
              </w:numPr>
              <w:rPr>
                <w:rFonts w:cs="Arial"/>
                <w:b/>
                <w:bCs/>
                <w:szCs w:val="22"/>
              </w:rPr>
            </w:pPr>
            <w:r>
              <w:rPr>
                <w:rFonts w:cs="Arial"/>
                <w:b/>
                <w:bCs/>
                <w:szCs w:val="22"/>
              </w:rPr>
              <w:t xml:space="preserve">(d) </w:t>
            </w:r>
            <w:r w:rsidR="00D609A5" w:rsidRPr="00373409">
              <w:rPr>
                <w:rFonts w:cs="Arial"/>
                <w:b/>
                <w:bCs/>
                <w:szCs w:val="22"/>
              </w:rPr>
              <w:t>T2 Filtration Rules</w:t>
            </w:r>
          </w:p>
          <w:p w14:paraId="1575DB5E" w14:textId="7C1EA0BE" w:rsidR="00000A1C" w:rsidRPr="006C448E" w:rsidRDefault="004163B9" w:rsidP="00E90E51">
            <w:pPr>
              <w:pStyle w:val="BodyText"/>
              <w:numPr>
                <w:ilvl w:val="0"/>
                <w:numId w:val="35"/>
              </w:numPr>
              <w:rPr>
                <w:rFonts w:cs="Arial"/>
              </w:rPr>
            </w:pPr>
            <w:r>
              <w:rPr>
                <w:rFonts w:cs="Arial"/>
                <w:b/>
                <w:bCs/>
                <w:szCs w:val="22"/>
              </w:rPr>
              <w:t xml:space="preserve">(e) </w:t>
            </w:r>
            <w:r w:rsidR="00D609A5" w:rsidRPr="00373409">
              <w:rPr>
                <w:rFonts w:cs="Arial"/>
                <w:b/>
                <w:bCs/>
                <w:szCs w:val="22"/>
              </w:rPr>
              <w:t>T2 UV Rules</w:t>
            </w:r>
          </w:p>
        </w:tc>
      </w:tr>
    </w:tbl>
    <w:p w14:paraId="2EA0274A" w14:textId="77777777" w:rsidR="00000A1C" w:rsidRDefault="00000A1C" w:rsidP="00000A1C">
      <w:pPr>
        <w:pStyle w:val="BodyText"/>
        <w:jc w:val="both"/>
        <w:rPr>
          <w:rFonts w:cs="Arial"/>
          <w:strike/>
          <w:szCs w:val="22"/>
        </w:rPr>
      </w:pPr>
    </w:p>
    <w:p w14:paraId="51101773" w14:textId="77777777" w:rsidR="0004032B" w:rsidRDefault="00000A1C" w:rsidP="00373409">
      <w:pPr>
        <w:pStyle w:val="BodyText"/>
        <w:jc w:val="both"/>
        <w:rPr>
          <w:rFonts w:cs="Arial"/>
          <w:szCs w:val="22"/>
        </w:rPr>
      </w:pPr>
      <w:r>
        <w:rPr>
          <w:rFonts w:cs="Arial"/>
          <w:szCs w:val="22"/>
        </w:rPr>
        <w:t>Additional guidance that can be included in the reporting:</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777"/>
        <w:gridCol w:w="4356"/>
      </w:tblGrid>
      <w:tr w:rsidR="0048585C" w:rsidRPr="00CA3F08" w14:paraId="4AA372A8" w14:textId="77777777" w:rsidTr="00373409">
        <w:trPr>
          <w:tblHeader/>
        </w:trPr>
        <w:tc>
          <w:tcPr>
            <w:tcW w:w="4899" w:type="dxa"/>
            <w:tcBorders>
              <w:top w:val="single" w:sz="4" w:space="0" w:color="auto"/>
              <w:left w:val="single" w:sz="4" w:space="0" w:color="auto"/>
              <w:bottom w:val="single" w:sz="4" w:space="0" w:color="auto"/>
              <w:right w:val="single" w:sz="6" w:space="0" w:color="auto"/>
              <w:tl2br w:val="nil"/>
              <w:tr2bl w:val="nil"/>
            </w:tcBorders>
            <w:shd w:val="clear" w:color="000000" w:fill="CCCCCC"/>
          </w:tcPr>
          <w:p w14:paraId="7160813F" w14:textId="047FA8AF" w:rsidR="00000A1C" w:rsidRPr="00CA3F08" w:rsidRDefault="00055CC1" w:rsidP="00373409">
            <w:pPr>
              <w:pStyle w:val="BodyText"/>
              <w:jc w:val="center"/>
              <w:rPr>
                <w:rFonts w:cs="Arial"/>
                <w:bCs/>
                <w:szCs w:val="22"/>
              </w:rPr>
            </w:pPr>
            <w:r>
              <w:rPr>
                <w:rFonts w:cs="Arial"/>
                <w:b/>
                <w:szCs w:val="22"/>
              </w:rPr>
              <w:t xml:space="preserve">Recommended </w:t>
            </w:r>
            <w:r w:rsidR="00000A1C">
              <w:rPr>
                <w:rFonts w:cs="Arial"/>
                <w:b/>
                <w:szCs w:val="22"/>
              </w:rPr>
              <w:t>Level 2 b</w:t>
            </w:r>
            <w:r w:rsidR="00000A1C" w:rsidRPr="006659A7">
              <w:rPr>
                <w:rFonts w:cs="Arial"/>
                <w:b/>
                <w:szCs w:val="22"/>
              </w:rPr>
              <w:t>acteriological measures</w:t>
            </w:r>
          </w:p>
        </w:tc>
        <w:tc>
          <w:tcPr>
            <w:tcW w:w="4460"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1E4B525D" w14:textId="77777777" w:rsidR="00000A1C" w:rsidRPr="00CA3F08" w:rsidRDefault="00F84AEA" w:rsidP="00373409">
            <w:pPr>
              <w:pStyle w:val="BodyText"/>
              <w:jc w:val="center"/>
              <w:rPr>
                <w:rFonts w:cs="Arial"/>
                <w:bCs/>
                <w:szCs w:val="22"/>
              </w:rPr>
            </w:pPr>
            <w:r>
              <w:rPr>
                <w:rFonts w:cs="Arial"/>
                <w:b/>
                <w:szCs w:val="22"/>
              </w:rPr>
              <w:t xml:space="preserve">Recommended </w:t>
            </w:r>
            <w:r w:rsidR="00000A1C">
              <w:rPr>
                <w:rFonts w:cs="Arial"/>
                <w:b/>
                <w:szCs w:val="22"/>
              </w:rPr>
              <w:t>Level 2 p</w:t>
            </w:r>
            <w:r w:rsidR="00000A1C" w:rsidRPr="006659A7">
              <w:rPr>
                <w:rFonts w:cs="Arial"/>
                <w:b/>
                <w:szCs w:val="22"/>
              </w:rPr>
              <w:t>rotozoal measures</w:t>
            </w:r>
          </w:p>
        </w:tc>
      </w:tr>
      <w:tr w:rsidR="007878BE" w:rsidRPr="00CA3F08" w14:paraId="3FD5E9E9" w14:textId="77777777" w:rsidTr="00373409">
        <w:trPr>
          <w:cantSplit/>
          <w:trHeight w:val="652"/>
        </w:trPr>
        <w:tc>
          <w:tcPr>
            <w:tcW w:w="4899" w:type="dxa"/>
          </w:tcPr>
          <w:p w14:paraId="7B726BB2" w14:textId="77777777" w:rsidR="00000A1C" w:rsidRDefault="00000A1C" w:rsidP="008D6475">
            <w:pPr>
              <w:pStyle w:val="BodyText"/>
              <w:numPr>
                <w:ilvl w:val="0"/>
                <w:numId w:val="29"/>
              </w:numPr>
              <w:ind w:left="347" w:hanging="347"/>
              <w:jc w:val="both"/>
              <w:rPr>
                <w:rFonts w:cs="Arial"/>
                <w:szCs w:val="22"/>
              </w:rPr>
            </w:pPr>
            <w:r>
              <w:rPr>
                <w:rFonts w:cs="Arial"/>
                <w:szCs w:val="22"/>
              </w:rPr>
              <w:t>Report on any notifications made to the Authority related to the supply of unsafe water related to bacteria risk.</w:t>
            </w:r>
          </w:p>
          <w:p w14:paraId="6F9A959B" w14:textId="77777777" w:rsidR="00000A1C" w:rsidRPr="00000A1C" w:rsidRDefault="00000A1C" w:rsidP="008D6475">
            <w:pPr>
              <w:pStyle w:val="BodyText"/>
              <w:numPr>
                <w:ilvl w:val="0"/>
                <w:numId w:val="29"/>
              </w:numPr>
              <w:ind w:left="347" w:hanging="347"/>
              <w:jc w:val="both"/>
              <w:rPr>
                <w:rFonts w:cs="Arial"/>
                <w:szCs w:val="22"/>
              </w:rPr>
            </w:pPr>
            <w:r>
              <w:rPr>
                <w:rFonts w:cs="Arial"/>
                <w:szCs w:val="22"/>
              </w:rPr>
              <w:t xml:space="preserve">Report on total number of </w:t>
            </w:r>
            <w:r w:rsidRPr="00A732E1">
              <w:rPr>
                <w:rFonts w:cs="Arial"/>
                <w:i/>
                <w:iCs/>
                <w:szCs w:val="22"/>
              </w:rPr>
              <w:t>E. coli</w:t>
            </w:r>
            <w:r>
              <w:rPr>
                <w:rFonts w:cs="Arial"/>
                <w:i/>
                <w:iCs/>
                <w:szCs w:val="22"/>
              </w:rPr>
              <w:t xml:space="preserve"> </w:t>
            </w:r>
            <w:r>
              <w:rPr>
                <w:rFonts w:cs="Arial"/>
                <w:szCs w:val="22"/>
              </w:rPr>
              <w:t>samples taken in the supply which did not meet the Standards and the response to those non-compliant samples.</w:t>
            </w:r>
          </w:p>
        </w:tc>
        <w:tc>
          <w:tcPr>
            <w:tcW w:w="4460" w:type="dxa"/>
          </w:tcPr>
          <w:p w14:paraId="186A4496" w14:textId="77777777" w:rsidR="00000A1C" w:rsidRPr="00000A1C" w:rsidRDefault="00000A1C" w:rsidP="008D6475">
            <w:pPr>
              <w:pStyle w:val="BodyText"/>
              <w:numPr>
                <w:ilvl w:val="0"/>
                <w:numId w:val="31"/>
              </w:numPr>
              <w:ind w:left="275" w:hanging="276"/>
              <w:jc w:val="both"/>
              <w:rPr>
                <w:rFonts w:cs="Arial"/>
                <w:szCs w:val="22"/>
              </w:rPr>
            </w:pPr>
            <w:r>
              <w:rPr>
                <w:rFonts w:cs="Arial"/>
                <w:szCs w:val="22"/>
              </w:rPr>
              <w:t xml:space="preserve">Report on any notifications made to the authority related to the supply of unsafe water related to protozoa risk. </w:t>
            </w:r>
          </w:p>
        </w:tc>
      </w:tr>
    </w:tbl>
    <w:p w14:paraId="0C7B6B0F" w14:textId="77777777" w:rsidR="0004032B" w:rsidRDefault="0004032B" w:rsidP="00CA3F08">
      <w:pPr>
        <w:pStyle w:val="BodyText"/>
        <w:ind w:left="360"/>
        <w:jc w:val="both"/>
        <w:rPr>
          <w:rFonts w:cs="Arial"/>
          <w:szCs w:val="22"/>
        </w:rPr>
      </w:pPr>
    </w:p>
    <w:p w14:paraId="75C6E900" w14:textId="77777777" w:rsidR="0004032B" w:rsidRDefault="0004032B" w:rsidP="00CA3F08">
      <w:pPr>
        <w:pStyle w:val="BodyText"/>
        <w:ind w:left="360"/>
        <w:jc w:val="both"/>
        <w:rPr>
          <w:rFonts w:cs="Arial"/>
          <w:szCs w:val="22"/>
        </w:rPr>
      </w:pPr>
    </w:p>
    <w:p w14:paraId="6AE59AEF" w14:textId="77777777" w:rsidR="0004032B" w:rsidRDefault="0004032B" w:rsidP="00CA3F08">
      <w:pPr>
        <w:pStyle w:val="BodyText"/>
        <w:ind w:left="360"/>
        <w:jc w:val="both"/>
        <w:rPr>
          <w:rFonts w:cs="Arial"/>
          <w:szCs w:val="22"/>
        </w:rPr>
      </w:pPr>
    </w:p>
    <w:p w14:paraId="0575BF6F" w14:textId="77777777" w:rsidR="0004032B" w:rsidRDefault="0004032B" w:rsidP="00CA3F08">
      <w:pPr>
        <w:pStyle w:val="BodyText"/>
        <w:ind w:left="360"/>
        <w:jc w:val="both"/>
        <w:rPr>
          <w:rFonts w:cs="Arial"/>
          <w:szCs w:val="22"/>
        </w:rPr>
      </w:pPr>
    </w:p>
    <w:p w14:paraId="113DBB80" w14:textId="77777777" w:rsidR="0004032B" w:rsidRDefault="0004032B" w:rsidP="00CA3F08">
      <w:pPr>
        <w:pStyle w:val="BodyText"/>
        <w:ind w:left="360"/>
        <w:jc w:val="both"/>
        <w:rPr>
          <w:rFonts w:cs="Arial"/>
          <w:szCs w:val="22"/>
        </w:rPr>
      </w:pPr>
    </w:p>
    <w:p w14:paraId="084EDD7E" w14:textId="77777777" w:rsidR="0004032B" w:rsidRDefault="0004032B" w:rsidP="00CA3F08">
      <w:pPr>
        <w:pStyle w:val="BodyText"/>
        <w:ind w:left="360"/>
        <w:jc w:val="both"/>
        <w:rPr>
          <w:rFonts w:cs="Arial"/>
          <w:szCs w:val="22"/>
        </w:rPr>
      </w:pPr>
    </w:p>
    <w:p w14:paraId="5493E2E5" w14:textId="77777777" w:rsidR="0004032B" w:rsidRDefault="0004032B" w:rsidP="00CA3F08">
      <w:pPr>
        <w:pStyle w:val="BodyText"/>
        <w:ind w:left="360"/>
        <w:jc w:val="both"/>
        <w:rPr>
          <w:rFonts w:cs="Arial"/>
          <w:szCs w:val="22"/>
        </w:rPr>
      </w:pPr>
    </w:p>
    <w:p w14:paraId="487446E7" w14:textId="77777777" w:rsidR="0004032B" w:rsidRDefault="0004032B" w:rsidP="00CA3F08">
      <w:pPr>
        <w:pStyle w:val="BodyText"/>
        <w:ind w:left="360"/>
        <w:jc w:val="both"/>
        <w:rPr>
          <w:rFonts w:cs="Arial"/>
          <w:szCs w:val="22"/>
        </w:rPr>
      </w:pPr>
    </w:p>
    <w:p w14:paraId="2FD0F259" w14:textId="77777777" w:rsidR="0004032B" w:rsidRPr="00CA3F08" w:rsidRDefault="0004032B" w:rsidP="00CA3F08">
      <w:pPr>
        <w:pStyle w:val="BodyText"/>
        <w:ind w:left="360"/>
        <w:jc w:val="both"/>
        <w:rPr>
          <w:rFonts w:cs="Arial"/>
          <w:szCs w:val="22"/>
        </w:rPr>
      </w:pPr>
    </w:p>
    <w:p w14:paraId="7DEDFF6B" w14:textId="77777777" w:rsidR="00D609A5" w:rsidRDefault="00000A1C" w:rsidP="008D6475">
      <w:pPr>
        <w:pStyle w:val="Heading3"/>
        <w:numPr>
          <w:ilvl w:val="0"/>
          <w:numId w:val="33"/>
        </w:numPr>
      </w:pPr>
      <w:r>
        <w:rPr>
          <w:szCs w:val="22"/>
        </w:rPr>
        <w:br w:type="page"/>
      </w:r>
      <w:r w:rsidR="00D609A5" w:rsidRPr="00000A1C">
        <w:t>Supplies serving &gt;500 people, have the level 3 rules apply:</w:t>
      </w:r>
    </w:p>
    <w:p w14:paraId="2E6CA9D4" w14:textId="77777777" w:rsidR="00000A1C" w:rsidRPr="00000A1C" w:rsidRDefault="00000A1C" w:rsidP="00373409">
      <w:pPr>
        <w:pStyle w:val="BodyText"/>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783"/>
        <w:gridCol w:w="4350"/>
      </w:tblGrid>
      <w:tr w:rsidR="00DD24C3" w:rsidRPr="00CA3F08" w14:paraId="67B973C7" w14:textId="77777777" w:rsidTr="00373409">
        <w:trPr>
          <w:tblHeader/>
        </w:trPr>
        <w:tc>
          <w:tcPr>
            <w:tcW w:w="4894" w:type="dxa"/>
            <w:tcBorders>
              <w:top w:val="single" w:sz="4" w:space="0" w:color="auto"/>
              <w:left w:val="single" w:sz="4" w:space="0" w:color="auto"/>
              <w:bottom w:val="single" w:sz="4" w:space="0" w:color="auto"/>
              <w:right w:val="single" w:sz="6" w:space="0" w:color="auto"/>
              <w:tl2br w:val="nil"/>
              <w:tr2bl w:val="nil"/>
            </w:tcBorders>
            <w:shd w:val="clear" w:color="000000" w:fill="CCCCCC"/>
          </w:tcPr>
          <w:p w14:paraId="19BBEA88" w14:textId="77777777" w:rsidR="00D609A5" w:rsidRPr="00CA3F08" w:rsidRDefault="00F84AEA" w:rsidP="00373409">
            <w:pPr>
              <w:pStyle w:val="BodyText"/>
              <w:jc w:val="center"/>
              <w:rPr>
                <w:rFonts w:cs="Arial"/>
                <w:bCs/>
                <w:szCs w:val="22"/>
              </w:rPr>
            </w:pPr>
            <w:r>
              <w:rPr>
                <w:rFonts w:cs="Arial"/>
                <w:b/>
                <w:szCs w:val="22"/>
              </w:rPr>
              <w:t xml:space="preserve">Mandatory Level </w:t>
            </w:r>
            <w:r w:rsidR="00000A1C">
              <w:rPr>
                <w:rFonts w:cs="Arial"/>
                <w:b/>
                <w:szCs w:val="22"/>
              </w:rPr>
              <w:t>3 B</w:t>
            </w:r>
            <w:r w:rsidR="00000A1C" w:rsidRPr="006659A7">
              <w:rPr>
                <w:rFonts w:cs="Arial"/>
                <w:b/>
                <w:szCs w:val="22"/>
              </w:rPr>
              <w:t xml:space="preserve">acteriological </w:t>
            </w:r>
            <w:r w:rsidR="00000A1C">
              <w:rPr>
                <w:rFonts w:cs="Arial"/>
                <w:b/>
                <w:szCs w:val="22"/>
              </w:rPr>
              <w:t>M</w:t>
            </w:r>
            <w:r w:rsidR="00000A1C" w:rsidRPr="006659A7">
              <w:rPr>
                <w:rFonts w:cs="Arial"/>
                <w:b/>
                <w:szCs w:val="22"/>
              </w:rPr>
              <w:t>easures</w:t>
            </w:r>
          </w:p>
        </w:tc>
        <w:tc>
          <w:tcPr>
            <w:tcW w:w="4465"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592125F1" w14:textId="77777777" w:rsidR="00D609A5" w:rsidRPr="00CA3F08" w:rsidRDefault="00F84AEA" w:rsidP="00373409">
            <w:pPr>
              <w:pStyle w:val="BodyText"/>
              <w:jc w:val="center"/>
              <w:rPr>
                <w:rFonts w:cs="Arial"/>
                <w:bCs/>
                <w:szCs w:val="22"/>
              </w:rPr>
            </w:pPr>
            <w:r>
              <w:rPr>
                <w:rFonts w:cs="Arial"/>
                <w:b/>
                <w:szCs w:val="22"/>
              </w:rPr>
              <w:t xml:space="preserve">Mandatory </w:t>
            </w:r>
            <w:r w:rsidR="00000A1C">
              <w:rPr>
                <w:rFonts w:cs="Arial"/>
                <w:b/>
                <w:szCs w:val="22"/>
              </w:rPr>
              <w:t>Level 3 P</w:t>
            </w:r>
            <w:r w:rsidR="00000A1C" w:rsidRPr="006659A7">
              <w:rPr>
                <w:rFonts w:cs="Arial"/>
                <w:b/>
                <w:szCs w:val="22"/>
              </w:rPr>
              <w:t xml:space="preserve">rotozoal </w:t>
            </w:r>
            <w:r w:rsidR="00000A1C">
              <w:rPr>
                <w:rFonts w:cs="Arial"/>
                <w:b/>
                <w:szCs w:val="22"/>
              </w:rPr>
              <w:t>M</w:t>
            </w:r>
            <w:r w:rsidR="00000A1C" w:rsidRPr="006659A7">
              <w:rPr>
                <w:rFonts w:cs="Arial"/>
                <w:b/>
                <w:szCs w:val="22"/>
              </w:rPr>
              <w:t>easures</w:t>
            </w:r>
          </w:p>
        </w:tc>
      </w:tr>
      <w:tr w:rsidR="00B23E74" w:rsidRPr="00CA3F08" w14:paraId="460D75EA" w14:textId="77777777" w:rsidTr="00373409">
        <w:trPr>
          <w:cantSplit/>
          <w:trHeight w:val="1066"/>
        </w:trPr>
        <w:tc>
          <w:tcPr>
            <w:tcW w:w="4894" w:type="dxa"/>
          </w:tcPr>
          <w:p w14:paraId="509B8257" w14:textId="3E099E79" w:rsidR="00000A1C" w:rsidRPr="00373409" w:rsidRDefault="004163B9" w:rsidP="008D6475">
            <w:pPr>
              <w:pStyle w:val="BodyText"/>
              <w:numPr>
                <w:ilvl w:val="0"/>
                <w:numId w:val="35"/>
              </w:numPr>
              <w:rPr>
                <w:rFonts w:cs="Arial"/>
                <w:b/>
                <w:bCs/>
                <w:szCs w:val="22"/>
              </w:rPr>
            </w:pPr>
            <w:r>
              <w:rPr>
                <w:rFonts w:cs="Arial"/>
                <w:b/>
                <w:bCs/>
                <w:szCs w:val="22"/>
              </w:rPr>
              <w:t xml:space="preserve">(h) </w:t>
            </w:r>
            <w:r w:rsidR="00000A1C" w:rsidRPr="00373409">
              <w:rPr>
                <w:rFonts w:cs="Arial"/>
                <w:b/>
                <w:bCs/>
                <w:szCs w:val="22"/>
              </w:rPr>
              <w:t>T3 Bacterial Rules</w:t>
            </w:r>
          </w:p>
          <w:p w14:paraId="75B2A46C" w14:textId="50F90526" w:rsidR="000D155A" w:rsidRPr="006C448E" w:rsidRDefault="004163B9" w:rsidP="00E90E51">
            <w:pPr>
              <w:pStyle w:val="BodyText"/>
              <w:numPr>
                <w:ilvl w:val="0"/>
                <w:numId w:val="35"/>
              </w:numPr>
              <w:rPr>
                <w:rFonts w:cs="Arial"/>
                <w:szCs w:val="22"/>
              </w:rPr>
            </w:pPr>
            <w:r>
              <w:rPr>
                <w:rFonts w:cs="Arial"/>
                <w:b/>
                <w:bCs/>
                <w:szCs w:val="22"/>
              </w:rPr>
              <w:t xml:space="preserve">(j) </w:t>
            </w:r>
            <w:r w:rsidR="00000A1C" w:rsidRPr="00373409">
              <w:rPr>
                <w:rFonts w:cs="Arial"/>
                <w:b/>
                <w:bCs/>
                <w:szCs w:val="22"/>
              </w:rPr>
              <w:t xml:space="preserve">D3.29 </w:t>
            </w:r>
            <w:r w:rsidRPr="00373409">
              <w:rPr>
                <w:rFonts w:cs="Arial"/>
                <w:b/>
                <w:bCs/>
                <w:szCs w:val="22"/>
              </w:rPr>
              <w:t xml:space="preserve">Microbiological </w:t>
            </w:r>
            <w:r>
              <w:rPr>
                <w:rFonts w:cs="Arial"/>
                <w:b/>
                <w:bCs/>
                <w:szCs w:val="22"/>
              </w:rPr>
              <w:t>Monitoring</w:t>
            </w:r>
            <w:r w:rsidR="00000A1C" w:rsidRPr="00373409">
              <w:rPr>
                <w:rFonts w:cs="Arial"/>
                <w:b/>
                <w:bCs/>
                <w:szCs w:val="22"/>
              </w:rPr>
              <w:t xml:space="preserve"> Rule</w:t>
            </w:r>
          </w:p>
        </w:tc>
        <w:tc>
          <w:tcPr>
            <w:tcW w:w="4465" w:type="dxa"/>
          </w:tcPr>
          <w:p w14:paraId="615AC35C" w14:textId="7C4766FB" w:rsidR="000D155A" w:rsidRPr="00373409" w:rsidRDefault="004163B9" w:rsidP="008D6475">
            <w:pPr>
              <w:pStyle w:val="BodyText"/>
              <w:numPr>
                <w:ilvl w:val="0"/>
                <w:numId w:val="35"/>
              </w:numPr>
              <w:rPr>
                <w:rFonts w:cs="Arial"/>
                <w:b/>
                <w:bCs/>
                <w:szCs w:val="22"/>
              </w:rPr>
            </w:pPr>
            <w:r>
              <w:rPr>
                <w:rFonts w:cs="Arial"/>
                <w:b/>
                <w:bCs/>
                <w:szCs w:val="22"/>
              </w:rPr>
              <w:t>(</w:t>
            </w:r>
            <w:proofErr w:type="spellStart"/>
            <w:r>
              <w:rPr>
                <w:rFonts w:cs="Arial"/>
                <w:b/>
                <w:bCs/>
                <w:szCs w:val="22"/>
              </w:rPr>
              <w:t>i</w:t>
            </w:r>
            <w:proofErr w:type="spellEnd"/>
            <w:r>
              <w:rPr>
                <w:rFonts w:cs="Arial"/>
                <w:b/>
                <w:bCs/>
                <w:szCs w:val="22"/>
              </w:rPr>
              <w:t xml:space="preserve">) </w:t>
            </w:r>
            <w:r w:rsidR="00B23E74" w:rsidRPr="00373409">
              <w:rPr>
                <w:rFonts w:cs="Arial"/>
                <w:b/>
                <w:bCs/>
                <w:szCs w:val="22"/>
              </w:rPr>
              <w:t>T3 Protozoal Rules</w:t>
            </w:r>
          </w:p>
          <w:p w14:paraId="54331084" w14:textId="77777777" w:rsidR="00B23E74" w:rsidRPr="00CA3F08" w:rsidRDefault="00B23E74" w:rsidP="00373409">
            <w:pPr>
              <w:pStyle w:val="BodyText"/>
              <w:jc w:val="both"/>
              <w:rPr>
                <w:rFonts w:cs="Arial"/>
                <w:szCs w:val="22"/>
              </w:rPr>
            </w:pPr>
          </w:p>
        </w:tc>
      </w:tr>
    </w:tbl>
    <w:p w14:paraId="0D71634F" w14:textId="77777777" w:rsidR="00D609A5" w:rsidRDefault="00D609A5" w:rsidP="00D609A5">
      <w:pPr>
        <w:pStyle w:val="BodyText"/>
        <w:jc w:val="both"/>
        <w:rPr>
          <w:rFonts w:cs="Arial"/>
          <w:szCs w:val="22"/>
        </w:rPr>
      </w:pPr>
    </w:p>
    <w:p w14:paraId="51FB843F" w14:textId="77777777" w:rsidR="00000A1C" w:rsidRDefault="00000A1C" w:rsidP="00D609A5">
      <w:pPr>
        <w:pStyle w:val="BodyText"/>
        <w:jc w:val="both"/>
        <w:rPr>
          <w:rFonts w:cs="Arial"/>
          <w:szCs w:val="22"/>
        </w:rPr>
      </w:pPr>
      <w:r>
        <w:rPr>
          <w:rFonts w:cs="Arial"/>
          <w:szCs w:val="22"/>
        </w:rPr>
        <w:t>Additional guidance that can be included in the reporting:</w:t>
      </w: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913"/>
        <w:gridCol w:w="4220"/>
      </w:tblGrid>
      <w:tr w:rsidR="0048585C" w:rsidRPr="00CA3F08" w14:paraId="0851C1CC" w14:textId="77777777" w:rsidTr="00373409">
        <w:trPr>
          <w:tblHeader/>
        </w:trPr>
        <w:tc>
          <w:tcPr>
            <w:tcW w:w="5040" w:type="dxa"/>
            <w:tcBorders>
              <w:top w:val="single" w:sz="4" w:space="0" w:color="auto"/>
              <w:left w:val="single" w:sz="4" w:space="0" w:color="auto"/>
              <w:bottom w:val="single" w:sz="4" w:space="0" w:color="auto"/>
              <w:right w:val="single" w:sz="6" w:space="0" w:color="auto"/>
              <w:tl2br w:val="nil"/>
              <w:tr2bl w:val="nil"/>
            </w:tcBorders>
            <w:shd w:val="clear" w:color="000000" w:fill="CCCCCC"/>
          </w:tcPr>
          <w:p w14:paraId="390D47B8" w14:textId="41C261CC" w:rsidR="00000A1C" w:rsidRPr="00CA3F08" w:rsidRDefault="00055CC1" w:rsidP="00373409">
            <w:pPr>
              <w:pStyle w:val="BodyText"/>
              <w:jc w:val="center"/>
              <w:rPr>
                <w:rFonts w:cs="Arial"/>
                <w:bCs/>
                <w:szCs w:val="22"/>
              </w:rPr>
            </w:pPr>
            <w:r>
              <w:rPr>
                <w:rFonts w:cs="Arial"/>
                <w:b/>
                <w:szCs w:val="22"/>
              </w:rPr>
              <w:t xml:space="preserve">Recommended </w:t>
            </w:r>
            <w:r w:rsidR="00000A1C">
              <w:rPr>
                <w:rFonts w:cs="Arial"/>
                <w:b/>
                <w:szCs w:val="22"/>
              </w:rPr>
              <w:t>Level 3 B</w:t>
            </w:r>
            <w:r w:rsidR="00000A1C" w:rsidRPr="006659A7">
              <w:rPr>
                <w:rFonts w:cs="Arial"/>
                <w:b/>
                <w:szCs w:val="22"/>
              </w:rPr>
              <w:t xml:space="preserve">acteriological </w:t>
            </w:r>
            <w:r w:rsidR="00000A1C">
              <w:rPr>
                <w:rFonts w:cs="Arial"/>
                <w:b/>
                <w:szCs w:val="22"/>
              </w:rPr>
              <w:t>M</w:t>
            </w:r>
            <w:r w:rsidR="00000A1C" w:rsidRPr="006659A7">
              <w:rPr>
                <w:rFonts w:cs="Arial"/>
                <w:b/>
                <w:szCs w:val="22"/>
              </w:rPr>
              <w:t>easures</w:t>
            </w:r>
          </w:p>
        </w:tc>
        <w:tc>
          <w:tcPr>
            <w:tcW w:w="4319"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4D8527B9" w14:textId="1C601A0D" w:rsidR="00000A1C" w:rsidRPr="00CA3F08" w:rsidRDefault="00055CC1" w:rsidP="00373409">
            <w:pPr>
              <w:pStyle w:val="BodyText"/>
              <w:jc w:val="center"/>
              <w:rPr>
                <w:rFonts w:cs="Arial"/>
                <w:bCs/>
                <w:szCs w:val="22"/>
              </w:rPr>
            </w:pPr>
            <w:r>
              <w:rPr>
                <w:rFonts w:cs="Arial"/>
                <w:b/>
                <w:szCs w:val="22"/>
              </w:rPr>
              <w:t xml:space="preserve">Recommended </w:t>
            </w:r>
            <w:r w:rsidR="00000A1C">
              <w:rPr>
                <w:rFonts w:cs="Arial"/>
                <w:b/>
                <w:szCs w:val="22"/>
              </w:rPr>
              <w:t>Level 3 P</w:t>
            </w:r>
            <w:r w:rsidR="00000A1C" w:rsidRPr="006659A7">
              <w:rPr>
                <w:rFonts w:cs="Arial"/>
                <w:b/>
                <w:szCs w:val="22"/>
              </w:rPr>
              <w:t xml:space="preserve">rotozoal </w:t>
            </w:r>
            <w:r w:rsidR="00000A1C">
              <w:rPr>
                <w:rFonts w:cs="Arial"/>
                <w:b/>
                <w:szCs w:val="22"/>
              </w:rPr>
              <w:t>M</w:t>
            </w:r>
            <w:r w:rsidR="00000A1C" w:rsidRPr="006659A7">
              <w:rPr>
                <w:rFonts w:cs="Arial"/>
                <w:b/>
                <w:szCs w:val="22"/>
              </w:rPr>
              <w:t>easures</w:t>
            </w:r>
          </w:p>
        </w:tc>
      </w:tr>
      <w:tr w:rsidR="007878BE" w:rsidRPr="00CA3F08" w14:paraId="01715AF3" w14:textId="77777777" w:rsidTr="00373409">
        <w:trPr>
          <w:cantSplit/>
          <w:trHeight w:val="1066"/>
        </w:trPr>
        <w:tc>
          <w:tcPr>
            <w:tcW w:w="5040" w:type="dxa"/>
          </w:tcPr>
          <w:p w14:paraId="43845D91" w14:textId="77777777" w:rsidR="00000A1C" w:rsidRDefault="00000A1C" w:rsidP="008D6475">
            <w:pPr>
              <w:pStyle w:val="BodyText"/>
              <w:numPr>
                <w:ilvl w:val="0"/>
                <w:numId w:val="30"/>
              </w:numPr>
              <w:ind w:left="347" w:hanging="347"/>
              <w:rPr>
                <w:rFonts w:cs="Arial"/>
                <w:szCs w:val="22"/>
              </w:rPr>
            </w:pPr>
            <w:r>
              <w:rPr>
                <w:rFonts w:cs="Arial"/>
                <w:szCs w:val="22"/>
              </w:rPr>
              <w:t xml:space="preserve">Report on any notifications made to the </w:t>
            </w:r>
            <w:r w:rsidR="00837AEF">
              <w:rPr>
                <w:rFonts w:cs="Arial"/>
                <w:szCs w:val="22"/>
              </w:rPr>
              <w:t xml:space="preserve">Water Services </w:t>
            </w:r>
            <w:r>
              <w:rPr>
                <w:rFonts w:cs="Arial"/>
                <w:szCs w:val="22"/>
              </w:rPr>
              <w:t>Authority related to the supply of unsafe water related to bacteria risk.</w:t>
            </w:r>
          </w:p>
          <w:p w14:paraId="48064ED4" w14:textId="77777777" w:rsidR="00000A1C" w:rsidRPr="00000A1C" w:rsidRDefault="00000A1C" w:rsidP="008D6475">
            <w:pPr>
              <w:pStyle w:val="BodyText"/>
              <w:numPr>
                <w:ilvl w:val="0"/>
                <w:numId w:val="30"/>
              </w:numPr>
              <w:ind w:left="347" w:hanging="347"/>
              <w:rPr>
                <w:rFonts w:cs="Arial"/>
                <w:szCs w:val="22"/>
              </w:rPr>
            </w:pPr>
            <w:r>
              <w:rPr>
                <w:rFonts w:cs="Arial"/>
                <w:szCs w:val="22"/>
              </w:rPr>
              <w:t xml:space="preserve">Report on total number of </w:t>
            </w:r>
            <w:r w:rsidRPr="00A732E1">
              <w:rPr>
                <w:rFonts w:cs="Arial"/>
                <w:i/>
                <w:iCs/>
                <w:szCs w:val="22"/>
              </w:rPr>
              <w:t>E. coli</w:t>
            </w:r>
            <w:r>
              <w:rPr>
                <w:rFonts w:cs="Arial"/>
                <w:i/>
                <w:iCs/>
                <w:szCs w:val="22"/>
              </w:rPr>
              <w:t xml:space="preserve"> </w:t>
            </w:r>
            <w:r>
              <w:rPr>
                <w:rFonts w:cs="Arial"/>
                <w:szCs w:val="22"/>
              </w:rPr>
              <w:t>samples taken in the supply which did not meet the Standards and the response to those non-compliant samples.</w:t>
            </w:r>
          </w:p>
        </w:tc>
        <w:tc>
          <w:tcPr>
            <w:tcW w:w="4319" w:type="dxa"/>
          </w:tcPr>
          <w:p w14:paraId="350AFBF9" w14:textId="77777777" w:rsidR="00000A1C" w:rsidRPr="00000A1C" w:rsidRDefault="00000A1C" w:rsidP="008D6475">
            <w:pPr>
              <w:pStyle w:val="BodyText"/>
              <w:numPr>
                <w:ilvl w:val="0"/>
                <w:numId w:val="32"/>
              </w:numPr>
              <w:ind w:left="280" w:hanging="280"/>
              <w:jc w:val="both"/>
              <w:rPr>
                <w:rFonts w:cs="Arial"/>
                <w:szCs w:val="22"/>
              </w:rPr>
            </w:pPr>
            <w:r>
              <w:rPr>
                <w:rFonts w:cs="Arial"/>
                <w:szCs w:val="22"/>
              </w:rPr>
              <w:t xml:space="preserve">Report on any notifications made to the </w:t>
            </w:r>
            <w:r w:rsidR="00837AEF">
              <w:rPr>
                <w:rFonts w:cs="Arial"/>
                <w:szCs w:val="22"/>
              </w:rPr>
              <w:t>Water Services Authorit</w:t>
            </w:r>
            <w:r>
              <w:rPr>
                <w:rFonts w:cs="Arial"/>
                <w:szCs w:val="22"/>
              </w:rPr>
              <w:t>y related to the supply of unsafe water related to protozoa risk.</w:t>
            </w:r>
          </w:p>
        </w:tc>
      </w:tr>
    </w:tbl>
    <w:p w14:paraId="74BAC76F" w14:textId="77777777" w:rsidR="00000A1C" w:rsidRPr="00CA3F08" w:rsidRDefault="00000A1C" w:rsidP="00D609A5">
      <w:pPr>
        <w:pStyle w:val="BodyText"/>
        <w:jc w:val="both"/>
        <w:rPr>
          <w:rFonts w:cs="Arial"/>
          <w:szCs w:val="22"/>
        </w:rPr>
      </w:pPr>
    </w:p>
    <w:p w14:paraId="2D90794D" w14:textId="27786816" w:rsidR="00592816" w:rsidRDefault="00000A1C" w:rsidP="68A96D08">
      <w:pPr>
        <w:pStyle w:val="BodyText"/>
        <w:jc w:val="both"/>
        <w:rPr>
          <w:rFonts w:cs="Arial"/>
        </w:rPr>
      </w:pPr>
      <w:r w:rsidRPr="10B8B546">
        <w:rPr>
          <w:rFonts w:cs="Arial"/>
        </w:rPr>
        <w:br w:type="page"/>
      </w:r>
      <w:r w:rsidR="004A3142" w:rsidRPr="10B8B546">
        <w:rPr>
          <w:rFonts w:cs="Arial"/>
        </w:rPr>
        <w:t xml:space="preserve">Local authorities </w:t>
      </w:r>
      <w:r w:rsidR="004B2F4E" w:rsidRPr="10B8B546">
        <w:rPr>
          <w:rFonts w:cs="Arial"/>
        </w:rPr>
        <w:t xml:space="preserve">only </w:t>
      </w:r>
      <w:proofErr w:type="gramStart"/>
      <w:r w:rsidR="004B2F4E" w:rsidRPr="10B8B546">
        <w:rPr>
          <w:rFonts w:cs="Arial"/>
        </w:rPr>
        <w:t>have to</w:t>
      </w:r>
      <w:proofErr w:type="gramEnd"/>
      <w:r w:rsidR="004B2F4E" w:rsidRPr="10B8B546">
        <w:rPr>
          <w:rFonts w:cs="Arial"/>
        </w:rPr>
        <w:t xml:space="preserve"> report against the rules that apply to the size of each water supply.  However, councils can elect to demonstrate compliance with a higher level of the Rules module if they choose</w:t>
      </w:r>
      <w:r w:rsidR="00FD216B" w:rsidRPr="10B8B546">
        <w:rPr>
          <w:rFonts w:cs="Arial"/>
        </w:rPr>
        <w:t xml:space="preserve"> as per the registration in </w:t>
      </w:r>
      <w:proofErr w:type="spellStart"/>
      <w:r w:rsidR="6C46D0C8" w:rsidRPr="10B8B546">
        <w:rPr>
          <w:rFonts w:cs="Arial"/>
        </w:rPr>
        <w:t>Hinekōrako</w:t>
      </w:r>
      <w:proofErr w:type="spellEnd"/>
      <w:r w:rsidR="00FD216B" w:rsidRPr="10B8B546">
        <w:rPr>
          <w:rFonts w:cs="Arial"/>
        </w:rPr>
        <w:t xml:space="preserve">. </w:t>
      </w:r>
    </w:p>
    <w:p w14:paraId="45F159AA" w14:textId="2DD4216A" w:rsidR="00592816" w:rsidRDefault="004A3142" w:rsidP="68A96D08">
      <w:pPr>
        <w:pStyle w:val="BodyText"/>
        <w:jc w:val="both"/>
        <w:rPr>
          <w:rFonts w:cs="Arial"/>
        </w:rPr>
      </w:pPr>
      <w:r w:rsidRPr="12CDF2D6">
        <w:rPr>
          <w:rFonts w:cs="Arial"/>
        </w:rPr>
        <w:t>Local authorities</w:t>
      </w:r>
      <w:r w:rsidR="00C11E61" w:rsidRPr="12CDF2D6">
        <w:rPr>
          <w:rFonts w:cs="Arial"/>
        </w:rPr>
        <w:t xml:space="preserve"> should determine </w:t>
      </w:r>
      <w:r w:rsidR="138ACD54" w:rsidRPr="12CDF2D6">
        <w:rPr>
          <w:rFonts w:cs="Arial"/>
        </w:rPr>
        <w:t>the extent to which</w:t>
      </w:r>
      <w:r w:rsidR="00C11E61" w:rsidRPr="12CDF2D6">
        <w:rPr>
          <w:rFonts w:cs="Arial"/>
        </w:rPr>
        <w:t xml:space="preserve"> </w:t>
      </w:r>
      <w:r w:rsidR="0004032B" w:rsidRPr="12CDF2D6">
        <w:rPr>
          <w:rFonts w:cs="Arial"/>
        </w:rPr>
        <w:t>each of their</w:t>
      </w:r>
      <w:r w:rsidR="00C11E61" w:rsidRPr="12CDF2D6">
        <w:rPr>
          <w:rFonts w:cs="Arial"/>
        </w:rPr>
        <w:t xml:space="preserve"> supplies </w:t>
      </w:r>
      <w:r w:rsidRPr="12CDF2D6">
        <w:rPr>
          <w:rFonts w:cs="Arial"/>
        </w:rPr>
        <w:t xml:space="preserve">have </w:t>
      </w:r>
      <w:r w:rsidR="134043C6" w:rsidRPr="12CDF2D6">
        <w:rPr>
          <w:rFonts w:cs="Arial"/>
        </w:rPr>
        <w:t xml:space="preserve">met </w:t>
      </w:r>
      <w:r w:rsidR="00C11E61" w:rsidRPr="12CDF2D6">
        <w:rPr>
          <w:rFonts w:cs="Arial"/>
        </w:rPr>
        <w:t>each of the</w:t>
      </w:r>
      <w:r w:rsidR="0004032B" w:rsidRPr="12CDF2D6">
        <w:rPr>
          <w:rFonts w:cs="Arial"/>
        </w:rPr>
        <w:t xml:space="preserve"> </w:t>
      </w:r>
      <w:r w:rsidR="00A857A0" w:rsidRPr="12CDF2D6">
        <w:rPr>
          <w:rFonts w:cs="Arial"/>
        </w:rPr>
        <w:t xml:space="preserve">two groups of </w:t>
      </w:r>
      <w:r w:rsidR="0004032B" w:rsidRPr="12CDF2D6">
        <w:rPr>
          <w:rFonts w:cs="Arial"/>
        </w:rPr>
        <w:t>measures above</w:t>
      </w:r>
      <w:r w:rsidR="004B2F4E" w:rsidRPr="12CDF2D6">
        <w:rPr>
          <w:rFonts w:cs="Arial"/>
        </w:rPr>
        <w:t xml:space="preserve"> for each of their supplies.</w:t>
      </w:r>
      <w:r w:rsidR="00C11E61" w:rsidRPr="12CDF2D6">
        <w:rPr>
          <w:rFonts w:cs="Arial"/>
        </w:rPr>
        <w:t xml:space="preserve"> </w:t>
      </w:r>
    </w:p>
    <w:p w14:paraId="277DEE26" w14:textId="3A31959F" w:rsidR="00592816" w:rsidRPr="00592816" w:rsidRDefault="00592816" w:rsidP="68A96D08">
      <w:pPr>
        <w:pStyle w:val="BodyText"/>
        <w:jc w:val="both"/>
        <w:rPr>
          <w:rFonts w:cs="Arial"/>
          <w:szCs w:val="22"/>
        </w:rPr>
      </w:pPr>
      <w:r>
        <w:rPr>
          <w:rFonts w:cs="Arial"/>
          <w:szCs w:val="22"/>
        </w:rPr>
        <w:t>In their reporting, a</w:t>
      </w:r>
      <w:r w:rsidRPr="006659A7">
        <w:rPr>
          <w:rFonts w:cs="Arial"/>
          <w:szCs w:val="22"/>
        </w:rPr>
        <w:t xml:space="preserve"> territorial authority may estimate the percentage of properties which have implemented end-point treatment. We recommend percentages are represented in plain language and use the following thresholds: “All met” (100%), “Almost met” (95-99%), “Partially met” (1-94%), and “None met” (0%).</w:t>
      </w:r>
    </w:p>
    <w:p w14:paraId="7AC0B284" w14:textId="0854209A" w:rsidR="00AA7C4D" w:rsidRDefault="4604F529" w:rsidP="3DD5B6BE">
      <w:pPr>
        <w:pStyle w:val="BodyText"/>
        <w:jc w:val="both"/>
        <w:rPr>
          <w:rFonts w:cs="Arial"/>
        </w:rPr>
      </w:pPr>
      <w:r w:rsidRPr="00055CC1">
        <w:rPr>
          <w:rFonts w:cs="Arial"/>
          <w:b/>
          <w:bCs/>
          <w:i/>
          <w:iCs/>
          <w:u w:val="single"/>
        </w:rPr>
        <w:t xml:space="preserve">The </w:t>
      </w:r>
      <w:r w:rsidR="00CA24FF" w:rsidRPr="00055CC1">
        <w:rPr>
          <w:rFonts w:cs="Arial"/>
          <w:b/>
          <w:bCs/>
          <w:i/>
          <w:iCs/>
          <w:u w:val="single"/>
        </w:rPr>
        <w:t>DWQAR aggregate compliance</w:t>
      </w:r>
      <w:r w:rsidR="00FE5ACF">
        <w:rPr>
          <w:rFonts w:cs="Arial"/>
          <w:b/>
          <w:bCs/>
          <w:i/>
          <w:iCs/>
          <w:u w:val="single"/>
        </w:rPr>
        <w:t xml:space="preserve"> rate</w:t>
      </w:r>
      <w:r w:rsidR="00CA24FF" w:rsidRPr="00055CC1">
        <w:rPr>
          <w:rFonts w:cs="Arial"/>
          <w:b/>
          <w:bCs/>
          <w:i/>
          <w:iCs/>
          <w:u w:val="single"/>
        </w:rPr>
        <w:t xml:space="preserve"> methodology</w:t>
      </w:r>
      <w:r w:rsidR="00CA24FF">
        <w:rPr>
          <w:rFonts w:cs="Arial"/>
        </w:rPr>
        <w:t xml:space="preserve"> should be used </w:t>
      </w:r>
      <w:r w:rsidRPr="12CDF2D6">
        <w:rPr>
          <w:rFonts w:cs="Arial"/>
        </w:rPr>
        <w:t>in calculating whether the performance measures for bacteriological compliance and protozoal compliance were “</w:t>
      </w:r>
      <w:r w:rsidRPr="12CDF2D6">
        <w:rPr>
          <w:rFonts w:cs="Arial"/>
          <w:b/>
          <w:bCs/>
          <w:i/>
          <w:iCs/>
        </w:rPr>
        <w:t>All met</w:t>
      </w:r>
      <w:r w:rsidRPr="12CDF2D6">
        <w:rPr>
          <w:rFonts w:cs="Arial"/>
        </w:rPr>
        <w:t>”, “</w:t>
      </w:r>
      <w:r w:rsidRPr="12CDF2D6">
        <w:rPr>
          <w:rFonts w:cs="Arial"/>
          <w:b/>
          <w:bCs/>
          <w:i/>
          <w:iCs/>
        </w:rPr>
        <w:t>Almost met</w:t>
      </w:r>
      <w:r w:rsidRPr="12CDF2D6">
        <w:rPr>
          <w:rFonts w:cs="Arial"/>
        </w:rPr>
        <w:t>”, “</w:t>
      </w:r>
      <w:r w:rsidRPr="12CDF2D6">
        <w:rPr>
          <w:rFonts w:cs="Arial"/>
          <w:b/>
          <w:bCs/>
          <w:i/>
          <w:iCs/>
        </w:rPr>
        <w:t>Partially met</w:t>
      </w:r>
      <w:r w:rsidRPr="12CDF2D6">
        <w:rPr>
          <w:rFonts w:cs="Arial"/>
        </w:rPr>
        <w:t>”, or “</w:t>
      </w:r>
      <w:r w:rsidRPr="12CDF2D6">
        <w:rPr>
          <w:rFonts w:cs="Arial"/>
          <w:b/>
          <w:bCs/>
          <w:i/>
          <w:iCs/>
        </w:rPr>
        <w:t>None met</w:t>
      </w:r>
      <w:r w:rsidRPr="12CDF2D6">
        <w:rPr>
          <w:rFonts w:cs="Arial"/>
        </w:rPr>
        <w:t>”.</w:t>
      </w:r>
    </w:p>
    <w:p w14:paraId="3B891717" w14:textId="5A11DFB9" w:rsidR="00F74C8F" w:rsidRDefault="00FD216B" w:rsidP="3DD5B6BE">
      <w:pPr>
        <w:pStyle w:val="BodyText"/>
        <w:jc w:val="both"/>
        <w:rPr>
          <w:rFonts w:cs="Arial"/>
        </w:rPr>
      </w:pPr>
      <w:r w:rsidRPr="3DD5B6BE">
        <w:rPr>
          <w:rFonts w:cs="Arial"/>
        </w:rPr>
        <w:t xml:space="preserve">To assist with transparency to the community, we recommend </w:t>
      </w:r>
      <w:r w:rsidR="07693D4F" w:rsidRPr="3DD5B6BE">
        <w:rPr>
          <w:rFonts w:cs="Arial"/>
        </w:rPr>
        <w:t xml:space="preserve">that </w:t>
      </w:r>
      <w:r w:rsidRPr="3DD5B6BE">
        <w:rPr>
          <w:rFonts w:cs="Arial"/>
        </w:rPr>
        <w:t xml:space="preserve">local authorities </w:t>
      </w:r>
      <w:r w:rsidR="00F74C8F" w:rsidRPr="3DD5B6BE">
        <w:rPr>
          <w:rFonts w:cs="Arial"/>
        </w:rPr>
        <w:t xml:space="preserve">disclose the size of the supply and the </w:t>
      </w:r>
      <w:r w:rsidRPr="3DD5B6BE">
        <w:rPr>
          <w:rFonts w:cs="Arial"/>
        </w:rPr>
        <w:t xml:space="preserve">performance measure </w:t>
      </w:r>
      <w:r w:rsidR="00F74C8F" w:rsidRPr="3DD5B6BE">
        <w:rPr>
          <w:rFonts w:cs="Arial"/>
        </w:rPr>
        <w:t xml:space="preserve">Rules that compliance is assessed against. </w:t>
      </w:r>
    </w:p>
    <w:p w14:paraId="1547991C" w14:textId="77777777" w:rsidR="00D609A5" w:rsidRPr="00CA3F08" w:rsidRDefault="00F03AF3" w:rsidP="001466C1">
      <w:pPr>
        <w:pStyle w:val="BodyText"/>
        <w:jc w:val="both"/>
        <w:rPr>
          <w:rFonts w:cs="Arial"/>
          <w:szCs w:val="22"/>
        </w:rPr>
      </w:pPr>
      <w:r>
        <w:rPr>
          <w:rFonts w:cs="Arial"/>
          <w:szCs w:val="22"/>
        </w:rPr>
        <w:t>Some examples of</w:t>
      </w:r>
      <w:r w:rsidR="002F1B25">
        <w:rPr>
          <w:rFonts w:cs="Arial"/>
          <w:szCs w:val="22"/>
        </w:rPr>
        <w:t xml:space="preserve"> how</w:t>
      </w:r>
      <w:r>
        <w:rPr>
          <w:rFonts w:cs="Arial"/>
          <w:szCs w:val="22"/>
        </w:rPr>
        <w:t xml:space="preserve"> this </w:t>
      </w:r>
      <w:r w:rsidR="002F1B25">
        <w:rPr>
          <w:rFonts w:cs="Arial"/>
          <w:szCs w:val="22"/>
        </w:rPr>
        <w:t>might be presented is</w:t>
      </w:r>
      <w:r>
        <w:rPr>
          <w:rFonts w:cs="Arial"/>
          <w:szCs w:val="22"/>
        </w:rPr>
        <w:t xml:space="preserve"> given below.</w:t>
      </w:r>
      <w:r w:rsidR="00346030">
        <w:rPr>
          <w:rFonts w:cs="Arial"/>
          <w:szCs w:val="22"/>
        </w:rPr>
        <w:t xml:space="preserve"> </w:t>
      </w:r>
      <w:r w:rsidR="001466C1">
        <w:rPr>
          <w:rFonts w:cs="Arial"/>
          <w:szCs w:val="22"/>
        </w:rPr>
        <w:t xml:space="preserve">Local </w:t>
      </w:r>
      <w:r w:rsidR="00D609A5" w:rsidRPr="00CA3F08">
        <w:rPr>
          <w:rFonts w:cs="Arial"/>
          <w:szCs w:val="22"/>
        </w:rPr>
        <w:t>authorities may choose to provide further information on the level of compliance achieved</w:t>
      </w:r>
      <w:r w:rsidR="002F1B25">
        <w:rPr>
          <w:rFonts w:cs="Arial"/>
          <w:szCs w:val="22"/>
        </w:rPr>
        <w:t>, including whether they have a drinking water safety plan and the extent to which the plan is implemented.</w:t>
      </w:r>
    </w:p>
    <w:p w14:paraId="76C99325" w14:textId="77777777" w:rsidR="00F03AF3" w:rsidRPr="00CA3F08" w:rsidRDefault="00D609A5" w:rsidP="00CA3F08">
      <w:pPr>
        <w:pStyle w:val="BodyText"/>
        <w:jc w:val="both"/>
        <w:rPr>
          <w:rFonts w:cs="Arial"/>
          <w:szCs w:val="22"/>
        </w:rPr>
      </w:pPr>
      <w:r w:rsidRPr="00CA3F08">
        <w:rPr>
          <w:rFonts w:cs="Arial"/>
          <w:szCs w:val="22"/>
        </w:rPr>
        <w:t xml:space="preserve">If the results for compliance on any of the measures are less than </w:t>
      </w:r>
      <w:r w:rsidR="00F03AF3">
        <w:rPr>
          <w:rFonts w:cs="Arial"/>
          <w:b/>
          <w:bCs/>
          <w:szCs w:val="22"/>
        </w:rPr>
        <w:t>“All met”</w:t>
      </w:r>
      <w:r w:rsidRPr="00CA3F08">
        <w:rPr>
          <w:rFonts w:cs="Arial"/>
          <w:szCs w:val="22"/>
        </w:rPr>
        <w:t>, then a commentary should be included as to why this is the case.</w:t>
      </w:r>
    </w:p>
    <w:p w14:paraId="2E1EF9B0" w14:textId="77777777" w:rsidR="00D609A5" w:rsidRPr="00CA3F08" w:rsidRDefault="00D609A5" w:rsidP="00D609A5">
      <w:pPr>
        <w:pStyle w:val="Heading3"/>
        <w:rPr>
          <w:sz w:val="22"/>
          <w:szCs w:val="22"/>
        </w:rPr>
      </w:pPr>
      <w:r w:rsidRPr="00CA3F08">
        <w:rPr>
          <w:sz w:val="22"/>
          <w:szCs w:val="22"/>
        </w:rPr>
        <w:t>Worked example</w:t>
      </w:r>
    </w:p>
    <w:tbl>
      <w:tblPr>
        <w:tblW w:w="92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C0" w:firstRow="0" w:lastRow="1" w:firstColumn="1" w:lastColumn="1" w:noHBand="0" w:noVBand="0"/>
      </w:tblPr>
      <w:tblGrid>
        <w:gridCol w:w="4643"/>
        <w:gridCol w:w="4644"/>
      </w:tblGrid>
      <w:tr w:rsidR="00D609A5" w:rsidRPr="00CA3F08" w14:paraId="48A3BDC6" w14:textId="77777777" w:rsidTr="3AC249E8">
        <w:trPr>
          <w:tblHeader/>
        </w:trPr>
        <w:tc>
          <w:tcPr>
            <w:tcW w:w="4643" w:type="dxa"/>
            <w:tcBorders>
              <w:top w:val="single" w:sz="4" w:space="0" w:color="auto"/>
              <w:left w:val="single" w:sz="4" w:space="0" w:color="auto"/>
              <w:bottom w:val="single" w:sz="4" w:space="0" w:color="auto"/>
              <w:right w:val="single" w:sz="6" w:space="0" w:color="auto"/>
              <w:tl2br w:val="nil"/>
              <w:tr2bl w:val="nil"/>
            </w:tcBorders>
            <w:shd w:val="clear" w:color="auto" w:fill="CCCCCC"/>
          </w:tcPr>
          <w:p w14:paraId="755DA987" w14:textId="77777777" w:rsidR="00D609A5" w:rsidRPr="00CA3F08" w:rsidRDefault="00D609A5" w:rsidP="00DB6581">
            <w:pPr>
              <w:rPr>
                <w:rFonts w:cs="Arial"/>
                <w:b/>
                <w:bCs/>
                <w:szCs w:val="22"/>
              </w:rPr>
            </w:pPr>
            <w:r w:rsidRPr="00CA3F08">
              <w:rPr>
                <w:rFonts w:cs="Arial"/>
                <w:b/>
                <w:bCs/>
                <w:szCs w:val="22"/>
              </w:rPr>
              <w:t>Target</w:t>
            </w:r>
          </w:p>
        </w:tc>
        <w:tc>
          <w:tcPr>
            <w:tcW w:w="4644" w:type="dxa"/>
            <w:tcBorders>
              <w:top w:val="single" w:sz="4" w:space="0" w:color="auto"/>
              <w:left w:val="single" w:sz="6" w:space="0" w:color="auto"/>
              <w:bottom w:val="single" w:sz="4" w:space="0" w:color="auto"/>
              <w:right w:val="single" w:sz="4" w:space="0" w:color="auto"/>
              <w:tl2br w:val="nil"/>
              <w:tr2bl w:val="nil"/>
            </w:tcBorders>
            <w:shd w:val="clear" w:color="auto" w:fill="CCCCCC"/>
          </w:tcPr>
          <w:p w14:paraId="253DA305" w14:textId="77777777" w:rsidR="00D609A5" w:rsidRPr="00CA3F08" w:rsidRDefault="00D609A5" w:rsidP="00DB6581">
            <w:pPr>
              <w:rPr>
                <w:rFonts w:cs="Arial"/>
                <w:b/>
                <w:bCs/>
                <w:szCs w:val="22"/>
              </w:rPr>
            </w:pPr>
            <w:r w:rsidRPr="00CA3F08">
              <w:rPr>
                <w:rFonts w:cs="Arial"/>
                <w:b/>
                <w:bCs/>
                <w:szCs w:val="22"/>
              </w:rPr>
              <w:t xml:space="preserve">Actual </w:t>
            </w:r>
          </w:p>
        </w:tc>
      </w:tr>
      <w:tr w:rsidR="002F548F" w:rsidRPr="00CA3F08" w14:paraId="486D59D6" w14:textId="77777777" w:rsidTr="3AC249E8">
        <w:tc>
          <w:tcPr>
            <w:tcW w:w="9287" w:type="dxa"/>
            <w:gridSpan w:val="2"/>
            <w:tcBorders>
              <w:bottom w:val="nil"/>
            </w:tcBorders>
          </w:tcPr>
          <w:p w14:paraId="0C4EDC7D" w14:textId="7ECD9320" w:rsidR="002F548F" w:rsidRPr="00373409" w:rsidRDefault="002F548F" w:rsidP="002F548F">
            <w:pPr>
              <w:pStyle w:val="BodyText"/>
              <w:jc w:val="center"/>
              <w:rPr>
                <w:rFonts w:cs="Arial"/>
                <w:b/>
                <w:bCs/>
                <w:szCs w:val="22"/>
              </w:rPr>
            </w:pPr>
            <w:r w:rsidRPr="00373409">
              <w:rPr>
                <w:rFonts w:cs="Arial"/>
                <w:b/>
                <w:bCs/>
                <w:sz w:val="24"/>
                <w:u w:val="single"/>
              </w:rPr>
              <w:t>Bacteriological Compliance</w:t>
            </w:r>
          </w:p>
        </w:tc>
      </w:tr>
      <w:tr w:rsidR="00D609A5" w:rsidRPr="00CA3F08" w14:paraId="32A9E8B1" w14:textId="77777777" w:rsidTr="3AC249E8">
        <w:tc>
          <w:tcPr>
            <w:tcW w:w="4643" w:type="dxa"/>
            <w:tcBorders>
              <w:top w:val="nil"/>
              <w:left w:val="single" w:sz="4" w:space="0" w:color="auto"/>
              <w:bottom w:val="nil"/>
              <w:right w:val="single" w:sz="4" w:space="0" w:color="auto"/>
            </w:tcBorders>
          </w:tcPr>
          <w:p w14:paraId="37872C55" w14:textId="77777777" w:rsidR="00D609A5" w:rsidRDefault="00FD216B" w:rsidP="00DB6581">
            <w:pPr>
              <w:pStyle w:val="BodyText"/>
              <w:jc w:val="both"/>
              <w:rPr>
                <w:rFonts w:cs="Arial"/>
                <w:szCs w:val="22"/>
              </w:rPr>
            </w:pPr>
            <w:r w:rsidRPr="00373409">
              <w:rPr>
                <w:rFonts w:cs="Arial"/>
                <w:b/>
                <w:bCs/>
                <w:szCs w:val="22"/>
              </w:rPr>
              <w:t>Town</w:t>
            </w:r>
            <w:r w:rsidR="0099029B" w:rsidRPr="00373409">
              <w:rPr>
                <w:rFonts w:cs="Arial"/>
                <w:b/>
                <w:bCs/>
                <w:szCs w:val="22"/>
              </w:rPr>
              <w:t xml:space="preserve"> </w:t>
            </w:r>
            <w:r w:rsidR="00D609A5" w:rsidRPr="00373409">
              <w:rPr>
                <w:rFonts w:cs="Arial"/>
                <w:b/>
                <w:bCs/>
                <w:szCs w:val="22"/>
              </w:rPr>
              <w:t xml:space="preserve">One </w:t>
            </w:r>
            <w:r w:rsidR="00D609A5" w:rsidRPr="00CA3F08">
              <w:rPr>
                <w:rFonts w:cs="Arial"/>
                <w:szCs w:val="22"/>
              </w:rPr>
              <w:t xml:space="preserve">= </w:t>
            </w:r>
            <w:r w:rsidR="0099029B">
              <w:rPr>
                <w:rFonts w:cs="Arial"/>
                <w:szCs w:val="22"/>
              </w:rPr>
              <w:t>All met</w:t>
            </w:r>
          </w:p>
          <w:p w14:paraId="57BC9BC8" w14:textId="77777777" w:rsidR="00FD216B" w:rsidRDefault="00FD216B" w:rsidP="001A30E8">
            <w:pPr>
              <w:pStyle w:val="BodyText"/>
              <w:jc w:val="both"/>
              <w:rPr>
                <w:rFonts w:cs="Arial"/>
                <w:szCs w:val="22"/>
              </w:rPr>
            </w:pPr>
            <w:r>
              <w:rPr>
                <w:rFonts w:cs="Arial"/>
                <w:szCs w:val="22"/>
              </w:rPr>
              <w:t xml:space="preserve">Serviced population </w:t>
            </w:r>
            <w:r w:rsidR="00792BF1">
              <w:rPr>
                <w:rFonts w:cs="Arial"/>
                <w:szCs w:val="22"/>
              </w:rPr>
              <w:t xml:space="preserve">of </w:t>
            </w:r>
            <w:r>
              <w:rPr>
                <w:rFonts w:cs="Arial"/>
                <w:szCs w:val="22"/>
              </w:rPr>
              <w:t>60 people, reporting against:</w:t>
            </w:r>
          </w:p>
          <w:p w14:paraId="79B13EDD" w14:textId="1F88204C" w:rsidR="00FD216B" w:rsidRPr="00373409" w:rsidRDefault="00792BF1" w:rsidP="001A30E8">
            <w:pPr>
              <w:pStyle w:val="BodyText"/>
              <w:numPr>
                <w:ilvl w:val="0"/>
                <w:numId w:val="34"/>
              </w:numPr>
              <w:jc w:val="both"/>
              <w:rPr>
                <w:rFonts w:cs="Arial"/>
                <w:szCs w:val="22"/>
              </w:rPr>
            </w:pPr>
            <w:r w:rsidRPr="00373409">
              <w:rPr>
                <w:rFonts w:cs="Arial"/>
                <w:szCs w:val="22"/>
              </w:rPr>
              <w:t xml:space="preserve">(a) </w:t>
            </w:r>
            <w:r w:rsidR="00FD216B" w:rsidRPr="00373409">
              <w:rPr>
                <w:rFonts w:cs="Arial"/>
                <w:szCs w:val="22"/>
              </w:rPr>
              <w:t>T1 Treatment Rules</w:t>
            </w:r>
          </w:p>
          <w:p w14:paraId="5B98303C" w14:textId="444BC2D9" w:rsidR="00340AB3" w:rsidRPr="001A30E8" w:rsidRDefault="00792BF1" w:rsidP="001A30E8">
            <w:pPr>
              <w:pStyle w:val="BodyText"/>
              <w:numPr>
                <w:ilvl w:val="0"/>
                <w:numId w:val="34"/>
              </w:numPr>
              <w:rPr>
                <w:rFonts w:cs="Arial"/>
                <w:szCs w:val="22"/>
              </w:rPr>
            </w:pPr>
            <w:r w:rsidRPr="00373409">
              <w:rPr>
                <w:rFonts w:cs="Arial"/>
                <w:szCs w:val="22"/>
              </w:rPr>
              <w:t>(b) 4 D1.1 Distribution System Rule</w:t>
            </w:r>
          </w:p>
          <w:p w14:paraId="787F508D" w14:textId="77777777" w:rsidR="00D609A5" w:rsidRPr="00CA3F08" w:rsidRDefault="00D609A5" w:rsidP="00373409">
            <w:pPr>
              <w:pStyle w:val="BodyText"/>
            </w:pPr>
          </w:p>
        </w:tc>
        <w:tc>
          <w:tcPr>
            <w:tcW w:w="4644" w:type="dxa"/>
            <w:tcBorders>
              <w:top w:val="nil"/>
              <w:left w:val="single" w:sz="4" w:space="0" w:color="auto"/>
              <w:bottom w:val="nil"/>
              <w:right w:val="single" w:sz="4" w:space="0" w:color="auto"/>
            </w:tcBorders>
          </w:tcPr>
          <w:p w14:paraId="4DFF5BEB" w14:textId="341A342C" w:rsidR="00D609A5" w:rsidRDefault="00D609A5" w:rsidP="00DB6581">
            <w:pPr>
              <w:pStyle w:val="BodyText"/>
              <w:jc w:val="both"/>
              <w:rPr>
                <w:rFonts w:cs="Arial"/>
                <w:szCs w:val="22"/>
              </w:rPr>
            </w:pPr>
            <w:r w:rsidRPr="00373409">
              <w:rPr>
                <w:rFonts w:cs="Arial"/>
                <w:b/>
                <w:bCs/>
                <w:szCs w:val="22"/>
              </w:rPr>
              <w:t>Town One</w:t>
            </w:r>
            <w:r w:rsidRPr="00CA3F08">
              <w:rPr>
                <w:rFonts w:cs="Arial"/>
                <w:szCs w:val="22"/>
              </w:rPr>
              <w:t xml:space="preserve"> </w:t>
            </w:r>
          </w:p>
          <w:p w14:paraId="04C14618" w14:textId="7EFB6142" w:rsidR="001A30E8" w:rsidRDefault="001A30E8" w:rsidP="00DB6581">
            <w:pPr>
              <w:pStyle w:val="BodyText"/>
              <w:jc w:val="both"/>
              <w:rPr>
                <w:rFonts w:cs="Arial"/>
                <w:szCs w:val="22"/>
              </w:rPr>
            </w:pPr>
            <w:r>
              <w:rPr>
                <w:rFonts w:cs="Arial"/>
                <w:szCs w:val="22"/>
              </w:rPr>
              <w:t>Serviced population of 60 people, reporting against:</w:t>
            </w:r>
          </w:p>
          <w:p w14:paraId="05D09829" w14:textId="297EE45D" w:rsidR="002F548F" w:rsidRPr="00373409" w:rsidRDefault="002F548F" w:rsidP="002F548F">
            <w:pPr>
              <w:pStyle w:val="BodyText"/>
              <w:numPr>
                <w:ilvl w:val="0"/>
                <w:numId w:val="34"/>
              </w:numPr>
              <w:jc w:val="both"/>
              <w:rPr>
                <w:rFonts w:cs="Arial"/>
                <w:szCs w:val="22"/>
              </w:rPr>
            </w:pPr>
            <w:r w:rsidRPr="00373409">
              <w:rPr>
                <w:rFonts w:cs="Arial"/>
                <w:szCs w:val="22"/>
              </w:rPr>
              <w:t>(a) T1 Treatment Rules</w:t>
            </w:r>
            <w:r>
              <w:rPr>
                <w:rFonts w:cs="Arial"/>
                <w:szCs w:val="22"/>
              </w:rPr>
              <w:t xml:space="preserve"> = All met </w:t>
            </w:r>
          </w:p>
          <w:p w14:paraId="36F01031" w14:textId="47A02EDD" w:rsidR="00346030" w:rsidRPr="001A30E8" w:rsidRDefault="002F548F" w:rsidP="001A30E8">
            <w:pPr>
              <w:pStyle w:val="BodyText"/>
              <w:numPr>
                <w:ilvl w:val="0"/>
                <w:numId w:val="34"/>
              </w:numPr>
              <w:rPr>
                <w:rFonts w:cs="Arial"/>
                <w:szCs w:val="22"/>
              </w:rPr>
            </w:pPr>
            <w:r w:rsidRPr="00373409">
              <w:rPr>
                <w:rFonts w:cs="Arial"/>
                <w:szCs w:val="22"/>
              </w:rPr>
              <w:t>(b) D1.1 Distribution System Rule</w:t>
            </w:r>
            <w:r>
              <w:rPr>
                <w:rFonts w:cs="Arial"/>
                <w:szCs w:val="22"/>
              </w:rPr>
              <w:t xml:space="preserve"> = All met </w:t>
            </w:r>
          </w:p>
        </w:tc>
      </w:tr>
      <w:tr w:rsidR="002F548F" w:rsidRPr="00CA3F08" w14:paraId="6518C060" w14:textId="77777777" w:rsidTr="3AC249E8">
        <w:tc>
          <w:tcPr>
            <w:tcW w:w="4643" w:type="dxa"/>
            <w:tcBorders>
              <w:top w:val="nil"/>
              <w:left w:val="single" w:sz="4" w:space="0" w:color="auto"/>
              <w:bottom w:val="nil"/>
              <w:right w:val="single" w:sz="4" w:space="0" w:color="auto"/>
            </w:tcBorders>
          </w:tcPr>
          <w:p w14:paraId="4A2F201F" w14:textId="77777777" w:rsidR="002F548F" w:rsidRDefault="002F548F" w:rsidP="002F548F">
            <w:pPr>
              <w:pStyle w:val="BodyText"/>
              <w:jc w:val="both"/>
              <w:rPr>
                <w:rFonts w:cs="Arial"/>
                <w:szCs w:val="22"/>
              </w:rPr>
            </w:pPr>
            <w:r w:rsidRPr="00373409">
              <w:rPr>
                <w:rFonts w:cs="Arial"/>
                <w:b/>
                <w:bCs/>
                <w:szCs w:val="22"/>
              </w:rPr>
              <w:t>Town Two</w:t>
            </w:r>
            <w:r w:rsidRPr="00CA3F08">
              <w:rPr>
                <w:rFonts w:cs="Arial"/>
                <w:szCs w:val="22"/>
              </w:rPr>
              <w:t xml:space="preserve"> = </w:t>
            </w:r>
            <w:r>
              <w:rPr>
                <w:rFonts w:cs="Arial"/>
                <w:szCs w:val="22"/>
              </w:rPr>
              <w:t>All met</w:t>
            </w:r>
          </w:p>
          <w:p w14:paraId="0CF02699" w14:textId="77777777" w:rsidR="002F548F" w:rsidRDefault="002F548F" w:rsidP="001A30E8">
            <w:pPr>
              <w:pStyle w:val="BodyText"/>
              <w:jc w:val="both"/>
              <w:rPr>
                <w:rFonts w:cs="Arial"/>
                <w:szCs w:val="22"/>
              </w:rPr>
            </w:pPr>
            <w:r>
              <w:rPr>
                <w:rFonts w:cs="Arial"/>
                <w:szCs w:val="22"/>
              </w:rPr>
              <w:t xml:space="preserve">Serviced population of 300 people, reporting against: </w:t>
            </w:r>
          </w:p>
          <w:p w14:paraId="74056D2F" w14:textId="6732B697" w:rsidR="002F548F" w:rsidRPr="00373409" w:rsidRDefault="002F548F" w:rsidP="001A30E8">
            <w:pPr>
              <w:pStyle w:val="BodyText"/>
              <w:numPr>
                <w:ilvl w:val="0"/>
                <w:numId w:val="34"/>
              </w:numPr>
              <w:rPr>
                <w:rFonts w:cs="Arial"/>
                <w:szCs w:val="22"/>
              </w:rPr>
            </w:pPr>
            <w:r w:rsidRPr="00373409">
              <w:rPr>
                <w:rFonts w:cs="Arial"/>
                <w:szCs w:val="22"/>
              </w:rPr>
              <w:t>(c) T2 Treatment Monitoring Rules</w:t>
            </w:r>
          </w:p>
          <w:p w14:paraId="0F3A875C" w14:textId="1F93A4AF" w:rsidR="002F548F" w:rsidRPr="00373409" w:rsidRDefault="002F548F" w:rsidP="001A30E8">
            <w:pPr>
              <w:pStyle w:val="BodyText"/>
              <w:numPr>
                <w:ilvl w:val="0"/>
                <w:numId w:val="34"/>
              </w:numPr>
              <w:rPr>
                <w:rFonts w:cs="Arial"/>
                <w:szCs w:val="22"/>
              </w:rPr>
            </w:pPr>
            <w:r w:rsidRPr="00373409">
              <w:rPr>
                <w:rFonts w:cs="Arial"/>
                <w:szCs w:val="22"/>
              </w:rPr>
              <w:t>(f) T2 Chlorine Rules</w:t>
            </w:r>
          </w:p>
          <w:p w14:paraId="59EE6F47" w14:textId="7E21A1A4" w:rsidR="002F548F" w:rsidRPr="002F548F" w:rsidRDefault="002F548F" w:rsidP="001A30E8">
            <w:pPr>
              <w:pStyle w:val="BodyText"/>
              <w:numPr>
                <w:ilvl w:val="0"/>
                <w:numId w:val="34"/>
              </w:numPr>
              <w:rPr>
                <w:rFonts w:cs="Arial"/>
                <w:szCs w:val="22"/>
              </w:rPr>
            </w:pPr>
            <w:r w:rsidRPr="00373409">
              <w:rPr>
                <w:rFonts w:cs="Arial"/>
                <w:szCs w:val="22"/>
              </w:rPr>
              <w:t>(g) D2.1 Distribution System Rule</w:t>
            </w:r>
          </w:p>
        </w:tc>
        <w:tc>
          <w:tcPr>
            <w:tcW w:w="4644" w:type="dxa"/>
            <w:tcBorders>
              <w:top w:val="nil"/>
              <w:left w:val="single" w:sz="4" w:space="0" w:color="auto"/>
              <w:bottom w:val="nil"/>
              <w:right w:val="single" w:sz="4" w:space="0" w:color="auto"/>
            </w:tcBorders>
          </w:tcPr>
          <w:p w14:paraId="79BCE6BD" w14:textId="77777777" w:rsidR="002F548F" w:rsidRDefault="002F548F" w:rsidP="002F548F">
            <w:pPr>
              <w:pStyle w:val="BodyText"/>
              <w:jc w:val="both"/>
              <w:rPr>
                <w:rFonts w:cs="Arial"/>
                <w:szCs w:val="22"/>
              </w:rPr>
            </w:pPr>
            <w:r w:rsidRPr="00373409">
              <w:rPr>
                <w:rFonts w:cs="Arial"/>
                <w:b/>
                <w:bCs/>
                <w:szCs w:val="22"/>
              </w:rPr>
              <w:t>Town Two</w:t>
            </w:r>
            <w:r w:rsidRPr="00CA3F08">
              <w:rPr>
                <w:rFonts w:cs="Arial"/>
                <w:szCs w:val="22"/>
              </w:rPr>
              <w:t xml:space="preserve"> </w:t>
            </w:r>
          </w:p>
          <w:p w14:paraId="6C39E43A" w14:textId="124BBFD6" w:rsidR="001A30E8" w:rsidRDefault="001A30E8" w:rsidP="002F548F">
            <w:pPr>
              <w:pStyle w:val="BodyText"/>
              <w:jc w:val="both"/>
              <w:rPr>
                <w:rFonts w:cs="Arial"/>
                <w:szCs w:val="22"/>
              </w:rPr>
            </w:pPr>
            <w:r>
              <w:rPr>
                <w:rFonts w:cs="Arial"/>
                <w:szCs w:val="22"/>
              </w:rPr>
              <w:t xml:space="preserve">Serviced population of 300 people, reporting against: </w:t>
            </w:r>
          </w:p>
          <w:p w14:paraId="6F2501A4" w14:textId="05C26799" w:rsidR="002F548F" w:rsidRPr="002F548F" w:rsidRDefault="002F548F" w:rsidP="001A30E8">
            <w:pPr>
              <w:pStyle w:val="BodyText"/>
              <w:numPr>
                <w:ilvl w:val="0"/>
                <w:numId w:val="34"/>
              </w:numPr>
              <w:rPr>
                <w:rFonts w:cs="Arial"/>
                <w:szCs w:val="22"/>
              </w:rPr>
            </w:pPr>
            <w:r w:rsidRPr="00373409">
              <w:rPr>
                <w:rFonts w:cs="Arial"/>
                <w:szCs w:val="22"/>
              </w:rPr>
              <w:t>(c) T2 Treatment Monitoring Rules</w:t>
            </w:r>
            <w:r>
              <w:rPr>
                <w:rFonts w:cs="Arial"/>
                <w:szCs w:val="22"/>
              </w:rPr>
              <w:t xml:space="preserve"> = Almost met</w:t>
            </w:r>
          </w:p>
          <w:p w14:paraId="5FFC4CA0" w14:textId="0E0D1102" w:rsidR="002F548F" w:rsidRPr="00373409" w:rsidRDefault="002F548F" w:rsidP="001A30E8">
            <w:pPr>
              <w:pStyle w:val="BodyText"/>
              <w:numPr>
                <w:ilvl w:val="0"/>
                <w:numId w:val="34"/>
              </w:numPr>
              <w:rPr>
                <w:rFonts w:cs="Arial"/>
                <w:szCs w:val="22"/>
              </w:rPr>
            </w:pPr>
            <w:r w:rsidRPr="00373409">
              <w:rPr>
                <w:rFonts w:cs="Arial"/>
                <w:szCs w:val="22"/>
              </w:rPr>
              <w:t>(f) T2 Chlorine Rules</w:t>
            </w:r>
            <w:r>
              <w:rPr>
                <w:rFonts w:cs="Arial"/>
                <w:szCs w:val="22"/>
              </w:rPr>
              <w:t xml:space="preserve"> = All met </w:t>
            </w:r>
          </w:p>
          <w:p w14:paraId="288A1F51" w14:textId="26522496" w:rsidR="0001125A" w:rsidRPr="0001125A" w:rsidRDefault="002F548F" w:rsidP="0001125A">
            <w:pPr>
              <w:pStyle w:val="BodyText"/>
              <w:numPr>
                <w:ilvl w:val="0"/>
                <w:numId w:val="34"/>
              </w:numPr>
              <w:rPr>
                <w:rFonts w:cs="Arial"/>
                <w:szCs w:val="22"/>
              </w:rPr>
            </w:pPr>
            <w:r w:rsidRPr="00373409">
              <w:rPr>
                <w:rFonts w:cs="Arial"/>
                <w:szCs w:val="22"/>
              </w:rPr>
              <w:t>(g) D2.1 Distribution System Rule</w:t>
            </w:r>
            <w:r>
              <w:rPr>
                <w:rFonts w:cs="Arial"/>
                <w:szCs w:val="22"/>
              </w:rPr>
              <w:t xml:space="preserve"> = All met </w:t>
            </w:r>
          </w:p>
          <w:p w14:paraId="2B2FD55B" w14:textId="54E302F3" w:rsidR="00FC1D77" w:rsidRPr="002F548F" w:rsidRDefault="00253A5D" w:rsidP="00DB6581">
            <w:pPr>
              <w:pStyle w:val="BodyText"/>
              <w:jc w:val="both"/>
              <w:rPr>
                <w:rFonts w:cs="Arial"/>
              </w:rPr>
            </w:pPr>
            <w:r w:rsidRPr="3AC249E8">
              <w:rPr>
                <w:rFonts w:cs="Arial"/>
              </w:rPr>
              <w:t>Th</w:t>
            </w:r>
            <w:r w:rsidR="00E616FF" w:rsidRPr="3AC249E8">
              <w:rPr>
                <w:rFonts w:cs="Arial"/>
              </w:rPr>
              <w:t xml:space="preserve">e </w:t>
            </w:r>
            <w:r w:rsidR="00017D74" w:rsidRPr="3AC249E8">
              <w:rPr>
                <w:rFonts w:cs="Arial"/>
              </w:rPr>
              <w:t>team</w:t>
            </w:r>
            <w:r w:rsidR="00E616FF" w:rsidRPr="3AC249E8">
              <w:rPr>
                <w:rFonts w:cs="Arial"/>
              </w:rPr>
              <w:t xml:space="preserve"> responsible for</w:t>
            </w:r>
            <w:r w:rsidR="00E616FF" w:rsidRPr="00E90E51">
              <w:rPr>
                <w:rFonts w:cs="Arial"/>
                <w:i/>
                <w:iCs/>
              </w:rPr>
              <w:t xml:space="preserve"> E. coli </w:t>
            </w:r>
            <w:r w:rsidR="003C33A0" w:rsidRPr="3AC249E8">
              <w:rPr>
                <w:rFonts w:cs="Arial"/>
              </w:rPr>
              <w:t>sampling had some</w:t>
            </w:r>
            <w:r w:rsidR="00017D74" w:rsidRPr="3AC249E8">
              <w:rPr>
                <w:rFonts w:cs="Arial"/>
              </w:rPr>
              <w:t xml:space="preserve"> staff turnover and </w:t>
            </w:r>
            <w:r w:rsidR="003C5026" w:rsidRPr="3AC249E8">
              <w:rPr>
                <w:rFonts w:cs="Arial"/>
              </w:rPr>
              <w:t>as a result no E. coli sample was taken in October resulting in</w:t>
            </w:r>
            <w:r w:rsidR="00A53C99" w:rsidRPr="3AC249E8">
              <w:rPr>
                <w:rFonts w:cs="Arial"/>
              </w:rPr>
              <w:t xml:space="preserve"> 1 month</w:t>
            </w:r>
            <w:r w:rsidR="003C5026" w:rsidRPr="3AC249E8">
              <w:rPr>
                <w:rFonts w:cs="Arial"/>
              </w:rPr>
              <w:t xml:space="preserve"> non-compliance</w:t>
            </w:r>
            <w:r w:rsidR="008805DE" w:rsidRPr="3AC249E8">
              <w:rPr>
                <w:rFonts w:cs="Arial"/>
              </w:rPr>
              <w:t xml:space="preserve"> with T2.1-ecol</w:t>
            </w:r>
            <w:r w:rsidR="000E0224" w:rsidRPr="3AC249E8">
              <w:rPr>
                <w:rFonts w:cs="Arial"/>
              </w:rPr>
              <w:t xml:space="preserve"> and </w:t>
            </w:r>
            <w:r w:rsidR="00F122C1" w:rsidRPr="3AC249E8">
              <w:rPr>
                <w:rFonts w:cs="Arial"/>
              </w:rPr>
              <w:t>T2.2-ecol</w:t>
            </w:r>
            <w:r w:rsidR="009D29AE" w:rsidRPr="3AC249E8">
              <w:rPr>
                <w:rFonts w:cs="Arial"/>
              </w:rPr>
              <w:t xml:space="preserve">. All other samples were collected so their overall compliance </w:t>
            </w:r>
            <w:r w:rsidR="007C004A" w:rsidRPr="3AC249E8">
              <w:rPr>
                <w:rFonts w:cs="Arial"/>
              </w:rPr>
              <w:t>for Treatment Monitoring was still over 95%</w:t>
            </w:r>
          </w:p>
        </w:tc>
      </w:tr>
      <w:tr w:rsidR="002F548F" w:rsidRPr="00CA3F08" w14:paraId="4E4BC609" w14:textId="77777777" w:rsidTr="3AC249E8">
        <w:tc>
          <w:tcPr>
            <w:tcW w:w="4643" w:type="dxa"/>
            <w:tcBorders>
              <w:top w:val="nil"/>
              <w:left w:val="single" w:sz="4" w:space="0" w:color="auto"/>
              <w:bottom w:val="single" w:sz="4" w:space="0" w:color="auto"/>
              <w:right w:val="single" w:sz="4" w:space="0" w:color="auto"/>
            </w:tcBorders>
          </w:tcPr>
          <w:p w14:paraId="465D1CAD" w14:textId="77777777" w:rsidR="002F548F" w:rsidRDefault="002F548F" w:rsidP="002F548F">
            <w:pPr>
              <w:pStyle w:val="BodyText"/>
              <w:jc w:val="both"/>
              <w:rPr>
                <w:rFonts w:cs="Arial"/>
                <w:szCs w:val="22"/>
              </w:rPr>
            </w:pPr>
            <w:r w:rsidRPr="00373409">
              <w:rPr>
                <w:rFonts w:cs="Arial"/>
                <w:b/>
                <w:bCs/>
                <w:szCs w:val="22"/>
              </w:rPr>
              <w:t>Town Three</w:t>
            </w:r>
            <w:r w:rsidRPr="00CA3F08">
              <w:rPr>
                <w:rFonts w:cs="Arial"/>
                <w:szCs w:val="22"/>
              </w:rPr>
              <w:t xml:space="preserve"> = </w:t>
            </w:r>
            <w:r>
              <w:rPr>
                <w:rFonts w:cs="Arial"/>
                <w:szCs w:val="22"/>
              </w:rPr>
              <w:t>All met</w:t>
            </w:r>
          </w:p>
          <w:p w14:paraId="7D21EBDD" w14:textId="77777777" w:rsidR="002F548F" w:rsidRDefault="002F548F" w:rsidP="001A30E8">
            <w:pPr>
              <w:pStyle w:val="BodyText"/>
              <w:jc w:val="both"/>
              <w:rPr>
                <w:rFonts w:cs="Arial"/>
                <w:szCs w:val="22"/>
              </w:rPr>
            </w:pPr>
            <w:r>
              <w:rPr>
                <w:rFonts w:cs="Arial"/>
                <w:szCs w:val="22"/>
              </w:rPr>
              <w:t xml:space="preserve">Serviced population of 4000 people, reporting against: </w:t>
            </w:r>
          </w:p>
          <w:p w14:paraId="19628761" w14:textId="38526470" w:rsidR="002F548F" w:rsidRPr="00373409" w:rsidRDefault="002F548F" w:rsidP="001A30E8">
            <w:pPr>
              <w:pStyle w:val="BodyText"/>
              <w:numPr>
                <w:ilvl w:val="0"/>
                <w:numId w:val="34"/>
              </w:numPr>
              <w:rPr>
                <w:rFonts w:cs="Arial"/>
                <w:szCs w:val="22"/>
              </w:rPr>
            </w:pPr>
            <w:r w:rsidRPr="00373409">
              <w:rPr>
                <w:rFonts w:cs="Arial"/>
                <w:szCs w:val="22"/>
              </w:rPr>
              <w:t>(h) T3 Bacterial Rules</w:t>
            </w:r>
          </w:p>
          <w:p w14:paraId="630A9F20" w14:textId="4BE3DD46" w:rsidR="002F548F" w:rsidRPr="002F548F" w:rsidRDefault="002F548F" w:rsidP="001A30E8">
            <w:pPr>
              <w:pStyle w:val="BodyText"/>
              <w:numPr>
                <w:ilvl w:val="0"/>
                <w:numId w:val="34"/>
              </w:numPr>
              <w:rPr>
                <w:rFonts w:cs="Arial"/>
                <w:szCs w:val="22"/>
              </w:rPr>
            </w:pPr>
            <w:r w:rsidRPr="00373409">
              <w:rPr>
                <w:rFonts w:cs="Arial"/>
                <w:szCs w:val="22"/>
              </w:rPr>
              <w:t xml:space="preserve">(j) D3.29 </w:t>
            </w:r>
            <w:proofErr w:type="gramStart"/>
            <w:r w:rsidRPr="00373409">
              <w:rPr>
                <w:rFonts w:cs="Arial"/>
                <w:szCs w:val="22"/>
              </w:rPr>
              <w:t>Microbiological  Monitoring</w:t>
            </w:r>
            <w:proofErr w:type="gramEnd"/>
            <w:r w:rsidRPr="00373409">
              <w:rPr>
                <w:rFonts w:cs="Arial"/>
                <w:szCs w:val="22"/>
              </w:rPr>
              <w:t xml:space="preserve"> Rule</w:t>
            </w:r>
          </w:p>
        </w:tc>
        <w:tc>
          <w:tcPr>
            <w:tcW w:w="4644" w:type="dxa"/>
            <w:tcBorders>
              <w:top w:val="nil"/>
              <w:left w:val="single" w:sz="4" w:space="0" w:color="auto"/>
              <w:bottom w:val="single" w:sz="4" w:space="0" w:color="auto"/>
              <w:right w:val="nil"/>
            </w:tcBorders>
          </w:tcPr>
          <w:p w14:paraId="7A753A8F" w14:textId="77777777" w:rsidR="002F548F" w:rsidRDefault="002F548F" w:rsidP="002F548F">
            <w:pPr>
              <w:pStyle w:val="BodyText"/>
              <w:jc w:val="both"/>
              <w:rPr>
                <w:rFonts w:cs="Arial"/>
                <w:szCs w:val="22"/>
              </w:rPr>
            </w:pPr>
            <w:r w:rsidRPr="00373409">
              <w:rPr>
                <w:rFonts w:cs="Arial"/>
                <w:b/>
                <w:bCs/>
                <w:szCs w:val="22"/>
              </w:rPr>
              <w:t>Town Three</w:t>
            </w:r>
            <w:r w:rsidRPr="00CA3F08">
              <w:rPr>
                <w:rFonts w:cs="Arial"/>
                <w:szCs w:val="22"/>
              </w:rPr>
              <w:t xml:space="preserve"> </w:t>
            </w:r>
          </w:p>
          <w:p w14:paraId="3A350A4A" w14:textId="5361CACA" w:rsidR="001A30E8" w:rsidRDefault="001A30E8" w:rsidP="002F548F">
            <w:pPr>
              <w:pStyle w:val="BodyText"/>
              <w:jc w:val="both"/>
              <w:rPr>
                <w:rFonts w:cs="Arial"/>
                <w:szCs w:val="22"/>
              </w:rPr>
            </w:pPr>
            <w:r>
              <w:rPr>
                <w:rFonts w:cs="Arial"/>
                <w:szCs w:val="22"/>
              </w:rPr>
              <w:t xml:space="preserve">Serviced population of 4000 people, reporting against: </w:t>
            </w:r>
          </w:p>
          <w:p w14:paraId="7E547908" w14:textId="7FACB64B" w:rsidR="002F548F" w:rsidRPr="00373409" w:rsidRDefault="002F548F" w:rsidP="001A30E8">
            <w:pPr>
              <w:pStyle w:val="BodyText"/>
              <w:numPr>
                <w:ilvl w:val="0"/>
                <w:numId w:val="34"/>
              </w:numPr>
              <w:pBdr>
                <w:right w:val="single" w:sz="4" w:space="4" w:color="auto"/>
              </w:pBdr>
              <w:rPr>
                <w:rFonts w:cs="Arial"/>
                <w:szCs w:val="22"/>
              </w:rPr>
            </w:pPr>
            <w:r w:rsidRPr="00373409">
              <w:rPr>
                <w:rFonts w:cs="Arial"/>
                <w:szCs w:val="22"/>
              </w:rPr>
              <w:t>(h) T3 Bacterial Rules</w:t>
            </w:r>
            <w:r>
              <w:rPr>
                <w:rFonts w:cs="Arial"/>
                <w:szCs w:val="22"/>
              </w:rPr>
              <w:t xml:space="preserve"> = Partially met</w:t>
            </w:r>
          </w:p>
          <w:p w14:paraId="09B41621" w14:textId="1FDA62B8" w:rsidR="002F548F" w:rsidRPr="002F548F" w:rsidRDefault="002F548F" w:rsidP="001A30E8">
            <w:pPr>
              <w:pStyle w:val="BodyText"/>
              <w:numPr>
                <w:ilvl w:val="0"/>
                <w:numId w:val="34"/>
              </w:numPr>
              <w:pBdr>
                <w:right w:val="single" w:sz="4" w:space="4" w:color="auto"/>
              </w:pBdr>
              <w:rPr>
                <w:rFonts w:cs="Arial"/>
                <w:szCs w:val="22"/>
              </w:rPr>
            </w:pPr>
            <w:r w:rsidRPr="00373409">
              <w:rPr>
                <w:rFonts w:cs="Arial"/>
                <w:szCs w:val="22"/>
              </w:rPr>
              <w:t xml:space="preserve">(j) D3.29 </w:t>
            </w:r>
            <w:proofErr w:type="gramStart"/>
            <w:r w:rsidRPr="00373409">
              <w:rPr>
                <w:rFonts w:cs="Arial"/>
                <w:szCs w:val="22"/>
              </w:rPr>
              <w:t>Microbiological  Monitoring</w:t>
            </w:r>
            <w:proofErr w:type="gramEnd"/>
            <w:r w:rsidRPr="00373409">
              <w:rPr>
                <w:rFonts w:cs="Arial"/>
                <w:szCs w:val="22"/>
              </w:rPr>
              <w:t xml:space="preserve"> Rule</w:t>
            </w:r>
            <w:r>
              <w:rPr>
                <w:rFonts w:cs="Arial"/>
                <w:szCs w:val="22"/>
              </w:rPr>
              <w:t xml:space="preserve"> = All met </w:t>
            </w:r>
          </w:p>
          <w:p w14:paraId="29878025" w14:textId="585DA7F9" w:rsidR="002F548F" w:rsidRPr="002F548F" w:rsidRDefault="00F85FF7" w:rsidP="002F548F">
            <w:pPr>
              <w:pStyle w:val="BodyText"/>
              <w:jc w:val="both"/>
              <w:rPr>
                <w:rFonts w:cs="Arial"/>
                <w:szCs w:val="22"/>
              </w:rPr>
            </w:pPr>
            <w:r>
              <w:rPr>
                <w:rFonts w:cs="Arial"/>
                <w:szCs w:val="22"/>
              </w:rPr>
              <w:t>The supply</w:t>
            </w:r>
            <w:r w:rsidR="00A64D72">
              <w:rPr>
                <w:rFonts w:cs="Arial"/>
                <w:szCs w:val="22"/>
              </w:rPr>
              <w:t xml:space="preserve"> is</w:t>
            </w:r>
            <w:r w:rsidR="00613AFF">
              <w:rPr>
                <w:rFonts w:cs="Arial"/>
                <w:szCs w:val="22"/>
              </w:rPr>
              <w:t xml:space="preserve"> reporting against</w:t>
            </w:r>
            <w:r w:rsidR="001D0E85">
              <w:rPr>
                <w:rFonts w:cs="Arial"/>
                <w:szCs w:val="22"/>
              </w:rPr>
              <w:t xml:space="preserve"> T3.1-6 chlorine disinfection for bacterial treatment compliance</w:t>
            </w:r>
            <w:r w:rsidR="00952414">
              <w:rPr>
                <w:rFonts w:cs="Arial"/>
                <w:szCs w:val="22"/>
              </w:rPr>
              <w:t xml:space="preserve"> and, due to instrumentation issues </w:t>
            </w:r>
            <w:r w:rsidR="0075390B">
              <w:rPr>
                <w:rFonts w:cs="Arial"/>
                <w:szCs w:val="22"/>
              </w:rPr>
              <w:t xml:space="preserve">could not demonstrate </w:t>
            </w:r>
            <w:r w:rsidR="002A11E3">
              <w:rPr>
                <w:rFonts w:cs="Arial"/>
                <w:szCs w:val="22"/>
              </w:rPr>
              <w:t>contact time for 21 days</w:t>
            </w:r>
            <w:r w:rsidR="00FA63A6">
              <w:rPr>
                <w:rFonts w:cs="Arial"/>
                <w:szCs w:val="22"/>
              </w:rPr>
              <w:t xml:space="preserve">. </w:t>
            </w:r>
            <w:proofErr w:type="gramStart"/>
            <w:r w:rsidR="00FA63A6">
              <w:rPr>
                <w:rFonts w:cs="Arial"/>
                <w:szCs w:val="22"/>
              </w:rPr>
              <w:t>Therefore</w:t>
            </w:r>
            <w:proofErr w:type="gramEnd"/>
            <w:r w:rsidR="00FA63A6">
              <w:rPr>
                <w:rFonts w:cs="Arial"/>
                <w:szCs w:val="22"/>
              </w:rPr>
              <w:t xml:space="preserve"> their compliance was calculated as (365-21</w:t>
            </w:r>
            <w:r w:rsidR="00EA64EF">
              <w:rPr>
                <w:rFonts w:cs="Arial"/>
                <w:szCs w:val="22"/>
              </w:rPr>
              <w:t xml:space="preserve">)/365 = 344/365 = </w:t>
            </w:r>
            <w:r w:rsidR="004C2A08">
              <w:rPr>
                <w:rFonts w:cs="Arial"/>
                <w:szCs w:val="22"/>
              </w:rPr>
              <w:t>94.2%</w:t>
            </w:r>
            <w:r w:rsidR="0075390B">
              <w:rPr>
                <w:rFonts w:cs="Arial"/>
                <w:szCs w:val="22"/>
              </w:rPr>
              <w:t xml:space="preserve"> </w:t>
            </w:r>
            <w:r w:rsidR="001D0E85">
              <w:rPr>
                <w:rFonts w:cs="Arial"/>
                <w:szCs w:val="22"/>
              </w:rPr>
              <w:t xml:space="preserve"> </w:t>
            </w:r>
          </w:p>
        </w:tc>
      </w:tr>
      <w:tr w:rsidR="002F548F" w:rsidRPr="00CA3F08" w14:paraId="18DFC98E" w14:textId="77777777" w:rsidTr="3AC249E8">
        <w:tc>
          <w:tcPr>
            <w:tcW w:w="9287" w:type="dxa"/>
            <w:gridSpan w:val="2"/>
            <w:tcBorders>
              <w:top w:val="single" w:sz="4" w:space="0" w:color="auto"/>
              <w:bottom w:val="nil"/>
            </w:tcBorders>
          </w:tcPr>
          <w:p w14:paraId="6CA1DE73" w14:textId="7553DEAA" w:rsidR="002F548F" w:rsidRPr="00373409" w:rsidRDefault="002F548F" w:rsidP="002F548F">
            <w:pPr>
              <w:pStyle w:val="BodyText"/>
              <w:jc w:val="center"/>
              <w:rPr>
                <w:rFonts w:cs="Arial"/>
                <w:b/>
                <w:bCs/>
                <w:szCs w:val="22"/>
              </w:rPr>
            </w:pPr>
            <w:r w:rsidRPr="00373409">
              <w:rPr>
                <w:rFonts w:cs="Arial"/>
                <w:b/>
                <w:bCs/>
                <w:sz w:val="24"/>
                <w:u w:val="single"/>
              </w:rPr>
              <w:t>Protozoal Compliance</w:t>
            </w:r>
          </w:p>
        </w:tc>
      </w:tr>
      <w:tr w:rsidR="002F548F" w:rsidRPr="00CA3F08" w14:paraId="11EA8BED" w14:textId="77777777" w:rsidTr="3AC249E8">
        <w:tc>
          <w:tcPr>
            <w:tcW w:w="4643" w:type="dxa"/>
            <w:tcBorders>
              <w:top w:val="nil"/>
              <w:left w:val="single" w:sz="4" w:space="0" w:color="auto"/>
              <w:bottom w:val="nil"/>
              <w:right w:val="single" w:sz="4" w:space="0" w:color="auto"/>
            </w:tcBorders>
          </w:tcPr>
          <w:p w14:paraId="6CB00251" w14:textId="77777777" w:rsidR="002F548F" w:rsidRDefault="002F548F" w:rsidP="002F548F">
            <w:pPr>
              <w:pStyle w:val="BodyText"/>
              <w:jc w:val="both"/>
              <w:rPr>
                <w:rFonts w:cs="Arial"/>
                <w:szCs w:val="22"/>
              </w:rPr>
            </w:pPr>
            <w:r w:rsidRPr="00373409">
              <w:rPr>
                <w:rFonts w:cs="Arial"/>
                <w:b/>
                <w:bCs/>
                <w:szCs w:val="22"/>
              </w:rPr>
              <w:t>Town One</w:t>
            </w:r>
            <w:r w:rsidRPr="00CA3F08">
              <w:rPr>
                <w:rFonts w:cs="Arial"/>
                <w:szCs w:val="22"/>
              </w:rPr>
              <w:t xml:space="preserve"> = </w:t>
            </w:r>
            <w:r>
              <w:rPr>
                <w:rFonts w:cs="Arial"/>
                <w:szCs w:val="22"/>
              </w:rPr>
              <w:t>All met</w:t>
            </w:r>
          </w:p>
          <w:p w14:paraId="3755DD54" w14:textId="77777777" w:rsidR="002F548F" w:rsidRDefault="002F548F" w:rsidP="001A30E8">
            <w:pPr>
              <w:pStyle w:val="BodyText"/>
              <w:jc w:val="both"/>
              <w:rPr>
                <w:rFonts w:cs="Arial"/>
                <w:szCs w:val="22"/>
              </w:rPr>
            </w:pPr>
            <w:r>
              <w:rPr>
                <w:rFonts w:cs="Arial"/>
                <w:szCs w:val="22"/>
              </w:rPr>
              <w:t>Serviced population of 60 people, reporting against:</w:t>
            </w:r>
          </w:p>
          <w:p w14:paraId="7418BBC0" w14:textId="1809EFE8" w:rsidR="002F548F" w:rsidRPr="00792BF1" w:rsidRDefault="002F548F" w:rsidP="001A30E8">
            <w:pPr>
              <w:pStyle w:val="BodyText"/>
              <w:numPr>
                <w:ilvl w:val="0"/>
                <w:numId w:val="34"/>
              </w:numPr>
              <w:jc w:val="both"/>
              <w:rPr>
                <w:rFonts w:cs="Arial"/>
                <w:szCs w:val="22"/>
              </w:rPr>
            </w:pPr>
            <w:r w:rsidRPr="006659A7">
              <w:rPr>
                <w:rFonts w:cs="Arial"/>
                <w:szCs w:val="22"/>
              </w:rPr>
              <w:t>(a) T1 Treatment Rules</w:t>
            </w:r>
          </w:p>
          <w:p w14:paraId="71208F77" w14:textId="77777777" w:rsidR="002F548F" w:rsidRPr="00373409" w:rsidRDefault="002F548F" w:rsidP="002F548F">
            <w:pPr>
              <w:pStyle w:val="BodyText"/>
              <w:jc w:val="both"/>
              <w:rPr>
                <w:rFonts w:cs="Arial"/>
                <w:b/>
                <w:bCs/>
                <w:szCs w:val="22"/>
              </w:rPr>
            </w:pPr>
          </w:p>
        </w:tc>
        <w:tc>
          <w:tcPr>
            <w:tcW w:w="4644" w:type="dxa"/>
            <w:tcBorders>
              <w:top w:val="nil"/>
              <w:left w:val="single" w:sz="4" w:space="0" w:color="auto"/>
              <w:bottom w:val="nil"/>
              <w:right w:val="single" w:sz="4" w:space="0" w:color="auto"/>
            </w:tcBorders>
          </w:tcPr>
          <w:p w14:paraId="722AF790" w14:textId="77777777" w:rsidR="001A30E8" w:rsidRDefault="001A30E8" w:rsidP="001A30E8">
            <w:pPr>
              <w:pStyle w:val="BodyText"/>
              <w:jc w:val="both"/>
              <w:rPr>
                <w:rFonts w:cs="Arial"/>
                <w:szCs w:val="22"/>
              </w:rPr>
            </w:pPr>
            <w:r w:rsidRPr="00373409">
              <w:rPr>
                <w:rFonts w:cs="Arial"/>
                <w:b/>
                <w:bCs/>
                <w:szCs w:val="22"/>
              </w:rPr>
              <w:t>Town One</w:t>
            </w:r>
            <w:r w:rsidRPr="00CA3F08">
              <w:rPr>
                <w:rFonts w:cs="Arial"/>
                <w:szCs w:val="22"/>
              </w:rPr>
              <w:t xml:space="preserve"> </w:t>
            </w:r>
          </w:p>
          <w:p w14:paraId="268208FA" w14:textId="29A479D6" w:rsidR="001A30E8" w:rsidRDefault="001A30E8" w:rsidP="001A30E8">
            <w:pPr>
              <w:pStyle w:val="BodyText"/>
              <w:jc w:val="both"/>
              <w:rPr>
                <w:rFonts w:cs="Arial"/>
                <w:szCs w:val="22"/>
              </w:rPr>
            </w:pPr>
            <w:r>
              <w:rPr>
                <w:rFonts w:cs="Arial"/>
                <w:szCs w:val="22"/>
              </w:rPr>
              <w:t>Serviced population of 60 people, reporting against:</w:t>
            </w:r>
          </w:p>
          <w:p w14:paraId="75683F8D" w14:textId="5045608F" w:rsidR="001A30E8" w:rsidRPr="002F548F" w:rsidRDefault="001A30E8" w:rsidP="001A30E8">
            <w:pPr>
              <w:pStyle w:val="BodyText"/>
              <w:numPr>
                <w:ilvl w:val="0"/>
                <w:numId w:val="34"/>
              </w:numPr>
              <w:jc w:val="both"/>
              <w:rPr>
                <w:rFonts w:cs="Arial"/>
                <w:szCs w:val="22"/>
              </w:rPr>
            </w:pPr>
            <w:r w:rsidRPr="006659A7">
              <w:rPr>
                <w:rFonts w:cs="Arial"/>
                <w:szCs w:val="22"/>
              </w:rPr>
              <w:t>(a) T1 Treatment Rules</w:t>
            </w:r>
            <w:r>
              <w:rPr>
                <w:rFonts w:cs="Arial"/>
                <w:szCs w:val="22"/>
              </w:rPr>
              <w:t xml:space="preserve"> = </w:t>
            </w:r>
            <w:r w:rsidR="00EC0DE1">
              <w:rPr>
                <w:rFonts w:cs="Arial"/>
                <w:szCs w:val="22"/>
              </w:rPr>
              <w:t>Partially</w:t>
            </w:r>
            <w:r>
              <w:rPr>
                <w:rFonts w:cs="Arial"/>
                <w:szCs w:val="22"/>
              </w:rPr>
              <w:t xml:space="preserve"> met </w:t>
            </w:r>
          </w:p>
          <w:p w14:paraId="092CACB7" w14:textId="54913D5F" w:rsidR="002F548F" w:rsidRPr="001A30E8" w:rsidRDefault="00786D79" w:rsidP="002F548F">
            <w:pPr>
              <w:pStyle w:val="BodyText"/>
              <w:jc w:val="both"/>
              <w:rPr>
                <w:rFonts w:cs="Arial"/>
                <w:szCs w:val="22"/>
              </w:rPr>
            </w:pPr>
            <w:r>
              <w:rPr>
                <w:rFonts w:cs="Arial"/>
                <w:szCs w:val="22"/>
              </w:rPr>
              <w:t>The supply</w:t>
            </w:r>
            <w:r w:rsidR="00DA0027">
              <w:rPr>
                <w:rFonts w:cs="Arial"/>
                <w:szCs w:val="22"/>
              </w:rPr>
              <w:t xml:space="preserve"> did not </w:t>
            </w:r>
            <w:r w:rsidR="0028121B">
              <w:rPr>
                <w:rFonts w:cs="Arial"/>
                <w:szCs w:val="22"/>
              </w:rPr>
              <w:t>take a</w:t>
            </w:r>
            <w:r w:rsidR="0090700B">
              <w:rPr>
                <w:rFonts w:cs="Arial"/>
                <w:szCs w:val="22"/>
              </w:rPr>
              <w:t xml:space="preserve"> turbidity</w:t>
            </w:r>
            <w:r w:rsidR="0028121B">
              <w:rPr>
                <w:rFonts w:cs="Arial"/>
                <w:i/>
                <w:iCs/>
                <w:szCs w:val="22"/>
              </w:rPr>
              <w:t xml:space="preserve"> </w:t>
            </w:r>
            <w:r w:rsidR="0028121B">
              <w:rPr>
                <w:rFonts w:cs="Arial"/>
                <w:szCs w:val="22"/>
              </w:rPr>
              <w:t>sample</w:t>
            </w:r>
            <w:r w:rsidR="00B21AA7">
              <w:rPr>
                <w:rFonts w:cs="Arial"/>
                <w:szCs w:val="22"/>
              </w:rPr>
              <w:t xml:space="preserve"> in the first quarter of the reporting period and calculated their overall compliance with these rules as </w:t>
            </w:r>
            <w:r w:rsidR="0066573D">
              <w:rPr>
                <w:rFonts w:cs="Arial"/>
                <w:szCs w:val="22"/>
              </w:rPr>
              <w:t>91.6%</w:t>
            </w:r>
          </w:p>
        </w:tc>
      </w:tr>
      <w:tr w:rsidR="001A30E8" w:rsidRPr="00CA3F08" w14:paraId="4AD69B97" w14:textId="77777777" w:rsidTr="3AC249E8">
        <w:tc>
          <w:tcPr>
            <w:tcW w:w="4643" w:type="dxa"/>
            <w:tcBorders>
              <w:top w:val="nil"/>
              <w:bottom w:val="nil"/>
            </w:tcBorders>
          </w:tcPr>
          <w:p w14:paraId="6B011569" w14:textId="77777777" w:rsidR="001A30E8" w:rsidRDefault="001A30E8" w:rsidP="001A30E8">
            <w:pPr>
              <w:pStyle w:val="BodyText"/>
              <w:jc w:val="both"/>
              <w:rPr>
                <w:rFonts w:cs="Arial"/>
                <w:szCs w:val="22"/>
              </w:rPr>
            </w:pPr>
            <w:r w:rsidRPr="00373409">
              <w:rPr>
                <w:rFonts w:cs="Arial"/>
                <w:b/>
                <w:bCs/>
                <w:szCs w:val="22"/>
              </w:rPr>
              <w:t>Town Two</w:t>
            </w:r>
            <w:r w:rsidRPr="00CA3F08">
              <w:rPr>
                <w:rFonts w:cs="Arial"/>
                <w:szCs w:val="22"/>
              </w:rPr>
              <w:t xml:space="preserve"> = </w:t>
            </w:r>
            <w:r>
              <w:rPr>
                <w:rFonts w:cs="Arial"/>
                <w:szCs w:val="22"/>
              </w:rPr>
              <w:t>All met</w:t>
            </w:r>
          </w:p>
          <w:p w14:paraId="239F5675" w14:textId="77777777" w:rsidR="001A30E8" w:rsidRDefault="001A30E8" w:rsidP="001A30E8">
            <w:pPr>
              <w:pStyle w:val="BodyText"/>
              <w:jc w:val="both"/>
              <w:rPr>
                <w:rFonts w:cs="Arial"/>
                <w:szCs w:val="22"/>
              </w:rPr>
            </w:pPr>
            <w:r>
              <w:rPr>
                <w:rFonts w:cs="Arial"/>
                <w:szCs w:val="22"/>
              </w:rPr>
              <w:t xml:space="preserve">Serviced population of 300 people, reporting against: </w:t>
            </w:r>
          </w:p>
          <w:p w14:paraId="32C47CFA" w14:textId="10964085" w:rsidR="001A30E8" w:rsidRPr="006659A7" w:rsidRDefault="001A30E8" w:rsidP="001A30E8">
            <w:pPr>
              <w:pStyle w:val="BodyText"/>
              <w:numPr>
                <w:ilvl w:val="0"/>
                <w:numId w:val="34"/>
              </w:numPr>
              <w:rPr>
                <w:rFonts w:cs="Arial"/>
                <w:szCs w:val="22"/>
              </w:rPr>
            </w:pPr>
            <w:r w:rsidRPr="006659A7">
              <w:rPr>
                <w:rFonts w:cs="Arial"/>
                <w:szCs w:val="22"/>
              </w:rPr>
              <w:t>(c) T2 Treatment Monitoring Rules</w:t>
            </w:r>
          </w:p>
          <w:p w14:paraId="36FB5EAF" w14:textId="6F35D760" w:rsidR="001A30E8" w:rsidRPr="00373409" w:rsidRDefault="001A30E8" w:rsidP="001A30E8">
            <w:pPr>
              <w:pStyle w:val="BodyText"/>
              <w:numPr>
                <w:ilvl w:val="0"/>
                <w:numId w:val="34"/>
              </w:numPr>
              <w:rPr>
                <w:rFonts w:cs="Arial"/>
                <w:szCs w:val="22"/>
              </w:rPr>
            </w:pPr>
            <w:r>
              <w:rPr>
                <w:rFonts w:cs="Arial"/>
                <w:szCs w:val="22"/>
              </w:rPr>
              <w:t xml:space="preserve">(d) </w:t>
            </w:r>
            <w:r w:rsidRPr="00373409">
              <w:rPr>
                <w:rFonts w:cs="Arial"/>
                <w:szCs w:val="22"/>
              </w:rPr>
              <w:t>T2 Filtration Rules</w:t>
            </w:r>
          </w:p>
          <w:p w14:paraId="646C2D93" w14:textId="7F946C64" w:rsidR="001A30E8" w:rsidRPr="00373409" w:rsidRDefault="001A30E8" w:rsidP="001A30E8">
            <w:pPr>
              <w:pStyle w:val="BodyText"/>
              <w:numPr>
                <w:ilvl w:val="0"/>
                <w:numId w:val="34"/>
              </w:numPr>
              <w:rPr>
                <w:rFonts w:cs="Arial"/>
                <w:szCs w:val="22"/>
              </w:rPr>
            </w:pPr>
            <w:r>
              <w:rPr>
                <w:rFonts w:cs="Arial"/>
                <w:szCs w:val="22"/>
              </w:rPr>
              <w:t xml:space="preserve">(e) </w:t>
            </w:r>
            <w:r w:rsidRPr="00373409">
              <w:rPr>
                <w:rFonts w:cs="Arial"/>
                <w:szCs w:val="22"/>
              </w:rPr>
              <w:t>T2 UV Rules</w:t>
            </w:r>
          </w:p>
          <w:p w14:paraId="0C82D628" w14:textId="77777777" w:rsidR="001A30E8" w:rsidRPr="00373409" w:rsidRDefault="001A30E8" w:rsidP="002F548F">
            <w:pPr>
              <w:pStyle w:val="BodyText"/>
              <w:jc w:val="both"/>
              <w:rPr>
                <w:rFonts w:cs="Arial"/>
                <w:b/>
                <w:bCs/>
                <w:szCs w:val="22"/>
              </w:rPr>
            </w:pPr>
          </w:p>
        </w:tc>
        <w:tc>
          <w:tcPr>
            <w:tcW w:w="4644" w:type="dxa"/>
            <w:tcBorders>
              <w:top w:val="nil"/>
              <w:bottom w:val="nil"/>
            </w:tcBorders>
          </w:tcPr>
          <w:p w14:paraId="10AB68AA" w14:textId="77777777" w:rsidR="001A30E8" w:rsidRDefault="001A30E8" w:rsidP="001A30E8">
            <w:pPr>
              <w:pStyle w:val="BodyText"/>
              <w:jc w:val="both"/>
              <w:rPr>
                <w:rFonts w:cs="Arial"/>
                <w:b/>
                <w:bCs/>
                <w:szCs w:val="22"/>
              </w:rPr>
            </w:pPr>
            <w:r w:rsidRPr="00373409">
              <w:rPr>
                <w:rFonts w:cs="Arial"/>
                <w:b/>
                <w:bCs/>
                <w:szCs w:val="22"/>
              </w:rPr>
              <w:t>Town Two</w:t>
            </w:r>
          </w:p>
          <w:p w14:paraId="5D5E22D9" w14:textId="66BA4090" w:rsidR="001A30E8" w:rsidRPr="001A30E8" w:rsidRDefault="001A30E8" w:rsidP="001A30E8">
            <w:pPr>
              <w:pStyle w:val="BodyText"/>
              <w:jc w:val="both"/>
              <w:rPr>
                <w:rFonts w:cs="Arial"/>
                <w:szCs w:val="22"/>
              </w:rPr>
            </w:pPr>
            <w:r>
              <w:rPr>
                <w:rFonts w:cs="Arial"/>
                <w:szCs w:val="22"/>
              </w:rPr>
              <w:t xml:space="preserve">Serviced population of 300 people, reporting against: </w:t>
            </w:r>
          </w:p>
          <w:p w14:paraId="1ADAFEFA" w14:textId="7C0F3588" w:rsidR="001A30E8" w:rsidRPr="006659A7" w:rsidRDefault="001A30E8" w:rsidP="001A30E8">
            <w:pPr>
              <w:pStyle w:val="BodyText"/>
              <w:numPr>
                <w:ilvl w:val="0"/>
                <w:numId w:val="34"/>
              </w:numPr>
              <w:rPr>
                <w:rFonts w:cs="Arial"/>
                <w:szCs w:val="22"/>
              </w:rPr>
            </w:pPr>
            <w:r w:rsidRPr="006659A7">
              <w:rPr>
                <w:rFonts w:cs="Arial"/>
                <w:szCs w:val="22"/>
              </w:rPr>
              <w:t>(c) T2 Treatment Monitoring Rules</w:t>
            </w:r>
            <w:r>
              <w:rPr>
                <w:rFonts w:cs="Arial"/>
                <w:szCs w:val="22"/>
              </w:rPr>
              <w:t xml:space="preserve"> = All met</w:t>
            </w:r>
          </w:p>
          <w:p w14:paraId="5E747FA8" w14:textId="6E859053" w:rsidR="001A30E8" w:rsidRPr="00373409" w:rsidRDefault="001A30E8" w:rsidP="001A30E8">
            <w:pPr>
              <w:pStyle w:val="BodyText"/>
              <w:numPr>
                <w:ilvl w:val="0"/>
                <w:numId w:val="34"/>
              </w:numPr>
              <w:rPr>
                <w:rFonts w:cs="Arial"/>
                <w:szCs w:val="22"/>
              </w:rPr>
            </w:pPr>
            <w:r>
              <w:rPr>
                <w:rFonts w:cs="Arial"/>
                <w:szCs w:val="22"/>
              </w:rPr>
              <w:t xml:space="preserve">(d) </w:t>
            </w:r>
            <w:r w:rsidRPr="00373409">
              <w:rPr>
                <w:rFonts w:cs="Arial"/>
                <w:szCs w:val="22"/>
              </w:rPr>
              <w:t>T2 Filtration Rules</w:t>
            </w:r>
            <w:r>
              <w:rPr>
                <w:rFonts w:cs="Arial"/>
                <w:szCs w:val="22"/>
              </w:rPr>
              <w:t xml:space="preserve"> = All met</w:t>
            </w:r>
          </w:p>
          <w:p w14:paraId="125E685E" w14:textId="14FEABFA" w:rsidR="001A30E8" w:rsidRPr="001A30E8" w:rsidRDefault="001A30E8" w:rsidP="001A30E8">
            <w:pPr>
              <w:pStyle w:val="BodyText"/>
              <w:numPr>
                <w:ilvl w:val="0"/>
                <w:numId w:val="34"/>
              </w:numPr>
              <w:rPr>
                <w:rFonts w:cs="Arial"/>
                <w:szCs w:val="22"/>
              </w:rPr>
            </w:pPr>
            <w:r>
              <w:rPr>
                <w:rFonts w:cs="Arial"/>
                <w:szCs w:val="22"/>
              </w:rPr>
              <w:t xml:space="preserve">(e) </w:t>
            </w:r>
            <w:r w:rsidRPr="00373409">
              <w:rPr>
                <w:rFonts w:cs="Arial"/>
                <w:szCs w:val="22"/>
              </w:rPr>
              <w:t>T2 UV Rules</w:t>
            </w:r>
            <w:r>
              <w:rPr>
                <w:rFonts w:cs="Arial"/>
                <w:szCs w:val="22"/>
              </w:rPr>
              <w:t xml:space="preserve"> = All met</w:t>
            </w:r>
          </w:p>
        </w:tc>
      </w:tr>
      <w:tr w:rsidR="001A30E8" w:rsidRPr="00CA3F08" w14:paraId="7B7CBAF8" w14:textId="77777777" w:rsidTr="3AC249E8">
        <w:tc>
          <w:tcPr>
            <w:tcW w:w="4643" w:type="dxa"/>
            <w:tcBorders>
              <w:top w:val="nil"/>
              <w:left w:val="single" w:sz="4" w:space="0" w:color="auto"/>
              <w:bottom w:val="single" w:sz="4" w:space="0" w:color="auto"/>
              <w:right w:val="single" w:sz="4" w:space="0" w:color="auto"/>
            </w:tcBorders>
          </w:tcPr>
          <w:p w14:paraId="7B1DAE6E" w14:textId="77777777" w:rsidR="001A30E8" w:rsidRDefault="001A30E8" w:rsidP="001A30E8">
            <w:pPr>
              <w:pStyle w:val="BodyText"/>
              <w:jc w:val="both"/>
              <w:rPr>
                <w:rFonts w:cs="Arial"/>
                <w:szCs w:val="22"/>
              </w:rPr>
            </w:pPr>
            <w:r w:rsidRPr="00373409">
              <w:rPr>
                <w:rFonts w:cs="Arial"/>
                <w:b/>
                <w:bCs/>
                <w:szCs w:val="22"/>
              </w:rPr>
              <w:t>Town Three</w:t>
            </w:r>
            <w:r w:rsidRPr="00CA3F08">
              <w:rPr>
                <w:rFonts w:cs="Arial"/>
                <w:szCs w:val="22"/>
              </w:rPr>
              <w:t xml:space="preserve"> = </w:t>
            </w:r>
            <w:r>
              <w:rPr>
                <w:rFonts w:cs="Arial"/>
                <w:szCs w:val="22"/>
              </w:rPr>
              <w:t>All met</w:t>
            </w:r>
          </w:p>
          <w:p w14:paraId="3CB9B95B" w14:textId="77777777" w:rsidR="001A30E8" w:rsidRDefault="001A30E8" w:rsidP="001A30E8">
            <w:pPr>
              <w:pStyle w:val="BodyText"/>
              <w:jc w:val="both"/>
              <w:rPr>
                <w:rFonts w:cs="Arial"/>
                <w:szCs w:val="22"/>
              </w:rPr>
            </w:pPr>
            <w:r>
              <w:rPr>
                <w:rFonts w:cs="Arial"/>
                <w:szCs w:val="22"/>
              </w:rPr>
              <w:t xml:space="preserve">Serviced population of 4000 people, reporting against: </w:t>
            </w:r>
          </w:p>
          <w:p w14:paraId="75B25106" w14:textId="091857FC" w:rsidR="001A30E8" w:rsidRPr="001A30E8" w:rsidRDefault="001A30E8" w:rsidP="001A30E8">
            <w:pPr>
              <w:pStyle w:val="BodyText"/>
              <w:numPr>
                <w:ilvl w:val="0"/>
                <w:numId w:val="34"/>
              </w:numPr>
              <w:jc w:val="both"/>
              <w:rPr>
                <w:rFonts w:cs="Arial"/>
                <w:szCs w:val="22"/>
              </w:rPr>
            </w:pPr>
            <w:r w:rsidRPr="00340AB3">
              <w:rPr>
                <w:rFonts w:cs="Arial"/>
                <w:szCs w:val="22"/>
              </w:rPr>
              <w:t>(</w:t>
            </w:r>
            <w:proofErr w:type="spellStart"/>
            <w:r w:rsidRPr="00373409">
              <w:rPr>
                <w:rFonts w:cs="Arial"/>
                <w:szCs w:val="22"/>
              </w:rPr>
              <w:t>i</w:t>
            </w:r>
            <w:proofErr w:type="spellEnd"/>
            <w:r w:rsidRPr="00373409">
              <w:rPr>
                <w:rFonts w:cs="Arial"/>
                <w:szCs w:val="22"/>
              </w:rPr>
              <w:t>) T3 Protozoal Rules</w:t>
            </w:r>
          </w:p>
        </w:tc>
        <w:tc>
          <w:tcPr>
            <w:tcW w:w="4644" w:type="dxa"/>
            <w:tcBorders>
              <w:top w:val="nil"/>
              <w:left w:val="single" w:sz="4" w:space="0" w:color="auto"/>
              <w:bottom w:val="single" w:sz="4" w:space="0" w:color="auto"/>
              <w:right w:val="single" w:sz="4" w:space="0" w:color="auto"/>
            </w:tcBorders>
          </w:tcPr>
          <w:p w14:paraId="37C4EBC4" w14:textId="77777777" w:rsidR="001A30E8" w:rsidRDefault="001A30E8" w:rsidP="001A30E8">
            <w:pPr>
              <w:pStyle w:val="BodyText"/>
              <w:jc w:val="both"/>
              <w:rPr>
                <w:rFonts w:cs="Arial"/>
                <w:szCs w:val="22"/>
              </w:rPr>
            </w:pPr>
            <w:r w:rsidRPr="00373409">
              <w:rPr>
                <w:rFonts w:cs="Arial"/>
                <w:b/>
                <w:bCs/>
                <w:szCs w:val="22"/>
              </w:rPr>
              <w:t>Town Three</w:t>
            </w:r>
            <w:r>
              <w:rPr>
                <w:rFonts w:cs="Arial"/>
                <w:szCs w:val="22"/>
              </w:rPr>
              <w:t xml:space="preserve"> </w:t>
            </w:r>
          </w:p>
          <w:p w14:paraId="77496784" w14:textId="284C4139" w:rsidR="001A30E8" w:rsidRPr="001A30E8" w:rsidRDefault="001A30E8" w:rsidP="001A30E8">
            <w:pPr>
              <w:pStyle w:val="BodyText"/>
              <w:jc w:val="both"/>
              <w:rPr>
                <w:rFonts w:cs="Arial"/>
                <w:szCs w:val="22"/>
              </w:rPr>
            </w:pPr>
            <w:r>
              <w:rPr>
                <w:rFonts w:cs="Arial"/>
                <w:szCs w:val="22"/>
              </w:rPr>
              <w:t xml:space="preserve">Serviced population of 4000 people, reporting against: </w:t>
            </w:r>
          </w:p>
          <w:p w14:paraId="189591D3" w14:textId="01A0481F" w:rsidR="001A30E8" w:rsidRPr="00CD69D6" w:rsidRDefault="001A30E8" w:rsidP="00CD69D6">
            <w:pPr>
              <w:pStyle w:val="BodyText"/>
              <w:numPr>
                <w:ilvl w:val="0"/>
                <w:numId w:val="34"/>
              </w:numPr>
              <w:jc w:val="both"/>
              <w:rPr>
                <w:rFonts w:cs="Arial"/>
                <w:szCs w:val="22"/>
              </w:rPr>
            </w:pPr>
            <w:r w:rsidRPr="00340AB3">
              <w:rPr>
                <w:rFonts w:cs="Arial"/>
                <w:szCs w:val="22"/>
              </w:rPr>
              <w:t>(</w:t>
            </w:r>
            <w:proofErr w:type="spellStart"/>
            <w:r w:rsidRPr="00373409">
              <w:rPr>
                <w:rFonts w:cs="Arial"/>
                <w:szCs w:val="22"/>
              </w:rPr>
              <w:t>i</w:t>
            </w:r>
            <w:proofErr w:type="spellEnd"/>
            <w:r w:rsidRPr="00373409">
              <w:rPr>
                <w:rFonts w:cs="Arial"/>
                <w:szCs w:val="22"/>
              </w:rPr>
              <w:t>) T3 Protozoal Rules</w:t>
            </w:r>
            <w:r>
              <w:rPr>
                <w:rFonts w:cs="Arial"/>
                <w:szCs w:val="22"/>
              </w:rPr>
              <w:t xml:space="preserve"> = Almost met</w:t>
            </w:r>
            <w:r w:rsidRPr="00CD69D6">
              <w:rPr>
                <w:rFonts w:cs="Arial"/>
                <w:szCs w:val="22"/>
              </w:rPr>
              <w:t xml:space="preserve"> </w:t>
            </w:r>
          </w:p>
          <w:p w14:paraId="54DB4897" w14:textId="1FF8E6D2" w:rsidR="001A30E8" w:rsidRPr="001A30E8" w:rsidRDefault="008D444F" w:rsidP="001A30E8">
            <w:pPr>
              <w:pStyle w:val="BodyText"/>
              <w:jc w:val="both"/>
              <w:rPr>
                <w:rFonts w:cs="Arial"/>
                <w:szCs w:val="22"/>
              </w:rPr>
            </w:pPr>
            <w:r>
              <w:rPr>
                <w:rFonts w:cs="Arial"/>
                <w:szCs w:val="22"/>
              </w:rPr>
              <w:t xml:space="preserve">The </w:t>
            </w:r>
            <w:r w:rsidR="006C29AF">
              <w:rPr>
                <w:rFonts w:cs="Arial"/>
                <w:szCs w:val="22"/>
              </w:rPr>
              <w:t xml:space="preserve">supply </w:t>
            </w:r>
            <w:r w:rsidR="00AC084A">
              <w:rPr>
                <w:rFonts w:cs="Arial"/>
                <w:szCs w:val="22"/>
              </w:rPr>
              <w:t xml:space="preserve">sources water from </w:t>
            </w:r>
            <w:r w:rsidR="00F762F9">
              <w:rPr>
                <w:rFonts w:cs="Arial"/>
                <w:szCs w:val="22"/>
              </w:rPr>
              <w:t xml:space="preserve">a </w:t>
            </w:r>
            <w:r w:rsidR="008462E3">
              <w:rPr>
                <w:rFonts w:cs="Arial"/>
                <w:szCs w:val="22"/>
              </w:rPr>
              <w:t>source with a log requirement of 4</w:t>
            </w:r>
            <w:r w:rsidR="00197609">
              <w:rPr>
                <w:rFonts w:cs="Arial"/>
                <w:szCs w:val="22"/>
              </w:rPr>
              <w:t xml:space="preserve"> that is treated with cartridge filtration and UV</w:t>
            </w:r>
            <w:r w:rsidR="007C53FE">
              <w:rPr>
                <w:rFonts w:cs="Arial"/>
                <w:szCs w:val="22"/>
              </w:rPr>
              <w:t>.</w:t>
            </w:r>
            <w:r w:rsidR="00DE2BB9">
              <w:rPr>
                <w:rFonts w:cs="Arial"/>
                <w:szCs w:val="22"/>
              </w:rPr>
              <w:t xml:space="preserve"> </w:t>
            </w:r>
            <w:r w:rsidR="006B7943">
              <w:rPr>
                <w:rFonts w:cs="Arial"/>
                <w:szCs w:val="22"/>
              </w:rPr>
              <w:t xml:space="preserve">Due to a power surge </w:t>
            </w:r>
            <w:r w:rsidR="00E57A89">
              <w:rPr>
                <w:rFonts w:cs="Arial"/>
                <w:szCs w:val="22"/>
              </w:rPr>
              <w:t xml:space="preserve">the plant could not </w:t>
            </w:r>
            <w:r w:rsidR="00D70569">
              <w:rPr>
                <w:rFonts w:cs="Arial"/>
                <w:szCs w:val="22"/>
              </w:rPr>
              <w:t>provide the requisite UV</w:t>
            </w:r>
            <w:r w:rsidR="00674F6B">
              <w:rPr>
                <w:rFonts w:cs="Arial"/>
                <w:szCs w:val="22"/>
              </w:rPr>
              <w:t xml:space="preserve"> dose that day, as cartridge filtration alone only provides 2 log credits the supply only provided sufficient log credits for 364/365 days</w:t>
            </w:r>
            <w:r w:rsidR="00EF70F8">
              <w:rPr>
                <w:rFonts w:cs="Arial"/>
                <w:szCs w:val="22"/>
              </w:rPr>
              <w:t xml:space="preserve"> giving a compliance rate of 99.7%</w:t>
            </w:r>
          </w:p>
        </w:tc>
      </w:tr>
      <w:bookmarkEnd w:id="3"/>
    </w:tbl>
    <w:p w14:paraId="3B508D51" w14:textId="77777777" w:rsidR="00420B89" w:rsidRPr="00CA3F08" w:rsidRDefault="00420B89" w:rsidP="00D609A5">
      <w:pPr>
        <w:pStyle w:val="BodyText"/>
        <w:jc w:val="both"/>
        <w:rPr>
          <w:rFonts w:cs="Arial"/>
          <w:szCs w:val="22"/>
        </w:rPr>
      </w:pPr>
    </w:p>
    <w:p w14:paraId="1C4A2D0D" w14:textId="77777777" w:rsidR="00BE4BA5" w:rsidRPr="00CA3F08" w:rsidRDefault="00BE4BA5" w:rsidP="00420B89">
      <w:pPr>
        <w:pStyle w:val="BodyText"/>
        <w:rPr>
          <w:rFonts w:cs="Arial"/>
          <w:szCs w:val="22"/>
        </w:rPr>
      </w:pPr>
    </w:p>
    <w:p w14:paraId="1DA799F2" w14:textId="77777777" w:rsidR="001A30E8" w:rsidRDefault="001A30E8">
      <w:bookmarkStart w:id="6" w:name="_Toc371512641"/>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9061"/>
      </w:tblGrid>
      <w:tr w:rsidR="001B32B9" w14:paraId="11A9CE35" w14:textId="77777777" w:rsidTr="00F96A83">
        <w:trPr>
          <w:tblHeader/>
        </w:trPr>
        <w:tc>
          <w:tcPr>
            <w:tcW w:w="9911" w:type="dxa"/>
            <w:tcBorders>
              <w:top w:val="single" w:sz="4" w:space="0" w:color="auto"/>
              <w:left w:val="single" w:sz="4" w:space="0" w:color="auto"/>
              <w:bottom w:val="single" w:sz="4" w:space="0" w:color="auto"/>
              <w:right w:val="single" w:sz="4" w:space="0" w:color="auto"/>
              <w:tl2br w:val="nil"/>
              <w:tr2bl w:val="nil"/>
            </w:tcBorders>
            <w:shd w:val="clear" w:color="000000" w:fill="CCCCCC"/>
          </w:tcPr>
          <w:bookmarkEnd w:id="6"/>
          <w:p w14:paraId="02057403" w14:textId="77777777" w:rsidR="001B32B9" w:rsidRPr="004B2034" w:rsidRDefault="001B32B9" w:rsidP="00F96A83">
            <w:pPr>
              <w:pStyle w:val="Heading3"/>
              <w:jc w:val="both"/>
              <w:rPr>
                <w:bCs w:val="0"/>
              </w:rPr>
            </w:pPr>
            <w:r w:rsidRPr="004B2034">
              <w:rPr>
                <w:bCs w:val="0"/>
              </w:rPr>
              <w:t xml:space="preserve">Performance measure </w:t>
            </w:r>
            <w:bookmarkStart w:id="7" w:name="_Hlk182575062"/>
            <w:r w:rsidRPr="004B2034">
              <w:rPr>
                <w:bCs w:val="0"/>
              </w:rPr>
              <w:t>two (maintenance of the reticulation network)</w:t>
            </w:r>
          </w:p>
          <w:bookmarkEnd w:id="7"/>
          <w:p w14:paraId="264042B3" w14:textId="77777777" w:rsidR="001B32B9" w:rsidRPr="004B2034" w:rsidRDefault="001B32B9" w:rsidP="00F96A83">
            <w:pPr>
              <w:pStyle w:val="BodyText"/>
              <w:spacing w:after="0" w:line="240" w:lineRule="auto"/>
              <w:jc w:val="both"/>
              <w:rPr>
                <w:bCs/>
              </w:rPr>
            </w:pPr>
            <w:r w:rsidRPr="004B2034">
              <w:rPr>
                <w:bCs/>
              </w:rPr>
              <w:t xml:space="preserve">The percentage of real water loss from the local authority’s networked reticulation system (including a description of the methodology used to calculate this).  </w:t>
            </w:r>
          </w:p>
          <w:p w14:paraId="0A4B9BEF" w14:textId="77777777" w:rsidR="001B32B9" w:rsidRPr="004B2034" w:rsidRDefault="001B32B9" w:rsidP="00F96A83">
            <w:pPr>
              <w:pStyle w:val="BodyText"/>
              <w:jc w:val="both"/>
              <w:rPr>
                <w:bCs/>
                <w:szCs w:val="22"/>
              </w:rPr>
            </w:pPr>
          </w:p>
        </w:tc>
      </w:tr>
    </w:tbl>
    <w:p w14:paraId="3A588B70" w14:textId="77777777" w:rsidR="001B32B9" w:rsidRDefault="001B32B9" w:rsidP="001B32B9">
      <w:pPr>
        <w:pStyle w:val="Heading3"/>
      </w:pPr>
      <w:r>
        <w:t>Introduction to measure</w:t>
      </w:r>
    </w:p>
    <w:p w14:paraId="71EA2CC3" w14:textId="77777777" w:rsidR="001B32B9" w:rsidRDefault="001B32B9" w:rsidP="001B32B9">
      <w:pPr>
        <w:pStyle w:val="BodyText"/>
        <w:jc w:val="both"/>
      </w:pPr>
      <w:r>
        <w:t>This performance measure provides information on the state and operation of a territorial authority’s water reticulation network infrastructure.</w:t>
      </w:r>
    </w:p>
    <w:p w14:paraId="3FC43651" w14:textId="77777777" w:rsidR="001B32B9" w:rsidRDefault="001B32B9" w:rsidP="001B32B9">
      <w:pPr>
        <w:pStyle w:val="BodyText"/>
        <w:jc w:val="both"/>
      </w:pPr>
      <w:r>
        <w:t>Water loss is a key indicator of the performance of a reticulated water supply. High levels of water loss may indicate that the reticulation network is in poor condition or that it is being operated inefficiently. Water lost from the reticulation network is a cost to communities and wastes a valuable natural resource.</w:t>
      </w:r>
    </w:p>
    <w:p w14:paraId="65649678" w14:textId="77777777" w:rsidR="001B32B9" w:rsidRDefault="001B32B9" w:rsidP="001B32B9">
      <w:pPr>
        <w:pStyle w:val="BodyText"/>
        <w:jc w:val="both"/>
      </w:pPr>
      <w:r>
        <w:t>Information provided by this performance measure will help communities and territorial authorities to decide whether improvements are needed to either operational systems or the water network infrastructure.</w:t>
      </w:r>
    </w:p>
    <w:p w14:paraId="5EED59A6" w14:textId="77777777" w:rsidR="001B32B9" w:rsidRDefault="001B32B9" w:rsidP="001B32B9">
      <w:pPr>
        <w:pStyle w:val="BodyText"/>
        <w:jc w:val="both"/>
      </w:pPr>
      <w:r>
        <w:t xml:space="preserve">The performance measure does not directly measure water pressure. Issues with water pressure will be reported through performance measure four, covering customer satisfaction (specifically through the number of complaints about water pressure). </w:t>
      </w:r>
    </w:p>
    <w:p w14:paraId="52953043" w14:textId="77777777" w:rsidR="001B32B9" w:rsidRDefault="001B32B9" w:rsidP="001B32B9">
      <w:pPr>
        <w:pStyle w:val="Heading3"/>
      </w:pPr>
      <w:r>
        <w:t>Guidance for reporting</w:t>
      </w:r>
    </w:p>
    <w:p w14:paraId="406956F4" w14:textId="77777777" w:rsidR="001B32B9" w:rsidRPr="00A26E66" w:rsidRDefault="001B32B9" w:rsidP="001B32B9">
      <w:pPr>
        <w:pStyle w:val="BodyText"/>
      </w:pPr>
      <w:r w:rsidRPr="770DC65B">
        <w:rPr>
          <w:b/>
          <w:bCs/>
        </w:rPr>
        <w:t xml:space="preserve">Water losses </w:t>
      </w:r>
      <w:r>
        <w:t xml:space="preserve">should be determined using the methodology outlined in the </w:t>
      </w:r>
      <w:r w:rsidRPr="770DC65B">
        <w:rPr>
          <w:rFonts w:cs="Arial"/>
        </w:rPr>
        <w:t>Water Services Authority’</w:t>
      </w:r>
      <w:r>
        <w:rPr>
          <w:rFonts w:cs="Arial"/>
        </w:rPr>
        <w:t>s</w:t>
      </w:r>
      <w:r w:rsidRPr="770DC65B">
        <w:rPr>
          <w:rFonts w:cs="Arial"/>
        </w:rPr>
        <w:t xml:space="preserve"> </w:t>
      </w:r>
      <w:hyperlink r:id="rId13">
        <w:r w:rsidRPr="770DC65B">
          <w:rPr>
            <w:rStyle w:val="Hyperlink"/>
          </w:rPr>
          <w:t>Network Environmental Performance Measure (NEPM) guidance</w:t>
        </w:r>
      </w:hyperlink>
      <w:r w:rsidRPr="770DC65B">
        <w:rPr>
          <w:rStyle w:val="Hyperlink"/>
        </w:rPr>
        <w:t xml:space="preserve"> </w:t>
      </w:r>
      <w:r>
        <w:t>for:</w:t>
      </w:r>
    </w:p>
    <w:p w14:paraId="2439959A" w14:textId="77777777" w:rsidR="001B32B9" w:rsidRPr="00CC1FAF" w:rsidRDefault="001B32B9" w:rsidP="001B32B9">
      <w:pPr>
        <w:pStyle w:val="BodyText"/>
        <w:numPr>
          <w:ilvl w:val="0"/>
          <w:numId w:val="36"/>
        </w:numPr>
        <w:rPr>
          <w:b/>
          <w:bCs/>
        </w:rPr>
      </w:pPr>
      <w:r w:rsidRPr="00CC1FAF">
        <w:rPr>
          <w:b/>
          <w:bCs/>
        </w:rPr>
        <w:t>D-RE1 Estimated total drinking water network water loss</w:t>
      </w:r>
      <w:r>
        <w:rPr>
          <w:b/>
          <w:bCs/>
        </w:rPr>
        <w:t xml:space="preserve"> (m</w:t>
      </w:r>
      <w:r w:rsidRPr="008C500A">
        <w:rPr>
          <w:rFonts w:ascii="Arial Bold" w:hAnsi="Arial Bold"/>
          <w:b/>
          <w:bCs/>
          <w:vertAlign w:val="superscript"/>
        </w:rPr>
        <w:t>3</w:t>
      </w:r>
      <w:r>
        <w:rPr>
          <w:b/>
          <w:bCs/>
        </w:rPr>
        <w:t>/year)</w:t>
      </w:r>
      <w:r w:rsidRPr="00CC1FAF">
        <w:rPr>
          <w:b/>
          <w:bCs/>
        </w:rPr>
        <w:t>.</w:t>
      </w:r>
    </w:p>
    <w:p w14:paraId="502CE8F2" w14:textId="77777777" w:rsidR="001B32B9" w:rsidRPr="00CC1FAF" w:rsidRDefault="001B32B9" w:rsidP="001B32B9">
      <w:pPr>
        <w:pStyle w:val="BodyText"/>
        <w:numPr>
          <w:ilvl w:val="0"/>
          <w:numId w:val="36"/>
        </w:numPr>
        <w:rPr>
          <w:b/>
          <w:bCs/>
        </w:rPr>
      </w:pPr>
      <w:r w:rsidRPr="00CC1FAF">
        <w:rPr>
          <w:b/>
          <w:bCs/>
        </w:rPr>
        <w:t>D-EH4 Water supplied to the drinking water network</w:t>
      </w:r>
      <w:r>
        <w:rPr>
          <w:b/>
          <w:bCs/>
        </w:rPr>
        <w:t xml:space="preserve"> (m</w:t>
      </w:r>
      <w:r w:rsidRPr="008C500A">
        <w:rPr>
          <w:rFonts w:ascii="Arial Bold" w:hAnsi="Arial Bold"/>
          <w:b/>
          <w:bCs/>
          <w:vertAlign w:val="superscript"/>
        </w:rPr>
        <w:t>3</w:t>
      </w:r>
      <w:r>
        <w:rPr>
          <w:b/>
          <w:bCs/>
        </w:rPr>
        <w:t>/year)</w:t>
      </w:r>
    </w:p>
    <w:p w14:paraId="65F16800" w14:textId="77777777" w:rsidR="001B32B9" w:rsidRPr="00A26E66" w:rsidRDefault="001B32B9" w:rsidP="001B32B9">
      <w:pPr>
        <w:pStyle w:val="BodyText"/>
      </w:pPr>
      <w:r w:rsidRPr="00A26E66">
        <w:t xml:space="preserve">Volumes should be separately reported, enabling a percentage of losses to be determined. </w:t>
      </w:r>
    </w:p>
    <w:p w14:paraId="792FAAE7" w14:textId="77777777" w:rsidR="001B32B9" w:rsidRPr="00A26E66" w:rsidRDefault="001B32B9" w:rsidP="001B32B9">
      <w:pPr>
        <w:pStyle w:val="BodyText"/>
      </w:pPr>
      <w:r w:rsidRPr="00A26E66">
        <w:t xml:space="preserve">The measure can be provided as whole of level district, </w:t>
      </w:r>
      <w:proofErr w:type="gramStart"/>
      <w:r w:rsidRPr="00A26E66">
        <w:t>however</w:t>
      </w:r>
      <w:proofErr w:type="gramEnd"/>
      <w:r w:rsidRPr="00A26E66">
        <w:t xml:space="preserve"> is recommended to be provided per network in line with the NEPM.</w:t>
      </w:r>
    </w:p>
    <w:p w14:paraId="34BC5721" w14:textId="77777777" w:rsidR="001B32B9" w:rsidRPr="00F1270D" w:rsidRDefault="001B32B9" w:rsidP="001B32B9">
      <w:pPr>
        <w:pStyle w:val="Heading3"/>
      </w:pPr>
      <w:bookmarkStart w:id="8" w:name="_Hlk182575018"/>
      <w:r w:rsidRPr="001158CF">
        <w:t>W</w:t>
      </w:r>
      <w:r>
        <w:t>orked example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3187"/>
        <w:gridCol w:w="2727"/>
        <w:gridCol w:w="3147"/>
      </w:tblGrid>
      <w:tr w:rsidR="001B32B9" w14:paraId="5C129D01" w14:textId="77777777" w:rsidTr="0FCE6BC2">
        <w:trPr>
          <w:tblHeader/>
        </w:trPr>
        <w:tc>
          <w:tcPr>
            <w:tcW w:w="3242" w:type="dxa"/>
            <w:tcBorders>
              <w:top w:val="single" w:sz="4" w:space="0" w:color="auto"/>
              <w:left w:val="single" w:sz="4" w:space="0" w:color="auto"/>
              <w:bottom w:val="single" w:sz="4" w:space="0" w:color="auto"/>
              <w:right w:val="single" w:sz="6" w:space="0" w:color="auto"/>
              <w:tl2br w:val="nil"/>
              <w:tr2bl w:val="nil"/>
            </w:tcBorders>
            <w:shd w:val="clear" w:color="auto" w:fill="CCCCCC"/>
          </w:tcPr>
          <w:p w14:paraId="38676687" w14:textId="77777777" w:rsidR="001B32B9" w:rsidRPr="004B2034" w:rsidRDefault="001B32B9" w:rsidP="00F96A83">
            <w:pPr>
              <w:rPr>
                <w:b/>
                <w:bCs/>
              </w:rPr>
            </w:pPr>
            <w:r>
              <w:rPr>
                <w:b/>
                <w:bCs/>
              </w:rPr>
              <w:t>Calculation</w:t>
            </w:r>
          </w:p>
        </w:tc>
        <w:tc>
          <w:tcPr>
            <w:tcW w:w="2802" w:type="dxa"/>
            <w:tcBorders>
              <w:top w:val="single" w:sz="4" w:space="0" w:color="auto"/>
              <w:left w:val="single" w:sz="6" w:space="0" w:color="auto"/>
              <w:bottom w:val="single" w:sz="4" w:space="0" w:color="auto"/>
              <w:right w:val="single" w:sz="6" w:space="0" w:color="auto"/>
              <w:tl2br w:val="nil"/>
              <w:tr2bl w:val="nil"/>
            </w:tcBorders>
            <w:shd w:val="clear" w:color="auto" w:fill="CCCCCC"/>
          </w:tcPr>
          <w:p w14:paraId="71D52534" w14:textId="77777777" w:rsidR="001B32B9" w:rsidRPr="004B2034" w:rsidRDefault="001B32B9" w:rsidP="00F96A83">
            <w:pPr>
              <w:rPr>
                <w:b/>
                <w:bCs/>
              </w:rPr>
            </w:pPr>
            <w:r w:rsidRPr="004B2034">
              <w:rPr>
                <w:b/>
                <w:bCs/>
              </w:rPr>
              <w:t>Target</w:t>
            </w:r>
          </w:p>
        </w:tc>
        <w:tc>
          <w:tcPr>
            <w:tcW w:w="3243" w:type="dxa"/>
            <w:tcBorders>
              <w:top w:val="single" w:sz="4" w:space="0" w:color="auto"/>
              <w:left w:val="single" w:sz="6" w:space="0" w:color="auto"/>
              <w:bottom w:val="single" w:sz="4" w:space="0" w:color="auto"/>
              <w:right w:val="single" w:sz="4" w:space="0" w:color="auto"/>
              <w:tl2br w:val="nil"/>
              <w:tr2bl w:val="nil"/>
            </w:tcBorders>
            <w:shd w:val="clear" w:color="auto" w:fill="CCCCCC"/>
          </w:tcPr>
          <w:p w14:paraId="190125C4" w14:textId="77777777" w:rsidR="001B32B9" w:rsidRPr="004B2034" w:rsidRDefault="001B32B9" w:rsidP="00F96A83">
            <w:pPr>
              <w:rPr>
                <w:b/>
                <w:bCs/>
              </w:rPr>
            </w:pPr>
            <w:r w:rsidRPr="004B2034">
              <w:rPr>
                <w:b/>
                <w:bCs/>
              </w:rPr>
              <w:t>Actual</w:t>
            </w:r>
          </w:p>
        </w:tc>
      </w:tr>
      <w:tr w:rsidR="001B32B9" w14:paraId="10CC535F" w14:textId="77777777" w:rsidTr="0FCE6BC2">
        <w:trPr>
          <w:cantSplit/>
        </w:trPr>
        <w:tc>
          <w:tcPr>
            <w:tcW w:w="3242" w:type="dxa"/>
            <w:shd w:val="clear" w:color="auto" w:fill="D1D1D1" w:themeFill="background2" w:themeFillShade="E6"/>
          </w:tcPr>
          <w:p w14:paraId="511E102B" w14:textId="77777777" w:rsidR="001B32B9" w:rsidRPr="006659A7" w:rsidRDefault="001B32B9" w:rsidP="00F96A83">
            <w:pPr>
              <w:pStyle w:val="BodyText"/>
              <w:rPr>
                <w:i/>
                <w:szCs w:val="22"/>
              </w:rPr>
            </w:pPr>
            <w:r w:rsidRPr="004B2034">
              <w:rPr>
                <w:i/>
                <w:szCs w:val="22"/>
              </w:rPr>
              <w:t>Please note: the calculation does not have to be reported.</w:t>
            </w:r>
          </w:p>
          <w:p w14:paraId="095F358A" w14:textId="262F26A0" w:rsidR="001B32B9" w:rsidRDefault="001B32B9" w:rsidP="00F96A83">
            <w:pPr>
              <w:pStyle w:val="BodyText"/>
              <w:jc w:val="both"/>
            </w:pPr>
            <w:r>
              <w:t xml:space="preserve">D-RE1 Estimated total drinking water network water loss = </w:t>
            </w:r>
            <w:r w:rsidRPr="00851976">
              <w:t>2842400</w:t>
            </w:r>
            <w:r>
              <w:t xml:space="preserve"> </w:t>
            </w:r>
            <w:r w:rsidR="00AD03B0" w:rsidRPr="008C500A">
              <w:t>m</w:t>
            </w:r>
            <w:r w:rsidR="00AD03B0" w:rsidRPr="008C500A">
              <w:rPr>
                <w:rFonts w:ascii="Arial Bold" w:hAnsi="Arial Bold"/>
                <w:vertAlign w:val="superscript"/>
              </w:rPr>
              <w:t>3</w:t>
            </w:r>
            <w:r>
              <w:t>/year</w:t>
            </w:r>
          </w:p>
          <w:p w14:paraId="2495A289" w14:textId="0D6E322A" w:rsidR="001B32B9" w:rsidRDefault="001B32B9" w:rsidP="00F96A83">
            <w:pPr>
              <w:pStyle w:val="BodyText"/>
              <w:jc w:val="both"/>
            </w:pPr>
            <w:r>
              <w:t xml:space="preserve">D-EH4 Water supplied to the drinking water network = </w:t>
            </w:r>
            <w:r w:rsidRPr="007730C9">
              <w:t>13253000</w:t>
            </w:r>
            <w:r>
              <w:t xml:space="preserve"> </w:t>
            </w:r>
            <w:r w:rsidR="00AD03B0" w:rsidRPr="00E90E51">
              <w:t>m</w:t>
            </w:r>
            <w:r w:rsidR="00AD03B0" w:rsidRPr="00E90E51">
              <w:rPr>
                <w:rFonts w:ascii="Arial Bold" w:hAnsi="Arial Bold"/>
                <w:vertAlign w:val="superscript"/>
              </w:rPr>
              <w:t>3</w:t>
            </w:r>
            <w:r w:rsidR="00AD03B0" w:rsidRPr="00E90E51">
              <w:t>/</w:t>
            </w:r>
            <w:r>
              <w:t>year</w:t>
            </w:r>
          </w:p>
          <w:p w14:paraId="1B892C7A" w14:textId="5051E32E" w:rsidR="001B32B9" w:rsidRDefault="001B32B9" w:rsidP="00F96A83">
            <w:pPr>
              <w:pStyle w:val="BodyText"/>
              <w:jc w:val="both"/>
            </w:pPr>
            <w:r>
              <w:t>Calculation for water loss is 2842400/13253000 = 0.21</w:t>
            </w:r>
            <w:r w:rsidR="00F4564D">
              <w:t>%</w:t>
            </w:r>
          </w:p>
          <w:p w14:paraId="787BFB77" w14:textId="77777777" w:rsidR="001B32B9" w:rsidRDefault="001B32B9" w:rsidP="00F96A83">
            <w:pPr>
              <w:jc w:val="both"/>
            </w:pPr>
          </w:p>
        </w:tc>
        <w:tc>
          <w:tcPr>
            <w:tcW w:w="2802" w:type="dxa"/>
          </w:tcPr>
          <w:p w14:paraId="476AF872" w14:textId="77777777" w:rsidR="001B32B9" w:rsidRDefault="001B32B9" w:rsidP="00F96A83">
            <w:pPr>
              <w:pStyle w:val="BodyText"/>
              <w:jc w:val="both"/>
            </w:pPr>
            <w:r>
              <w:t xml:space="preserve">Target real water loss from the local authority’s networked reticulation system </w:t>
            </w:r>
            <w:r>
              <w:rPr>
                <w:rFonts w:cs="Arial"/>
              </w:rPr>
              <w:t>≤</w:t>
            </w:r>
            <w:r>
              <w:t xml:space="preserve"> 20%</w:t>
            </w:r>
          </w:p>
          <w:p w14:paraId="6DC9FCC3" w14:textId="77777777" w:rsidR="001B32B9" w:rsidRPr="00CC1FAF" w:rsidRDefault="001B32B9" w:rsidP="00F96A83">
            <w:pPr>
              <w:jc w:val="center"/>
            </w:pPr>
          </w:p>
        </w:tc>
        <w:tc>
          <w:tcPr>
            <w:tcW w:w="3243" w:type="dxa"/>
          </w:tcPr>
          <w:p w14:paraId="78F2AC63" w14:textId="77777777" w:rsidR="001B32B9" w:rsidRDefault="001B32B9" w:rsidP="00F96A83">
            <w:pPr>
              <w:jc w:val="both"/>
            </w:pPr>
            <w:r>
              <w:t>Real water loss from network reticulation system = 21%</w:t>
            </w:r>
          </w:p>
        </w:tc>
      </w:tr>
      <w:bookmarkEnd w:id="8"/>
    </w:tbl>
    <w:p w14:paraId="09A70B4D" w14:textId="77777777" w:rsidR="001B32B9" w:rsidRDefault="001B32B9" w:rsidP="001B32B9">
      <w:pPr>
        <w:pStyle w:val="BodyText"/>
        <w:jc w:val="both"/>
      </w:pPr>
    </w:p>
    <w:p w14:paraId="68694DC1" w14:textId="77777777" w:rsidR="001B32B9" w:rsidRDefault="001B32B9" w:rsidP="001B32B9">
      <w:pPr>
        <w:pStyle w:val="BodyText"/>
        <w:jc w:val="both"/>
      </w:pPr>
    </w:p>
    <w:p w14:paraId="2AD8DB94" w14:textId="77777777" w:rsidR="001B32B9" w:rsidRDefault="001B32B9" w:rsidP="001B32B9">
      <w:bookmarkStart w:id="9" w:name="_Hlk182575096"/>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9061"/>
      </w:tblGrid>
      <w:tr w:rsidR="001B32B9" w14:paraId="0AEE8286" w14:textId="77777777" w:rsidTr="00F96A83">
        <w:trPr>
          <w:tblHeader/>
        </w:trPr>
        <w:tc>
          <w:tcPr>
            <w:tcW w:w="9287" w:type="dxa"/>
            <w:tcBorders>
              <w:top w:val="single" w:sz="4" w:space="0" w:color="auto"/>
              <w:left w:val="single" w:sz="4" w:space="0" w:color="auto"/>
              <w:bottom w:val="single" w:sz="4" w:space="0" w:color="auto"/>
              <w:right w:val="single" w:sz="4" w:space="0" w:color="auto"/>
              <w:tl2br w:val="nil"/>
              <w:tr2bl w:val="nil"/>
            </w:tcBorders>
            <w:shd w:val="clear" w:color="000000" w:fill="CCCCCC"/>
          </w:tcPr>
          <w:p w14:paraId="5C6C76E9" w14:textId="77777777" w:rsidR="001B32B9" w:rsidRPr="004B2034" w:rsidRDefault="001B32B9" w:rsidP="00F96A83">
            <w:pPr>
              <w:pStyle w:val="Heading3"/>
              <w:jc w:val="both"/>
              <w:rPr>
                <w:bCs w:val="0"/>
              </w:rPr>
            </w:pPr>
            <w:r w:rsidRPr="004B2034">
              <w:rPr>
                <w:bCs w:val="0"/>
              </w:rPr>
              <w:t>Performance measure three (fault response times):</w:t>
            </w:r>
          </w:p>
          <w:bookmarkEnd w:id="9"/>
          <w:p w14:paraId="481AA0AF" w14:textId="77777777" w:rsidR="001B32B9" w:rsidRPr="004B2034" w:rsidRDefault="001B32B9" w:rsidP="00F96A83">
            <w:pPr>
              <w:pStyle w:val="BodyText"/>
              <w:spacing w:line="240" w:lineRule="auto"/>
              <w:jc w:val="both"/>
              <w:rPr>
                <w:bCs/>
                <w:szCs w:val="22"/>
              </w:rPr>
            </w:pPr>
            <w:r w:rsidRPr="004B2034">
              <w:rPr>
                <w:bCs/>
                <w:szCs w:val="22"/>
              </w:rPr>
              <w:t xml:space="preserve">Where the local authority attends a call-out in response to a fault or unplanned interruption to its networked reticulation system, the following median response times are measured:  </w:t>
            </w:r>
          </w:p>
          <w:p w14:paraId="409343D3" w14:textId="77777777" w:rsidR="001B32B9" w:rsidRPr="004B2034" w:rsidRDefault="001B32B9" w:rsidP="00F96A83">
            <w:pPr>
              <w:pStyle w:val="BodyText"/>
              <w:numPr>
                <w:ilvl w:val="0"/>
                <w:numId w:val="23"/>
              </w:numPr>
              <w:spacing w:line="240" w:lineRule="auto"/>
              <w:jc w:val="both"/>
              <w:rPr>
                <w:bCs/>
                <w:szCs w:val="22"/>
              </w:rPr>
            </w:pPr>
            <w:r w:rsidRPr="004B2034">
              <w:rPr>
                <w:bCs/>
                <w:szCs w:val="22"/>
              </w:rPr>
              <w:t xml:space="preserve">attendance for urgent </w:t>
            </w:r>
            <w:proofErr w:type="gramStart"/>
            <w:r w:rsidRPr="004B2034">
              <w:rPr>
                <w:bCs/>
                <w:szCs w:val="22"/>
              </w:rPr>
              <w:t>call-outs</w:t>
            </w:r>
            <w:proofErr w:type="gramEnd"/>
            <w:r w:rsidRPr="004B2034">
              <w:rPr>
                <w:bCs/>
                <w:szCs w:val="22"/>
              </w:rPr>
              <w:t xml:space="preserve">: from the time that the local authority receives notification to the time that service personnel reach the </w:t>
            </w:r>
            <w:proofErr w:type="gramStart"/>
            <w:r w:rsidRPr="004B2034">
              <w:rPr>
                <w:bCs/>
                <w:szCs w:val="22"/>
              </w:rPr>
              <w:t>site;</w:t>
            </w:r>
            <w:proofErr w:type="gramEnd"/>
          </w:p>
          <w:p w14:paraId="6C9DBEDB" w14:textId="77777777" w:rsidR="001B32B9" w:rsidRPr="004B2034" w:rsidRDefault="001B32B9" w:rsidP="00F96A83">
            <w:pPr>
              <w:pStyle w:val="BodyText"/>
              <w:numPr>
                <w:ilvl w:val="0"/>
                <w:numId w:val="23"/>
              </w:numPr>
              <w:spacing w:line="240" w:lineRule="auto"/>
              <w:jc w:val="both"/>
              <w:rPr>
                <w:bCs/>
                <w:szCs w:val="22"/>
              </w:rPr>
            </w:pPr>
            <w:r w:rsidRPr="004B2034">
              <w:rPr>
                <w:bCs/>
                <w:szCs w:val="22"/>
              </w:rPr>
              <w:t xml:space="preserve">resolution of urgent </w:t>
            </w:r>
            <w:proofErr w:type="gramStart"/>
            <w:r w:rsidRPr="004B2034">
              <w:rPr>
                <w:bCs/>
                <w:szCs w:val="22"/>
              </w:rPr>
              <w:t>call-outs</w:t>
            </w:r>
            <w:proofErr w:type="gramEnd"/>
            <w:r w:rsidRPr="004B2034">
              <w:rPr>
                <w:bCs/>
                <w:szCs w:val="22"/>
              </w:rPr>
              <w:t xml:space="preserve">: from the time that the local authority receives notification to the time that service personnel confirm resolution of the fault or </w:t>
            </w:r>
            <w:proofErr w:type="gramStart"/>
            <w:r w:rsidRPr="004B2034">
              <w:rPr>
                <w:bCs/>
                <w:szCs w:val="22"/>
              </w:rPr>
              <w:t>interruption;</w:t>
            </w:r>
            <w:proofErr w:type="gramEnd"/>
          </w:p>
          <w:p w14:paraId="7AAFC327" w14:textId="77777777" w:rsidR="001B32B9" w:rsidRPr="004B2034" w:rsidRDefault="001B32B9" w:rsidP="00F96A83">
            <w:pPr>
              <w:pStyle w:val="BodyText"/>
              <w:numPr>
                <w:ilvl w:val="0"/>
                <w:numId w:val="23"/>
              </w:numPr>
              <w:spacing w:line="240" w:lineRule="auto"/>
              <w:jc w:val="both"/>
              <w:rPr>
                <w:bCs/>
                <w:szCs w:val="22"/>
              </w:rPr>
            </w:pPr>
            <w:r w:rsidRPr="004B2034">
              <w:rPr>
                <w:bCs/>
                <w:szCs w:val="22"/>
              </w:rPr>
              <w:t xml:space="preserve">attendance for non-urgent </w:t>
            </w:r>
            <w:proofErr w:type="gramStart"/>
            <w:r w:rsidRPr="004B2034">
              <w:rPr>
                <w:bCs/>
                <w:szCs w:val="22"/>
              </w:rPr>
              <w:t>call-outs</w:t>
            </w:r>
            <w:proofErr w:type="gramEnd"/>
            <w:r w:rsidRPr="004B2034">
              <w:rPr>
                <w:bCs/>
                <w:szCs w:val="22"/>
              </w:rPr>
              <w:t>: from the time that the local authority receives notification to the time that service personnel reach the site; and</w:t>
            </w:r>
          </w:p>
          <w:p w14:paraId="43DEA914" w14:textId="77777777" w:rsidR="001B32B9" w:rsidRPr="004B2034" w:rsidRDefault="001B32B9" w:rsidP="00F96A83">
            <w:pPr>
              <w:pStyle w:val="BodyText"/>
              <w:numPr>
                <w:ilvl w:val="0"/>
                <w:numId w:val="23"/>
              </w:numPr>
              <w:spacing w:line="240" w:lineRule="auto"/>
              <w:jc w:val="both"/>
              <w:rPr>
                <w:bCs/>
                <w:szCs w:val="22"/>
              </w:rPr>
            </w:pPr>
            <w:r w:rsidRPr="004B2034">
              <w:rPr>
                <w:bCs/>
                <w:szCs w:val="22"/>
              </w:rPr>
              <w:t xml:space="preserve">resolution of non-urgent </w:t>
            </w:r>
            <w:proofErr w:type="gramStart"/>
            <w:r w:rsidRPr="004B2034">
              <w:rPr>
                <w:bCs/>
                <w:szCs w:val="22"/>
              </w:rPr>
              <w:t>call-outs</w:t>
            </w:r>
            <w:proofErr w:type="gramEnd"/>
            <w:r w:rsidRPr="004B2034">
              <w:rPr>
                <w:bCs/>
                <w:szCs w:val="22"/>
              </w:rPr>
              <w:t>: from the time that the local authority receives notification to the time that service personnel confirm resolution of the fault or interruption.</w:t>
            </w:r>
          </w:p>
          <w:p w14:paraId="50092C1F" w14:textId="77777777" w:rsidR="001B32B9" w:rsidRPr="004B2034" w:rsidRDefault="001B32B9" w:rsidP="00F96A83">
            <w:pPr>
              <w:pStyle w:val="BodyText"/>
              <w:jc w:val="both"/>
              <w:rPr>
                <w:bCs/>
                <w:szCs w:val="22"/>
              </w:rPr>
            </w:pPr>
          </w:p>
        </w:tc>
      </w:tr>
    </w:tbl>
    <w:p w14:paraId="7B11F950" w14:textId="77777777" w:rsidR="001B32B9" w:rsidRDefault="001B32B9" w:rsidP="001B32B9">
      <w:pPr>
        <w:pStyle w:val="Heading3"/>
      </w:pPr>
      <w:r>
        <w:t>Introduction to measure</w:t>
      </w:r>
    </w:p>
    <w:p w14:paraId="7B965976" w14:textId="77777777" w:rsidR="001B32B9" w:rsidRPr="00817532" w:rsidRDefault="001B32B9" w:rsidP="001B32B9">
      <w:pPr>
        <w:pStyle w:val="BodyText"/>
        <w:jc w:val="both"/>
      </w:pPr>
      <w:r w:rsidRPr="00817532">
        <w:t xml:space="preserve">This measure shows </w:t>
      </w:r>
      <w:r>
        <w:t xml:space="preserve">the speed at which </w:t>
      </w:r>
      <w:r w:rsidRPr="00817532">
        <w:t xml:space="preserve">a </w:t>
      </w:r>
      <w:r>
        <w:t>territorial authority</w:t>
      </w:r>
      <w:r w:rsidRPr="00817532">
        <w:t xml:space="preserve"> attends to problems with a water supply.  </w:t>
      </w:r>
    </w:p>
    <w:p w14:paraId="51F2F72E" w14:textId="77777777" w:rsidR="001B32B9" w:rsidRDefault="001B32B9" w:rsidP="001B32B9">
      <w:pPr>
        <w:pStyle w:val="BodyText"/>
        <w:jc w:val="both"/>
      </w:pPr>
      <w:r w:rsidRPr="00817532">
        <w:t xml:space="preserve">Measuring response time is a way of gauging whether a </w:t>
      </w:r>
      <w:r>
        <w:t>territorial authority</w:t>
      </w:r>
      <w:r w:rsidRPr="00817532">
        <w:t xml:space="preserve"> is listening to its customers and providing solutions. An appropriate response to an urgent water supply outage is important because households and businesses require water to function, and without water a building can quickly become insanitary.</w:t>
      </w:r>
    </w:p>
    <w:p w14:paraId="71018E87" w14:textId="77777777" w:rsidR="001B32B9" w:rsidRDefault="001B32B9" w:rsidP="001B32B9">
      <w:pPr>
        <w:pStyle w:val="Heading3"/>
      </w:pPr>
      <w:r>
        <w:t>Guidance for reporting</w:t>
      </w:r>
    </w:p>
    <w:p w14:paraId="63C5C3AE" w14:textId="77777777" w:rsidR="001B32B9" w:rsidRDefault="001B32B9" w:rsidP="001B32B9">
      <w:pPr>
        <w:pStyle w:val="BodyText"/>
        <w:jc w:val="both"/>
      </w:pPr>
      <w:r>
        <w:t xml:space="preserve">These measures should be reported using definitions provided in the </w:t>
      </w:r>
      <w:r w:rsidRPr="704614A4">
        <w:rPr>
          <w:rFonts w:cs="Arial"/>
        </w:rPr>
        <w:t xml:space="preserve">Water Services Authority’s </w:t>
      </w:r>
      <w:hyperlink r:id="rId14">
        <w:r w:rsidRPr="704614A4">
          <w:rPr>
            <w:rStyle w:val="Hyperlink"/>
          </w:rPr>
          <w:t>Network Environmental Performance Measure (NEPM) guidance</w:t>
        </w:r>
      </w:hyperlink>
      <w:r>
        <w:t xml:space="preserve"> for:</w:t>
      </w:r>
    </w:p>
    <w:p w14:paraId="34F0E71E" w14:textId="77777777" w:rsidR="001B32B9" w:rsidRPr="003A0E43" w:rsidRDefault="001B32B9" w:rsidP="001B32B9">
      <w:pPr>
        <w:pStyle w:val="BodyText"/>
        <w:numPr>
          <w:ilvl w:val="0"/>
          <w:numId w:val="37"/>
        </w:numPr>
        <w:jc w:val="both"/>
        <w:rPr>
          <w:b/>
          <w:bCs/>
        </w:rPr>
      </w:pPr>
      <w:r w:rsidRPr="704614A4">
        <w:rPr>
          <w:b/>
          <w:bCs/>
        </w:rPr>
        <w:t>D-R1 Median hours to attend to an urgent fault (3a)</w:t>
      </w:r>
    </w:p>
    <w:p w14:paraId="18DF3BDF" w14:textId="77777777" w:rsidR="001B32B9" w:rsidRPr="003A0E43" w:rsidRDefault="001B32B9" w:rsidP="001B32B9">
      <w:pPr>
        <w:pStyle w:val="BodyText"/>
        <w:numPr>
          <w:ilvl w:val="0"/>
          <w:numId w:val="37"/>
        </w:numPr>
        <w:jc w:val="both"/>
        <w:rPr>
          <w:b/>
          <w:bCs/>
        </w:rPr>
      </w:pPr>
      <w:r w:rsidRPr="003A0E43">
        <w:rPr>
          <w:b/>
          <w:bCs/>
        </w:rPr>
        <w:t>D-R2 Median hours to attend to a non-urgent fault (3b)</w:t>
      </w:r>
    </w:p>
    <w:p w14:paraId="4708A8E9" w14:textId="77777777" w:rsidR="001B32B9" w:rsidRPr="003A0E43" w:rsidRDefault="001B32B9" w:rsidP="001B32B9">
      <w:pPr>
        <w:pStyle w:val="BodyText"/>
        <w:numPr>
          <w:ilvl w:val="0"/>
          <w:numId w:val="37"/>
        </w:numPr>
        <w:jc w:val="both"/>
        <w:rPr>
          <w:b/>
          <w:bCs/>
        </w:rPr>
      </w:pPr>
      <w:r w:rsidRPr="003A0E43">
        <w:rPr>
          <w:b/>
          <w:bCs/>
        </w:rPr>
        <w:t>D-R3 median hours to resolve an urgent fault (3c)</w:t>
      </w:r>
    </w:p>
    <w:p w14:paraId="3244D6C0" w14:textId="77777777" w:rsidR="001B32B9" w:rsidRDefault="001B32B9" w:rsidP="001B32B9">
      <w:pPr>
        <w:pStyle w:val="BodyText"/>
        <w:numPr>
          <w:ilvl w:val="0"/>
          <w:numId w:val="37"/>
        </w:numPr>
        <w:jc w:val="both"/>
        <w:rPr>
          <w:b/>
          <w:bCs/>
        </w:rPr>
      </w:pPr>
      <w:r w:rsidRPr="003A0E43">
        <w:rPr>
          <w:b/>
          <w:bCs/>
        </w:rPr>
        <w:t>D-R4 Median hours to resolve a non-urgent fault (3d)</w:t>
      </w:r>
    </w:p>
    <w:p w14:paraId="15EF5101" w14:textId="77777777" w:rsidR="001B32B9" w:rsidRDefault="001B32B9" w:rsidP="001B32B9">
      <w:pPr>
        <w:pStyle w:val="Heading3"/>
      </w:pPr>
      <w:bookmarkStart w:id="10" w:name="_Hlk182575119"/>
      <w:r>
        <w:t>Worked example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4530"/>
        <w:gridCol w:w="4531"/>
      </w:tblGrid>
      <w:tr w:rsidR="001B32B9" w:rsidRPr="004B2034" w14:paraId="5258657C" w14:textId="77777777" w:rsidTr="00F96A83">
        <w:trPr>
          <w:tblHeader/>
        </w:trPr>
        <w:tc>
          <w:tcPr>
            <w:tcW w:w="4643" w:type="dxa"/>
            <w:tcBorders>
              <w:top w:val="single" w:sz="4" w:space="0" w:color="auto"/>
              <w:left w:val="single" w:sz="4" w:space="0" w:color="auto"/>
              <w:bottom w:val="single" w:sz="6" w:space="0" w:color="auto"/>
              <w:right w:val="single" w:sz="6" w:space="0" w:color="auto"/>
              <w:tl2br w:val="nil"/>
              <w:tr2bl w:val="nil"/>
            </w:tcBorders>
            <w:shd w:val="clear" w:color="000000" w:fill="CCCCCC"/>
          </w:tcPr>
          <w:p w14:paraId="19035142" w14:textId="61DBFACF" w:rsidR="001B32B9" w:rsidRPr="004B2034" w:rsidRDefault="001B32B9" w:rsidP="00F96A83">
            <w:pPr>
              <w:rPr>
                <w:b/>
                <w:bCs/>
              </w:rPr>
            </w:pPr>
            <w:r w:rsidRPr="004B2034">
              <w:rPr>
                <w:b/>
                <w:bCs/>
              </w:rPr>
              <w:t>Target</w:t>
            </w:r>
          </w:p>
        </w:tc>
        <w:tc>
          <w:tcPr>
            <w:tcW w:w="4644" w:type="dxa"/>
            <w:tcBorders>
              <w:top w:val="single" w:sz="4" w:space="0" w:color="auto"/>
              <w:left w:val="single" w:sz="6" w:space="0" w:color="auto"/>
              <w:bottom w:val="single" w:sz="6" w:space="0" w:color="auto"/>
              <w:right w:val="single" w:sz="4" w:space="0" w:color="auto"/>
              <w:tl2br w:val="nil"/>
              <w:tr2bl w:val="nil"/>
            </w:tcBorders>
            <w:shd w:val="clear" w:color="000000" w:fill="CCCCCC"/>
          </w:tcPr>
          <w:p w14:paraId="2F5105CD" w14:textId="77777777" w:rsidR="001B32B9" w:rsidRPr="004B2034" w:rsidRDefault="001B32B9" w:rsidP="00F96A83">
            <w:pPr>
              <w:rPr>
                <w:b/>
                <w:bCs/>
              </w:rPr>
            </w:pPr>
            <w:r w:rsidRPr="004B2034">
              <w:rPr>
                <w:b/>
                <w:bCs/>
              </w:rPr>
              <w:t xml:space="preserve">Actual </w:t>
            </w:r>
          </w:p>
        </w:tc>
      </w:tr>
      <w:tr w:rsidR="001B32B9" w14:paraId="7A12C20A" w14:textId="77777777" w:rsidTr="008A4BF5">
        <w:tc>
          <w:tcPr>
            <w:tcW w:w="4643" w:type="dxa"/>
            <w:tcBorders>
              <w:top w:val="single" w:sz="6" w:space="0" w:color="auto"/>
              <w:left w:val="single" w:sz="6" w:space="0" w:color="auto"/>
              <w:bottom w:val="nil"/>
              <w:right w:val="single" w:sz="6" w:space="0" w:color="auto"/>
            </w:tcBorders>
          </w:tcPr>
          <w:p w14:paraId="243A21FC" w14:textId="203E1560" w:rsidR="001B32B9" w:rsidRPr="004B2034" w:rsidRDefault="001B32B9" w:rsidP="00F96A83">
            <w:pPr>
              <w:pStyle w:val="BodyText"/>
              <w:rPr>
                <w:szCs w:val="22"/>
              </w:rPr>
            </w:pPr>
            <w:r w:rsidRPr="004B2034">
              <w:rPr>
                <w:szCs w:val="22"/>
              </w:rPr>
              <w:t xml:space="preserve">Territorial authority target response to an urgent callout </w:t>
            </w:r>
            <w:r w:rsidRPr="004B2034">
              <w:rPr>
                <w:rFonts w:cs="Arial"/>
                <w:szCs w:val="22"/>
              </w:rPr>
              <w:t>≤</w:t>
            </w:r>
            <w:r w:rsidRPr="004B2034">
              <w:rPr>
                <w:szCs w:val="22"/>
              </w:rPr>
              <w:t xml:space="preserve"> </w:t>
            </w:r>
            <w:r w:rsidR="00324C62">
              <w:rPr>
                <w:szCs w:val="22"/>
              </w:rPr>
              <w:t>1 hour</w:t>
            </w:r>
          </w:p>
        </w:tc>
        <w:tc>
          <w:tcPr>
            <w:tcW w:w="4644" w:type="dxa"/>
            <w:tcBorders>
              <w:top w:val="single" w:sz="6" w:space="0" w:color="auto"/>
              <w:left w:val="single" w:sz="6" w:space="0" w:color="auto"/>
              <w:bottom w:val="nil"/>
              <w:right w:val="single" w:sz="6" w:space="0" w:color="auto"/>
            </w:tcBorders>
          </w:tcPr>
          <w:p w14:paraId="65369583" w14:textId="09B21E88" w:rsidR="001B32B9" w:rsidRPr="004B2034" w:rsidRDefault="001B32B9" w:rsidP="00F96A83">
            <w:pPr>
              <w:pStyle w:val="BodyText"/>
              <w:rPr>
                <w:szCs w:val="22"/>
              </w:rPr>
            </w:pPr>
            <w:r w:rsidRPr="004B2034">
              <w:rPr>
                <w:szCs w:val="22"/>
              </w:rPr>
              <w:t xml:space="preserve">Median response time to get to site for an urgent callout = </w:t>
            </w:r>
            <w:r w:rsidR="009D3E62">
              <w:rPr>
                <w:szCs w:val="22"/>
              </w:rPr>
              <w:t>0.9 hours</w:t>
            </w:r>
          </w:p>
        </w:tc>
      </w:tr>
      <w:tr w:rsidR="001B32B9" w14:paraId="510F7F89" w14:textId="77777777" w:rsidTr="008A4BF5">
        <w:tc>
          <w:tcPr>
            <w:tcW w:w="4643" w:type="dxa"/>
            <w:tcBorders>
              <w:top w:val="nil"/>
              <w:left w:val="single" w:sz="6" w:space="0" w:color="auto"/>
              <w:bottom w:val="nil"/>
            </w:tcBorders>
          </w:tcPr>
          <w:p w14:paraId="3CAAF8B6" w14:textId="46865773" w:rsidR="001B32B9" w:rsidRPr="004B2034" w:rsidRDefault="001B32B9" w:rsidP="00F96A83">
            <w:pPr>
              <w:pStyle w:val="BodyText"/>
              <w:rPr>
                <w:szCs w:val="22"/>
              </w:rPr>
            </w:pPr>
            <w:r w:rsidRPr="004B2034">
              <w:rPr>
                <w:szCs w:val="22"/>
              </w:rPr>
              <w:t xml:space="preserve">Territorial authority target to resolve an urgent callout </w:t>
            </w:r>
            <w:r w:rsidRPr="004B2034">
              <w:rPr>
                <w:rFonts w:cs="Arial"/>
                <w:szCs w:val="22"/>
              </w:rPr>
              <w:t>≤</w:t>
            </w:r>
            <w:r w:rsidRPr="004B2034">
              <w:rPr>
                <w:szCs w:val="22"/>
              </w:rPr>
              <w:t xml:space="preserve"> </w:t>
            </w:r>
            <w:r w:rsidR="00C0138F">
              <w:rPr>
                <w:szCs w:val="22"/>
              </w:rPr>
              <w:t>8 hours</w:t>
            </w:r>
            <w:r w:rsidRPr="004B2034">
              <w:rPr>
                <w:szCs w:val="22"/>
              </w:rPr>
              <w:t xml:space="preserve"> </w:t>
            </w:r>
          </w:p>
        </w:tc>
        <w:tc>
          <w:tcPr>
            <w:tcW w:w="4644" w:type="dxa"/>
            <w:tcBorders>
              <w:top w:val="nil"/>
              <w:bottom w:val="nil"/>
              <w:right w:val="single" w:sz="6" w:space="0" w:color="auto"/>
            </w:tcBorders>
          </w:tcPr>
          <w:p w14:paraId="06143A5C" w14:textId="7168A830" w:rsidR="001B32B9" w:rsidRPr="004B2034" w:rsidRDefault="001B32B9" w:rsidP="00F96A83">
            <w:pPr>
              <w:pStyle w:val="BodyText"/>
              <w:rPr>
                <w:szCs w:val="22"/>
              </w:rPr>
            </w:pPr>
            <w:r w:rsidRPr="004B2034">
              <w:rPr>
                <w:szCs w:val="22"/>
              </w:rPr>
              <w:t xml:space="preserve">Median time to resolve the problem from an urgent callout = </w:t>
            </w:r>
            <w:r w:rsidR="00C0138F">
              <w:rPr>
                <w:szCs w:val="22"/>
              </w:rPr>
              <w:t>4.41 hours</w:t>
            </w:r>
            <w:r w:rsidRPr="004B2034">
              <w:rPr>
                <w:szCs w:val="22"/>
              </w:rPr>
              <w:t xml:space="preserve"> </w:t>
            </w:r>
          </w:p>
        </w:tc>
      </w:tr>
      <w:tr w:rsidR="001B32B9" w14:paraId="7E947C86" w14:textId="77777777" w:rsidTr="008A4BF5">
        <w:tc>
          <w:tcPr>
            <w:tcW w:w="4643" w:type="dxa"/>
            <w:tcBorders>
              <w:top w:val="nil"/>
              <w:left w:val="single" w:sz="6" w:space="0" w:color="auto"/>
              <w:bottom w:val="nil"/>
            </w:tcBorders>
          </w:tcPr>
          <w:p w14:paraId="5A9C99BD" w14:textId="5CF56240" w:rsidR="001B32B9" w:rsidRPr="004B2034" w:rsidRDefault="001B32B9" w:rsidP="00F96A83">
            <w:pPr>
              <w:pStyle w:val="BodyText"/>
              <w:rPr>
                <w:szCs w:val="22"/>
              </w:rPr>
            </w:pPr>
            <w:r w:rsidRPr="004B2034">
              <w:rPr>
                <w:szCs w:val="22"/>
              </w:rPr>
              <w:t xml:space="preserve">Territorial authority target to respond to a non-urgent callout </w:t>
            </w:r>
            <w:r w:rsidRPr="004B2034">
              <w:rPr>
                <w:rFonts w:cs="Arial"/>
                <w:szCs w:val="22"/>
              </w:rPr>
              <w:t>≤</w:t>
            </w:r>
            <w:r w:rsidRPr="004B2034">
              <w:rPr>
                <w:szCs w:val="22"/>
              </w:rPr>
              <w:t xml:space="preserve"> </w:t>
            </w:r>
            <w:r w:rsidR="00C0138F">
              <w:rPr>
                <w:szCs w:val="22"/>
              </w:rPr>
              <w:t>11 hours</w:t>
            </w:r>
          </w:p>
        </w:tc>
        <w:tc>
          <w:tcPr>
            <w:tcW w:w="4644" w:type="dxa"/>
            <w:tcBorders>
              <w:top w:val="nil"/>
              <w:bottom w:val="nil"/>
              <w:right w:val="single" w:sz="6" w:space="0" w:color="auto"/>
            </w:tcBorders>
          </w:tcPr>
          <w:p w14:paraId="44C2C1E0" w14:textId="4756A468" w:rsidR="001B32B9" w:rsidRPr="004B2034" w:rsidRDefault="001B32B9" w:rsidP="00F96A83">
            <w:pPr>
              <w:pStyle w:val="BodyText"/>
              <w:rPr>
                <w:szCs w:val="22"/>
              </w:rPr>
            </w:pPr>
            <w:r w:rsidRPr="004B2034">
              <w:rPr>
                <w:szCs w:val="22"/>
              </w:rPr>
              <w:t xml:space="preserve">Median response time to get to site for a non-urgent callout = </w:t>
            </w:r>
            <w:r w:rsidR="00C0138F">
              <w:rPr>
                <w:szCs w:val="22"/>
              </w:rPr>
              <w:t>6.75 hours</w:t>
            </w:r>
            <w:r w:rsidRPr="004B2034">
              <w:rPr>
                <w:szCs w:val="22"/>
              </w:rPr>
              <w:t xml:space="preserve"> </w:t>
            </w:r>
          </w:p>
        </w:tc>
      </w:tr>
      <w:tr w:rsidR="001B32B9" w14:paraId="574F3AD1" w14:textId="77777777" w:rsidTr="008A4BF5">
        <w:tc>
          <w:tcPr>
            <w:tcW w:w="4643" w:type="dxa"/>
            <w:tcBorders>
              <w:top w:val="nil"/>
              <w:left w:val="single" w:sz="6" w:space="0" w:color="auto"/>
              <w:bottom w:val="single" w:sz="4" w:space="0" w:color="auto"/>
            </w:tcBorders>
          </w:tcPr>
          <w:p w14:paraId="217A0BD4" w14:textId="4FDE9025" w:rsidR="001B32B9" w:rsidRPr="004B2034" w:rsidRDefault="001B32B9" w:rsidP="00F96A83">
            <w:pPr>
              <w:pStyle w:val="BodyText"/>
              <w:rPr>
                <w:szCs w:val="22"/>
              </w:rPr>
            </w:pPr>
            <w:r w:rsidRPr="004B2034">
              <w:rPr>
                <w:szCs w:val="22"/>
              </w:rPr>
              <w:t xml:space="preserve">Territorial authority target to resolve a non-urgent callout </w:t>
            </w:r>
            <w:r w:rsidRPr="004B2034">
              <w:rPr>
                <w:rFonts w:cs="Arial"/>
                <w:szCs w:val="22"/>
              </w:rPr>
              <w:t>≤</w:t>
            </w:r>
            <w:r w:rsidRPr="004B2034">
              <w:rPr>
                <w:szCs w:val="22"/>
              </w:rPr>
              <w:t xml:space="preserve"> </w:t>
            </w:r>
            <w:r w:rsidR="00C0138F">
              <w:rPr>
                <w:szCs w:val="22"/>
              </w:rPr>
              <w:t>14 hours</w:t>
            </w:r>
          </w:p>
        </w:tc>
        <w:tc>
          <w:tcPr>
            <w:tcW w:w="4644" w:type="dxa"/>
            <w:tcBorders>
              <w:top w:val="nil"/>
              <w:bottom w:val="single" w:sz="4" w:space="0" w:color="auto"/>
              <w:right w:val="single" w:sz="6" w:space="0" w:color="auto"/>
            </w:tcBorders>
          </w:tcPr>
          <w:p w14:paraId="62249443" w14:textId="7D402BF5" w:rsidR="001B32B9" w:rsidRPr="004B2034" w:rsidRDefault="001B32B9" w:rsidP="00F96A83">
            <w:pPr>
              <w:pStyle w:val="BodyText"/>
              <w:rPr>
                <w:szCs w:val="22"/>
              </w:rPr>
            </w:pPr>
            <w:r w:rsidRPr="004B2034">
              <w:rPr>
                <w:szCs w:val="22"/>
              </w:rPr>
              <w:t xml:space="preserve">Median time to resolve the problem from a non-urgent callout = </w:t>
            </w:r>
            <w:r w:rsidR="00C0138F">
              <w:rPr>
                <w:szCs w:val="22"/>
              </w:rPr>
              <w:t>9.16 hours</w:t>
            </w:r>
          </w:p>
          <w:p w14:paraId="3058BCC9" w14:textId="77777777" w:rsidR="001B32B9" w:rsidRPr="004B2034" w:rsidRDefault="001B32B9" w:rsidP="00F96A83">
            <w:pPr>
              <w:pStyle w:val="BodyText"/>
              <w:rPr>
                <w:szCs w:val="22"/>
              </w:rPr>
            </w:pPr>
          </w:p>
        </w:tc>
      </w:tr>
    </w:tbl>
    <w:p w14:paraId="15904EED" w14:textId="77777777" w:rsidR="001B32B9" w:rsidRDefault="001B32B9" w:rsidP="001B32B9">
      <w:pPr>
        <w:pStyle w:val="BodyText"/>
        <w:jc w:val="both"/>
      </w:pPr>
    </w:p>
    <w:bookmarkEnd w:id="10"/>
    <w:p w14:paraId="5C309C42" w14:textId="77777777" w:rsidR="001B32B9" w:rsidRDefault="001B32B9" w:rsidP="001B32B9">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9061"/>
      </w:tblGrid>
      <w:tr w:rsidR="001B32B9" w14:paraId="6A880A55" w14:textId="77777777" w:rsidTr="00F96A83">
        <w:trPr>
          <w:tblHeader/>
        </w:trPr>
        <w:tc>
          <w:tcPr>
            <w:tcW w:w="9287" w:type="dxa"/>
            <w:tcBorders>
              <w:top w:val="single" w:sz="4" w:space="0" w:color="auto"/>
              <w:left w:val="single" w:sz="4" w:space="0" w:color="auto"/>
              <w:bottom w:val="single" w:sz="4" w:space="0" w:color="auto"/>
              <w:right w:val="single" w:sz="4" w:space="0" w:color="auto"/>
              <w:tl2br w:val="nil"/>
              <w:tr2bl w:val="nil"/>
            </w:tcBorders>
            <w:shd w:val="clear" w:color="auto" w:fill="CCCCCC"/>
          </w:tcPr>
          <w:p w14:paraId="4FE778BA" w14:textId="77777777" w:rsidR="001B32B9" w:rsidRPr="004B2034" w:rsidRDefault="001B32B9" w:rsidP="00F96A83">
            <w:pPr>
              <w:pStyle w:val="Heading3"/>
              <w:jc w:val="both"/>
              <w:rPr>
                <w:bCs w:val="0"/>
              </w:rPr>
            </w:pPr>
            <w:r w:rsidRPr="004B2034">
              <w:rPr>
                <w:bCs w:val="0"/>
              </w:rPr>
              <w:t>Performance measure four (customer satisfaction):</w:t>
            </w:r>
          </w:p>
          <w:p w14:paraId="7E0F4EDC" w14:textId="77777777" w:rsidR="001B32B9" w:rsidRPr="004B2034" w:rsidRDefault="001B32B9" w:rsidP="00F96A83">
            <w:pPr>
              <w:pStyle w:val="BodyText"/>
              <w:spacing w:line="240" w:lineRule="auto"/>
              <w:jc w:val="both"/>
              <w:rPr>
                <w:bCs/>
              </w:rPr>
            </w:pPr>
            <w:r w:rsidRPr="004B2034">
              <w:rPr>
                <w:bCs/>
              </w:rPr>
              <w:t xml:space="preserve">The total number of complaints received by the local authority about any of the following: </w:t>
            </w:r>
          </w:p>
          <w:p w14:paraId="2C513F37" w14:textId="77777777" w:rsidR="001B32B9" w:rsidRPr="004B2034" w:rsidRDefault="001B32B9" w:rsidP="00F96A83">
            <w:pPr>
              <w:pStyle w:val="BodyText"/>
              <w:spacing w:line="240" w:lineRule="auto"/>
              <w:jc w:val="both"/>
              <w:rPr>
                <w:bCs/>
              </w:rPr>
            </w:pPr>
            <w:r w:rsidRPr="004B2034">
              <w:rPr>
                <w:bCs/>
              </w:rPr>
              <w:t>(a)</w:t>
            </w:r>
            <w:r w:rsidRPr="004B2034">
              <w:rPr>
                <w:bCs/>
              </w:rPr>
              <w:tab/>
              <w:t xml:space="preserve">drinking water </w:t>
            </w:r>
            <w:proofErr w:type="gramStart"/>
            <w:r w:rsidRPr="004B2034">
              <w:rPr>
                <w:bCs/>
              </w:rPr>
              <w:t>clarity;</w:t>
            </w:r>
            <w:proofErr w:type="gramEnd"/>
          </w:p>
          <w:p w14:paraId="43F2ED08" w14:textId="77777777" w:rsidR="001B32B9" w:rsidRPr="004B2034" w:rsidRDefault="001B32B9" w:rsidP="00F96A83">
            <w:pPr>
              <w:pStyle w:val="BodyText"/>
              <w:spacing w:line="240" w:lineRule="auto"/>
              <w:jc w:val="both"/>
              <w:rPr>
                <w:bCs/>
              </w:rPr>
            </w:pPr>
            <w:r w:rsidRPr="004B2034">
              <w:rPr>
                <w:bCs/>
              </w:rPr>
              <w:t>(a)</w:t>
            </w:r>
            <w:r w:rsidRPr="004B2034">
              <w:rPr>
                <w:bCs/>
              </w:rPr>
              <w:tab/>
              <w:t xml:space="preserve">drinking water </w:t>
            </w:r>
            <w:proofErr w:type="gramStart"/>
            <w:r w:rsidRPr="004B2034">
              <w:rPr>
                <w:bCs/>
              </w:rPr>
              <w:t>taste;</w:t>
            </w:r>
            <w:proofErr w:type="gramEnd"/>
          </w:p>
          <w:p w14:paraId="597C33C1" w14:textId="77777777" w:rsidR="001B32B9" w:rsidRPr="004B2034" w:rsidRDefault="001B32B9" w:rsidP="00F96A83">
            <w:pPr>
              <w:pStyle w:val="BodyText"/>
              <w:spacing w:line="240" w:lineRule="auto"/>
              <w:jc w:val="both"/>
              <w:rPr>
                <w:bCs/>
              </w:rPr>
            </w:pPr>
            <w:r w:rsidRPr="004B2034">
              <w:rPr>
                <w:bCs/>
              </w:rPr>
              <w:t>(b)</w:t>
            </w:r>
            <w:r w:rsidRPr="004B2034">
              <w:rPr>
                <w:bCs/>
              </w:rPr>
              <w:tab/>
              <w:t xml:space="preserve">drinking water </w:t>
            </w:r>
            <w:proofErr w:type="gramStart"/>
            <w:r w:rsidRPr="004B2034">
              <w:rPr>
                <w:bCs/>
              </w:rPr>
              <w:t>odour;</w:t>
            </w:r>
            <w:proofErr w:type="gramEnd"/>
          </w:p>
          <w:p w14:paraId="0CDA69E1" w14:textId="77777777" w:rsidR="001B32B9" w:rsidRPr="004B2034" w:rsidRDefault="001B32B9" w:rsidP="00F96A83">
            <w:pPr>
              <w:pStyle w:val="BodyText"/>
              <w:spacing w:line="240" w:lineRule="auto"/>
              <w:jc w:val="both"/>
              <w:rPr>
                <w:bCs/>
              </w:rPr>
            </w:pPr>
            <w:r w:rsidRPr="004B2034">
              <w:rPr>
                <w:bCs/>
              </w:rPr>
              <w:t>(c)</w:t>
            </w:r>
            <w:r w:rsidRPr="004B2034">
              <w:rPr>
                <w:bCs/>
              </w:rPr>
              <w:tab/>
              <w:t xml:space="preserve">drinking water pressure or </w:t>
            </w:r>
            <w:proofErr w:type="gramStart"/>
            <w:r w:rsidRPr="004B2034">
              <w:rPr>
                <w:bCs/>
              </w:rPr>
              <w:t>flow;</w:t>
            </w:r>
            <w:proofErr w:type="gramEnd"/>
          </w:p>
          <w:p w14:paraId="321C8C65" w14:textId="77777777" w:rsidR="001B32B9" w:rsidRPr="004B2034" w:rsidRDefault="001B32B9" w:rsidP="00F96A83">
            <w:pPr>
              <w:pStyle w:val="BodyText"/>
              <w:spacing w:line="240" w:lineRule="auto"/>
              <w:jc w:val="both"/>
              <w:rPr>
                <w:bCs/>
              </w:rPr>
            </w:pPr>
            <w:r w:rsidRPr="004B2034">
              <w:rPr>
                <w:bCs/>
              </w:rPr>
              <w:t>(d)</w:t>
            </w:r>
            <w:r w:rsidRPr="004B2034">
              <w:rPr>
                <w:bCs/>
              </w:rPr>
              <w:tab/>
              <w:t>continuity of supply; and</w:t>
            </w:r>
          </w:p>
          <w:p w14:paraId="0C42C640" w14:textId="77777777" w:rsidR="001B32B9" w:rsidRPr="004B2034" w:rsidRDefault="001B32B9" w:rsidP="00F96A83">
            <w:pPr>
              <w:pStyle w:val="BodyText"/>
              <w:spacing w:line="240" w:lineRule="auto"/>
              <w:jc w:val="both"/>
              <w:rPr>
                <w:bCs/>
                <w:szCs w:val="22"/>
              </w:rPr>
            </w:pPr>
            <w:r w:rsidRPr="004B2034">
              <w:rPr>
                <w:bCs/>
              </w:rPr>
              <w:t>(e)</w:t>
            </w:r>
            <w:r w:rsidRPr="004B2034">
              <w:rPr>
                <w:bCs/>
              </w:rPr>
              <w:tab/>
              <w:t>the local authority’s response to any of these issues,</w:t>
            </w:r>
            <w:r>
              <w:rPr>
                <w:bCs/>
              </w:rPr>
              <w:t xml:space="preserve"> </w:t>
            </w:r>
            <w:r w:rsidRPr="004B2034">
              <w:rPr>
                <w:bCs/>
              </w:rPr>
              <w:t>expressed per 1000 connections</w:t>
            </w:r>
            <w:r>
              <w:rPr>
                <w:bCs/>
              </w:rPr>
              <w:br/>
              <w:t xml:space="preserve">         </w:t>
            </w:r>
            <w:r w:rsidRPr="004B2034">
              <w:rPr>
                <w:bCs/>
              </w:rPr>
              <w:t>to the local authority’s networked reticulation system.</w:t>
            </w:r>
          </w:p>
          <w:p w14:paraId="78BC4AA1" w14:textId="77777777" w:rsidR="001B32B9" w:rsidRPr="004B2034" w:rsidRDefault="001B32B9" w:rsidP="00F96A83">
            <w:pPr>
              <w:pStyle w:val="BodyText"/>
              <w:jc w:val="both"/>
              <w:rPr>
                <w:bCs/>
                <w:szCs w:val="22"/>
              </w:rPr>
            </w:pPr>
          </w:p>
        </w:tc>
      </w:tr>
    </w:tbl>
    <w:p w14:paraId="000144DC" w14:textId="77777777" w:rsidR="001B32B9" w:rsidRDefault="001B32B9" w:rsidP="001B32B9">
      <w:pPr>
        <w:pStyle w:val="Heading3"/>
      </w:pPr>
      <w:r>
        <w:t>Introduction to measure</w:t>
      </w:r>
    </w:p>
    <w:p w14:paraId="4BBB6790" w14:textId="77777777" w:rsidR="001B32B9" w:rsidRDefault="001B32B9" w:rsidP="001B32B9">
      <w:pPr>
        <w:jc w:val="both"/>
      </w:pPr>
      <w:r w:rsidRPr="00E51C7C">
        <w:t xml:space="preserve">This measure provides information on issues with a water supply and on how satisfied customers are with the way in which a </w:t>
      </w:r>
      <w:r>
        <w:t>territorial authority</w:t>
      </w:r>
      <w:r w:rsidRPr="00E51C7C">
        <w:t xml:space="preserve"> responds to requests to fix problems.</w:t>
      </w:r>
    </w:p>
    <w:p w14:paraId="6F80EFA1" w14:textId="77777777" w:rsidR="001B32B9" w:rsidRPr="00E51C7C" w:rsidRDefault="001B32B9" w:rsidP="001B32B9">
      <w:pPr>
        <w:jc w:val="both"/>
      </w:pPr>
    </w:p>
    <w:p w14:paraId="4075E5E7" w14:textId="77777777" w:rsidR="001B32B9" w:rsidRPr="00E51C7C" w:rsidRDefault="001B32B9" w:rsidP="001B32B9">
      <w:pPr>
        <w:jc w:val="both"/>
      </w:pPr>
      <w:r w:rsidRPr="00E51C7C">
        <w:t xml:space="preserve">Customer satisfaction is a key measure of the quality of a service. Suppliers need to know whether customers are satisfied with the adequacy and reliability of the service they pay for. </w:t>
      </w:r>
    </w:p>
    <w:p w14:paraId="0601B6D9" w14:textId="77777777" w:rsidR="001B32B9" w:rsidRDefault="001B32B9" w:rsidP="001B32B9">
      <w:pPr>
        <w:jc w:val="both"/>
      </w:pPr>
    </w:p>
    <w:p w14:paraId="0AD053D7" w14:textId="77777777" w:rsidR="001B32B9" w:rsidRDefault="001B32B9" w:rsidP="001B32B9">
      <w:pPr>
        <w:jc w:val="both"/>
      </w:pPr>
      <w:r w:rsidRPr="00E51C7C">
        <w:t>The measure also provides data that highlights problems requiring attention, such as the need for upgraded or new infrastructure.</w:t>
      </w:r>
    </w:p>
    <w:p w14:paraId="752D0AA3" w14:textId="77777777" w:rsidR="001B32B9" w:rsidRDefault="001B32B9" w:rsidP="001B32B9">
      <w:pPr>
        <w:pStyle w:val="Heading3"/>
      </w:pPr>
      <w:r>
        <w:t>Guidance for reporting</w:t>
      </w:r>
    </w:p>
    <w:p w14:paraId="5BFDFD82" w14:textId="77777777" w:rsidR="001B32B9" w:rsidRDefault="001B32B9" w:rsidP="001B32B9">
      <w:pPr>
        <w:pStyle w:val="BodyText"/>
        <w:jc w:val="both"/>
      </w:pPr>
      <w:r>
        <w:t>This performance measure should be reported as a single, city or district wide assessment (count).  Reporting on complaints per town or complaints by type is not required.</w:t>
      </w:r>
    </w:p>
    <w:p w14:paraId="39F34C74" w14:textId="77777777" w:rsidR="001B32B9" w:rsidRDefault="001B32B9" w:rsidP="001B32B9">
      <w:pPr>
        <w:pStyle w:val="BodyText"/>
        <w:jc w:val="both"/>
      </w:pPr>
      <w:r>
        <w:t xml:space="preserve">The number of water connections may be calculated from the sum of residential and non-residential connections as defined in the </w:t>
      </w:r>
      <w:r>
        <w:rPr>
          <w:rFonts w:cs="Arial"/>
          <w:szCs w:val="22"/>
        </w:rPr>
        <w:t xml:space="preserve">Water Services Authority’s </w:t>
      </w:r>
      <w:hyperlink r:id="rId15" w:history="1">
        <w:r w:rsidRPr="006C39AE">
          <w:rPr>
            <w:rStyle w:val="Hyperlink"/>
          </w:rPr>
          <w:t>Network Environmental Performance Measure (NEPM) guidance</w:t>
        </w:r>
      </w:hyperlink>
      <w:r>
        <w:t xml:space="preserve"> for:</w:t>
      </w:r>
    </w:p>
    <w:p w14:paraId="45C8CB04" w14:textId="77777777" w:rsidR="001B32B9" w:rsidRPr="003A0E43" w:rsidRDefault="001B32B9" w:rsidP="001B32B9">
      <w:pPr>
        <w:pStyle w:val="BodyText"/>
        <w:numPr>
          <w:ilvl w:val="0"/>
          <w:numId w:val="38"/>
        </w:numPr>
        <w:jc w:val="both"/>
        <w:rPr>
          <w:b/>
          <w:bCs/>
        </w:rPr>
      </w:pPr>
      <w:r w:rsidRPr="003A0E43">
        <w:rPr>
          <w:b/>
          <w:bCs/>
        </w:rPr>
        <w:t xml:space="preserve">D-EH1 Number of residential connections in the drinking water network </w:t>
      </w:r>
    </w:p>
    <w:p w14:paraId="4321403B" w14:textId="77777777" w:rsidR="001B32B9" w:rsidRPr="003A0E43" w:rsidRDefault="001B32B9" w:rsidP="001B32B9">
      <w:pPr>
        <w:pStyle w:val="BodyText"/>
        <w:numPr>
          <w:ilvl w:val="0"/>
          <w:numId w:val="38"/>
        </w:numPr>
        <w:jc w:val="both"/>
        <w:rPr>
          <w:b/>
          <w:bCs/>
        </w:rPr>
      </w:pPr>
      <w:r w:rsidRPr="003A0E43">
        <w:rPr>
          <w:b/>
          <w:bCs/>
        </w:rPr>
        <w:t>D-EH2 Number of non-residential connections in the drinking water network</w:t>
      </w:r>
    </w:p>
    <w:p w14:paraId="6DA9E0DC" w14:textId="77777777" w:rsidR="001B32B9" w:rsidRDefault="001B32B9" w:rsidP="001B32B9">
      <w:pPr>
        <w:pStyle w:val="BodyText"/>
        <w:jc w:val="both"/>
      </w:pPr>
      <w:r>
        <w:t xml:space="preserve">The complaints data will be collected as part of the councils (or CCOs or contracted) RFS processes. </w:t>
      </w:r>
    </w:p>
    <w:p w14:paraId="2924586D" w14:textId="77777777" w:rsidR="001B32B9" w:rsidRDefault="001B32B9" w:rsidP="001B32B9">
      <w:pPr>
        <w:pStyle w:val="BodyText"/>
      </w:pPr>
      <w:r>
        <w:t>Where there is more than one complaint per event, each complaint is counted separately, not each event or occurrence.  This records the public’s response to the event. However, complaints should not be counted if a territorial authority finds, upon inspection, that fixing the issue complained of is the private landowner’s responsibility.</w:t>
      </w:r>
    </w:p>
    <w:p w14:paraId="726114DA" w14:textId="77777777" w:rsidR="001B32B9" w:rsidRDefault="001B32B9" w:rsidP="001B32B9">
      <w:pPr>
        <w:pStyle w:val="BodyText"/>
      </w:pPr>
      <w:r>
        <w:t>Complaints that relate to planned shutdowns should be counted in the result.</w:t>
      </w:r>
    </w:p>
    <w:p w14:paraId="1169E56F" w14:textId="77777777" w:rsidR="001B32B9" w:rsidRDefault="001B32B9" w:rsidP="001B32B9">
      <w:pPr>
        <w:pStyle w:val="Heading3"/>
      </w:pPr>
      <w:r>
        <w:t>Worked example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3021"/>
        <w:gridCol w:w="3020"/>
        <w:gridCol w:w="3020"/>
      </w:tblGrid>
      <w:tr w:rsidR="001B32B9" w14:paraId="3BEB874D" w14:textId="77777777" w:rsidTr="00F96A83">
        <w:trPr>
          <w:tblHeader/>
        </w:trPr>
        <w:tc>
          <w:tcPr>
            <w:tcW w:w="3095" w:type="dxa"/>
            <w:tcBorders>
              <w:top w:val="single" w:sz="4" w:space="0" w:color="auto"/>
              <w:left w:val="single" w:sz="4" w:space="0" w:color="auto"/>
              <w:bottom w:val="single" w:sz="6" w:space="0" w:color="auto"/>
              <w:right w:val="single" w:sz="6" w:space="0" w:color="auto"/>
              <w:tl2br w:val="nil"/>
              <w:tr2bl w:val="nil"/>
            </w:tcBorders>
            <w:shd w:val="clear" w:color="000000" w:fill="CCCCCC"/>
          </w:tcPr>
          <w:p w14:paraId="26939F14" w14:textId="77777777" w:rsidR="001B32B9" w:rsidRPr="004B2034" w:rsidRDefault="001B32B9" w:rsidP="00F96A83">
            <w:pPr>
              <w:rPr>
                <w:b/>
                <w:bCs/>
              </w:rPr>
            </w:pPr>
            <w:r w:rsidRPr="004B2034">
              <w:rPr>
                <w:b/>
                <w:bCs/>
              </w:rPr>
              <w:t>Calculation</w:t>
            </w:r>
          </w:p>
        </w:tc>
        <w:tc>
          <w:tcPr>
            <w:tcW w:w="3096" w:type="dxa"/>
            <w:tcBorders>
              <w:top w:val="single" w:sz="4" w:space="0" w:color="auto"/>
              <w:left w:val="single" w:sz="6" w:space="0" w:color="auto"/>
              <w:bottom w:val="single" w:sz="4" w:space="0" w:color="auto"/>
              <w:right w:val="single" w:sz="6" w:space="0" w:color="auto"/>
              <w:tl2br w:val="nil"/>
              <w:tr2bl w:val="nil"/>
            </w:tcBorders>
            <w:shd w:val="clear" w:color="000000" w:fill="CCCCCC"/>
          </w:tcPr>
          <w:p w14:paraId="084A8E3F" w14:textId="77777777" w:rsidR="001B32B9" w:rsidRPr="004B2034" w:rsidRDefault="001B32B9" w:rsidP="00F96A83">
            <w:pPr>
              <w:rPr>
                <w:b/>
                <w:bCs/>
              </w:rPr>
            </w:pPr>
            <w:r w:rsidRPr="004B2034">
              <w:rPr>
                <w:b/>
                <w:bCs/>
              </w:rPr>
              <w:t>Target</w:t>
            </w:r>
          </w:p>
        </w:tc>
        <w:tc>
          <w:tcPr>
            <w:tcW w:w="3096"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2F3FC168" w14:textId="77777777" w:rsidR="001B32B9" w:rsidRPr="004B2034" w:rsidRDefault="001B32B9" w:rsidP="00F96A83">
            <w:pPr>
              <w:rPr>
                <w:b/>
                <w:bCs/>
              </w:rPr>
            </w:pPr>
            <w:r w:rsidRPr="004B2034">
              <w:rPr>
                <w:b/>
                <w:bCs/>
              </w:rPr>
              <w:t>Actual</w:t>
            </w:r>
          </w:p>
        </w:tc>
      </w:tr>
      <w:tr w:rsidR="001B32B9" w14:paraId="69CED1E8" w14:textId="77777777" w:rsidTr="008A4BF5">
        <w:trPr>
          <w:cantSplit/>
        </w:trPr>
        <w:tc>
          <w:tcPr>
            <w:tcW w:w="3095" w:type="dxa"/>
            <w:tcBorders>
              <w:top w:val="single" w:sz="6" w:space="0" w:color="auto"/>
              <w:bottom w:val="single" w:sz="4" w:space="0" w:color="auto"/>
            </w:tcBorders>
            <w:shd w:val="clear" w:color="auto" w:fill="CCCCCC"/>
          </w:tcPr>
          <w:p w14:paraId="55B26A9D" w14:textId="77777777" w:rsidR="001B32B9" w:rsidRDefault="001B32B9" w:rsidP="00F96A83">
            <w:pPr>
              <w:pStyle w:val="BodyText"/>
            </w:pPr>
            <w:r w:rsidRPr="004B2034">
              <w:rPr>
                <w:i/>
                <w:szCs w:val="22"/>
              </w:rPr>
              <w:t>Please note: the calculation does not have to be reported.</w:t>
            </w:r>
            <w:r>
              <w:br/>
            </w:r>
            <w:r>
              <w:br/>
              <w:t>Number of residential connections in the water rated network (D-EH1) = 22,000</w:t>
            </w:r>
          </w:p>
          <w:p w14:paraId="38B0FA7A" w14:textId="77777777" w:rsidR="001B32B9" w:rsidRDefault="001B32B9" w:rsidP="00F96A83">
            <w:pPr>
              <w:pStyle w:val="BodyText"/>
            </w:pPr>
            <w:r>
              <w:t>Number of non-residential connections in the drinking water network (D-EH2) = 526</w:t>
            </w:r>
            <w:r>
              <w:br/>
            </w:r>
          </w:p>
          <w:p w14:paraId="7885F44E" w14:textId="77777777" w:rsidR="001B32B9" w:rsidRDefault="001B32B9" w:rsidP="00F96A83">
            <w:r>
              <w:t>Total number of complaints = 308</w:t>
            </w:r>
            <w:r>
              <w:br/>
            </w:r>
          </w:p>
          <w:p w14:paraId="45FA5A4F" w14:textId="77777777" w:rsidR="001B32B9" w:rsidRDefault="001B32B9" w:rsidP="00F96A83">
            <w:r>
              <w:t>Calculation for number of complaints per 1000 connections is 308 / ((22,000 + 526)/1000) = 14 (rounded to nearest whole number)</w:t>
            </w:r>
          </w:p>
        </w:tc>
        <w:tc>
          <w:tcPr>
            <w:tcW w:w="3096" w:type="dxa"/>
          </w:tcPr>
          <w:p w14:paraId="306759D9" w14:textId="77777777" w:rsidR="001B32B9" w:rsidRDefault="001B32B9" w:rsidP="00F96A83">
            <w:r>
              <w:t xml:space="preserve">Target number of complaints </w:t>
            </w:r>
            <w:r w:rsidRPr="004B2034">
              <w:rPr>
                <w:rFonts w:cs="Arial"/>
              </w:rPr>
              <w:t>≤</w:t>
            </w:r>
            <w:r>
              <w:t xml:space="preserve"> 5 complaints per 1000 connections</w:t>
            </w:r>
          </w:p>
        </w:tc>
        <w:tc>
          <w:tcPr>
            <w:tcW w:w="3096" w:type="dxa"/>
          </w:tcPr>
          <w:p w14:paraId="07EEA8CF" w14:textId="77777777" w:rsidR="001B32B9" w:rsidRDefault="001B32B9" w:rsidP="00F96A83">
            <w:r>
              <w:t>Number of complaints = 14 per 1000 connections</w:t>
            </w:r>
          </w:p>
        </w:tc>
      </w:tr>
    </w:tbl>
    <w:p w14:paraId="3E57A0C6" w14:textId="77777777" w:rsidR="001B32B9" w:rsidRDefault="001B32B9" w:rsidP="001B32B9">
      <w:pPr>
        <w:pStyle w:val="BodyText"/>
        <w:jc w:val="both"/>
      </w:pPr>
    </w:p>
    <w:p w14:paraId="42BFB08F" w14:textId="77777777" w:rsidR="001B32B9" w:rsidRDefault="001B32B9" w:rsidP="001B32B9">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9061"/>
      </w:tblGrid>
      <w:tr w:rsidR="001B32B9" w14:paraId="08160CAB" w14:textId="77777777" w:rsidTr="00F96A83">
        <w:trPr>
          <w:tblHeader/>
        </w:trPr>
        <w:tc>
          <w:tcPr>
            <w:tcW w:w="9287" w:type="dxa"/>
            <w:tcBorders>
              <w:top w:val="single" w:sz="4" w:space="0" w:color="auto"/>
              <w:left w:val="single" w:sz="4" w:space="0" w:color="auto"/>
              <w:bottom w:val="single" w:sz="4" w:space="0" w:color="auto"/>
              <w:right w:val="single" w:sz="4" w:space="0" w:color="auto"/>
              <w:tl2br w:val="nil"/>
              <w:tr2bl w:val="nil"/>
            </w:tcBorders>
            <w:shd w:val="clear" w:color="000000" w:fill="CCCCCC"/>
          </w:tcPr>
          <w:p w14:paraId="4EE5359D" w14:textId="77777777" w:rsidR="001B32B9" w:rsidRPr="004B2034" w:rsidRDefault="001B32B9" w:rsidP="00F96A83">
            <w:pPr>
              <w:pStyle w:val="Heading3"/>
              <w:jc w:val="both"/>
              <w:rPr>
                <w:bCs w:val="0"/>
              </w:rPr>
            </w:pPr>
            <w:r w:rsidRPr="004B2034">
              <w:rPr>
                <w:bCs w:val="0"/>
              </w:rPr>
              <w:t xml:space="preserve">Performance measure five (demand management): </w:t>
            </w:r>
          </w:p>
          <w:p w14:paraId="4A46B5CE" w14:textId="77777777" w:rsidR="001B32B9" w:rsidRPr="004B2034" w:rsidRDefault="001B32B9" w:rsidP="00F96A83">
            <w:pPr>
              <w:pStyle w:val="BodyText"/>
              <w:spacing w:after="0" w:line="240" w:lineRule="auto"/>
              <w:jc w:val="both"/>
              <w:rPr>
                <w:bCs/>
                <w:szCs w:val="22"/>
              </w:rPr>
            </w:pPr>
            <w:r w:rsidRPr="004B2034">
              <w:rPr>
                <w:bCs/>
              </w:rPr>
              <w:t>The average consumption of drinking water per day per resident within the territorial authority district.</w:t>
            </w:r>
          </w:p>
          <w:p w14:paraId="15B97DA6" w14:textId="77777777" w:rsidR="001B32B9" w:rsidRPr="004B2034" w:rsidRDefault="001B32B9" w:rsidP="00F96A83">
            <w:pPr>
              <w:pStyle w:val="BodyText"/>
              <w:jc w:val="both"/>
              <w:rPr>
                <w:bCs/>
                <w:szCs w:val="22"/>
              </w:rPr>
            </w:pPr>
          </w:p>
        </w:tc>
      </w:tr>
    </w:tbl>
    <w:p w14:paraId="50F0BAE9" w14:textId="77777777" w:rsidR="001B32B9" w:rsidRDefault="001B32B9" w:rsidP="001B32B9">
      <w:pPr>
        <w:pStyle w:val="Heading3"/>
      </w:pPr>
      <w:r>
        <w:t>Introduction to measure</w:t>
      </w:r>
    </w:p>
    <w:p w14:paraId="3E3F5EBA" w14:textId="77777777" w:rsidR="001B32B9" w:rsidRDefault="001B32B9" w:rsidP="001B32B9">
      <w:pPr>
        <w:pStyle w:val="BodyText"/>
        <w:jc w:val="both"/>
      </w:pPr>
      <w:r>
        <w:t>This performance measure provides information on whether the water supply system is being managed to ensure demand does not outstrip capacity.</w:t>
      </w:r>
    </w:p>
    <w:p w14:paraId="2021D67F" w14:textId="77777777" w:rsidR="001B32B9" w:rsidRDefault="001B32B9" w:rsidP="001B32B9">
      <w:pPr>
        <w:pStyle w:val="BodyText"/>
        <w:jc w:val="both"/>
      </w:pPr>
      <w:r>
        <w:t xml:space="preserve">The performance measure will help communities and territorial authorities make informed choices on how they use their water resources.  Careful management of the demand for water is an important component of integrated water resources management to ensure that demand does not exceed capacity, that water is allocated </w:t>
      </w:r>
      <w:proofErr w:type="gramStart"/>
      <w:r>
        <w:t>efficiently</w:t>
      </w:r>
      <w:proofErr w:type="gramEnd"/>
      <w:r>
        <w:t xml:space="preserve"> and that productivity is maximised. </w:t>
      </w:r>
    </w:p>
    <w:p w14:paraId="4D2E8035" w14:textId="77777777" w:rsidR="001B32B9" w:rsidRDefault="001B32B9" w:rsidP="001B32B9">
      <w:pPr>
        <w:pStyle w:val="BodyText"/>
        <w:jc w:val="both"/>
      </w:pPr>
      <w:r>
        <w:t xml:space="preserve">A system that treats and transfers less water maximises the value of existing infrastructure. It costs less to construct and </w:t>
      </w:r>
      <w:proofErr w:type="gramStart"/>
      <w:r>
        <w:t>maintain, and</w:t>
      </w:r>
      <w:proofErr w:type="gramEnd"/>
      <w:r>
        <w:t xml:space="preserve"> uses fewer chemicals and less energy. Where there is increasing demand for water, managing demand provides a means for a community to defer investment in new water infrastructure through more efficient use of existing water resources.</w:t>
      </w:r>
    </w:p>
    <w:p w14:paraId="0BF94254" w14:textId="77777777" w:rsidR="001B32B9" w:rsidRDefault="001B32B9" w:rsidP="001B32B9">
      <w:pPr>
        <w:pStyle w:val="Heading3"/>
      </w:pPr>
      <w:r>
        <w:t>Guidance for reporting</w:t>
      </w:r>
    </w:p>
    <w:p w14:paraId="74725885" w14:textId="77777777" w:rsidR="001B32B9" w:rsidRDefault="001B32B9" w:rsidP="001B32B9">
      <w:pPr>
        <w:pStyle w:val="BodyText"/>
        <w:jc w:val="both"/>
      </w:pPr>
      <w:r>
        <w:t>The performance measure should be reported as a single, city or district wide assessment (number).</w:t>
      </w:r>
    </w:p>
    <w:p w14:paraId="61BAD582" w14:textId="77777777" w:rsidR="001B32B9" w:rsidRDefault="001B32B9" w:rsidP="001B32B9">
      <w:pPr>
        <w:pStyle w:val="BodyText"/>
        <w:jc w:val="both"/>
      </w:pPr>
      <w:r>
        <w:t xml:space="preserve">Consumption is to be expressed as litres per person per day and based on the following fields defined in the </w:t>
      </w:r>
      <w:r>
        <w:rPr>
          <w:rFonts w:cs="Arial"/>
          <w:szCs w:val="22"/>
        </w:rPr>
        <w:t xml:space="preserve">Water Services Authority’s </w:t>
      </w:r>
      <w:hyperlink r:id="rId16" w:history="1">
        <w:r w:rsidRPr="006C39AE">
          <w:rPr>
            <w:rStyle w:val="Hyperlink"/>
          </w:rPr>
          <w:t>Network Environmental Performance Measure (NEPM) guidance</w:t>
        </w:r>
      </w:hyperlink>
      <w:r>
        <w:t xml:space="preserve"> for:</w:t>
      </w:r>
    </w:p>
    <w:p w14:paraId="579DCB58" w14:textId="77777777" w:rsidR="001B32B9" w:rsidRPr="003A0E43" w:rsidRDefault="001B32B9" w:rsidP="001B32B9">
      <w:pPr>
        <w:pStyle w:val="BodyText"/>
        <w:numPr>
          <w:ilvl w:val="0"/>
          <w:numId w:val="39"/>
        </w:numPr>
        <w:jc w:val="both"/>
        <w:rPr>
          <w:b/>
          <w:bCs/>
        </w:rPr>
      </w:pPr>
      <w:r w:rsidRPr="003A0E43">
        <w:rPr>
          <w:b/>
          <w:bCs/>
        </w:rPr>
        <w:t>D-EH4 Water</w:t>
      </w:r>
      <w:r w:rsidRPr="006659A7">
        <w:rPr>
          <w:b/>
        </w:rPr>
        <w:t xml:space="preserve"> supplied </w:t>
      </w:r>
      <w:r w:rsidRPr="003A0E43">
        <w:rPr>
          <w:b/>
          <w:bCs/>
        </w:rPr>
        <w:t>to the drinking water network</w:t>
      </w:r>
      <w:r>
        <w:rPr>
          <w:b/>
          <w:bCs/>
        </w:rPr>
        <w:t xml:space="preserve"> (m</w:t>
      </w:r>
      <w:r w:rsidRPr="008C500A">
        <w:rPr>
          <w:rFonts w:ascii="Arial Bold" w:hAnsi="Arial Bold"/>
          <w:b/>
          <w:bCs/>
          <w:vertAlign w:val="superscript"/>
        </w:rPr>
        <w:t>3</w:t>
      </w:r>
      <w:r>
        <w:rPr>
          <w:b/>
          <w:bCs/>
        </w:rPr>
        <w:t>/year)</w:t>
      </w:r>
    </w:p>
    <w:p w14:paraId="5B8ED71E" w14:textId="77777777" w:rsidR="001B32B9" w:rsidRPr="008C30DB" w:rsidRDefault="001B32B9" w:rsidP="001B32B9">
      <w:pPr>
        <w:pStyle w:val="BodyText"/>
        <w:numPr>
          <w:ilvl w:val="0"/>
          <w:numId w:val="39"/>
        </w:numPr>
        <w:jc w:val="both"/>
        <w:rPr>
          <w:b/>
          <w:bCs/>
        </w:rPr>
      </w:pPr>
      <w:r w:rsidRPr="008C30DB">
        <w:rPr>
          <w:b/>
          <w:bCs/>
        </w:rPr>
        <w:t>D-EH</w:t>
      </w:r>
      <w:r>
        <w:rPr>
          <w:b/>
          <w:bCs/>
        </w:rPr>
        <w:t>7 Non-residential water use (m</w:t>
      </w:r>
      <w:r w:rsidRPr="008C500A">
        <w:rPr>
          <w:rFonts w:ascii="Arial Bold" w:hAnsi="Arial Bold"/>
          <w:b/>
          <w:bCs/>
          <w:vertAlign w:val="superscript"/>
        </w:rPr>
        <w:t>3</w:t>
      </w:r>
      <w:r>
        <w:rPr>
          <w:b/>
          <w:bCs/>
        </w:rPr>
        <w:t>/year)</w:t>
      </w:r>
    </w:p>
    <w:p w14:paraId="11DF862C" w14:textId="77777777" w:rsidR="001B32B9" w:rsidRPr="003A0E43" w:rsidRDefault="001B32B9" w:rsidP="001B32B9">
      <w:pPr>
        <w:pStyle w:val="BodyText"/>
        <w:numPr>
          <w:ilvl w:val="0"/>
          <w:numId w:val="39"/>
        </w:numPr>
        <w:jc w:val="both"/>
        <w:rPr>
          <w:b/>
          <w:bCs/>
        </w:rPr>
      </w:pPr>
      <w:r w:rsidRPr="003A0E43">
        <w:rPr>
          <w:b/>
          <w:bCs/>
        </w:rPr>
        <w:t xml:space="preserve">D-EH3 Total population served </w:t>
      </w:r>
      <w:r w:rsidRPr="006659A7">
        <w:rPr>
          <w:b/>
        </w:rPr>
        <w:t xml:space="preserve">by the </w:t>
      </w:r>
      <w:r w:rsidRPr="003A0E43">
        <w:rPr>
          <w:b/>
          <w:bCs/>
        </w:rPr>
        <w:t>drinking</w:t>
      </w:r>
      <w:r w:rsidRPr="006659A7">
        <w:rPr>
          <w:b/>
        </w:rPr>
        <w:t xml:space="preserve"> water network </w:t>
      </w:r>
    </w:p>
    <w:p w14:paraId="472B0B85" w14:textId="77777777" w:rsidR="001B32B9" w:rsidRDefault="001B32B9" w:rsidP="001B32B9">
      <w:pPr>
        <w:pStyle w:val="BodyText"/>
        <w:jc w:val="both"/>
      </w:pPr>
      <w:r>
        <w:t>Compliance should be calculated using the following formula:</w:t>
      </w:r>
    </w:p>
    <w:p w14:paraId="5965B65F" w14:textId="77777777" w:rsidR="001B32B9" w:rsidRPr="00A26E66" w:rsidRDefault="001B32B9" w:rsidP="001B32B9">
      <w:pPr>
        <w:pStyle w:val="BodyText"/>
        <w:jc w:val="both"/>
        <w:rPr>
          <w:i/>
          <w:iCs/>
        </w:rPr>
      </w:pPr>
      <w:r w:rsidRPr="00854124">
        <w:rPr>
          <w:i/>
          <w:iCs/>
        </w:rPr>
        <w:t>(D-EH4 Water supplied to the drinking water network - D-EH</w:t>
      </w:r>
      <w:r>
        <w:rPr>
          <w:i/>
          <w:iCs/>
        </w:rPr>
        <w:t>7 Non-residential water use</w:t>
      </w:r>
      <w:r w:rsidRPr="00854124">
        <w:rPr>
          <w:i/>
          <w:iCs/>
        </w:rPr>
        <w:t xml:space="preserve">)/ D-EH3 Total population served by the drinking water network / 365 </w:t>
      </w:r>
      <w:r>
        <w:rPr>
          <w:i/>
          <w:iCs/>
        </w:rPr>
        <w:t>/ 1000</w:t>
      </w:r>
    </w:p>
    <w:p w14:paraId="2E12382C" w14:textId="77777777" w:rsidR="001B32B9" w:rsidRDefault="001B32B9" w:rsidP="001B32B9">
      <w:pPr>
        <w:pStyle w:val="BodyText"/>
        <w:jc w:val="both"/>
      </w:pPr>
      <w:r>
        <w:t xml:space="preserve">Some territorial authorities may choose to also report a </w:t>
      </w:r>
      <w:r w:rsidRPr="002A2249">
        <w:rPr>
          <w:b/>
        </w:rPr>
        <w:t>peak season</w:t>
      </w:r>
      <w:r>
        <w:t xml:space="preserve"> metric as population changes may vary significantly, such as beach towns, or ski areas during holiday periods.</w:t>
      </w:r>
    </w:p>
    <w:p w14:paraId="0C01CBC6" w14:textId="77777777" w:rsidR="001B32B9" w:rsidRPr="00854124" w:rsidRDefault="001B32B9" w:rsidP="001B32B9">
      <w:pPr>
        <w:pStyle w:val="Heading3"/>
      </w:pPr>
      <w:r>
        <w:br w:type="page"/>
      </w:r>
      <w:r w:rsidRPr="00854124">
        <w:t>Worked example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3023"/>
        <w:gridCol w:w="3019"/>
        <w:gridCol w:w="3019"/>
      </w:tblGrid>
      <w:tr w:rsidR="001B32B9" w:rsidRPr="004B2034" w14:paraId="3E33D8B4" w14:textId="77777777" w:rsidTr="00F96A83">
        <w:trPr>
          <w:tblHeader/>
        </w:trPr>
        <w:tc>
          <w:tcPr>
            <w:tcW w:w="3095" w:type="dxa"/>
            <w:tcBorders>
              <w:top w:val="single" w:sz="4" w:space="0" w:color="auto"/>
              <w:left w:val="single" w:sz="4" w:space="0" w:color="auto"/>
              <w:bottom w:val="single" w:sz="6" w:space="0" w:color="auto"/>
              <w:right w:val="single" w:sz="6" w:space="0" w:color="auto"/>
              <w:tl2br w:val="nil"/>
              <w:tr2bl w:val="nil"/>
            </w:tcBorders>
            <w:shd w:val="clear" w:color="000000" w:fill="CCCCCC"/>
          </w:tcPr>
          <w:p w14:paraId="3BF331F6" w14:textId="77777777" w:rsidR="001B32B9" w:rsidRPr="004B2034" w:rsidRDefault="001B32B9" w:rsidP="00F96A83">
            <w:pPr>
              <w:rPr>
                <w:b/>
                <w:bCs/>
              </w:rPr>
            </w:pPr>
            <w:r w:rsidRPr="004B2034">
              <w:rPr>
                <w:b/>
                <w:bCs/>
              </w:rPr>
              <w:t>Calculation</w:t>
            </w:r>
          </w:p>
        </w:tc>
        <w:tc>
          <w:tcPr>
            <w:tcW w:w="3096" w:type="dxa"/>
            <w:tcBorders>
              <w:top w:val="single" w:sz="4" w:space="0" w:color="auto"/>
              <w:left w:val="single" w:sz="6" w:space="0" w:color="auto"/>
              <w:bottom w:val="single" w:sz="4" w:space="0" w:color="auto"/>
              <w:right w:val="single" w:sz="6" w:space="0" w:color="auto"/>
              <w:tl2br w:val="nil"/>
              <w:tr2bl w:val="nil"/>
            </w:tcBorders>
            <w:shd w:val="clear" w:color="000000" w:fill="CCCCCC"/>
          </w:tcPr>
          <w:p w14:paraId="7BD08BB2" w14:textId="77777777" w:rsidR="001B32B9" w:rsidRPr="004B2034" w:rsidRDefault="001B32B9" w:rsidP="00F96A83">
            <w:pPr>
              <w:rPr>
                <w:b/>
                <w:bCs/>
              </w:rPr>
            </w:pPr>
            <w:r w:rsidRPr="004B2034">
              <w:rPr>
                <w:b/>
                <w:bCs/>
              </w:rPr>
              <w:t>Target</w:t>
            </w:r>
          </w:p>
        </w:tc>
        <w:tc>
          <w:tcPr>
            <w:tcW w:w="3096" w:type="dxa"/>
            <w:tcBorders>
              <w:top w:val="single" w:sz="4" w:space="0" w:color="auto"/>
              <w:left w:val="single" w:sz="6" w:space="0" w:color="auto"/>
              <w:bottom w:val="single" w:sz="4" w:space="0" w:color="auto"/>
              <w:right w:val="single" w:sz="4" w:space="0" w:color="auto"/>
              <w:tl2br w:val="nil"/>
              <w:tr2bl w:val="nil"/>
            </w:tcBorders>
            <w:shd w:val="clear" w:color="000000" w:fill="CCCCCC"/>
          </w:tcPr>
          <w:p w14:paraId="0A8C29FF" w14:textId="77777777" w:rsidR="001B32B9" w:rsidRPr="004B2034" w:rsidRDefault="001B32B9" w:rsidP="00F96A83">
            <w:pPr>
              <w:rPr>
                <w:b/>
                <w:bCs/>
              </w:rPr>
            </w:pPr>
            <w:r w:rsidRPr="004B2034">
              <w:rPr>
                <w:b/>
                <w:bCs/>
              </w:rPr>
              <w:t>Actual</w:t>
            </w:r>
          </w:p>
        </w:tc>
      </w:tr>
      <w:tr w:rsidR="001B32B9" w14:paraId="5B6045AA" w14:textId="77777777" w:rsidTr="008A4BF5">
        <w:trPr>
          <w:cantSplit/>
        </w:trPr>
        <w:tc>
          <w:tcPr>
            <w:tcW w:w="3095" w:type="dxa"/>
            <w:tcBorders>
              <w:top w:val="single" w:sz="6" w:space="0" w:color="auto"/>
              <w:bottom w:val="single" w:sz="4" w:space="0" w:color="auto"/>
            </w:tcBorders>
            <w:shd w:val="clear" w:color="auto" w:fill="CCCCCC"/>
          </w:tcPr>
          <w:p w14:paraId="660D4CA7" w14:textId="77777777" w:rsidR="001B32B9" w:rsidRPr="004B2034" w:rsidRDefault="001B32B9" w:rsidP="00F96A83">
            <w:pPr>
              <w:pStyle w:val="BodyText"/>
              <w:rPr>
                <w:i/>
                <w:szCs w:val="22"/>
              </w:rPr>
            </w:pPr>
            <w:r w:rsidRPr="004B2034">
              <w:rPr>
                <w:i/>
                <w:szCs w:val="22"/>
              </w:rPr>
              <w:t>Please note: the calculation does not have to be reported.</w:t>
            </w:r>
          </w:p>
          <w:p w14:paraId="274285A6" w14:textId="77777777" w:rsidR="001B32B9" w:rsidRDefault="001B32B9" w:rsidP="00F96A83">
            <w:pPr>
              <w:pStyle w:val="BodyText"/>
            </w:pPr>
            <w:r>
              <w:t>Water supplied to the drinking water network (D-EH</w:t>
            </w:r>
            <w:proofErr w:type="gramStart"/>
            <w:r>
              <w:t>4)=</w:t>
            </w:r>
            <w:proofErr w:type="gramEnd"/>
            <w:r>
              <w:t xml:space="preserve"> 8,527,200 m</w:t>
            </w:r>
            <w:r w:rsidRPr="008C500A">
              <w:rPr>
                <w:vertAlign w:val="superscript"/>
              </w:rPr>
              <w:t>3</w:t>
            </w:r>
            <w:r>
              <w:t xml:space="preserve"> / year</w:t>
            </w:r>
          </w:p>
          <w:p w14:paraId="3E0E091F" w14:textId="77777777" w:rsidR="001B32B9" w:rsidRDefault="001B32B9" w:rsidP="00F96A83">
            <w:pPr>
              <w:pStyle w:val="BodyText"/>
            </w:pPr>
            <w:r>
              <w:t>Non-residential water use (D-EH7) = 2,800,000m</w:t>
            </w:r>
            <w:r w:rsidRPr="008C500A">
              <w:rPr>
                <w:vertAlign w:val="superscript"/>
              </w:rPr>
              <w:t>3</w:t>
            </w:r>
            <w:r>
              <w:t xml:space="preserve"> /year</w:t>
            </w:r>
          </w:p>
          <w:p w14:paraId="3B80BF9B" w14:textId="77777777" w:rsidR="001B32B9" w:rsidRDefault="001B32B9" w:rsidP="00F96A83">
            <w:pPr>
              <w:pStyle w:val="BodyText"/>
            </w:pPr>
            <w:r>
              <w:t>Normal population serviced = 61,200</w:t>
            </w:r>
          </w:p>
          <w:p w14:paraId="554372E0" w14:textId="77777777" w:rsidR="001B32B9" w:rsidRDefault="001B32B9" w:rsidP="00F96A83">
            <w:pPr>
              <w:pStyle w:val="BodyText"/>
            </w:pPr>
            <w:r>
              <w:t xml:space="preserve">Calculation for normal demand is ((8,527,200 – </w:t>
            </w:r>
            <w:proofErr w:type="gramStart"/>
            <w:r>
              <w:t>2,800,000)*</w:t>
            </w:r>
            <w:proofErr w:type="gramEnd"/>
            <w:r>
              <w:t>1000) / 61,200 / 365 = 256 litres/person/day (rounded to nearest whole number)</w:t>
            </w:r>
          </w:p>
        </w:tc>
        <w:tc>
          <w:tcPr>
            <w:tcW w:w="3096" w:type="dxa"/>
          </w:tcPr>
          <w:p w14:paraId="179AE5DA" w14:textId="77777777" w:rsidR="001B32B9" w:rsidRDefault="001B32B9" w:rsidP="00F96A83">
            <w:pPr>
              <w:pStyle w:val="BodyText"/>
            </w:pPr>
            <w:r>
              <w:t xml:space="preserve">Target normal demand </w:t>
            </w:r>
            <w:r w:rsidRPr="004B2034">
              <w:rPr>
                <w:rFonts w:cs="Arial"/>
              </w:rPr>
              <w:t>≤</w:t>
            </w:r>
            <w:r>
              <w:t xml:space="preserve"> 180 litres/person/day</w:t>
            </w:r>
          </w:p>
          <w:p w14:paraId="2C7093F2" w14:textId="77777777" w:rsidR="001B32B9" w:rsidRDefault="001B32B9" w:rsidP="00F96A83">
            <w:pPr>
              <w:pStyle w:val="BodyText"/>
            </w:pPr>
          </w:p>
        </w:tc>
        <w:tc>
          <w:tcPr>
            <w:tcW w:w="3096" w:type="dxa"/>
          </w:tcPr>
          <w:p w14:paraId="75E863C8" w14:textId="77777777" w:rsidR="001B32B9" w:rsidRDefault="001B32B9" w:rsidP="00F96A83">
            <w:pPr>
              <w:pStyle w:val="BodyText"/>
            </w:pPr>
            <w:r>
              <w:t>Normal demand = 256 litres/person/day</w:t>
            </w:r>
          </w:p>
          <w:p w14:paraId="6F48EAB0" w14:textId="77777777" w:rsidR="001B32B9" w:rsidRDefault="001B32B9" w:rsidP="00F96A83">
            <w:pPr>
              <w:pStyle w:val="BodyText"/>
            </w:pPr>
          </w:p>
        </w:tc>
      </w:tr>
    </w:tbl>
    <w:p w14:paraId="175D81F9" w14:textId="77777777" w:rsidR="001B32B9" w:rsidRDefault="001B32B9" w:rsidP="001B32B9">
      <w:pPr>
        <w:rPr>
          <w:i/>
        </w:rPr>
      </w:pPr>
    </w:p>
    <w:p w14:paraId="794FE08E" w14:textId="77777777" w:rsidR="001B32B9" w:rsidRPr="00C80BBA" w:rsidRDefault="001B32B9" w:rsidP="001B32B9">
      <w:pPr>
        <w:rPr>
          <w:i/>
        </w:rPr>
      </w:pPr>
    </w:p>
    <w:p w14:paraId="0866A325" w14:textId="77777777" w:rsidR="001B32B9" w:rsidRDefault="001B32B9" w:rsidP="001B32B9">
      <w:pPr>
        <w:pStyle w:val="BodyText"/>
      </w:pPr>
    </w:p>
    <w:p w14:paraId="648D8A25" w14:textId="77777777" w:rsidR="001B32B9" w:rsidRPr="00AE376A" w:rsidRDefault="001B32B9" w:rsidP="001B32B9">
      <w:pPr>
        <w:pStyle w:val="BodyText"/>
      </w:pPr>
    </w:p>
    <w:p w14:paraId="6DCAFDEB" w14:textId="77777777" w:rsidR="0058628C" w:rsidRPr="00AE376A" w:rsidRDefault="0058628C" w:rsidP="002765D0">
      <w:pPr>
        <w:pStyle w:val="BodyText"/>
      </w:pPr>
    </w:p>
    <w:sectPr w:rsidR="0058628C" w:rsidRPr="00AE376A" w:rsidSect="003864DB">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A442" w14:textId="77777777" w:rsidR="00EF2C3F" w:rsidRDefault="00EF2C3F">
      <w:r>
        <w:separator/>
      </w:r>
    </w:p>
  </w:endnote>
  <w:endnote w:type="continuationSeparator" w:id="0">
    <w:p w14:paraId="088795D5" w14:textId="77777777" w:rsidR="00EF2C3F" w:rsidRDefault="00EF2C3F">
      <w:r>
        <w:continuationSeparator/>
      </w:r>
    </w:p>
  </w:endnote>
  <w:endnote w:type="continuationNotice" w:id="1">
    <w:p w14:paraId="0EDF0DA7" w14:textId="77777777" w:rsidR="00EF2C3F" w:rsidRDefault="00EF2C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pitch w:val="variable"/>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3D4E" w14:textId="77777777" w:rsidR="00675502" w:rsidRPr="001D322D" w:rsidRDefault="00675502" w:rsidP="00B51EC2">
    <w:pPr>
      <w:pStyle w:val="Footer"/>
    </w:pPr>
    <w:r w:rsidRPr="00177E2B">
      <w:t>Department</w:t>
    </w:r>
    <w:r>
      <w:t xml:space="preserve"> of Internal Affairs</w:t>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3F5448">
      <w:rPr>
        <w:rStyle w:val="PageNumber"/>
        <w:noProof/>
      </w:rPr>
      <w:t>8</w:t>
    </w:r>
    <w:r>
      <w:rPr>
        <w:rStyle w:val="PageNumber"/>
      </w:rPr>
      <w:fldChar w:fldCharType="end"/>
    </w:r>
  </w:p>
  <w:p w14:paraId="40C8B07A" w14:textId="77777777" w:rsidR="00675502" w:rsidRDefault="00675502" w:rsidP="00B5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9024" w14:textId="77777777" w:rsidR="00675502" w:rsidRDefault="00675502" w:rsidP="007F4181">
    <w:pPr>
      <w:pStyle w:val="Footer"/>
      <w:ind w:right="360"/>
    </w:pPr>
    <w:r w:rsidRPr="00177E2B">
      <w:t>Department</w:t>
    </w:r>
    <w:r>
      <w:t xml:space="preserve"> of Internal Affairs</w:t>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3F5448">
      <w:rPr>
        <w:rStyle w:val="PageNumber"/>
        <w:noProof/>
      </w:rPr>
      <w:t>9</w:t>
    </w:r>
    <w:r>
      <w:rPr>
        <w:rStyle w:val="PageNumber"/>
      </w:rPr>
      <w:fldChar w:fldCharType="end"/>
    </w:r>
  </w:p>
  <w:p w14:paraId="396F9C41" w14:textId="77777777" w:rsidR="00675502" w:rsidRDefault="00675502" w:rsidP="00564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9970" w14:textId="77777777" w:rsidR="00675502" w:rsidRDefault="00675502" w:rsidP="001D3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F5E">
      <w:rPr>
        <w:rStyle w:val="PageNumber"/>
        <w:noProof/>
      </w:rPr>
      <w:t>1</w:t>
    </w:r>
    <w:r>
      <w:rPr>
        <w:rStyle w:val="PageNumber"/>
      </w:rPr>
      <w:fldChar w:fldCharType="end"/>
    </w:r>
  </w:p>
  <w:p w14:paraId="230D3548" w14:textId="77777777" w:rsidR="00675502" w:rsidRPr="00AE376A" w:rsidRDefault="00675502" w:rsidP="00C93CC7">
    <w:pPr>
      <w:pStyle w:val="Footer"/>
    </w:pPr>
    <w:r w:rsidRPr="00AE376A">
      <w:t>Department of Internal Affairs</w:t>
    </w:r>
  </w:p>
  <w:p w14:paraId="4CC1CB98" w14:textId="77777777" w:rsidR="00675502" w:rsidRPr="00AE376A" w:rsidRDefault="00675502" w:rsidP="0056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3896" w14:textId="77777777" w:rsidR="00EF2C3F" w:rsidRDefault="00EF2C3F">
      <w:r>
        <w:separator/>
      </w:r>
    </w:p>
  </w:footnote>
  <w:footnote w:type="continuationSeparator" w:id="0">
    <w:p w14:paraId="431D2988" w14:textId="77777777" w:rsidR="00EF2C3F" w:rsidRDefault="00EF2C3F">
      <w:r>
        <w:continuationSeparator/>
      </w:r>
    </w:p>
  </w:footnote>
  <w:footnote w:type="continuationNotice" w:id="1">
    <w:p w14:paraId="36D26E84" w14:textId="77777777" w:rsidR="00EF2C3F" w:rsidRDefault="00EF2C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2DCB" w14:textId="77777777" w:rsidR="00A9580D" w:rsidRDefault="0007148B">
    <w:pPr>
      <w:pStyle w:val="Header"/>
    </w:pPr>
    <w:r>
      <w:rPr>
        <w:noProof/>
      </w:rPr>
      <w:pict w14:anchorId="24FCB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80032" o:spid="_x0000_s1028" type="#_x0000_t136" style="position:absolute;margin-left:0;margin-top:0;width:456.75pt;height:182.7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8DF5" w14:textId="77777777" w:rsidR="00A9580D" w:rsidRDefault="0007148B">
    <w:pPr>
      <w:pStyle w:val="Header"/>
    </w:pPr>
    <w:r>
      <w:rPr>
        <w:noProof/>
      </w:rPr>
      <w:pict w14:anchorId="0E25A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80033" o:spid="_x0000_s1029" type="#_x0000_t136" style="position:absolute;margin-left:0;margin-top:0;width:456.75pt;height:182.7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C2CC" w14:textId="77777777" w:rsidR="00675502" w:rsidRDefault="0007148B" w:rsidP="00A06693">
    <w:pPr>
      <w:pStyle w:val="Header"/>
      <w:jc w:val="center"/>
    </w:pPr>
    <w:r>
      <w:rPr>
        <w:noProof/>
      </w:rPr>
      <w:pict w14:anchorId="55EF9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80031" o:spid="_x0000_s1030" type="#_x0000_t136" style="position:absolute;left:0;text-align:left;margin-left:0;margin-top:0;width:456.75pt;height:182.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03DF6"/>
    <w:multiLevelType w:val="hybridMultilevel"/>
    <w:tmpl w:val="747A0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2" w15:restartNumberingAfterBreak="0">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3" w15:restartNumberingAfterBreak="0">
    <w:nsid w:val="0DF0658E"/>
    <w:multiLevelType w:val="hybridMultilevel"/>
    <w:tmpl w:val="90AEF63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81E666E"/>
    <w:multiLevelType w:val="hybridMultilevel"/>
    <w:tmpl w:val="9E5EE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423B5E"/>
    <w:multiLevelType w:val="hybridMultilevel"/>
    <w:tmpl w:val="8A881E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A3F2AB2"/>
    <w:multiLevelType w:val="hybridMultilevel"/>
    <w:tmpl w:val="5148C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3E1FA0"/>
    <w:multiLevelType w:val="hybridMultilevel"/>
    <w:tmpl w:val="0B481EE0"/>
    <w:lvl w:ilvl="0" w:tplc="FE12B6F6">
      <w:start w:val="1"/>
      <w:numFmt w:val="bullet"/>
      <w:lvlText w:val=""/>
      <w:lvlJc w:val="left"/>
      <w:pPr>
        <w:tabs>
          <w:tab w:val="num" w:pos="0"/>
        </w:tabs>
        <w:ind w:left="357" w:hanging="35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1C5D45D0"/>
    <w:multiLevelType w:val="hybridMultilevel"/>
    <w:tmpl w:val="FFCA8D6C"/>
    <w:lvl w:ilvl="0" w:tplc="966ACF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0782EE6"/>
    <w:multiLevelType w:val="hybridMultilevel"/>
    <w:tmpl w:val="2F5EA97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D3EC4"/>
    <w:multiLevelType w:val="hybridMultilevel"/>
    <w:tmpl w:val="5A221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6E061A9"/>
    <w:multiLevelType w:val="hybridMultilevel"/>
    <w:tmpl w:val="0828647A"/>
    <w:lvl w:ilvl="0" w:tplc="966ACF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79A4F5C"/>
    <w:multiLevelType w:val="hybridMultilevel"/>
    <w:tmpl w:val="9F96E19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5F17757"/>
    <w:multiLevelType w:val="multilevel"/>
    <w:tmpl w:val="CBEE0204"/>
    <w:lvl w:ilvl="0">
      <w:start w:val="1"/>
      <w:numFmt w:val="decimal"/>
      <w:lvlText w:val="%1."/>
      <w:lvlJc w:val="left"/>
      <w:rPr>
        <w:rFonts w:ascii="Arial" w:hAnsi="Arial" w:cs="Arial" w:hint="default"/>
        <w:b w:val="0"/>
        <w:i w:val="0"/>
        <w:caps w:val="0"/>
        <w:smallCaps w:val="0"/>
        <w:strike w:val="0"/>
        <w:dstrike w:val="0"/>
        <w:vanish w:val="0"/>
        <w:color w:val="auto"/>
        <w:sz w:val="28"/>
        <w:u w:val="none"/>
        <w:effect w:val="none"/>
        <w:vertAlign w:val="baseline"/>
      </w:rPr>
    </w:lvl>
    <w:lvl w:ilvl="1">
      <w:start w:val="1"/>
      <w:numFmt w:val="decimal"/>
      <w:lvlText w:val="%1.%2"/>
      <w:lvlJc w:val="left"/>
      <w:rPr>
        <w:rFonts w:ascii="Arial" w:hAnsi="Arial" w:cs="Arial" w:hint="default"/>
        <w:b w:val="0"/>
        <w:i w:val="0"/>
        <w:caps w:val="0"/>
        <w:smallCaps w:val="0"/>
        <w:strike w:val="0"/>
        <w:dstrike w:val="0"/>
        <w:vanish w:val="0"/>
        <w:color w:val="auto"/>
        <w:sz w:val="24"/>
        <w:u w:val="none"/>
        <w:vertAlign w:val="baseline"/>
      </w:rPr>
    </w:lvl>
    <w:lvl w:ilvl="2">
      <w:start w:val="1"/>
      <w:numFmt w:val="lowerLetter"/>
      <w:lvlText w:val="(%3)"/>
      <w:lvlJc w:val="left"/>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Roman"/>
      <w:lvlText w:val="(%4)"/>
      <w:lvlJc w:val="left"/>
      <w:rPr>
        <w:rFonts w:ascii="Arial" w:hAnsi="Arial" w:cs="Arial" w:hint="default"/>
        <w:b w:val="0"/>
        <w:i w:val="0"/>
        <w:caps w:val="0"/>
        <w:smallCaps w:val="0"/>
        <w:strike w:val="0"/>
        <w:dstrike w:val="0"/>
        <w:vanish w:val="0"/>
        <w:color w:val="auto"/>
        <w:sz w:val="20"/>
        <w:u w:val="none"/>
        <w:effect w:val="none"/>
        <w:vertAlign w:val="baseline"/>
      </w:rPr>
    </w:lvl>
    <w:lvl w:ilvl="4">
      <w:start w:val="1"/>
      <w:numFmt w:val="upperLetter"/>
      <w:lvlText w:val="(%5)"/>
      <w:lvlJc w:val="left"/>
      <w:rPr>
        <w:rFonts w:ascii="Arial" w:hAnsi="Arial" w:cs="Arial" w:hint="default"/>
        <w:b w:val="0"/>
        <w:i w:val="0"/>
        <w:caps w:val="0"/>
        <w:smallCaps w:val="0"/>
        <w:strike w:val="0"/>
        <w:dstrike w:val="0"/>
        <w:vanish w:val="0"/>
        <w:color w:val="auto"/>
        <w:sz w:val="20"/>
        <w:u w:val="none"/>
        <w:effect w:val="none"/>
        <w:vertAlign w:val="baseline"/>
      </w:rPr>
    </w:lvl>
    <w:lvl w:ilvl="5">
      <w:start w:val="1"/>
      <w:numFmt w:val="lowerLetter"/>
      <w:lvlText w:val="(%6)"/>
      <w:lvlJc w:val="left"/>
      <w:rPr>
        <w:rFonts w:hint="default"/>
        <w:b w:val="0"/>
        <w:i w:val="0"/>
        <w:caps w:val="0"/>
        <w:smallCaps w:val="0"/>
        <w:strike w:val="0"/>
        <w:dstrike w:val="0"/>
        <w:vanish w:val="0"/>
        <w:color w:val="000000"/>
        <w:sz w:val="20"/>
        <w:u w:val="none"/>
        <w:effect w:val="none"/>
        <w:vertAlign w:val="baseline"/>
      </w:rPr>
    </w:lvl>
    <w:lvl w:ilvl="6">
      <w:start w:val="1"/>
      <w:numFmt w:val="decimal"/>
      <w:lvlText w:val="%7"/>
      <w:lvlJc w:val="left"/>
      <w:rPr>
        <w:rFonts w:hint="default"/>
        <w:b w:val="0"/>
        <w:i w:val="0"/>
        <w:caps w:val="0"/>
        <w:smallCaps w:val="0"/>
        <w:strike w:val="0"/>
        <w:dstrike w:val="0"/>
        <w:vanish w:val="0"/>
        <w:color w:val="000000"/>
        <w:sz w:val="20"/>
        <w:u w:val="none"/>
        <w:effect w:val="none"/>
        <w:vertAlign w:val="baseline"/>
      </w:rPr>
    </w:lvl>
    <w:lvl w:ilvl="7">
      <w:start w:val="1"/>
      <w:numFmt w:val="lowerLetter"/>
      <w:lvlText w:val="%8."/>
      <w:lvlJc w:val="left"/>
      <w:rPr>
        <w:rFonts w:hint="default"/>
        <w:b w:val="0"/>
        <w:i w:val="0"/>
        <w:caps w:val="0"/>
        <w:smallCaps w:val="0"/>
        <w:strike w:val="0"/>
        <w:dstrike w:val="0"/>
        <w:vanish w:val="0"/>
        <w:color w:val="000000"/>
        <w:sz w:val="20"/>
        <w:u w:val="none"/>
        <w:effect w:val="none"/>
        <w:vertAlign w:val="baseline"/>
      </w:rPr>
    </w:lvl>
    <w:lvl w:ilvl="8">
      <w:start w:val="1"/>
      <w:numFmt w:val="lowerRoman"/>
      <w:lvlText w:val="%9."/>
      <w:lvlJc w:val="right"/>
      <w:rPr>
        <w:rFonts w:hint="default"/>
        <w:b w:val="0"/>
        <w:i w:val="0"/>
        <w:caps w:val="0"/>
        <w:smallCaps w:val="0"/>
        <w:strike w:val="0"/>
        <w:dstrike w:val="0"/>
        <w:vanish w:val="0"/>
        <w:color w:val="000000"/>
        <w:sz w:val="20"/>
        <w:u w:val="none"/>
        <w:effect w:val="none"/>
        <w:vertAlign w:val="baseline"/>
      </w:r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8D0E5C"/>
    <w:multiLevelType w:val="hybridMultilevel"/>
    <w:tmpl w:val="B19427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E995797"/>
    <w:multiLevelType w:val="hybridMultilevel"/>
    <w:tmpl w:val="5148C122"/>
    <w:lvl w:ilvl="0" w:tplc="7CF06E0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39044AB"/>
    <w:multiLevelType w:val="hybridMultilevel"/>
    <w:tmpl w:val="FFCA8D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5"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E07BAE"/>
    <w:multiLevelType w:val="hybridMultilevel"/>
    <w:tmpl w:val="5148C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0634660"/>
    <w:multiLevelType w:val="hybridMultilevel"/>
    <w:tmpl w:val="2DEC26F6"/>
    <w:lvl w:ilvl="0" w:tplc="EB3054BE">
      <w:start w:val="1"/>
      <w:numFmt w:val="lowerLetter"/>
      <w:lvlText w:val="%1)"/>
      <w:lvlJc w:val="left"/>
      <w:pPr>
        <w:ind w:left="13"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47829238">
    <w:abstractNumId w:val="31"/>
  </w:num>
  <w:num w:numId="2" w16cid:durableId="917713122">
    <w:abstractNumId w:val="28"/>
  </w:num>
  <w:num w:numId="3" w16cid:durableId="2075858419">
    <w:abstractNumId w:val="25"/>
  </w:num>
  <w:num w:numId="4" w16cid:durableId="1371034578">
    <w:abstractNumId w:val="37"/>
  </w:num>
  <w:num w:numId="5" w16cid:durableId="1426459831">
    <w:abstractNumId w:val="32"/>
  </w:num>
  <w:num w:numId="6" w16cid:durableId="1783962960">
    <w:abstractNumId w:val="34"/>
  </w:num>
  <w:num w:numId="7" w16cid:durableId="1278414980">
    <w:abstractNumId w:val="22"/>
  </w:num>
  <w:num w:numId="8" w16cid:durableId="1340086521">
    <w:abstractNumId w:val="16"/>
  </w:num>
  <w:num w:numId="9" w16cid:durableId="1363046891">
    <w:abstractNumId w:val="27"/>
  </w:num>
  <w:num w:numId="10" w16cid:durableId="96608295">
    <w:abstractNumId w:val="9"/>
  </w:num>
  <w:num w:numId="11" w16cid:durableId="761492217">
    <w:abstractNumId w:val="7"/>
  </w:num>
  <w:num w:numId="12" w16cid:durableId="2047487051">
    <w:abstractNumId w:val="6"/>
  </w:num>
  <w:num w:numId="13" w16cid:durableId="1811820122">
    <w:abstractNumId w:val="5"/>
  </w:num>
  <w:num w:numId="14" w16cid:durableId="2014990639">
    <w:abstractNumId w:val="4"/>
  </w:num>
  <w:num w:numId="15" w16cid:durableId="1347368246">
    <w:abstractNumId w:val="8"/>
  </w:num>
  <w:num w:numId="16" w16cid:durableId="457771094">
    <w:abstractNumId w:val="3"/>
  </w:num>
  <w:num w:numId="17" w16cid:durableId="1882983706">
    <w:abstractNumId w:val="2"/>
  </w:num>
  <w:num w:numId="18" w16cid:durableId="1211722469">
    <w:abstractNumId w:val="1"/>
  </w:num>
  <w:num w:numId="19" w16cid:durableId="538397680">
    <w:abstractNumId w:val="0"/>
  </w:num>
  <w:num w:numId="20" w16cid:durableId="221451959">
    <w:abstractNumId w:val="35"/>
  </w:num>
  <w:num w:numId="21" w16cid:durableId="803156518">
    <w:abstractNumId w:val="12"/>
  </w:num>
  <w:num w:numId="22" w16cid:durableId="519634982">
    <w:abstractNumId w:val="11"/>
  </w:num>
  <w:num w:numId="23" w16cid:durableId="433600598">
    <w:abstractNumId w:val="13"/>
  </w:num>
  <w:num w:numId="24" w16cid:durableId="911500532">
    <w:abstractNumId w:val="18"/>
  </w:num>
  <w:num w:numId="25" w16cid:durableId="1328048376">
    <w:abstractNumId w:val="15"/>
  </w:num>
  <w:num w:numId="26" w16cid:durableId="1636792044">
    <w:abstractNumId w:val="26"/>
  </w:num>
  <w:num w:numId="27" w16cid:durableId="690299629">
    <w:abstractNumId w:val="19"/>
  </w:num>
  <w:num w:numId="28" w16cid:durableId="184565263">
    <w:abstractNumId w:val="30"/>
  </w:num>
  <w:num w:numId="29" w16cid:durableId="2065713182">
    <w:abstractNumId w:val="36"/>
  </w:num>
  <w:num w:numId="30" w16cid:durableId="1884636723">
    <w:abstractNumId w:val="17"/>
  </w:num>
  <w:num w:numId="31" w16cid:durableId="1628849118">
    <w:abstractNumId w:val="33"/>
  </w:num>
  <w:num w:numId="32" w16cid:durableId="1372532032">
    <w:abstractNumId w:val="23"/>
  </w:num>
  <w:num w:numId="33" w16cid:durableId="1702241777">
    <w:abstractNumId w:val="24"/>
  </w:num>
  <w:num w:numId="34" w16cid:durableId="126120900">
    <w:abstractNumId w:val="29"/>
  </w:num>
  <w:num w:numId="35" w16cid:durableId="788086487">
    <w:abstractNumId w:val="38"/>
  </w:num>
  <w:num w:numId="36" w16cid:durableId="2001032107">
    <w:abstractNumId w:val="20"/>
  </w:num>
  <w:num w:numId="37" w16cid:durableId="217280101">
    <w:abstractNumId w:val="10"/>
  </w:num>
  <w:num w:numId="38" w16cid:durableId="1930036627">
    <w:abstractNumId w:val="21"/>
  </w:num>
  <w:num w:numId="39" w16cid:durableId="253049445">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defaultTableStyle w:val="TableDIA"/>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8B"/>
    <w:rsid w:val="00000A1C"/>
    <w:rsid w:val="00000ACF"/>
    <w:rsid w:val="00002C8A"/>
    <w:rsid w:val="00003360"/>
    <w:rsid w:val="000038AE"/>
    <w:rsid w:val="00005434"/>
    <w:rsid w:val="000066CF"/>
    <w:rsid w:val="000076C7"/>
    <w:rsid w:val="000077FC"/>
    <w:rsid w:val="00010CC9"/>
    <w:rsid w:val="00010EB5"/>
    <w:rsid w:val="0001125A"/>
    <w:rsid w:val="000158C7"/>
    <w:rsid w:val="00017D74"/>
    <w:rsid w:val="00017FA4"/>
    <w:rsid w:val="00020010"/>
    <w:rsid w:val="000226A8"/>
    <w:rsid w:val="00022EB0"/>
    <w:rsid w:val="00023AD9"/>
    <w:rsid w:val="00026EAD"/>
    <w:rsid w:val="00034673"/>
    <w:rsid w:val="0003620A"/>
    <w:rsid w:val="0004032B"/>
    <w:rsid w:val="000410F0"/>
    <w:rsid w:val="00041862"/>
    <w:rsid w:val="00041C96"/>
    <w:rsid w:val="0004380C"/>
    <w:rsid w:val="00044EA1"/>
    <w:rsid w:val="00044F02"/>
    <w:rsid w:val="00046430"/>
    <w:rsid w:val="0005156A"/>
    <w:rsid w:val="00053882"/>
    <w:rsid w:val="00055259"/>
    <w:rsid w:val="00055A01"/>
    <w:rsid w:val="00055CC1"/>
    <w:rsid w:val="00062C4F"/>
    <w:rsid w:val="0006679B"/>
    <w:rsid w:val="0006695B"/>
    <w:rsid w:val="00070056"/>
    <w:rsid w:val="0007148B"/>
    <w:rsid w:val="00074353"/>
    <w:rsid w:val="00077013"/>
    <w:rsid w:val="00081E02"/>
    <w:rsid w:val="000836D4"/>
    <w:rsid w:val="00084689"/>
    <w:rsid w:val="00085075"/>
    <w:rsid w:val="000916C9"/>
    <w:rsid w:val="00094FD0"/>
    <w:rsid w:val="000964C5"/>
    <w:rsid w:val="00097474"/>
    <w:rsid w:val="00097B76"/>
    <w:rsid w:val="000A08A2"/>
    <w:rsid w:val="000A2D5D"/>
    <w:rsid w:val="000A6388"/>
    <w:rsid w:val="000A6C9D"/>
    <w:rsid w:val="000A7A63"/>
    <w:rsid w:val="000A7D19"/>
    <w:rsid w:val="000B357E"/>
    <w:rsid w:val="000B38C5"/>
    <w:rsid w:val="000B4040"/>
    <w:rsid w:val="000C2B74"/>
    <w:rsid w:val="000C2F9A"/>
    <w:rsid w:val="000C4DD5"/>
    <w:rsid w:val="000D155A"/>
    <w:rsid w:val="000D1FD3"/>
    <w:rsid w:val="000D2157"/>
    <w:rsid w:val="000D384A"/>
    <w:rsid w:val="000D43A1"/>
    <w:rsid w:val="000E0224"/>
    <w:rsid w:val="000E05AF"/>
    <w:rsid w:val="000E1B7B"/>
    <w:rsid w:val="000E37D0"/>
    <w:rsid w:val="000E38F0"/>
    <w:rsid w:val="000E4EC7"/>
    <w:rsid w:val="000E656F"/>
    <w:rsid w:val="000E677B"/>
    <w:rsid w:val="000E73DA"/>
    <w:rsid w:val="000F0818"/>
    <w:rsid w:val="000F1C5A"/>
    <w:rsid w:val="000F4181"/>
    <w:rsid w:val="000F5A73"/>
    <w:rsid w:val="000F6067"/>
    <w:rsid w:val="000F61AF"/>
    <w:rsid w:val="000F6EC1"/>
    <w:rsid w:val="000F7EC4"/>
    <w:rsid w:val="0010171C"/>
    <w:rsid w:val="00101A7D"/>
    <w:rsid w:val="00101D65"/>
    <w:rsid w:val="00102A5E"/>
    <w:rsid w:val="00102FAD"/>
    <w:rsid w:val="001037D2"/>
    <w:rsid w:val="00105131"/>
    <w:rsid w:val="001053ED"/>
    <w:rsid w:val="00107710"/>
    <w:rsid w:val="001079BE"/>
    <w:rsid w:val="00110386"/>
    <w:rsid w:val="0011065B"/>
    <w:rsid w:val="00112BF2"/>
    <w:rsid w:val="0011440F"/>
    <w:rsid w:val="001158CF"/>
    <w:rsid w:val="001171B1"/>
    <w:rsid w:val="00117E6D"/>
    <w:rsid w:val="0012177D"/>
    <w:rsid w:val="00122674"/>
    <w:rsid w:val="00124FDA"/>
    <w:rsid w:val="00127AD0"/>
    <w:rsid w:val="00131483"/>
    <w:rsid w:val="00133423"/>
    <w:rsid w:val="00133985"/>
    <w:rsid w:val="00136DD4"/>
    <w:rsid w:val="001411B8"/>
    <w:rsid w:val="00142971"/>
    <w:rsid w:val="00142DF0"/>
    <w:rsid w:val="00144AEE"/>
    <w:rsid w:val="00146242"/>
    <w:rsid w:val="001466C1"/>
    <w:rsid w:val="001508D1"/>
    <w:rsid w:val="00150C1F"/>
    <w:rsid w:val="00152B84"/>
    <w:rsid w:val="00153AA4"/>
    <w:rsid w:val="001554B6"/>
    <w:rsid w:val="00161EF8"/>
    <w:rsid w:val="00161FAC"/>
    <w:rsid w:val="00162D75"/>
    <w:rsid w:val="00164FD8"/>
    <w:rsid w:val="0016707B"/>
    <w:rsid w:val="001670E2"/>
    <w:rsid w:val="0016765E"/>
    <w:rsid w:val="001676E3"/>
    <w:rsid w:val="00167D73"/>
    <w:rsid w:val="00167E8E"/>
    <w:rsid w:val="00172EFE"/>
    <w:rsid w:val="001732A2"/>
    <w:rsid w:val="00173B80"/>
    <w:rsid w:val="00174553"/>
    <w:rsid w:val="00174DB1"/>
    <w:rsid w:val="00174E20"/>
    <w:rsid w:val="00175D8E"/>
    <w:rsid w:val="001768BF"/>
    <w:rsid w:val="00177BBA"/>
    <w:rsid w:val="00181883"/>
    <w:rsid w:val="001822CC"/>
    <w:rsid w:val="0018404D"/>
    <w:rsid w:val="00184050"/>
    <w:rsid w:val="00184D10"/>
    <w:rsid w:val="001852AE"/>
    <w:rsid w:val="00187B59"/>
    <w:rsid w:val="001916F9"/>
    <w:rsid w:val="00191911"/>
    <w:rsid w:val="0019227F"/>
    <w:rsid w:val="00195C34"/>
    <w:rsid w:val="00197609"/>
    <w:rsid w:val="001A30E8"/>
    <w:rsid w:val="001A34FC"/>
    <w:rsid w:val="001B32B9"/>
    <w:rsid w:val="001C0031"/>
    <w:rsid w:val="001C1A32"/>
    <w:rsid w:val="001C24BA"/>
    <w:rsid w:val="001C298B"/>
    <w:rsid w:val="001C4413"/>
    <w:rsid w:val="001C452A"/>
    <w:rsid w:val="001C6620"/>
    <w:rsid w:val="001C729C"/>
    <w:rsid w:val="001C7C8A"/>
    <w:rsid w:val="001D0111"/>
    <w:rsid w:val="001D0E85"/>
    <w:rsid w:val="001D322D"/>
    <w:rsid w:val="001E0ABB"/>
    <w:rsid w:val="001E3457"/>
    <w:rsid w:val="001E3A4F"/>
    <w:rsid w:val="001E4010"/>
    <w:rsid w:val="001E602D"/>
    <w:rsid w:val="001E6ADE"/>
    <w:rsid w:val="001E704A"/>
    <w:rsid w:val="001F01F5"/>
    <w:rsid w:val="001F63D8"/>
    <w:rsid w:val="001F6775"/>
    <w:rsid w:val="00200123"/>
    <w:rsid w:val="00200A03"/>
    <w:rsid w:val="002026C4"/>
    <w:rsid w:val="00203538"/>
    <w:rsid w:val="0020431F"/>
    <w:rsid w:val="00206724"/>
    <w:rsid w:val="00206BA3"/>
    <w:rsid w:val="00210E0B"/>
    <w:rsid w:val="00211DD9"/>
    <w:rsid w:val="00211F91"/>
    <w:rsid w:val="0021254D"/>
    <w:rsid w:val="002133A7"/>
    <w:rsid w:val="00213901"/>
    <w:rsid w:val="002141D1"/>
    <w:rsid w:val="00214D60"/>
    <w:rsid w:val="00215160"/>
    <w:rsid w:val="00215BAE"/>
    <w:rsid w:val="002169EE"/>
    <w:rsid w:val="002170EE"/>
    <w:rsid w:val="0021763B"/>
    <w:rsid w:val="00220B1D"/>
    <w:rsid w:val="0022144A"/>
    <w:rsid w:val="00221BE5"/>
    <w:rsid w:val="002224B4"/>
    <w:rsid w:val="00222782"/>
    <w:rsid w:val="002247A0"/>
    <w:rsid w:val="0022696C"/>
    <w:rsid w:val="00227290"/>
    <w:rsid w:val="00227390"/>
    <w:rsid w:val="00227CF5"/>
    <w:rsid w:val="00230B7B"/>
    <w:rsid w:val="002337AE"/>
    <w:rsid w:val="00235919"/>
    <w:rsid w:val="00235E1F"/>
    <w:rsid w:val="00236BF5"/>
    <w:rsid w:val="00236C13"/>
    <w:rsid w:val="00237A3D"/>
    <w:rsid w:val="002401C2"/>
    <w:rsid w:val="0024045B"/>
    <w:rsid w:val="0024069C"/>
    <w:rsid w:val="0024325C"/>
    <w:rsid w:val="0024409A"/>
    <w:rsid w:val="002440BF"/>
    <w:rsid w:val="00244A1E"/>
    <w:rsid w:val="00244FDC"/>
    <w:rsid w:val="0024627E"/>
    <w:rsid w:val="002468AE"/>
    <w:rsid w:val="00252A5E"/>
    <w:rsid w:val="00253A5D"/>
    <w:rsid w:val="00255451"/>
    <w:rsid w:val="002554F6"/>
    <w:rsid w:val="002567A8"/>
    <w:rsid w:val="00263C3A"/>
    <w:rsid w:val="002653CA"/>
    <w:rsid w:val="002659BD"/>
    <w:rsid w:val="00265E96"/>
    <w:rsid w:val="00266496"/>
    <w:rsid w:val="00266D56"/>
    <w:rsid w:val="00270511"/>
    <w:rsid w:val="00270EEC"/>
    <w:rsid w:val="00274991"/>
    <w:rsid w:val="00275C93"/>
    <w:rsid w:val="002764A4"/>
    <w:rsid w:val="002765D0"/>
    <w:rsid w:val="00280721"/>
    <w:rsid w:val="0028121B"/>
    <w:rsid w:val="00282401"/>
    <w:rsid w:val="00285E50"/>
    <w:rsid w:val="00286DF8"/>
    <w:rsid w:val="00286F0E"/>
    <w:rsid w:val="0029027A"/>
    <w:rsid w:val="0029386B"/>
    <w:rsid w:val="0029521D"/>
    <w:rsid w:val="002A11E3"/>
    <w:rsid w:val="002A1B6F"/>
    <w:rsid w:val="002A2082"/>
    <w:rsid w:val="002A2249"/>
    <w:rsid w:val="002A377A"/>
    <w:rsid w:val="002A4559"/>
    <w:rsid w:val="002A4FE7"/>
    <w:rsid w:val="002B1DF3"/>
    <w:rsid w:val="002B3B1E"/>
    <w:rsid w:val="002B5692"/>
    <w:rsid w:val="002B57D0"/>
    <w:rsid w:val="002B7DAB"/>
    <w:rsid w:val="002C072E"/>
    <w:rsid w:val="002C1B0A"/>
    <w:rsid w:val="002C1C7F"/>
    <w:rsid w:val="002C1D6D"/>
    <w:rsid w:val="002C35F9"/>
    <w:rsid w:val="002C41BB"/>
    <w:rsid w:val="002C460A"/>
    <w:rsid w:val="002C6334"/>
    <w:rsid w:val="002C71A2"/>
    <w:rsid w:val="002D0086"/>
    <w:rsid w:val="002D1156"/>
    <w:rsid w:val="002D3704"/>
    <w:rsid w:val="002D5777"/>
    <w:rsid w:val="002D5E4F"/>
    <w:rsid w:val="002E282F"/>
    <w:rsid w:val="002E3339"/>
    <w:rsid w:val="002E7FDA"/>
    <w:rsid w:val="002F0CC5"/>
    <w:rsid w:val="002F17CD"/>
    <w:rsid w:val="002F1B25"/>
    <w:rsid w:val="002F27BC"/>
    <w:rsid w:val="002F3D4B"/>
    <w:rsid w:val="002F4D83"/>
    <w:rsid w:val="002F548F"/>
    <w:rsid w:val="002F5BE3"/>
    <w:rsid w:val="002F6D42"/>
    <w:rsid w:val="002F7AD9"/>
    <w:rsid w:val="00303B1D"/>
    <w:rsid w:val="00303C2F"/>
    <w:rsid w:val="00303CE1"/>
    <w:rsid w:val="00307A06"/>
    <w:rsid w:val="0031002C"/>
    <w:rsid w:val="003121D7"/>
    <w:rsid w:val="00312F6D"/>
    <w:rsid w:val="0031401F"/>
    <w:rsid w:val="00316A0F"/>
    <w:rsid w:val="00321DAD"/>
    <w:rsid w:val="00324C62"/>
    <w:rsid w:val="0032573B"/>
    <w:rsid w:val="003263C0"/>
    <w:rsid w:val="00326736"/>
    <w:rsid w:val="00326A31"/>
    <w:rsid w:val="00330820"/>
    <w:rsid w:val="0033414D"/>
    <w:rsid w:val="003354F5"/>
    <w:rsid w:val="00336E7A"/>
    <w:rsid w:val="00340AB3"/>
    <w:rsid w:val="00342050"/>
    <w:rsid w:val="003425DC"/>
    <w:rsid w:val="003434E8"/>
    <w:rsid w:val="0034440B"/>
    <w:rsid w:val="003444CD"/>
    <w:rsid w:val="003454AC"/>
    <w:rsid w:val="003456B0"/>
    <w:rsid w:val="00346030"/>
    <w:rsid w:val="00346046"/>
    <w:rsid w:val="00347695"/>
    <w:rsid w:val="00347815"/>
    <w:rsid w:val="00353691"/>
    <w:rsid w:val="00353EA3"/>
    <w:rsid w:val="00354450"/>
    <w:rsid w:val="003603A0"/>
    <w:rsid w:val="003625F2"/>
    <w:rsid w:val="00365B09"/>
    <w:rsid w:val="003676FC"/>
    <w:rsid w:val="00370FC0"/>
    <w:rsid w:val="0037291F"/>
    <w:rsid w:val="00372DE5"/>
    <w:rsid w:val="00373409"/>
    <w:rsid w:val="0037470D"/>
    <w:rsid w:val="003771D3"/>
    <w:rsid w:val="00380A4D"/>
    <w:rsid w:val="00381532"/>
    <w:rsid w:val="00381C3C"/>
    <w:rsid w:val="00382976"/>
    <w:rsid w:val="003832CD"/>
    <w:rsid w:val="0038578E"/>
    <w:rsid w:val="003864DB"/>
    <w:rsid w:val="003865EE"/>
    <w:rsid w:val="00387A1D"/>
    <w:rsid w:val="00387F7D"/>
    <w:rsid w:val="00391037"/>
    <w:rsid w:val="003929C0"/>
    <w:rsid w:val="003A350A"/>
    <w:rsid w:val="003A580F"/>
    <w:rsid w:val="003A6DCC"/>
    <w:rsid w:val="003B043F"/>
    <w:rsid w:val="003B1AFB"/>
    <w:rsid w:val="003B2062"/>
    <w:rsid w:val="003B2D82"/>
    <w:rsid w:val="003B3A23"/>
    <w:rsid w:val="003B6D5F"/>
    <w:rsid w:val="003B7AA1"/>
    <w:rsid w:val="003C0549"/>
    <w:rsid w:val="003C18A9"/>
    <w:rsid w:val="003C32AD"/>
    <w:rsid w:val="003C33A0"/>
    <w:rsid w:val="003C5026"/>
    <w:rsid w:val="003C55E5"/>
    <w:rsid w:val="003C61FF"/>
    <w:rsid w:val="003C7AE8"/>
    <w:rsid w:val="003D1CDA"/>
    <w:rsid w:val="003D3C31"/>
    <w:rsid w:val="003D53B5"/>
    <w:rsid w:val="003D6294"/>
    <w:rsid w:val="003D683A"/>
    <w:rsid w:val="003D7DA8"/>
    <w:rsid w:val="003E0791"/>
    <w:rsid w:val="003E3A8D"/>
    <w:rsid w:val="003E564E"/>
    <w:rsid w:val="003E58E4"/>
    <w:rsid w:val="003E605A"/>
    <w:rsid w:val="003E7512"/>
    <w:rsid w:val="003F0BF8"/>
    <w:rsid w:val="003F1116"/>
    <w:rsid w:val="003F27B3"/>
    <w:rsid w:val="003F4943"/>
    <w:rsid w:val="003F49B7"/>
    <w:rsid w:val="003F5448"/>
    <w:rsid w:val="003F5886"/>
    <w:rsid w:val="003F671F"/>
    <w:rsid w:val="00400535"/>
    <w:rsid w:val="004007F5"/>
    <w:rsid w:val="00400D93"/>
    <w:rsid w:val="00401949"/>
    <w:rsid w:val="00402724"/>
    <w:rsid w:val="00402A47"/>
    <w:rsid w:val="004053D5"/>
    <w:rsid w:val="0040684E"/>
    <w:rsid w:val="0040700B"/>
    <w:rsid w:val="00407278"/>
    <w:rsid w:val="00407293"/>
    <w:rsid w:val="00407F54"/>
    <w:rsid w:val="004106CD"/>
    <w:rsid w:val="004106EE"/>
    <w:rsid w:val="00411122"/>
    <w:rsid w:val="00415267"/>
    <w:rsid w:val="00415CDB"/>
    <w:rsid w:val="004163B9"/>
    <w:rsid w:val="00420394"/>
    <w:rsid w:val="00420B89"/>
    <w:rsid w:val="00420F87"/>
    <w:rsid w:val="00424180"/>
    <w:rsid w:val="0042551E"/>
    <w:rsid w:val="00426DB3"/>
    <w:rsid w:val="004316C8"/>
    <w:rsid w:val="0043323D"/>
    <w:rsid w:val="0043411C"/>
    <w:rsid w:val="00434BE1"/>
    <w:rsid w:val="00446BD1"/>
    <w:rsid w:val="00447877"/>
    <w:rsid w:val="004504CE"/>
    <w:rsid w:val="0045093C"/>
    <w:rsid w:val="004527BC"/>
    <w:rsid w:val="004539ED"/>
    <w:rsid w:val="004552A0"/>
    <w:rsid w:val="00456470"/>
    <w:rsid w:val="004658A3"/>
    <w:rsid w:val="00472B7B"/>
    <w:rsid w:val="00473B33"/>
    <w:rsid w:val="004759CE"/>
    <w:rsid w:val="00475CE6"/>
    <w:rsid w:val="00477619"/>
    <w:rsid w:val="00477687"/>
    <w:rsid w:val="00480554"/>
    <w:rsid w:val="00481513"/>
    <w:rsid w:val="00481D8B"/>
    <w:rsid w:val="004829BC"/>
    <w:rsid w:val="004833E0"/>
    <w:rsid w:val="00483AFC"/>
    <w:rsid w:val="00484A96"/>
    <w:rsid w:val="0048585C"/>
    <w:rsid w:val="00486E6E"/>
    <w:rsid w:val="00490049"/>
    <w:rsid w:val="00490436"/>
    <w:rsid w:val="004920A9"/>
    <w:rsid w:val="00492EC1"/>
    <w:rsid w:val="004940C2"/>
    <w:rsid w:val="004940CE"/>
    <w:rsid w:val="004946F6"/>
    <w:rsid w:val="004950F1"/>
    <w:rsid w:val="004977AB"/>
    <w:rsid w:val="00497DD9"/>
    <w:rsid w:val="004A0D90"/>
    <w:rsid w:val="004A2ABA"/>
    <w:rsid w:val="004A3142"/>
    <w:rsid w:val="004A5657"/>
    <w:rsid w:val="004B16CF"/>
    <w:rsid w:val="004B2034"/>
    <w:rsid w:val="004B274C"/>
    <w:rsid w:val="004B2B02"/>
    <w:rsid w:val="004B2C5E"/>
    <w:rsid w:val="004B2EB6"/>
    <w:rsid w:val="004B2F4E"/>
    <w:rsid w:val="004B35C2"/>
    <w:rsid w:val="004B5F09"/>
    <w:rsid w:val="004B77DD"/>
    <w:rsid w:val="004C03E1"/>
    <w:rsid w:val="004C2334"/>
    <w:rsid w:val="004C2A08"/>
    <w:rsid w:val="004C33EF"/>
    <w:rsid w:val="004C35F7"/>
    <w:rsid w:val="004C4334"/>
    <w:rsid w:val="004C7A53"/>
    <w:rsid w:val="004D01C2"/>
    <w:rsid w:val="004D0F4E"/>
    <w:rsid w:val="004D1706"/>
    <w:rsid w:val="004D35EB"/>
    <w:rsid w:val="004D4236"/>
    <w:rsid w:val="004D6D2A"/>
    <w:rsid w:val="004D7086"/>
    <w:rsid w:val="004D7C13"/>
    <w:rsid w:val="004E1B18"/>
    <w:rsid w:val="004E2CDD"/>
    <w:rsid w:val="004E5603"/>
    <w:rsid w:val="004E5F28"/>
    <w:rsid w:val="004E670E"/>
    <w:rsid w:val="004E752E"/>
    <w:rsid w:val="004E7CB0"/>
    <w:rsid w:val="004F02E0"/>
    <w:rsid w:val="004F204E"/>
    <w:rsid w:val="004F20DA"/>
    <w:rsid w:val="004F2570"/>
    <w:rsid w:val="004F2AEF"/>
    <w:rsid w:val="004F55B7"/>
    <w:rsid w:val="004F6060"/>
    <w:rsid w:val="004F6479"/>
    <w:rsid w:val="00500F1D"/>
    <w:rsid w:val="00501778"/>
    <w:rsid w:val="005055A2"/>
    <w:rsid w:val="0050577E"/>
    <w:rsid w:val="005070B0"/>
    <w:rsid w:val="00510C93"/>
    <w:rsid w:val="00512EF5"/>
    <w:rsid w:val="00513EFF"/>
    <w:rsid w:val="00514580"/>
    <w:rsid w:val="00514C6A"/>
    <w:rsid w:val="005175D3"/>
    <w:rsid w:val="00517B9F"/>
    <w:rsid w:val="00517BD8"/>
    <w:rsid w:val="00520DD3"/>
    <w:rsid w:val="0052216D"/>
    <w:rsid w:val="00525250"/>
    <w:rsid w:val="00526115"/>
    <w:rsid w:val="005269A5"/>
    <w:rsid w:val="00527055"/>
    <w:rsid w:val="00527A1B"/>
    <w:rsid w:val="005319BB"/>
    <w:rsid w:val="00533EB4"/>
    <w:rsid w:val="00534018"/>
    <w:rsid w:val="00535F9A"/>
    <w:rsid w:val="005366B6"/>
    <w:rsid w:val="00540873"/>
    <w:rsid w:val="0054213E"/>
    <w:rsid w:val="0054499D"/>
    <w:rsid w:val="00547045"/>
    <w:rsid w:val="00547DB2"/>
    <w:rsid w:val="00547F78"/>
    <w:rsid w:val="0055188E"/>
    <w:rsid w:val="00552966"/>
    <w:rsid w:val="005529EB"/>
    <w:rsid w:val="00553670"/>
    <w:rsid w:val="0055371C"/>
    <w:rsid w:val="00554FD4"/>
    <w:rsid w:val="005556EE"/>
    <w:rsid w:val="00555A88"/>
    <w:rsid w:val="00557C30"/>
    <w:rsid w:val="0056105C"/>
    <w:rsid w:val="00562180"/>
    <w:rsid w:val="0056299A"/>
    <w:rsid w:val="00564332"/>
    <w:rsid w:val="005648A9"/>
    <w:rsid w:val="00564D2C"/>
    <w:rsid w:val="0056502C"/>
    <w:rsid w:val="00566410"/>
    <w:rsid w:val="0057068A"/>
    <w:rsid w:val="00571FB2"/>
    <w:rsid w:val="005724AC"/>
    <w:rsid w:val="005739E7"/>
    <w:rsid w:val="005776B0"/>
    <w:rsid w:val="005818EE"/>
    <w:rsid w:val="00581BE7"/>
    <w:rsid w:val="0058206B"/>
    <w:rsid w:val="00584147"/>
    <w:rsid w:val="0058628C"/>
    <w:rsid w:val="0058727E"/>
    <w:rsid w:val="00592816"/>
    <w:rsid w:val="00593FE8"/>
    <w:rsid w:val="0059662F"/>
    <w:rsid w:val="005A1163"/>
    <w:rsid w:val="005A21CB"/>
    <w:rsid w:val="005A4574"/>
    <w:rsid w:val="005A5048"/>
    <w:rsid w:val="005A643C"/>
    <w:rsid w:val="005B1D01"/>
    <w:rsid w:val="005B2213"/>
    <w:rsid w:val="005B4CD2"/>
    <w:rsid w:val="005B6300"/>
    <w:rsid w:val="005C234C"/>
    <w:rsid w:val="005C3928"/>
    <w:rsid w:val="005C7027"/>
    <w:rsid w:val="005D1F7E"/>
    <w:rsid w:val="005D3032"/>
    <w:rsid w:val="005D5F8A"/>
    <w:rsid w:val="005D6EBD"/>
    <w:rsid w:val="005E08B8"/>
    <w:rsid w:val="005E1F9E"/>
    <w:rsid w:val="005E28C1"/>
    <w:rsid w:val="005E566F"/>
    <w:rsid w:val="005E62EC"/>
    <w:rsid w:val="005E68A4"/>
    <w:rsid w:val="005F0B96"/>
    <w:rsid w:val="005F1216"/>
    <w:rsid w:val="005F18D4"/>
    <w:rsid w:val="005F49B1"/>
    <w:rsid w:val="005F5AA3"/>
    <w:rsid w:val="005F5C42"/>
    <w:rsid w:val="005F63E4"/>
    <w:rsid w:val="00600CA4"/>
    <w:rsid w:val="00602416"/>
    <w:rsid w:val="00604846"/>
    <w:rsid w:val="00605A70"/>
    <w:rsid w:val="006078DF"/>
    <w:rsid w:val="00611B95"/>
    <w:rsid w:val="00613AFF"/>
    <w:rsid w:val="00614D5D"/>
    <w:rsid w:val="00614D60"/>
    <w:rsid w:val="0061587F"/>
    <w:rsid w:val="00616F95"/>
    <w:rsid w:val="006222CD"/>
    <w:rsid w:val="00624388"/>
    <w:rsid w:val="00625FC1"/>
    <w:rsid w:val="00630FE6"/>
    <w:rsid w:val="00631D16"/>
    <w:rsid w:val="00632432"/>
    <w:rsid w:val="00633798"/>
    <w:rsid w:val="0063380C"/>
    <w:rsid w:val="0063602E"/>
    <w:rsid w:val="00636735"/>
    <w:rsid w:val="00637FE4"/>
    <w:rsid w:val="00645353"/>
    <w:rsid w:val="006476DF"/>
    <w:rsid w:val="006507A3"/>
    <w:rsid w:val="00650EE2"/>
    <w:rsid w:val="00652B11"/>
    <w:rsid w:val="0065315B"/>
    <w:rsid w:val="00656771"/>
    <w:rsid w:val="00660AED"/>
    <w:rsid w:val="00662716"/>
    <w:rsid w:val="00662C1D"/>
    <w:rsid w:val="00663FC6"/>
    <w:rsid w:val="00665726"/>
    <w:rsid w:val="0066573D"/>
    <w:rsid w:val="0066780F"/>
    <w:rsid w:val="006705AC"/>
    <w:rsid w:val="00670AD7"/>
    <w:rsid w:val="00671484"/>
    <w:rsid w:val="006717D3"/>
    <w:rsid w:val="006743A3"/>
    <w:rsid w:val="00674F6B"/>
    <w:rsid w:val="00675502"/>
    <w:rsid w:val="00675629"/>
    <w:rsid w:val="00677211"/>
    <w:rsid w:val="00677AB7"/>
    <w:rsid w:val="00677B13"/>
    <w:rsid w:val="00677F4E"/>
    <w:rsid w:val="006808B5"/>
    <w:rsid w:val="006827F0"/>
    <w:rsid w:val="006831FE"/>
    <w:rsid w:val="00685922"/>
    <w:rsid w:val="00685D75"/>
    <w:rsid w:val="00685ECF"/>
    <w:rsid w:val="00686588"/>
    <w:rsid w:val="00687CEA"/>
    <w:rsid w:val="006923D7"/>
    <w:rsid w:val="006924A0"/>
    <w:rsid w:val="00692E53"/>
    <w:rsid w:val="00694513"/>
    <w:rsid w:val="00694876"/>
    <w:rsid w:val="006954FE"/>
    <w:rsid w:val="00695B75"/>
    <w:rsid w:val="00696EA6"/>
    <w:rsid w:val="006A0A02"/>
    <w:rsid w:val="006A195B"/>
    <w:rsid w:val="006A3480"/>
    <w:rsid w:val="006A42C3"/>
    <w:rsid w:val="006A45CA"/>
    <w:rsid w:val="006A5A6F"/>
    <w:rsid w:val="006A5DF8"/>
    <w:rsid w:val="006A6C5A"/>
    <w:rsid w:val="006B20CA"/>
    <w:rsid w:val="006B22A3"/>
    <w:rsid w:val="006B23A8"/>
    <w:rsid w:val="006B6212"/>
    <w:rsid w:val="006B7178"/>
    <w:rsid w:val="006B7943"/>
    <w:rsid w:val="006C03B3"/>
    <w:rsid w:val="006C257E"/>
    <w:rsid w:val="006C29AF"/>
    <w:rsid w:val="006C3533"/>
    <w:rsid w:val="006C448E"/>
    <w:rsid w:val="006C44AB"/>
    <w:rsid w:val="006C4EBF"/>
    <w:rsid w:val="006C6FA6"/>
    <w:rsid w:val="006D15D1"/>
    <w:rsid w:val="006D4FDE"/>
    <w:rsid w:val="006D79D6"/>
    <w:rsid w:val="006E0D6D"/>
    <w:rsid w:val="006E42F8"/>
    <w:rsid w:val="006E6B98"/>
    <w:rsid w:val="006F4051"/>
    <w:rsid w:val="006F4400"/>
    <w:rsid w:val="006F6ABD"/>
    <w:rsid w:val="00705FB2"/>
    <w:rsid w:val="00705FF8"/>
    <w:rsid w:val="00706416"/>
    <w:rsid w:val="007068C8"/>
    <w:rsid w:val="00706E9D"/>
    <w:rsid w:val="00706FBE"/>
    <w:rsid w:val="00707AE7"/>
    <w:rsid w:val="00707FD7"/>
    <w:rsid w:val="007167B2"/>
    <w:rsid w:val="0071714A"/>
    <w:rsid w:val="00725D60"/>
    <w:rsid w:val="00726433"/>
    <w:rsid w:val="007265AD"/>
    <w:rsid w:val="007272F1"/>
    <w:rsid w:val="00731670"/>
    <w:rsid w:val="00731F97"/>
    <w:rsid w:val="00733735"/>
    <w:rsid w:val="007371E6"/>
    <w:rsid w:val="00741A80"/>
    <w:rsid w:val="007434D6"/>
    <w:rsid w:val="00744F7F"/>
    <w:rsid w:val="00750DEE"/>
    <w:rsid w:val="0075379C"/>
    <w:rsid w:val="0075390B"/>
    <w:rsid w:val="00760C01"/>
    <w:rsid w:val="00762626"/>
    <w:rsid w:val="00762777"/>
    <w:rsid w:val="00766714"/>
    <w:rsid w:val="00767C04"/>
    <w:rsid w:val="0077186D"/>
    <w:rsid w:val="00772513"/>
    <w:rsid w:val="007735DD"/>
    <w:rsid w:val="007762D6"/>
    <w:rsid w:val="007772BC"/>
    <w:rsid w:val="00780E3E"/>
    <w:rsid w:val="00781756"/>
    <w:rsid w:val="00782079"/>
    <w:rsid w:val="007830B5"/>
    <w:rsid w:val="007854B6"/>
    <w:rsid w:val="00786D79"/>
    <w:rsid w:val="007878BE"/>
    <w:rsid w:val="00787F1C"/>
    <w:rsid w:val="00791E26"/>
    <w:rsid w:val="00792BF1"/>
    <w:rsid w:val="00794128"/>
    <w:rsid w:val="00796B62"/>
    <w:rsid w:val="007A0B26"/>
    <w:rsid w:val="007A1920"/>
    <w:rsid w:val="007A30B1"/>
    <w:rsid w:val="007A3804"/>
    <w:rsid w:val="007A42C2"/>
    <w:rsid w:val="007A6226"/>
    <w:rsid w:val="007A742D"/>
    <w:rsid w:val="007B1ABA"/>
    <w:rsid w:val="007B200F"/>
    <w:rsid w:val="007B636D"/>
    <w:rsid w:val="007B64A1"/>
    <w:rsid w:val="007B69ED"/>
    <w:rsid w:val="007B76D2"/>
    <w:rsid w:val="007B7A90"/>
    <w:rsid w:val="007C004A"/>
    <w:rsid w:val="007C0ABC"/>
    <w:rsid w:val="007C3881"/>
    <w:rsid w:val="007C53FE"/>
    <w:rsid w:val="007C76F8"/>
    <w:rsid w:val="007C7E7A"/>
    <w:rsid w:val="007D3D97"/>
    <w:rsid w:val="007D5559"/>
    <w:rsid w:val="007D6447"/>
    <w:rsid w:val="007D7CD2"/>
    <w:rsid w:val="007E00CB"/>
    <w:rsid w:val="007E0638"/>
    <w:rsid w:val="007E1A37"/>
    <w:rsid w:val="007E2BEA"/>
    <w:rsid w:val="007E4843"/>
    <w:rsid w:val="007E518C"/>
    <w:rsid w:val="007F32FD"/>
    <w:rsid w:val="007F3C7A"/>
    <w:rsid w:val="007F3FFD"/>
    <w:rsid w:val="007F409E"/>
    <w:rsid w:val="007F4181"/>
    <w:rsid w:val="007F63EB"/>
    <w:rsid w:val="007F7409"/>
    <w:rsid w:val="00804DA2"/>
    <w:rsid w:val="0080790C"/>
    <w:rsid w:val="008103BA"/>
    <w:rsid w:val="00812821"/>
    <w:rsid w:val="008138F4"/>
    <w:rsid w:val="00813983"/>
    <w:rsid w:val="00813C2A"/>
    <w:rsid w:val="00813E04"/>
    <w:rsid w:val="0081626F"/>
    <w:rsid w:val="00817293"/>
    <w:rsid w:val="00817532"/>
    <w:rsid w:val="00817AF3"/>
    <w:rsid w:val="00817D5E"/>
    <w:rsid w:val="00821E41"/>
    <w:rsid w:val="00822F60"/>
    <w:rsid w:val="00825C9E"/>
    <w:rsid w:val="00830F32"/>
    <w:rsid w:val="008335D2"/>
    <w:rsid w:val="00834D86"/>
    <w:rsid w:val="008375D0"/>
    <w:rsid w:val="00837AEF"/>
    <w:rsid w:val="00840FE5"/>
    <w:rsid w:val="008431F7"/>
    <w:rsid w:val="00843D71"/>
    <w:rsid w:val="008441C2"/>
    <w:rsid w:val="0084592D"/>
    <w:rsid w:val="00845B23"/>
    <w:rsid w:val="00845DB7"/>
    <w:rsid w:val="008462E3"/>
    <w:rsid w:val="00846E2D"/>
    <w:rsid w:val="00850A88"/>
    <w:rsid w:val="00851478"/>
    <w:rsid w:val="00851AD0"/>
    <w:rsid w:val="00854124"/>
    <w:rsid w:val="0085443B"/>
    <w:rsid w:val="00862C3A"/>
    <w:rsid w:val="00862F1F"/>
    <w:rsid w:val="00863219"/>
    <w:rsid w:val="0086491B"/>
    <w:rsid w:val="0086565D"/>
    <w:rsid w:val="00870045"/>
    <w:rsid w:val="00870F23"/>
    <w:rsid w:val="008710A5"/>
    <w:rsid w:val="00871F65"/>
    <w:rsid w:val="00874805"/>
    <w:rsid w:val="008764A6"/>
    <w:rsid w:val="008805DE"/>
    <w:rsid w:val="00880B00"/>
    <w:rsid w:val="00880C38"/>
    <w:rsid w:val="00880E56"/>
    <w:rsid w:val="008815A6"/>
    <w:rsid w:val="00883B10"/>
    <w:rsid w:val="00884A38"/>
    <w:rsid w:val="008854F8"/>
    <w:rsid w:val="0089190A"/>
    <w:rsid w:val="008948E6"/>
    <w:rsid w:val="00895071"/>
    <w:rsid w:val="008A15B7"/>
    <w:rsid w:val="008A4BF5"/>
    <w:rsid w:val="008A5CE2"/>
    <w:rsid w:val="008A7B94"/>
    <w:rsid w:val="008B0E98"/>
    <w:rsid w:val="008B1780"/>
    <w:rsid w:val="008B5344"/>
    <w:rsid w:val="008B6194"/>
    <w:rsid w:val="008B6C98"/>
    <w:rsid w:val="008C1EDA"/>
    <w:rsid w:val="008C3187"/>
    <w:rsid w:val="008C3E03"/>
    <w:rsid w:val="008C43D4"/>
    <w:rsid w:val="008C6FBA"/>
    <w:rsid w:val="008D1EB2"/>
    <w:rsid w:val="008D444F"/>
    <w:rsid w:val="008D5550"/>
    <w:rsid w:val="008D63B7"/>
    <w:rsid w:val="008D63ED"/>
    <w:rsid w:val="008D6475"/>
    <w:rsid w:val="008D6D28"/>
    <w:rsid w:val="008E0751"/>
    <w:rsid w:val="008E5DF6"/>
    <w:rsid w:val="008E6533"/>
    <w:rsid w:val="008E7FEE"/>
    <w:rsid w:val="008F0759"/>
    <w:rsid w:val="008F0DE3"/>
    <w:rsid w:val="008F4253"/>
    <w:rsid w:val="008F4E69"/>
    <w:rsid w:val="008F5752"/>
    <w:rsid w:val="008F6BCE"/>
    <w:rsid w:val="008F7E3A"/>
    <w:rsid w:val="008F7EF9"/>
    <w:rsid w:val="00900E79"/>
    <w:rsid w:val="00900E8F"/>
    <w:rsid w:val="009021EF"/>
    <w:rsid w:val="00902631"/>
    <w:rsid w:val="00903963"/>
    <w:rsid w:val="00903E27"/>
    <w:rsid w:val="009059CE"/>
    <w:rsid w:val="00905B1C"/>
    <w:rsid w:val="00905BBB"/>
    <w:rsid w:val="00906B84"/>
    <w:rsid w:val="0090700B"/>
    <w:rsid w:val="00907094"/>
    <w:rsid w:val="009120AE"/>
    <w:rsid w:val="00913DAE"/>
    <w:rsid w:val="00913FC4"/>
    <w:rsid w:val="009148EF"/>
    <w:rsid w:val="0091695A"/>
    <w:rsid w:val="00917F50"/>
    <w:rsid w:val="009200A8"/>
    <w:rsid w:val="00922C7B"/>
    <w:rsid w:val="00924064"/>
    <w:rsid w:val="0092429A"/>
    <w:rsid w:val="009256E3"/>
    <w:rsid w:val="0092595E"/>
    <w:rsid w:val="0092682F"/>
    <w:rsid w:val="009268F9"/>
    <w:rsid w:val="00926D89"/>
    <w:rsid w:val="00926FA5"/>
    <w:rsid w:val="00927482"/>
    <w:rsid w:val="00927B34"/>
    <w:rsid w:val="009302D1"/>
    <w:rsid w:val="009354C6"/>
    <w:rsid w:val="009366CB"/>
    <w:rsid w:val="00941827"/>
    <w:rsid w:val="00945591"/>
    <w:rsid w:val="00945E09"/>
    <w:rsid w:val="00946E4E"/>
    <w:rsid w:val="00947561"/>
    <w:rsid w:val="0095112B"/>
    <w:rsid w:val="00952414"/>
    <w:rsid w:val="0095420B"/>
    <w:rsid w:val="00955F5E"/>
    <w:rsid w:val="00956190"/>
    <w:rsid w:val="00957593"/>
    <w:rsid w:val="00957C3B"/>
    <w:rsid w:val="0096006F"/>
    <w:rsid w:val="0096454D"/>
    <w:rsid w:val="0096713D"/>
    <w:rsid w:val="00967CE9"/>
    <w:rsid w:val="00967E41"/>
    <w:rsid w:val="00970877"/>
    <w:rsid w:val="00972184"/>
    <w:rsid w:val="0097229B"/>
    <w:rsid w:val="00972D86"/>
    <w:rsid w:val="009738A4"/>
    <w:rsid w:val="00973CE6"/>
    <w:rsid w:val="009744B3"/>
    <w:rsid w:val="0097469B"/>
    <w:rsid w:val="00976C30"/>
    <w:rsid w:val="0097748F"/>
    <w:rsid w:val="009874A0"/>
    <w:rsid w:val="0099029B"/>
    <w:rsid w:val="009908A1"/>
    <w:rsid w:val="00990A9E"/>
    <w:rsid w:val="0099104A"/>
    <w:rsid w:val="009916C5"/>
    <w:rsid w:val="009935CA"/>
    <w:rsid w:val="00993C8F"/>
    <w:rsid w:val="0099563A"/>
    <w:rsid w:val="009961E0"/>
    <w:rsid w:val="009968B0"/>
    <w:rsid w:val="009A009B"/>
    <w:rsid w:val="009A0279"/>
    <w:rsid w:val="009A0C6C"/>
    <w:rsid w:val="009A1179"/>
    <w:rsid w:val="009A297C"/>
    <w:rsid w:val="009A3744"/>
    <w:rsid w:val="009A58A7"/>
    <w:rsid w:val="009A700B"/>
    <w:rsid w:val="009A7B51"/>
    <w:rsid w:val="009A7E72"/>
    <w:rsid w:val="009B20CB"/>
    <w:rsid w:val="009B3740"/>
    <w:rsid w:val="009B77EC"/>
    <w:rsid w:val="009C2276"/>
    <w:rsid w:val="009C2827"/>
    <w:rsid w:val="009C39CB"/>
    <w:rsid w:val="009C6BEF"/>
    <w:rsid w:val="009C7226"/>
    <w:rsid w:val="009D029D"/>
    <w:rsid w:val="009D030C"/>
    <w:rsid w:val="009D13B6"/>
    <w:rsid w:val="009D29AE"/>
    <w:rsid w:val="009D3E62"/>
    <w:rsid w:val="009D48FD"/>
    <w:rsid w:val="009D5581"/>
    <w:rsid w:val="009D57FD"/>
    <w:rsid w:val="009D5A29"/>
    <w:rsid w:val="009D5F31"/>
    <w:rsid w:val="009D613A"/>
    <w:rsid w:val="009D7C65"/>
    <w:rsid w:val="009E23DA"/>
    <w:rsid w:val="009E2A3A"/>
    <w:rsid w:val="009E3989"/>
    <w:rsid w:val="009E6ABA"/>
    <w:rsid w:val="009E6F5C"/>
    <w:rsid w:val="009F0064"/>
    <w:rsid w:val="009F20D6"/>
    <w:rsid w:val="009F2F6E"/>
    <w:rsid w:val="009F5AB8"/>
    <w:rsid w:val="009F6635"/>
    <w:rsid w:val="00A00C29"/>
    <w:rsid w:val="00A01FBF"/>
    <w:rsid w:val="00A02AFA"/>
    <w:rsid w:val="00A03C6A"/>
    <w:rsid w:val="00A04392"/>
    <w:rsid w:val="00A06693"/>
    <w:rsid w:val="00A06DD0"/>
    <w:rsid w:val="00A07184"/>
    <w:rsid w:val="00A1382E"/>
    <w:rsid w:val="00A13E97"/>
    <w:rsid w:val="00A140B8"/>
    <w:rsid w:val="00A16003"/>
    <w:rsid w:val="00A16318"/>
    <w:rsid w:val="00A1764E"/>
    <w:rsid w:val="00A179D5"/>
    <w:rsid w:val="00A21D3D"/>
    <w:rsid w:val="00A24FBB"/>
    <w:rsid w:val="00A26E66"/>
    <w:rsid w:val="00A31E9C"/>
    <w:rsid w:val="00A32EC1"/>
    <w:rsid w:val="00A338FF"/>
    <w:rsid w:val="00A340B8"/>
    <w:rsid w:val="00A35773"/>
    <w:rsid w:val="00A36A75"/>
    <w:rsid w:val="00A37E51"/>
    <w:rsid w:val="00A42ED2"/>
    <w:rsid w:val="00A43680"/>
    <w:rsid w:val="00A45965"/>
    <w:rsid w:val="00A4659E"/>
    <w:rsid w:val="00A47E9F"/>
    <w:rsid w:val="00A50466"/>
    <w:rsid w:val="00A50E00"/>
    <w:rsid w:val="00A53C99"/>
    <w:rsid w:val="00A54BB3"/>
    <w:rsid w:val="00A56620"/>
    <w:rsid w:val="00A60351"/>
    <w:rsid w:val="00A64D72"/>
    <w:rsid w:val="00A664C5"/>
    <w:rsid w:val="00A66578"/>
    <w:rsid w:val="00A67CC9"/>
    <w:rsid w:val="00A73FFD"/>
    <w:rsid w:val="00A74094"/>
    <w:rsid w:val="00A75157"/>
    <w:rsid w:val="00A77E76"/>
    <w:rsid w:val="00A8033E"/>
    <w:rsid w:val="00A83449"/>
    <w:rsid w:val="00A83D83"/>
    <w:rsid w:val="00A84B72"/>
    <w:rsid w:val="00A857A0"/>
    <w:rsid w:val="00A85C22"/>
    <w:rsid w:val="00A8611D"/>
    <w:rsid w:val="00A86F09"/>
    <w:rsid w:val="00A9044B"/>
    <w:rsid w:val="00A9185D"/>
    <w:rsid w:val="00A938F2"/>
    <w:rsid w:val="00A9580D"/>
    <w:rsid w:val="00A96E5D"/>
    <w:rsid w:val="00AA3754"/>
    <w:rsid w:val="00AA46FC"/>
    <w:rsid w:val="00AA4DAD"/>
    <w:rsid w:val="00AA60BB"/>
    <w:rsid w:val="00AA7C4D"/>
    <w:rsid w:val="00AB478B"/>
    <w:rsid w:val="00AB4AD9"/>
    <w:rsid w:val="00AC084A"/>
    <w:rsid w:val="00AC1E80"/>
    <w:rsid w:val="00AC26BD"/>
    <w:rsid w:val="00AC3F77"/>
    <w:rsid w:val="00AC62D6"/>
    <w:rsid w:val="00AC68C5"/>
    <w:rsid w:val="00AC7E22"/>
    <w:rsid w:val="00AD03B0"/>
    <w:rsid w:val="00AD5022"/>
    <w:rsid w:val="00AD6E77"/>
    <w:rsid w:val="00AD7EFF"/>
    <w:rsid w:val="00AE376A"/>
    <w:rsid w:val="00AE417A"/>
    <w:rsid w:val="00AE7BA5"/>
    <w:rsid w:val="00AF1D4F"/>
    <w:rsid w:val="00AF4537"/>
    <w:rsid w:val="00AF5218"/>
    <w:rsid w:val="00AF670C"/>
    <w:rsid w:val="00AF720E"/>
    <w:rsid w:val="00AF7853"/>
    <w:rsid w:val="00B00633"/>
    <w:rsid w:val="00B014E9"/>
    <w:rsid w:val="00B02493"/>
    <w:rsid w:val="00B02C3E"/>
    <w:rsid w:val="00B03A3D"/>
    <w:rsid w:val="00B04EF4"/>
    <w:rsid w:val="00B06956"/>
    <w:rsid w:val="00B1047C"/>
    <w:rsid w:val="00B12217"/>
    <w:rsid w:val="00B14672"/>
    <w:rsid w:val="00B14FFD"/>
    <w:rsid w:val="00B17BB5"/>
    <w:rsid w:val="00B21070"/>
    <w:rsid w:val="00B217E1"/>
    <w:rsid w:val="00B21AA7"/>
    <w:rsid w:val="00B21BCD"/>
    <w:rsid w:val="00B23E74"/>
    <w:rsid w:val="00B24180"/>
    <w:rsid w:val="00B25CB1"/>
    <w:rsid w:val="00B26112"/>
    <w:rsid w:val="00B263AE"/>
    <w:rsid w:val="00B2712C"/>
    <w:rsid w:val="00B27F88"/>
    <w:rsid w:val="00B30065"/>
    <w:rsid w:val="00B3252E"/>
    <w:rsid w:val="00B33144"/>
    <w:rsid w:val="00B33633"/>
    <w:rsid w:val="00B350BC"/>
    <w:rsid w:val="00B35297"/>
    <w:rsid w:val="00B3602B"/>
    <w:rsid w:val="00B3624C"/>
    <w:rsid w:val="00B371AA"/>
    <w:rsid w:val="00B4111A"/>
    <w:rsid w:val="00B43653"/>
    <w:rsid w:val="00B4512E"/>
    <w:rsid w:val="00B452D1"/>
    <w:rsid w:val="00B45BB9"/>
    <w:rsid w:val="00B46510"/>
    <w:rsid w:val="00B47091"/>
    <w:rsid w:val="00B5025D"/>
    <w:rsid w:val="00B50C99"/>
    <w:rsid w:val="00B5190A"/>
    <w:rsid w:val="00B51EC2"/>
    <w:rsid w:val="00B51FE6"/>
    <w:rsid w:val="00B55CFE"/>
    <w:rsid w:val="00B565A6"/>
    <w:rsid w:val="00B568C0"/>
    <w:rsid w:val="00B569D7"/>
    <w:rsid w:val="00B604FB"/>
    <w:rsid w:val="00B60923"/>
    <w:rsid w:val="00B60E98"/>
    <w:rsid w:val="00B61B0D"/>
    <w:rsid w:val="00B62605"/>
    <w:rsid w:val="00B65857"/>
    <w:rsid w:val="00B66698"/>
    <w:rsid w:val="00B71668"/>
    <w:rsid w:val="00B749FC"/>
    <w:rsid w:val="00B74B60"/>
    <w:rsid w:val="00B7702A"/>
    <w:rsid w:val="00B774E0"/>
    <w:rsid w:val="00B77F98"/>
    <w:rsid w:val="00B834EC"/>
    <w:rsid w:val="00B84350"/>
    <w:rsid w:val="00B855A6"/>
    <w:rsid w:val="00B90648"/>
    <w:rsid w:val="00B91098"/>
    <w:rsid w:val="00B92735"/>
    <w:rsid w:val="00B9290D"/>
    <w:rsid w:val="00B94488"/>
    <w:rsid w:val="00B94EBC"/>
    <w:rsid w:val="00B96276"/>
    <w:rsid w:val="00B978B8"/>
    <w:rsid w:val="00BA1A92"/>
    <w:rsid w:val="00BA5112"/>
    <w:rsid w:val="00BA52D1"/>
    <w:rsid w:val="00BA5515"/>
    <w:rsid w:val="00BA5D78"/>
    <w:rsid w:val="00BA7DD1"/>
    <w:rsid w:val="00BB0C48"/>
    <w:rsid w:val="00BB52C0"/>
    <w:rsid w:val="00BB60C6"/>
    <w:rsid w:val="00BB6DFC"/>
    <w:rsid w:val="00BC200D"/>
    <w:rsid w:val="00BC4147"/>
    <w:rsid w:val="00BC46A4"/>
    <w:rsid w:val="00BC64DB"/>
    <w:rsid w:val="00BD137C"/>
    <w:rsid w:val="00BD1C6F"/>
    <w:rsid w:val="00BD2D74"/>
    <w:rsid w:val="00BD343C"/>
    <w:rsid w:val="00BD34E5"/>
    <w:rsid w:val="00BD42D5"/>
    <w:rsid w:val="00BD54C5"/>
    <w:rsid w:val="00BD6A00"/>
    <w:rsid w:val="00BD7F8A"/>
    <w:rsid w:val="00BE291E"/>
    <w:rsid w:val="00BE429B"/>
    <w:rsid w:val="00BE47FA"/>
    <w:rsid w:val="00BE4BA5"/>
    <w:rsid w:val="00BE5E1C"/>
    <w:rsid w:val="00BE6BE1"/>
    <w:rsid w:val="00BE6E95"/>
    <w:rsid w:val="00BF0AA6"/>
    <w:rsid w:val="00BF220E"/>
    <w:rsid w:val="00BF405E"/>
    <w:rsid w:val="00BF4EAF"/>
    <w:rsid w:val="00BF5B73"/>
    <w:rsid w:val="00BF6915"/>
    <w:rsid w:val="00BF7A2E"/>
    <w:rsid w:val="00BF7D05"/>
    <w:rsid w:val="00C0131C"/>
    <w:rsid w:val="00C0138F"/>
    <w:rsid w:val="00C01CCA"/>
    <w:rsid w:val="00C03596"/>
    <w:rsid w:val="00C03741"/>
    <w:rsid w:val="00C043EB"/>
    <w:rsid w:val="00C05EB9"/>
    <w:rsid w:val="00C11E61"/>
    <w:rsid w:val="00C1527A"/>
    <w:rsid w:val="00C15CDF"/>
    <w:rsid w:val="00C16F7D"/>
    <w:rsid w:val="00C1735D"/>
    <w:rsid w:val="00C175C7"/>
    <w:rsid w:val="00C209B8"/>
    <w:rsid w:val="00C21DD0"/>
    <w:rsid w:val="00C238D9"/>
    <w:rsid w:val="00C24A9D"/>
    <w:rsid w:val="00C25732"/>
    <w:rsid w:val="00C257DC"/>
    <w:rsid w:val="00C30832"/>
    <w:rsid w:val="00C3657F"/>
    <w:rsid w:val="00C4097B"/>
    <w:rsid w:val="00C40E80"/>
    <w:rsid w:val="00C42AC9"/>
    <w:rsid w:val="00C45292"/>
    <w:rsid w:val="00C45A7C"/>
    <w:rsid w:val="00C4757F"/>
    <w:rsid w:val="00C475C8"/>
    <w:rsid w:val="00C478A0"/>
    <w:rsid w:val="00C47F00"/>
    <w:rsid w:val="00C52F00"/>
    <w:rsid w:val="00C535B9"/>
    <w:rsid w:val="00C5591D"/>
    <w:rsid w:val="00C56B53"/>
    <w:rsid w:val="00C5746C"/>
    <w:rsid w:val="00C62104"/>
    <w:rsid w:val="00C65362"/>
    <w:rsid w:val="00C65F4C"/>
    <w:rsid w:val="00C66696"/>
    <w:rsid w:val="00C703B7"/>
    <w:rsid w:val="00C71CE4"/>
    <w:rsid w:val="00C731D8"/>
    <w:rsid w:val="00C739D7"/>
    <w:rsid w:val="00C74A2F"/>
    <w:rsid w:val="00C750FF"/>
    <w:rsid w:val="00C76B5F"/>
    <w:rsid w:val="00C77532"/>
    <w:rsid w:val="00C80707"/>
    <w:rsid w:val="00C80BBA"/>
    <w:rsid w:val="00C80D62"/>
    <w:rsid w:val="00C8190D"/>
    <w:rsid w:val="00C8377F"/>
    <w:rsid w:val="00C8389D"/>
    <w:rsid w:val="00C84CF7"/>
    <w:rsid w:val="00C84D44"/>
    <w:rsid w:val="00C85780"/>
    <w:rsid w:val="00C862A3"/>
    <w:rsid w:val="00C9091E"/>
    <w:rsid w:val="00C90A17"/>
    <w:rsid w:val="00C91000"/>
    <w:rsid w:val="00C927D7"/>
    <w:rsid w:val="00C92B8D"/>
    <w:rsid w:val="00C93CC7"/>
    <w:rsid w:val="00C94365"/>
    <w:rsid w:val="00C95109"/>
    <w:rsid w:val="00C95E41"/>
    <w:rsid w:val="00C96BFD"/>
    <w:rsid w:val="00C97B4C"/>
    <w:rsid w:val="00CA13EA"/>
    <w:rsid w:val="00CA203A"/>
    <w:rsid w:val="00CA21D0"/>
    <w:rsid w:val="00CA24FF"/>
    <w:rsid w:val="00CA3A4C"/>
    <w:rsid w:val="00CA3F08"/>
    <w:rsid w:val="00CB51F7"/>
    <w:rsid w:val="00CC1FAF"/>
    <w:rsid w:val="00CC2942"/>
    <w:rsid w:val="00CC36D2"/>
    <w:rsid w:val="00CD420D"/>
    <w:rsid w:val="00CD5F34"/>
    <w:rsid w:val="00CD69D6"/>
    <w:rsid w:val="00CD7A0F"/>
    <w:rsid w:val="00CE2CAA"/>
    <w:rsid w:val="00CE311B"/>
    <w:rsid w:val="00CE3FB8"/>
    <w:rsid w:val="00CE4CF7"/>
    <w:rsid w:val="00CE58FB"/>
    <w:rsid w:val="00CE5BE1"/>
    <w:rsid w:val="00CE60A4"/>
    <w:rsid w:val="00CE62F0"/>
    <w:rsid w:val="00CE66FA"/>
    <w:rsid w:val="00CF00BF"/>
    <w:rsid w:val="00CF028D"/>
    <w:rsid w:val="00CF0D7B"/>
    <w:rsid w:val="00CF191B"/>
    <w:rsid w:val="00CF6FEC"/>
    <w:rsid w:val="00D005C9"/>
    <w:rsid w:val="00D010C2"/>
    <w:rsid w:val="00D050E8"/>
    <w:rsid w:val="00D07AF8"/>
    <w:rsid w:val="00D10D9C"/>
    <w:rsid w:val="00D15393"/>
    <w:rsid w:val="00D258CF"/>
    <w:rsid w:val="00D30E1F"/>
    <w:rsid w:val="00D31A52"/>
    <w:rsid w:val="00D330E0"/>
    <w:rsid w:val="00D341C3"/>
    <w:rsid w:val="00D36388"/>
    <w:rsid w:val="00D3663B"/>
    <w:rsid w:val="00D370E4"/>
    <w:rsid w:val="00D40FA4"/>
    <w:rsid w:val="00D42946"/>
    <w:rsid w:val="00D43EBA"/>
    <w:rsid w:val="00D504D6"/>
    <w:rsid w:val="00D51333"/>
    <w:rsid w:val="00D5373C"/>
    <w:rsid w:val="00D5770F"/>
    <w:rsid w:val="00D604F2"/>
    <w:rsid w:val="00D609A5"/>
    <w:rsid w:val="00D61E46"/>
    <w:rsid w:val="00D63F58"/>
    <w:rsid w:val="00D65145"/>
    <w:rsid w:val="00D651AC"/>
    <w:rsid w:val="00D65568"/>
    <w:rsid w:val="00D65692"/>
    <w:rsid w:val="00D6584F"/>
    <w:rsid w:val="00D66522"/>
    <w:rsid w:val="00D70569"/>
    <w:rsid w:val="00D7089D"/>
    <w:rsid w:val="00D70C48"/>
    <w:rsid w:val="00D7422F"/>
    <w:rsid w:val="00D74314"/>
    <w:rsid w:val="00D748D4"/>
    <w:rsid w:val="00D763B2"/>
    <w:rsid w:val="00D76475"/>
    <w:rsid w:val="00D76E24"/>
    <w:rsid w:val="00D76EBB"/>
    <w:rsid w:val="00D772AA"/>
    <w:rsid w:val="00D77E4A"/>
    <w:rsid w:val="00D84EA9"/>
    <w:rsid w:val="00D86D2E"/>
    <w:rsid w:val="00D90765"/>
    <w:rsid w:val="00D92B06"/>
    <w:rsid w:val="00D943E9"/>
    <w:rsid w:val="00D96436"/>
    <w:rsid w:val="00D96799"/>
    <w:rsid w:val="00D974B5"/>
    <w:rsid w:val="00DA0027"/>
    <w:rsid w:val="00DA0E8B"/>
    <w:rsid w:val="00DA19C7"/>
    <w:rsid w:val="00DA23E2"/>
    <w:rsid w:val="00DA5101"/>
    <w:rsid w:val="00DA79EF"/>
    <w:rsid w:val="00DB08B5"/>
    <w:rsid w:val="00DB0C0B"/>
    <w:rsid w:val="00DB2756"/>
    <w:rsid w:val="00DB37D3"/>
    <w:rsid w:val="00DB3B74"/>
    <w:rsid w:val="00DB4011"/>
    <w:rsid w:val="00DB5BCC"/>
    <w:rsid w:val="00DB5E42"/>
    <w:rsid w:val="00DB6581"/>
    <w:rsid w:val="00DB67F7"/>
    <w:rsid w:val="00DC1E6C"/>
    <w:rsid w:val="00DD0901"/>
    <w:rsid w:val="00DD24C3"/>
    <w:rsid w:val="00DD56E7"/>
    <w:rsid w:val="00DD6B29"/>
    <w:rsid w:val="00DD752A"/>
    <w:rsid w:val="00DE003B"/>
    <w:rsid w:val="00DE15FB"/>
    <w:rsid w:val="00DE2BB9"/>
    <w:rsid w:val="00DE3385"/>
    <w:rsid w:val="00DE36CA"/>
    <w:rsid w:val="00DE41BA"/>
    <w:rsid w:val="00DE5F25"/>
    <w:rsid w:val="00DE5FBF"/>
    <w:rsid w:val="00DE60CE"/>
    <w:rsid w:val="00DE7DF4"/>
    <w:rsid w:val="00DF07DD"/>
    <w:rsid w:val="00DF10B5"/>
    <w:rsid w:val="00DF2D9A"/>
    <w:rsid w:val="00DF523B"/>
    <w:rsid w:val="00DF58A2"/>
    <w:rsid w:val="00DF69C0"/>
    <w:rsid w:val="00DF70FA"/>
    <w:rsid w:val="00E03047"/>
    <w:rsid w:val="00E035AF"/>
    <w:rsid w:val="00E03D42"/>
    <w:rsid w:val="00E04431"/>
    <w:rsid w:val="00E066B9"/>
    <w:rsid w:val="00E06EBD"/>
    <w:rsid w:val="00E07385"/>
    <w:rsid w:val="00E07809"/>
    <w:rsid w:val="00E1025B"/>
    <w:rsid w:val="00E110A7"/>
    <w:rsid w:val="00E113FD"/>
    <w:rsid w:val="00E1141C"/>
    <w:rsid w:val="00E1174F"/>
    <w:rsid w:val="00E13DA5"/>
    <w:rsid w:val="00E174EA"/>
    <w:rsid w:val="00E21C18"/>
    <w:rsid w:val="00E24CB1"/>
    <w:rsid w:val="00E27DE2"/>
    <w:rsid w:val="00E30011"/>
    <w:rsid w:val="00E30805"/>
    <w:rsid w:val="00E309C1"/>
    <w:rsid w:val="00E324A6"/>
    <w:rsid w:val="00E345E5"/>
    <w:rsid w:val="00E35102"/>
    <w:rsid w:val="00E37249"/>
    <w:rsid w:val="00E37E71"/>
    <w:rsid w:val="00E42847"/>
    <w:rsid w:val="00E42FAD"/>
    <w:rsid w:val="00E43501"/>
    <w:rsid w:val="00E44E50"/>
    <w:rsid w:val="00E451D2"/>
    <w:rsid w:val="00E46F77"/>
    <w:rsid w:val="00E47551"/>
    <w:rsid w:val="00E47A2B"/>
    <w:rsid w:val="00E50F08"/>
    <w:rsid w:val="00E51C7C"/>
    <w:rsid w:val="00E54300"/>
    <w:rsid w:val="00E555CA"/>
    <w:rsid w:val="00E57461"/>
    <w:rsid w:val="00E57485"/>
    <w:rsid w:val="00E5771C"/>
    <w:rsid w:val="00E57A89"/>
    <w:rsid w:val="00E616FF"/>
    <w:rsid w:val="00E64068"/>
    <w:rsid w:val="00E6442F"/>
    <w:rsid w:val="00E66AE4"/>
    <w:rsid w:val="00E72F57"/>
    <w:rsid w:val="00E7366D"/>
    <w:rsid w:val="00E73AA8"/>
    <w:rsid w:val="00E74E07"/>
    <w:rsid w:val="00E765FA"/>
    <w:rsid w:val="00E76BAC"/>
    <w:rsid w:val="00E76D50"/>
    <w:rsid w:val="00E77333"/>
    <w:rsid w:val="00E80228"/>
    <w:rsid w:val="00E8400C"/>
    <w:rsid w:val="00E84B3E"/>
    <w:rsid w:val="00E84C46"/>
    <w:rsid w:val="00E8564F"/>
    <w:rsid w:val="00E85EB2"/>
    <w:rsid w:val="00E86882"/>
    <w:rsid w:val="00E90E51"/>
    <w:rsid w:val="00E90FB6"/>
    <w:rsid w:val="00E97140"/>
    <w:rsid w:val="00E9765B"/>
    <w:rsid w:val="00E9789B"/>
    <w:rsid w:val="00EA0B73"/>
    <w:rsid w:val="00EA1590"/>
    <w:rsid w:val="00EA2ED4"/>
    <w:rsid w:val="00EA3F9C"/>
    <w:rsid w:val="00EA473A"/>
    <w:rsid w:val="00EA491A"/>
    <w:rsid w:val="00EA5BD5"/>
    <w:rsid w:val="00EA5C8D"/>
    <w:rsid w:val="00EA64EF"/>
    <w:rsid w:val="00EA7F6A"/>
    <w:rsid w:val="00EB02F2"/>
    <w:rsid w:val="00EB1682"/>
    <w:rsid w:val="00EB2DCC"/>
    <w:rsid w:val="00EB42A1"/>
    <w:rsid w:val="00EB4B7C"/>
    <w:rsid w:val="00EB7610"/>
    <w:rsid w:val="00EC0DE1"/>
    <w:rsid w:val="00EC19ED"/>
    <w:rsid w:val="00EC417D"/>
    <w:rsid w:val="00EC5A4A"/>
    <w:rsid w:val="00EC62D0"/>
    <w:rsid w:val="00EC6C88"/>
    <w:rsid w:val="00ED0B96"/>
    <w:rsid w:val="00ED1010"/>
    <w:rsid w:val="00ED1B47"/>
    <w:rsid w:val="00ED2285"/>
    <w:rsid w:val="00ED47CF"/>
    <w:rsid w:val="00ED4B44"/>
    <w:rsid w:val="00ED5935"/>
    <w:rsid w:val="00ED6962"/>
    <w:rsid w:val="00EE6128"/>
    <w:rsid w:val="00EE72EB"/>
    <w:rsid w:val="00EE7A33"/>
    <w:rsid w:val="00EE7CEB"/>
    <w:rsid w:val="00EE7EDC"/>
    <w:rsid w:val="00EF10B2"/>
    <w:rsid w:val="00EF2C3F"/>
    <w:rsid w:val="00EF33C6"/>
    <w:rsid w:val="00EF3AE3"/>
    <w:rsid w:val="00EF4174"/>
    <w:rsid w:val="00EF479F"/>
    <w:rsid w:val="00EF4B44"/>
    <w:rsid w:val="00EF61FA"/>
    <w:rsid w:val="00EF63C6"/>
    <w:rsid w:val="00EF70F8"/>
    <w:rsid w:val="00F00162"/>
    <w:rsid w:val="00F034FB"/>
    <w:rsid w:val="00F03AF3"/>
    <w:rsid w:val="00F04EAB"/>
    <w:rsid w:val="00F061BF"/>
    <w:rsid w:val="00F065EA"/>
    <w:rsid w:val="00F06B31"/>
    <w:rsid w:val="00F1102B"/>
    <w:rsid w:val="00F11243"/>
    <w:rsid w:val="00F11556"/>
    <w:rsid w:val="00F11F95"/>
    <w:rsid w:val="00F122C1"/>
    <w:rsid w:val="00F15D51"/>
    <w:rsid w:val="00F16B77"/>
    <w:rsid w:val="00F16C7B"/>
    <w:rsid w:val="00F21DC4"/>
    <w:rsid w:val="00F2459D"/>
    <w:rsid w:val="00F26B75"/>
    <w:rsid w:val="00F347C0"/>
    <w:rsid w:val="00F36B40"/>
    <w:rsid w:val="00F402B8"/>
    <w:rsid w:val="00F4124D"/>
    <w:rsid w:val="00F41594"/>
    <w:rsid w:val="00F431EE"/>
    <w:rsid w:val="00F4564D"/>
    <w:rsid w:val="00F45F17"/>
    <w:rsid w:val="00F46CD0"/>
    <w:rsid w:val="00F473B6"/>
    <w:rsid w:val="00F516E2"/>
    <w:rsid w:val="00F538A6"/>
    <w:rsid w:val="00F53E06"/>
    <w:rsid w:val="00F56464"/>
    <w:rsid w:val="00F60CF2"/>
    <w:rsid w:val="00F64D09"/>
    <w:rsid w:val="00F70025"/>
    <w:rsid w:val="00F70F7B"/>
    <w:rsid w:val="00F73AE5"/>
    <w:rsid w:val="00F7441C"/>
    <w:rsid w:val="00F74C8F"/>
    <w:rsid w:val="00F762F9"/>
    <w:rsid w:val="00F768E3"/>
    <w:rsid w:val="00F80227"/>
    <w:rsid w:val="00F80CE3"/>
    <w:rsid w:val="00F82E7D"/>
    <w:rsid w:val="00F83F3A"/>
    <w:rsid w:val="00F84AEA"/>
    <w:rsid w:val="00F85B3D"/>
    <w:rsid w:val="00F85FF7"/>
    <w:rsid w:val="00F8614C"/>
    <w:rsid w:val="00F86F82"/>
    <w:rsid w:val="00F91519"/>
    <w:rsid w:val="00F929AB"/>
    <w:rsid w:val="00F93E51"/>
    <w:rsid w:val="00F9515A"/>
    <w:rsid w:val="00F96A83"/>
    <w:rsid w:val="00F974A1"/>
    <w:rsid w:val="00FA0EC4"/>
    <w:rsid w:val="00FA1128"/>
    <w:rsid w:val="00FA23CD"/>
    <w:rsid w:val="00FA2E80"/>
    <w:rsid w:val="00FA3623"/>
    <w:rsid w:val="00FA37E1"/>
    <w:rsid w:val="00FA3A87"/>
    <w:rsid w:val="00FA50F1"/>
    <w:rsid w:val="00FA63A6"/>
    <w:rsid w:val="00FA701A"/>
    <w:rsid w:val="00FB0F3F"/>
    <w:rsid w:val="00FB1BB4"/>
    <w:rsid w:val="00FB2139"/>
    <w:rsid w:val="00FB3642"/>
    <w:rsid w:val="00FB5A92"/>
    <w:rsid w:val="00FC1A4C"/>
    <w:rsid w:val="00FC1D77"/>
    <w:rsid w:val="00FC2603"/>
    <w:rsid w:val="00FC27CA"/>
    <w:rsid w:val="00FC48DC"/>
    <w:rsid w:val="00FC6DB4"/>
    <w:rsid w:val="00FC7581"/>
    <w:rsid w:val="00FD0A95"/>
    <w:rsid w:val="00FD145E"/>
    <w:rsid w:val="00FD1D20"/>
    <w:rsid w:val="00FD216B"/>
    <w:rsid w:val="00FD22A6"/>
    <w:rsid w:val="00FD3A6D"/>
    <w:rsid w:val="00FD4BC4"/>
    <w:rsid w:val="00FD71F0"/>
    <w:rsid w:val="00FD74CF"/>
    <w:rsid w:val="00FE3730"/>
    <w:rsid w:val="00FE3ACB"/>
    <w:rsid w:val="00FE4261"/>
    <w:rsid w:val="00FE5378"/>
    <w:rsid w:val="00FE5ACF"/>
    <w:rsid w:val="00FE645C"/>
    <w:rsid w:val="00FE663F"/>
    <w:rsid w:val="00FE6E24"/>
    <w:rsid w:val="00FF07A9"/>
    <w:rsid w:val="00FF1B4E"/>
    <w:rsid w:val="00FF42F2"/>
    <w:rsid w:val="00FF4AC6"/>
    <w:rsid w:val="00FF548A"/>
    <w:rsid w:val="00FF5C56"/>
    <w:rsid w:val="00FF5EFF"/>
    <w:rsid w:val="00FF7B7D"/>
    <w:rsid w:val="011490BF"/>
    <w:rsid w:val="03370C2B"/>
    <w:rsid w:val="07693D4F"/>
    <w:rsid w:val="0B2988E0"/>
    <w:rsid w:val="0C3966A1"/>
    <w:rsid w:val="0C4558AD"/>
    <w:rsid w:val="0D42433D"/>
    <w:rsid w:val="0DC93FF4"/>
    <w:rsid w:val="0FCE6BC2"/>
    <w:rsid w:val="10B8B546"/>
    <w:rsid w:val="11149E76"/>
    <w:rsid w:val="11EC7618"/>
    <w:rsid w:val="12224688"/>
    <w:rsid w:val="12CDF2D6"/>
    <w:rsid w:val="134043C6"/>
    <w:rsid w:val="138ACD54"/>
    <w:rsid w:val="144CEA71"/>
    <w:rsid w:val="16B080C5"/>
    <w:rsid w:val="183692F4"/>
    <w:rsid w:val="1B039C6E"/>
    <w:rsid w:val="1E78016A"/>
    <w:rsid w:val="1EC60B10"/>
    <w:rsid w:val="20F0A887"/>
    <w:rsid w:val="21D8ADFA"/>
    <w:rsid w:val="24DB9B31"/>
    <w:rsid w:val="24FB7FCB"/>
    <w:rsid w:val="272950CB"/>
    <w:rsid w:val="27F5ACCC"/>
    <w:rsid w:val="28899D4B"/>
    <w:rsid w:val="28D9F23D"/>
    <w:rsid w:val="29DB3172"/>
    <w:rsid w:val="2AF2004A"/>
    <w:rsid w:val="2B0F7040"/>
    <w:rsid w:val="2B987110"/>
    <w:rsid w:val="316124AC"/>
    <w:rsid w:val="33ACF70B"/>
    <w:rsid w:val="3AC249E8"/>
    <w:rsid w:val="3BDBFFBF"/>
    <w:rsid w:val="3DD5B6BE"/>
    <w:rsid w:val="40233BA8"/>
    <w:rsid w:val="4604F529"/>
    <w:rsid w:val="46543473"/>
    <w:rsid w:val="46759413"/>
    <w:rsid w:val="477AE6E2"/>
    <w:rsid w:val="47AAD498"/>
    <w:rsid w:val="49F177BD"/>
    <w:rsid w:val="4C222DD5"/>
    <w:rsid w:val="4CAAF6D0"/>
    <w:rsid w:val="4F52E951"/>
    <w:rsid w:val="4FC4075F"/>
    <w:rsid w:val="50F8177C"/>
    <w:rsid w:val="52A4CF7F"/>
    <w:rsid w:val="537C4617"/>
    <w:rsid w:val="5718A554"/>
    <w:rsid w:val="5A76C773"/>
    <w:rsid w:val="5BA86C20"/>
    <w:rsid w:val="677E9966"/>
    <w:rsid w:val="68A96D08"/>
    <w:rsid w:val="6C46D0C8"/>
    <w:rsid w:val="6DA8EB05"/>
    <w:rsid w:val="6E767D77"/>
    <w:rsid w:val="6F8D0369"/>
    <w:rsid w:val="704614A4"/>
    <w:rsid w:val="764F7E9D"/>
    <w:rsid w:val="770DC65B"/>
    <w:rsid w:val="79076366"/>
    <w:rsid w:val="7A6D3084"/>
    <w:rsid w:val="7DD6D8A8"/>
    <w:rsid w:val="7E58EA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67AA7"/>
  <w15:chartTrackingRefBased/>
  <w15:docId w15:val="{E92BC11D-E09B-406D-A0D4-9BB94D22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293"/>
    <w:pPr>
      <w:spacing w:line="280" w:lineRule="atLeast"/>
    </w:pPr>
    <w:rPr>
      <w:rFonts w:ascii="Arial" w:hAnsi="Arial"/>
      <w:sz w:val="22"/>
      <w:szCs w:val="24"/>
      <w:lang w:eastAsia="en-US"/>
    </w:rPr>
  </w:style>
  <w:style w:type="paragraph" w:styleId="Heading1">
    <w:name w:val="heading 1"/>
    <w:basedOn w:val="Normal"/>
    <w:next w:val="BodyText"/>
    <w:qFormat/>
    <w:rsid w:val="008A15B7"/>
    <w:pPr>
      <w:keepNext/>
      <w:spacing w:before="240" w:after="60"/>
      <w:outlineLvl w:val="0"/>
    </w:pPr>
    <w:rPr>
      <w:rFonts w:cs="Arial"/>
      <w:b/>
      <w:bCs/>
      <w:kern w:val="32"/>
      <w:sz w:val="32"/>
      <w:szCs w:val="32"/>
    </w:rPr>
  </w:style>
  <w:style w:type="paragraph" w:styleId="Heading2">
    <w:name w:val="heading 2"/>
    <w:basedOn w:val="Normal"/>
    <w:next w:val="BodyText"/>
    <w:qFormat/>
    <w:rsid w:val="00817293"/>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817293"/>
    <w:pPr>
      <w:keepNext/>
      <w:spacing w:before="240" w:after="60"/>
      <w:outlineLvl w:val="2"/>
    </w:pPr>
    <w:rPr>
      <w:rFonts w:cs="Arial"/>
      <w:b/>
      <w:bCs/>
      <w:sz w:val="24"/>
      <w:szCs w:val="26"/>
    </w:rPr>
  </w:style>
  <w:style w:type="paragraph" w:styleId="Heading4">
    <w:name w:val="heading 4"/>
    <w:basedOn w:val="Normal"/>
    <w:next w:val="BodyText"/>
    <w:qFormat/>
    <w:rsid w:val="00817293"/>
    <w:pPr>
      <w:keepNext/>
      <w:spacing w:before="240" w:after="60"/>
      <w:outlineLvl w:val="3"/>
    </w:pPr>
    <w:rPr>
      <w:b/>
      <w:bCs/>
      <w:szCs w:val="28"/>
    </w:rPr>
  </w:style>
  <w:style w:type="paragraph" w:styleId="Heading5">
    <w:name w:val="heading 5"/>
    <w:basedOn w:val="Normal"/>
    <w:next w:val="BodyText"/>
    <w:qFormat/>
    <w:rsid w:val="00817293"/>
    <w:pPr>
      <w:keepNext/>
      <w:spacing w:before="240" w:after="60"/>
      <w:outlineLvl w:val="4"/>
    </w:pPr>
    <w:rPr>
      <w:b/>
      <w:bCs/>
      <w:i/>
      <w:iCs/>
      <w:szCs w:val="26"/>
    </w:rPr>
  </w:style>
  <w:style w:type="paragraph" w:styleId="Heading6">
    <w:name w:val="heading 6"/>
    <w:basedOn w:val="Normal"/>
    <w:next w:val="Normal"/>
    <w:qFormat/>
    <w:rsid w:val="00817293"/>
    <w:pPr>
      <w:spacing w:before="240" w:after="60"/>
      <w:outlineLvl w:val="5"/>
    </w:pPr>
    <w:rPr>
      <w:rFonts w:ascii="Times New Roman" w:hAnsi="Times New Roman"/>
      <w:b/>
      <w:bCs/>
      <w:szCs w:val="22"/>
    </w:rPr>
  </w:style>
  <w:style w:type="paragraph" w:styleId="Heading7">
    <w:name w:val="heading 7"/>
    <w:basedOn w:val="Normal"/>
    <w:next w:val="Normal"/>
    <w:qFormat/>
    <w:rsid w:val="00817293"/>
    <w:pPr>
      <w:spacing w:before="240" w:after="60"/>
      <w:outlineLvl w:val="6"/>
    </w:pPr>
    <w:rPr>
      <w:rFonts w:ascii="Times New Roman" w:hAnsi="Times New Roman"/>
      <w:sz w:val="24"/>
    </w:rPr>
  </w:style>
  <w:style w:type="paragraph" w:styleId="Heading8">
    <w:name w:val="heading 8"/>
    <w:basedOn w:val="Normal"/>
    <w:next w:val="Normal"/>
    <w:qFormat/>
    <w:rsid w:val="00817293"/>
    <w:pPr>
      <w:spacing w:before="240" w:after="60"/>
      <w:outlineLvl w:val="7"/>
    </w:pPr>
    <w:rPr>
      <w:rFonts w:ascii="Times New Roman" w:hAnsi="Times New Roman"/>
      <w:i/>
      <w:iCs/>
      <w:sz w:val="24"/>
    </w:rPr>
  </w:style>
  <w:style w:type="paragraph" w:styleId="Heading9">
    <w:name w:val="heading 9"/>
    <w:basedOn w:val="Normal"/>
    <w:next w:val="Normal"/>
    <w:qFormat/>
    <w:rsid w:val="0081729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17293"/>
    <w:pPr>
      <w:numPr>
        <w:numId w:val="1"/>
      </w:numPr>
    </w:pPr>
  </w:style>
  <w:style w:type="paragraph" w:styleId="BodyText">
    <w:name w:val="Body Text"/>
    <w:basedOn w:val="Normal"/>
    <w:link w:val="BodyTextChar"/>
    <w:rsid w:val="00817293"/>
    <w:pPr>
      <w:spacing w:after="200"/>
    </w:pPr>
  </w:style>
  <w:style w:type="numbering" w:styleId="1ai">
    <w:name w:val="Outline List 1"/>
    <w:basedOn w:val="NoList"/>
    <w:semiHidden/>
    <w:rsid w:val="00817293"/>
    <w:pPr>
      <w:numPr>
        <w:numId w:val="2"/>
      </w:numPr>
    </w:pPr>
  </w:style>
  <w:style w:type="numbering" w:styleId="ArticleSection">
    <w:name w:val="Outline List 3"/>
    <w:basedOn w:val="NoList"/>
    <w:semiHidden/>
    <w:rsid w:val="00817293"/>
    <w:pPr>
      <w:numPr>
        <w:numId w:val="3"/>
      </w:numPr>
    </w:pPr>
  </w:style>
  <w:style w:type="paragraph" w:styleId="BlockText">
    <w:name w:val="Block Text"/>
    <w:basedOn w:val="Normal"/>
    <w:semiHidden/>
    <w:rsid w:val="00817293"/>
    <w:pPr>
      <w:spacing w:after="120"/>
      <w:ind w:left="1440" w:right="1440"/>
    </w:pPr>
  </w:style>
  <w:style w:type="paragraph" w:styleId="BodyText2">
    <w:name w:val="Body Text 2"/>
    <w:basedOn w:val="Normal"/>
    <w:semiHidden/>
    <w:rsid w:val="00817293"/>
    <w:pPr>
      <w:spacing w:after="120" w:line="480" w:lineRule="auto"/>
    </w:pPr>
  </w:style>
  <w:style w:type="paragraph" w:styleId="BodyText3">
    <w:name w:val="Body Text 3"/>
    <w:basedOn w:val="Normal"/>
    <w:semiHidden/>
    <w:rsid w:val="00817293"/>
    <w:pPr>
      <w:spacing w:after="120"/>
    </w:pPr>
    <w:rPr>
      <w:sz w:val="16"/>
      <w:szCs w:val="16"/>
    </w:rPr>
  </w:style>
  <w:style w:type="paragraph" w:styleId="BodyTextFirstIndent">
    <w:name w:val="Body Text First Indent"/>
    <w:basedOn w:val="BodyText"/>
    <w:semiHidden/>
    <w:rsid w:val="00817293"/>
    <w:pPr>
      <w:spacing w:after="120"/>
      <w:ind w:firstLine="210"/>
    </w:pPr>
  </w:style>
  <w:style w:type="paragraph" w:styleId="BodyTextIndent">
    <w:name w:val="Body Text Indent"/>
    <w:basedOn w:val="Normal"/>
    <w:semiHidden/>
    <w:rsid w:val="00817293"/>
    <w:pPr>
      <w:spacing w:after="120"/>
      <w:ind w:left="283"/>
    </w:pPr>
  </w:style>
  <w:style w:type="paragraph" w:styleId="BodyTextFirstIndent2">
    <w:name w:val="Body Text First Indent 2"/>
    <w:basedOn w:val="BodyTextIndent"/>
    <w:semiHidden/>
    <w:rsid w:val="00817293"/>
    <w:pPr>
      <w:ind w:firstLine="210"/>
    </w:pPr>
  </w:style>
  <w:style w:type="paragraph" w:styleId="BodyTextIndent2">
    <w:name w:val="Body Text Indent 2"/>
    <w:basedOn w:val="Normal"/>
    <w:semiHidden/>
    <w:rsid w:val="00817293"/>
    <w:pPr>
      <w:spacing w:after="120" w:line="480" w:lineRule="auto"/>
      <w:ind w:left="283"/>
    </w:pPr>
  </w:style>
  <w:style w:type="paragraph" w:styleId="BodyTextIndent3">
    <w:name w:val="Body Text Indent 3"/>
    <w:basedOn w:val="Normal"/>
    <w:semiHidden/>
    <w:rsid w:val="00817293"/>
    <w:pPr>
      <w:spacing w:after="120"/>
      <w:ind w:left="283"/>
    </w:pPr>
    <w:rPr>
      <w:sz w:val="16"/>
      <w:szCs w:val="16"/>
    </w:rPr>
  </w:style>
  <w:style w:type="paragraph" w:styleId="Closing">
    <w:name w:val="Closing"/>
    <w:basedOn w:val="Normal"/>
    <w:semiHidden/>
    <w:rsid w:val="00817293"/>
    <w:pPr>
      <w:ind w:left="4252"/>
    </w:pPr>
  </w:style>
  <w:style w:type="paragraph" w:styleId="Date">
    <w:name w:val="Date"/>
    <w:basedOn w:val="Normal"/>
    <w:next w:val="Normal"/>
    <w:semiHidden/>
    <w:rsid w:val="00817293"/>
  </w:style>
  <w:style w:type="paragraph" w:styleId="E-mailSignature">
    <w:name w:val="E-mail Signature"/>
    <w:basedOn w:val="Normal"/>
    <w:semiHidden/>
    <w:rsid w:val="00817293"/>
  </w:style>
  <w:style w:type="character" w:styleId="Emphasis">
    <w:name w:val="Emphasis"/>
    <w:qFormat/>
    <w:rsid w:val="00817293"/>
    <w:rPr>
      <w:i/>
      <w:iCs/>
    </w:rPr>
  </w:style>
  <w:style w:type="paragraph" w:styleId="EnvelopeAddress">
    <w:name w:val="envelope address"/>
    <w:basedOn w:val="Normal"/>
    <w:semiHidden/>
    <w:rsid w:val="0081729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817293"/>
    <w:rPr>
      <w:rFonts w:cs="Arial"/>
      <w:sz w:val="20"/>
      <w:szCs w:val="20"/>
    </w:rPr>
  </w:style>
  <w:style w:type="character" w:styleId="FollowedHyperlink">
    <w:name w:val="FollowedHyperlink"/>
    <w:semiHidden/>
    <w:rsid w:val="00817293"/>
    <w:rPr>
      <w:color w:val="800080"/>
      <w:u w:val="single"/>
    </w:rPr>
  </w:style>
  <w:style w:type="paragraph" w:styleId="Footer">
    <w:name w:val="footer"/>
    <w:basedOn w:val="Normal"/>
    <w:rsid w:val="00C93CC7"/>
    <w:pPr>
      <w:spacing w:line="260" w:lineRule="atLeast"/>
    </w:pPr>
    <w:rPr>
      <w:sz w:val="18"/>
    </w:rPr>
  </w:style>
  <w:style w:type="paragraph" w:styleId="Header">
    <w:name w:val="header"/>
    <w:basedOn w:val="Normal"/>
    <w:rsid w:val="00817293"/>
    <w:rPr>
      <w:sz w:val="18"/>
    </w:rPr>
  </w:style>
  <w:style w:type="character" w:styleId="HTMLAcronym">
    <w:name w:val="HTML Acronym"/>
    <w:basedOn w:val="DefaultParagraphFont"/>
    <w:semiHidden/>
    <w:rsid w:val="00817293"/>
  </w:style>
  <w:style w:type="paragraph" w:styleId="HTMLAddress">
    <w:name w:val="HTML Address"/>
    <w:basedOn w:val="Normal"/>
    <w:semiHidden/>
    <w:rsid w:val="00817293"/>
    <w:rPr>
      <w:i/>
      <w:iCs/>
    </w:rPr>
  </w:style>
  <w:style w:type="character" w:styleId="HTMLCite">
    <w:name w:val="HTML Cite"/>
    <w:semiHidden/>
    <w:rsid w:val="00817293"/>
    <w:rPr>
      <w:i/>
      <w:iCs/>
    </w:rPr>
  </w:style>
  <w:style w:type="character" w:styleId="HTMLCode">
    <w:name w:val="HTML Code"/>
    <w:semiHidden/>
    <w:rsid w:val="00817293"/>
    <w:rPr>
      <w:rFonts w:ascii="Courier New" w:hAnsi="Courier New" w:cs="Courier New"/>
      <w:sz w:val="20"/>
      <w:szCs w:val="20"/>
    </w:rPr>
  </w:style>
  <w:style w:type="character" w:styleId="HTMLDefinition">
    <w:name w:val="HTML Definition"/>
    <w:semiHidden/>
    <w:rsid w:val="00817293"/>
    <w:rPr>
      <w:i/>
      <w:iCs/>
    </w:rPr>
  </w:style>
  <w:style w:type="character" w:styleId="HTMLKeyboard">
    <w:name w:val="HTML Keyboard"/>
    <w:semiHidden/>
    <w:rsid w:val="00817293"/>
    <w:rPr>
      <w:rFonts w:ascii="Courier New" w:hAnsi="Courier New" w:cs="Courier New"/>
      <w:sz w:val="20"/>
      <w:szCs w:val="20"/>
    </w:rPr>
  </w:style>
  <w:style w:type="paragraph" w:styleId="HTMLPreformatted">
    <w:name w:val="HTML Preformatted"/>
    <w:basedOn w:val="Normal"/>
    <w:semiHidden/>
    <w:rsid w:val="00817293"/>
    <w:rPr>
      <w:rFonts w:ascii="Courier New" w:hAnsi="Courier New" w:cs="Courier New"/>
      <w:sz w:val="20"/>
      <w:szCs w:val="20"/>
    </w:rPr>
  </w:style>
  <w:style w:type="character" w:styleId="HTMLSample">
    <w:name w:val="HTML Sample"/>
    <w:semiHidden/>
    <w:rsid w:val="00817293"/>
    <w:rPr>
      <w:rFonts w:ascii="Courier New" w:hAnsi="Courier New" w:cs="Courier New"/>
    </w:rPr>
  </w:style>
  <w:style w:type="character" w:styleId="HTMLTypewriter">
    <w:name w:val="HTML Typewriter"/>
    <w:semiHidden/>
    <w:rsid w:val="00817293"/>
    <w:rPr>
      <w:rFonts w:ascii="Courier New" w:hAnsi="Courier New" w:cs="Courier New"/>
      <w:sz w:val="20"/>
      <w:szCs w:val="20"/>
    </w:rPr>
  </w:style>
  <w:style w:type="character" w:styleId="HTMLVariable">
    <w:name w:val="HTML Variable"/>
    <w:semiHidden/>
    <w:rsid w:val="00817293"/>
    <w:rPr>
      <w:i/>
      <w:iCs/>
    </w:rPr>
  </w:style>
  <w:style w:type="character" w:styleId="Hyperlink">
    <w:name w:val="Hyperlink"/>
    <w:semiHidden/>
    <w:rsid w:val="00817293"/>
    <w:rPr>
      <w:color w:val="0000FF"/>
      <w:u w:val="single"/>
    </w:rPr>
  </w:style>
  <w:style w:type="character" w:styleId="LineNumber">
    <w:name w:val="line number"/>
    <w:basedOn w:val="DefaultParagraphFont"/>
    <w:semiHidden/>
    <w:rsid w:val="00817293"/>
  </w:style>
  <w:style w:type="paragraph" w:styleId="List">
    <w:name w:val="List"/>
    <w:basedOn w:val="Normal"/>
    <w:semiHidden/>
    <w:rsid w:val="00817293"/>
    <w:pPr>
      <w:ind w:left="283" w:hanging="283"/>
    </w:pPr>
  </w:style>
  <w:style w:type="paragraph" w:styleId="List2">
    <w:name w:val="List 2"/>
    <w:basedOn w:val="Normal"/>
    <w:semiHidden/>
    <w:rsid w:val="00817293"/>
    <w:pPr>
      <w:ind w:left="566" w:hanging="283"/>
    </w:pPr>
  </w:style>
  <w:style w:type="paragraph" w:styleId="List3">
    <w:name w:val="List 3"/>
    <w:basedOn w:val="Normal"/>
    <w:semiHidden/>
    <w:rsid w:val="00817293"/>
    <w:pPr>
      <w:ind w:left="849" w:hanging="283"/>
    </w:pPr>
  </w:style>
  <w:style w:type="paragraph" w:styleId="List4">
    <w:name w:val="List 4"/>
    <w:basedOn w:val="Normal"/>
    <w:semiHidden/>
    <w:rsid w:val="00817293"/>
    <w:pPr>
      <w:ind w:left="1132" w:hanging="283"/>
    </w:pPr>
  </w:style>
  <w:style w:type="paragraph" w:styleId="List5">
    <w:name w:val="List 5"/>
    <w:basedOn w:val="Normal"/>
    <w:semiHidden/>
    <w:rsid w:val="00817293"/>
    <w:pPr>
      <w:ind w:left="1415" w:hanging="283"/>
    </w:pPr>
  </w:style>
  <w:style w:type="paragraph" w:styleId="ListBullet">
    <w:name w:val="List Bullet"/>
    <w:basedOn w:val="Normal"/>
    <w:semiHidden/>
    <w:rsid w:val="00817293"/>
    <w:pPr>
      <w:numPr>
        <w:numId w:val="10"/>
      </w:numPr>
    </w:pPr>
  </w:style>
  <w:style w:type="paragraph" w:styleId="ListBullet2">
    <w:name w:val="List Bullet 2"/>
    <w:basedOn w:val="Normal"/>
    <w:semiHidden/>
    <w:rsid w:val="00817293"/>
    <w:pPr>
      <w:numPr>
        <w:numId w:val="11"/>
      </w:numPr>
    </w:pPr>
  </w:style>
  <w:style w:type="paragraph" w:styleId="ListBullet3">
    <w:name w:val="List Bullet 3"/>
    <w:basedOn w:val="Normal"/>
    <w:semiHidden/>
    <w:rsid w:val="00817293"/>
    <w:pPr>
      <w:numPr>
        <w:numId w:val="12"/>
      </w:numPr>
    </w:pPr>
  </w:style>
  <w:style w:type="paragraph" w:styleId="ListBullet4">
    <w:name w:val="List Bullet 4"/>
    <w:basedOn w:val="Normal"/>
    <w:semiHidden/>
    <w:rsid w:val="00817293"/>
    <w:pPr>
      <w:numPr>
        <w:numId w:val="13"/>
      </w:numPr>
    </w:pPr>
  </w:style>
  <w:style w:type="paragraph" w:styleId="ListBullet5">
    <w:name w:val="List Bullet 5"/>
    <w:basedOn w:val="Normal"/>
    <w:semiHidden/>
    <w:rsid w:val="00817293"/>
    <w:pPr>
      <w:numPr>
        <w:numId w:val="14"/>
      </w:numPr>
    </w:pPr>
  </w:style>
  <w:style w:type="paragraph" w:styleId="ListContinue">
    <w:name w:val="List Continue"/>
    <w:basedOn w:val="Normal"/>
    <w:semiHidden/>
    <w:rsid w:val="00817293"/>
    <w:pPr>
      <w:spacing w:after="120"/>
      <w:ind w:left="283"/>
    </w:pPr>
  </w:style>
  <w:style w:type="paragraph" w:styleId="ListContinue2">
    <w:name w:val="List Continue 2"/>
    <w:basedOn w:val="Normal"/>
    <w:semiHidden/>
    <w:rsid w:val="00817293"/>
    <w:pPr>
      <w:spacing w:after="120"/>
      <w:ind w:left="566"/>
    </w:pPr>
  </w:style>
  <w:style w:type="paragraph" w:styleId="ListContinue3">
    <w:name w:val="List Continue 3"/>
    <w:basedOn w:val="Normal"/>
    <w:semiHidden/>
    <w:rsid w:val="00817293"/>
    <w:pPr>
      <w:spacing w:after="120"/>
      <w:ind w:left="849"/>
    </w:pPr>
  </w:style>
  <w:style w:type="paragraph" w:styleId="ListContinue4">
    <w:name w:val="List Continue 4"/>
    <w:basedOn w:val="Normal"/>
    <w:semiHidden/>
    <w:rsid w:val="00817293"/>
    <w:pPr>
      <w:spacing w:after="120"/>
      <w:ind w:left="1132"/>
    </w:pPr>
  </w:style>
  <w:style w:type="paragraph" w:styleId="ListContinue5">
    <w:name w:val="List Continue 5"/>
    <w:basedOn w:val="Normal"/>
    <w:semiHidden/>
    <w:rsid w:val="00817293"/>
    <w:pPr>
      <w:spacing w:after="120"/>
      <w:ind w:left="1415"/>
    </w:pPr>
  </w:style>
  <w:style w:type="paragraph" w:styleId="ListNumber">
    <w:name w:val="List Number"/>
    <w:basedOn w:val="Normal"/>
    <w:semiHidden/>
    <w:rsid w:val="00817293"/>
    <w:pPr>
      <w:numPr>
        <w:numId w:val="15"/>
      </w:numPr>
    </w:pPr>
  </w:style>
  <w:style w:type="paragraph" w:styleId="ListNumber2">
    <w:name w:val="List Number 2"/>
    <w:basedOn w:val="Normal"/>
    <w:semiHidden/>
    <w:rsid w:val="00817293"/>
    <w:pPr>
      <w:numPr>
        <w:numId w:val="16"/>
      </w:numPr>
    </w:pPr>
  </w:style>
  <w:style w:type="paragraph" w:styleId="ListNumber3">
    <w:name w:val="List Number 3"/>
    <w:basedOn w:val="Normal"/>
    <w:semiHidden/>
    <w:rsid w:val="00817293"/>
    <w:pPr>
      <w:numPr>
        <w:numId w:val="17"/>
      </w:numPr>
    </w:pPr>
  </w:style>
  <w:style w:type="paragraph" w:styleId="ListNumber4">
    <w:name w:val="List Number 4"/>
    <w:basedOn w:val="Normal"/>
    <w:semiHidden/>
    <w:rsid w:val="00817293"/>
    <w:pPr>
      <w:numPr>
        <w:numId w:val="18"/>
      </w:numPr>
    </w:pPr>
  </w:style>
  <w:style w:type="paragraph" w:styleId="ListNumber5">
    <w:name w:val="List Number 5"/>
    <w:basedOn w:val="Normal"/>
    <w:semiHidden/>
    <w:rsid w:val="00817293"/>
    <w:pPr>
      <w:numPr>
        <w:numId w:val="19"/>
      </w:numPr>
    </w:pPr>
  </w:style>
  <w:style w:type="paragraph" w:styleId="MessageHeader">
    <w:name w:val="Message Header"/>
    <w:basedOn w:val="Normal"/>
    <w:semiHidden/>
    <w:rsid w:val="008172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817293"/>
    <w:rPr>
      <w:rFonts w:ascii="Times New Roman" w:hAnsi="Times New Roman"/>
      <w:sz w:val="24"/>
    </w:rPr>
  </w:style>
  <w:style w:type="paragraph" w:styleId="NormalIndent">
    <w:name w:val="Normal Indent"/>
    <w:basedOn w:val="Normal"/>
    <w:semiHidden/>
    <w:rsid w:val="00817293"/>
    <w:pPr>
      <w:ind w:left="709"/>
    </w:pPr>
  </w:style>
  <w:style w:type="paragraph" w:styleId="NoteHeading">
    <w:name w:val="Note Heading"/>
    <w:basedOn w:val="Normal"/>
    <w:next w:val="Normal"/>
    <w:semiHidden/>
    <w:rsid w:val="00817293"/>
  </w:style>
  <w:style w:type="character" w:styleId="PageNumber">
    <w:name w:val="page number"/>
    <w:rsid w:val="00817293"/>
    <w:rPr>
      <w:sz w:val="18"/>
    </w:rPr>
  </w:style>
  <w:style w:type="paragraph" w:styleId="PlainText">
    <w:name w:val="Plain Text"/>
    <w:basedOn w:val="Normal"/>
    <w:semiHidden/>
    <w:rsid w:val="00817293"/>
    <w:rPr>
      <w:rFonts w:ascii="Courier New" w:hAnsi="Courier New" w:cs="Courier New"/>
      <w:sz w:val="20"/>
      <w:szCs w:val="20"/>
    </w:rPr>
  </w:style>
  <w:style w:type="paragraph" w:styleId="Salutation">
    <w:name w:val="Salutation"/>
    <w:basedOn w:val="Normal"/>
    <w:next w:val="Normal"/>
    <w:semiHidden/>
    <w:rsid w:val="00817293"/>
  </w:style>
  <w:style w:type="paragraph" w:styleId="Signature">
    <w:name w:val="Signature"/>
    <w:basedOn w:val="Normal"/>
    <w:semiHidden/>
    <w:rsid w:val="00817293"/>
    <w:pPr>
      <w:ind w:left="4252"/>
    </w:pPr>
  </w:style>
  <w:style w:type="character" w:styleId="Strong">
    <w:name w:val="Strong"/>
    <w:qFormat/>
    <w:rsid w:val="00817293"/>
    <w:rPr>
      <w:b/>
      <w:bCs/>
    </w:rPr>
  </w:style>
  <w:style w:type="paragraph" w:styleId="Subtitle">
    <w:name w:val="Subtitle"/>
    <w:basedOn w:val="Normal"/>
    <w:qFormat/>
    <w:rsid w:val="00817293"/>
    <w:pPr>
      <w:spacing w:after="60"/>
      <w:jc w:val="center"/>
      <w:outlineLvl w:val="1"/>
    </w:pPr>
    <w:rPr>
      <w:rFonts w:cs="Arial"/>
      <w:sz w:val="24"/>
    </w:rPr>
  </w:style>
  <w:style w:type="table" w:styleId="Table3Deffects1">
    <w:name w:val="Table 3D effects 1"/>
    <w:basedOn w:val="TableNormal"/>
    <w:semiHidden/>
    <w:rsid w:val="00817293"/>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7293"/>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7293"/>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17293"/>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7293"/>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7293"/>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7293"/>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7293"/>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7293"/>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7293"/>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7293"/>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7293"/>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7293"/>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7293"/>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7293"/>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7293"/>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7293"/>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1729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17293"/>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7293"/>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7293"/>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7293"/>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7293"/>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7293"/>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7293"/>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7293"/>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17293"/>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7293"/>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7293"/>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7293"/>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7293"/>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7293"/>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7293"/>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7293"/>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17293"/>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7293"/>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7293"/>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7293"/>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7293"/>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7293"/>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7293"/>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17293"/>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7293"/>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7293"/>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17293"/>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817293"/>
    <w:pPr>
      <w:ind w:left="709"/>
    </w:pPr>
  </w:style>
  <w:style w:type="paragraph" w:customStyle="1" w:styleId="BodyTextIndentLevel2">
    <w:name w:val="Body Text Indent Level 2"/>
    <w:basedOn w:val="BodyText"/>
    <w:rsid w:val="00817293"/>
    <w:pPr>
      <w:ind w:left="1276"/>
    </w:pPr>
  </w:style>
  <w:style w:type="paragraph" w:customStyle="1" w:styleId="BodyTextIndentLevel3">
    <w:name w:val="Body Text Indent Level 3"/>
    <w:basedOn w:val="BodyText"/>
    <w:rsid w:val="00817293"/>
    <w:pPr>
      <w:numPr>
        <w:ilvl w:val="4"/>
        <w:numId w:val="8"/>
      </w:numPr>
    </w:pPr>
  </w:style>
  <w:style w:type="paragraph" w:customStyle="1" w:styleId="SingleSpacedParagraph">
    <w:name w:val="Single Spaced Paragraph"/>
    <w:basedOn w:val="Normal"/>
    <w:rsid w:val="00817293"/>
  </w:style>
  <w:style w:type="paragraph" w:customStyle="1" w:styleId="HeadingNumberLevel1">
    <w:name w:val="Heading Number Level 1"/>
    <w:basedOn w:val="Heading1"/>
    <w:next w:val="BodyTextIndentLevel1"/>
    <w:rsid w:val="00817293"/>
    <w:pPr>
      <w:numPr>
        <w:numId w:val="8"/>
      </w:numPr>
      <w:outlineLvl w:val="5"/>
    </w:pPr>
  </w:style>
  <w:style w:type="paragraph" w:customStyle="1" w:styleId="HeadingNumberLevel2">
    <w:name w:val="Heading Number Level 2"/>
    <w:basedOn w:val="Heading2"/>
    <w:next w:val="BodyTextIndentLevel1"/>
    <w:rsid w:val="00817293"/>
    <w:pPr>
      <w:numPr>
        <w:ilvl w:val="1"/>
        <w:numId w:val="8"/>
      </w:numPr>
      <w:outlineLvl w:val="6"/>
    </w:pPr>
  </w:style>
  <w:style w:type="paragraph" w:customStyle="1" w:styleId="HeadingNumberLevel3">
    <w:name w:val="Heading Number Level 3"/>
    <w:basedOn w:val="BodyText"/>
    <w:rsid w:val="00817293"/>
    <w:pPr>
      <w:numPr>
        <w:ilvl w:val="2"/>
        <w:numId w:val="8"/>
      </w:numPr>
    </w:pPr>
  </w:style>
  <w:style w:type="paragraph" w:customStyle="1" w:styleId="HeadingNumberLevel4">
    <w:name w:val="Heading Number Level 4"/>
    <w:basedOn w:val="BodyText"/>
    <w:rsid w:val="00817293"/>
    <w:pPr>
      <w:numPr>
        <w:ilvl w:val="3"/>
        <w:numId w:val="8"/>
      </w:numPr>
    </w:pPr>
  </w:style>
  <w:style w:type="paragraph" w:customStyle="1" w:styleId="NumbersLevel1">
    <w:name w:val="Numbers Level 1"/>
    <w:basedOn w:val="BodyText"/>
    <w:rsid w:val="00817293"/>
    <w:pPr>
      <w:numPr>
        <w:numId w:val="21"/>
      </w:numPr>
    </w:pPr>
  </w:style>
  <w:style w:type="paragraph" w:customStyle="1" w:styleId="NumbersLevel2">
    <w:name w:val="Numbers Level 2"/>
    <w:basedOn w:val="BodyText"/>
    <w:rsid w:val="00817293"/>
    <w:pPr>
      <w:numPr>
        <w:ilvl w:val="1"/>
        <w:numId w:val="21"/>
      </w:numPr>
    </w:pPr>
  </w:style>
  <w:style w:type="paragraph" w:customStyle="1" w:styleId="NumbersLevel3">
    <w:name w:val="Numbers Level 3"/>
    <w:basedOn w:val="BodyText"/>
    <w:rsid w:val="00817293"/>
    <w:pPr>
      <w:numPr>
        <w:ilvl w:val="2"/>
        <w:numId w:val="21"/>
      </w:numPr>
    </w:pPr>
  </w:style>
  <w:style w:type="paragraph" w:customStyle="1" w:styleId="NumbersLevel4">
    <w:name w:val="Numbers Level 4"/>
    <w:basedOn w:val="BodyText"/>
    <w:rsid w:val="00817293"/>
    <w:pPr>
      <w:numPr>
        <w:ilvl w:val="3"/>
        <w:numId w:val="21"/>
      </w:numPr>
    </w:pPr>
  </w:style>
  <w:style w:type="paragraph" w:customStyle="1" w:styleId="BulletLevel1">
    <w:name w:val="Bullet Level 1"/>
    <w:basedOn w:val="BodyText"/>
    <w:rsid w:val="00817293"/>
    <w:pPr>
      <w:numPr>
        <w:numId w:val="5"/>
      </w:numPr>
    </w:pPr>
  </w:style>
  <w:style w:type="paragraph" w:customStyle="1" w:styleId="BulletLevel2">
    <w:name w:val="Bullet Level 2"/>
    <w:basedOn w:val="BodyText"/>
    <w:rsid w:val="00817293"/>
    <w:pPr>
      <w:numPr>
        <w:ilvl w:val="1"/>
        <w:numId w:val="5"/>
      </w:numPr>
    </w:pPr>
  </w:style>
  <w:style w:type="paragraph" w:customStyle="1" w:styleId="BulletLevel3">
    <w:name w:val="Bullet Level 3"/>
    <w:basedOn w:val="BodyText"/>
    <w:rsid w:val="00817293"/>
    <w:pPr>
      <w:numPr>
        <w:ilvl w:val="2"/>
        <w:numId w:val="5"/>
      </w:numPr>
    </w:pPr>
  </w:style>
  <w:style w:type="paragraph" w:customStyle="1" w:styleId="BodyTextBulletIndentLevel1">
    <w:name w:val="Body Text Bullet Indent Level 1"/>
    <w:basedOn w:val="BodyText"/>
    <w:rsid w:val="00817293"/>
    <w:pPr>
      <w:ind w:left="567"/>
    </w:pPr>
  </w:style>
  <w:style w:type="paragraph" w:customStyle="1" w:styleId="BodyTextBulletIndentLevel2">
    <w:name w:val="Body Text Bullet Indent Level 2"/>
    <w:basedOn w:val="BodyText"/>
    <w:rsid w:val="00817293"/>
    <w:pPr>
      <w:ind w:left="1134"/>
    </w:pPr>
  </w:style>
  <w:style w:type="paragraph" w:customStyle="1" w:styleId="BodyTextBulletIndentLevel3">
    <w:name w:val="Body Text Bullet Indent Level 3"/>
    <w:basedOn w:val="BodyText"/>
    <w:rsid w:val="00817293"/>
    <w:pPr>
      <w:ind w:left="1701"/>
    </w:pPr>
  </w:style>
  <w:style w:type="paragraph" w:customStyle="1" w:styleId="ListAlpha">
    <w:name w:val="List Alpha"/>
    <w:basedOn w:val="BodyText"/>
    <w:rsid w:val="00817293"/>
    <w:pPr>
      <w:numPr>
        <w:numId w:val="9"/>
      </w:numPr>
    </w:pPr>
  </w:style>
  <w:style w:type="paragraph" w:customStyle="1" w:styleId="ListNumeric">
    <w:name w:val="List Numeric"/>
    <w:basedOn w:val="BodyText"/>
    <w:rsid w:val="00817293"/>
    <w:pPr>
      <w:numPr>
        <w:numId w:val="20"/>
      </w:numPr>
    </w:pPr>
  </w:style>
  <w:style w:type="paragraph" w:styleId="FootnoteText">
    <w:name w:val="footnote text"/>
    <w:basedOn w:val="Normal"/>
    <w:rsid w:val="00817293"/>
    <w:pPr>
      <w:spacing w:after="120" w:line="240" w:lineRule="atLeast"/>
      <w:ind w:left="284" w:hanging="284"/>
    </w:pPr>
    <w:rPr>
      <w:sz w:val="18"/>
      <w:szCs w:val="20"/>
    </w:rPr>
  </w:style>
  <w:style w:type="character" w:styleId="FootnoteReference">
    <w:name w:val="footnote reference"/>
    <w:semiHidden/>
    <w:rsid w:val="00817293"/>
    <w:rPr>
      <w:vertAlign w:val="superscript"/>
    </w:rPr>
  </w:style>
  <w:style w:type="paragraph" w:styleId="TOC1">
    <w:name w:val="toc 1"/>
    <w:basedOn w:val="Normal"/>
    <w:next w:val="Normal"/>
    <w:rsid w:val="00174DB1"/>
    <w:pPr>
      <w:tabs>
        <w:tab w:val="right" w:pos="9696"/>
      </w:tabs>
      <w:spacing w:before="200"/>
      <w:ind w:right="567"/>
    </w:pPr>
    <w:rPr>
      <w:b/>
    </w:rPr>
  </w:style>
  <w:style w:type="paragraph" w:styleId="TOC2">
    <w:name w:val="toc 2"/>
    <w:basedOn w:val="Normal"/>
    <w:next w:val="Normal"/>
    <w:rsid w:val="00C93CC7"/>
    <w:pPr>
      <w:tabs>
        <w:tab w:val="left" w:pos="567"/>
        <w:tab w:val="right" w:pos="9696"/>
      </w:tabs>
      <w:ind w:left="284" w:right="567"/>
    </w:pPr>
  </w:style>
  <w:style w:type="paragraph" w:styleId="TOC3">
    <w:name w:val="toc 3"/>
    <w:basedOn w:val="Normal"/>
    <w:next w:val="Normal"/>
    <w:autoRedefine/>
    <w:rsid w:val="00C93CC7"/>
    <w:pPr>
      <w:tabs>
        <w:tab w:val="right" w:pos="9696"/>
      </w:tabs>
      <w:ind w:left="567" w:right="567"/>
    </w:pPr>
  </w:style>
  <w:style w:type="paragraph" w:styleId="TOC4">
    <w:name w:val="toc 4"/>
    <w:basedOn w:val="Normal"/>
    <w:next w:val="Normal"/>
    <w:autoRedefine/>
    <w:rsid w:val="00C93CC7"/>
    <w:pPr>
      <w:tabs>
        <w:tab w:val="right" w:pos="9696"/>
      </w:tabs>
      <w:ind w:left="851" w:right="567"/>
    </w:pPr>
  </w:style>
  <w:style w:type="paragraph" w:styleId="TOC5">
    <w:name w:val="toc 5"/>
    <w:basedOn w:val="Normal"/>
    <w:next w:val="Normal"/>
    <w:autoRedefine/>
    <w:rsid w:val="00174DB1"/>
    <w:pPr>
      <w:tabs>
        <w:tab w:val="right" w:pos="9696"/>
      </w:tabs>
      <w:spacing w:before="200"/>
      <w:ind w:left="1134" w:right="567"/>
    </w:pPr>
  </w:style>
  <w:style w:type="paragraph" w:customStyle="1" w:styleId="HeadingContents">
    <w:name w:val="Heading Contents"/>
    <w:basedOn w:val="BodyText"/>
    <w:rsid w:val="004B2EB6"/>
    <w:pPr>
      <w:keepNext/>
      <w:spacing w:after="60"/>
    </w:pPr>
    <w:rPr>
      <w:b/>
      <w:sz w:val="32"/>
    </w:rPr>
  </w:style>
  <w:style w:type="paragraph" w:customStyle="1" w:styleId="HeadingTable">
    <w:name w:val="Heading Table"/>
    <w:basedOn w:val="Normal"/>
    <w:rsid w:val="00A45965"/>
    <w:pPr>
      <w:spacing w:line="260" w:lineRule="atLeast"/>
    </w:pPr>
    <w:rPr>
      <w:b/>
      <w:sz w:val="20"/>
    </w:rPr>
  </w:style>
  <w:style w:type="paragraph" w:customStyle="1" w:styleId="HeadingTableCentre">
    <w:name w:val="Heading Table Centre"/>
    <w:basedOn w:val="HeadingTable"/>
    <w:rsid w:val="00A45965"/>
    <w:pPr>
      <w:jc w:val="center"/>
    </w:pPr>
  </w:style>
  <w:style w:type="paragraph" w:customStyle="1" w:styleId="BodyTextTable">
    <w:name w:val="Body Text Table"/>
    <w:basedOn w:val="BodyText"/>
    <w:rsid w:val="00817293"/>
    <w:pPr>
      <w:spacing w:after="180" w:line="260" w:lineRule="atLeast"/>
    </w:pPr>
    <w:rPr>
      <w:sz w:val="20"/>
    </w:rPr>
  </w:style>
  <w:style w:type="paragraph" w:customStyle="1" w:styleId="BodyTextTableLastLine">
    <w:name w:val="Body Text Table Last Line"/>
    <w:basedOn w:val="BodyTextTable"/>
    <w:rsid w:val="00817293"/>
    <w:pPr>
      <w:spacing w:after="0"/>
    </w:pPr>
  </w:style>
  <w:style w:type="paragraph" w:customStyle="1" w:styleId="BulletTableLevel1">
    <w:name w:val="Bullet Table Level 1"/>
    <w:basedOn w:val="BodyTextTable"/>
    <w:rsid w:val="00817293"/>
    <w:pPr>
      <w:numPr>
        <w:numId w:val="6"/>
      </w:numPr>
    </w:pPr>
  </w:style>
  <w:style w:type="paragraph" w:customStyle="1" w:styleId="BulletTableLevel2">
    <w:name w:val="Bullet Table Level 2"/>
    <w:basedOn w:val="BodyTextTable"/>
    <w:rsid w:val="00817293"/>
    <w:pPr>
      <w:numPr>
        <w:ilvl w:val="1"/>
        <w:numId w:val="6"/>
      </w:numPr>
    </w:pPr>
  </w:style>
  <w:style w:type="paragraph" w:customStyle="1" w:styleId="BulletTableLevel3">
    <w:name w:val="Bullet Table Level 3"/>
    <w:basedOn w:val="BodyTextTable"/>
    <w:rsid w:val="00817293"/>
    <w:pPr>
      <w:numPr>
        <w:ilvl w:val="2"/>
        <w:numId w:val="6"/>
      </w:numPr>
    </w:pPr>
  </w:style>
  <w:style w:type="paragraph" w:customStyle="1" w:styleId="NumbersTableLevel1">
    <w:name w:val="Numbers Table Level 1"/>
    <w:basedOn w:val="BodyTextTable"/>
    <w:rsid w:val="00817293"/>
    <w:pPr>
      <w:numPr>
        <w:numId w:val="22"/>
      </w:numPr>
    </w:pPr>
  </w:style>
  <w:style w:type="paragraph" w:customStyle="1" w:styleId="NumbersTableLevel2">
    <w:name w:val="Numbers Table Level 2"/>
    <w:basedOn w:val="BodyTextTable"/>
    <w:rsid w:val="00817293"/>
    <w:pPr>
      <w:numPr>
        <w:ilvl w:val="1"/>
        <w:numId w:val="22"/>
      </w:numPr>
    </w:pPr>
  </w:style>
  <w:style w:type="paragraph" w:customStyle="1" w:styleId="NumbersTableLevel3">
    <w:name w:val="Numbers Table Level 3"/>
    <w:basedOn w:val="BodyTextTable"/>
    <w:rsid w:val="00817293"/>
    <w:pPr>
      <w:numPr>
        <w:ilvl w:val="2"/>
        <w:numId w:val="22"/>
      </w:numPr>
    </w:pPr>
  </w:style>
  <w:style w:type="paragraph" w:customStyle="1" w:styleId="BodyTextTableLevel1">
    <w:name w:val="Body Text Table Level 1"/>
    <w:basedOn w:val="BodyTextTable"/>
    <w:rsid w:val="00817293"/>
    <w:pPr>
      <w:numPr>
        <w:numId w:val="4"/>
      </w:numPr>
    </w:pPr>
  </w:style>
  <w:style w:type="paragraph" w:customStyle="1" w:styleId="BodyTextTableLevel2">
    <w:name w:val="Body Text Table Level 2"/>
    <w:basedOn w:val="BodyTextTable"/>
    <w:rsid w:val="00817293"/>
    <w:pPr>
      <w:numPr>
        <w:ilvl w:val="1"/>
        <w:numId w:val="4"/>
      </w:numPr>
    </w:pPr>
  </w:style>
  <w:style w:type="paragraph" w:customStyle="1" w:styleId="BodyTextTableLevel3">
    <w:name w:val="Body Text Table Level 3"/>
    <w:basedOn w:val="BodyTextTable"/>
    <w:rsid w:val="00817293"/>
    <w:pPr>
      <w:numPr>
        <w:ilvl w:val="3"/>
        <w:numId w:val="22"/>
      </w:numPr>
    </w:pPr>
  </w:style>
  <w:style w:type="paragraph" w:styleId="Caption">
    <w:name w:val="caption"/>
    <w:basedOn w:val="Normal"/>
    <w:next w:val="BodyText"/>
    <w:qFormat/>
    <w:rsid w:val="00817293"/>
    <w:pPr>
      <w:spacing w:after="200"/>
    </w:pPr>
    <w:rPr>
      <w:b/>
      <w:bCs/>
      <w:sz w:val="20"/>
      <w:szCs w:val="20"/>
    </w:rPr>
  </w:style>
  <w:style w:type="paragraph" w:customStyle="1" w:styleId="WhiteSpace">
    <w:name w:val="White Space"/>
    <w:basedOn w:val="Normal"/>
    <w:rsid w:val="00817293"/>
    <w:pPr>
      <w:spacing w:line="240" w:lineRule="auto"/>
    </w:pPr>
    <w:rPr>
      <w:sz w:val="12"/>
    </w:rPr>
  </w:style>
  <w:style w:type="table" w:customStyle="1" w:styleId="TableDIA">
    <w:name w:val="Table DIA"/>
    <w:basedOn w:val="TableNormal"/>
    <w:rsid w:val="00E57461"/>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817293"/>
    <w:pPr>
      <w:pageBreakBefore/>
      <w:numPr>
        <w:numId w:val="7"/>
      </w:numPr>
      <w:tabs>
        <w:tab w:val="left" w:pos="2268"/>
      </w:tabs>
      <w:spacing w:before="0"/>
      <w:outlineLvl w:val="7"/>
    </w:pPr>
  </w:style>
  <w:style w:type="paragraph" w:customStyle="1" w:styleId="Heading1Non-Contents">
    <w:name w:val="Heading 1 Non-Contents"/>
    <w:basedOn w:val="Normal"/>
    <w:next w:val="BodyText"/>
    <w:rsid w:val="008A15B7"/>
    <w:pPr>
      <w:keepNext/>
      <w:spacing w:before="240" w:after="60"/>
    </w:pPr>
    <w:rPr>
      <w:b/>
      <w:kern w:val="32"/>
      <w:sz w:val="32"/>
    </w:rPr>
  </w:style>
  <w:style w:type="paragraph" w:styleId="TOC6">
    <w:name w:val="toc 6"/>
    <w:basedOn w:val="Normal"/>
    <w:next w:val="Normal"/>
    <w:autoRedefine/>
    <w:rsid w:val="00FE6E24"/>
    <w:pPr>
      <w:tabs>
        <w:tab w:val="right" w:pos="9696"/>
      </w:tabs>
      <w:spacing w:before="200"/>
      <w:ind w:left="567" w:right="567" w:hanging="567"/>
    </w:pPr>
    <w:rPr>
      <w:b/>
    </w:rPr>
  </w:style>
  <w:style w:type="paragraph" w:styleId="TOC7">
    <w:name w:val="toc 7"/>
    <w:basedOn w:val="Normal"/>
    <w:next w:val="Normal"/>
    <w:autoRedefine/>
    <w:rsid w:val="00C93CC7"/>
    <w:pPr>
      <w:tabs>
        <w:tab w:val="left" w:pos="567"/>
        <w:tab w:val="right" w:pos="9696"/>
      </w:tabs>
      <w:ind w:left="567" w:right="567" w:hanging="567"/>
    </w:pPr>
  </w:style>
  <w:style w:type="paragraph" w:customStyle="1" w:styleId="Default">
    <w:name w:val="Default"/>
    <w:rsid w:val="004539ED"/>
    <w:pPr>
      <w:autoSpaceDE w:val="0"/>
      <w:autoSpaceDN w:val="0"/>
      <w:adjustRightInd w:val="0"/>
    </w:pPr>
    <w:rPr>
      <w:rFonts w:ascii="Arial" w:hAnsi="Arial" w:cs="Arial"/>
      <w:color w:val="000000"/>
      <w:sz w:val="24"/>
      <w:szCs w:val="24"/>
      <w:lang w:val="en-GB" w:eastAsia="en-GB"/>
    </w:rPr>
  </w:style>
  <w:style w:type="character" w:customStyle="1" w:styleId="Heading3Char">
    <w:name w:val="Heading 3 Char"/>
    <w:link w:val="Heading3"/>
    <w:rsid w:val="00817293"/>
    <w:rPr>
      <w:rFonts w:ascii="Arial" w:hAnsi="Arial" w:cs="Arial"/>
      <w:b/>
      <w:bCs/>
      <w:sz w:val="24"/>
      <w:szCs w:val="26"/>
      <w:lang w:val="en-NZ" w:eastAsia="en-US" w:bidi="ar-SA"/>
    </w:rPr>
  </w:style>
  <w:style w:type="character" w:styleId="CommentReference">
    <w:name w:val="annotation reference"/>
    <w:uiPriority w:val="99"/>
    <w:semiHidden/>
    <w:rsid w:val="00C84CF7"/>
    <w:rPr>
      <w:sz w:val="16"/>
      <w:szCs w:val="16"/>
    </w:rPr>
  </w:style>
  <w:style w:type="paragraph" w:styleId="CommentText">
    <w:name w:val="annotation text"/>
    <w:basedOn w:val="Normal"/>
    <w:link w:val="CommentTextChar"/>
    <w:uiPriority w:val="99"/>
    <w:rsid w:val="00C84CF7"/>
    <w:rPr>
      <w:sz w:val="20"/>
      <w:szCs w:val="20"/>
    </w:rPr>
  </w:style>
  <w:style w:type="paragraph" w:styleId="CommentSubject">
    <w:name w:val="annotation subject"/>
    <w:basedOn w:val="CommentText"/>
    <w:next w:val="CommentText"/>
    <w:semiHidden/>
    <w:rsid w:val="00C84CF7"/>
    <w:rPr>
      <w:b/>
      <w:bCs/>
    </w:rPr>
  </w:style>
  <w:style w:type="paragraph" w:styleId="BalloonText">
    <w:name w:val="Balloon Text"/>
    <w:basedOn w:val="Normal"/>
    <w:semiHidden/>
    <w:rsid w:val="00C84CF7"/>
    <w:rPr>
      <w:rFonts w:ascii="Tahoma" w:hAnsi="Tahoma" w:cs="Tahoma"/>
      <w:sz w:val="16"/>
      <w:szCs w:val="16"/>
    </w:rPr>
  </w:style>
  <w:style w:type="paragraph" w:customStyle="1" w:styleId="HeadingCoverPage">
    <w:name w:val="Heading Cover Page"/>
    <w:basedOn w:val="BodyText"/>
    <w:rsid w:val="00BE429B"/>
    <w:pPr>
      <w:spacing w:after="567" w:line="924" w:lineRule="atLeast"/>
      <w:jc w:val="right"/>
    </w:pPr>
    <w:rPr>
      <w:sz w:val="77"/>
    </w:rPr>
  </w:style>
  <w:style w:type="paragraph" w:customStyle="1" w:styleId="HeadingCoverPageSubheading">
    <w:name w:val="Heading Cover Page Subheading"/>
    <w:basedOn w:val="BodyText"/>
    <w:rsid w:val="008B6C98"/>
    <w:pPr>
      <w:spacing w:after="567" w:line="600" w:lineRule="atLeast"/>
      <w:jc w:val="right"/>
    </w:pPr>
    <w:rPr>
      <w:color w:val="A7A9AC"/>
      <w:sz w:val="50"/>
    </w:rPr>
  </w:style>
  <w:style w:type="paragraph" w:customStyle="1" w:styleId="HeadingCoverPageText">
    <w:name w:val="Heading Cover Page Text"/>
    <w:basedOn w:val="BodyText"/>
    <w:rsid w:val="00391037"/>
    <w:pPr>
      <w:spacing w:after="0" w:line="240" w:lineRule="atLeast"/>
      <w:jc w:val="right"/>
    </w:pPr>
    <w:rPr>
      <w:sz w:val="20"/>
    </w:rPr>
  </w:style>
  <w:style w:type="paragraph" w:customStyle="1" w:styleId="Heading2Non-Contents">
    <w:name w:val="Heading 2 Non-Contents"/>
    <w:basedOn w:val="BodyText"/>
    <w:rsid w:val="00391037"/>
    <w:pPr>
      <w:keepNext/>
      <w:spacing w:before="240" w:after="60"/>
    </w:pPr>
    <w:rPr>
      <w:b/>
      <w:sz w:val="28"/>
    </w:rPr>
  </w:style>
  <w:style w:type="paragraph" w:styleId="TOC8">
    <w:name w:val="toc 8"/>
    <w:basedOn w:val="Normal"/>
    <w:next w:val="Normal"/>
    <w:autoRedefine/>
    <w:rsid w:val="00174DB1"/>
    <w:pPr>
      <w:tabs>
        <w:tab w:val="right" w:pos="9696"/>
      </w:tabs>
      <w:spacing w:before="200"/>
      <w:ind w:left="284" w:hanging="284"/>
    </w:pPr>
    <w:rPr>
      <w:b/>
    </w:rPr>
  </w:style>
  <w:style w:type="paragraph" w:customStyle="1" w:styleId="HeadingPage">
    <w:name w:val="Heading Page"/>
    <w:basedOn w:val="BodyText"/>
    <w:semiHidden/>
    <w:rsid w:val="00817293"/>
    <w:pPr>
      <w:spacing w:before="400" w:after="60"/>
    </w:pPr>
    <w:rPr>
      <w:b/>
      <w:sz w:val="48"/>
    </w:rPr>
  </w:style>
  <w:style w:type="paragraph" w:customStyle="1" w:styleId="HeadingTableofTables">
    <w:name w:val="Heading Table of Tables"/>
    <w:basedOn w:val="HeadingContents"/>
    <w:next w:val="BodyText"/>
    <w:rsid w:val="004B2EB6"/>
    <w:pPr>
      <w:spacing w:before="240"/>
    </w:pPr>
    <w:rPr>
      <w:sz w:val="28"/>
    </w:rPr>
  </w:style>
  <w:style w:type="paragraph" w:customStyle="1" w:styleId="HeadingTableofFigures">
    <w:name w:val="Heading Table of Figures"/>
    <w:basedOn w:val="HeadingTableofTables"/>
    <w:next w:val="BodyText"/>
    <w:rsid w:val="004B2EB6"/>
    <w:rPr>
      <w:rFonts w:ascii="Arial Bold" w:hAnsi="Arial Bold"/>
    </w:rPr>
  </w:style>
  <w:style w:type="paragraph" w:styleId="TableofFigures">
    <w:name w:val="table of figures"/>
    <w:basedOn w:val="Normal"/>
    <w:next w:val="Normal"/>
    <w:semiHidden/>
    <w:rsid w:val="004B2EB6"/>
    <w:pPr>
      <w:tabs>
        <w:tab w:val="right" w:pos="9639"/>
      </w:tabs>
    </w:pPr>
  </w:style>
  <w:style w:type="paragraph" w:customStyle="1" w:styleId="Pa0">
    <w:name w:val="Pa0"/>
    <w:basedOn w:val="Default"/>
    <w:next w:val="Default"/>
    <w:rsid w:val="004539ED"/>
    <w:pPr>
      <w:spacing w:line="241" w:lineRule="atLeast"/>
    </w:pPr>
    <w:rPr>
      <w:rFonts w:cs="Times New Roman"/>
      <w:color w:val="auto"/>
    </w:rPr>
  </w:style>
  <w:style w:type="character" w:customStyle="1" w:styleId="A4">
    <w:name w:val="A4"/>
    <w:rsid w:val="004539ED"/>
    <w:rPr>
      <w:rFonts w:cs="Arial"/>
      <w:color w:val="000000"/>
      <w:sz w:val="20"/>
      <w:szCs w:val="20"/>
    </w:rPr>
  </w:style>
  <w:style w:type="character" w:customStyle="1" w:styleId="A3">
    <w:name w:val="A3"/>
    <w:rsid w:val="004539ED"/>
    <w:rPr>
      <w:rFonts w:ascii="Corbel" w:hAnsi="Corbel" w:cs="Corbel"/>
      <w:b/>
      <w:bCs/>
      <w:color w:val="000000"/>
      <w:sz w:val="28"/>
      <w:szCs w:val="28"/>
    </w:rPr>
  </w:style>
  <w:style w:type="character" w:customStyle="1" w:styleId="A6">
    <w:name w:val="A6"/>
    <w:rsid w:val="004539ED"/>
    <w:rPr>
      <w:rFonts w:ascii="Corbel" w:hAnsi="Corbel" w:cs="Corbel"/>
      <w:b/>
      <w:bCs/>
      <w:color w:val="000000"/>
      <w:sz w:val="36"/>
      <w:szCs w:val="36"/>
    </w:rPr>
  </w:style>
  <w:style w:type="character" w:customStyle="1" w:styleId="bold1">
    <w:name w:val="bold1"/>
    <w:rsid w:val="005E1F9E"/>
    <w:rPr>
      <w:b/>
      <w:bCs/>
    </w:rPr>
  </w:style>
  <w:style w:type="character" w:customStyle="1" w:styleId="BodyTextChar">
    <w:name w:val="Body Text Char"/>
    <w:link w:val="BodyText"/>
    <w:locked/>
    <w:rsid w:val="00D31A52"/>
    <w:rPr>
      <w:rFonts w:ascii="Arial" w:hAnsi="Arial"/>
      <w:sz w:val="22"/>
      <w:szCs w:val="24"/>
      <w:lang w:val="en-NZ" w:eastAsia="en-US" w:bidi="ar-SA"/>
    </w:rPr>
  </w:style>
  <w:style w:type="character" w:customStyle="1" w:styleId="A8">
    <w:name w:val="A8"/>
    <w:rsid w:val="00741A80"/>
    <w:rPr>
      <w:rFonts w:cs="Arial"/>
      <w:color w:val="000000"/>
      <w:sz w:val="20"/>
      <w:szCs w:val="20"/>
    </w:rPr>
  </w:style>
  <w:style w:type="paragraph" w:styleId="Revision">
    <w:name w:val="Revision"/>
    <w:hidden/>
    <w:uiPriority w:val="99"/>
    <w:semiHidden/>
    <w:rsid w:val="00EC6C88"/>
    <w:rPr>
      <w:rFonts w:ascii="Arial" w:hAnsi="Arial"/>
      <w:sz w:val="22"/>
      <w:szCs w:val="24"/>
      <w:lang w:eastAsia="en-US"/>
    </w:rPr>
  </w:style>
  <w:style w:type="character" w:customStyle="1" w:styleId="CommentTextChar">
    <w:name w:val="Comment Text Char"/>
    <w:link w:val="CommentText"/>
    <w:uiPriority w:val="99"/>
    <w:rsid w:val="00D609A5"/>
    <w:rPr>
      <w:rFonts w:ascii="Arial" w:hAnsi="Arial"/>
      <w:lang w:eastAsia="en-US"/>
    </w:rPr>
  </w:style>
  <w:style w:type="character" w:styleId="UnresolvedMention">
    <w:name w:val="Unresolved Mention"/>
    <w:uiPriority w:val="99"/>
    <w:semiHidden/>
    <w:unhideWhenUsed/>
    <w:rsid w:val="006954FE"/>
    <w:rPr>
      <w:color w:val="605E5C"/>
      <w:shd w:val="clear" w:color="auto" w:fill="E1DFDD"/>
    </w:rPr>
  </w:style>
  <w:style w:type="character" w:customStyle="1" w:styleId="CharChar2">
    <w:name w:val="Char Char2"/>
    <w:locked/>
    <w:rsid w:val="00ED1B47"/>
    <w:rPr>
      <w:rFonts w:ascii="Arial" w:hAnsi="Arial"/>
      <w:sz w:val="22"/>
      <w:szCs w:val="24"/>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003">
      <w:bodyDiv w:val="1"/>
      <w:marLeft w:val="0"/>
      <w:marRight w:val="0"/>
      <w:marTop w:val="0"/>
      <w:marBottom w:val="0"/>
      <w:divBdr>
        <w:top w:val="none" w:sz="0" w:space="0" w:color="auto"/>
        <w:left w:val="none" w:sz="0" w:space="0" w:color="auto"/>
        <w:bottom w:val="none" w:sz="0" w:space="0" w:color="auto"/>
        <w:right w:val="none" w:sz="0" w:space="0" w:color="auto"/>
      </w:divBdr>
      <w:divsChild>
        <w:div w:id="107699163">
          <w:marLeft w:val="0"/>
          <w:marRight w:val="0"/>
          <w:marTop w:val="83"/>
          <w:marBottom w:val="0"/>
          <w:divBdr>
            <w:top w:val="none" w:sz="0" w:space="0" w:color="auto"/>
            <w:left w:val="none" w:sz="0" w:space="0" w:color="auto"/>
            <w:bottom w:val="none" w:sz="0" w:space="0" w:color="auto"/>
            <w:right w:val="none" w:sz="0" w:space="0" w:color="auto"/>
          </w:divBdr>
          <w:divsChild>
            <w:div w:id="792096131">
              <w:marLeft w:val="0"/>
              <w:marRight w:val="0"/>
              <w:marTop w:val="83"/>
              <w:marBottom w:val="0"/>
              <w:divBdr>
                <w:top w:val="none" w:sz="0" w:space="0" w:color="auto"/>
                <w:left w:val="none" w:sz="0" w:space="0" w:color="auto"/>
                <w:bottom w:val="none" w:sz="0" w:space="0" w:color="auto"/>
                <w:right w:val="none" w:sz="0" w:space="0" w:color="auto"/>
              </w:divBdr>
            </w:div>
            <w:div w:id="1083142512">
              <w:marLeft w:val="0"/>
              <w:marRight w:val="0"/>
              <w:marTop w:val="83"/>
              <w:marBottom w:val="0"/>
              <w:divBdr>
                <w:top w:val="none" w:sz="0" w:space="0" w:color="auto"/>
                <w:left w:val="none" w:sz="0" w:space="0" w:color="auto"/>
                <w:bottom w:val="none" w:sz="0" w:space="0" w:color="auto"/>
                <w:right w:val="none" w:sz="0" w:space="0" w:color="auto"/>
              </w:divBdr>
            </w:div>
            <w:div w:id="192861508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7803438">
      <w:bodyDiv w:val="1"/>
      <w:marLeft w:val="0"/>
      <w:marRight w:val="0"/>
      <w:marTop w:val="0"/>
      <w:marBottom w:val="0"/>
      <w:divBdr>
        <w:top w:val="none" w:sz="0" w:space="0" w:color="auto"/>
        <w:left w:val="none" w:sz="0" w:space="0" w:color="auto"/>
        <w:bottom w:val="none" w:sz="0" w:space="0" w:color="auto"/>
        <w:right w:val="none" w:sz="0" w:space="0" w:color="auto"/>
      </w:divBdr>
    </w:div>
    <w:div w:id="84304155">
      <w:bodyDiv w:val="1"/>
      <w:marLeft w:val="0"/>
      <w:marRight w:val="0"/>
      <w:marTop w:val="0"/>
      <w:marBottom w:val="0"/>
      <w:divBdr>
        <w:top w:val="none" w:sz="0" w:space="0" w:color="auto"/>
        <w:left w:val="none" w:sz="0" w:space="0" w:color="auto"/>
        <w:bottom w:val="none" w:sz="0" w:space="0" w:color="auto"/>
        <w:right w:val="none" w:sz="0" w:space="0" w:color="auto"/>
      </w:divBdr>
    </w:div>
    <w:div w:id="554239280">
      <w:bodyDiv w:val="1"/>
      <w:marLeft w:val="0"/>
      <w:marRight w:val="0"/>
      <w:marTop w:val="0"/>
      <w:marBottom w:val="0"/>
      <w:divBdr>
        <w:top w:val="none" w:sz="0" w:space="0" w:color="auto"/>
        <w:left w:val="none" w:sz="0" w:space="0" w:color="auto"/>
        <w:bottom w:val="none" w:sz="0" w:space="0" w:color="auto"/>
        <w:right w:val="none" w:sz="0" w:space="0" w:color="auto"/>
      </w:divBdr>
    </w:div>
    <w:div w:id="721096398">
      <w:bodyDiv w:val="1"/>
      <w:marLeft w:val="0"/>
      <w:marRight w:val="0"/>
      <w:marTop w:val="0"/>
      <w:marBottom w:val="0"/>
      <w:divBdr>
        <w:top w:val="none" w:sz="0" w:space="0" w:color="auto"/>
        <w:left w:val="none" w:sz="0" w:space="0" w:color="auto"/>
        <w:bottom w:val="none" w:sz="0" w:space="0" w:color="auto"/>
        <w:right w:val="none" w:sz="0" w:space="0" w:color="auto"/>
      </w:divBdr>
    </w:div>
    <w:div w:id="876284610">
      <w:bodyDiv w:val="1"/>
      <w:marLeft w:val="0"/>
      <w:marRight w:val="0"/>
      <w:marTop w:val="0"/>
      <w:marBottom w:val="0"/>
      <w:divBdr>
        <w:top w:val="none" w:sz="0" w:space="0" w:color="auto"/>
        <w:left w:val="none" w:sz="0" w:space="0" w:color="auto"/>
        <w:bottom w:val="none" w:sz="0" w:space="0" w:color="auto"/>
        <w:right w:val="none" w:sz="0" w:space="0" w:color="auto"/>
      </w:divBdr>
    </w:div>
    <w:div w:id="943659586">
      <w:bodyDiv w:val="1"/>
      <w:marLeft w:val="0"/>
      <w:marRight w:val="0"/>
      <w:marTop w:val="0"/>
      <w:marBottom w:val="0"/>
      <w:divBdr>
        <w:top w:val="none" w:sz="0" w:space="0" w:color="auto"/>
        <w:left w:val="none" w:sz="0" w:space="0" w:color="auto"/>
        <w:bottom w:val="none" w:sz="0" w:space="0" w:color="auto"/>
        <w:right w:val="none" w:sz="0" w:space="0" w:color="auto"/>
      </w:divBdr>
    </w:div>
    <w:div w:id="1269508325">
      <w:bodyDiv w:val="1"/>
      <w:marLeft w:val="0"/>
      <w:marRight w:val="0"/>
      <w:marTop w:val="0"/>
      <w:marBottom w:val="0"/>
      <w:divBdr>
        <w:top w:val="none" w:sz="0" w:space="0" w:color="auto"/>
        <w:left w:val="none" w:sz="0" w:space="0" w:color="auto"/>
        <w:bottom w:val="none" w:sz="0" w:space="0" w:color="auto"/>
        <w:right w:val="none" w:sz="0" w:space="0" w:color="auto"/>
      </w:divBdr>
    </w:div>
    <w:div w:id="1294142917">
      <w:bodyDiv w:val="1"/>
      <w:marLeft w:val="0"/>
      <w:marRight w:val="0"/>
      <w:marTop w:val="0"/>
      <w:marBottom w:val="0"/>
      <w:divBdr>
        <w:top w:val="none" w:sz="0" w:space="0" w:color="auto"/>
        <w:left w:val="none" w:sz="0" w:space="0" w:color="auto"/>
        <w:bottom w:val="none" w:sz="0" w:space="0" w:color="auto"/>
        <w:right w:val="none" w:sz="0" w:space="0" w:color="auto"/>
      </w:divBdr>
    </w:div>
    <w:div w:id="1589651008">
      <w:bodyDiv w:val="1"/>
      <w:marLeft w:val="0"/>
      <w:marRight w:val="0"/>
      <w:marTop w:val="0"/>
      <w:marBottom w:val="0"/>
      <w:divBdr>
        <w:top w:val="none" w:sz="0" w:space="0" w:color="auto"/>
        <w:left w:val="none" w:sz="0" w:space="0" w:color="auto"/>
        <w:bottom w:val="none" w:sz="0" w:space="0" w:color="auto"/>
        <w:right w:val="none" w:sz="0" w:space="0" w:color="auto"/>
      </w:divBdr>
    </w:div>
    <w:div w:id="1789004053">
      <w:bodyDiv w:val="1"/>
      <w:marLeft w:val="0"/>
      <w:marRight w:val="0"/>
      <w:marTop w:val="0"/>
      <w:marBottom w:val="0"/>
      <w:divBdr>
        <w:top w:val="none" w:sz="0" w:space="0" w:color="auto"/>
        <w:left w:val="none" w:sz="0" w:space="0" w:color="auto"/>
        <w:bottom w:val="none" w:sz="0" w:space="0" w:color="auto"/>
        <w:right w:val="none" w:sz="0" w:space="0" w:color="auto"/>
      </w:divBdr>
    </w:div>
    <w:div w:id="1798135085">
      <w:bodyDiv w:val="1"/>
      <w:marLeft w:val="0"/>
      <w:marRight w:val="0"/>
      <w:marTop w:val="0"/>
      <w:marBottom w:val="0"/>
      <w:divBdr>
        <w:top w:val="none" w:sz="0" w:space="0" w:color="auto"/>
        <w:left w:val="none" w:sz="0" w:space="0" w:color="auto"/>
        <w:bottom w:val="none" w:sz="0" w:space="0" w:color="auto"/>
        <w:right w:val="none" w:sz="0" w:space="0" w:color="auto"/>
      </w:divBdr>
    </w:div>
    <w:div w:id="2121105374">
      <w:bodyDiv w:val="1"/>
      <w:marLeft w:val="0"/>
      <w:marRight w:val="0"/>
      <w:marTop w:val="0"/>
      <w:marBottom w:val="0"/>
      <w:divBdr>
        <w:top w:val="none" w:sz="0" w:space="0" w:color="auto"/>
        <w:left w:val="none" w:sz="0" w:space="0" w:color="auto"/>
        <w:bottom w:val="none" w:sz="0" w:space="0" w:color="auto"/>
        <w:right w:val="none" w:sz="0" w:space="0" w:color="auto"/>
      </w:divBdr>
      <w:divsChild>
        <w:div w:id="272909603">
          <w:marLeft w:val="0"/>
          <w:marRight w:val="0"/>
          <w:marTop w:val="83"/>
          <w:marBottom w:val="0"/>
          <w:divBdr>
            <w:top w:val="none" w:sz="0" w:space="0" w:color="auto"/>
            <w:left w:val="none" w:sz="0" w:space="0" w:color="auto"/>
            <w:bottom w:val="none" w:sz="0" w:space="0" w:color="auto"/>
            <w:right w:val="none" w:sz="0" w:space="0" w:color="auto"/>
          </w:divBdr>
          <w:divsChild>
            <w:div w:id="594169381">
              <w:marLeft w:val="0"/>
              <w:marRight w:val="0"/>
              <w:marTop w:val="83"/>
              <w:marBottom w:val="0"/>
              <w:divBdr>
                <w:top w:val="none" w:sz="0" w:space="0" w:color="auto"/>
                <w:left w:val="none" w:sz="0" w:space="0" w:color="auto"/>
                <w:bottom w:val="none" w:sz="0" w:space="0" w:color="auto"/>
                <w:right w:val="none" w:sz="0" w:space="0" w:color="auto"/>
              </w:divBdr>
            </w:div>
            <w:div w:id="1890528250">
              <w:marLeft w:val="0"/>
              <w:marRight w:val="0"/>
              <w:marTop w:val="83"/>
              <w:marBottom w:val="0"/>
              <w:divBdr>
                <w:top w:val="none" w:sz="0" w:space="0" w:color="auto"/>
                <w:left w:val="none" w:sz="0" w:space="0" w:color="auto"/>
                <w:bottom w:val="none" w:sz="0" w:space="0" w:color="auto"/>
                <w:right w:val="none" w:sz="0" w:space="0" w:color="auto"/>
              </w:divBdr>
            </w:div>
            <w:div w:id="209107967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aumataarowai.govt.nz/for-water-suppliers/network-environmental-performance-measur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taumataarowai.govt.nz/assets/Drinking-Water-Supplier/Drinking-Water-Quality-Assurance-Rules-2022-Revised-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aumataarowai.govt.nz/for-water-suppliers/network-environmental-performance-meas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aumataarowai.govt.nz/for-water-suppliers/network-environmental-performance-measur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umataarowai.govt.nz/for-water-suppliers/network-environmental-performance-measur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A26E2D5DBD59C64F9B33E481D7267B9403009C070B38FD5558488D64D6010A7474F6" ma:contentTypeVersion="21" ma:contentTypeDescription="Administration Document" ma:contentTypeScope="" ma:versionID="28e862cfe3df047231ac9e48e7d0c5d4">
  <xsd:schema xmlns:xsd="http://www.w3.org/2001/XMLSchema" xmlns:xs="http://www.w3.org/2001/XMLSchema" xmlns:p="http://schemas.microsoft.com/office/2006/metadata/properties" xmlns:ns2="89d0c6c8-e2e3-4e07-91a0-0308145fc47f" xmlns:ns3="5750afb1-007a-481a-96df-a71c539b9a3e" targetNamespace="http://schemas.microsoft.com/office/2006/metadata/properties" ma:root="true" ma:fieldsID="fefe0833e387d12be4f1e7d59120a98c" ns2:_="" ns3:_="">
    <xsd:import namespace="89d0c6c8-e2e3-4e07-91a0-0308145fc47f"/>
    <xsd:import namespace="5750afb1-007a-481a-96df-a71c539b9a3e"/>
    <xsd:element name="properties">
      <xsd:complexType>
        <xsd:sequence>
          <xsd:element name="documentManagement">
            <xsd:complexType>
              <xsd:all>
                <xsd:element ref="ns3:TaxCatchAll" minOccurs="0"/>
                <xsd:element ref="ns2:DIANotes" minOccurs="0"/>
                <xsd:element ref="ns2:DIAEventDate" minOccurs="0"/>
                <xsd:element ref="ns2:DIAEventName" minOccurs="0"/>
                <xsd:element ref="ns2:DIAPersonAssigned" minOccurs="0"/>
                <xsd:element ref="ns2:C3TopicNote" minOccurs="0"/>
                <xsd:element ref="ns3:TaxKeywordTaxHTField" minOccurs="0"/>
                <xsd:element ref="ns3:TaxCatchAllLabel" minOccurs="0"/>
                <xsd:element ref="ns2:o2f22aac53bd4fed8afdac54e6ae7a01" minOccurs="0"/>
                <xsd:element ref="ns2:lcff0ddf232c47f2a2233c5008913c29" minOccurs="0"/>
                <xsd:element ref="ns2:_dlc_DocId" minOccurs="0"/>
                <xsd:element ref="ns2:_dlc_DocIdUrl" minOccurs="0"/>
                <xsd:element ref="ns2:_dlc_DocIdPersistId" minOccurs="0"/>
                <xsd:element ref="ns2:ge192917acb1427799917aa262304b5d" minOccurs="0"/>
                <xsd:element ref="ns2:d6a84d57cee7474b9c1a0903570d24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EventDate" ma:index="14" nillable="true" ma:displayName="Event Date" ma:description="Use to specify the date of the event" ma:format="DateOnly" ma:internalName="DIAEventDate" ma:readOnly="false">
      <xsd:simpleType>
        <xsd:restriction base="dms:DateTime"/>
      </xsd:simpleType>
    </xsd:element>
    <xsd:element name="DIAEventName" ma:index="16" nillable="true" ma:displayName="Event Name" ma:description="Name of the event" ma:internalName="DIAEventName" ma:readOnly="false">
      <xsd:simpleType>
        <xsd:restriction base="dms:Text"/>
      </xsd:simpleType>
    </xsd:element>
    <xsd:element name="DIAPersonAssigned" ma:index="17" nillable="true" ma:displayName="Person Assigned" ma:description="Use for the name of the person assigned to an investigation or complaint" ma:SharePointGroup="0" ma:internalName="DIAPersonAssigne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TopicNote" ma:index="19" nillable="true" ma:taxonomy="true" ma:internalName="C3TopicNote" ma:taxonomyFieldName="C3Topic" ma:displayName="Topic" ma:indexed="true" ma:readOnly="false" ma:fieldId="{6a3fe89f-a6dd-4490-a9c1-3ef38d67b8c7}" ma:sspId="220cfdc9-10b9-451b-a41a-57414fe47a11" ma:termSetId="bd117d0a-f6da-4449-89a0-3df3ae40d037" ma:anchorId="6846810d-c185-478f-809e-44ae03981e35" ma:open="true" ma:isKeyword="false">
      <xsd:complexType>
        <xsd:sequence>
          <xsd:element ref="pc:Terms" minOccurs="0" maxOccurs="1"/>
        </xsd:sequence>
      </xsd:complexType>
    </xsd:element>
    <xsd:element name="o2f22aac53bd4fed8afdac54e6ae7a01" ma:index="22" nillable="true" ma:taxonomy="true" ma:internalName="o2f22aac53bd4fed8afdac54e6ae7a01" ma:taxonomyFieldName="DIAAdministrationDocumentType" ma:displayName="Administration Document Type" ma:readOnly="false" ma:fieldId="{82f22aac-53bd-4fed-8afd-ac54e6ae7a01}"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23" ma:taxonomy="true" ma:internalName="lcff0ddf232c47f2a2233c5008913c29" ma:taxonomyFieldName="DIASecurityClassification" ma:displayName="Security Classification" ma:readOnly="false" ma:default="2;#UNCLASSIFIED|2c10f15e-4fe4-4bec-ae91-1116436da94b" ma:fieldId="{5cff0ddf-232c-47f2-a223-3c5008913c29}"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ge192917acb1427799917aa262304b5d" ma:index="27" nillable="true" ma:taxonomy="true" ma:internalName="ge192917acb1427799917aa262304b5d" ma:taxonomyFieldName="DIACountry" ma:displayName="Country" ma:readOnly="false" ma:fieldId="{0e192917-acb1-4277-9991-7aa262304b5d}" ma:sspId="220cfdc9-10b9-451b-a41a-57414fe47a11" ma:termSetId="b1c69ef2-d2ae-4a6b-b4bf-681c9c6aca55" ma:anchorId="00000000-0000-0000-0000-000000000000" ma:open="false" ma:isKeyword="false">
      <xsd:complexType>
        <xsd:sequence>
          <xsd:element ref="pc:Terms" minOccurs="0" maxOccurs="1"/>
        </xsd:sequence>
      </xsd:complexType>
    </xsd:element>
    <xsd:element name="d6a84d57cee7474b9c1a0903570d2445" ma:index="28" nillable="true" ma:taxonomy="true" ma:internalName="d6a84d57cee7474b9c1a0903570d2445" ma:taxonomyFieldName="DIAEventorVisitType" ma:displayName="Event or Visit Type" ma:readOnly="false" ma:fieldId="{d6a84d57-cee7-474b-9c1a-0903570d2445}" ma:sspId="220cfdc9-10b9-451b-a41a-57414fe47a11" ma:termSetId="95138d95-0fa4-4547-8973-ca02b03759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390e61d-4e42-40bc-852e-c4a47e14483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8390e61d-4e42-40bc-852e-c4a47e14483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5750afb1-007a-481a-96df-a71c539b9a3e">
      <Value>46</Value>
      <Value>3</Value>
      <Value>63</Value>
    </TaxCatchAll>
    <_dlc_DocId xmlns="89d0c6c8-e2e3-4e07-91a0-0308145fc47f">C6V5PRUCYWPW-313797013-1194</_dlc_DocId>
    <_dlc_DocIdUrl xmlns="89d0c6c8-e2e3-4e07-91a0-0308145fc47f">
      <Url>https://azurediagovt.sharepoint.com/sites/ECMS-LGV-PAO-CPF/_layouts/15/DocIdRedir.aspx?ID=C6V5PRUCYWPW-313797013-1194</Url>
      <Description>C6V5PRUCYWPW-313797013-1194</Description>
    </_dlc_DocIdUrl>
    <DIAPersonAssigned xmlns="89d0c6c8-e2e3-4e07-91a0-0308145fc47f">
      <UserInfo>
        <DisplayName/>
        <AccountId xsi:nil="true"/>
        <AccountType/>
      </UserInfo>
    </DIAPersonAssigned>
    <DIAEventName xmlns="89d0c6c8-e2e3-4e07-91a0-0308145fc47f" xsi:nil="true"/>
    <C3TopicNote xmlns="89d0c6c8-e2e3-4e07-91a0-0308145fc47f">
      <Terms xmlns="http://schemas.microsoft.com/office/infopath/2007/PartnerControls"/>
    </C3TopicNote>
    <ge192917acb1427799917aa262304b5d xmlns="89d0c6c8-e2e3-4e07-91a0-0308145fc47f">
      <Terms xmlns="http://schemas.microsoft.com/office/infopath/2007/PartnerControls"/>
    </ge192917acb1427799917aa262304b5d>
    <TaxKeywordTaxHTField xmlns="5750afb1-007a-481a-96df-a71c539b9a3e">
      <Terms xmlns="http://schemas.microsoft.com/office/infopath/2007/PartnerControls"/>
    </TaxKeywordTaxHTField>
    <DIANotes xmlns="89d0c6c8-e2e3-4e07-91a0-0308145fc47f" xsi:nil="true"/>
    <DIAEventDate xmlns="89d0c6c8-e2e3-4e07-91a0-0308145fc47f" xsi:nil="true"/>
    <o2f22aac53bd4fed8afdac54e6ae7a01 xmlns="89d0c6c8-e2e3-4e07-91a0-0308145fc47f">
      <Terms xmlns="http://schemas.microsoft.com/office/infopath/2007/PartnerControls"/>
    </o2f22aac53bd4fed8afdac54e6ae7a01>
    <d6a84d57cee7474b9c1a0903570d2445 xmlns="89d0c6c8-e2e3-4e07-91a0-0308145fc47f">
      <Terms xmlns="http://schemas.microsoft.com/office/infopath/2007/PartnerControls"/>
    </d6a84d57cee7474b9c1a0903570d2445>
    <lcff0ddf232c47f2a2233c5008913c29 xmlns="89d0c6c8-e2e3-4e07-91a0-0308145fc47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A80E324-9AD5-4DF7-B41C-0FBF933AAAFB}">
  <ds:schemaRefs>
    <ds:schemaRef ds:uri="http://schemas.microsoft.com/sharepoint/events"/>
  </ds:schemaRefs>
</ds:datastoreItem>
</file>

<file path=customXml/itemProps2.xml><?xml version="1.0" encoding="utf-8"?>
<ds:datastoreItem xmlns:ds="http://schemas.openxmlformats.org/officeDocument/2006/customXml" ds:itemID="{CB358381-1F34-412F-8460-4BD37987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EB993-2A43-4E27-A101-1A576C344525}">
  <ds:schemaRefs>
    <ds:schemaRef ds:uri="http://schemas.microsoft.com/office/2006/metadata/longProperties"/>
  </ds:schemaRefs>
</ds:datastoreItem>
</file>

<file path=customXml/itemProps4.xml><?xml version="1.0" encoding="utf-8"?>
<ds:datastoreItem xmlns:ds="http://schemas.openxmlformats.org/officeDocument/2006/customXml" ds:itemID="{1C3850A9-0183-4F3C-A816-B5F5634DD14B}">
  <ds:schemaRefs>
    <ds:schemaRef ds:uri="http://schemas.microsoft.com/office/2006/metadata/properties"/>
    <ds:schemaRef ds:uri="http://schemas.microsoft.com/office/infopath/2007/PartnerControls"/>
    <ds:schemaRef ds:uri="5750afb1-007a-481a-96df-a71c539b9a3e"/>
    <ds:schemaRef ds:uri="89d0c6c8-e2e3-4e07-91a0-0308145fc47f"/>
  </ds:schemaRefs>
</ds:datastoreItem>
</file>

<file path=customXml/itemProps5.xml><?xml version="1.0" encoding="utf-8"?>
<ds:datastoreItem xmlns:ds="http://schemas.openxmlformats.org/officeDocument/2006/customXml" ds:itemID="{EBAB32E1-12FF-4AD8-8D3C-8F1D33F9C95D}">
  <ds:schemaRefs>
    <ds:schemaRef ds:uri="http://schemas.microsoft.com/sharepoint/v3/contenttype/forms"/>
  </ds:schemaRefs>
</ds:datastoreItem>
</file>

<file path=docMetadata/LabelInfo.xml><?xml version="1.0" encoding="utf-8"?>
<clbl:labelList xmlns:clbl="http://schemas.microsoft.com/office/2020/mipLabelMetadata">
  <clbl:label id="{35504caa-b431-4354-826f-a0777a9bdb8d}" enabled="1" method="Standard" siteId="{75c87bf0-6130-4555-b9fa-e4cf3539f058}"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3616</Words>
  <Characters>20612</Characters>
  <Application>Microsoft Office Word</Application>
  <DocSecurity>4</DocSecurity>
  <Lines>171</Lines>
  <Paragraphs>48</Paragraphs>
  <ScaleCrop>false</ScaleCrop>
  <Company>Department of Internal Affairs</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&lt;heading&gt;</dc:title>
  <dc:subject/>
  <dc:creator>mcleodan</dc:creator>
  <cp:keywords/>
  <dc:description/>
  <cp:lastModifiedBy>Lauren Thompson</cp:lastModifiedBy>
  <cp:revision>103</cp:revision>
  <cp:lastPrinted>2014-03-03T19:09:00Z</cp:lastPrinted>
  <dcterms:created xsi:type="dcterms:W3CDTF">2025-06-09T20:28:00Z</dcterms:created>
  <dcterms:modified xsi:type="dcterms:W3CDTF">2025-06-13T03:48:00Z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f0ddf232c47f2a2233c5008913c29">
    <vt:lpwstr>IN-CONFIDENCE|cf9276f4-acb3-404d-a80d-53cc76a30125</vt:lpwstr>
  </property>
  <property fmtid="{D5CDD505-2E9C-101B-9397-08002B2CF9AE}" pid="3" name="ab652c8fc19f4aa1b7c685bfd6c8b663">
    <vt:lpwstr>Local Government|d4c83f0c-f81e-4391-a096-cd21301ce608</vt:lpwstr>
  </property>
  <property fmtid="{D5CDD505-2E9C-101B-9397-08002B2CF9AE}" pid="4" name="i234661d9f7a423e8a2378db11976a3c">
    <vt:lpwstr>Correspondence|dcd6b05f-dc80-4336-b228-09aebf3d212c</vt:lpwstr>
  </property>
  <property fmtid="{D5CDD505-2E9C-101B-9397-08002B2CF9AE}" pid="5" name="i28a3dfa7619411fa0190df1513c6f61">
    <vt:lpwstr>Local Government Act 2002|ff38e4e1-6aaf-4c07-b609-8bfd342d36ca</vt:lpwstr>
  </property>
  <property fmtid="{D5CDD505-2E9C-101B-9397-08002B2CF9AE}" pid="6" name="DIAOfficialEntity">
    <vt:lpwstr/>
  </property>
  <property fmtid="{D5CDD505-2E9C-101B-9397-08002B2CF9AE}" pid="7" name="DIAPortfolio">
    <vt:lpwstr>4;#Local Government|d4c83f0c-f81e-4391-a096-cd21301ce608</vt:lpwstr>
  </property>
  <property fmtid="{D5CDD505-2E9C-101B-9397-08002B2CF9AE}" pid="8" name="DIALegislation">
    <vt:lpwstr>154;#Local Government Act 2002|ff38e4e1-6aaf-4c07-b609-8bfd342d36ca</vt:lpwstr>
  </property>
  <property fmtid="{D5CDD505-2E9C-101B-9397-08002B2CF9AE}" pid="9" name="j47b0202623f4ea5aacb4f820e2a4374">
    <vt:lpwstr/>
  </property>
  <property fmtid="{D5CDD505-2E9C-101B-9397-08002B2CF9AE}" pid="10" name="_dlc_DocId">
    <vt:lpwstr>ARAWAI-923359477-17995</vt:lpwstr>
  </property>
  <property fmtid="{D5CDD505-2E9C-101B-9397-08002B2CF9AE}" pid="11" name="_dlc_DocIdUrl">
    <vt:lpwstr>https://taumataarowai.sharepoint.com/sites/DMS_RegulatoryOperations/_layouts/15/DocIdRedir.aspx?ID=ARAWAI-923359477-17995, ARAWAI-923359477-17995</vt:lpwstr>
  </property>
  <property fmtid="{D5CDD505-2E9C-101B-9397-08002B2CF9AE}" pid="12" name="C3TopicNote">
    <vt:lpwstr/>
  </property>
  <property fmtid="{D5CDD505-2E9C-101B-9397-08002B2CF9AE}" pid="13" name="DIAEventDate">
    <vt:lpwstr/>
  </property>
  <property fmtid="{D5CDD505-2E9C-101B-9397-08002B2CF9AE}" pid="14" name="ld855601a22744588946efdda84ef6c0">
    <vt:lpwstr>External Report|389ca33c-f86c-4e62-be29-c7ea48e50ee1</vt:lpwstr>
  </property>
  <property fmtid="{D5CDD505-2E9C-101B-9397-08002B2CF9AE}" pid="15" name="DIAEventName">
    <vt:lpwstr/>
  </property>
  <property fmtid="{D5CDD505-2E9C-101B-9397-08002B2CF9AE}" pid="16" name="ge192917acb1427799917aa262304b5d">
    <vt:lpwstr/>
  </property>
  <property fmtid="{D5CDD505-2E9C-101B-9397-08002B2CF9AE}" pid="17" name="TaxKeywordTaxHTField">
    <vt:lpwstr/>
  </property>
  <property fmtid="{D5CDD505-2E9C-101B-9397-08002B2CF9AE}" pid="18" name="d6a84d57cee7474b9c1a0903570d2445">
    <vt:lpwstr/>
  </property>
  <property fmtid="{D5CDD505-2E9C-101B-9397-08002B2CF9AE}" pid="19" name="DIANotes">
    <vt:lpwstr/>
  </property>
  <property fmtid="{D5CDD505-2E9C-101B-9397-08002B2CF9AE}" pid="20" name="DIAReportDocumentType">
    <vt:lpwstr>46;#External Report|389ca33c-f86c-4e62-be29-c7ea48e50ee1</vt:lpwstr>
  </property>
  <property fmtid="{D5CDD505-2E9C-101B-9397-08002B2CF9AE}" pid="21" name="C3Topic">
    <vt:lpwstr/>
  </property>
  <property fmtid="{D5CDD505-2E9C-101B-9397-08002B2CF9AE}" pid="22" name="TaxKeyword">
    <vt:lpwstr/>
  </property>
  <property fmtid="{D5CDD505-2E9C-101B-9397-08002B2CF9AE}" pid="23" name="DIAEmailContentType">
    <vt:lpwstr>3;#Correspondence|dcd6b05f-dc80-4336-b228-09aebf3d212c</vt:lpwstr>
  </property>
  <property fmtid="{D5CDD505-2E9C-101B-9397-08002B2CF9AE}" pid="24" name="DIASecurityClassification">
    <vt:lpwstr>63;#IN-CONFIDENCE|cf9276f4-acb3-404d-a80d-53cc76a30125</vt:lpwstr>
  </property>
  <property fmtid="{D5CDD505-2E9C-101B-9397-08002B2CF9AE}" pid="25" name="p775b71f3c48425088863e53b6101f05">
    <vt:lpwstr/>
  </property>
  <property fmtid="{D5CDD505-2E9C-101B-9397-08002B2CF9AE}" pid="26" name="DIARiskDocumentType">
    <vt:lpwstr/>
  </property>
  <property fmtid="{D5CDD505-2E9C-101B-9397-08002B2CF9AE}" pid="27" name="DIAMediaContext">
    <vt:lpwstr/>
  </property>
  <property fmtid="{D5CDD505-2E9C-101B-9397-08002B2CF9AE}" pid="28" name="DIAMediaDocumentType">
    <vt:lpwstr/>
  </property>
  <property fmtid="{D5CDD505-2E9C-101B-9397-08002B2CF9AE}" pid="29" name="o2f22aac53bd4fed8afdac54e6ae7a01">
    <vt:lpwstr/>
  </property>
  <property fmtid="{D5CDD505-2E9C-101B-9397-08002B2CF9AE}" pid="30" name="g609aff9ecd24ab38609c460e0c14162">
    <vt:lpwstr/>
  </property>
  <property fmtid="{D5CDD505-2E9C-101B-9397-08002B2CF9AE}" pid="31" name="b6dab2e87b6a495ebad2906ab9494053">
    <vt:lpwstr/>
  </property>
  <property fmtid="{D5CDD505-2E9C-101B-9397-08002B2CF9AE}" pid="32" name="b8125b411deb43b39fbac22e7dbd246d">
    <vt:lpwstr/>
  </property>
  <property fmtid="{D5CDD505-2E9C-101B-9397-08002B2CF9AE}" pid="33" name="DIAMeetingDocumentType">
    <vt:lpwstr/>
  </property>
  <property fmtid="{D5CDD505-2E9C-101B-9397-08002B2CF9AE}" pid="34" name="cb6da5c5aafc43b8999d425e11a66ba9">
    <vt:lpwstr/>
  </property>
  <property fmtid="{D5CDD505-2E9C-101B-9397-08002B2CF9AE}" pid="35" name="o548e6814ab94c938ba56a3d768e8f45">
    <vt:lpwstr/>
  </property>
  <property fmtid="{D5CDD505-2E9C-101B-9397-08002B2CF9AE}" pid="36" name="a5be7c9889484186a869be5aa1b9c3a4">
    <vt:lpwstr/>
  </property>
  <property fmtid="{D5CDD505-2E9C-101B-9397-08002B2CF9AE}" pid="37" name="h6a4697b39e74ba095548f0435f03d14">
    <vt:lpwstr/>
  </property>
  <property fmtid="{D5CDD505-2E9C-101B-9397-08002B2CF9AE}" pid="38" name="DIAAdministrationDocumentType">
    <vt:lpwstr/>
  </property>
  <property fmtid="{D5CDD505-2E9C-101B-9397-08002B2CF9AE}" pid="39" name="DIABriefingAudience">
    <vt:lpwstr/>
  </property>
  <property fmtid="{D5CDD505-2E9C-101B-9397-08002B2CF9AE}" pid="40" name="DIAFinancialDocumentType">
    <vt:lpwstr/>
  </property>
  <property fmtid="{D5CDD505-2E9C-101B-9397-08002B2CF9AE}" pid="41" name="DIAPlanningDocumentType">
    <vt:lpwstr/>
  </property>
  <property fmtid="{D5CDD505-2E9C-101B-9397-08002B2CF9AE}" pid="42" name="C3FinancialYearNote">
    <vt:lpwstr/>
  </property>
  <property fmtid="{D5CDD505-2E9C-101B-9397-08002B2CF9AE}" pid="43" name="C3FinancialYear">
    <vt:lpwstr/>
  </property>
  <property fmtid="{D5CDD505-2E9C-101B-9397-08002B2CF9AE}" pid="44" name="DIAPublicationType">
    <vt:lpwstr/>
  </property>
  <property fmtid="{D5CDD505-2E9C-101B-9397-08002B2CF9AE}" pid="45" name="le8f14e3a5174dcd8947229fe72147e2">
    <vt:lpwstr/>
  </property>
  <property fmtid="{D5CDD505-2E9C-101B-9397-08002B2CF9AE}" pid="46" name="DIABriefingType">
    <vt:lpwstr/>
  </property>
  <property fmtid="{D5CDD505-2E9C-101B-9397-08002B2CF9AE}" pid="47" name="DIAPersonAssigned">
    <vt:lpwstr/>
  </property>
  <property fmtid="{D5CDD505-2E9C-101B-9397-08002B2CF9AE}" pid="48" name="MediaServiceImageTags">
    <vt:lpwstr/>
  </property>
  <property fmtid="{D5CDD505-2E9C-101B-9397-08002B2CF9AE}" pid="49" name="ContentTypeId">
    <vt:lpwstr>0x010100A26E2D5DBD59C64F9B33E481D7267B9403009C070B38FD5558488D64D6010A7474F6</vt:lpwstr>
  </property>
  <property fmtid="{D5CDD505-2E9C-101B-9397-08002B2CF9AE}" pid="50" name="RevIMBCS">
    <vt:lpwstr>6;#BCS|fe27fdf8-0f5f-4818-8814-5d57df057769</vt:lpwstr>
  </property>
  <property fmtid="{D5CDD505-2E9C-101B-9397-08002B2CF9AE}" pid="51" name="_dlc_DocIdItemGuid">
    <vt:lpwstr>5b778729-e94b-490c-89c1-ad214fe7d4f0</vt:lpwstr>
  </property>
  <property fmtid="{D5CDD505-2E9C-101B-9397-08002B2CF9AE}" pid="52" name="DIACountry">
    <vt:lpwstr/>
  </property>
  <property fmtid="{D5CDD505-2E9C-101B-9397-08002B2CF9AE}" pid="53" name="DIAEventorVisitType">
    <vt:lpwstr/>
  </property>
</Properties>
</file>