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9DB0A" w14:textId="6FD32CE6" w:rsidR="008D5CD9" w:rsidRPr="00E95640" w:rsidRDefault="009A2280" w:rsidP="007F5204">
      <w:pPr>
        <w:rPr>
          <w:rFonts w:cs="Arial"/>
        </w:rPr>
      </w:pPr>
      <w:bookmarkStart w:id="0" w:name="_Toc244580362"/>
      <w:bookmarkStart w:id="1" w:name="_Toc244587038"/>
      <w:bookmarkStart w:id="2" w:name="_Toc244857272"/>
      <w:bookmarkStart w:id="3" w:name="_Toc244912537"/>
      <w:bookmarkStart w:id="4" w:name="_Toc244916994"/>
      <w:bookmarkStart w:id="5" w:name="_Toc362368102"/>
      <w:bookmarkStart w:id="6" w:name="_Toc362940592"/>
      <w:bookmarkStart w:id="7" w:name="_Toc363047100"/>
      <w:bookmarkStart w:id="8" w:name="_Toc111173195"/>
      <w:bookmarkStart w:id="9" w:name="_Toc112306482"/>
      <w:bookmarkStart w:id="10" w:name="_Toc114287559"/>
      <w:bookmarkStart w:id="11" w:name="_Toc115188196"/>
      <w:bookmarkStart w:id="12" w:name="_Toc118514380"/>
      <w:bookmarkStart w:id="13" w:name="_Toc110071692"/>
      <w:bookmarkStart w:id="14" w:name="_Toc110072564"/>
      <w:bookmarkStart w:id="15" w:name="_Toc138735614"/>
      <w:bookmarkStart w:id="16" w:name="_Toc139335927"/>
      <w:bookmarkStart w:id="17" w:name="_Toc362526401"/>
      <w:r w:rsidRPr="007F5204">
        <w:rPr>
          <w:rFonts w:cs="Arial"/>
          <w:b/>
          <w:color w:val="0082AB"/>
          <w:spacing w:val="20"/>
          <w:w w:val="90"/>
          <w:sz w:val="44"/>
          <w:szCs w:val="44"/>
          <w:lang w:val="en-NZ"/>
        </w:rPr>
        <w:t>Cost Recovery</w:t>
      </w:r>
      <w:r w:rsidR="008D5CD9" w:rsidRPr="007F5204">
        <w:rPr>
          <w:rFonts w:cs="Arial"/>
          <w:b/>
          <w:color w:val="0082AB"/>
          <w:spacing w:val="20"/>
          <w:w w:val="90"/>
          <w:sz w:val="44"/>
          <w:szCs w:val="44"/>
          <w:lang w:val="en-NZ"/>
        </w:rPr>
        <w:t xml:space="preserve"> Impact Statement</w:t>
      </w:r>
      <w:bookmarkEnd w:id="0"/>
      <w:bookmarkEnd w:id="1"/>
      <w:bookmarkEnd w:id="2"/>
      <w:bookmarkEnd w:id="3"/>
      <w:bookmarkEnd w:id="4"/>
      <w:bookmarkEnd w:id="5"/>
      <w:bookmarkEnd w:id="6"/>
      <w:bookmarkEnd w:id="7"/>
      <w:r w:rsidR="00E27830" w:rsidRPr="007F5204">
        <w:rPr>
          <w:rFonts w:cs="Arial"/>
          <w:b/>
          <w:color w:val="0082AB"/>
          <w:spacing w:val="20"/>
          <w:w w:val="90"/>
          <w:sz w:val="44"/>
          <w:szCs w:val="44"/>
          <w:lang w:val="en-NZ"/>
        </w:rPr>
        <w:t xml:space="preserve"> – Lake Taupō fees review</w:t>
      </w:r>
    </w:p>
    <w:p w14:paraId="302320F0" w14:textId="77777777" w:rsidR="008D5CD9" w:rsidRPr="007F5204" w:rsidRDefault="008D5CD9" w:rsidP="00244F20">
      <w:pPr>
        <w:pStyle w:val="Heading2"/>
        <w:rPr>
          <w:rFonts w:cs="Arial"/>
        </w:rPr>
      </w:pPr>
      <w:bookmarkStart w:id="18" w:name="_Toc362434943"/>
      <w:bookmarkStart w:id="19" w:name="_Toc362589329"/>
      <w:bookmarkStart w:id="20" w:name="_Toc362619029"/>
      <w:bookmarkStart w:id="21" w:name="_Toc362940593"/>
      <w:bookmarkStart w:id="22" w:name="_Toc363047101"/>
      <w:r w:rsidRPr="007F5204">
        <w:rPr>
          <w:rFonts w:cs="Arial"/>
        </w:rPr>
        <w:t>Agency Disclosure Statement</w:t>
      </w:r>
      <w:bookmarkEnd w:id="18"/>
      <w:bookmarkEnd w:id="19"/>
      <w:bookmarkEnd w:id="20"/>
      <w:bookmarkEnd w:id="21"/>
      <w:bookmarkEnd w:id="22"/>
      <w:r w:rsidRPr="007F5204">
        <w:rPr>
          <w:rFonts w:cs="Arial"/>
        </w:rPr>
        <w:t xml:space="preserve"> </w:t>
      </w:r>
    </w:p>
    <w:p w14:paraId="4EB35CDF" w14:textId="3DD6907A" w:rsidR="008D5CD9" w:rsidRPr="00BA1ED2" w:rsidRDefault="008D5CD9" w:rsidP="007F5204">
      <w:r w:rsidRPr="00BA1ED2">
        <w:rPr>
          <w:rFonts w:cs="Arial"/>
        </w:rPr>
        <w:t xml:space="preserve">This </w:t>
      </w:r>
      <w:r w:rsidR="00E72799" w:rsidRPr="00BA1ED2">
        <w:rPr>
          <w:rFonts w:cs="Arial"/>
        </w:rPr>
        <w:t xml:space="preserve">Cost Recovery </w:t>
      </w:r>
      <w:r w:rsidRPr="00BA1ED2">
        <w:rPr>
          <w:rFonts w:cs="Arial"/>
        </w:rPr>
        <w:t xml:space="preserve">Impact Statement </w:t>
      </w:r>
      <w:r w:rsidR="001E0958" w:rsidRPr="00BA1ED2">
        <w:rPr>
          <w:rFonts w:cs="Arial"/>
        </w:rPr>
        <w:t xml:space="preserve">(CRIS) </w:t>
      </w:r>
      <w:r w:rsidRPr="00BA1ED2">
        <w:rPr>
          <w:rFonts w:cs="Arial"/>
        </w:rPr>
        <w:t xml:space="preserve">has been prepared by </w:t>
      </w:r>
      <w:r w:rsidR="00AE1EE7" w:rsidRPr="00BA1ED2">
        <w:rPr>
          <w:rFonts w:cs="Arial"/>
        </w:rPr>
        <w:t>the Department of Internal Affairs</w:t>
      </w:r>
      <w:r w:rsidR="00E95640">
        <w:rPr>
          <w:rFonts w:cs="Arial"/>
        </w:rPr>
        <w:t xml:space="preserve"> (the Department)</w:t>
      </w:r>
      <w:r w:rsidR="00AE1EE7" w:rsidRPr="00BA1ED2">
        <w:rPr>
          <w:rFonts w:cs="Arial"/>
        </w:rPr>
        <w:t xml:space="preserve">. </w:t>
      </w:r>
      <w:r w:rsidRPr="00BA1ED2">
        <w:rPr>
          <w:rFonts w:cs="Arial"/>
        </w:rPr>
        <w:t xml:space="preserve">It provides analysis of </w:t>
      </w:r>
      <w:r w:rsidR="009E49D0" w:rsidRPr="00BA1ED2">
        <w:rPr>
          <w:rFonts w:cs="Arial"/>
        </w:rPr>
        <w:t>the Department’s recommendation</w:t>
      </w:r>
      <w:r w:rsidRPr="00BA1ED2">
        <w:rPr>
          <w:rFonts w:cs="Arial"/>
        </w:rPr>
        <w:t xml:space="preserve"> to</w:t>
      </w:r>
      <w:r w:rsidR="009E49D0" w:rsidRPr="00BA1ED2">
        <w:rPr>
          <w:rFonts w:cs="Arial"/>
        </w:rPr>
        <w:t xml:space="preserve"> </w:t>
      </w:r>
      <w:r w:rsidR="006B1BBE" w:rsidRPr="00BA1ED2">
        <w:rPr>
          <w:rFonts w:cs="Arial"/>
        </w:rPr>
        <w:t>increase</w:t>
      </w:r>
      <w:r w:rsidR="009E49D0" w:rsidRPr="00BA1ED2">
        <w:rPr>
          <w:rFonts w:cs="Arial"/>
        </w:rPr>
        <w:t xml:space="preserve"> the fees charged for the Crown</w:t>
      </w:r>
      <w:r w:rsidR="00041C6B" w:rsidRPr="00BA1ED2">
        <w:rPr>
          <w:rFonts w:cs="Arial"/>
        </w:rPr>
        <w:t>-</w:t>
      </w:r>
      <w:r w:rsidR="009E49D0" w:rsidRPr="00BA1ED2">
        <w:rPr>
          <w:rFonts w:cs="Arial"/>
        </w:rPr>
        <w:t>owned and administered boating facilities on Lake Taupō</w:t>
      </w:r>
      <w:r w:rsidR="006B1BBE" w:rsidRPr="00BA1ED2">
        <w:rPr>
          <w:rFonts w:cs="Arial"/>
        </w:rPr>
        <w:t>.</w:t>
      </w:r>
    </w:p>
    <w:p w14:paraId="51FEAE01" w14:textId="5E6BCEFA" w:rsidR="00041C6B" w:rsidRPr="00BA1ED2" w:rsidRDefault="00041C6B" w:rsidP="007F5204">
      <w:r w:rsidRPr="00BA1ED2">
        <w:rPr>
          <w:rFonts w:cs="Arial"/>
        </w:rPr>
        <w:t xml:space="preserve">The proposal is for a fee increase of 22 per cent for the boating facilities (with some exceptions) to be implemented immediately and </w:t>
      </w:r>
      <w:r w:rsidR="007F5204" w:rsidRPr="00BA1ED2">
        <w:rPr>
          <w:rFonts w:cs="Arial"/>
        </w:rPr>
        <w:t>a further fee</w:t>
      </w:r>
      <w:r w:rsidRPr="00BA1ED2">
        <w:rPr>
          <w:rFonts w:cs="Arial"/>
        </w:rPr>
        <w:t xml:space="preserve"> review to take place in three years’ time. The immediate fee increase is intended to stabilise the balance </w:t>
      </w:r>
      <w:r w:rsidR="007107FE" w:rsidRPr="00BA1ED2">
        <w:rPr>
          <w:rFonts w:cs="Arial"/>
        </w:rPr>
        <w:t>o</w:t>
      </w:r>
      <w:r w:rsidR="007107FE">
        <w:rPr>
          <w:rFonts w:cs="Arial"/>
        </w:rPr>
        <w:t>f</w:t>
      </w:r>
      <w:r w:rsidR="007107FE" w:rsidRPr="00BA1ED2">
        <w:rPr>
          <w:rFonts w:cs="Arial"/>
        </w:rPr>
        <w:t xml:space="preserve"> </w:t>
      </w:r>
      <w:r w:rsidRPr="00BA1ED2">
        <w:rPr>
          <w:rFonts w:cs="Arial"/>
        </w:rPr>
        <w:t xml:space="preserve">the </w:t>
      </w:r>
      <w:r w:rsidRPr="00BA1ED2">
        <w:rPr>
          <w:rFonts w:cs="Arial"/>
          <w:i/>
        </w:rPr>
        <w:t>Use of Facilities and Access to Lake Taupo by Boat Users</w:t>
      </w:r>
      <w:r w:rsidRPr="00BA1ED2">
        <w:rPr>
          <w:rFonts w:cs="Arial"/>
        </w:rPr>
        <w:t xml:space="preserve"> memorandum account (the memorandum account) and stop the deficit from increasing significantly. The further fees review in three years’ time will consider what further fee increase is necessary to balance the memorandum account within ten years.</w:t>
      </w:r>
    </w:p>
    <w:p w14:paraId="1F03D862" w14:textId="77777777" w:rsidR="0038072A" w:rsidRPr="00BA1ED2" w:rsidRDefault="0038072A" w:rsidP="007F5204">
      <w:r w:rsidRPr="00BA1ED2">
        <w:rPr>
          <w:rFonts w:cs="Arial"/>
        </w:rPr>
        <w:t xml:space="preserve">The Department undertook financial modelling to determine </w:t>
      </w:r>
      <w:r w:rsidR="00440213" w:rsidRPr="00BA1ED2">
        <w:rPr>
          <w:rFonts w:cs="Arial"/>
        </w:rPr>
        <w:t>new fees</w:t>
      </w:r>
      <w:r w:rsidRPr="00BA1ED2">
        <w:rPr>
          <w:rFonts w:cs="Arial"/>
        </w:rPr>
        <w:t xml:space="preserve"> that would balance the memorandum account. It also undertook some </w:t>
      </w:r>
      <w:r w:rsidR="005866EE" w:rsidRPr="00BA1ED2">
        <w:rPr>
          <w:rFonts w:cs="Arial"/>
        </w:rPr>
        <w:t xml:space="preserve">limited </w:t>
      </w:r>
      <w:r w:rsidRPr="00BA1ED2">
        <w:rPr>
          <w:rFonts w:cs="Arial"/>
        </w:rPr>
        <w:t xml:space="preserve">comparative analysis </w:t>
      </w:r>
      <w:r w:rsidR="000E6BC9" w:rsidRPr="00BA1ED2">
        <w:rPr>
          <w:rFonts w:cs="Arial"/>
        </w:rPr>
        <w:t>with</w:t>
      </w:r>
      <w:r w:rsidRPr="00BA1ED2">
        <w:rPr>
          <w:rFonts w:cs="Arial"/>
        </w:rPr>
        <w:t xml:space="preserve"> other marinas around the country. </w:t>
      </w:r>
    </w:p>
    <w:p w14:paraId="5F144A36" w14:textId="77777777" w:rsidR="00CD29F0" w:rsidRPr="00BA1ED2" w:rsidRDefault="00365619" w:rsidP="007F5204">
      <w:r w:rsidRPr="00BA1ED2">
        <w:rPr>
          <w:rFonts w:cs="Arial"/>
        </w:rPr>
        <w:t xml:space="preserve">Following </w:t>
      </w:r>
      <w:r w:rsidR="007663DD" w:rsidRPr="00BA1ED2">
        <w:rPr>
          <w:rFonts w:cs="Arial"/>
        </w:rPr>
        <w:t xml:space="preserve">substantive </w:t>
      </w:r>
      <w:r w:rsidRPr="00BA1ED2">
        <w:rPr>
          <w:rFonts w:cs="Arial"/>
        </w:rPr>
        <w:t>consultation</w:t>
      </w:r>
      <w:r w:rsidR="007663DD" w:rsidRPr="00BA1ED2">
        <w:rPr>
          <w:rFonts w:cs="Arial"/>
        </w:rPr>
        <w:t xml:space="preserve"> with users of the boating facilities</w:t>
      </w:r>
      <w:r w:rsidRPr="00BA1ED2">
        <w:rPr>
          <w:rFonts w:cs="Arial"/>
        </w:rPr>
        <w:t xml:space="preserve">, we propose </w:t>
      </w:r>
      <w:r w:rsidR="00440213" w:rsidRPr="00BA1ED2">
        <w:rPr>
          <w:rFonts w:cs="Arial"/>
        </w:rPr>
        <w:t xml:space="preserve">a lower fee increase </w:t>
      </w:r>
      <w:r w:rsidRPr="00BA1ED2">
        <w:rPr>
          <w:rFonts w:cs="Arial"/>
        </w:rPr>
        <w:t xml:space="preserve">than </w:t>
      </w:r>
      <w:r w:rsidR="0044073D" w:rsidRPr="00BA1ED2">
        <w:rPr>
          <w:rFonts w:cs="Arial"/>
        </w:rPr>
        <w:t xml:space="preserve">we </w:t>
      </w:r>
      <w:r w:rsidRPr="00BA1ED2">
        <w:rPr>
          <w:rFonts w:cs="Arial"/>
        </w:rPr>
        <w:t>consulted on.</w:t>
      </w:r>
      <w:r w:rsidR="00CD29F0" w:rsidRPr="00BA1ED2">
        <w:rPr>
          <w:rFonts w:cs="Arial"/>
        </w:rPr>
        <w:t xml:space="preserve"> </w:t>
      </w:r>
      <w:r w:rsidR="003D26DF" w:rsidRPr="00BA1ED2">
        <w:rPr>
          <w:rFonts w:cs="Arial"/>
        </w:rPr>
        <w:t>We have achieved this by changing some of our assumptions as outlined in this CRIS.</w:t>
      </w:r>
      <w:r w:rsidRPr="00BA1ED2">
        <w:rPr>
          <w:rFonts w:cs="Arial"/>
        </w:rPr>
        <w:t xml:space="preserve"> We </w:t>
      </w:r>
      <w:r w:rsidR="00440213" w:rsidRPr="00BA1ED2">
        <w:rPr>
          <w:rFonts w:cs="Arial"/>
        </w:rPr>
        <w:t xml:space="preserve">consider </w:t>
      </w:r>
      <w:r w:rsidRPr="00BA1ED2">
        <w:rPr>
          <w:rFonts w:cs="Arial"/>
        </w:rPr>
        <w:t xml:space="preserve">a lower fee increase </w:t>
      </w:r>
      <w:r w:rsidR="00440213" w:rsidRPr="00BA1ED2">
        <w:rPr>
          <w:rFonts w:cs="Arial"/>
        </w:rPr>
        <w:t>is more sustainable given the demand for the facilities</w:t>
      </w:r>
      <w:r w:rsidR="003D26DF" w:rsidRPr="00BA1ED2">
        <w:rPr>
          <w:rFonts w:cs="Arial"/>
        </w:rPr>
        <w:t xml:space="preserve"> and will still balance the memorandum account within a reasonable </w:t>
      </w:r>
      <w:proofErr w:type="gramStart"/>
      <w:r w:rsidR="003D26DF" w:rsidRPr="00BA1ED2">
        <w:rPr>
          <w:rFonts w:cs="Arial"/>
        </w:rPr>
        <w:t>period of time</w:t>
      </w:r>
      <w:proofErr w:type="gramEnd"/>
      <w:r w:rsidR="003D26DF" w:rsidRPr="00BA1ED2">
        <w:rPr>
          <w:rFonts w:cs="Arial"/>
        </w:rPr>
        <w:t>.</w:t>
      </w:r>
      <w:r w:rsidR="00041C6B" w:rsidRPr="00BA1ED2">
        <w:rPr>
          <w:rFonts w:cs="Arial"/>
        </w:rPr>
        <w:t xml:space="preserve"> It is likely that a further fee increase in three years will be necessary to balance the memorandum account, but this (and the amount of any further fee increase) is subject to analysis of fees and costs over that period.</w:t>
      </w:r>
      <w:r w:rsidR="003D26DF" w:rsidRPr="00BA1ED2">
        <w:rPr>
          <w:rFonts w:cs="Arial"/>
        </w:rPr>
        <w:t xml:space="preserve"> </w:t>
      </w:r>
    </w:p>
    <w:p w14:paraId="64BF84CC" w14:textId="7BDCC4BB" w:rsidR="0038072A" w:rsidRPr="00BA1ED2" w:rsidRDefault="00440213" w:rsidP="007F5204">
      <w:r w:rsidRPr="00BA1ED2">
        <w:rPr>
          <w:rFonts w:cs="Arial"/>
        </w:rPr>
        <w:t xml:space="preserve">Our </w:t>
      </w:r>
      <w:r w:rsidR="00134C28" w:rsidRPr="00BA1ED2">
        <w:rPr>
          <w:rFonts w:cs="Arial"/>
        </w:rPr>
        <w:t xml:space="preserve">analysis assumes that demand for the boating facilities </w:t>
      </w:r>
      <w:r w:rsidR="000E6BC9" w:rsidRPr="00BA1ED2">
        <w:rPr>
          <w:rFonts w:cs="Arial"/>
        </w:rPr>
        <w:t xml:space="preserve">under the proposed fee increases </w:t>
      </w:r>
      <w:r w:rsidR="00134C28" w:rsidRPr="00BA1ED2">
        <w:rPr>
          <w:rFonts w:cs="Arial"/>
        </w:rPr>
        <w:t>will remain constant or increase over time</w:t>
      </w:r>
      <w:r w:rsidR="00C45975" w:rsidRPr="00BA1ED2">
        <w:rPr>
          <w:rFonts w:cs="Arial"/>
        </w:rPr>
        <w:t>, and</w:t>
      </w:r>
      <w:r w:rsidR="0038072A" w:rsidRPr="00BA1ED2">
        <w:rPr>
          <w:rFonts w:cs="Arial"/>
        </w:rPr>
        <w:t xml:space="preserve"> that expenses incurred by the Department will increase at the </w:t>
      </w:r>
      <w:r w:rsidR="006B1BBE" w:rsidRPr="00BA1ED2">
        <w:rPr>
          <w:rFonts w:cs="Arial"/>
        </w:rPr>
        <w:t xml:space="preserve">same </w:t>
      </w:r>
      <w:r w:rsidR="0038072A" w:rsidRPr="00BA1ED2">
        <w:rPr>
          <w:rFonts w:cs="Arial"/>
        </w:rPr>
        <w:t xml:space="preserve">rate </w:t>
      </w:r>
      <w:r w:rsidR="006B1BBE" w:rsidRPr="00BA1ED2">
        <w:rPr>
          <w:rFonts w:cs="Arial"/>
        </w:rPr>
        <w:t>as consumer price</w:t>
      </w:r>
      <w:r w:rsidR="0038072A" w:rsidRPr="00BA1ED2">
        <w:rPr>
          <w:rFonts w:cs="Arial"/>
        </w:rPr>
        <w:t xml:space="preserve"> inflation.</w:t>
      </w:r>
      <w:r w:rsidR="000E6BC9" w:rsidRPr="00BA1ED2">
        <w:rPr>
          <w:rFonts w:cs="Arial"/>
        </w:rPr>
        <w:t xml:space="preserve"> </w:t>
      </w:r>
      <w:r w:rsidR="0038072A" w:rsidRPr="00BA1ED2">
        <w:rPr>
          <w:rFonts w:cs="Arial"/>
        </w:rPr>
        <w:t>Should expenses increase by more than inflation, demand drop, or large expenditure arise that ha</w:t>
      </w:r>
      <w:r w:rsidR="003D1B2A" w:rsidRPr="00BA1ED2">
        <w:rPr>
          <w:rFonts w:cs="Arial"/>
        </w:rPr>
        <w:t>d</w:t>
      </w:r>
      <w:r w:rsidR="0038072A" w:rsidRPr="00BA1ED2">
        <w:rPr>
          <w:rFonts w:cs="Arial"/>
        </w:rPr>
        <w:t xml:space="preserve"> not been </w:t>
      </w:r>
      <w:r w:rsidR="003D1B2A" w:rsidRPr="00BA1ED2">
        <w:rPr>
          <w:rFonts w:cs="Arial"/>
        </w:rPr>
        <w:t xml:space="preserve">allowed </w:t>
      </w:r>
      <w:r w:rsidR="0038072A" w:rsidRPr="00BA1ED2">
        <w:rPr>
          <w:rFonts w:cs="Arial"/>
        </w:rPr>
        <w:t>for</w:t>
      </w:r>
      <w:r w:rsidR="003D1B2A" w:rsidRPr="00BA1ED2">
        <w:rPr>
          <w:rFonts w:cs="Arial"/>
        </w:rPr>
        <w:t xml:space="preserve"> in our analysis</w:t>
      </w:r>
      <w:r w:rsidR="008C2342" w:rsidRPr="00BA1ED2">
        <w:rPr>
          <w:rFonts w:cs="Arial"/>
        </w:rPr>
        <w:t>,</w:t>
      </w:r>
      <w:r w:rsidR="0038072A" w:rsidRPr="00BA1ED2">
        <w:rPr>
          <w:rFonts w:cs="Arial"/>
        </w:rPr>
        <w:t xml:space="preserve"> </w:t>
      </w:r>
      <w:r w:rsidR="006B1BBE" w:rsidRPr="00BA1ED2">
        <w:rPr>
          <w:rFonts w:cs="Arial"/>
        </w:rPr>
        <w:t>the fee increase will not be sufficient</w:t>
      </w:r>
      <w:r w:rsidR="001E0958" w:rsidRPr="00BA1ED2">
        <w:rPr>
          <w:rFonts w:cs="Arial"/>
        </w:rPr>
        <w:t xml:space="preserve"> to balance the memorandum account</w:t>
      </w:r>
      <w:r w:rsidR="0038072A" w:rsidRPr="00BA1ED2">
        <w:rPr>
          <w:rFonts w:cs="Arial"/>
        </w:rPr>
        <w:t xml:space="preserve">. </w:t>
      </w:r>
      <w:r w:rsidR="0044073D" w:rsidRPr="00BA1ED2">
        <w:rPr>
          <w:rFonts w:cs="Arial"/>
        </w:rPr>
        <w:t xml:space="preserve">Our analysis also assumes that an additional fee increase will be </w:t>
      </w:r>
      <w:r w:rsidR="008B4E2D" w:rsidRPr="00BA1ED2">
        <w:rPr>
          <w:rFonts w:cs="Arial"/>
        </w:rPr>
        <w:t xml:space="preserve">needed </w:t>
      </w:r>
      <w:r w:rsidR="0044073D" w:rsidRPr="00BA1ED2">
        <w:rPr>
          <w:rFonts w:cs="Arial"/>
        </w:rPr>
        <w:t xml:space="preserve">following the next fee review </w:t>
      </w:r>
      <w:r w:rsidR="001E0958" w:rsidRPr="00BA1ED2">
        <w:rPr>
          <w:rFonts w:cs="Arial"/>
        </w:rPr>
        <w:t xml:space="preserve">in 2022. </w:t>
      </w:r>
    </w:p>
    <w:p w14:paraId="66A5FF35" w14:textId="49A46FB9" w:rsidR="0038072A" w:rsidRPr="00BA1ED2" w:rsidRDefault="0038072A" w:rsidP="007F5204">
      <w:r w:rsidRPr="00BA1ED2">
        <w:rPr>
          <w:rFonts w:cs="Arial"/>
        </w:rPr>
        <w:t xml:space="preserve">Should the proposed </w:t>
      </w:r>
      <w:r w:rsidR="00041C6B" w:rsidRPr="00BA1ED2">
        <w:rPr>
          <w:rFonts w:cs="Arial"/>
        </w:rPr>
        <w:t xml:space="preserve">fee </w:t>
      </w:r>
      <w:r w:rsidRPr="00BA1ED2">
        <w:rPr>
          <w:rFonts w:cs="Arial"/>
        </w:rPr>
        <w:t xml:space="preserve">increase be agreed by Cabinet, </w:t>
      </w:r>
      <w:r w:rsidR="00041C6B" w:rsidRPr="00BA1ED2">
        <w:rPr>
          <w:rFonts w:cs="Arial"/>
        </w:rPr>
        <w:t xml:space="preserve">it </w:t>
      </w:r>
      <w:r w:rsidR="009E320A" w:rsidRPr="00BA1ED2">
        <w:rPr>
          <w:rFonts w:cs="Arial"/>
        </w:rPr>
        <w:t>will</w:t>
      </w:r>
      <w:r w:rsidRPr="00BA1ED2">
        <w:rPr>
          <w:rFonts w:cs="Arial"/>
        </w:rPr>
        <w:t xml:space="preserve"> be implemented by September 2019. </w:t>
      </w:r>
    </w:p>
    <w:p w14:paraId="6F8352F0" w14:textId="123C6072" w:rsidR="00184B2D" w:rsidRPr="007F5204" w:rsidRDefault="00184B2D">
      <w:pPr>
        <w:rPr>
          <w:rFonts w:cs="Arial"/>
        </w:rPr>
      </w:pPr>
      <w:bookmarkStart w:id="23" w:name="_Hlk9332487"/>
      <w:r w:rsidRPr="00E95640">
        <w:rPr>
          <w:rFonts w:cs="Arial"/>
        </w:rPr>
        <w:t xml:space="preserve">This CRIS was originally published on </w:t>
      </w:r>
      <w:bookmarkEnd w:id="23"/>
      <w:r w:rsidR="00CB71E2">
        <w:rPr>
          <w:rFonts w:cs="Arial"/>
        </w:rPr>
        <w:t>5 September 2019</w:t>
      </w:r>
      <w:bookmarkStart w:id="24" w:name="_GoBack"/>
      <w:bookmarkEnd w:id="24"/>
      <w:r w:rsidR="0038072A" w:rsidRPr="007F5204">
        <w:rPr>
          <w:rFonts w:cs="Arial"/>
        </w:rPr>
        <w:t>.</w:t>
      </w:r>
    </w:p>
    <w:p w14:paraId="7F80CD07" w14:textId="77777777" w:rsidR="00D57A02" w:rsidRDefault="00D57A02" w:rsidP="001F492F">
      <w:pPr>
        <w:pStyle w:val="Text"/>
        <w:spacing w:before="0" w:after="180" w:line="280" w:lineRule="atLeast"/>
        <w:ind w:right="170"/>
        <w:rPr>
          <w:rFonts w:cs="Arial"/>
          <w:lang w:val="en-NZ"/>
        </w:rPr>
      </w:pPr>
    </w:p>
    <w:p w14:paraId="29BF9692" w14:textId="36A0E294" w:rsidR="00D57A02" w:rsidRDefault="00D57A02" w:rsidP="001F492F">
      <w:pPr>
        <w:pStyle w:val="Text"/>
        <w:spacing w:before="0" w:after="180" w:line="280" w:lineRule="atLeast"/>
        <w:ind w:right="170"/>
        <w:rPr>
          <w:rFonts w:cs="Arial"/>
          <w:lang w:val="en-NZ"/>
        </w:rPr>
      </w:pPr>
    </w:p>
    <w:p w14:paraId="55212054" w14:textId="77777777" w:rsidR="00D57A02" w:rsidRDefault="00D57A02" w:rsidP="001F492F">
      <w:pPr>
        <w:pStyle w:val="Text"/>
        <w:spacing w:before="0" w:after="180" w:line="280" w:lineRule="atLeast"/>
        <w:ind w:right="170"/>
        <w:rPr>
          <w:rFonts w:cs="Arial"/>
          <w:lang w:val="en-NZ"/>
        </w:rPr>
      </w:pPr>
    </w:p>
    <w:p w14:paraId="1C11BA59" w14:textId="0B4679E9" w:rsidR="008D5CD9" w:rsidRPr="00BA1ED2" w:rsidRDefault="005866EE" w:rsidP="001F492F">
      <w:pPr>
        <w:pStyle w:val="Text"/>
        <w:spacing w:before="0" w:after="180" w:line="280" w:lineRule="atLeast"/>
        <w:ind w:right="170"/>
        <w:rPr>
          <w:rFonts w:cs="Arial"/>
          <w:lang w:val="en-NZ"/>
        </w:rPr>
      </w:pPr>
      <w:r w:rsidRPr="00BA1ED2">
        <w:rPr>
          <w:rFonts w:cs="Arial"/>
          <w:lang w:val="en-NZ"/>
        </w:rPr>
        <w:t>Raj</w:t>
      </w:r>
      <w:r w:rsidR="00C55BE3" w:rsidRPr="00BA1ED2">
        <w:rPr>
          <w:rFonts w:cs="Arial"/>
          <w:lang w:val="en-NZ"/>
        </w:rPr>
        <w:t xml:space="preserve"> Krishnan</w:t>
      </w:r>
    </w:p>
    <w:p w14:paraId="0F491963" w14:textId="48671BC3" w:rsidR="008D5CD9" w:rsidRPr="00BA1ED2" w:rsidRDefault="005866EE" w:rsidP="00D57A02">
      <w:pPr>
        <w:pStyle w:val="Text"/>
        <w:spacing w:before="0" w:after="180" w:line="280" w:lineRule="atLeast"/>
        <w:ind w:right="170"/>
        <w:rPr>
          <w:rFonts w:cs="Arial"/>
          <w:lang w:val="en-NZ"/>
        </w:rPr>
      </w:pPr>
      <w:r w:rsidRPr="00BA1ED2">
        <w:rPr>
          <w:rFonts w:cs="Arial"/>
          <w:lang w:val="en-NZ"/>
        </w:rPr>
        <w:t>G</w:t>
      </w:r>
      <w:r w:rsidR="00C55BE3" w:rsidRPr="00BA1ED2">
        <w:rPr>
          <w:rFonts w:cs="Arial"/>
          <w:lang w:val="en-NZ"/>
        </w:rPr>
        <w:t xml:space="preserve">eneral </w:t>
      </w:r>
      <w:r w:rsidRPr="00BA1ED2">
        <w:rPr>
          <w:rFonts w:cs="Arial"/>
          <w:lang w:val="en-NZ"/>
        </w:rPr>
        <w:t>M</w:t>
      </w:r>
      <w:r w:rsidR="00C55BE3" w:rsidRPr="00BA1ED2">
        <w:rPr>
          <w:rFonts w:cs="Arial"/>
          <w:lang w:val="en-NZ"/>
        </w:rPr>
        <w:t>anager</w:t>
      </w:r>
      <w:r w:rsidRPr="00BA1ED2">
        <w:rPr>
          <w:rFonts w:cs="Arial"/>
          <w:lang w:val="en-NZ"/>
        </w:rPr>
        <w:t xml:space="preserve"> </w:t>
      </w:r>
      <w:r w:rsidR="00C55BE3" w:rsidRPr="00BA1ED2">
        <w:rPr>
          <w:rFonts w:cs="Arial"/>
          <w:lang w:val="en-NZ"/>
        </w:rPr>
        <w:t>P</w:t>
      </w:r>
      <w:r w:rsidRPr="00BA1ED2">
        <w:rPr>
          <w:rFonts w:cs="Arial"/>
          <w:lang w:val="en-NZ"/>
        </w:rPr>
        <w:t>olicy</w:t>
      </w:r>
      <w:r w:rsidR="00D57A02">
        <w:rPr>
          <w:rFonts w:cs="Arial"/>
          <w:lang w:val="en-NZ"/>
        </w:rPr>
        <w:tab/>
      </w:r>
      <w:r w:rsidR="00D57A02">
        <w:rPr>
          <w:rFonts w:cs="Arial"/>
          <w:lang w:val="en-NZ"/>
        </w:rPr>
        <w:tab/>
      </w:r>
      <w:r w:rsidR="00D57A02">
        <w:rPr>
          <w:rFonts w:cs="Arial"/>
          <w:lang w:val="en-NZ"/>
        </w:rPr>
        <w:tab/>
      </w:r>
      <w:r w:rsidR="00D57A02">
        <w:rPr>
          <w:rFonts w:cs="Arial"/>
          <w:lang w:val="en-NZ"/>
        </w:rPr>
        <w:tab/>
      </w:r>
      <w:r w:rsidR="00D57A02">
        <w:rPr>
          <w:rFonts w:cs="Arial"/>
          <w:lang w:val="en-NZ"/>
        </w:rPr>
        <w:tab/>
      </w:r>
      <w:r w:rsidR="00D57A02">
        <w:rPr>
          <w:rFonts w:cs="Arial"/>
          <w:lang w:val="en-NZ"/>
        </w:rPr>
        <w:tab/>
      </w:r>
      <w:r w:rsidR="00D57A02">
        <w:rPr>
          <w:rFonts w:cs="Arial"/>
          <w:lang w:val="en-NZ"/>
        </w:rPr>
        <w:tab/>
      </w:r>
      <w:r w:rsidR="00D57A02">
        <w:rPr>
          <w:rFonts w:cs="Arial"/>
          <w:lang w:val="en-NZ"/>
        </w:rPr>
        <w:tab/>
      </w:r>
      <w:r w:rsidR="008D5CD9" w:rsidRPr="00BA1ED2">
        <w:rPr>
          <w:rFonts w:cs="Arial"/>
          <w:lang w:val="en-NZ"/>
        </w:rPr>
        <w:tab/>
      </w:r>
      <w:r w:rsidR="00D57A02">
        <w:rPr>
          <w:rFonts w:cs="Arial"/>
          <w:lang w:val="en-NZ"/>
        </w:rPr>
        <w:t>12/06/19</w:t>
      </w:r>
    </w:p>
    <w:p w14:paraId="166BDF67" w14:textId="0A2BF4A5" w:rsidR="008D5CD9" w:rsidRPr="007F5204" w:rsidRDefault="007276CD" w:rsidP="0088541D">
      <w:pPr>
        <w:pStyle w:val="Heading2"/>
        <w:rPr>
          <w:rFonts w:cs="Arial"/>
        </w:rPr>
      </w:pPr>
      <w:bookmarkStart w:id="25" w:name="_Toc362368103"/>
      <w:bookmarkStart w:id="26" w:name="_Toc362434944"/>
      <w:bookmarkStart w:id="27" w:name="_Toc362589330"/>
      <w:bookmarkStart w:id="28" w:name="_Toc362619030"/>
      <w:bookmarkStart w:id="29" w:name="_Toc362940594"/>
      <w:bookmarkStart w:id="30" w:name="_Toc363047102"/>
      <w:r w:rsidRPr="007F5204">
        <w:rPr>
          <w:rFonts w:cs="Arial"/>
        </w:rPr>
        <w:lastRenderedPageBreak/>
        <w:t>Executive s</w:t>
      </w:r>
      <w:r w:rsidR="008D5CD9" w:rsidRPr="007F5204">
        <w:rPr>
          <w:rFonts w:cs="Arial"/>
        </w:rPr>
        <w:t>ummary</w:t>
      </w:r>
      <w:bookmarkEnd w:id="25"/>
      <w:bookmarkEnd w:id="26"/>
      <w:bookmarkEnd w:id="27"/>
      <w:bookmarkEnd w:id="28"/>
      <w:bookmarkEnd w:id="29"/>
      <w:bookmarkEnd w:id="30"/>
    </w:p>
    <w:p w14:paraId="43663EFF" w14:textId="6B4CF028" w:rsidR="008D5CD9" w:rsidRPr="007F5204" w:rsidRDefault="003D1CEE" w:rsidP="007F5204">
      <w:pPr>
        <w:rPr>
          <w:rFonts w:cs="Arial"/>
        </w:rPr>
      </w:pPr>
      <w:r w:rsidRPr="007F5204">
        <w:rPr>
          <w:rFonts w:cs="Arial"/>
        </w:rPr>
        <w:t>The C</w:t>
      </w:r>
      <w:r w:rsidR="00883DDC" w:rsidRPr="007F5204">
        <w:rPr>
          <w:rFonts w:cs="Arial"/>
        </w:rPr>
        <w:t>rown owns and administers boating facilities on Lake Taupō (the Lake)</w:t>
      </w:r>
      <w:r w:rsidR="00727082" w:rsidRPr="007F5204">
        <w:rPr>
          <w:rFonts w:cs="Arial"/>
        </w:rPr>
        <w:t xml:space="preserve"> which it funds by charging</w:t>
      </w:r>
      <w:r w:rsidR="00883DDC" w:rsidRPr="007F5204">
        <w:rPr>
          <w:rFonts w:cs="Arial"/>
        </w:rPr>
        <w:t xml:space="preserve"> </w:t>
      </w:r>
      <w:r w:rsidR="00E95640">
        <w:rPr>
          <w:rFonts w:cs="Arial"/>
        </w:rPr>
        <w:t>users</w:t>
      </w:r>
      <w:r w:rsidR="00883DDC" w:rsidRPr="007F5204">
        <w:rPr>
          <w:rFonts w:cs="Arial"/>
        </w:rPr>
        <w:t xml:space="preserve"> on a cost recovery basis. The Department of Internal Affairs (the Department) manages the boating facilities through its Lake Taupō Harbourmaster function. </w:t>
      </w:r>
    </w:p>
    <w:p w14:paraId="448B888A" w14:textId="77777777" w:rsidR="00883DDC" w:rsidRPr="007F5204" w:rsidRDefault="00883DDC" w:rsidP="007F5204">
      <w:pPr>
        <w:rPr>
          <w:rFonts w:cs="Arial"/>
        </w:rPr>
      </w:pPr>
      <w:r w:rsidRPr="007F5204">
        <w:rPr>
          <w:rFonts w:cs="Arial"/>
        </w:rPr>
        <w:t>The Maritime Transport Act 1994 gives the Crown the authority to charge for the boating facilities</w:t>
      </w:r>
      <w:r w:rsidR="00727082" w:rsidRPr="007F5204">
        <w:rPr>
          <w:rFonts w:cs="Arial"/>
        </w:rPr>
        <w:t xml:space="preserve"> through regulations</w:t>
      </w:r>
      <w:r w:rsidRPr="007F5204">
        <w:rPr>
          <w:rFonts w:cs="Arial"/>
        </w:rPr>
        <w:t>. The fees are set in the Lake Taupō (Crown Facilities, Permits and Fees) Regulations 2004</w:t>
      </w:r>
      <w:r w:rsidR="00727082" w:rsidRPr="007F5204">
        <w:rPr>
          <w:rFonts w:cs="Arial"/>
        </w:rPr>
        <w:t xml:space="preserve"> (the Regulations)</w:t>
      </w:r>
      <w:r w:rsidRPr="007F5204">
        <w:rPr>
          <w:rFonts w:cs="Arial"/>
        </w:rPr>
        <w:t xml:space="preserve">. </w:t>
      </w:r>
      <w:r w:rsidR="00727082" w:rsidRPr="007F5204">
        <w:rPr>
          <w:rFonts w:cs="Arial"/>
        </w:rPr>
        <w:t>The Department accounts for the r</w:t>
      </w:r>
      <w:r w:rsidRPr="007F5204">
        <w:rPr>
          <w:rFonts w:cs="Arial"/>
        </w:rPr>
        <w:t>evenue and expen</w:t>
      </w:r>
      <w:r w:rsidR="00727082" w:rsidRPr="007F5204">
        <w:rPr>
          <w:rFonts w:cs="Arial"/>
        </w:rPr>
        <w:t xml:space="preserve">diture </w:t>
      </w:r>
      <w:proofErr w:type="gramStart"/>
      <w:r w:rsidR="00727082" w:rsidRPr="007F5204">
        <w:rPr>
          <w:rFonts w:cs="Arial"/>
        </w:rPr>
        <w:t>through</w:t>
      </w:r>
      <w:r w:rsidR="001E0958" w:rsidRPr="007F5204">
        <w:rPr>
          <w:rFonts w:cs="Arial"/>
        </w:rPr>
        <w:t xml:space="preserve"> </w:t>
      </w:r>
      <w:r w:rsidRPr="007F5204">
        <w:rPr>
          <w:rFonts w:cs="Arial"/>
        </w:rPr>
        <w:t xml:space="preserve">the </w:t>
      </w:r>
      <w:r w:rsidRPr="007F5204">
        <w:rPr>
          <w:rFonts w:cs="Arial"/>
          <w:i/>
        </w:rPr>
        <w:t>Use of</w:t>
      </w:r>
      <w:proofErr w:type="gramEnd"/>
      <w:r w:rsidRPr="007F5204">
        <w:rPr>
          <w:rFonts w:cs="Arial"/>
          <w:i/>
        </w:rPr>
        <w:t xml:space="preserve"> Facilities and Access to Lake Taupo by Boat Users</w:t>
      </w:r>
      <w:r w:rsidRPr="007F5204">
        <w:rPr>
          <w:rFonts w:cs="Arial"/>
        </w:rPr>
        <w:t xml:space="preserve"> memorandum account (the memorandum account).</w:t>
      </w:r>
    </w:p>
    <w:p w14:paraId="3801F00C" w14:textId="02C149A3" w:rsidR="00CD29F0" w:rsidRPr="007F5204" w:rsidRDefault="00883DDC" w:rsidP="007F5204">
      <w:pPr>
        <w:rPr>
          <w:rFonts w:cs="Arial"/>
        </w:rPr>
      </w:pPr>
      <w:r w:rsidRPr="007F5204">
        <w:rPr>
          <w:rFonts w:cs="Arial"/>
        </w:rPr>
        <w:t>Over the last two financial years</w:t>
      </w:r>
      <w:r w:rsidR="004C604B" w:rsidRPr="007F5204">
        <w:rPr>
          <w:rFonts w:cs="Arial"/>
        </w:rPr>
        <w:t>,</w:t>
      </w:r>
      <w:r w:rsidRPr="007F5204">
        <w:rPr>
          <w:rFonts w:cs="Arial"/>
        </w:rPr>
        <w:t xml:space="preserve"> </w:t>
      </w:r>
      <w:r w:rsidR="0039230B">
        <w:rPr>
          <w:rFonts w:cs="Arial"/>
        </w:rPr>
        <w:t>fee revenue has been insufficient to recover costs,</w:t>
      </w:r>
      <w:r w:rsidRPr="007F5204">
        <w:rPr>
          <w:rFonts w:cs="Arial"/>
        </w:rPr>
        <w:t xml:space="preserve"> putting the memorandum account into deficit. The Department forecasts that the deficit will grow should fees stay at current </w:t>
      </w:r>
      <w:r w:rsidR="00727082" w:rsidRPr="007F5204">
        <w:rPr>
          <w:rFonts w:cs="Arial"/>
        </w:rPr>
        <w:t xml:space="preserve">levels. </w:t>
      </w:r>
    </w:p>
    <w:p w14:paraId="3D62D500" w14:textId="5CFD2F41" w:rsidR="003D26DF" w:rsidRPr="00BA1ED2" w:rsidRDefault="00CD29F0" w:rsidP="007F5204">
      <w:r w:rsidRPr="00BA1ED2">
        <w:rPr>
          <w:rFonts w:cs="Arial"/>
        </w:rPr>
        <w:t xml:space="preserve">The Department </w:t>
      </w:r>
      <w:r w:rsidR="003D26DF" w:rsidRPr="00BA1ED2">
        <w:rPr>
          <w:rFonts w:cs="Arial"/>
        </w:rPr>
        <w:t>released a consultation document which proposed fee increases of 30 per cent in 2019, and 30 per cent again in 2022, with some exceptions</w:t>
      </w:r>
      <w:r w:rsidR="003D1B2A" w:rsidRPr="00BA1ED2">
        <w:rPr>
          <w:rFonts w:cs="Arial"/>
        </w:rPr>
        <w:t>. Under th</w:t>
      </w:r>
      <w:r w:rsidR="00614A44" w:rsidRPr="00BA1ED2">
        <w:rPr>
          <w:rFonts w:cs="Arial"/>
        </w:rPr>
        <w:t>is</w:t>
      </w:r>
      <w:r w:rsidR="003D1B2A" w:rsidRPr="00BA1ED2">
        <w:rPr>
          <w:rFonts w:cs="Arial"/>
        </w:rPr>
        <w:t xml:space="preserve"> proposal</w:t>
      </w:r>
      <w:r w:rsidR="00614A44" w:rsidRPr="00BA1ED2">
        <w:rPr>
          <w:rFonts w:cs="Arial"/>
        </w:rPr>
        <w:t xml:space="preserve"> the memorandum account </w:t>
      </w:r>
      <w:r w:rsidR="003D26DF" w:rsidRPr="00BA1ED2">
        <w:rPr>
          <w:rFonts w:cs="Arial"/>
        </w:rPr>
        <w:t>would balance</w:t>
      </w:r>
      <w:r w:rsidR="00614A44" w:rsidRPr="00BA1ED2">
        <w:rPr>
          <w:rFonts w:cs="Arial"/>
        </w:rPr>
        <w:t xml:space="preserve"> </w:t>
      </w:r>
      <w:r w:rsidR="003D26DF" w:rsidRPr="00BA1ED2">
        <w:rPr>
          <w:rFonts w:cs="Arial"/>
        </w:rPr>
        <w:t xml:space="preserve">in five years. </w:t>
      </w:r>
    </w:p>
    <w:p w14:paraId="6B38C3AA" w14:textId="55C0BAD1" w:rsidR="00CD29F0" w:rsidRPr="00BA1ED2" w:rsidRDefault="00CD29F0" w:rsidP="007F5204">
      <w:r w:rsidRPr="00BA1ED2">
        <w:rPr>
          <w:rFonts w:cs="Arial"/>
        </w:rPr>
        <w:t>Submitters indicated that the proposed fees were too high and that they would reduce their use of the facilities</w:t>
      </w:r>
      <w:r w:rsidR="004C604B" w:rsidRPr="00BA1ED2">
        <w:rPr>
          <w:rFonts w:cs="Arial"/>
        </w:rPr>
        <w:t>.</w:t>
      </w:r>
      <w:r w:rsidRPr="00BA1ED2">
        <w:rPr>
          <w:rFonts w:cs="Arial"/>
        </w:rPr>
        <w:t xml:space="preserve"> In response, the Department revised its proposal in several ways including</w:t>
      </w:r>
      <w:r w:rsidR="00614A44" w:rsidRPr="00BA1ED2">
        <w:rPr>
          <w:rFonts w:cs="Arial"/>
        </w:rPr>
        <w:t>:</w:t>
      </w:r>
      <w:r w:rsidRPr="00BA1ED2">
        <w:rPr>
          <w:rFonts w:cs="Arial"/>
        </w:rPr>
        <w:t xml:space="preserve"> balancing the memorandum account over a ten-year period</w:t>
      </w:r>
      <w:r w:rsidR="00041C6B" w:rsidRPr="00BA1ED2">
        <w:rPr>
          <w:rFonts w:cs="Arial"/>
        </w:rPr>
        <w:t>;</w:t>
      </w:r>
      <w:r w:rsidRPr="00BA1ED2">
        <w:rPr>
          <w:rFonts w:cs="Arial"/>
        </w:rPr>
        <w:t xml:space="preserve"> reducing the forecasted rate of inflation for maintenance costs</w:t>
      </w:r>
      <w:r w:rsidR="00041C6B" w:rsidRPr="00BA1ED2">
        <w:rPr>
          <w:rFonts w:cs="Arial"/>
        </w:rPr>
        <w:t>;</w:t>
      </w:r>
      <w:r w:rsidRPr="00BA1ED2">
        <w:rPr>
          <w:rFonts w:cs="Arial"/>
        </w:rPr>
        <w:t xml:space="preserve"> recovering a lower proportion of depreciation</w:t>
      </w:r>
      <w:r w:rsidR="00041C6B" w:rsidRPr="00BA1ED2">
        <w:rPr>
          <w:rFonts w:cs="Arial"/>
        </w:rPr>
        <w:t>;</w:t>
      </w:r>
      <w:r w:rsidRPr="00BA1ED2">
        <w:rPr>
          <w:rFonts w:cs="Arial"/>
        </w:rPr>
        <w:t xml:space="preserve"> and not implementing a second fee increase until fees have been reviewed again. </w:t>
      </w:r>
    </w:p>
    <w:p w14:paraId="40063D6E" w14:textId="77777777" w:rsidR="00041C6B" w:rsidRPr="00BA1ED2" w:rsidRDefault="003D26DF" w:rsidP="007F5204">
      <w:r w:rsidRPr="00BA1ED2">
        <w:rPr>
          <w:rFonts w:cs="Arial"/>
        </w:rPr>
        <w:t>The Department</w:t>
      </w:r>
      <w:r w:rsidR="005914F6" w:rsidRPr="00BA1ED2">
        <w:rPr>
          <w:rFonts w:cs="Arial"/>
        </w:rPr>
        <w:t xml:space="preserve"> now</w:t>
      </w:r>
      <w:r w:rsidRPr="00BA1ED2">
        <w:rPr>
          <w:rFonts w:cs="Arial"/>
        </w:rPr>
        <w:t xml:space="preserve"> proposes a fee increase of 22 per cent across the boating facilities, with some exceptions, and to review fees again in 2022.</w:t>
      </w:r>
      <w:r w:rsidR="00041C6B" w:rsidRPr="00BA1ED2" w:rsidDel="00041C6B">
        <w:rPr>
          <w:rFonts w:cs="Arial"/>
        </w:rPr>
        <w:t xml:space="preserve"> </w:t>
      </w:r>
    </w:p>
    <w:p w14:paraId="64F117B5" w14:textId="77C62E49" w:rsidR="003D26DF" w:rsidRPr="007F5204" w:rsidRDefault="007663DD" w:rsidP="007F5204">
      <w:pPr>
        <w:rPr>
          <w:rFonts w:cs="Arial"/>
        </w:rPr>
      </w:pPr>
      <w:r w:rsidRPr="00E95640">
        <w:rPr>
          <w:rFonts w:cs="Arial"/>
        </w:rPr>
        <w:t>A mixture of commercial operators and private individuals</w:t>
      </w:r>
      <w:r w:rsidRPr="00E95640" w:rsidDel="007663DD">
        <w:rPr>
          <w:rFonts w:cs="Arial"/>
        </w:rPr>
        <w:t xml:space="preserve"> </w:t>
      </w:r>
      <w:r w:rsidR="001E0958" w:rsidRPr="007F5204">
        <w:rPr>
          <w:rFonts w:cs="Arial"/>
        </w:rPr>
        <w:t xml:space="preserve">will be affected </w:t>
      </w:r>
      <w:r w:rsidR="0032294B" w:rsidRPr="007F5204">
        <w:rPr>
          <w:rFonts w:cs="Arial"/>
        </w:rPr>
        <w:t>by the fee increase</w:t>
      </w:r>
      <w:r w:rsidR="00FF3DAD" w:rsidRPr="007F5204">
        <w:rPr>
          <w:rFonts w:cs="Arial"/>
        </w:rPr>
        <w:t>. S</w:t>
      </w:r>
      <w:r w:rsidR="0032294B" w:rsidRPr="007F5204">
        <w:rPr>
          <w:rFonts w:cs="Arial"/>
        </w:rPr>
        <w:t xml:space="preserve">ome are </w:t>
      </w:r>
      <w:r w:rsidR="001E0958" w:rsidRPr="007F5204">
        <w:rPr>
          <w:rFonts w:cs="Arial"/>
        </w:rPr>
        <w:t>residents of Taupō</w:t>
      </w:r>
      <w:r w:rsidR="00440213" w:rsidRPr="007F5204">
        <w:rPr>
          <w:rFonts w:cs="Arial"/>
        </w:rPr>
        <w:t>,</w:t>
      </w:r>
      <w:r w:rsidR="001E0958" w:rsidRPr="007F5204">
        <w:rPr>
          <w:rFonts w:cs="Arial"/>
        </w:rPr>
        <w:t xml:space="preserve"> </w:t>
      </w:r>
      <w:r w:rsidR="00041C6B" w:rsidRPr="007F5204">
        <w:rPr>
          <w:rFonts w:cs="Arial"/>
        </w:rPr>
        <w:t>w</w:t>
      </w:r>
      <w:r w:rsidR="0032294B" w:rsidRPr="007F5204">
        <w:rPr>
          <w:rFonts w:cs="Arial"/>
        </w:rPr>
        <w:t>hile others</w:t>
      </w:r>
      <w:r w:rsidR="001E0958" w:rsidRPr="007F5204">
        <w:rPr>
          <w:rFonts w:cs="Arial"/>
        </w:rPr>
        <w:t xml:space="preserve"> travel from </w:t>
      </w:r>
      <w:r w:rsidR="0032294B" w:rsidRPr="007F5204">
        <w:rPr>
          <w:rFonts w:cs="Arial"/>
        </w:rPr>
        <w:t xml:space="preserve">around the </w:t>
      </w:r>
      <w:r w:rsidR="00E95640">
        <w:rPr>
          <w:rFonts w:cs="Arial"/>
        </w:rPr>
        <w:t xml:space="preserve">country </w:t>
      </w:r>
      <w:r w:rsidR="0032294B" w:rsidRPr="007F5204">
        <w:rPr>
          <w:rFonts w:cs="Arial"/>
        </w:rPr>
        <w:t>to use the boating facilities.</w:t>
      </w:r>
      <w:r w:rsidR="003D26DF" w:rsidRPr="007F5204">
        <w:rPr>
          <w:rFonts w:cs="Arial"/>
        </w:rPr>
        <w:t xml:space="preserve"> Marina berth holders will be most affected by the fee increases with a fee increase of between $330 and $880 per annum. Mooring permit holders face an extra $42 per annum, and boat ramp users will pay an extra $1 per day or $20 per annum. </w:t>
      </w:r>
    </w:p>
    <w:p w14:paraId="102775F0" w14:textId="77777777" w:rsidR="00496B41" w:rsidRPr="007F5204" w:rsidRDefault="00496B41" w:rsidP="007F5204">
      <w:pPr>
        <w:rPr>
          <w:rFonts w:cs="Arial"/>
        </w:rPr>
      </w:pPr>
      <w:r w:rsidRPr="007F5204">
        <w:rPr>
          <w:rFonts w:cs="Arial"/>
        </w:rPr>
        <w:t xml:space="preserve">The main drivers for the fee increases are the depreciation and capital charge for Motuoapa marina </w:t>
      </w:r>
      <w:r w:rsidR="00DC689E" w:rsidRPr="007F5204">
        <w:rPr>
          <w:rFonts w:cs="Arial"/>
        </w:rPr>
        <w:t xml:space="preserve">which was redeveloped in 2017 </w:t>
      </w:r>
      <w:r w:rsidRPr="007F5204">
        <w:rPr>
          <w:rFonts w:cs="Arial"/>
        </w:rPr>
        <w:t xml:space="preserve">along with increased operating costs </w:t>
      </w:r>
      <w:r w:rsidR="00CB7862" w:rsidRPr="007F5204">
        <w:rPr>
          <w:rFonts w:cs="Arial"/>
        </w:rPr>
        <w:t xml:space="preserve">due to general price inflation. </w:t>
      </w:r>
    </w:p>
    <w:p w14:paraId="54E44357" w14:textId="76A365A2" w:rsidR="007663DD" w:rsidRPr="007F5204" w:rsidRDefault="007663DD" w:rsidP="007F5204">
      <w:pPr>
        <w:rPr>
          <w:rFonts w:cs="Arial"/>
        </w:rPr>
      </w:pPr>
      <w:r w:rsidRPr="007F5204">
        <w:rPr>
          <w:rFonts w:cs="Arial"/>
        </w:rPr>
        <w:t>We are proposing 25 per cent of the depreciation on Motuoapa marina be funded by the Crown</w:t>
      </w:r>
      <w:r w:rsidR="004C604B" w:rsidRPr="007F5204">
        <w:rPr>
          <w:rFonts w:cs="Arial"/>
        </w:rPr>
        <w:t>,</w:t>
      </w:r>
      <w:r w:rsidRPr="007F5204">
        <w:rPr>
          <w:rFonts w:cs="Arial"/>
        </w:rPr>
        <w:t xml:space="preserve"> rather than users</w:t>
      </w:r>
      <w:r w:rsidR="004C604B" w:rsidRPr="007F5204">
        <w:rPr>
          <w:rFonts w:cs="Arial"/>
        </w:rPr>
        <w:t>,</w:t>
      </w:r>
      <w:r w:rsidRPr="007F5204">
        <w:rPr>
          <w:rFonts w:cs="Arial"/>
        </w:rPr>
        <w:t xml:space="preserve"> to acknowledge the public benefit the marina environment provides. This will mean an</w:t>
      </w:r>
      <w:r w:rsidR="003D26DF" w:rsidRPr="007F5204">
        <w:rPr>
          <w:rFonts w:cs="Arial"/>
        </w:rPr>
        <w:t xml:space="preserve"> additional cost of $0.044 million per annum</w:t>
      </w:r>
      <w:r w:rsidR="004C604B" w:rsidRPr="007F5204">
        <w:rPr>
          <w:rFonts w:cs="Arial"/>
        </w:rPr>
        <w:t xml:space="preserve"> to the Crown</w:t>
      </w:r>
      <w:r w:rsidR="00966739" w:rsidRPr="007F5204">
        <w:rPr>
          <w:rFonts w:cs="Arial"/>
        </w:rPr>
        <w:t xml:space="preserve"> over the life of the marina (37 years)</w:t>
      </w:r>
      <w:r w:rsidR="003D26DF" w:rsidRPr="007F5204">
        <w:rPr>
          <w:rFonts w:cs="Arial"/>
        </w:rPr>
        <w:t xml:space="preserve">, </w:t>
      </w:r>
      <w:r w:rsidR="00F6700F" w:rsidRPr="007F5204">
        <w:rPr>
          <w:rFonts w:cs="Arial"/>
        </w:rPr>
        <w:t xml:space="preserve">which </w:t>
      </w:r>
      <w:r w:rsidR="003D26DF" w:rsidRPr="007F5204">
        <w:rPr>
          <w:rFonts w:cs="Arial"/>
        </w:rPr>
        <w:t>can be absorbed within the Department’s current baseline.</w:t>
      </w:r>
    </w:p>
    <w:p w14:paraId="75F80CCC" w14:textId="1C2AB6A9" w:rsidR="007663DD" w:rsidRPr="007F5204" w:rsidRDefault="0032294B" w:rsidP="007F5204">
      <w:pPr>
        <w:rPr>
          <w:rFonts w:cs="Arial"/>
        </w:rPr>
      </w:pPr>
      <w:r w:rsidRPr="007F5204">
        <w:rPr>
          <w:rFonts w:cs="Arial"/>
        </w:rPr>
        <w:t xml:space="preserve">The Department </w:t>
      </w:r>
      <w:r w:rsidR="001E0958" w:rsidRPr="007F5204">
        <w:rPr>
          <w:rFonts w:cs="Arial"/>
        </w:rPr>
        <w:t>consider</w:t>
      </w:r>
      <w:r w:rsidRPr="007F5204">
        <w:rPr>
          <w:rFonts w:cs="Arial"/>
        </w:rPr>
        <w:t>s</w:t>
      </w:r>
      <w:r w:rsidR="001E0958" w:rsidRPr="007F5204">
        <w:rPr>
          <w:rFonts w:cs="Arial"/>
        </w:rPr>
        <w:t xml:space="preserve"> the </w:t>
      </w:r>
      <w:r w:rsidR="00440213" w:rsidRPr="007F5204">
        <w:rPr>
          <w:rFonts w:cs="Arial"/>
        </w:rPr>
        <w:t>proposed</w:t>
      </w:r>
      <w:r w:rsidRPr="007F5204">
        <w:rPr>
          <w:rFonts w:cs="Arial"/>
        </w:rPr>
        <w:t xml:space="preserve"> </w:t>
      </w:r>
      <w:r w:rsidR="001E0958" w:rsidRPr="007F5204">
        <w:rPr>
          <w:rFonts w:cs="Arial"/>
        </w:rPr>
        <w:t>fee</w:t>
      </w:r>
      <w:r w:rsidRPr="007F5204">
        <w:rPr>
          <w:rFonts w:cs="Arial"/>
        </w:rPr>
        <w:t>s</w:t>
      </w:r>
      <w:r w:rsidR="001E0958" w:rsidRPr="007F5204">
        <w:rPr>
          <w:rFonts w:cs="Arial"/>
        </w:rPr>
        <w:t xml:space="preserve"> fair</w:t>
      </w:r>
      <w:r w:rsidRPr="007F5204">
        <w:rPr>
          <w:rFonts w:cs="Arial"/>
        </w:rPr>
        <w:t xml:space="preserve"> and equitable</w:t>
      </w:r>
      <w:r w:rsidR="001E0958" w:rsidRPr="007F5204">
        <w:rPr>
          <w:rFonts w:cs="Arial"/>
        </w:rPr>
        <w:t xml:space="preserve">. </w:t>
      </w:r>
      <w:r w:rsidR="00440213" w:rsidRPr="007F5204">
        <w:rPr>
          <w:rFonts w:cs="Arial"/>
        </w:rPr>
        <w:t>This is based on consultation with users, the standard of the facilities,</w:t>
      </w:r>
      <w:r w:rsidR="000D3D96" w:rsidRPr="007F5204">
        <w:rPr>
          <w:rFonts w:cs="Arial"/>
        </w:rPr>
        <w:t xml:space="preserve"> </w:t>
      </w:r>
      <w:r w:rsidR="001941A3" w:rsidRPr="007F5204">
        <w:rPr>
          <w:rFonts w:cs="Arial"/>
        </w:rPr>
        <w:t xml:space="preserve">the level of service provided </w:t>
      </w:r>
      <w:r w:rsidR="007663DD" w:rsidRPr="007F5204">
        <w:rPr>
          <w:rFonts w:cs="Arial"/>
        </w:rPr>
        <w:t>and comparisons with other marinas around the country</w:t>
      </w:r>
      <w:r w:rsidR="00440213" w:rsidRPr="007F5204">
        <w:rPr>
          <w:rFonts w:cs="Arial"/>
        </w:rPr>
        <w:t xml:space="preserve">. </w:t>
      </w:r>
      <w:r w:rsidRPr="007F5204">
        <w:rPr>
          <w:rFonts w:cs="Arial"/>
        </w:rPr>
        <w:t>The Department does not</w:t>
      </w:r>
      <w:r w:rsidR="001E0958" w:rsidRPr="007F5204">
        <w:rPr>
          <w:rFonts w:cs="Arial"/>
        </w:rPr>
        <w:t xml:space="preserve"> expect a large </w:t>
      </w:r>
      <w:r w:rsidR="00727082" w:rsidRPr="007F5204">
        <w:rPr>
          <w:rFonts w:cs="Arial"/>
        </w:rPr>
        <w:t>drop</w:t>
      </w:r>
      <w:r w:rsidR="001E0958" w:rsidRPr="007F5204">
        <w:rPr>
          <w:rFonts w:cs="Arial"/>
        </w:rPr>
        <w:t xml:space="preserve"> in demand </w:t>
      </w:r>
      <w:r w:rsidR="00440213" w:rsidRPr="007F5204">
        <w:rPr>
          <w:rFonts w:cs="Arial"/>
        </w:rPr>
        <w:t>due to</w:t>
      </w:r>
      <w:r w:rsidRPr="007F5204">
        <w:rPr>
          <w:rFonts w:cs="Arial"/>
        </w:rPr>
        <w:t xml:space="preserve"> fee increases</w:t>
      </w:r>
      <w:r w:rsidR="00FF3DAD" w:rsidRPr="007F5204">
        <w:rPr>
          <w:rFonts w:cs="Arial"/>
        </w:rPr>
        <w:t>.</w:t>
      </w:r>
      <w:r w:rsidRPr="007F5204">
        <w:rPr>
          <w:rFonts w:cs="Arial"/>
        </w:rPr>
        <w:t xml:space="preserve"> </w:t>
      </w:r>
      <w:r w:rsidR="00FF3DAD" w:rsidRPr="007F5204">
        <w:rPr>
          <w:rFonts w:cs="Arial"/>
        </w:rPr>
        <w:t>H</w:t>
      </w:r>
      <w:r w:rsidR="001E0958" w:rsidRPr="007F5204">
        <w:rPr>
          <w:rFonts w:cs="Arial"/>
        </w:rPr>
        <w:t>owever</w:t>
      </w:r>
      <w:r w:rsidR="00FF3DAD" w:rsidRPr="007F5204">
        <w:rPr>
          <w:rFonts w:cs="Arial"/>
        </w:rPr>
        <w:t>, it</w:t>
      </w:r>
      <w:r w:rsidR="001E0958" w:rsidRPr="007F5204">
        <w:rPr>
          <w:rFonts w:cs="Arial"/>
        </w:rPr>
        <w:t xml:space="preserve"> </w:t>
      </w:r>
      <w:r w:rsidRPr="007F5204">
        <w:rPr>
          <w:rFonts w:cs="Arial"/>
        </w:rPr>
        <w:t xml:space="preserve">acknowledges </w:t>
      </w:r>
      <w:r w:rsidR="00614A44" w:rsidRPr="007F5204">
        <w:rPr>
          <w:rFonts w:cs="Arial"/>
        </w:rPr>
        <w:t>the</w:t>
      </w:r>
      <w:r w:rsidR="001E0958" w:rsidRPr="007F5204">
        <w:rPr>
          <w:rFonts w:cs="Arial"/>
        </w:rPr>
        <w:t xml:space="preserve"> risk</w:t>
      </w:r>
      <w:r w:rsidRPr="007F5204">
        <w:rPr>
          <w:rFonts w:cs="Arial"/>
        </w:rPr>
        <w:t>.</w:t>
      </w:r>
      <w:r w:rsidR="001E0958" w:rsidRPr="007F5204">
        <w:rPr>
          <w:rFonts w:cs="Arial"/>
        </w:rPr>
        <w:t xml:space="preserve"> </w:t>
      </w:r>
      <w:r w:rsidR="00F6700F" w:rsidRPr="007F5204">
        <w:rPr>
          <w:rFonts w:cs="Arial"/>
        </w:rPr>
        <w:t xml:space="preserve">The effect of the fee increases will be monitored and evaluation of this will be considered </w:t>
      </w:r>
      <w:r w:rsidR="004C604B" w:rsidRPr="007F5204">
        <w:rPr>
          <w:rFonts w:cs="Arial"/>
        </w:rPr>
        <w:t>during the next</w:t>
      </w:r>
      <w:r w:rsidR="00F6700F" w:rsidRPr="007F5204">
        <w:rPr>
          <w:rFonts w:cs="Arial"/>
        </w:rPr>
        <w:t xml:space="preserve"> fees review in 2022.</w:t>
      </w:r>
      <w:bookmarkStart w:id="31" w:name="_Toc362368104"/>
      <w:bookmarkStart w:id="32" w:name="_Toc362434945"/>
      <w:bookmarkStart w:id="33" w:name="_Toc362589331"/>
      <w:bookmarkStart w:id="34" w:name="_Toc362619031"/>
      <w:bookmarkStart w:id="35" w:name="_Toc362940595"/>
      <w:bookmarkStart w:id="36" w:name="_Toc363047103"/>
    </w:p>
    <w:p w14:paraId="480FE5FF" w14:textId="77777777" w:rsidR="008D5CD9" w:rsidRPr="007F5204" w:rsidRDefault="008D5CD9" w:rsidP="00397F68">
      <w:pPr>
        <w:pStyle w:val="Heading2"/>
        <w:rPr>
          <w:rFonts w:cs="Arial"/>
        </w:rPr>
      </w:pPr>
      <w:r w:rsidRPr="007F5204">
        <w:rPr>
          <w:rFonts w:cs="Arial"/>
        </w:rPr>
        <w:lastRenderedPageBreak/>
        <w:t xml:space="preserve">Status quo </w:t>
      </w:r>
      <w:bookmarkEnd w:id="31"/>
      <w:bookmarkEnd w:id="32"/>
      <w:bookmarkEnd w:id="33"/>
      <w:bookmarkEnd w:id="34"/>
      <w:bookmarkEnd w:id="35"/>
      <w:bookmarkEnd w:id="36"/>
    </w:p>
    <w:p w14:paraId="24F73317" w14:textId="77777777" w:rsidR="00552F40" w:rsidRPr="007F5204" w:rsidRDefault="00AE1EE7" w:rsidP="00A30B9A">
      <w:pPr>
        <w:rPr>
          <w:rFonts w:cs="Arial"/>
        </w:rPr>
      </w:pPr>
      <w:r w:rsidRPr="007F5204">
        <w:rPr>
          <w:rFonts w:cs="Arial"/>
        </w:rPr>
        <w:t xml:space="preserve">The Minister of Local Government (the Minister) is the Harbour </w:t>
      </w:r>
      <w:r w:rsidR="00365619" w:rsidRPr="007F5204">
        <w:rPr>
          <w:rFonts w:cs="Arial"/>
        </w:rPr>
        <w:t>A</w:t>
      </w:r>
      <w:r w:rsidRPr="007F5204">
        <w:rPr>
          <w:rFonts w:cs="Arial"/>
        </w:rPr>
        <w:t xml:space="preserve">uthority for </w:t>
      </w:r>
      <w:r w:rsidR="00883DDC" w:rsidRPr="007F5204">
        <w:rPr>
          <w:rFonts w:cs="Arial"/>
        </w:rPr>
        <w:t>the Lake</w:t>
      </w:r>
      <w:r w:rsidR="00573904" w:rsidRPr="007F5204">
        <w:rPr>
          <w:rFonts w:cs="Arial"/>
        </w:rPr>
        <w:t xml:space="preserve"> </w:t>
      </w:r>
      <w:r w:rsidR="00A30B9A" w:rsidRPr="007F5204">
        <w:rPr>
          <w:rFonts w:cs="Arial"/>
        </w:rPr>
        <w:t>and the Department h</w:t>
      </w:r>
      <w:r w:rsidR="00552F40" w:rsidRPr="007F5204">
        <w:rPr>
          <w:rFonts w:cs="Arial"/>
        </w:rPr>
        <w:t>olds</w:t>
      </w:r>
      <w:r w:rsidR="00A30B9A" w:rsidRPr="007F5204">
        <w:rPr>
          <w:rFonts w:cs="Arial"/>
        </w:rPr>
        <w:t xml:space="preserve"> the Harbourmaster function. The Department has had this role since</w:t>
      </w:r>
      <w:r w:rsidR="00573904" w:rsidRPr="007F5204">
        <w:rPr>
          <w:rFonts w:cs="Arial"/>
        </w:rPr>
        <w:t xml:space="preserve"> 1926 when the bed of the Lake </w:t>
      </w:r>
      <w:r w:rsidR="00A30B9A" w:rsidRPr="007F5204">
        <w:rPr>
          <w:rFonts w:cs="Arial"/>
        </w:rPr>
        <w:t xml:space="preserve">was vested in the Crown. </w:t>
      </w:r>
      <w:r w:rsidR="00552F40" w:rsidRPr="007F5204">
        <w:rPr>
          <w:rFonts w:cs="Arial"/>
        </w:rPr>
        <w:t>In 1992, t</w:t>
      </w:r>
      <w:r w:rsidR="00A30B9A" w:rsidRPr="007F5204">
        <w:rPr>
          <w:rFonts w:cs="Arial"/>
        </w:rPr>
        <w:t xml:space="preserve">he </w:t>
      </w:r>
      <w:r w:rsidR="00573904" w:rsidRPr="007F5204">
        <w:rPr>
          <w:rFonts w:cs="Arial"/>
        </w:rPr>
        <w:t>lakebed</w:t>
      </w:r>
      <w:r w:rsidR="00A30B9A" w:rsidRPr="007F5204">
        <w:rPr>
          <w:rFonts w:cs="Arial"/>
        </w:rPr>
        <w:t xml:space="preserve"> was vested in the Tūwharetoa Māori Trust Board </w:t>
      </w:r>
      <w:r w:rsidR="00CA7C90" w:rsidRPr="007F5204">
        <w:rPr>
          <w:rFonts w:cs="Arial"/>
        </w:rPr>
        <w:t xml:space="preserve">(the Trust board) </w:t>
      </w:r>
      <w:r w:rsidR="00A30B9A" w:rsidRPr="007F5204">
        <w:rPr>
          <w:rFonts w:cs="Arial"/>
        </w:rPr>
        <w:t xml:space="preserve">through a Deed of </w:t>
      </w:r>
      <w:r w:rsidR="00365619" w:rsidRPr="007F5204">
        <w:rPr>
          <w:rFonts w:cs="Arial"/>
        </w:rPr>
        <w:t>S</w:t>
      </w:r>
      <w:r w:rsidR="00A30B9A" w:rsidRPr="007F5204">
        <w:rPr>
          <w:rFonts w:cs="Arial"/>
        </w:rPr>
        <w:t>ettlement. Under the terms of the Deed</w:t>
      </w:r>
      <w:r w:rsidR="00573904" w:rsidRPr="007F5204">
        <w:rPr>
          <w:rFonts w:cs="Arial"/>
        </w:rPr>
        <w:t>,</w:t>
      </w:r>
      <w:r w:rsidR="00A30B9A" w:rsidRPr="007F5204">
        <w:rPr>
          <w:rFonts w:cs="Arial"/>
        </w:rPr>
        <w:t xml:space="preserve"> the Crown makes an annual payment of $1.5 million to the Trust board for continued public access to the </w:t>
      </w:r>
      <w:r w:rsidR="00CA7C90" w:rsidRPr="007F5204">
        <w:rPr>
          <w:rFonts w:cs="Arial"/>
        </w:rPr>
        <w:t>L</w:t>
      </w:r>
      <w:r w:rsidR="00A30B9A" w:rsidRPr="007F5204">
        <w:rPr>
          <w:rFonts w:cs="Arial"/>
        </w:rPr>
        <w:t xml:space="preserve">ake, $0.240 million is attributable to the rental </w:t>
      </w:r>
      <w:r w:rsidR="00552F40" w:rsidRPr="007F5204">
        <w:rPr>
          <w:rFonts w:cs="Arial"/>
        </w:rPr>
        <w:t xml:space="preserve">of </w:t>
      </w:r>
      <w:r w:rsidR="00573904" w:rsidRPr="007F5204">
        <w:rPr>
          <w:rFonts w:cs="Arial"/>
        </w:rPr>
        <w:t>land</w:t>
      </w:r>
      <w:r w:rsidR="00A30B9A" w:rsidRPr="007F5204">
        <w:rPr>
          <w:rFonts w:cs="Arial"/>
        </w:rPr>
        <w:t xml:space="preserve"> for </w:t>
      </w:r>
      <w:r w:rsidR="00440213" w:rsidRPr="007F5204">
        <w:rPr>
          <w:rFonts w:cs="Arial"/>
        </w:rPr>
        <w:t>the Crown</w:t>
      </w:r>
      <w:r w:rsidR="000D3D96" w:rsidRPr="007F5204">
        <w:rPr>
          <w:rFonts w:cs="Arial"/>
        </w:rPr>
        <w:t>s</w:t>
      </w:r>
      <w:r w:rsidR="00440213" w:rsidRPr="007F5204">
        <w:rPr>
          <w:rFonts w:cs="Arial"/>
        </w:rPr>
        <w:t xml:space="preserve"> marinas and boat ramps</w:t>
      </w:r>
      <w:r w:rsidR="00A30B9A" w:rsidRPr="007F5204">
        <w:rPr>
          <w:rFonts w:cs="Arial"/>
        </w:rPr>
        <w:t xml:space="preserve">. </w:t>
      </w:r>
    </w:p>
    <w:p w14:paraId="3A6FCFD3" w14:textId="60445059" w:rsidR="00AE1EE7" w:rsidRPr="007F5204" w:rsidRDefault="00A30B9A" w:rsidP="00AE1EE7">
      <w:pPr>
        <w:rPr>
          <w:rFonts w:cs="Arial"/>
          <w:szCs w:val="21"/>
        </w:rPr>
      </w:pPr>
      <w:r w:rsidRPr="007F5204">
        <w:rPr>
          <w:rFonts w:cs="Arial"/>
        </w:rPr>
        <w:t xml:space="preserve">The </w:t>
      </w:r>
      <w:r w:rsidR="00552F40" w:rsidRPr="007F5204">
        <w:rPr>
          <w:rFonts w:cs="Arial"/>
        </w:rPr>
        <w:t>Department administers</w:t>
      </w:r>
      <w:r w:rsidRPr="007F5204">
        <w:rPr>
          <w:rFonts w:cs="Arial"/>
        </w:rPr>
        <w:t xml:space="preserve"> four </w:t>
      </w:r>
      <w:r w:rsidR="00552F40" w:rsidRPr="007F5204">
        <w:rPr>
          <w:rFonts w:cs="Arial"/>
        </w:rPr>
        <w:t xml:space="preserve">Crown-owned </w:t>
      </w:r>
      <w:r w:rsidRPr="007F5204">
        <w:rPr>
          <w:rFonts w:cs="Arial"/>
        </w:rPr>
        <w:t xml:space="preserve">marinas and 18 boat ramps on the </w:t>
      </w:r>
      <w:r w:rsidR="007F5204" w:rsidRPr="007F5204">
        <w:rPr>
          <w:rFonts w:cs="Arial"/>
        </w:rPr>
        <w:t>Lake and</w:t>
      </w:r>
      <w:r w:rsidR="00041C6B" w:rsidRPr="007F5204">
        <w:rPr>
          <w:rFonts w:cs="Arial"/>
        </w:rPr>
        <w:t xml:space="preserve"> </w:t>
      </w:r>
      <w:r w:rsidR="00AE1EE7" w:rsidRPr="007F5204">
        <w:rPr>
          <w:rFonts w:cs="Arial"/>
        </w:rPr>
        <w:t xml:space="preserve">regulates the placement of </w:t>
      </w:r>
      <w:r w:rsidR="00041C6B" w:rsidRPr="007F5204">
        <w:rPr>
          <w:rFonts w:cs="Arial"/>
        </w:rPr>
        <w:t xml:space="preserve">private </w:t>
      </w:r>
      <w:r w:rsidR="00AE1EE7" w:rsidRPr="007F5204">
        <w:rPr>
          <w:rFonts w:cs="Arial"/>
        </w:rPr>
        <w:t>fixed boat moorings</w:t>
      </w:r>
      <w:r w:rsidRPr="007F5204">
        <w:rPr>
          <w:rFonts w:cs="Arial"/>
        </w:rPr>
        <w:t xml:space="preserve"> </w:t>
      </w:r>
      <w:r w:rsidR="00552F40" w:rsidRPr="007F5204">
        <w:rPr>
          <w:rFonts w:cs="Arial"/>
        </w:rPr>
        <w:t>(the boating facilities).</w:t>
      </w:r>
      <w:r w:rsidR="00AE1EE7" w:rsidRPr="007F5204">
        <w:rPr>
          <w:rFonts w:cs="Arial"/>
        </w:rPr>
        <w:t xml:space="preserve"> </w:t>
      </w:r>
      <w:r w:rsidR="00156817" w:rsidRPr="007F5204">
        <w:rPr>
          <w:rFonts w:cs="Arial"/>
          <w:szCs w:val="21"/>
        </w:rPr>
        <w:t xml:space="preserve">The marinas are named Taupō, Nukuhau, Motuoapa and Tokaanu. </w:t>
      </w:r>
    </w:p>
    <w:p w14:paraId="6E849CA7" w14:textId="0F9F992A" w:rsidR="008945EF" w:rsidRPr="007F5204" w:rsidRDefault="009E44DD" w:rsidP="00AE1EE7">
      <w:pPr>
        <w:rPr>
          <w:rFonts w:cs="Arial"/>
          <w:szCs w:val="21"/>
        </w:rPr>
      </w:pPr>
      <w:r w:rsidRPr="007F5204">
        <w:rPr>
          <w:rFonts w:cs="Arial"/>
          <w:szCs w:val="21"/>
        </w:rPr>
        <w:t xml:space="preserve">The Department’s </w:t>
      </w:r>
      <w:r w:rsidR="00BF32FB" w:rsidRPr="007F5204">
        <w:rPr>
          <w:rFonts w:cs="Arial"/>
          <w:szCs w:val="21"/>
        </w:rPr>
        <w:t xml:space="preserve">objective is </w:t>
      </w:r>
      <w:r w:rsidR="00BD1EDC" w:rsidRPr="007F5204">
        <w:rPr>
          <w:rFonts w:cs="Arial"/>
          <w:szCs w:val="21"/>
        </w:rPr>
        <w:t xml:space="preserve">to facilitate the use and enjoyment of </w:t>
      </w:r>
      <w:r w:rsidR="00440213" w:rsidRPr="007F5204">
        <w:rPr>
          <w:rFonts w:cs="Arial"/>
          <w:szCs w:val="21"/>
        </w:rPr>
        <w:t xml:space="preserve">the </w:t>
      </w:r>
      <w:r w:rsidR="00BD1EDC" w:rsidRPr="007F5204">
        <w:rPr>
          <w:rFonts w:cs="Arial"/>
          <w:szCs w:val="21"/>
        </w:rPr>
        <w:t>Lake by locals and visitors to the district.</w:t>
      </w:r>
      <w:r w:rsidR="007107FE" w:rsidRPr="007107FE">
        <w:rPr>
          <w:rFonts w:cs="Arial"/>
          <w:szCs w:val="21"/>
        </w:rPr>
        <w:t xml:space="preserve"> </w:t>
      </w:r>
      <w:r w:rsidR="007107FE" w:rsidRPr="007F5204">
        <w:rPr>
          <w:rFonts w:cs="Arial"/>
          <w:szCs w:val="21"/>
        </w:rPr>
        <w:t>The boating facilities promote active use of the Lake and create a pleasant waterside environment for public recreation.</w:t>
      </w:r>
    </w:p>
    <w:p w14:paraId="2D275274" w14:textId="5E50A564" w:rsidR="007D12FB" w:rsidRPr="007F5204" w:rsidRDefault="00185836" w:rsidP="007D12FB">
      <w:pPr>
        <w:rPr>
          <w:rFonts w:cs="Arial"/>
        </w:rPr>
      </w:pPr>
      <w:r w:rsidRPr="007F5204">
        <w:rPr>
          <w:rFonts w:cs="Arial"/>
          <w:szCs w:val="21"/>
        </w:rPr>
        <w:t xml:space="preserve">The Department funds its Harbourmaster function through a mix of Crown and </w:t>
      </w:r>
      <w:r w:rsidR="007F5204" w:rsidRPr="007F5204">
        <w:rPr>
          <w:rFonts w:cs="Arial"/>
          <w:szCs w:val="21"/>
        </w:rPr>
        <w:t>third-party</w:t>
      </w:r>
      <w:r w:rsidRPr="007F5204">
        <w:rPr>
          <w:rFonts w:cs="Arial"/>
          <w:szCs w:val="21"/>
        </w:rPr>
        <w:t xml:space="preserve"> revenue. Funding for the navigational safety aspect is provided by the Crown through the </w:t>
      </w:r>
      <w:r w:rsidRPr="007F5204">
        <w:rPr>
          <w:rFonts w:cs="Arial"/>
          <w:i/>
          <w:szCs w:val="21"/>
        </w:rPr>
        <w:t>Local Government Services</w:t>
      </w:r>
      <w:r w:rsidRPr="00E95640">
        <w:rPr>
          <w:rFonts w:cs="Arial"/>
          <w:szCs w:val="21"/>
        </w:rPr>
        <w:t xml:space="preserve"> appropriation, while funding </w:t>
      </w:r>
      <w:r w:rsidR="00182594" w:rsidRPr="007F5204">
        <w:rPr>
          <w:rFonts w:cs="Arial"/>
          <w:szCs w:val="21"/>
        </w:rPr>
        <w:t xml:space="preserve">for </w:t>
      </w:r>
      <w:r w:rsidRPr="007F5204">
        <w:rPr>
          <w:rFonts w:cs="Arial"/>
          <w:szCs w:val="21"/>
        </w:rPr>
        <w:t xml:space="preserve">the boating facilities is provided by </w:t>
      </w:r>
      <w:r w:rsidR="0037417E" w:rsidRPr="007F5204">
        <w:rPr>
          <w:rFonts w:cs="Arial"/>
          <w:szCs w:val="21"/>
        </w:rPr>
        <w:t>third</w:t>
      </w:r>
      <w:r w:rsidR="0037417E">
        <w:rPr>
          <w:rFonts w:cs="Arial"/>
          <w:szCs w:val="21"/>
        </w:rPr>
        <w:t>-</w:t>
      </w:r>
      <w:r w:rsidRPr="007F5204">
        <w:rPr>
          <w:rFonts w:cs="Arial"/>
          <w:szCs w:val="21"/>
        </w:rPr>
        <w:t>party revenue.</w:t>
      </w:r>
      <w:r w:rsidR="00041C6B" w:rsidRPr="007F5204">
        <w:rPr>
          <w:rFonts w:cs="Arial"/>
          <w:szCs w:val="21"/>
        </w:rPr>
        <w:t xml:space="preserve"> </w:t>
      </w:r>
      <w:r w:rsidR="007107FE" w:rsidRPr="007F5204">
        <w:rPr>
          <w:rFonts w:cs="Arial"/>
          <w:szCs w:val="21"/>
        </w:rPr>
        <w:t>Third</w:t>
      </w:r>
      <w:r w:rsidR="007107FE">
        <w:rPr>
          <w:rFonts w:cs="Arial"/>
          <w:szCs w:val="21"/>
        </w:rPr>
        <w:t>-</w:t>
      </w:r>
      <w:r w:rsidR="00041C6B" w:rsidRPr="007F5204">
        <w:rPr>
          <w:rFonts w:cs="Arial"/>
          <w:szCs w:val="21"/>
        </w:rPr>
        <w:t>party revenue derives from user fees as th</w:t>
      </w:r>
      <w:r w:rsidR="00440213" w:rsidRPr="007F5204">
        <w:rPr>
          <w:rFonts w:cs="Arial"/>
          <w:szCs w:val="21"/>
        </w:rPr>
        <w:t>e Department generates r</w:t>
      </w:r>
      <w:r w:rsidR="007D12FB" w:rsidRPr="007F5204">
        <w:rPr>
          <w:rFonts w:cs="Arial"/>
          <w:szCs w:val="21"/>
        </w:rPr>
        <w:t xml:space="preserve">evenue </w:t>
      </w:r>
      <w:r w:rsidR="00C351AE" w:rsidRPr="007F5204">
        <w:rPr>
          <w:rFonts w:cs="Arial"/>
          <w:szCs w:val="21"/>
        </w:rPr>
        <w:t xml:space="preserve">from </w:t>
      </w:r>
      <w:r w:rsidR="004628A0" w:rsidRPr="007F5204">
        <w:rPr>
          <w:rFonts w:cs="Arial"/>
          <w:szCs w:val="21"/>
        </w:rPr>
        <w:t xml:space="preserve">the sale of </w:t>
      </w:r>
      <w:r w:rsidR="00470622" w:rsidRPr="007F5204">
        <w:rPr>
          <w:rFonts w:cs="Arial"/>
          <w:szCs w:val="21"/>
        </w:rPr>
        <w:t xml:space="preserve">berthing, </w:t>
      </w:r>
      <w:r w:rsidR="00C351AE" w:rsidRPr="007F5204">
        <w:rPr>
          <w:rFonts w:cs="Arial"/>
          <w:szCs w:val="21"/>
        </w:rPr>
        <w:t>ra</w:t>
      </w:r>
      <w:r w:rsidR="00641985" w:rsidRPr="007F5204">
        <w:rPr>
          <w:rFonts w:cs="Arial"/>
          <w:szCs w:val="21"/>
        </w:rPr>
        <w:t xml:space="preserve">mp, </w:t>
      </w:r>
      <w:r w:rsidR="00470622" w:rsidRPr="007F5204">
        <w:rPr>
          <w:rFonts w:cs="Arial"/>
          <w:szCs w:val="21"/>
        </w:rPr>
        <w:t xml:space="preserve">and </w:t>
      </w:r>
      <w:r w:rsidR="00641985" w:rsidRPr="007F5204">
        <w:rPr>
          <w:rFonts w:cs="Arial"/>
          <w:szCs w:val="21"/>
        </w:rPr>
        <w:t xml:space="preserve">mooring </w:t>
      </w:r>
      <w:r w:rsidR="004628A0" w:rsidRPr="007F5204">
        <w:rPr>
          <w:rFonts w:cs="Arial"/>
          <w:szCs w:val="21"/>
        </w:rPr>
        <w:t>permits</w:t>
      </w:r>
      <w:r w:rsidR="00641985" w:rsidRPr="007F5204">
        <w:rPr>
          <w:rFonts w:cs="Arial"/>
          <w:szCs w:val="21"/>
        </w:rPr>
        <w:t xml:space="preserve">. </w:t>
      </w:r>
      <w:r w:rsidR="007D12FB" w:rsidRPr="007F5204">
        <w:rPr>
          <w:rFonts w:cs="Arial"/>
        </w:rPr>
        <w:t xml:space="preserve">The current fee schedule is attached as </w:t>
      </w:r>
      <w:r w:rsidR="009479A1">
        <w:rPr>
          <w:rFonts w:cs="Arial"/>
          <w:b/>
        </w:rPr>
        <w:t>Annex 1</w:t>
      </w:r>
      <w:r w:rsidR="007D12FB" w:rsidRPr="007F5204">
        <w:rPr>
          <w:rFonts w:cs="Arial"/>
        </w:rPr>
        <w:t>.</w:t>
      </w:r>
    </w:p>
    <w:p w14:paraId="5892FCFD" w14:textId="6357FEBD" w:rsidR="004A61D5" w:rsidRPr="007F5204" w:rsidRDefault="004A61D5" w:rsidP="007D12FB">
      <w:pPr>
        <w:rPr>
          <w:rFonts w:cs="Arial"/>
        </w:rPr>
      </w:pPr>
      <w:r w:rsidRPr="007F5204">
        <w:rPr>
          <w:rFonts w:cs="Arial"/>
        </w:rPr>
        <w:t xml:space="preserve">A small amount of revenue is collected from hiring out the Harbourmaster’s vessels, infringement fees for </w:t>
      </w:r>
      <w:r w:rsidR="001F642F">
        <w:rPr>
          <w:rFonts w:cs="Arial"/>
        </w:rPr>
        <w:t xml:space="preserve">offences such as </w:t>
      </w:r>
      <w:r w:rsidRPr="007F5204">
        <w:rPr>
          <w:rFonts w:cs="Arial"/>
        </w:rPr>
        <w:t xml:space="preserve">using the boating facilities without a permit, and the sale of items such as nautical charts. This revenue is allocated to </w:t>
      </w:r>
      <w:r w:rsidR="00D06B42" w:rsidRPr="007F5204">
        <w:rPr>
          <w:rFonts w:cs="Arial"/>
        </w:rPr>
        <w:t>the boating facilit</w:t>
      </w:r>
      <w:r w:rsidR="00470622" w:rsidRPr="007F5204">
        <w:rPr>
          <w:rFonts w:cs="Arial"/>
        </w:rPr>
        <w:t xml:space="preserve">ies </w:t>
      </w:r>
      <w:r w:rsidR="00D06B42" w:rsidRPr="007F5204">
        <w:rPr>
          <w:rFonts w:cs="Arial"/>
        </w:rPr>
        <w:t>meaning less fee revenue is required</w:t>
      </w:r>
      <w:r w:rsidR="009E320A" w:rsidRPr="007F5204">
        <w:rPr>
          <w:rFonts w:cs="Arial"/>
        </w:rPr>
        <w:t xml:space="preserve"> to balance the memorandum account</w:t>
      </w:r>
      <w:r w:rsidR="00D06B42" w:rsidRPr="007F5204">
        <w:rPr>
          <w:rFonts w:cs="Arial"/>
        </w:rPr>
        <w:t>.</w:t>
      </w:r>
      <w:r w:rsidR="00041C6B" w:rsidRPr="007F5204">
        <w:rPr>
          <w:rFonts w:cs="Arial"/>
        </w:rPr>
        <w:t xml:space="preserve"> It is not proposed to increase sale prices for nautical charts, </w:t>
      </w:r>
      <w:r w:rsidR="007107FE">
        <w:rPr>
          <w:rFonts w:cs="Arial"/>
        </w:rPr>
        <w:t>or infringement fines at this time. These charges</w:t>
      </w:r>
      <w:r w:rsidR="00041C6B" w:rsidRPr="007F5204">
        <w:rPr>
          <w:rFonts w:cs="Arial"/>
        </w:rPr>
        <w:t xml:space="preserve"> only form a small part of the overall revenue from the boating facilities. </w:t>
      </w:r>
    </w:p>
    <w:p w14:paraId="1A004F61" w14:textId="11F5BA48" w:rsidR="00945222" w:rsidRPr="007F5204" w:rsidRDefault="00A5465F" w:rsidP="007D12FB">
      <w:pPr>
        <w:rPr>
          <w:rFonts w:cs="Arial"/>
        </w:rPr>
      </w:pPr>
      <w:r w:rsidRPr="007F5204">
        <w:rPr>
          <w:rFonts w:cs="Arial"/>
        </w:rPr>
        <w:t xml:space="preserve">The </w:t>
      </w:r>
      <w:r w:rsidR="007107FE" w:rsidRPr="007F5204">
        <w:rPr>
          <w:rFonts w:cs="Arial"/>
        </w:rPr>
        <w:t>third-party</w:t>
      </w:r>
      <w:r w:rsidR="004A61D5" w:rsidRPr="007F5204">
        <w:rPr>
          <w:rFonts w:cs="Arial"/>
        </w:rPr>
        <w:t xml:space="preserve"> revenue</w:t>
      </w:r>
      <w:r w:rsidRPr="007F5204">
        <w:rPr>
          <w:rFonts w:cs="Arial"/>
        </w:rPr>
        <w:t xml:space="preserve"> fund</w:t>
      </w:r>
      <w:r w:rsidR="004A61D5" w:rsidRPr="007F5204">
        <w:rPr>
          <w:rFonts w:cs="Arial"/>
        </w:rPr>
        <w:t>s</w:t>
      </w:r>
      <w:r w:rsidR="00945222" w:rsidRPr="007F5204">
        <w:rPr>
          <w:rFonts w:cs="Arial"/>
        </w:rPr>
        <w:t>:</w:t>
      </w:r>
    </w:p>
    <w:p w14:paraId="13D3D92C" w14:textId="14F3A561" w:rsidR="00041C6B" w:rsidRPr="007F5204" w:rsidRDefault="00A5465F" w:rsidP="007F5204">
      <w:pPr>
        <w:pStyle w:val="Bullet"/>
      </w:pPr>
      <w:r w:rsidRPr="00E95640">
        <w:t>the maintenance and administration of providing</w:t>
      </w:r>
      <w:r w:rsidRPr="007F5204">
        <w:t xml:space="preserve"> annual and temporary berths </w:t>
      </w:r>
      <w:r w:rsidR="004A61D5" w:rsidRPr="007F5204">
        <w:t xml:space="preserve">at </w:t>
      </w:r>
      <w:r w:rsidR="00041C6B" w:rsidRPr="007F5204">
        <w:t>T</w:t>
      </w:r>
      <w:r w:rsidRPr="007F5204">
        <w:t>aupō, Nukuhau, Motuoapa and Tokaanu marinas</w:t>
      </w:r>
      <w:r w:rsidR="00041C6B" w:rsidRPr="007F5204">
        <w:t>;</w:t>
      </w:r>
      <w:r w:rsidRPr="00E95640">
        <w:t xml:space="preserve"> </w:t>
      </w:r>
    </w:p>
    <w:p w14:paraId="413F3956" w14:textId="621C3C19" w:rsidR="00945222" w:rsidRPr="007F5204" w:rsidRDefault="00945222" w:rsidP="007F5204">
      <w:pPr>
        <w:pStyle w:val="Bullet"/>
      </w:pPr>
      <w:r w:rsidRPr="007F5204">
        <w:t xml:space="preserve">the maintenance and administration of providing </w:t>
      </w:r>
      <w:r w:rsidR="00A5465F" w:rsidRPr="007F5204">
        <w:t>boat ramps</w:t>
      </w:r>
      <w:r w:rsidR="00041C6B" w:rsidRPr="007F5204">
        <w:t>; and</w:t>
      </w:r>
      <w:r w:rsidR="00A5465F" w:rsidRPr="007F5204">
        <w:t xml:space="preserve"> </w:t>
      </w:r>
    </w:p>
    <w:p w14:paraId="3187759B" w14:textId="6E59DA78" w:rsidR="00945222" w:rsidRPr="007F5204" w:rsidRDefault="00A5465F" w:rsidP="007F5204">
      <w:pPr>
        <w:pStyle w:val="Bullet"/>
      </w:pPr>
      <w:r w:rsidRPr="007F5204">
        <w:t xml:space="preserve">the </w:t>
      </w:r>
      <w:r w:rsidR="00D06B42" w:rsidRPr="007F5204">
        <w:t xml:space="preserve">administration of </w:t>
      </w:r>
      <w:r w:rsidRPr="007F5204">
        <w:t xml:space="preserve">private </w:t>
      </w:r>
      <w:r w:rsidR="00D06B42" w:rsidRPr="007F5204">
        <w:t xml:space="preserve">moorings, </w:t>
      </w:r>
      <w:r w:rsidRPr="007F5204">
        <w:t xml:space="preserve">and </w:t>
      </w:r>
      <w:r w:rsidR="00D06B42" w:rsidRPr="007F5204">
        <w:t xml:space="preserve">the rental of </w:t>
      </w:r>
      <w:r w:rsidR="001F642F">
        <w:t>Crown-owned</w:t>
      </w:r>
      <w:r w:rsidR="001F642F" w:rsidRPr="007F5204">
        <w:t xml:space="preserve"> </w:t>
      </w:r>
      <w:r w:rsidR="00D06B42" w:rsidRPr="007F5204">
        <w:t xml:space="preserve">moorings. </w:t>
      </w:r>
    </w:p>
    <w:p w14:paraId="34B77B39" w14:textId="2E5AE660" w:rsidR="00A5465F" w:rsidRPr="007F5204" w:rsidRDefault="0037417E" w:rsidP="007F5204">
      <w:pPr>
        <w:spacing w:before="240"/>
        <w:rPr>
          <w:rFonts w:cs="Arial"/>
        </w:rPr>
      </w:pPr>
      <w:r w:rsidRPr="00E95640">
        <w:rPr>
          <w:rFonts w:cs="Arial"/>
        </w:rPr>
        <w:t>Third</w:t>
      </w:r>
      <w:r>
        <w:rPr>
          <w:rFonts w:cs="Arial"/>
        </w:rPr>
        <w:t>-</w:t>
      </w:r>
      <w:r w:rsidR="00D06B42" w:rsidRPr="007F5204">
        <w:rPr>
          <w:rFonts w:cs="Arial"/>
        </w:rPr>
        <w:t xml:space="preserve">party revenue </w:t>
      </w:r>
      <w:r w:rsidR="00A5465F" w:rsidRPr="007F5204">
        <w:rPr>
          <w:rFonts w:cs="Arial"/>
          <w:szCs w:val="21"/>
        </w:rPr>
        <w:t>do</w:t>
      </w:r>
      <w:r w:rsidR="00D06B42" w:rsidRPr="007F5204">
        <w:rPr>
          <w:rFonts w:cs="Arial"/>
          <w:szCs w:val="21"/>
        </w:rPr>
        <w:t>es</w:t>
      </w:r>
      <w:r w:rsidR="00A5465F" w:rsidRPr="007F5204">
        <w:rPr>
          <w:rFonts w:cs="Arial"/>
          <w:szCs w:val="21"/>
        </w:rPr>
        <w:t xml:space="preserve"> not fund any of the other </w:t>
      </w:r>
      <w:r w:rsidR="00470622" w:rsidRPr="007F5204">
        <w:rPr>
          <w:rFonts w:cs="Arial"/>
          <w:szCs w:val="21"/>
        </w:rPr>
        <w:t>aspects of the Harbourmaster’s role.</w:t>
      </w:r>
    </w:p>
    <w:p w14:paraId="3D44978A" w14:textId="5B7C9EDC" w:rsidR="00D06B42" w:rsidRPr="007F5204" w:rsidRDefault="008C2342" w:rsidP="00AE1EE7">
      <w:pPr>
        <w:rPr>
          <w:rFonts w:cs="Arial"/>
        </w:rPr>
      </w:pPr>
      <w:r w:rsidRPr="007F5204">
        <w:rPr>
          <w:rFonts w:cs="Arial"/>
        </w:rPr>
        <w:t xml:space="preserve">The Crown payment to </w:t>
      </w:r>
      <w:r w:rsidR="006063A5" w:rsidRPr="007F5204">
        <w:rPr>
          <w:rFonts w:cs="Arial"/>
        </w:rPr>
        <w:t>the Trust board</w:t>
      </w:r>
      <w:r w:rsidRPr="007F5204">
        <w:rPr>
          <w:rFonts w:cs="Arial"/>
        </w:rPr>
        <w:t xml:space="preserve"> is funded</w:t>
      </w:r>
      <w:r w:rsidR="004628A0" w:rsidRPr="007F5204">
        <w:rPr>
          <w:rFonts w:cs="Arial"/>
        </w:rPr>
        <w:t xml:space="preserve"> </w:t>
      </w:r>
      <w:r w:rsidR="006063A5" w:rsidRPr="007F5204">
        <w:rPr>
          <w:rFonts w:cs="Arial"/>
        </w:rPr>
        <w:t xml:space="preserve">by </w:t>
      </w:r>
      <w:r w:rsidR="004A61D5" w:rsidRPr="007F5204">
        <w:rPr>
          <w:rFonts w:cs="Arial"/>
        </w:rPr>
        <w:t xml:space="preserve">the </w:t>
      </w:r>
      <w:r w:rsidR="004A61D5" w:rsidRPr="007F5204">
        <w:rPr>
          <w:rFonts w:cs="Arial"/>
          <w:i/>
        </w:rPr>
        <w:t xml:space="preserve">Tūwharetoa Māori Trust Board PLA </w:t>
      </w:r>
      <w:r w:rsidR="004A61D5" w:rsidRPr="00E95640">
        <w:rPr>
          <w:rFonts w:cs="Arial"/>
        </w:rPr>
        <w:t>appropriation</w:t>
      </w:r>
      <w:r w:rsidR="006063A5" w:rsidRPr="007F5204">
        <w:rPr>
          <w:rFonts w:cs="Arial"/>
        </w:rPr>
        <w:t xml:space="preserve">. </w:t>
      </w:r>
      <w:r w:rsidR="00132272" w:rsidRPr="007F5204">
        <w:rPr>
          <w:rFonts w:cs="Arial"/>
        </w:rPr>
        <w:t xml:space="preserve">Rental of the land </w:t>
      </w:r>
      <w:r w:rsidR="001D6B5E" w:rsidRPr="007F5204">
        <w:rPr>
          <w:rFonts w:cs="Arial"/>
        </w:rPr>
        <w:t>for the boating facilities is</w:t>
      </w:r>
      <w:r w:rsidR="00132272" w:rsidRPr="007F5204">
        <w:rPr>
          <w:rFonts w:cs="Arial"/>
        </w:rPr>
        <w:t xml:space="preserve"> </w:t>
      </w:r>
      <w:r w:rsidR="004A61D5" w:rsidRPr="007F5204">
        <w:rPr>
          <w:rFonts w:cs="Arial"/>
        </w:rPr>
        <w:t>included in</w:t>
      </w:r>
      <w:r w:rsidR="00132272" w:rsidRPr="007F5204">
        <w:rPr>
          <w:rFonts w:cs="Arial"/>
        </w:rPr>
        <w:t xml:space="preserve"> this appropriation. </w:t>
      </w:r>
    </w:p>
    <w:p w14:paraId="0B766F43" w14:textId="77777777" w:rsidR="00641985" w:rsidRPr="007F5204" w:rsidRDefault="00132272" w:rsidP="00AE1EE7">
      <w:pPr>
        <w:rPr>
          <w:rFonts w:cs="Arial"/>
        </w:rPr>
      </w:pPr>
      <w:r w:rsidRPr="007F5204">
        <w:rPr>
          <w:rFonts w:cs="Arial"/>
        </w:rPr>
        <w:t xml:space="preserve">Depreciation </w:t>
      </w:r>
      <w:r w:rsidR="004A61D5" w:rsidRPr="007F5204">
        <w:rPr>
          <w:rFonts w:cs="Arial"/>
        </w:rPr>
        <w:t>o</w:t>
      </w:r>
      <w:r w:rsidR="00D06B42" w:rsidRPr="007F5204">
        <w:rPr>
          <w:rFonts w:cs="Arial"/>
        </w:rPr>
        <w:t xml:space="preserve">n </w:t>
      </w:r>
      <w:r w:rsidR="004A61D5" w:rsidRPr="007F5204">
        <w:rPr>
          <w:rFonts w:cs="Arial"/>
        </w:rPr>
        <w:t xml:space="preserve">the Crown’s assets </w:t>
      </w:r>
      <w:r w:rsidRPr="007F5204">
        <w:rPr>
          <w:rFonts w:cs="Arial"/>
        </w:rPr>
        <w:t>ha</w:t>
      </w:r>
      <w:r w:rsidR="00D06B42" w:rsidRPr="007F5204">
        <w:rPr>
          <w:rFonts w:cs="Arial"/>
        </w:rPr>
        <w:t>s</w:t>
      </w:r>
      <w:r w:rsidRPr="007F5204">
        <w:rPr>
          <w:rFonts w:cs="Arial"/>
        </w:rPr>
        <w:t xml:space="preserve"> been covered by </w:t>
      </w:r>
      <w:r w:rsidR="001D6B5E" w:rsidRPr="007F5204">
        <w:rPr>
          <w:rFonts w:cs="Arial"/>
          <w:i/>
        </w:rPr>
        <w:t xml:space="preserve">the Crown-owned Assets at Lake Taupō – Maintenance </w:t>
      </w:r>
      <w:r w:rsidR="001D6B5E" w:rsidRPr="00E95640">
        <w:rPr>
          <w:rFonts w:cs="Arial"/>
          <w:i/>
        </w:rPr>
        <w:t>C</w:t>
      </w:r>
      <w:r w:rsidR="001D6B5E" w:rsidRPr="007F5204">
        <w:rPr>
          <w:rFonts w:cs="Arial"/>
          <w:i/>
        </w:rPr>
        <w:t>osts</w:t>
      </w:r>
      <w:r w:rsidR="001D6B5E" w:rsidRPr="00E95640">
        <w:rPr>
          <w:rFonts w:cs="Arial"/>
        </w:rPr>
        <w:t xml:space="preserve"> appropriation</w:t>
      </w:r>
      <w:r w:rsidR="001D6B5E" w:rsidRPr="007F5204">
        <w:rPr>
          <w:rFonts w:cs="Arial"/>
        </w:rPr>
        <w:t xml:space="preserve">. </w:t>
      </w:r>
      <w:r w:rsidR="00663803" w:rsidRPr="007F5204">
        <w:rPr>
          <w:rFonts w:cs="Arial"/>
        </w:rPr>
        <w:t xml:space="preserve">In June 2012, Cabinet agreed that fees for the use of boating facilities </w:t>
      </w:r>
      <w:r w:rsidR="004A61D5" w:rsidRPr="007F5204">
        <w:rPr>
          <w:rFonts w:cs="Arial"/>
        </w:rPr>
        <w:t>would</w:t>
      </w:r>
      <w:r w:rsidR="00663803" w:rsidRPr="007F5204">
        <w:rPr>
          <w:rFonts w:cs="Arial"/>
        </w:rPr>
        <w:t xml:space="preserve"> </w:t>
      </w:r>
      <w:r w:rsidR="00D06B42" w:rsidRPr="007F5204">
        <w:rPr>
          <w:rFonts w:cs="Arial"/>
        </w:rPr>
        <w:t>include</w:t>
      </w:r>
      <w:r w:rsidR="00663803" w:rsidRPr="007F5204">
        <w:rPr>
          <w:rFonts w:cs="Arial"/>
        </w:rPr>
        <w:t xml:space="preserve"> depreciation [EGI Min (12) 13/5 refers]</w:t>
      </w:r>
      <w:r w:rsidR="00D06B42" w:rsidRPr="007F5204">
        <w:rPr>
          <w:rFonts w:cs="Arial"/>
        </w:rPr>
        <w:t>. Other than Motuoapa marina</w:t>
      </w:r>
      <w:r w:rsidR="00470622" w:rsidRPr="007F5204">
        <w:rPr>
          <w:rFonts w:cs="Arial"/>
        </w:rPr>
        <w:t>,</w:t>
      </w:r>
      <w:r w:rsidR="00D06B42" w:rsidRPr="007F5204">
        <w:rPr>
          <w:rFonts w:cs="Arial"/>
        </w:rPr>
        <w:t xml:space="preserve"> the other Lake Taupō assets are fully depreciated</w:t>
      </w:r>
      <w:r w:rsidR="00EF52E3" w:rsidRPr="007F5204">
        <w:rPr>
          <w:rFonts w:cs="Arial"/>
        </w:rPr>
        <w:t>.</w:t>
      </w:r>
    </w:p>
    <w:p w14:paraId="10774380" w14:textId="06AAE9CF" w:rsidR="004A61D5" w:rsidRPr="007F5204" w:rsidRDefault="00DC689E">
      <w:pPr>
        <w:rPr>
          <w:rFonts w:cs="Arial"/>
        </w:rPr>
      </w:pPr>
      <w:r w:rsidRPr="007F5204">
        <w:rPr>
          <w:rFonts w:cs="Arial"/>
        </w:rPr>
        <w:t>In the public sector, when entities provide services on a full cost</w:t>
      </w:r>
      <w:r w:rsidR="00041C6B" w:rsidRPr="007F5204">
        <w:rPr>
          <w:rFonts w:cs="Arial"/>
        </w:rPr>
        <w:t xml:space="preserve"> </w:t>
      </w:r>
      <w:r w:rsidRPr="007F5204">
        <w:rPr>
          <w:rFonts w:cs="Arial"/>
        </w:rPr>
        <w:t xml:space="preserve">recovery basis and the revenue and expenses will not necessarily agree in each financial year, the entity must operate a memorandum account that records the accumulated surplus or deficit arising from </w:t>
      </w:r>
      <w:r w:rsidRPr="007F5204">
        <w:rPr>
          <w:rFonts w:cs="Arial"/>
        </w:rPr>
        <w:lastRenderedPageBreak/>
        <w:t>providing the service</w:t>
      </w:r>
      <w:r w:rsidR="00041C6B" w:rsidRPr="007F5204">
        <w:rPr>
          <w:rFonts w:cs="Arial"/>
        </w:rPr>
        <w:t>.</w:t>
      </w:r>
      <w:r w:rsidRPr="007F5204">
        <w:rPr>
          <w:rStyle w:val="FootnoteReference"/>
          <w:rFonts w:cs="Arial"/>
          <w:szCs w:val="21"/>
        </w:rPr>
        <w:footnoteReference w:id="1"/>
      </w:r>
      <w:r w:rsidRPr="007F5204">
        <w:rPr>
          <w:rFonts w:cs="Arial"/>
        </w:rPr>
        <w:t xml:space="preserve"> Memorandum accounts are used to provide transparency and assurance that entities are not gaining from over-recovery of costs. The balance of each memorandum account is expected to trend to zero over a realistic </w:t>
      </w:r>
      <w:proofErr w:type="gramStart"/>
      <w:r w:rsidRPr="007F5204">
        <w:rPr>
          <w:rFonts w:cs="Arial"/>
        </w:rPr>
        <w:t>period of time</w:t>
      </w:r>
      <w:proofErr w:type="gramEnd"/>
      <w:r w:rsidRPr="007F5204">
        <w:rPr>
          <w:rFonts w:cs="Arial"/>
        </w:rPr>
        <w:t>, with temporary deficits being met either from the entity's balance sheet or by a capital injection from the Crown.</w:t>
      </w:r>
    </w:p>
    <w:p w14:paraId="4A654E2E" w14:textId="1852F63B" w:rsidR="007D12FB" w:rsidRPr="007F5204" w:rsidRDefault="007107FE" w:rsidP="007F5204">
      <w:pPr>
        <w:rPr>
          <w:rFonts w:cs="Arial"/>
        </w:rPr>
      </w:pPr>
      <w:bookmarkStart w:id="37" w:name="_Hlk11139768"/>
      <w:r w:rsidRPr="007F5204">
        <w:rPr>
          <w:rFonts w:cs="Arial"/>
        </w:rPr>
        <w:t>Third</w:t>
      </w:r>
      <w:r>
        <w:rPr>
          <w:rFonts w:cs="Arial"/>
        </w:rPr>
        <w:t>-</w:t>
      </w:r>
      <w:r w:rsidR="00D06B42" w:rsidRPr="007F5204">
        <w:rPr>
          <w:rFonts w:cs="Arial"/>
        </w:rPr>
        <w:t>party revenue has been insufficient to cover expenditure over the last two financial years</w:t>
      </w:r>
      <w:r w:rsidR="00E04518" w:rsidRPr="007F5204">
        <w:rPr>
          <w:rFonts w:cs="Arial"/>
        </w:rPr>
        <w:t xml:space="preserve">. The opening deficit in 2018/2019 was $0.022 million, forecast to increase </w:t>
      </w:r>
      <w:r>
        <w:rPr>
          <w:rFonts w:cs="Arial"/>
        </w:rPr>
        <w:t>to</w:t>
      </w:r>
      <w:r w:rsidRPr="007F5204">
        <w:rPr>
          <w:rFonts w:cs="Arial"/>
        </w:rPr>
        <w:t xml:space="preserve"> </w:t>
      </w:r>
      <w:r>
        <w:rPr>
          <w:rFonts w:cs="Arial"/>
        </w:rPr>
        <w:t>$0.1</w:t>
      </w:r>
      <w:r w:rsidR="00834982">
        <w:rPr>
          <w:rFonts w:cs="Arial"/>
        </w:rPr>
        <w:t>73</w:t>
      </w:r>
      <w:r>
        <w:rPr>
          <w:rFonts w:cs="Arial"/>
        </w:rPr>
        <w:t xml:space="preserve"> million by </w:t>
      </w:r>
      <w:r w:rsidR="00E04518" w:rsidRPr="007F5204">
        <w:rPr>
          <w:rFonts w:cs="Arial"/>
        </w:rPr>
        <w:t>the end of the year</w:t>
      </w:r>
      <w:r w:rsidR="00D06B42" w:rsidRPr="007F5204">
        <w:rPr>
          <w:rFonts w:cs="Arial"/>
        </w:rPr>
        <w:t xml:space="preserve">. </w:t>
      </w:r>
      <w:r w:rsidR="007D12FB" w:rsidRPr="007F5204">
        <w:rPr>
          <w:rFonts w:cs="Arial"/>
        </w:rPr>
        <w:t>Under the status quo the Department forecasts the memorandum account will hold a deficit of $1.</w:t>
      </w:r>
      <w:r w:rsidR="00304AF6" w:rsidRPr="007F5204">
        <w:rPr>
          <w:rFonts w:cs="Arial"/>
        </w:rPr>
        <w:t>2</w:t>
      </w:r>
      <w:r w:rsidR="007D12FB" w:rsidRPr="007F5204">
        <w:rPr>
          <w:rFonts w:cs="Arial"/>
        </w:rPr>
        <w:t xml:space="preserve"> million </w:t>
      </w:r>
      <w:r>
        <w:rPr>
          <w:rFonts w:cs="Arial"/>
        </w:rPr>
        <w:t>by year end</w:t>
      </w:r>
      <w:r w:rsidRPr="007F5204">
        <w:rPr>
          <w:rFonts w:cs="Arial"/>
        </w:rPr>
        <w:t xml:space="preserve"> </w:t>
      </w:r>
      <w:r w:rsidR="007D12FB" w:rsidRPr="007F5204">
        <w:rPr>
          <w:rFonts w:cs="Arial"/>
        </w:rPr>
        <w:t xml:space="preserve">2022/23. </w:t>
      </w:r>
    </w:p>
    <w:bookmarkEnd w:id="37"/>
    <w:p w14:paraId="2B751BE5" w14:textId="58D7C31F" w:rsidR="00945222" w:rsidRDefault="00945222" w:rsidP="007F5204">
      <w:pPr>
        <w:rPr>
          <w:rFonts w:cs="Arial"/>
        </w:rPr>
      </w:pPr>
      <w:r w:rsidRPr="007F5204">
        <w:rPr>
          <w:rFonts w:cs="Arial"/>
        </w:rPr>
        <w:t xml:space="preserve">In years </w:t>
      </w:r>
      <w:r w:rsidR="0085597D" w:rsidRPr="007F5204">
        <w:rPr>
          <w:rFonts w:cs="Arial"/>
        </w:rPr>
        <w:t>in which</w:t>
      </w:r>
      <w:r w:rsidRPr="007F5204">
        <w:rPr>
          <w:rFonts w:cs="Arial"/>
        </w:rPr>
        <w:t xml:space="preserve"> expenditure is higher than revenue</w:t>
      </w:r>
      <w:r w:rsidR="0085597D" w:rsidRPr="007F5204">
        <w:rPr>
          <w:rFonts w:cs="Arial"/>
        </w:rPr>
        <w:t>,</w:t>
      </w:r>
      <w:r w:rsidRPr="007F5204">
        <w:rPr>
          <w:rFonts w:cs="Arial"/>
        </w:rPr>
        <w:t xml:space="preserve"> the deficit in the memorandum account is covered by the Department. The Department requires the memorandum account to </w:t>
      </w:r>
      <w:r w:rsidR="0085597D" w:rsidRPr="007F5204">
        <w:rPr>
          <w:rFonts w:cs="Arial"/>
        </w:rPr>
        <w:t xml:space="preserve">make good </w:t>
      </w:r>
      <w:r w:rsidRPr="007F5204">
        <w:rPr>
          <w:rFonts w:cs="Arial"/>
        </w:rPr>
        <w:t xml:space="preserve">the deficit in the short to medium term. If the memorandum account does not repay the Department, the deficit on the Department’s balance sheet would continue to grow </w:t>
      </w:r>
      <w:r w:rsidR="0085597D" w:rsidRPr="007F5204">
        <w:rPr>
          <w:rFonts w:cs="Arial"/>
        </w:rPr>
        <w:t xml:space="preserve">which would impact on other Departmental operations and Ministerial priorities unless alternative steps were taken to address the deficit. </w:t>
      </w:r>
    </w:p>
    <w:p w14:paraId="1995C862" w14:textId="77777777" w:rsidR="001D3874" w:rsidRDefault="007107FE" w:rsidP="007F5204">
      <w:pPr>
        <w:rPr>
          <w:rFonts w:cs="Arial"/>
        </w:rPr>
      </w:pPr>
      <w:r>
        <w:rPr>
          <w:rFonts w:cs="Arial"/>
        </w:rPr>
        <w:t>Taupō and Tokaanu marinas are currently at full capacity. Taupō marina has a waiting list</w:t>
      </w:r>
      <w:r w:rsidR="001B1DD2">
        <w:rPr>
          <w:rFonts w:cs="Arial"/>
        </w:rPr>
        <w:t xml:space="preserve"> for berths currently sitting at 1</w:t>
      </w:r>
      <w:r w:rsidR="00E85CD5">
        <w:rPr>
          <w:rFonts w:cs="Arial"/>
        </w:rPr>
        <w:t>27</w:t>
      </w:r>
      <w:r w:rsidR="001B1DD2">
        <w:rPr>
          <w:rFonts w:cs="Arial"/>
        </w:rPr>
        <w:t xml:space="preserve"> people</w:t>
      </w:r>
      <w:r>
        <w:rPr>
          <w:rFonts w:cs="Arial"/>
        </w:rPr>
        <w:t xml:space="preserve">. </w:t>
      </w:r>
      <w:r w:rsidR="00E85CD5">
        <w:rPr>
          <w:rFonts w:cs="Arial"/>
        </w:rPr>
        <w:t xml:space="preserve">Nukuhau marina is at full capacity of berths available to be leased annually, 14 berths at Nukuhau </w:t>
      </w:r>
      <w:r w:rsidR="00E46B12">
        <w:rPr>
          <w:rFonts w:cs="Arial"/>
        </w:rPr>
        <w:t xml:space="preserve">marina </w:t>
      </w:r>
      <w:r w:rsidR="00E85CD5">
        <w:rPr>
          <w:rFonts w:cs="Arial"/>
        </w:rPr>
        <w:t xml:space="preserve">cannot </w:t>
      </w:r>
      <w:r w:rsidR="00E46B12">
        <w:rPr>
          <w:rFonts w:cs="Arial"/>
        </w:rPr>
        <w:t xml:space="preserve">currently </w:t>
      </w:r>
      <w:r w:rsidR="00E85CD5">
        <w:rPr>
          <w:rFonts w:cs="Arial"/>
        </w:rPr>
        <w:t>be leased annually because of a sandbar which is discussed in the subsequent section</w:t>
      </w:r>
      <w:r w:rsidR="00E46B12">
        <w:rPr>
          <w:rFonts w:cs="Arial"/>
        </w:rPr>
        <w:t xml:space="preserve">, these are used as temporary berths during months when the lake level is sufficient. </w:t>
      </w:r>
      <w:bookmarkStart w:id="38" w:name="_Hlk11165359"/>
    </w:p>
    <w:p w14:paraId="68655281" w14:textId="54714CA2" w:rsidR="007107FE" w:rsidRPr="007F5204" w:rsidRDefault="007107FE" w:rsidP="007F5204">
      <w:pPr>
        <w:rPr>
          <w:rFonts w:cs="Arial"/>
        </w:rPr>
      </w:pPr>
      <w:r>
        <w:rPr>
          <w:rFonts w:cs="Arial"/>
        </w:rPr>
        <w:t>At Motuoapa marina there are currently 3</w:t>
      </w:r>
      <w:r w:rsidR="00AF3D8D">
        <w:rPr>
          <w:rFonts w:cs="Arial"/>
        </w:rPr>
        <w:t>1</w:t>
      </w:r>
      <w:r>
        <w:rPr>
          <w:rFonts w:cs="Arial"/>
        </w:rPr>
        <w:t xml:space="preserve"> berths available for lease. This is an opportunity cost of $</w:t>
      </w:r>
      <w:r w:rsidR="00CE67B9">
        <w:rPr>
          <w:rFonts w:cs="Arial"/>
        </w:rPr>
        <w:t>124,000 (including GST)</w:t>
      </w:r>
      <w:r>
        <w:rPr>
          <w:rFonts w:cs="Arial"/>
        </w:rPr>
        <w:t xml:space="preserve"> to the Department</w:t>
      </w:r>
      <w:r w:rsidR="00E46B12">
        <w:rPr>
          <w:rFonts w:cs="Arial"/>
        </w:rPr>
        <w:t xml:space="preserve"> however we </w:t>
      </w:r>
      <w:r w:rsidR="001D3874">
        <w:rPr>
          <w:rFonts w:cs="Arial"/>
        </w:rPr>
        <w:t xml:space="preserve">have </w:t>
      </w:r>
      <w:r w:rsidR="00E46B12">
        <w:rPr>
          <w:rFonts w:cs="Arial"/>
        </w:rPr>
        <w:t>recovered approximately $14,</w:t>
      </w:r>
      <w:r w:rsidR="001D3874">
        <w:rPr>
          <w:rFonts w:cs="Arial"/>
        </w:rPr>
        <w:t>000 to date over 2018/19 by leasing the vacant berths on a temporary basis</w:t>
      </w:r>
      <w:r>
        <w:rPr>
          <w:rFonts w:cs="Arial"/>
        </w:rPr>
        <w:t xml:space="preserve">. </w:t>
      </w:r>
      <w:bookmarkEnd w:id="38"/>
      <w:r>
        <w:rPr>
          <w:rFonts w:cs="Arial"/>
        </w:rPr>
        <w:t xml:space="preserve">The Department </w:t>
      </w:r>
      <w:r w:rsidR="001B1DD2">
        <w:rPr>
          <w:rFonts w:cs="Arial"/>
        </w:rPr>
        <w:t xml:space="preserve">offered a berth at Motuoapa to those on the Taupō waiting list </w:t>
      </w:r>
      <w:r w:rsidR="00E85CD5">
        <w:rPr>
          <w:rFonts w:cs="Arial"/>
        </w:rPr>
        <w:t>but there was limited uptake</w:t>
      </w:r>
      <w:r w:rsidR="001B1DD2">
        <w:rPr>
          <w:rFonts w:cs="Arial"/>
        </w:rPr>
        <w:t xml:space="preserve"> due to the distance between Taupō and Motuoapa marina of approximately 40 kilometres. </w:t>
      </w:r>
      <w:r w:rsidR="00AF3D8D">
        <w:rPr>
          <w:rFonts w:cs="Arial"/>
        </w:rPr>
        <w:t xml:space="preserve">The Department does not maintain an advertising and marketing budget for the vacant </w:t>
      </w:r>
      <w:proofErr w:type="gramStart"/>
      <w:r w:rsidR="00AF3D8D">
        <w:rPr>
          <w:rFonts w:cs="Arial"/>
        </w:rPr>
        <w:t>berths</w:t>
      </w:r>
      <w:proofErr w:type="gramEnd"/>
      <w:r w:rsidR="00AF3D8D">
        <w:rPr>
          <w:rFonts w:cs="Arial"/>
        </w:rPr>
        <w:t xml:space="preserve"> </w:t>
      </w:r>
      <w:r w:rsidR="00CE67B9">
        <w:rPr>
          <w:rFonts w:cs="Arial"/>
        </w:rPr>
        <w:t>but</w:t>
      </w:r>
      <w:r w:rsidR="00AF3D8D">
        <w:rPr>
          <w:rFonts w:cs="Arial"/>
        </w:rPr>
        <w:t xml:space="preserve"> it takes the opportunity to promote the marinas where it can</w:t>
      </w:r>
      <w:r w:rsidR="00CE67B9">
        <w:rPr>
          <w:rFonts w:cs="Arial"/>
        </w:rPr>
        <w:t>,</w:t>
      </w:r>
      <w:r w:rsidR="00AF3D8D">
        <w:rPr>
          <w:rFonts w:cs="Arial"/>
        </w:rPr>
        <w:t xml:space="preserve"> including </w:t>
      </w:r>
      <w:r w:rsidR="00CE67B9">
        <w:rPr>
          <w:rFonts w:cs="Arial"/>
        </w:rPr>
        <w:t>allowing events around the lake to make use of the boating facilities.</w:t>
      </w:r>
      <w:r w:rsidR="00AF3D8D">
        <w:rPr>
          <w:rFonts w:cs="Arial"/>
        </w:rPr>
        <w:t xml:space="preserve"> </w:t>
      </w:r>
    </w:p>
    <w:p w14:paraId="46BBEA38" w14:textId="77777777" w:rsidR="009D496D" w:rsidRPr="007F5204" w:rsidRDefault="009D496D" w:rsidP="00397F68">
      <w:pPr>
        <w:pStyle w:val="Heading3"/>
        <w:rPr>
          <w:rFonts w:cs="Arial"/>
        </w:rPr>
      </w:pPr>
      <w:r w:rsidRPr="007F5204">
        <w:rPr>
          <w:rFonts w:cs="Arial"/>
        </w:rPr>
        <w:t>Reviews of cost recovery charges</w:t>
      </w:r>
    </w:p>
    <w:p w14:paraId="321551DE" w14:textId="62B992AE" w:rsidR="00DC689E" w:rsidRPr="007F5204" w:rsidRDefault="002869B2" w:rsidP="00AE1EE7">
      <w:pPr>
        <w:pStyle w:val="Bullet-list"/>
        <w:numPr>
          <w:ilvl w:val="0"/>
          <w:numId w:val="0"/>
        </w:numPr>
        <w:rPr>
          <w:rFonts w:cs="Arial"/>
        </w:rPr>
      </w:pPr>
      <w:r w:rsidRPr="007F5204">
        <w:rPr>
          <w:rFonts w:cs="Arial"/>
        </w:rPr>
        <w:t>It is</w:t>
      </w:r>
      <w:r w:rsidR="00DC689E" w:rsidRPr="007F5204">
        <w:rPr>
          <w:rFonts w:cs="Arial"/>
        </w:rPr>
        <w:t xml:space="preserve"> not viable </w:t>
      </w:r>
      <w:r w:rsidRPr="007F5204">
        <w:rPr>
          <w:rFonts w:cs="Arial"/>
        </w:rPr>
        <w:t xml:space="preserve">for the memorandum account to remain in deficit over the </w:t>
      </w:r>
      <w:r w:rsidR="00DC689E" w:rsidRPr="007F5204">
        <w:rPr>
          <w:rFonts w:cs="Arial"/>
        </w:rPr>
        <w:t>long term because it mean</w:t>
      </w:r>
      <w:r w:rsidR="00362099" w:rsidRPr="007F5204">
        <w:rPr>
          <w:rFonts w:cs="Arial"/>
        </w:rPr>
        <w:t>s</w:t>
      </w:r>
      <w:r w:rsidR="00DC689E" w:rsidRPr="007F5204">
        <w:rPr>
          <w:rFonts w:cs="Arial"/>
        </w:rPr>
        <w:t xml:space="preserve"> the Department </w:t>
      </w:r>
      <w:r w:rsidR="00362099" w:rsidRPr="007F5204">
        <w:rPr>
          <w:rFonts w:cs="Arial"/>
        </w:rPr>
        <w:t>would be</w:t>
      </w:r>
      <w:r w:rsidR="00DC689E" w:rsidRPr="007F5204">
        <w:rPr>
          <w:rFonts w:cs="Arial"/>
        </w:rPr>
        <w:t xml:space="preserve"> subsidising users of the boating facilities which </w:t>
      </w:r>
      <w:r w:rsidR="00041C6B" w:rsidRPr="007F5204">
        <w:rPr>
          <w:rFonts w:cs="Arial"/>
        </w:rPr>
        <w:t xml:space="preserve">contradicts </w:t>
      </w:r>
      <w:r w:rsidR="00E95640">
        <w:rPr>
          <w:rFonts w:cs="Arial"/>
        </w:rPr>
        <w:t xml:space="preserve">the </w:t>
      </w:r>
      <w:r w:rsidR="00DC689E" w:rsidRPr="007F5204">
        <w:rPr>
          <w:rFonts w:cs="Arial"/>
        </w:rPr>
        <w:t xml:space="preserve">Treasury policy </w:t>
      </w:r>
      <w:r w:rsidR="00041C6B" w:rsidRPr="007F5204">
        <w:rPr>
          <w:rFonts w:cs="Arial"/>
        </w:rPr>
        <w:t xml:space="preserve">that the </w:t>
      </w:r>
      <w:r w:rsidR="00DC689E" w:rsidRPr="007F5204">
        <w:rPr>
          <w:rFonts w:cs="Arial"/>
        </w:rPr>
        <w:t>user pays</w:t>
      </w:r>
      <w:r w:rsidR="00470622" w:rsidRPr="007F5204">
        <w:rPr>
          <w:rFonts w:cs="Arial"/>
        </w:rPr>
        <w:t xml:space="preserve"> for public sector goods and services</w:t>
      </w:r>
      <w:r w:rsidR="00DC689E" w:rsidRPr="007F5204">
        <w:rPr>
          <w:rFonts w:cs="Arial"/>
        </w:rPr>
        <w:t xml:space="preserve">.  </w:t>
      </w:r>
    </w:p>
    <w:p w14:paraId="0FD32473" w14:textId="7C034833" w:rsidR="0043152F" w:rsidRPr="007F5204" w:rsidRDefault="00AE1EE7" w:rsidP="007F5204">
      <w:pPr>
        <w:rPr>
          <w:rFonts w:cs="Arial"/>
        </w:rPr>
      </w:pPr>
      <w:r w:rsidRPr="007F5204">
        <w:rPr>
          <w:rFonts w:cs="Arial"/>
        </w:rPr>
        <w:t xml:space="preserve">The Department’s existing cost recovery policy </w:t>
      </w:r>
      <w:r w:rsidR="00365619" w:rsidRPr="007F5204">
        <w:rPr>
          <w:rFonts w:cs="Arial"/>
        </w:rPr>
        <w:t xml:space="preserve">states that </w:t>
      </w:r>
      <w:r w:rsidRPr="007F5204">
        <w:rPr>
          <w:rFonts w:cs="Arial"/>
        </w:rPr>
        <w:t xml:space="preserve">the expenses </w:t>
      </w:r>
      <w:r w:rsidR="008945EF" w:rsidRPr="007F5204">
        <w:rPr>
          <w:rFonts w:cs="Arial"/>
        </w:rPr>
        <w:t xml:space="preserve">incurred </w:t>
      </w:r>
      <w:r w:rsidR="00945222" w:rsidRPr="007F5204">
        <w:rPr>
          <w:rFonts w:cs="Arial"/>
        </w:rPr>
        <w:t xml:space="preserve">from </w:t>
      </w:r>
      <w:r w:rsidR="008945EF" w:rsidRPr="007F5204">
        <w:rPr>
          <w:rFonts w:cs="Arial"/>
        </w:rPr>
        <w:t>the administration</w:t>
      </w:r>
      <w:r w:rsidR="00945222" w:rsidRPr="007F5204">
        <w:rPr>
          <w:rFonts w:cs="Arial"/>
        </w:rPr>
        <w:t xml:space="preserve">, maintenance and depreciation </w:t>
      </w:r>
      <w:r w:rsidR="008945EF" w:rsidRPr="007F5204">
        <w:rPr>
          <w:rFonts w:cs="Arial"/>
        </w:rPr>
        <w:t>of the boating facilities</w:t>
      </w:r>
      <w:r w:rsidR="00365619" w:rsidRPr="007F5204">
        <w:rPr>
          <w:rFonts w:cs="Arial"/>
        </w:rPr>
        <w:t xml:space="preserve"> should be fully recovered</w:t>
      </w:r>
      <w:r w:rsidR="008945EF" w:rsidRPr="007F5204">
        <w:rPr>
          <w:rFonts w:cs="Arial"/>
        </w:rPr>
        <w:t xml:space="preserve">. </w:t>
      </w:r>
    </w:p>
    <w:p w14:paraId="322A0906" w14:textId="24F5BA86" w:rsidR="00470622" w:rsidRPr="007F5204" w:rsidRDefault="00470622" w:rsidP="007F5204">
      <w:pPr>
        <w:rPr>
          <w:rFonts w:cs="Arial"/>
          <w:lang w:val="en-NZ"/>
        </w:rPr>
      </w:pPr>
      <w:r w:rsidRPr="007F5204">
        <w:rPr>
          <w:rFonts w:cs="Arial"/>
        </w:rPr>
        <w:t>In November 2018, Cabinet agreed to the release of a consultation document initiating a review of the fees charged for the boating facilities [DEV-18-MIN-0277 and CAB-18-min-0592 refer].</w:t>
      </w:r>
    </w:p>
    <w:p w14:paraId="11A8FC55" w14:textId="649358B1" w:rsidR="00D94BC8" w:rsidRPr="007F5204" w:rsidRDefault="002869B2" w:rsidP="007F5204">
      <w:r w:rsidRPr="00E95640">
        <w:rPr>
          <w:rFonts w:cs="Arial"/>
          <w:szCs w:val="22"/>
        </w:rPr>
        <w:t>While t</w:t>
      </w:r>
      <w:r w:rsidR="006063A5" w:rsidRPr="007F5204">
        <w:rPr>
          <w:rFonts w:cs="Arial"/>
          <w:szCs w:val="22"/>
        </w:rPr>
        <w:t>he fees review encompasses all the boating facilities</w:t>
      </w:r>
      <w:r w:rsidRPr="007F5204">
        <w:rPr>
          <w:rFonts w:cs="Arial"/>
          <w:szCs w:val="22"/>
        </w:rPr>
        <w:t xml:space="preserve">, fee </w:t>
      </w:r>
      <w:r w:rsidR="006063A5" w:rsidRPr="007F5204">
        <w:rPr>
          <w:rFonts w:cs="Arial"/>
          <w:szCs w:val="22"/>
        </w:rPr>
        <w:t xml:space="preserve">increases will not be implemented for </w:t>
      </w:r>
      <w:r w:rsidR="004C604B" w:rsidRPr="007F5204">
        <w:rPr>
          <w:rFonts w:cs="Arial"/>
          <w:szCs w:val="22"/>
        </w:rPr>
        <w:t xml:space="preserve">Nukuhau and Tokaanu marinas </w:t>
      </w:r>
      <w:r w:rsidR="006063A5" w:rsidRPr="007F5204">
        <w:rPr>
          <w:rFonts w:cs="Arial"/>
          <w:szCs w:val="22"/>
        </w:rPr>
        <w:t xml:space="preserve">at this time. </w:t>
      </w:r>
    </w:p>
    <w:p w14:paraId="1AE4F17E" w14:textId="100DA1D4" w:rsidR="00DC689E" w:rsidRPr="007F5204" w:rsidRDefault="006063A5" w:rsidP="007F5204">
      <w:r w:rsidRPr="007F5204">
        <w:rPr>
          <w:rFonts w:cs="Arial"/>
        </w:rPr>
        <w:lastRenderedPageBreak/>
        <w:t>To be fully operational, Nukuhau marina requires dredging</w:t>
      </w:r>
      <w:r w:rsidR="00FD1BB4" w:rsidRPr="007F5204">
        <w:rPr>
          <w:rFonts w:cs="Arial"/>
        </w:rPr>
        <w:t xml:space="preserve"> due to a large sandbar </w:t>
      </w:r>
      <w:r w:rsidR="00945222" w:rsidRPr="007F5204">
        <w:rPr>
          <w:rFonts w:cs="Arial"/>
        </w:rPr>
        <w:t>near</w:t>
      </w:r>
      <w:r w:rsidR="00FD1BB4" w:rsidRPr="007F5204">
        <w:rPr>
          <w:rFonts w:cs="Arial"/>
        </w:rPr>
        <w:t xml:space="preserve"> the marina</w:t>
      </w:r>
      <w:r w:rsidR="00D94BC8" w:rsidRPr="007F5204">
        <w:rPr>
          <w:rFonts w:cs="Arial"/>
        </w:rPr>
        <w:t xml:space="preserve">. The Department is </w:t>
      </w:r>
      <w:r w:rsidR="00041C6B" w:rsidRPr="007F5204">
        <w:rPr>
          <w:rFonts w:cs="Arial"/>
        </w:rPr>
        <w:t xml:space="preserve">considering options to </w:t>
      </w:r>
      <w:r w:rsidR="00D94BC8" w:rsidRPr="007F5204">
        <w:rPr>
          <w:rFonts w:cs="Arial"/>
        </w:rPr>
        <w:t xml:space="preserve">secure funding to undertake the </w:t>
      </w:r>
      <w:r w:rsidR="007F5204" w:rsidRPr="007F5204">
        <w:rPr>
          <w:rFonts w:cs="Arial"/>
        </w:rPr>
        <w:t>work,</w:t>
      </w:r>
      <w:r w:rsidR="00D94BC8" w:rsidRPr="007F5204">
        <w:rPr>
          <w:rFonts w:cs="Arial"/>
        </w:rPr>
        <w:t xml:space="preserve"> </w:t>
      </w:r>
      <w:r w:rsidR="00041C6B" w:rsidRPr="007F5204">
        <w:rPr>
          <w:rFonts w:cs="Arial"/>
        </w:rPr>
        <w:t>but timing is uncertain. G</w:t>
      </w:r>
      <w:r w:rsidR="00D94BC8" w:rsidRPr="007F5204">
        <w:rPr>
          <w:rFonts w:cs="Arial"/>
        </w:rPr>
        <w:t>iven th</w:t>
      </w:r>
      <w:r w:rsidR="00041C6B" w:rsidRPr="007F5204">
        <w:rPr>
          <w:rFonts w:cs="Arial"/>
        </w:rPr>
        <w:t xml:space="preserve">at </w:t>
      </w:r>
      <w:r w:rsidR="00D94BC8" w:rsidRPr="007F5204">
        <w:rPr>
          <w:rFonts w:cs="Arial"/>
        </w:rPr>
        <w:t xml:space="preserve">access </w:t>
      </w:r>
      <w:r w:rsidR="00041C6B" w:rsidRPr="007F5204">
        <w:rPr>
          <w:rFonts w:cs="Arial"/>
        </w:rPr>
        <w:t xml:space="preserve">to berths is restricted and there is a </w:t>
      </w:r>
      <w:r w:rsidR="00D94BC8" w:rsidRPr="007F5204">
        <w:rPr>
          <w:rFonts w:cs="Arial"/>
        </w:rPr>
        <w:t>potential risk of damage to vessels</w:t>
      </w:r>
      <w:r w:rsidR="00FD1BB4" w:rsidRPr="007F5204">
        <w:rPr>
          <w:rFonts w:cs="Arial"/>
        </w:rPr>
        <w:t>,</w:t>
      </w:r>
      <w:r w:rsidR="00D94BC8" w:rsidRPr="007F5204">
        <w:rPr>
          <w:rFonts w:cs="Arial"/>
        </w:rPr>
        <w:t xml:space="preserve"> we </w:t>
      </w:r>
      <w:r w:rsidR="00041C6B" w:rsidRPr="007F5204">
        <w:rPr>
          <w:rFonts w:cs="Arial"/>
        </w:rPr>
        <w:t xml:space="preserve">consider that an </w:t>
      </w:r>
      <w:r w:rsidR="00D94BC8" w:rsidRPr="007F5204">
        <w:rPr>
          <w:rFonts w:cs="Arial"/>
        </w:rPr>
        <w:t xml:space="preserve">increased fee </w:t>
      </w:r>
      <w:r w:rsidR="003B0614" w:rsidRPr="007F5204">
        <w:rPr>
          <w:rFonts w:cs="Arial"/>
        </w:rPr>
        <w:t>for the marina</w:t>
      </w:r>
      <w:r w:rsidR="00FD1BB4" w:rsidRPr="007F5204">
        <w:rPr>
          <w:rFonts w:cs="Arial"/>
        </w:rPr>
        <w:t>’</w:t>
      </w:r>
      <w:r w:rsidR="003B0614" w:rsidRPr="007F5204">
        <w:rPr>
          <w:rFonts w:cs="Arial"/>
        </w:rPr>
        <w:t xml:space="preserve">s </w:t>
      </w:r>
      <w:r w:rsidR="000B7EB8">
        <w:rPr>
          <w:rFonts w:cs="Arial"/>
        </w:rPr>
        <w:t>16 permanent</w:t>
      </w:r>
      <w:r w:rsidR="000B7EB8" w:rsidRPr="007F5204">
        <w:rPr>
          <w:rFonts w:cs="Arial"/>
        </w:rPr>
        <w:t xml:space="preserve"> </w:t>
      </w:r>
      <w:r w:rsidR="003B0614" w:rsidRPr="007F5204">
        <w:rPr>
          <w:rFonts w:cs="Arial"/>
        </w:rPr>
        <w:t xml:space="preserve">berth holders </w:t>
      </w:r>
      <w:r w:rsidR="00041C6B" w:rsidRPr="007F5204">
        <w:rPr>
          <w:rFonts w:cs="Arial"/>
        </w:rPr>
        <w:t xml:space="preserve">cannot be justified </w:t>
      </w:r>
      <w:r w:rsidR="00D94BC8" w:rsidRPr="007F5204">
        <w:rPr>
          <w:rFonts w:cs="Arial"/>
        </w:rPr>
        <w:t xml:space="preserve">until the work is completed. </w:t>
      </w:r>
      <w:r w:rsidRPr="007F5204">
        <w:rPr>
          <w:rFonts w:cs="Arial"/>
        </w:rPr>
        <w:t xml:space="preserve"> </w:t>
      </w:r>
    </w:p>
    <w:p w14:paraId="5C11337B" w14:textId="45847C15" w:rsidR="00D94BC8" w:rsidRPr="007F5204" w:rsidRDefault="00D94BC8" w:rsidP="007F5204">
      <w:r w:rsidRPr="007F5204">
        <w:rPr>
          <w:rFonts w:cs="Arial"/>
        </w:rPr>
        <w:t xml:space="preserve">In 2017, </w:t>
      </w:r>
      <w:r w:rsidR="006063A5" w:rsidRPr="007F5204">
        <w:rPr>
          <w:rFonts w:cs="Arial"/>
        </w:rPr>
        <w:t xml:space="preserve">Tokaanu marina </w:t>
      </w:r>
      <w:r w:rsidRPr="007F5204">
        <w:rPr>
          <w:rFonts w:cs="Arial"/>
        </w:rPr>
        <w:t xml:space="preserve">was assessed by </w:t>
      </w:r>
      <w:r w:rsidR="00E85CD5" w:rsidRPr="007F5204">
        <w:rPr>
          <w:rFonts w:cs="Arial"/>
        </w:rPr>
        <w:t>a</w:t>
      </w:r>
      <w:r w:rsidRPr="007F5204">
        <w:rPr>
          <w:rFonts w:cs="Arial"/>
        </w:rPr>
        <w:t xml:space="preserve"> </w:t>
      </w:r>
      <w:r w:rsidR="001F642F">
        <w:rPr>
          <w:rFonts w:cs="Arial"/>
        </w:rPr>
        <w:t>marine consultant</w:t>
      </w:r>
      <w:r w:rsidRPr="007F5204">
        <w:rPr>
          <w:rFonts w:cs="Arial"/>
        </w:rPr>
        <w:t xml:space="preserve"> as </w:t>
      </w:r>
      <w:r w:rsidR="00041C6B" w:rsidRPr="007F5204">
        <w:rPr>
          <w:rFonts w:cs="Arial"/>
        </w:rPr>
        <w:t xml:space="preserve">being in very </w:t>
      </w:r>
      <w:r w:rsidRPr="007F5204">
        <w:rPr>
          <w:rFonts w:cs="Arial"/>
        </w:rPr>
        <w:t>poor condition</w:t>
      </w:r>
      <w:r w:rsidR="00041C6B" w:rsidRPr="007F5204">
        <w:rPr>
          <w:rFonts w:cs="Arial"/>
        </w:rPr>
        <w:t xml:space="preserve">. The </w:t>
      </w:r>
      <w:r w:rsidR="00E85CD5">
        <w:rPr>
          <w:rFonts w:cs="Arial"/>
        </w:rPr>
        <w:t>marina structure</w:t>
      </w:r>
      <w:r w:rsidR="001F642F">
        <w:rPr>
          <w:rFonts w:cs="Arial"/>
        </w:rPr>
        <w:t xml:space="preserve"> is approximately 46 years </w:t>
      </w:r>
      <w:r w:rsidR="00041C6B" w:rsidRPr="007F5204">
        <w:rPr>
          <w:rFonts w:cs="Arial"/>
        </w:rPr>
        <w:t>old and two of the berths are unusable</w:t>
      </w:r>
      <w:r w:rsidRPr="007F5204">
        <w:rPr>
          <w:rFonts w:cs="Arial"/>
        </w:rPr>
        <w:t>. The Department is currently considering options for the future of the marina. Given the condition of the marina</w:t>
      </w:r>
      <w:r w:rsidR="00FD1BB4" w:rsidRPr="007F5204">
        <w:rPr>
          <w:rFonts w:cs="Arial"/>
        </w:rPr>
        <w:t>,</w:t>
      </w:r>
      <w:r w:rsidRPr="007F5204">
        <w:rPr>
          <w:rFonts w:cs="Arial"/>
        </w:rPr>
        <w:t xml:space="preserve"> we do</w:t>
      </w:r>
      <w:r w:rsidR="00041C6B" w:rsidRPr="007F5204">
        <w:rPr>
          <w:rFonts w:cs="Arial"/>
        </w:rPr>
        <w:t xml:space="preserve"> </w:t>
      </w:r>
      <w:r w:rsidRPr="007F5204">
        <w:rPr>
          <w:rFonts w:cs="Arial"/>
        </w:rPr>
        <w:t>n</w:t>
      </w:r>
      <w:r w:rsidR="00041C6B" w:rsidRPr="007F5204">
        <w:rPr>
          <w:rFonts w:cs="Arial"/>
        </w:rPr>
        <w:t>o</w:t>
      </w:r>
      <w:r w:rsidRPr="007F5204">
        <w:rPr>
          <w:rFonts w:cs="Arial"/>
        </w:rPr>
        <w:t>t consider it justified to increase fees for the marina</w:t>
      </w:r>
      <w:r w:rsidR="00FD1BB4" w:rsidRPr="007F5204">
        <w:rPr>
          <w:rFonts w:cs="Arial"/>
        </w:rPr>
        <w:t>’</w:t>
      </w:r>
      <w:r w:rsidRPr="007F5204">
        <w:rPr>
          <w:rFonts w:cs="Arial"/>
        </w:rPr>
        <w:t>s 2</w:t>
      </w:r>
      <w:r w:rsidR="00382ACF">
        <w:rPr>
          <w:rFonts w:cs="Arial"/>
        </w:rPr>
        <w:t>2</w:t>
      </w:r>
      <w:r w:rsidRPr="007F5204">
        <w:rPr>
          <w:rFonts w:cs="Arial"/>
        </w:rPr>
        <w:t xml:space="preserve"> berth holders until </w:t>
      </w:r>
      <w:r w:rsidR="003B0614" w:rsidRPr="007F5204">
        <w:rPr>
          <w:rFonts w:cs="Arial"/>
        </w:rPr>
        <w:t>the Department has determined whether to repair, replace, divest or remove the marina.</w:t>
      </w:r>
    </w:p>
    <w:p w14:paraId="1AF0E52E" w14:textId="108C5CB4" w:rsidR="006063A5" w:rsidRPr="007F5204" w:rsidRDefault="006063A5" w:rsidP="007F5204">
      <w:r w:rsidRPr="007F5204">
        <w:rPr>
          <w:rFonts w:cs="Arial"/>
        </w:rPr>
        <w:t xml:space="preserve">Once these issues have been dealt with the fees for </w:t>
      </w:r>
      <w:r w:rsidR="00470622" w:rsidRPr="007F5204">
        <w:rPr>
          <w:rFonts w:cs="Arial"/>
        </w:rPr>
        <w:t xml:space="preserve">Nukuhau and Tokaanu </w:t>
      </w:r>
      <w:r w:rsidRPr="007F5204">
        <w:rPr>
          <w:rFonts w:cs="Arial"/>
        </w:rPr>
        <w:t xml:space="preserve">marinas will be increased at the same rate </w:t>
      </w:r>
      <w:r w:rsidR="00945222" w:rsidRPr="007F5204">
        <w:rPr>
          <w:rFonts w:cs="Arial"/>
        </w:rPr>
        <w:t xml:space="preserve">as </w:t>
      </w:r>
      <w:r w:rsidRPr="007F5204">
        <w:rPr>
          <w:rFonts w:cs="Arial"/>
        </w:rPr>
        <w:t xml:space="preserve">proposed for the other two marinas. </w:t>
      </w:r>
      <w:r w:rsidR="00FD1BB4" w:rsidRPr="007F5204">
        <w:rPr>
          <w:rFonts w:cs="Arial"/>
        </w:rPr>
        <w:t xml:space="preserve">Our analysis assumes that </w:t>
      </w:r>
      <w:r w:rsidR="00470622" w:rsidRPr="007F5204">
        <w:rPr>
          <w:rFonts w:cs="Arial"/>
        </w:rPr>
        <w:t>fees will be increased for these marinas by</w:t>
      </w:r>
      <w:r w:rsidR="00FD1BB4" w:rsidRPr="007F5204">
        <w:rPr>
          <w:rFonts w:cs="Arial"/>
        </w:rPr>
        <w:t xml:space="preserve"> 2022. </w:t>
      </w:r>
    </w:p>
    <w:p w14:paraId="3694F57D" w14:textId="1B3A0A55" w:rsidR="00AE1EE7" w:rsidRPr="007F5204" w:rsidRDefault="00156817" w:rsidP="0043152F">
      <w:pPr>
        <w:rPr>
          <w:rFonts w:cs="Arial"/>
        </w:rPr>
      </w:pPr>
      <w:r w:rsidRPr="007F5204">
        <w:rPr>
          <w:rFonts w:cs="Arial"/>
        </w:rPr>
        <w:t xml:space="preserve">Motuoapa marina was redeveloped in 2017 through a Crown </w:t>
      </w:r>
      <w:r w:rsidR="005914F6" w:rsidRPr="007F5204">
        <w:rPr>
          <w:rFonts w:cs="Arial"/>
        </w:rPr>
        <w:t xml:space="preserve">appropriation </w:t>
      </w:r>
      <w:r w:rsidR="00795F09" w:rsidRPr="007F5204">
        <w:rPr>
          <w:rFonts w:cs="Arial"/>
        </w:rPr>
        <w:t xml:space="preserve">and capital injection </w:t>
      </w:r>
      <w:r w:rsidR="005914F6" w:rsidRPr="007F5204">
        <w:rPr>
          <w:rFonts w:cs="Arial"/>
        </w:rPr>
        <w:t>and</w:t>
      </w:r>
      <w:r w:rsidRPr="007F5204">
        <w:rPr>
          <w:rFonts w:cs="Arial"/>
        </w:rPr>
        <w:t xml:space="preserve"> was valued at $6.5 million in 2018. In November 2016, Cabinet noted </w:t>
      </w:r>
      <w:r w:rsidR="0043152F" w:rsidRPr="007F5204">
        <w:rPr>
          <w:rFonts w:cs="Arial"/>
        </w:rPr>
        <w:t xml:space="preserve">that the depreciation of the </w:t>
      </w:r>
      <w:r w:rsidR="00041C6B" w:rsidRPr="007F5204">
        <w:rPr>
          <w:rFonts w:cs="Arial"/>
        </w:rPr>
        <w:t xml:space="preserve">marina </w:t>
      </w:r>
      <w:r w:rsidR="0043152F" w:rsidRPr="007F5204">
        <w:rPr>
          <w:rFonts w:cs="Arial"/>
        </w:rPr>
        <w:t xml:space="preserve">would be addressed </w:t>
      </w:r>
      <w:r w:rsidR="008B5BF0" w:rsidRPr="007F5204">
        <w:rPr>
          <w:rFonts w:cs="Arial"/>
        </w:rPr>
        <w:t xml:space="preserve">as part of the </w:t>
      </w:r>
      <w:r w:rsidR="0043152F" w:rsidRPr="007F5204">
        <w:rPr>
          <w:rFonts w:cs="Arial"/>
        </w:rPr>
        <w:t>fees review</w:t>
      </w:r>
      <w:r w:rsidR="008B5BF0" w:rsidRPr="007F5204">
        <w:rPr>
          <w:rFonts w:cs="Arial"/>
        </w:rPr>
        <w:t xml:space="preserve"> now taking place</w:t>
      </w:r>
      <w:r w:rsidR="00185836" w:rsidRPr="007F5204">
        <w:rPr>
          <w:rFonts w:cs="Arial"/>
        </w:rPr>
        <w:t xml:space="preserve"> [EGI-16-MIN-0298 refers]</w:t>
      </w:r>
      <w:r w:rsidR="0043152F" w:rsidRPr="007F5204">
        <w:rPr>
          <w:rFonts w:cs="Arial"/>
        </w:rPr>
        <w:t xml:space="preserve">.  </w:t>
      </w:r>
    </w:p>
    <w:p w14:paraId="0B9A83D2" w14:textId="77777777" w:rsidR="00EA0A4A" w:rsidRPr="007F5204" w:rsidRDefault="007F5830" w:rsidP="00ED1BB6">
      <w:pPr>
        <w:pStyle w:val="Heading2"/>
        <w:rPr>
          <w:rFonts w:cs="Arial"/>
        </w:rPr>
      </w:pPr>
      <w:bookmarkStart w:id="39" w:name="_Toc244580364"/>
      <w:bookmarkStart w:id="40" w:name="_Toc244587040"/>
      <w:bookmarkStart w:id="41" w:name="_Toc244857274"/>
      <w:bookmarkStart w:id="42" w:name="_Toc244912539"/>
      <w:bookmarkStart w:id="43" w:name="_Toc244916996"/>
      <w:bookmarkStart w:id="44" w:name="_Toc362368105"/>
      <w:bookmarkStart w:id="45" w:name="_Toc362434946"/>
      <w:bookmarkStart w:id="46" w:name="_Toc362589332"/>
      <w:bookmarkStart w:id="47" w:name="_Toc362619032"/>
      <w:bookmarkStart w:id="48" w:name="_Toc362940596"/>
      <w:bookmarkStart w:id="49" w:name="_Toc363047104"/>
      <w:r w:rsidRPr="007F5204">
        <w:rPr>
          <w:rFonts w:cs="Arial"/>
        </w:rPr>
        <w:t xml:space="preserve">Cost Recovery Principles and </w:t>
      </w:r>
      <w:r w:rsidR="008D5CD9" w:rsidRPr="007F5204">
        <w:rPr>
          <w:rFonts w:cs="Arial"/>
        </w:rPr>
        <w:t>Objectives</w:t>
      </w:r>
      <w:bookmarkEnd w:id="39"/>
      <w:bookmarkEnd w:id="40"/>
      <w:bookmarkEnd w:id="41"/>
      <w:bookmarkEnd w:id="42"/>
      <w:bookmarkEnd w:id="43"/>
      <w:bookmarkEnd w:id="44"/>
      <w:bookmarkEnd w:id="45"/>
      <w:bookmarkEnd w:id="46"/>
      <w:bookmarkEnd w:id="47"/>
      <w:bookmarkEnd w:id="48"/>
      <w:bookmarkEnd w:id="49"/>
    </w:p>
    <w:tbl>
      <w:tblPr>
        <w:tblW w:w="0" w:type="auto"/>
        <w:tblLook w:val="0000" w:firstRow="0" w:lastRow="0" w:firstColumn="0" w:lastColumn="0" w:noHBand="0" w:noVBand="0"/>
      </w:tblPr>
      <w:tblGrid>
        <w:gridCol w:w="4643"/>
        <w:gridCol w:w="4644"/>
      </w:tblGrid>
      <w:tr w:rsidR="000778A1" w:rsidRPr="00BA1ED2" w14:paraId="00FF18F9" w14:textId="77777777">
        <w:tc>
          <w:tcPr>
            <w:tcW w:w="4643" w:type="dxa"/>
          </w:tcPr>
          <w:p w14:paraId="41BFC6BC" w14:textId="77777777" w:rsidR="000778A1" w:rsidRPr="007F5204" w:rsidRDefault="000778A1" w:rsidP="00397F68">
            <w:pPr>
              <w:rPr>
                <w:rFonts w:cs="Arial"/>
                <w:b/>
              </w:rPr>
            </w:pPr>
            <w:r w:rsidRPr="007F5204">
              <w:rPr>
                <w:rFonts w:cs="Arial"/>
                <w:b/>
              </w:rPr>
              <w:t>Principle</w:t>
            </w:r>
          </w:p>
        </w:tc>
        <w:tc>
          <w:tcPr>
            <w:tcW w:w="4644" w:type="dxa"/>
          </w:tcPr>
          <w:p w14:paraId="75380405" w14:textId="77777777" w:rsidR="000778A1" w:rsidRPr="007F5204" w:rsidRDefault="000778A1" w:rsidP="00397F68">
            <w:pPr>
              <w:rPr>
                <w:rFonts w:cs="Arial"/>
                <w:b/>
              </w:rPr>
            </w:pPr>
            <w:r w:rsidRPr="007F5204">
              <w:rPr>
                <w:rFonts w:cs="Arial"/>
                <w:b/>
              </w:rPr>
              <w:t>Description</w:t>
            </w:r>
          </w:p>
        </w:tc>
      </w:tr>
      <w:tr w:rsidR="00025EAB" w:rsidRPr="00BA1ED2" w14:paraId="0DDBEDBF" w14:textId="77777777">
        <w:tc>
          <w:tcPr>
            <w:tcW w:w="4643" w:type="dxa"/>
          </w:tcPr>
          <w:p w14:paraId="556DC453" w14:textId="77777777" w:rsidR="00025EAB" w:rsidRPr="00E95640" w:rsidRDefault="00025EAB" w:rsidP="00397F68">
            <w:pPr>
              <w:rPr>
                <w:rFonts w:cs="Arial"/>
              </w:rPr>
            </w:pPr>
            <w:r w:rsidRPr="00E95640">
              <w:rPr>
                <w:rFonts w:cs="Arial"/>
              </w:rPr>
              <w:t xml:space="preserve">Authority </w:t>
            </w:r>
          </w:p>
        </w:tc>
        <w:tc>
          <w:tcPr>
            <w:tcW w:w="4644" w:type="dxa"/>
          </w:tcPr>
          <w:p w14:paraId="6F118303" w14:textId="77777777" w:rsidR="00025EAB" w:rsidRPr="007F5204" w:rsidRDefault="007D12FB" w:rsidP="00397F68">
            <w:pPr>
              <w:rPr>
                <w:rFonts w:cs="Arial"/>
              </w:rPr>
            </w:pPr>
            <w:r w:rsidRPr="007F5204">
              <w:rPr>
                <w:rFonts w:cs="Arial"/>
              </w:rPr>
              <w:t xml:space="preserve">Authority to charge </w:t>
            </w:r>
            <w:r w:rsidR="00D3038F" w:rsidRPr="007F5204">
              <w:rPr>
                <w:rFonts w:cs="Arial"/>
              </w:rPr>
              <w:t xml:space="preserve">for Crown </w:t>
            </w:r>
            <w:r w:rsidRPr="007F5204">
              <w:rPr>
                <w:rFonts w:cs="Arial"/>
              </w:rPr>
              <w:t xml:space="preserve">marinas and boat ramps </w:t>
            </w:r>
            <w:r w:rsidR="008B5BF0" w:rsidRPr="007F5204">
              <w:rPr>
                <w:rFonts w:cs="Arial"/>
              </w:rPr>
              <w:t xml:space="preserve">that are owned or operated by the Crown and not subject to the jurisdiction of a local authority </w:t>
            </w:r>
            <w:r w:rsidRPr="007F5204">
              <w:rPr>
                <w:rFonts w:cs="Arial"/>
              </w:rPr>
              <w:t>comes from section 33</w:t>
            </w:r>
            <w:proofErr w:type="gramStart"/>
            <w:r w:rsidRPr="007F5204">
              <w:rPr>
                <w:rFonts w:cs="Arial"/>
              </w:rPr>
              <w:t>W(</w:t>
            </w:r>
            <w:proofErr w:type="gramEnd"/>
            <w:r w:rsidRPr="007F5204">
              <w:rPr>
                <w:rFonts w:cs="Arial"/>
              </w:rPr>
              <w:t>2) of the Maritime Transport Act 1994 (the Act). Fees for privately owned moorings can be set under section 33R(1)(d) of the Act which enables a regional council (including the Crown in relation to the Lake under section 33W(3)(c) of the Act) to prescribe fees and charges ‘in respect of navigation generally.’ In this case, regulating the number and placement of moorings in the Lake is necessary for navigational safety reasons.</w:t>
            </w:r>
          </w:p>
        </w:tc>
      </w:tr>
      <w:tr w:rsidR="000778A1" w:rsidRPr="00BA1ED2" w14:paraId="20AAABD3" w14:textId="77777777">
        <w:tc>
          <w:tcPr>
            <w:tcW w:w="4643" w:type="dxa"/>
          </w:tcPr>
          <w:p w14:paraId="493C8257" w14:textId="77777777" w:rsidR="000778A1" w:rsidRPr="00E95640" w:rsidRDefault="000778A1" w:rsidP="00397F68">
            <w:pPr>
              <w:rPr>
                <w:rFonts w:cs="Arial"/>
              </w:rPr>
            </w:pPr>
            <w:r w:rsidRPr="00E95640">
              <w:rPr>
                <w:rFonts w:cs="Arial"/>
              </w:rPr>
              <w:t>Effectiveness</w:t>
            </w:r>
          </w:p>
        </w:tc>
        <w:tc>
          <w:tcPr>
            <w:tcW w:w="4644" w:type="dxa"/>
          </w:tcPr>
          <w:p w14:paraId="31612829" w14:textId="77777777" w:rsidR="00FF1E69" w:rsidRPr="007F5204" w:rsidRDefault="001941A3" w:rsidP="00397F68">
            <w:pPr>
              <w:rPr>
                <w:rFonts w:cs="Arial"/>
              </w:rPr>
            </w:pPr>
            <w:r w:rsidRPr="007F5204">
              <w:rPr>
                <w:rFonts w:cs="Arial"/>
              </w:rPr>
              <w:t xml:space="preserve">The Department </w:t>
            </w:r>
            <w:r w:rsidR="00EE1351" w:rsidRPr="007F5204">
              <w:rPr>
                <w:rFonts w:cs="Arial"/>
              </w:rPr>
              <w:t xml:space="preserve">has prepared </w:t>
            </w:r>
            <w:r w:rsidRPr="007F5204">
              <w:rPr>
                <w:rFonts w:cs="Arial"/>
              </w:rPr>
              <w:t>a</w:t>
            </w:r>
            <w:r w:rsidR="00C37110" w:rsidRPr="007F5204">
              <w:rPr>
                <w:rFonts w:cs="Arial"/>
              </w:rPr>
              <w:t>n</w:t>
            </w:r>
            <w:r w:rsidR="00FF1E69" w:rsidRPr="007F5204">
              <w:rPr>
                <w:rFonts w:cs="Arial"/>
              </w:rPr>
              <w:t xml:space="preserve"> </w:t>
            </w:r>
            <w:r w:rsidR="007C1315" w:rsidRPr="007F5204">
              <w:rPr>
                <w:rFonts w:cs="Arial"/>
              </w:rPr>
              <w:t>A</w:t>
            </w:r>
            <w:r w:rsidR="00FF1E69" w:rsidRPr="007F5204">
              <w:rPr>
                <w:rFonts w:cs="Arial"/>
              </w:rPr>
              <w:t xml:space="preserve">sset </w:t>
            </w:r>
            <w:r w:rsidR="007C1315" w:rsidRPr="007F5204">
              <w:rPr>
                <w:rFonts w:cs="Arial"/>
              </w:rPr>
              <w:t>M</w:t>
            </w:r>
            <w:r w:rsidR="00FF1E69" w:rsidRPr="007F5204">
              <w:rPr>
                <w:rFonts w:cs="Arial"/>
              </w:rPr>
              <w:t xml:space="preserve">anagement </w:t>
            </w:r>
            <w:r w:rsidR="007C1315" w:rsidRPr="007F5204">
              <w:rPr>
                <w:rFonts w:cs="Arial"/>
              </w:rPr>
              <w:t>P</w:t>
            </w:r>
            <w:r w:rsidR="00FF1E69" w:rsidRPr="007F5204">
              <w:rPr>
                <w:rFonts w:cs="Arial"/>
              </w:rPr>
              <w:t xml:space="preserve">lan </w:t>
            </w:r>
            <w:r w:rsidR="007C1315" w:rsidRPr="007F5204">
              <w:rPr>
                <w:rFonts w:cs="Arial"/>
              </w:rPr>
              <w:t xml:space="preserve">(AMP) </w:t>
            </w:r>
            <w:r w:rsidR="00FF1E69" w:rsidRPr="007F5204">
              <w:rPr>
                <w:rFonts w:cs="Arial"/>
              </w:rPr>
              <w:t xml:space="preserve">for the boating facilities which sets out </w:t>
            </w:r>
            <w:r w:rsidRPr="007F5204">
              <w:rPr>
                <w:rFonts w:cs="Arial"/>
              </w:rPr>
              <w:t>its</w:t>
            </w:r>
            <w:r w:rsidR="00C37110" w:rsidRPr="007F5204">
              <w:rPr>
                <w:rFonts w:cs="Arial"/>
              </w:rPr>
              <w:t xml:space="preserve"> </w:t>
            </w:r>
            <w:r w:rsidR="00FF1E69" w:rsidRPr="007F5204">
              <w:rPr>
                <w:rFonts w:cs="Arial"/>
              </w:rPr>
              <w:t xml:space="preserve">approach to managing the boating facilities </w:t>
            </w:r>
            <w:r w:rsidR="00C37110" w:rsidRPr="007F5204">
              <w:rPr>
                <w:rFonts w:cs="Arial"/>
              </w:rPr>
              <w:t>to an identified level of service, at</w:t>
            </w:r>
            <w:r w:rsidR="00FF1E69" w:rsidRPr="007F5204">
              <w:rPr>
                <w:rFonts w:cs="Arial"/>
              </w:rPr>
              <w:t xml:space="preserve"> optimised levels of expenditure and within sustainable funding constraints.</w:t>
            </w:r>
          </w:p>
          <w:p w14:paraId="774E7D97" w14:textId="77777777" w:rsidR="00574ECF" w:rsidRPr="007F5204" w:rsidRDefault="00574ECF" w:rsidP="00397F68">
            <w:pPr>
              <w:rPr>
                <w:rFonts w:cs="Arial"/>
              </w:rPr>
            </w:pPr>
            <w:r w:rsidRPr="007F5204">
              <w:rPr>
                <w:rFonts w:cs="Arial"/>
              </w:rPr>
              <w:t xml:space="preserve">The AMP demonstrates how the development, operation, maintenance, rehabilitation, and replacement of assets is </w:t>
            </w:r>
            <w:r w:rsidRPr="007F5204">
              <w:rPr>
                <w:rFonts w:cs="Arial"/>
              </w:rPr>
              <w:lastRenderedPageBreak/>
              <w:t xml:space="preserve">managed in the most </w:t>
            </w:r>
            <w:r w:rsidR="00C37110" w:rsidRPr="007F5204">
              <w:rPr>
                <w:rFonts w:cs="Arial"/>
              </w:rPr>
              <w:t>cost-effective</w:t>
            </w:r>
            <w:r w:rsidRPr="007F5204">
              <w:rPr>
                <w:rFonts w:cs="Arial"/>
              </w:rPr>
              <w:t xml:space="preserve"> manner </w:t>
            </w:r>
            <w:r w:rsidR="00BD1EDC" w:rsidRPr="007F5204">
              <w:rPr>
                <w:rFonts w:cs="Arial"/>
              </w:rPr>
              <w:t>to</w:t>
            </w:r>
            <w:r w:rsidRPr="007F5204">
              <w:rPr>
                <w:rFonts w:cs="Arial"/>
              </w:rPr>
              <w:t xml:space="preserve"> meet </w:t>
            </w:r>
            <w:r w:rsidR="00BD1EDC" w:rsidRPr="007F5204">
              <w:rPr>
                <w:rFonts w:cs="Arial"/>
              </w:rPr>
              <w:t>the needs of present and future stakeholders.</w:t>
            </w:r>
          </w:p>
          <w:p w14:paraId="1934FBC0" w14:textId="77777777" w:rsidR="00BD1EDC" w:rsidRPr="007F5204" w:rsidRDefault="007C1315" w:rsidP="00397F68">
            <w:pPr>
              <w:rPr>
                <w:rFonts w:cs="Arial"/>
              </w:rPr>
            </w:pPr>
            <w:r w:rsidRPr="007F5204">
              <w:rPr>
                <w:rFonts w:cs="Arial"/>
                <w:szCs w:val="22"/>
              </w:rPr>
              <w:t>The AMP includes a</w:t>
            </w:r>
            <w:r w:rsidR="00BD1EDC" w:rsidRPr="007F5204">
              <w:rPr>
                <w:rFonts w:cs="Arial"/>
                <w:szCs w:val="22"/>
              </w:rPr>
              <w:t>n ongoing process of monitoring of the performance of the assets. An Improvements Register is maintained to capture all identified items of improvement for both the physical assets and the asset management processes.</w:t>
            </w:r>
          </w:p>
        </w:tc>
      </w:tr>
      <w:tr w:rsidR="000778A1" w:rsidRPr="00BA1ED2" w14:paraId="137CD636" w14:textId="77777777">
        <w:tc>
          <w:tcPr>
            <w:tcW w:w="4643" w:type="dxa"/>
          </w:tcPr>
          <w:p w14:paraId="194CF14B" w14:textId="77777777" w:rsidR="004108AD" w:rsidRDefault="004108AD" w:rsidP="00397F68">
            <w:pPr>
              <w:rPr>
                <w:rFonts w:cs="Arial"/>
              </w:rPr>
            </w:pPr>
          </w:p>
          <w:p w14:paraId="4E8E8489" w14:textId="0C4A4BDC" w:rsidR="000778A1" w:rsidRPr="00E95640" w:rsidRDefault="000778A1" w:rsidP="00397F68">
            <w:pPr>
              <w:rPr>
                <w:rFonts w:cs="Arial"/>
              </w:rPr>
            </w:pPr>
            <w:r w:rsidRPr="00E95640">
              <w:rPr>
                <w:rFonts w:cs="Arial"/>
              </w:rPr>
              <w:t>Efficiency</w:t>
            </w:r>
          </w:p>
        </w:tc>
        <w:tc>
          <w:tcPr>
            <w:tcW w:w="4644" w:type="dxa"/>
          </w:tcPr>
          <w:p w14:paraId="4C7F4F2A" w14:textId="1010EC3F" w:rsidR="00C37110" w:rsidRPr="007F5204" w:rsidRDefault="009C2B89" w:rsidP="00397F68">
            <w:pPr>
              <w:rPr>
                <w:rFonts w:cs="Arial"/>
              </w:rPr>
            </w:pPr>
            <w:r w:rsidRPr="007F5204">
              <w:rPr>
                <w:rFonts w:cs="Arial"/>
              </w:rPr>
              <w:t>Regular reviews of fees</w:t>
            </w:r>
            <w:r w:rsidR="00CF08AC" w:rsidRPr="007F5204">
              <w:rPr>
                <w:rFonts w:cs="Arial"/>
              </w:rPr>
              <w:t xml:space="preserve"> ensure that </w:t>
            </w:r>
            <w:r w:rsidR="00C970EE" w:rsidRPr="007F5204">
              <w:rPr>
                <w:rFonts w:cs="Arial"/>
              </w:rPr>
              <w:t xml:space="preserve">fees reflect the </w:t>
            </w:r>
            <w:r w:rsidR="007C1315" w:rsidRPr="007F5204">
              <w:rPr>
                <w:rFonts w:cs="Arial"/>
              </w:rPr>
              <w:t xml:space="preserve">current </w:t>
            </w:r>
            <w:r w:rsidR="00C970EE" w:rsidRPr="007F5204">
              <w:rPr>
                <w:rFonts w:cs="Arial"/>
              </w:rPr>
              <w:t xml:space="preserve">costs of providing the facilities. </w:t>
            </w:r>
          </w:p>
          <w:p w14:paraId="4B0CDE77" w14:textId="77777777" w:rsidR="00574ECF" w:rsidRPr="007F5204" w:rsidRDefault="004E7170" w:rsidP="00397F68">
            <w:pPr>
              <w:rPr>
                <w:rFonts w:cs="Arial"/>
              </w:rPr>
            </w:pPr>
            <w:r w:rsidRPr="007F5204">
              <w:rPr>
                <w:rFonts w:cs="Arial"/>
              </w:rPr>
              <w:t xml:space="preserve">The Department follows Treasury guidance which expects the balance of memorandum accounts to trend towards zero over a reasonable </w:t>
            </w:r>
            <w:r w:rsidR="00C37110" w:rsidRPr="007F5204">
              <w:rPr>
                <w:rFonts w:cs="Arial"/>
              </w:rPr>
              <w:t>period</w:t>
            </w:r>
            <w:r w:rsidRPr="007F5204">
              <w:rPr>
                <w:rFonts w:cs="Arial"/>
              </w:rPr>
              <w:t xml:space="preserve">. </w:t>
            </w:r>
          </w:p>
          <w:p w14:paraId="47BF5DC3" w14:textId="22A5E064" w:rsidR="00C37110" w:rsidRPr="007F5204" w:rsidRDefault="00C37110" w:rsidP="00397F68">
            <w:pPr>
              <w:rPr>
                <w:rFonts w:cs="Arial"/>
              </w:rPr>
            </w:pPr>
            <w:r w:rsidRPr="007F5204">
              <w:rPr>
                <w:rFonts w:cs="Arial"/>
              </w:rPr>
              <w:t xml:space="preserve">Berth prices follow a standard practice of charging by length of berth. Options for the length of time desired for temporary berths and ramp permits are available. A 24-hour temporary berthing permit is being recommended as part of </w:t>
            </w:r>
            <w:r w:rsidR="001B1DD2" w:rsidRPr="007F5204">
              <w:rPr>
                <w:rFonts w:cs="Arial"/>
              </w:rPr>
              <w:t>th</w:t>
            </w:r>
            <w:r w:rsidR="001B1DD2">
              <w:rPr>
                <w:rFonts w:cs="Arial"/>
              </w:rPr>
              <w:t>is</w:t>
            </w:r>
            <w:r w:rsidR="001B1DD2" w:rsidRPr="007F5204">
              <w:rPr>
                <w:rFonts w:cs="Arial"/>
              </w:rPr>
              <w:t xml:space="preserve"> </w:t>
            </w:r>
            <w:r w:rsidRPr="007F5204">
              <w:rPr>
                <w:rFonts w:cs="Arial"/>
              </w:rPr>
              <w:t xml:space="preserve">fees review because there is demand from stakeholders for it. </w:t>
            </w:r>
          </w:p>
        </w:tc>
      </w:tr>
      <w:tr w:rsidR="000778A1" w:rsidRPr="00BA1ED2" w14:paraId="726208EB" w14:textId="77777777">
        <w:tc>
          <w:tcPr>
            <w:tcW w:w="4643" w:type="dxa"/>
          </w:tcPr>
          <w:p w14:paraId="37329D53" w14:textId="77777777" w:rsidR="000778A1" w:rsidRPr="00E95640" w:rsidRDefault="000778A1" w:rsidP="00397F68">
            <w:pPr>
              <w:rPr>
                <w:rFonts w:cs="Arial"/>
              </w:rPr>
            </w:pPr>
            <w:r w:rsidRPr="00E95640">
              <w:rPr>
                <w:rFonts w:cs="Arial"/>
              </w:rPr>
              <w:t>Transparency</w:t>
            </w:r>
          </w:p>
        </w:tc>
        <w:tc>
          <w:tcPr>
            <w:tcW w:w="4644" w:type="dxa"/>
          </w:tcPr>
          <w:p w14:paraId="2BCA4C79" w14:textId="2436B4E7" w:rsidR="00C37110" w:rsidRPr="007F5204" w:rsidRDefault="00C970EE" w:rsidP="00397F68">
            <w:pPr>
              <w:rPr>
                <w:rFonts w:cs="Arial"/>
              </w:rPr>
            </w:pPr>
            <w:r w:rsidRPr="007F5204">
              <w:rPr>
                <w:rFonts w:cs="Arial"/>
              </w:rPr>
              <w:t>During consultation on the fees review</w:t>
            </w:r>
            <w:r w:rsidR="00E95640">
              <w:rPr>
                <w:rFonts w:cs="Arial"/>
              </w:rPr>
              <w:t>,</w:t>
            </w:r>
            <w:r w:rsidRPr="007F5204">
              <w:rPr>
                <w:rFonts w:cs="Arial"/>
              </w:rPr>
              <w:t xml:space="preserve"> the Department has been transparent on its current and forecast costs. </w:t>
            </w:r>
          </w:p>
          <w:p w14:paraId="0AE49733" w14:textId="77777777" w:rsidR="007C1315" w:rsidRPr="007F5204" w:rsidRDefault="007C1315" w:rsidP="00397F68">
            <w:pPr>
              <w:rPr>
                <w:rFonts w:cs="Arial"/>
              </w:rPr>
            </w:pPr>
            <w:r w:rsidRPr="007F5204">
              <w:rPr>
                <w:rFonts w:cs="Arial"/>
              </w:rPr>
              <w:t xml:space="preserve">We provided an income and expenditure report in our consultation </w:t>
            </w:r>
            <w:r w:rsidR="005914F6" w:rsidRPr="007F5204">
              <w:rPr>
                <w:rFonts w:cs="Arial"/>
              </w:rPr>
              <w:t xml:space="preserve">document </w:t>
            </w:r>
            <w:r w:rsidRPr="007F5204">
              <w:rPr>
                <w:rFonts w:cs="Arial"/>
              </w:rPr>
              <w:t>which detailed baseline and forecasts for the next five financial years.</w:t>
            </w:r>
          </w:p>
          <w:p w14:paraId="7E893FD0" w14:textId="77777777" w:rsidR="000778A1" w:rsidRPr="007F5204" w:rsidRDefault="004E7170" w:rsidP="00397F68">
            <w:pPr>
              <w:rPr>
                <w:rFonts w:cs="Arial"/>
              </w:rPr>
            </w:pPr>
            <w:r w:rsidRPr="007F5204">
              <w:rPr>
                <w:rFonts w:cs="Arial"/>
              </w:rPr>
              <w:t xml:space="preserve">The balance of the memorandum account is published in the Department’s Annual Report. </w:t>
            </w:r>
          </w:p>
        </w:tc>
      </w:tr>
      <w:tr w:rsidR="000778A1" w:rsidRPr="00BA1ED2" w14:paraId="76357F5F" w14:textId="77777777">
        <w:tc>
          <w:tcPr>
            <w:tcW w:w="4643" w:type="dxa"/>
          </w:tcPr>
          <w:p w14:paraId="35FD110A" w14:textId="77777777" w:rsidR="000778A1" w:rsidRPr="00E95640" w:rsidRDefault="000778A1" w:rsidP="00397F68">
            <w:pPr>
              <w:rPr>
                <w:rFonts w:cs="Arial"/>
              </w:rPr>
            </w:pPr>
            <w:r w:rsidRPr="00E95640">
              <w:rPr>
                <w:rFonts w:cs="Arial"/>
              </w:rPr>
              <w:t>Consultation</w:t>
            </w:r>
          </w:p>
        </w:tc>
        <w:tc>
          <w:tcPr>
            <w:tcW w:w="4644" w:type="dxa"/>
          </w:tcPr>
          <w:p w14:paraId="4883753D" w14:textId="77777777" w:rsidR="000778A1" w:rsidRPr="007F5204" w:rsidRDefault="005B25A8" w:rsidP="00397F68">
            <w:pPr>
              <w:rPr>
                <w:rFonts w:cs="Arial"/>
              </w:rPr>
            </w:pPr>
            <w:r w:rsidRPr="007F5204">
              <w:rPr>
                <w:rFonts w:cs="Arial"/>
              </w:rPr>
              <w:t xml:space="preserve">The Department has undertaken comprehensive consultation as set out in the </w:t>
            </w:r>
            <w:r w:rsidR="0047415A" w:rsidRPr="007F5204">
              <w:rPr>
                <w:rFonts w:cs="Arial"/>
              </w:rPr>
              <w:t>consultation section</w:t>
            </w:r>
            <w:r w:rsidRPr="007F5204">
              <w:rPr>
                <w:rFonts w:cs="Arial"/>
              </w:rPr>
              <w:t xml:space="preserve"> below</w:t>
            </w:r>
            <w:r w:rsidR="0047415A" w:rsidRPr="007F5204">
              <w:rPr>
                <w:rFonts w:cs="Arial"/>
              </w:rPr>
              <w:t xml:space="preserve">. </w:t>
            </w:r>
            <w:r w:rsidR="00A51932" w:rsidRPr="007F5204">
              <w:rPr>
                <w:rFonts w:cs="Arial"/>
              </w:rPr>
              <w:t xml:space="preserve"> </w:t>
            </w:r>
          </w:p>
        </w:tc>
      </w:tr>
      <w:tr w:rsidR="000778A1" w:rsidRPr="00BA1ED2" w14:paraId="43B890A1" w14:textId="77777777">
        <w:tc>
          <w:tcPr>
            <w:tcW w:w="4643" w:type="dxa"/>
          </w:tcPr>
          <w:p w14:paraId="7D645406" w14:textId="77777777" w:rsidR="000778A1" w:rsidRPr="00E95640" w:rsidRDefault="000778A1" w:rsidP="00397F68">
            <w:pPr>
              <w:rPr>
                <w:rFonts w:cs="Arial"/>
              </w:rPr>
            </w:pPr>
            <w:r w:rsidRPr="00E95640">
              <w:rPr>
                <w:rFonts w:cs="Arial"/>
              </w:rPr>
              <w:t>Equity</w:t>
            </w:r>
          </w:p>
        </w:tc>
        <w:tc>
          <w:tcPr>
            <w:tcW w:w="4644" w:type="dxa"/>
          </w:tcPr>
          <w:p w14:paraId="0CF85568" w14:textId="77777777" w:rsidR="00C970EE" w:rsidRPr="007F5204" w:rsidRDefault="00C970EE" w:rsidP="00397F68">
            <w:pPr>
              <w:rPr>
                <w:rFonts w:cs="Arial"/>
              </w:rPr>
            </w:pPr>
            <w:r w:rsidRPr="007F5204">
              <w:rPr>
                <w:rFonts w:cs="Arial"/>
              </w:rPr>
              <w:t>Costs are fully recovered from the users of the boating facilities who are the direct beneficiaries.</w:t>
            </w:r>
          </w:p>
          <w:p w14:paraId="2DF12790" w14:textId="77777777" w:rsidR="000778A1" w:rsidRPr="007F5204" w:rsidRDefault="00C970EE" w:rsidP="00397F68">
            <w:pPr>
              <w:rPr>
                <w:rFonts w:cs="Arial"/>
              </w:rPr>
            </w:pPr>
            <w:r w:rsidRPr="007F5204">
              <w:rPr>
                <w:rFonts w:cs="Arial"/>
              </w:rPr>
              <w:t xml:space="preserve">The Department proposes to fund a proportion of the depreciation costs to acknowledge the public benefit provided by </w:t>
            </w:r>
            <w:r w:rsidRPr="007F5204">
              <w:rPr>
                <w:rFonts w:cs="Arial"/>
              </w:rPr>
              <w:lastRenderedPageBreak/>
              <w:t xml:space="preserve">the boating facilities.  </w:t>
            </w:r>
          </w:p>
          <w:p w14:paraId="17877C4F" w14:textId="77777777" w:rsidR="00F804E7" w:rsidRPr="007F5204" w:rsidRDefault="00F804E7" w:rsidP="00397F68">
            <w:pPr>
              <w:rPr>
                <w:rFonts w:cs="Arial"/>
              </w:rPr>
            </w:pPr>
            <w:r w:rsidRPr="007F5204">
              <w:rPr>
                <w:rFonts w:cs="Arial"/>
              </w:rPr>
              <w:t xml:space="preserve">The Department considers its proposal fair and equitable based on consultation with users, the standard of the facilities, </w:t>
            </w:r>
            <w:r w:rsidR="001941A3" w:rsidRPr="007F5204">
              <w:rPr>
                <w:rFonts w:cs="Arial"/>
              </w:rPr>
              <w:t xml:space="preserve">the level of service provided, </w:t>
            </w:r>
            <w:r w:rsidRPr="007F5204">
              <w:rPr>
                <w:rFonts w:cs="Arial"/>
              </w:rPr>
              <w:t>and comparisons with other marinas.</w:t>
            </w:r>
          </w:p>
        </w:tc>
      </w:tr>
      <w:tr w:rsidR="000778A1" w:rsidRPr="00BA1ED2" w14:paraId="4D232379" w14:textId="77777777">
        <w:tc>
          <w:tcPr>
            <w:tcW w:w="4643" w:type="dxa"/>
          </w:tcPr>
          <w:p w14:paraId="1A915798" w14:textId="77777777" w:rsidR="000778A1" w:rsidRPr="00E95640" w:rsidRDefault="000778A1" w:rsidP="00397F68">
            <w:pPr>
              <w:rPr>
                <w:rFonts w:cs="Arial"/>
              </w:rPr>
            </w:pPr>
            <w:r w:rsidRPr="00E95640">
              <w:rPr>
                <w:rFonts w:cs="Arial"/>
              </w:rPr>
              <w:lastRenderedPageBreak/>
              <w:t>Simplicity</w:t>
            </w:r>
          </w:p>
        </w:tc>
        <w:tc>
          <w:tcPr>
            <w:tcW w:w="4644" w:type="dxa"/>
          </w:tcPr>
          <w:p w14:paraId="54DA134C" w14:textId="77777777" w:rsidR="000778A1" w:rsidRPr="007F5204" w:rsidRDefault="00A51932" w:rsidP="00397F68">
            <w:pPr>
              <w:rPr>
                <w:rFonts w:cs="Arial"/>
              </w:rPr>
            </w:pPr>
            <w:r w:rsidRPr="007F5204">
              <w:rPr>
                <w:rFonts w:cs="Arial"/>
              </w:rPr>
              <w:t>The f</w:t>
            </w:r>
            <w:r w:rsidR="00CF08AC" w:rsidRPr="007F5204">
              <w:rPr>
                <w:rFonts w:cs="Arial"/>
              </w:rPr>
              <w:t xml:space="preserve">ees are fixed in regulations. </w:t>
            </w:r>
            <w:r w:rsidRPr="007F5204">
              <w:rPr>
                <w:rFonts w:cs="Arial"/>
              </w:rPr>
              <w:t>A</w:t>
            </w:r>
            <w:r w:rsidR="00CF08AC" w:rsidRPr="007F5204">
              <w:rPr>
                <w:rFonts w:cs="Arial"/>
              </w:rPr>
              <w:t xml:space="preserve">nnual berth and mooring holders are invoiced, ramp users can purchase permits from </w:t>
            </w:r>
            <w:r w:rsidRPr="007F5204">
              <w:rPr>
                <w:rFonts w:cs="Arial"/>
              </w:rPr>
              <w:t xml:space="preserve">designated </w:t>
            </w:r>
            <w:r w:rsidR="00CF08AC" w:rsidRPr="007F5204">
              <w:rPr>
                <w:rFonts w:cs="Arial"/>
              </w:rPr>
              <w:t>providers and online</w:t>
            </w:r>
            <w:r w:rsidRPr="007F5204">
              <w:rPr>
                <w:rFonts w:cs="Arial"/>
              </w:rPr>
              <w:t>.</w:t>
            </w:r>
          </w:p>
        </w:tc>
      </w:tr>
      <w:tr w:rsidR="000778A1" w:rsidRPr="00BA1ED2" w14:paraId="103FB737" w14:textId="77777777">
        <w:tc>
          <w:tcPr>
            <w:tcW w:w="4643" w:type="dxa"/>
          </w:tcPr>
          <w:p w14:paraId="5814C321" w14:textId="77777777" w:rsidR="000778A1" w:rsidRPr="00E95640" w:rsidRDefault="000778A1" w:rsidP="00397F68">
            <w:pPr>
              <w:rPr>
                <w:rFonts w:cs="Arial"/>
              </w:rPr>
            </w:pPr>
            <w:r w:rsidRPr="00E95640">
              <w:rPr>
                <w:rFonts w:cs="Arial"/>
              </w:rPr>
              <w:t>Accountability</w:t>
            </w:r>
          </w:p>
        </w:tc>
        <w:tc>
          <w:tcPr>
            <w:tcW w:w="4644" w:type="dxa"/>
          </w:tcPr>
          <w:p w14:paraId="2F8EB197" w14:textId="77777777" w:rsidR="000778A1" w:rsidRPr="007F5204" w:rsidRDefault="00D81480" w:rsidP="00397F68">
            <w:pPr>
              <w:rPr>
                <w:rFonts w:cs="Arial"/>
              </w:rPr>
            </w:pPr>
            <w:r w:rsidRPr="007F5204">
              <w:rPr>
                <w:rFonts w:cs="Arial"/>
              </w:rPr>
              <w:t xml:space="preserve">Fees must be set by regulation approved by Government where the usual accountability mechanisms apply. </w:t>
            </w:r>
          </w:p>
        </w:tc>
      </w:tr>
    </w:tbl>
    <w:p w14:paraId="776465C9" w14:textId="77777777" w:rsidR="004C604B" w:rsidRPr="00E95640" w:rsidRDefault="004C604B" w:rsidP="00397F68">
      <w:pPr>
        <w:rPr>
          <w:rFonts w:cs="Arial"/>
        </w:rPr>
      </w:pPr>
    </w:p>
    <w:p w14:paraId="61A1C1AF" w14:textId="77777777" w:rsidR="00C970EE" w:rsidRPr="007F5204" w:rsidRDefault="00ED1BB6" w:rsidP="00397F68">
      <w:pPr>
        <w:rPr>
          <w:rFonts w:cs="Arial"/>
          <w:b/>
        </w:rPr>
      </w:pPr>
      <w:r w:rsidRPr="007F5204">
        <w:rPr>
          <w:rFonts w:cs="Arial"/>
        </w:rPr>
        <w:t xml:space="preserve">The Act does not provide criteria for how the fees regime is to operate, other than stating that fees are to be prescribed by regulations. The review has been guided by the principles set out in </w:t>
      </w:r>
      <w:r w:rsidR="005914F6" w:rsidRPr="007F5204">
        <w:rPr>
          <w:rFonts w:cs="Arial"/>
        </w:rPr>
        <w:t>T</w:t>
      </w:r>
      <w:r w:rsidRPr="007F5204">
        <w:rPr>
          <w:rFonts w:cs="Arial"/>
        </w:rPr>
        <w:t xml:space="preserve">he Treasury’s </w:t>
      </w:r>
      <w:r w:rsidRPr="007F5204">
        <w:rPr>
          <w:rFonts w:cs="Arial"/>
          <w:i/>
        </w:rPr>
        <w:t>Guidelines for Setting Charges in the Public Sector</w:t>
      </w:r>
      <w:r w:rsidRPr="007F5204">
        <w:rPr>
          <w:rFonts w:cs="Arial"/>
        </w:rPr>
        <w:t>.</w:t>
      </w:r>
    </w:p>
    <w:p w14:paraId="1590458C" w14:textId="77777777" w:rsidR="00F804E7" w:rsidRPr="007F5204" w:rsidRDefault="00ED1BB6" w:rsidP="00F804E7">
      <w:pPr>
        <w:rPr>
          <w:rFonts w:cs="Arial"/>
        </w:rPr>
      </w:pPr>
      <w:r w:rsidRPr="007F5204">
        <w:rPr>
          <w:rFonts w:cs="Arial"/>
        </w:rPr>
        <w:t xml:space="preserve">The Department’s objectives </w:t>
      </w:r>
      <w:r w:rsidR="004C604B" w:rsidRPr="007F5204">
        <w:rPr>
          <w:rFonts w:cs="Arial"/>
        </w:rPr>
        <w:t xml:space="preserve">for the management of the boating facilities </w:t>
      </w:r>
      <w:r w:rsidRPr="007F5204">
        <w:rPr>
          <w:rFonts w:cs="Arial"/>
        </w:rPr>
        <w:t xml:space="preserve">are </w:t>
      </w:r>
      <w:r w:rsidR="00FC63CC" w:rsidRPr="007F5204">
        <w:rPr>
          <w:rFonts w:cs="Arial"/>
        </w:rPr>
        <w:t>t</w:t>
      </w:r>
      <w:r w:rsidR="006C4A91" w:rsidRPr="007F5204">
        <w:rPr>
          <w:rFonts w:cs="Arial"/>
        </w:rPr>
        <w:t>o</w:t>
      </w:r>
      <w:r w:rsidR="00FC63CC" w:rsidRPr="007F5204">
        <w:rPr>
          <w:rFonts w:cs="Arial"/>
        </w:rPr>
        <w:t>:</w:t>
      </w:r>
      <w:r w:rsidR="006C4A91" w:rsidRPr="007F5204">
        <w:rPr>
          <w:rFonts w:cs="Arial"/>
        </w:rPr>
        <w:t xml:space="preserve"> </w:t>
      </w:r>
    </w:p>
    <w:p w14:paraId="5AC8BFB5" w14:textId="77777777" w:rsidR="00F804E7" w:rsidRPr="007F5204" w:rsidRDefault="006C4A91">
      <w:pPr>
        <w:pStyle w:val="Bullet"/>
      </w:pPr>
      <w:r w:rsidRPr="007F5204">
        <w:t>ac</w:t>
      </w:r>
      <w:r w:rsidR="00FC63CC" w:rsidRPr="007F5204">
        <w:t>tively manage the Crown assets on the Lake</w:t>
      </w:r>
      <w:r w:rsidR="00F804E7" w:rsidRPr="007F5204">
        <w:t>;</w:t>
      </w:r>
    </w:p>
    <w:p w14:paraId="626F7744" w14:textId="77777777" w:rsidR="00F804E7" w:rsidRPr="007F5204" w:rsidRDefault="00F804E7">
      <w:pPr>
        <w:pStyle w:val="Bullet"/>
      </w:pPr>
      <w:r w:rsidRPr="007F5204">
        <w:t>facilitate the use and enjoyment of the Lake by locals and visitors to the district;</w:t>
      </w:r>
    </w:p>
    <w:p w14:paraId="693F56D9" w14:textId="77777777" w:rsidR="00F804E7" w:rsidRPr="007F5204" w:rsidRDefault="00FC63CC">
      <w:pPr>
        <w:pStyle w:val="Bullet"/>
      </w:pPr>
      <w:r w:rsidRPr="007F5204">
        <w:t>e</w:t>
      </w:r>
      <w:r w:rsidR="006C4A91" w:rsidRPr="007F5204">
        <w:t>nable safe access to the Lake and facilities</w:t>
      </w:r>
      <w:r w:rsidR="00F804E7" w:rsidRPr="007F5204">
        <w:t>; and</w:t>
      </w:r>
    </w:p>
    <w:p w14:paraId="3DF3B94B" w14:textId="77777777" w:rsidR="0032294B" w:rsidRPr="00BA1ED2" w:rsidRDefault="0032294B">
      <w:pPr>
        <w:pStyle w:val="Bullet"/>
        <w:rPr>
          <w:lang w:val="en-GB" w:eastAsia="en-GB"/>
        </w:rPr>
      </w:pPr>
      <w:r w:rsidRPr="007F5204">
        <w:t>set fees that are fair and equitable in relation to the quality of service provided.</w:t>
      </w:r>
      <w:r w:rsidRPr="00BA1ED2">
        <w:rPr>
          <w:lang w:val="en-GB" w:eastAsia="en-GB"/>
        </w:rPr>
        <w:t xml:space="preserve"> </w:t>
      </w:r>
    </w:p>
    <w:p w14:paraId="4A1852C1" w14:textId="77777777" w:rsidR="009376E9" w:rsidRPr="00E95640" w:rsidRDefault="00D834F6" w:rsidP="009376E9">
      <w:pPr>
        <w:pStyle w:val="Heading2"/>
        <w:rPr>
          <w:rFonts w:cs="Arial"/>
        </w:rPr>
      </w:pPr>
      <w:r w:rsidRPr="00E95640">
        <w:rPr>
          <w:rFonts w:cs="Arial"/>
        </w:rPr>
        <w:t>Policy Rationale</w:t>
      </w:r>
      <w:bookmarkStart w:id="50" w:name="_Toc244580365"/>
      <w:bookmarkStart w:id="51" w:name="_Toc244587041"/>
      <w:bookmarkStart w:id="52" w:name="_Toc244857275"/>
      <w:bookmarkStart w:id="53" w:name="_Toc244912540"/>
      <w:bookmarkStart w:id="54" w:name="_Toc244916997"/>
      <w:bookmarkStart w:id="55" w:name="_Toc362368106"/>
      <w:bookmarkStart w:id="56" w:name="_Toc362434947"/>
      <w:bookmarkStart w:id="57" w:name="_Toc362589333"/>
      <w:bookmarkStart w:id="58" w:name="_Toc362619033"/>
      <w:bookmarkStart w:id="59" w:name="_Toc362940597"/>
      <w:bookmarkStart w:id="60" w:name="_Toc363047105"/>
    </w:p>
    <w:p w14:paraId="222B8E28" w14:textId="77777777" w:rsidR="006968AC" w:rsidRPr="007F5204" w:rsidRDefault="00B53D38" w:rsidP="006968AC">
      <w:pPr>
        <w:rPr>
          <w:rFonts w:cs="Arial"/>
        </w:rPr>
      </w:pPr>
      <w:r w:rsidRPr="007F5204">
        <w:rPr>
          <w:rFonts w:cs="Arial"/>
        </w:rPr>
        <w:t xml:space="preserve">Cost recovery is appropriate because the users of the </w:t>
      </w:r>
      <w:r w:rsidR="005A40CC" w:rsidRPr="007F5204">
        <w:rPr>
          <w:rFonts w:cs="Arial"/>
        </w:rPr>
        <w:t xml:space="preserve">boating </w:t>
      </w:r>
      <w:r w:rsidRPr="007F5204">
        <w:rPr>
          <w:rFonts w:cs="Arial"/>
        </w:rPr>
        <w:t>facilities are the direct beneficiaries of the service</w:t>
      </w:r>
      <w:r w:rsidR="005A40CC" w:rsidRPr="007F5204">
        <w:rPr>
          <w:rFonts w:cs="Arial"/>
        </w:rPr>
        <w:t>s provided</w:t>
      </w:r>
      <w:r w:rsidRPr="007F5204">
        <w:rPr>
          <w:rFonts w:cs="Arial"/>
        </w:rPr>
        <w:t xml:space="preserve">. </w:t>
      </w:r>
    </w:p>
    <w:p w14:paraId="7BF9586A" w14:textId="199A3967" w:rsidR="002027BF" w:rsidRPr="007F5204" w:rsidRDefault="002027BF" w:rsidP="005A40CC">
      <w:pPr>
        <w:rPr>
          <w:rFonts w:cs="Arial"/>
        </w:rPr>
      </w:pPr>
      <w:r w:rsidRPr="007F5204">
        <w:rPr>
          <w:rFonts w:cs="Arial"/>
        </w:rPr>
        <w:t>The boating facilities are private goods because p</w:t>
      </w:r>
      <w:r w:rsidR="00F559B1" w:rsidRPr="007F5204">
        <w:rPr>
          <w:rFonts w:cs="Arial"/>
        </w:rPr>
        <w:t xml:space="preserve">eople can be </w:t>
      </w:r>
      <w:r w:rsidR="005A40CC" w:rsidRPr="007F5204">
        <w:rPr>
          <w:rFonts w:cs="Arial"/>
        </w:rPr>
        <w:t>prevented</w:t>
      </w:r>
      <w:r w:rsidR="00F559B1" w:rsidRPr="007F5204">
        <w:rPr>
          <w:rFonts w:cs="Arial"/>
        </w:rPr>
        <w:t xml:space="preserve"> from using the</w:t>
      </w:r>
      <w:r w:rsidRPr="007F5204">
        <w:rPr>
          <w:rFonts w:cs="Arial"/>
        </w:rPr>
        <w:t>m</w:t>
      </w:r>
      <w:r w:rsidR="00F559B1" w:rsidRPr="007F5204">
        <w:rPr>
          <w:rFonts w:cs="Arial"/>
        </w:rPr>
        <w:t xml:space="preserve"> </w:t>
      </w:r>
      <w:r w:rsidR="005A40CC" w:rsidRPr="007F5204">
        <w:rPr>
          <w:rFonts w:cs="Arial"/>
        </w:rPr>
        <w:t>by the Department</w:t>
      </w:r>
      <w:r w:rsidR="00F559B1" w:rsidRPr="007F5204">
        <w:rPr>
          <w:rFonts w:cs="Arial"/>
        </w:rPr>
        <w:t>.</w:t>
      </w:r>
      <w:r w:rsidRPr="007F5204">
        <w:rPr>
          <w:rFonts w:cs="Arial"/>
        </w:rPr>
        <w:t xml:space="preserve"> One person</w:t>
      </w:r>
      <w:r w:rsidR="003E379F" w:rsidRPr="007F5204">
        <w:rPr>
          <w:rFonts w:cs="Arial"/>
        </w:rPr>
        <w:t>’</w:t>
      </w:r>
      <w:r w:rsidR="00A57266" w:rsidRPr="007F5204">
        <w:rPr>
          <w:rFonts w:cs="Arial"/>
        </w:rPr>
        <w:t>s</w:t>
      </w:r>
      <w:r w:rsidRPr="007F5204">
        <w:rPr>
          <w:rFonts w:cs="Arial"/>
        </w:rPr>
        <w:t xml:space="preserve"> use of the boating facilities will also reduce an</w:t>
      </w:r>
      <w:r w:rsidR="003E379F" w:rsidRPr="007F5204">
        <w:rPr>
          <w:rFonts w:cs="Arial"/>
        </w:rPr>
        <w:t>o</w:t>
      </w:r>
      <w:r w:rsidRPr="007F5204">
        <w:rPr>
          <w:rFonts w:cs="Arial"/>
        </w:rPr>
        <w:t>ther</w:t>
      </w:r>
      <w:r w:rsidR="003E379F" w:rsidRPr="007F5204">
        <w:rPr>
          <w:rFonts w:cs="Arial"/>
        </w:rPr>
        <w:t>’</w:t>
      </w:r>
      <w:r w:rsidRPr="007F5204">
        <w:rPr>
          <w:rFonts w:cs="Arial"/>
        </w:rPr>
        <w:t>s</w:t>
      </w:r>
      <w:r w:rsidR="003E379F" w:rsidRPr="007F5204">
        <w:rPr>
          <w:rFonts w:cs="Arial"/>
        </w:rPr>
        <w:t xml:space="preserve"> use,</w:t>
      </w:r>
      <w:r w:rsidRPr="007F5204">
        <w:rPr>
          <w:rFonts w:cs="Arial"/>
        </w:rPr>
        <w:t xml:space="preserve"> given t</w:t>
      </w:r>
      <w:r w:rsidR="00B53D38" w:rsidRPr="007F5204">
        <w:rPr>
          <w:rFonts w:cs="Arial"/>
        </w:rPr>
        <w:t>here is a limit</w:t>
      </w:r>
      <w:r w:rsidR="00AB4D38" w:rsidRPr="007F5204">
        <w:rPr>
          <w:rFonts w:cs="Arial"/>
        </w:rPr>
        <w:t xml:space="preserve"> to the</w:t>
      </w:r>
      <w:r w:rsidR="00B53D38" w:rsidRPr="007F5204">
        <w:rPr>
          <w:rFonts w:cs="Arial"/>
        </w:rPr>
        <w:t xml:space="preserve"> number </w:t>
      </w:r>
      <w:r w:rsidR="00F559B1" w:rsidRPr="007F5204">
        <w:rPr>
          <w:rFonts w:cs="Arial"/>
        </w:rPr>
        <w:t xml:space="preserve">of </w:t>
      </w:r>
      <w:r w:rsidR="005A40CC" w:rsidRPr="007F5204">
        <w:rPr>
          <w:rFonts w:cs="Arial"/>
        </w:rPr>
        <w:t xml:space="preserve">marina </w:t>
      </w:r>
      <w:r w:rsidR="00F559B1" w:rsidRPr="007F5204">
        <w:rPr>
          <w:rFonts w:cs="Arial"/>
        </w:rPr>
        <w:t>berths</w:t>
      </w:r>
      <w:r w:rsidR="00B53D38" w:rsidRPr="007F5204">
        <w:rPr>
          <w:rFonts w:cs="Arial"/>
        </w:rPr>
        <w:t xml:space="preserve">, </w:t>
      </w:r>
      <w:r w:rsidR="005A40CC" w:rsidRPr="007F5204">
        <w:rPr>
          <w:rFonts w:cs="Arial"/>
        </w:rPr>
        <w:t xml:space="preserve">boat ramp </w:t>
      </w:r>
      <w:r w:rsidRPr="007F5204">
        <w:rPr>
          <w:rFonts w:cs="Arial"/>
        </w:rPr>
        <w:t>space</w:t>
      </w:r>
      <w:r w:rsidR="005A40CC" w:rsidRPr="007F5204">
        <w:rPr>
          <w:rFonts w:cs="Arial"/>
        </w:rPr>
        <w:t xml:space="preserve">, and </w:t>
      </w:r>
      <w:r w:rsidRPr="007F5204">
        <w:rPr>
          <w:rFonts w:cs="Arial"/>
        </w:rPr>
        <w:t xml:space="preserve">room on the Lake for moorings. As the boating facilities are private goods, a fee is the appropriate way to recover costs.  </w:t>
      </w:r>
    </w:p>
    <w:p w14:paraId="27C1CA14" w14:textId="6C4AA7E6" w:rsidR="005B1979" w:rsidRPr="007F5204" w:rsidRDefault="005B1979" w:rsidP="005A40CC">
      <w:pPr>
        <w:rPr>
          <w:rFonts w:cs="Arial"/>
        </w:rPr>
      </w:pPr>
      <w:bookmarkStart w:id="61" w:name="_Hlk10725682"/>
      <w:r w:rsidRPr="007F5204">
        <w:rPr>
          <w:rFonts w:cs="Arial"/>
        </w:rPr>
        <w:t xml:space="preserve">The boating </w:t>
      </w:r>
      <w:r w:rsidR="007F5204" w:rsidRPr="007F5204">
        <w:rPr>
          <w:rFonts w:cs="Arial"/>
        </w:rPr>
        <w:t>facilities</w:t>
      </w:r>
      <w:r w:rsidRPr="007F5204">
        <w:rPr>
          <w:rFonts w:cs="Arial"/>
        </w:rPr>
        <w:t xml:space="preserve"> are regarded as a single set of Crown assets, because many of the costs (for example, staffing) are shared across the services</w:t>
      </w:r>
      <w:r w:rsidR="0040131E" w:rsidRPr="007F5204">
        <w:rPr>
          <w:rFonts w:cs="Arial"/>
        </w:rPr>
        <w:t>. This approach increases efficiencies and enables the Crown to maintain a level of service across all facilities</w:t>
      </w:r>
      <w:r w:rsidRPr="007F5204">
        <w:rPr>
          <w:rFonts w:cs="Arial"/>
        </w:rPr>
        <w:t xml:space="preserve">. The costs of servicing the facilities are recovered from users of the facilities </w:t>
      </w:r>
      <w:proofErr w:type="gramStart"/>
      <w:r w:rsidR="0040131E" w:rsidRPr="007F5204">
        <w:rPr>
          <w:rFonts w:cs="Arial"/>
        </w:rPr>
        <w:t>as a whole</w:t>
      </w:r>
      <w:r w:rsidR="00945222" w:rsidRPr="007F5204">
        <w:rPr>
          <w:rFonts w:cs="Arial"/>
        </w:rPr>
        <w:t xml:space="preserve"> rather</w:t>
      </w:r>
      <w:proofErr w:type="gramEnd"/>
      <w:r w:rsidR="00945222" w:rsidRPr="007F5204">
        <w:rPr>
          <w:rFonts w:cs="Arial"/>
        </w:rPr>
        <w:t xml:space="preserve"> than</w:t>
      </w:r>
      <w:r w:rsidR="00AB4D38" w:rsidRPr="007F5204">
        <w:rPr>
          <w:rFonts w:cs="Arial"/>
        </w:rPr>
        <w:t>,</w:t>
      </w:r>
      <w:r w:rsidR="00F5382B" w:rsidRPr="007F5204">
        <w:rPr>
          <w:rFonts w:cs="Arial"/>
        </w:rPr>
        <w:t xml:space="preserve"> for </w:t>
      </w:r>
      <w:r w:rsidR="00945222" w:rsidRPr="007F5204">
        <w:rPr>
          <w:rFonts w:cs="Arial"/>
        </w:rPr>
        <w:t>example</w:t>
      </w:r>
      <w:r w:rsidR="00AB4D38" w:rsidRPr="007F5204">
        <w:rPr>
          <w:rFonts w:cs="Arial"/>
        </w:rPr>
        <w:t>,</w:t>
      </w:r>
      <w:r w:rsidR="00945222" w:rsidRPr="007F5204">
        <w:rPr>
          <w:rFonts w:cs="Arial"/>
        </w:rPr>
        <w:t xml:space="preserve"> ramp users meeting </w:t>
      </w:r>
      <w:r w:rsidR="007F5204" w:rsidRPr="007F5204">
        <w:rPr>
          <w:rFonts w:cs="Arial"/>
        </w:rPr>
        <w:t>all</w:t>
      </w:r>
      <w:r w:rsidR="00945222" w:rsidRPr="007F5204">
        <w:rPr>
          <w:rFonts w:cs="Arial"/>
        </w:rPr>
        <w:t xml:space="preserve"> the costs associated with the ramps.</w:t>
      </w:r>
      <w:bookmarkEnd w:id="61"/>
    </w:p>
    <w:p w14:paraId="50722693" w14:textId="44BFD30F" w:rsidR="00F559B1" w:rsidRPr="007F5204" w:rsidRDefault="00182C13" w:rsidP="006968AC">
      <w:pPr>
        <w:rPr>
          <w:rFonts w:cs="Arial"/>
        </w:rPr>
      </w:pPr>
      <w:r w:rsidRPr="007F5204">
        <w:rPr>
          <w:rFonts w:cs="Arial"/>
        </w:rPr>
        <w:t xml:space="preserve">The marinas </w:t>
      </w:r>
      <w:r w:rsidR="008F2D23" w:rsidRPr="007F5204">
        <w:rPr>
          <w:rFonts w:cs="Arial"/>
        </w:rPr>
        <w:t xml:space="preserve">themselves have a public good element. </w:t>
      </w:r>
      <w:r w:rsidR="00041C6B" w:rsidRPr="007F5204">
        <w:rPr>
          <w:rFonts w:cs="Arial"/>
        </w:rPr>
        <w:t xml:space="preserve">The Lake is a natural capital asset of national importance. The Crown has responsibilities for the upkeep of the Lake, its facilities and the waterfront that reflects the importance of the Lake. The facilities in and around </w:t>
      </w:r>
      <w:r w:rsidR="00E46B12">
        <w:rPr>
          <w:rFonts w:cs="Arial"/>
        </w:rPr>
        <w:t xml:space="preserve">Motuoapa </w:t>
      </w:r>
      <w:r w:rsidR="00041C6B" w:rsidRPr="007F5204">
        <w:rPr>
          <w:rFonts w:cs="Arial"/>
        </w:rPr>
        <w:t xml:space="preserve">marina are open to the public at large, including the beach, toilet block, car park and roading, and street lighting. The marina includes a foreshore rock which provides </w:t>
      </w:r>
      <w:r w:rsidR="00041C6B" w:rsidRPr="007F5204">
        <w:rPr>
          <w:rFonts w:cs="Arial"/>
        </w:rPr>
        <w:lastRenderedPageBreak/>
        <w:t xml:space="preserve">erosion protection for the foreshore. The grassed and paved areas around the marina are used by the public for general recreation and the </w:t>
      </w:r>
      <w:r w:rsidR="008F2D23" w:rsidRPr="007F5204">
        <w:rPr>
          <w:rFonts w:cs="Arial"/>
        </w:rPr>
        <w:t>marina create</w:t>
      </w:r>
      <w:r w:rsidR="00AB4D38" w:rsidRPr="007F5204">
        <w:rPr>
          <w:rFonts w:cs="Arial"/>
        </w:rPr>
        <w:t>s</w:t>
      </w:r>
      <w:r w:rsidR="008F2D23" w:rsidRPr="007F5204">
        <w:rPr>
          <w:rFonts w:cs="Arial"/>
        </w:rPr>
        <w:t xml:space="preserve"> a pleasant </w:t>
      </w:r>
      <w:r w:rsidR="00041C6B" w:rsidRPr="007F5204">
        <w:rPr>
          <w:rFonts w:cs="Arial"/>
        </w:rPr>
        <w:t xml:space="preserve">waterside </w:t>
      </w:r>
      <w:r w:rsidR="008F2D23" w:rsidRPr="007F5204">
        <w:rPr>
          <w:rFonts w:cs="Arial"/>
        </w:rPr>
        <w:t xml:space="preserve">environment </w:t>
      </w:r>
      <w:r w:rsidR="00041C6B" w:rsidRPr="007F5204">
        <w:rPr>
          <w:rFonts w:cs="Arial"/>
        </w:rPr>
        <w:t>enjoyed by the public at large.</w:t>
      </w:r>
      <w:r w:rsidR="008F2D23" w:rsidRPr="007F5204">
        <w:rPr>
          <w:rFonts w:cs="Arial"/>
        </w:rPr>
        <w:t xml:space="preserve"> </w:t>
      </w:r>
      <w:r w:rsidR="00041C6B" w:rsidRPr="007F5204">
        <w:rPr>
          <w:rFonts w:cs="Arial"/>
        </w:rPr>
        <w:t xml:space="preserve">While the primary benefit of the marina is for its users, there are broader, identifiable public benefits which should be recognised in the cost recovery regime. The presence of the marina provides an economic benefit to </w:t>
      </w:r>
      <w:proofErr w:type="gramStart"/>
      <w:r w:rsidR="00041C6B" w:rsidRPr="007F5204">
        <w:rPr>
          <w:rFonts w:cs="Arial"/>
        </w:rPr>
        <w:t>local residents</w:t>
      </w:r>
      <w:proofErr w:type="gramEnd"/>
      <w:r w:rsidR="00041C6B" w:rsidRPr="007F5204">
        <w:rPr>
          <w:rFonts w:cs="Arial"/>
        </w:rPr>
        <w:t xml:space="preserve"> and businesses as well as contributing to the environment in which the wider public can enjoy the natural asset of the Lake.</w:t>
      </w:r>
    </w:p>
    <w:p w14:paraId="463EAFEA" w14:textId="78B99BDE" w:rsidR="00041C6B" w:rsidRPr="007F5204" w:rsidRDefault="00041C6B" w:rsidP="006968AC">
      <w:pPr>
        <w:rPr>
          <w:rFonts w:cs="Arial"/>
        </w:rPr>
      </w:pPr>
      <w:r w:rsidRPr="007F5204">
        <w:rPr>
          <w:rFonts w:cs="Arial"/>
        </w:rPr>
        <w:t xml:space="preserve">The Department has assessed the public benefit as representing 25 per cent of the cost of the marina redevelopment on a general basis, </w:t>
      </w:r>
      <w:r w:rsidR="000841A7" w:rsidRPr="007F5204">
        <w:rPr>
          <w:rFonts w:cs="Arial"/>
        </w:rPr>
        <w:t>considering</w:t>
      </w:r>
      <w:r w:rsidRPr="007F5204">
        <w:rPr>
          <w:rFonts w:cs="Arial"/>
        </w:rPr>
        <w:t xml:space="preserve"> the facilities that are open to the public and the broader public benefits obtained </w:t>
      </w:r>
      <w:r w:rsidR="007F5204" w:rsidRPr="007F5204">
        <w:rPr>
          <w:rFonts w:cs="Arial"/>
        </w:rPr>
        <w:t>because of</w:t>
      </w:r>
      <w:r w:rsidRPr="007F5204">
        <w:rPr>
          <w:rFonts w:cs="Arial"/>
        </w:rPr>
        <w:t xml:space="preserve"> the marina facility.  </w:t>
      </w:r>
    </w:p>
    <w:p w14:paraId="6DEF8E07" w14:textId="77777777" w:rsidR="00F804E7" w:rsidRPr="007F5204" w:rsidRDefault="00213BF4" w:rsidP="006968AC">
      <w:pPr>
        <w:rPr>
          <w:rFonts w:cs="Arial"/>
        </w:rPr>
      </w:pPr>
      <w:r w:rsidRPr="007F5204">
        <w:rPr>
          <w:rFonts w:cs="Arial"/>
        </w:rPr>
        <w:t>Although f</w:t>
      </w:r>
      <w:r w:rsidR="00F804E7" w:rsidRPr="007F5204">
        <w:rPr>
          <w:rFonts w:cs="Arial"/>
        </w:rPr>
        <w:t>ull cost recovery is being proposed</w:t>
      </w:r>
      <w:r w:rsidRPr="007F5204">
        <w:rPr>
          <w:rFonts w:cs="Arial"/>
        </w:rPr>
        <w:t>,</w:t>
      </w:r>
      <w:r w:rsidR="00F804E7" w:rsidRPr="007F5204">
        <w:rPr>
          <w:rFonts w:cs="Arial"/>
        </w:rPr>
        <w:t xml:space="preserve"> the Department is not proposing to recover the payment made by the Crown to the Trust board for rental of the land for the boating facilities. </w:t>
      </w:r>
      <w:r w:rsidR="0040131E" w:rsidRPr="007F5204">
        <w:rPr>
          <w:rFonts w:cs="Arial"/>
        </w:rPr>
        <w:t>This payment is addressed through a separate appropriation and is not charged to the memorandum account.</w:t>
      </w:r>
      <w:r w:rsidR="00FB2D0D" w:rsidRPr="007F5204">
        <w:rPr>
          <w:rFonts w:cs="Arial"/>
        </w:rPr>
        <w:t xml:space="preserve"> The payment has therefore not been recovered from user fees and we do not consider it appropriate to do so; the payment is a feature of the Crown’s obligations in relation to Lake Taupō.</w:t>
      </w:r>
    </w:p>
    <w:p w14:paraId="2417E9CA" w14:textId="77777777" w:rsidR="00F917F2" w:rsidRPr="007F5204" w:rsidRDefault="00D94C8C" w:rsidP="007F5204">
      <w:pPr>
        <w:rPr>
          <w:rFonts w:cs="Arial"/>
        </w:rPr>
      </w:pPr>
      <w:r w:rsidRPr="007F5204">
        <w:rPr>
          <w:rFonts w:cs="Arial"/>
        </w:rPr>
        <w:t>The Department considers</w:t>
      </w:r>
      <w:r w:rsidR="00B25CD7" w:rsidRPr="007F5204">
        <w:rPr>
          <w:rFonts w:cs="Arial"/>
        </w:rPr>
        <w:t xml:space="preserve"> that</w:t>
      </w:r>
      <w:r w:rsidRPr="007F5204">
        <w:rPr>
          <w:rFonts w:cs="Arial"/>
        </w:rPr>
        <w:t xml:space="preserve"> the</w:t>
      </w:r>
      <w:r w:rsidR="00F917F2" w:rsidRPr="007F5204">
        <w:rPr>
          <w:rFonts w:cs="Arial"/>
        </w:rPr>
        <w:t xml:space="preserve"> </w:t>
      </w:r>
      <w:r w:rsidR="00C41AF0" w:rsidRPr="007F5204">
        <w:rPr>
          <w:rFonts w:cs="Arial"/>
        </w:rPr>
        <w:t xml:space="preserve">proposed </w:t>
      </w:r>
      <w:r w:rsidR="00F917F2" w:rsidRPr="007F5204">
        <w:rPr>
          <w:rFonts w:cs="Arial"/>
        </w:rPr>
        <w:t>user charge</w:t>
      </w:r>
      <w:r w:rsidR="002B0B6B" w:rsidRPr="007F5204">
        <w:rPr>
          <w:rFonts w:cs="Arial"/>
        </w:rPr>
        <w:t>s</w:t>
      </w:r>
      <w:r w:rsidR="00F917F2" w:rsidRPr="007F5204">
        <w:rPr>
          <w:rFonts w:cs="Arial"/>
        </w:rPr>
        <w:t xml:space="preserve"> </w:t>
      </w:r>
      <w:r w:rsidRPr="007F5204">
        <w:rPr>
          <w:rFonts w:cs="Arial"/>
        </w:rPr>
        <w:t>mee</w:t>
      </w:r>
      <w:r w:rsidR="00F917F2" w:rsidRPr="007F5204">
        <w:rPr>
          <w:rFonts w:cs="Arial"/>
        </w:rPr>
        <w:t xml:space="preserve">t </w:t>
      </w:r>
      <w:r w:rsidRPr="007F5204">
        <w:rPr>
          <w:rFonts w:cs="Arial"/>
        </w:rPr>
        <w:t>its objectives for the boating facilities</w:t>
      </w:r>
      <w:r w:rsidR="005914F6" w:rsidRPr="007F5204">
        <w:rPr>
          <w:rFonts w:cs="Arial"/>
        </w:rPr>
        <w:t>. T</w:t>
      </w:r>
      <w:r w:rsidR="007C1315" w:rsidRPr="007F5204">
        <w:rPr>
          <w:rFonts w:cs="Arial"/>
        </w:rPr>
        <w:t>hey</w:t>
      </w:r>
      <w:r w:rsidR="00B96417" w:rsidRPr="007F5204">
        <w:rPr>
          <w:rFonts w:cs="Arial"/>
        </w:rPr>
        <w:t xml:space="preserve"> will provide the level of funding necessary to enable safe access to the facilities at a fee level which is fair and equitable given the standard of the facilities. </w:t>
      </w:r>
    </w:p>
    <w:p w14:paraId="4470A461" w14:textId="77777777" w:rsidR="00800998" w:rsidRPr="007F5204" w:rsidRDefault="00800998" w:rsidP="00800998">
      <w:pPr>
        <w:pStyle w:val="Heading2"/>
        <w:rPr>
          <w:rFonts w:cs="Arial"/>
        </w:rPr>
      </w:pPr>
      <w:r w:rsidRPr="007F5204">
        <w:rPr>
          <w:rFonts w:cs="Arial"/>
        </w:rPr>
        <w:t>The level of the proposed fee and its cost components</w:t>
      </w:r>
      <w:r w:rsidR="00EA405A" w:rsidRPr="007F5204">
        <w:rPr>
          <w:rFonts w:cs="Arial"/>
        </w:rPr>
        <w:t xml:space="preserve"> (cost recovery model)</w:t>
      </w:r>
    </w:p>
    <w:p w14:paraId="305EE758" w14:textId="1AEEE8F0" w:rsidR="002027BF" w:rsidRPr="007F5204" w:rsidRDefault="002027BF" w:rsidP="00573904">
      <w:pPr>
        <w:rPr>
          <w:rFonts w:cs="Arial"/>
        </w:rPr>
      </w:pPr>
      <w:r w:rsidRPr="007F5204">
        <w:rPr>
          <w:rFonts w:cs="Arial"/>
        </w:rPr>
        <w:t xml:space="preserve">Current and proposed fees for the boating facilities are included as </w:t>
      </w:r>
      <w:r w:rsidR="009479A1">
        <w:rPr>
          <w:rFonts w:cs="Arial"/>
          <w:b/>
        </w:rPr>
        <w:t>Annex 1</w:t>
      </w:r>
      <w:r w:rsidRPr="007F5204">
        <w:rPr>
          <w:rFonts w:cs="Arial"/>
        </w:rPr>
        <w:t xml:space="preserve">. </w:t>
      </w:r>
    </w:p>
    <w:p w14:paraId="43DDE719" w14:textId="77777777" w:rsidR="00573904" w:rsidRPr="007F5204" w:rsidRDefault="00573904" w:rsidP="00573904">
      <w:pPr>
        <w:rPr>
          <w:rFonts w:cs="Arial"/>
        </w:rPr>
      </w:pPr>
      <w:r w:rsidRPr="007F5204">
        <w:rPr>
          <w:rFonts w:cs="Arial"/>
        </w:rPr>
        <w:t xml:space="preserve">The Department is recommending a 22 percent fee increase </w:t>
      </w:r>
      <w:r w:rsidR="002027BF" w:rsidRPr="007F5204">
        <w:rPr>
          <w:rFonts w:cs="Arial"/>
        </w:rPr>
        <w:t xml:space="preserve">to current fees </w:t>
      </w:r>
      <w:r w:rsidRPr="007F5204">
        <w:rPr>
          <w:rFonts w:cs="Arial"/>
        </w:rPr>
        <w:t>with the following exceptions:</w:t>
      </w:r>
    </w:p>
    <w:p w14:paraId="32F7728A" w14:textId="77777777" w:rsidR="00573904" w:rsidRPr="00BA1ED2" w:rsidRDefault="00573904">
      <w:pPr>
        <w:pStyle w:val="Bullet"/>
      </w:pPr>
      <w:r w:rsidRPr="00BA1ED2">
        <w:t xml:space="preserve">increasing marina temporary berth permit fees by 100 per cent to address a pricing anomaly; and </w:t>
      </w:r>
    </w:p>
    <w:p w14:paraId="59F1E469" w14:textId="77777777" w:rsidR="0044073D" w:rsidRPr="00BA1ED2" w:rsidRDefault="00573904" w:rsidP="007F5204">
      <w:pPr>
        <w:pStyle w:val="Bullet"/>
        <w:spacing w:before="180" w:after="180"/>
      </w:pPr>
      <w:r w:rsidRPr="00BA1ED2">
        <w:t>introducing a new option for a 24-hour marina berthing permit priced at $40.00 (GST Inclusive) per day</w:t>
      </w:r>
      <w:r w:rsidR="004C604B" w:rsidRPr="00BA1ED2">
        <w:t>.</w:t>
      </w:r>
    </w:p>
    <w:p w14:paraId="2FD4668A" w14:textId="77777777" w:rsidR="00BD500B" w:rsidRPr="00BA1ED2" w:rsidRDefault="00BD500B" w:rsidP="007F5204">
      <w:pPr>
        <w:pStyle w:val="Bullet"/>
        <w:numPr>
          <w:ilvl w:val="0"/>
          <w:numId w:val="0"/>
        </w:numPr>
        <w:spacing w:before="0" w:after="240"/>
      </w:pPr>
      <w:r w:rsidRPr="00BA1ED2">
        <w:t xml:space="preserve">The proposed fees in </w:t>
      </w:r>
      <w:r w:rsidR="00E51C6C" w:rsidRPr="00BA1ED2">
        <w:t>both</w:t>
      </w:r>
      <w:r w:rsidRPr="00BA1ED2">
        <w:t xml:space="preserve"> cases are competitive with other marinas throughout the country.</w:t>
      </w:r>
    </w:p>
    <w:p w14:paraId="026E802C" w14:textId="77777777" w:rsidR="002F7F5C" w:rsidRPr="007F5204" w:rsidRDefault="00041C6B" w:rsidP="007F5204">
      <w:r w:rsidRPr="00E95640">
        <w:rPr>
          <w:rFonts w:cs="Arial"/>
        </w:rPr>
        <w:t xml:space="preserve">The anomaly regarding temporary berth permits was raised in consultation. </w:t>
      </w:r>
      <w:r w:rsidR="002F7F5C" w:rsidRPr="00E95640">
        <w:rPr>
          <w:rFonts w:cs="Arial"/>
        </w:rPr>
        <w:t>Submitters raised a concern that the fee for a temporary</w:t>
      </w:r>
      <w:r w:rsidR="002F7F5C" w:rsidRPr="007F5204">
        <w:rPr>
          <w:rFonts w:cs="Arial"/>
        </w:rPr>
        <w:t xml:space="preserve"> berth permit is less proportionally than the fee many annual berth permit holders pay and so they are disadvantaged by paying annually. The current fee for a temporary berth permit is $100 a week and $200 a month (which equates to $2400 a year). Most annual berth holders pay more than $2400 a year. Temporary berth permits should be more expensive proportionally than annual berth permits. If they are cheaper it creates an incentive for boat owners to use temporary berths rather than committing to an annual berth. </w:t>
      </w:r>
    </w:p>
    <w:p w14:paraId="2FA89E9A" w14:textId="189F9E5C" w:rsidR="001F2F68" w:rsidRPr="00283EF9" w:rsidRDefault="001B1DD2">
      <w:pPr>
        <w:rPr>
          <w:rFonts w:cs="Arial"/>
        </w:rPr>
      </w:pPr>
      <w:r>
        <w:rPr>
          <w:rFonts w:cs="Arial"/>
        </w:rPr>
        <w:t xml:space="preserve">Following the further fees review in 2022 an assessment will be made on whether an additional increase is required and if so, its magnitude. The review will take </w:t>
      </w:r>
      <w:r w:rsidR="00041C6B" w:rsidRPr="007F5204">
        <w:rPr>
          <w:rFonts w:cs="Arial"/>
        </w:rPr>
        <w:t xml:space="preserve">account of the performance of the memorandum account over the next three years and any change in the level of use of the facilities. The current exclusion of Tokaanu and Nukuhau marinas from the fees review because of their condition should also be resolved by the time of the next fees </w:t>
      </w:r>
      <w:r w:rsidR="00041C6B" w:rsidRPr="007F5204">
        <w:rPr>
          <w:rFonts w:cs="Arial"/>
        </w:rPr>
        <w:lastRenderedPageBreak/>
        <w:t xml:space="preserve">review. </w:t>
      </w:r>
      <w:r w:rsidR="0044073D" w:rsidRPr="007F5204">
        <w:rPr>
          <w:rFonts w:cs="Arial"/>
        </w:rPr>
        <w:t>However, based on current forecasts balancing the memorandum account over ten years will require an additional fee increase of 22 per cent in 2022.</w:t>
      </w:r>
    </w:p>
    <w:p w14:paraId="4B1DC432" w14:textId="6B0B682E" w:rsidR="0044073D" w:rsidRPr="007F5204" w:rsidRDefault="008E48E0">
      <w:pPr>
        <w:rPr>
          <w:rFonts w:cs="Arial"/>
        </w:rPr>
      </w:pPr>
      <w:r w:rsidRPr="00BA1ED2">
        <w:rPr>
          <w:rFonts w:cs="Arial"/>
          <w:szCs w:val="22"/>
        </w:rPr>
        <w:t>The Department is proposing</w:t>
      </w:r>
      <w:r w:rsidRPr="00E95640">
        <w:rPr>
          <w:rFonts w:cs="Arial"/>
        </w:rPr>
        <w:t xml:space="preserve"> to recover 75 per cent ($0.131 million p.a.) of the depreciation of Motuoapa marina through user fees. </w:t>
      </w:r>
      <w:r w:rsidRPr="007F5204">
        <w:rPr>
          <w:rFonts w:cs="Arial"/>
        </w:rPr>
        <w:t xml:space="preserve">This is a minor departure from The Treasury guidelines which expect full recovery of depreciation in most cases. The design of the </w:t>
      </w:r>
      <w:r w:rsidR="00041C6B" w:rsidRPr="007F5204">
        <w:rPr>
          <w:rFonts w:cs="Arial"/>
        </w:rPr>
        <w:t>m</w:t>
      </w:r>
      <w:r w:rsidRPr="007F5204">
        <w:rPr>
          <w:rFonts w:cs="Arial"/>
        </w:rPr>
        <w:t xml:space="preserve">arina environment </w:t>
      </w:r>
      <w:r w:rsidR="00041C6B" w:rsidRPr="007F5204">
        <w:rPr>
          <w:rFonts w:cs="Arial"/>
        </w:rPr>
        <w:t xml:space="preserve">provides </w:t>
      </w:r>
      <w:r w:rsidRPr="007F5204">
        <w:rPr>
          <w:rFonts w:cs="Arial"/>
        </w:rPr>
        <w:t xml:space="preserve">a facility for boat users </w:t>
      </w:r>
      <w:r w:rsidR="00041C6B" w:rsidRPr="007F5204">
        <w:rPr>
          <w:rFonts w:cs="Arial"/>
        </w:rPr>
        <w:t xml:space="preserve">and </w:t>
      </w:r>
      <w:r w:rsidRPr="007F5204">
        <w:rPr>
          <w:rFonts w:cs="Arial"/>
        </w:rPr>
        <w:t>create</w:t>
      </w:r>
      <w:r w:rsidR="00041C6B" w:rsidRPr="007F5204">
        <w:rPr>
          <w:rFonts w:cs="Arial"/>
        </w:rPr>
        <w:t>s</w:t>
      </w:r>
      <w:r w:rsidRPr="007F5204">
        <w:rPr>
          <w:rFonts w:cs="Arial"/>
        </w:rPr>
        <w:t xml:space="preserve"> a pleasant waterside environment for public recreation. </w:t>
      </w:r>
      <w:r w:rsidR="00705AA5" w:rsidRPr="007F5204">
        <w:rPr>
          <w:rFonts w:cs="Arial"/>
        </w:rPr>
        <w:t xml:space="preserve">The Department considers that </w:t>
      </w:r>
      <w:r w:rsidR="00041C6B" w:rsidRPr="007F5204">
        <w:rPr>
          <w:rFonts w:cs="Arial"/>
        </w:rPr>
        <w:t xml:space="preserve">a general apportionment </w:t>
      </w:r>
      <w:r w:rsidR="00705AA5" w:rsidRPr="007F5204">
        <w:rPr>
          <w:rFonts w:cs="Arial"/>
        </w:rPr>
        <w:t xml:space="preserve">of the components that make up Motuoapa marina </w:t>
      </w:r>
      <w:r w:rsidR="00382ACF" w:rsidRPr="002421E4">
        <w:rPr>
          <w:rFonts w:cs="Arial"/>
        </w:rPr>
        <w:t>of 25 per cent</w:t>
      </w:r>
      <w:r w:rsidR="00382ACF" w:rsidRPr="00BA1ED2" w:rsidDel="00041C6B">
        <w:rPr>
          <w:rFonts w:cs="Arial"/>
        </w:rPr>
        <w:t xml:space="preserve"> </w:t>
      </w:r>
      <w:r w:rsidR="00041C6B" w:rsidRPr="007F5204">
        <w:rPr>
          <w:rFonts w:cs="Arial"/>
        </w:rPr>
        <w:t xml:space="preserve">to </w:t>
      </w:r>
      <w:r w:rsidR="00382ACF">
        <w:rPr>
          <w:rFonts w:cs="Arial"/>
        </w:rPr>
        <w:t xml:space="preserve">a </w:t>
      </w:r>
      <w:r w:rsidR="00705AA5" w:rsidRPr="007F5204">
        <w:rPr>
          <w:rFonts w:cs="Arial"/>
        </w:rPr>
        <w:t>public benefit</w:t>
      </w:r>
      <w:r w:rsidR="00041C6B" w:rsidRPr="007F5204">
        <w:rPr>
          <w:rFonts w:cs="Arial"/>
        </w:rPr>
        <w:t xml:space="preserve"> is appropriate to reflect the mixed private-public benefit</w:t>
      </w:r>
      <w:r w:rsidR="00F5382B" w:rsidRPr="007F5204">
        <w:rPr>
          <w:rFonts w:cs="Arial"/>
        </w:rPr>
        <w:t>.</w:t>
      </w:r>
      <w:r w:rsidR="00705AA5" w:rsidRPr="007F5204">
        <w:rPr>
          <w:rFonts w:cs="Arial"/>
        </w:rPr>
        <w:t xml:space="preserve"> </w:t>
      </w:r>
      <w:r w:rsidRPr="007F5204">
        <w:rPr>
          <w:rFonts w:cs="Arial"/>
        </w:rPr>
        <w:t>Because the Marina provides a public good, we consider it justified to partially reduce the recovery of depreciation. The remaining 25 per cent ($0.</w:t>
      </w:r>
      <w:r w:rsidR="00041C6B" w:rsidRPr="007F5204">
        <w:rPr>
          <w:rFonts w:cs="Arial"/>
        </w:rPr>
        <w:t>0</w:t>
      </w:r>
      <w:r w:rsidRPr="007F5204">
        <w:rPr>
          <w:rFonts w:cs="Arial"/>
        </w:rPr>
        <w:t>44 million p.a.)</w:t>
      </w:r>
      <w:r w:rsidR="00705AA5" w:rsidRPr="007F5204">
        <w:rPr>
          <w:rFonts w:cs="Arial"/>
        </w:rPr>
        <w:t xml:space="preserve"> can be</w:t>
      </w:r>
      <w:r w:rsidR="00F5382B" w:rsidRPr="007F5204">
        <w:rPr>
          <w:rFonts w:cs="Arial"/>
        </w:rPr>
        <w:t xml:space="preserve"> </w:t>
      </w:r>
      <w:r w:rsidR="00705AA5" w:rsidRPr="007F5204">
        <w:rPr>
          <w:rFonts w:cs="Arial"/>
        </w:rPr>
        <w:t xml:space="preserve">funded through the Department’s </w:t>
      </w:r>
      <w:r w:rsidR="00705AA5" w:rsidRPr="007F5204">
        <w:rPr>
          <w:rFonts w:cs="Arial"/>
          <w:i/>
        </w:rPr>
        <w:t>Crown-owned Assets at Lake Taupō – Maintenance Costs</w:t>
      </w:r>
      <w:r w:rsidR="00705AA5" w:rsidRPr="00E95640">
        <w:rPr>
          <w:rFonts w:cs="Arial"/>
        </w:rPr>
        <w:t xml:space="preserve"> Non-Departmental appropriation. The appropriation has sufficient funding to absorb this cost, which means no additional Crown funding would be required.</w:t>
      </w:r>
    </w:p>
    <w:p w14:paraId="4FFC9D76" w14:textId="144903DD" w:rsidR="00B64C09" w:rsidRPr="00BA1ED2" w:rsidRDefault="00705AA5" w:rsidP="007F5204">
      <w:pPr>
        <w:pStyle w:val="Bullet"/>
        <w:numPr>
          <w:ilvl w:val="0"/>
          <w:numId w:val="0"/>
        </w:numPr>
        <w:spacing w:before="0" w:after="240"/>
      </w:pPr>
      <w:r w:rsidRPr="00BA1ED2">
        <w:t>Tables 1 and 2</w:t>
      </w:r>
      <w:r w:rsidR="00F5382B" w:rsidRPr="00BA1ED2">
        <w:t xml:space="preserve"> </w:t>
      </w:r>
      <w:r w:rsidR="00B64C09" w:rsidRPr="00BA1ED2">
        <w:t xml:space="preserve">show forecasted revenue and expenditure over the next </w:t>
      </w:r>
      <w:r w:rsidRPr="00BA1ED2">
        <w:t xml:space="preserve">three </w:t>
      </w:r>
      <w:r w:rsidR="00B64C09" w:rsidRPr="00BA1ED2">
        <w:t>financial years, with, and without the proposed fee increase.</w:t>
      </w:r>
      <w:r w:rsidR="00BD500B" w:rsidRPr="00BA1ED2">
        <w:t xml:space="preserve"> </w:t>
      </w:r>
    </w:p>
    <w:p w14:paraId="293195E7" w14:textId="14A2182F" w:rsidR="00BD500B" w:rsidRPr="007F5204" w:rsidRDefault="00BD500B" w:rsidP="00BD500B">
      <w:pPr>
        <w:pStyle w:val="Caption"/>
        <w:keepNext/>
        <w:rPr>
          <w:rFonts w:cs="Arial"/>
        </w:rPr>
      </w:pPr>
      <w:r w:rsidRPr="00E95640">
        <w:rPr>
          <w:rFonts w:cs="Arial"/>
        </w:rPr>
        <w:t xml:space="preserve">Table </w:t>
      </w:r>
      <w:r w:rsidRPr="00E95640">
        <w:rPr>
          <w:rFonts w:cs="Arial"/>
        </w:rPr>
        <w:fldChar w:fldCharType="begin"/>
      </w:r>
      <w:r w:rsidRPr="007F5204">
        <w:rPr>
          <w:rFonts w:cs="Arial"/>
        </w:rPr>
        <w:instrText xml:space="preserve"> SEQ Table \* ARABIC </w:instrText>
      </w:r>
      <w:r w:rsidRPr="00E95640">
        <w:rPr>
          <w:rFonts w:cs="Arial"/>
        </w:rPr>
        <w:fldChar w:fldCharType="separate"/>
      </w:r>
      <w:r w:rsidR="00D57A02">
        <w:rPr>
          <w:rFonts w:cs="Arial"/>
          <w:noProof/>
        </w:rPr>
        <w:t>1</w:t>
      </w:r>
      <w:r w:rsidRPr="00E95640">
        <w:rPr>
          <w:rFonts w:cs="Arial"/>
        </w:rPr>
        <w:fldChar w:fldCharType="end"/>
      </w:r>
      <w:r w:rsidRPr="00E95640">
        <w:rPr>
          <w:rFonts w:cs="Arial"/>
        </w:rPr>
        <w:t xml:space="preserve">: Forecasted revenue and expenditure for the next </w:t>
      </w:r>
      <w:r w:rsidR="00041C6B" w:rsidRPr="007F5204">
        <w:rPr>
          <w:rFonts w:cs="Arial"/>
        </w:rPr>
        <w:t xml:space="preserve">three </w:t>
      </w:r>
      <w:r w:rsidRPr="007F5204">
        <w:rPr>
          <w:rFonts w:cs="Arial"/>
        </w:rPr>
        <w:t>financial years without a fee adjustment</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9"/>
        <w:gridCol w:w="1658"/>
        <w:gridCol w:w="1658"/>
        <w:gridCol w:w="1992"/>
        <w:gridCol w:w="1992"/>
      </w:tblGrid>
      <w:tr w:rsidR="00705AA5" w:rsidRPr="00BA1ED2" w14:paraId="5086A751" w14:textId="77777777" w:rsidTr="007F5204">
        <w:trPr>
          <w:trHeight w:val="546"/>
        </w:trPr>
        <w:tc>
          <w:tcPr>
            <w:tcW w:w="1879" w:type="dxa"/>
          </w:tcPr>
          <w:p w14:paraId="6E50972E" w14:textId="77777777" w:rsidR="00705AA5" w:rsidRPr="007F5204" w:rsidRDefault="00705AA5" w:rsidP="00BD500B">
            <w:pPr>
              <w:jc w:val="center"/>
              <w:rPr>
                <w:rFonts w:cs="Arial"/>
                <w:b/>
              </w:rPr>
            </w:pPr>
          </w:p>
        </w:tc>
        <w:tc>
          <w:tcPr>
            <w:tcW w:w="1658" w:type="dxa"/>
          </w:tcPr>
          <w:p w14:paraId="24C4BEDE" w14:textId="77777777" w:rsidR="00705AA5" w:rsidRPr="00E95640" w:rsidRDefault="00705AA5" w:rsidP="0070739F">
            <w:pPr>
              <w:rPr>
                <w:rFonts w:cs="Arial"/>
                <w:b/>
              </w:rPr>
            </w:pPr>
            <w:r w:rsidRPr="007F5204">
              <w:rPr>
                <w:rFonts w:cs="Arial"/>
                <w:b/>
              </w:rPr>
              <w:t>Base</w:t>
            </w:r>
            <w:r w:rsidR="00293F78" w:rsidRPr="00E95640">
              <w:rPr>
                <w:rStyle w:val="FootnoteReference"/>
                <w:rFonts w:cs="Arial"/>
                <w:b/>
              </w:rPr>
              <w:footnoteReference w:id="2"/>
            </w:r>
            <w:r w:rsidRPr="00E95640">
              <w:rPr>
                <w:rFonts w:cs="Arial"/>
                <w:b/>
              </w:rPr>
              <w:t xml:space="preserve"> </w:t>
            </w:r>
          </w:p>
        </w:tc>
        <w:tc>
          <w:tcPr>
            <w:tcW w:w="1658" w:type="dxa"/>
          </w:tcPr>
          <w:p w14:paraId="2FBE1301" w14:textId="77777777" w:rsidR="00705AA5" w:rsidRPr="007F5204" w:rsidRDefault="00705AA5" w:rsidP="0070739F">
            <w:pPr>
              <w:rPr>
                <w:rFonts w:cs="Arial"/>
                <w:b/>
              </w:rPr>
            </w:pPr>
            <w:r w:rsidRPr="007F5204">
              <w:rPr>
                <w:rFonts w:cs="Arial"/>
                <w:b/>
              </w:rPr>
              <w:t>FY2020</w:t>
            </w:r>
          </w:p>
        </w:tc>
        <w:tc>
          <w:tcPr>
            <w:tcW w:w="1992" w:type="dxa"/>
          </w:tcPr>
          <w:p w14:paraId="29EBD239" w14:textId="59E94C4E" w:rsidR="00705AA5" w:rsidRPr="007F5204" w:rsidRDefault="00705AA5" w:rsidP="0070739F">
            <w:pPr>
              <w:rPr>
                <w:rFonts w:cs="Arial"/>
                <w:b/>
              </w:rPr>
            </w:pPr>
            <w:r w:rsidRPr="007F5204">
              <w:rPr>
                <w:rFonts w:cs="Arial"/>
                <w:b/>
              </w:rPr>
              <w:t>FY2021</w:t>
            </w:r>
          </w:p>
        </w:tc>
        <w:tc>
          <w:tcPr>
            <w:tcW w:w="1992" w:type="dxa"/>
          </w:tcPr>
          <w:p w14:paraId="56ECABC6" w14:textId="66211FBB" w:rsidR="00705AA5" w:rsidRPr="007F5204" w:rsidRDefault="00705AA5" w:rsidP="0070739F">
            <w:pPr>
              <w:rPr>
                <w:rFonts w:cs="Arial"/>
                <w:b/>
              </w:rPr>
            </w:pPr>
            <w:r w:rsidRPr="007F5204">
              <w:rPr>
                <w:rFonts w:cs="Arial"/>
                <w:b/>
              </w:rPr>
              <w:t>FY2022</w:t>
            </w:r>
          </w:p>
        </w:tc>
      </w:tr>
      <w:tr w:rsidR="00705AA5" w:rsidRPr="00BA1ED2" w14:paraId="5DF3B4BC" w14:textId="77777777" w:rsidTr="007F5204">
        <w:trPr>
          <w:trHeight w:val="546"/>
        </w:trPr>
        <w:tc>
          <w:tcPr>
            <w:tcW w:w="1879" w:type="dxa"/>
          </w:tcPr>
          <w:p w14:paraId="58CDA6D7" w14:textId="77777777" w:rsidR="00705AA5" w:rsidRPr="00E95640" w:rsidRDefault="00705AA5" w:rsidP="0070739F">
            <w:pPr>
              <w:rPr>
                <w:rFonts w:cs="Arial"/>
                <w:b/>
              </w:rPr>
            </w:pPr>
            <w:r w:rsidRPr="00E95640">
              <w:rPr>
                <w:rFonts w:cs="Arial"/>
                <w:b/>
              </w:rPr>
              <w:t>Income</w:t>
            </w:r>
          </w:p>
        </w:tc>
        <w:tc>
          <w:tcPr>
            <w:tcW w:w="1658" w:type="dxa"/>
            <w:shd w:val="clear" w:color="auto" w:fill="auto"/>
          </w:tcPr>
          <w:p w14:paraId="64866CD5" w14:textId="77777777" w:rsidR="00705AA5" w:rsidRPr="007F5204" w:rsidRDefault="00705AA5" w:rsidP="0070739F">
            <w:pPr>
              <w:rPr>
                <w:rFonts w:cs="Arial"/>
                <w:b/>
              </w:rPr>
            </w:pPr>
            <w:r w:rsidRPr="007F5204">
              <w:rPr>
                <w:rFonts w:cs="Arial"/>
                <w:b/>
              </w:rPr>
              <w:t>$1,139,645</w:t>
            </w:r>
          </w:p>
        </w:tc>
        <w:tc>
          <w:tcPr>
            <w:tcW w:w="1658" w:type="dxa"/>
            <w:shd w:val="clear" w:color="auto" w:fill="auto"/>
          </w:tcPr>
          <w:p w14:paraId="140A0258" w14:textId="77777777" w:rsidR="00705AA5" w:rsidRPr="007F5204" w:rsidRDefault="00705AA5" w:rsidP="0070739F">
            <w:pPr>
              <w:rPr>
                <w:rFonts w:cs="Arial"/>
                <w:b/>
              </w:rPr>
            </w:pPr>
            <w:r w:rsidRPr="007F5204">
              <w:rPr>
                <w:rFonts w:cs="Arial"/>
                <w:b/>
              </w:rPr>
              <w:t>$1,242,858</w:t>
            </w:r>
          </w:p>
        </w:tc>
        <w:tc>
          <w:tcPr>
            <w:tcW w:w="1992" w:type="dxa"/>
            <w:shd w:val="clear" w:color="auto" w:fill="auto"/>
          </w:tcPr>
          <w:p w14:paraId="5F08B113" w14:textId="77777777" w:rsidR="00705AA5" w:rsidRPr="007F5204" w:rsidRDefault="00705AA5" w:rsidP="0070739F">
            <w:pPr>
              <w:rPr>
                <w:rFonts w:cs="Arial"/>
                <w:b/>
              </w:rPr>
            </w:pPr>
            <w:r w:rsidRPr="007F5204">
              <w:rPr>
                <w:rFonts w:cs="Arial"/>
                <w:b/>
              </w:rPr>
              <w:t>$1,242,858</w:t>
            </w:r>
          </w:p>
        </w:tc>
        <w:tc>
          <w:tcPr>
            <w:tcW w:w="1992" w:type="dxa"/>
            <w:shd w:val="clear" w:color="auto" w:fill="auto"/>
          </w:tcPr>
          <w:p w14:paraId="6B7E0E33" w14:textId="77777777" w:rsidR="00705AA5" w:rsidRPr="007F5204" w:rsidRDefault="00705AA5" w:rsidP="0070739F">
            <w:pPr>
              <w:rPr>
                <w:rFonts w:cs="Arial"/>
                <w:b/>
              </w:rPr>
            </w:pPr>
            <w:r w:rsidRPr="007F5204">
              <w:rPr>
                <w:rFonts w:cs="Arial"/>
                <w:b/>
              </w:rPr>
              <w:t>$1,242,858</w:t>
            </w:r>
          </w:p>
        </w:tc>
      </w:tr>
      <w:tr w:rsidR="00705AA5" w:rsidRPr="00BA1ED2" w14:paraId="39696B0F" w14:textId="77777777" w:rsidTr="007F5204">
        <w:trPr>
          <w:trHeight w:val="546"/>
        </w:trPr>
        <w:tc>
          <w:tcPr>
            <w:tcW w:w="1879" w:type="dxa"/>
          </w:tcPr>
          <w:p w14:paraId="69697406" w14:textId="77777777" w:rsidR="00705AA5" w:rsidRPr="00E95640" w:rsidRDefault="00705AA5" w:rsidP="0070739F">
            <w:pPr>
              <w:rPr>
                <w:rFonts w:cs="Arial"/>
                <w:b/>
              </w:rPr>
            </w:pPr>
            <w:r w:rsidRPr="00E95640">
              <w:rPr>
                <w:rFonts w:cs="Arial"/>
                <w:b/>
              </w:rPr>
              <w:t xml:space="preserve">Expenditure </w:t>
            </w:r>
          </w:p>
        </w:tc>
        <w:tc>
          <w:tcPr>
            <w:tcW w:w="1658" w:type="dxa"/>
          </w:tcPr>
          <w:p w14:paraId="0D950152" w14:textId="77777777" w:rsidR="00705AA5" w:rsidRPr="007F5204" w:rsidRDefault="00705AA5" w:rsidP="0070739F">
            <w:pPr>
              <w:rPr>
                <w:rFonts w:cs="Arial"/>
                <w:b/>
              </w:rPr>
            </w:pPr>
            <w:r w:rsidRPr="007F5204">
              <w:rPr>
                <w:rFonts w:cs="Arial"/>
                <w:b/>
              </w:rPr>
              <w:t>($1,359,723)</w:t>
            </w:r>
          </w:p>
        </w:tc>
        <w:tc>
          <w:tcPr>
            <w:tcW w:w="1658" w:type="dxa"/>
          </w:tcPr>
          <w:p w14:paraId="286052EC" w14:textId="77777777" w:rsidR="00705AA5" w:rsidRPr="007F5204" w:rsidRDefault="00705AA5" w:rsidP="0070739F">
            <w:pPr>
              <w:rPr>
                <w:rFonts w:cs="Arial"/>
                <w:b/>
              </w:rPr>
            </w:pPr>
            <w:r w:rsidRPr="007F5204">
              <w:rPr>
                <w:rFonts w:cs="Arial"/>
                <w:b/>
              </w:rPr>
              <w:t>($1,496,678)</w:t>
            </w:r>
          </w:p>
        </w:tc>
        <w:tc>
          <w:tcPr>
            <w:tcW w:w="1992" w:type="dxa"/>
          </w:tcPr>
          <w:p w14:paraId="125A010D" w14:textId="77777777" w:rsidR="00705AA5" w:rsidRPr="007F5204" w:rsidRDefault="00705AA5" w:rsidP="0070739F">
            <w:pPr>
              <w:rPr>
                <w:rFonts w:cs="Arial"/>
                <w:b/>
              </w:rPr>
            </w:pPr>
            <w:r w:rsidRPr="007F5204">
              <w:rPr>
                <w:rFonts w:cs="Arial"/>
                <w:b/>
              </w:rPr>
              <w:t>($1,519,426)</w:t>
            </w:r>
          </w:p>
        </w:tc>
        <w:tc>
          <w:tcPr>
            <w:tcW w:w="1992" w:type="dxa"/>
          </w:tcPr>
          <w:p w14:paraId="21E716FB" w14:textId="77777777" w:rsidR="00705AA5" w:rsidRPr="007F5204" w:rsidRDefault="00705AA5" w:rsidP="0070739F">
            <w:pPr>
              <w:rPr>
                <w:rFonts w:cs="Arial"/>
                <w:b/>
              </w:rPr>
            </w:pPr>
            <w:r w:rsidRPr="007F5204">
              <w:rPr>
                <w:rFonts w:cs="Arial"/>
                <w:b/>
              </w:rPr>
              <w:t>($1,531,994)</w:t>
            </w:r>
          </w:p>
        </w:tc>
      </w:tr>
      <w:tr w:rsidR="00705AA5" w:rsidRPr="00BA1ED2" w14:paraId="188A814B" w14:textId="77777777" w:rsidTr="007F5204">
        <w:trPr>
          <w:trHeight w:val="1134"/>
        </w:trPr>
        <w:tc>
          <w:tcPr>
            <w:tcW w:w="1879" w:type="dxa"/>
          </w:tcPr>
          <w:p w14:paraId="1C3CEA0E" w14:textId="77777777" w:rsidR="00705AA5" w:rsidRPr="007F5204" w:rsidRDefault="00705AA5" w:rsidP="0070739F">
            <w:pPr>
              <w:rPr>
                <w:rFonts w:cs="Arial"/>
                <w:b/>
              </w:rPr>
            </w:pPr>
            <w:r w:rsidRPr="00E95640">
              <w:rPr>
                <w:rFonts w:cs="Arial"/>
                <w:b/>
              </w:rPr>
              <w:t xml:space="preserve">Annual surplus </w:t>
            </w:r>
            <w:r w:rsidRPr="007F5204">
              <w:rPr>
                <w:rFonts w:cs="Arial"/>
                <w:b/>
              </w:rPr>
              <w:t>(deficit)</w:t>
            </w:r>
          </w:p>
        </w:tc>
        <w:tc>
          <w:tcPr>
            <w:tcW w:w="1658" w:type="dxa"/>
          </w:tcPr>
          <w:p w14:paraId="67EBD920" w14:textId="77777777" w:rsidR="00705AA5" w:rsidRPr="007F5204" w:rsidRDefault="00705AA5" w:rsidP="0070739F">
            <w:pPr>
              <w:rPr>
                <w:rFonts w:cs="Arial"/>
                <w:b/>
              </w:rPr>
            </w:pPr>
            <w:r w:rsidRPr="007F5204">
              <w:rPr>
                <w:rFonts w:cs="Arial"/>
                <w:b/>
              </w:rPr>
              <w:t>($220,077)</w:t>
            </w:r>
          </w:p>
        </w:tc>
        <w:tc>
          <w:tcPr>
            <w:tcW w:w="1658" w:type="dxa"/>
          </w:tcPr>
          <w:p w14:paraId="5DF589BF" w14:textId="77777777" w:rsidR="00705AA5" w:rsidRPr="007F5204" w:rsidRDefault="00705AA5" w:rsidP="0070739F">
            <w:pPr>
              <w:rPr>
                <w:rFonts w:cs="Arial"/>
                <w:b/>
              </w:rPr>
            </w:pPr>
            <w:r w:rsidRPr="007F5204">
              <w:rPr>
                <w:rFonts w:cs="Arial"/>
                <w:b/>
              </w:rPr>
              <w:t>($253,819)</w:t>
            </w:r>
          </w:p>
        </w:tc>
        <w:tc>
          <w:tcPr>
            <w:tcW w:w="1992" w:type="dxa"/>
          </w:tcPr>
          <w:p w14:paraId="2FB25E85" w14:textId="77777777" w:rsidR="00705AA5" w:rsidRPr="007F5204" w:rsidRDefault="00705AA5" w:rsidP="0070739F">
            <w:pPr>
              <w:rPr>
                <w:rFonts w:cs="Arial"/>
                <w:b/>
              </w:rPr>
            </w:pPr>
            <w:r w:rsidRPr="007F5204">
              <w:rPr>
                <w:rFonts w:cs="Arial"/>
                <w:b/>
              </w:rPr>
              <w:t>($276,568)</w:t>
            </w:r>
          </w:p>
        </w:tc>
        <w:tc>
          <w:tcPr>
            <w:tcW w:w="1992" w:type="dxa"/>
          </w:tcPr>
          <w:p w14:paraId="68E0F100" w14:textId="77777777" w:rsidR="00705AA5" w:rsidRPr="007F5204" w:rsidRDefault="00705AA5" w:rsidP="0070739F">
            <w:pPr>
              <w:rPr>
                <w:rFonts w:cs="Arial"/>
                <w:b/>
              </w:rPr>
            </w:pPr>
            <w:r w:rsidRPr="007F5204">
              <w:rPr>
                <w:rFonts w:cs="Arial"/>
                <w:b/>
              </w:rPr>
              <w:t>($289,135)</w:t>
            </w:r>
          </w:p>
        </w:tc>
      </w:tr>
      <w:tr w:rsidR="00705AA5" w:rsidRPr="00BA1ED2" w14:paraId="7E35B9D6" w14:textId="77777777" w:rsidTr="007F5204">
        <w:trPr>
          <w:trHeight w:val="1134"/>
        </w:trPr>
        <w:tc>
          <w:tcPr>
            <w:tcW w:w="1879" w:type="dxa"/>
          </w:tcPr>
          <w:p w14:paraId="148ECA21" w14:textId="77777777" w:rsidR="00705AA5" w:rsidRPr="007F5204" w:rsidRDefault="00705AA5" w:rsidP="0070739F">
            <w:pPr>
              <w:rPr>
                <w:rFonts w:cs="Arial"/>
                <w:b/>
              </w:rPr>
            </w:pPr>
            <w:r w:rsidRPr="00E95640">
              <w:rPr>
                <w:rFonts w:cs="Arial"/>
                <w:b/>
              </w:rPr>
              <w:t>Memorandum account balance</w:t>
            </w:r>
          </w:p>
        </w:tc>
        <w:tc>
          <w:tcPr>
            <w:tcW w:w="1658" w:type="dxa"/>
          </w:tcPr>
          <w:p w14:paraId="44ED0A16" w14:textId="77777777" w:rsidR="00705AA5" w:rsidRPr="007F5204" w:rsidRDefault="00705AA5" w:rsidP="0070739F">
            <w:pPr>
              <w:rPr>
                <w:rFonts w:cs="Arial"/>
                <w:b/>
              </w:rPr>
            </w:pPr>
          </w:p>
        </w:tc>
        <w:tc>
          <w:tcPr>
            <w:tcW w:w="1658" w:type="dxa"/>
          </w:tcPr>
          <w:p w14:paraId="54A8CD60" w14:textId="77777777" w:rsidR="00705AA5" w:rsidRPr="007F5204" w:rsidRDefault="00705AA5" w:rsidP="0070739F">
            <w:pPr>
              <w:rPr>
                <w:rFonts w:cs="Arial"/>
                <w:b/>
              </w:rPr>
            </w:pPr>
            <w:r w:rsidRPr="007F5204">
              <w:rPr>
                <w:rFonts w:cs="Arial"/>
                <w:b/>
              </w:rPr>
              <w:t>($358,677)</w:t>
            </w:r>
          </w:p>
        </w:tc>
        <w:tc>
          <w:tcPr>
            <w:tcW w:w="1992" w:type="dxa"/>
          </w:tcPr>
          <w:p w14:paraId="6ADBBE7A" w14:textId="77777777" w:rsidR="00705AA5" w:rsidRPr="007F5204" w:rsidRDefault="00705AA5" w:rsidP="0070739F">
            <w:pPr>
              <w:rPr>
                <w:rFonts w:cs="Arial"/>
                <w:b/>
              </w:rPr>
            </w:pPr>
            <w:r w:rsidRPr="007F5204">
              <w:rPr>
                <w:rFonts w:cs="Arial"/>
                <w:b/>
              </w:rPr>
              <w:t>($635,244)</w:t>
            </w:r>
          </w:p>
        </w:tc>
        <w:tc>
          <w:tcPr>
            <w:tcW w:w="1992" w:type="dxa"/>
          </w:tcPr>
          <w:p w14:paraId="0B275006" w14:textId="77777777" w:rsidR="00705AA5" w:rsidRPr="007F5204" w:rsidRDefault="00705AA5" w:rsidP="0070739F">
            <w:pPr>
              <w:rPr>
                <w:rFonts w:cs="Arial"/>
                <w:b/>
              </w:rPr>
            </w:pPr>
            <w:r w:rsidRPr="007F5204">
              <w:rPr>
                <w:rFonts w:cs="Arial"/>
                <w:b/>
              </w:rPr>
              <w:t>($924,380)</w:t>
            </w:r>
          </w:p>
        </w:tc>
      </w:tr>
    </w:tbl>
    <w:p w14:paraId="6E2747C4" w14:textId="77777777" w:rsidR="0042580C" w:rsidRPr="00E95640" w:rsidRDefault="0042580C" w:rsidP="00911F30">
      <w:pPr>
        <w:spacing w:before="60" w:after="120"/>
        <w:rPr>
          <w:rFonts w:cs="Arial"/>
          <w:b/>
          <w:highlight w:val="yellow"/>
        </w:rPr>
      </w:pPr>
    </w:p>
    <w:p w14:paraId="73F9224F" w14:textId="0EFCA436" w:rsidR="00BD500B" w:rsidRPr="007F5204" w:rsidRDefault="00AE3854" w:rsidP="00BD500B">
      <w:pPr>
        <w:pStyle w:val="Caption"/>
        <w:keepNext/>
        <w:rPr>
          <w:rFonts w:cs="Arial"/>
        </w:rPr>
      </w:pPr>
      <w:r>
        <w:rPr>
          <w:rFonts w:cs="Arial"/>
        </w:rPr>
        <w:br w:type="page"/>
      </w:r>
      <w:r w:rsidR="00BD500B" w:rsidRPr="00E95640">
        <w:rPr>
          <w:rFonts w:cs="Arial"/>
        </w:rPr>
        <w:lastRenderedPageBreak/>
        <w:t xml:space="preserve">Table </w:t>
      </w:r>
      <w:r w:rsidR="00BD500B" w:rsidRPr="00E95640">
        <w:rPr>
          <w:rFonts w:cs="Arial"/>
        </w:rPr>
        <w:fldChar w:fldCharType="begin"/>
      </w:r>
      <w:r w:rsidR="00BD500B" w:rsidRPr="007F5204">
        <w:rPr>
          <w:rFonts w:cs="Arial"/>
        </w:rPr>
        <w:instrText xml:space="preserve"> SEQ Table \* ARABIC </w:instrText>
      </w:r>
      <w:r w:rsidR="00BD500B" w:rsidRPr="00E95640">
        <w:rPr>
          <w:rFonts w:cs="Arial"/>
        </w:rPr>
        <w:fldChar w:fldCharType="separate"/>
      </w:r>
      <w:r w:rsidR="00D57A02">
        <w:rPr>
          <w:rFonts w:cs="Arial"/>
          <w:noProof/>
        </w:rPr>
        <w:t>2</w:t>
      </w:r>
      <w:r w:rsidR="00BD500B" w:rsidRPr="00E95640">
        <w:rPr>
          <w:rFonts w:cs="Arial"/>
        </w:rPr>
        <w:fldChar w:fldCharType="end"/>
      </w:r>
      <w:r w:rsidR="00BD500B" w:rsidRPr="00E95640">
        <w:rPr>
          <w:rFonts w:cs="Arial"/>
        </w:rPr>
        <w:t xml:space="preserve">: Forecasted revenue and expenditure for the next </w:t>
      </w:r>
      <w:r w:rsidR="00041C6B" w:rsidRPr="007F5204">
        <w:rPr>
          <w:rFonts w:cs="Arial"/>
        </w:rPr>
        <w:t xml:space="preserve">three </w:t>
      </w:r>
      <w:r w:rsidR="00BD500B" w:rsidRPr="007F5204">
        <w:rPr>
          <w:rFonts w:cs="Arial"/>
        </w:rPr>
        <w:t>financial years with the Department’s proposed fee adjustment</w:t>
      </w:r>
    </w:p>
    <w:tbl>
      <w:tblPr>
        <w:tblW w:w="9138" w:type="dxa"/>
        <w:tblLook w:val="0000" w:firstRow="0" w:lastRow="0" w:firstColumn="0" w:lastColumn="0" w:noHBand="0" w:noVBand="0"/>
      </w:tblPr>
      <w:tblGrid>
        <w:gridCol w:w="1967"/>
        <w:gridCol w:w="1832"/>
        <w:gridCol w:w="1835"/>
        <w:gridCol w:w="1835"/>
        <w:gridCol w:w="1669"/>
      </w:tblGrid>
      <w:tr w:rsidR="00705AA5" w:rsidRPr="00BA1ED2" w14:paraId="187789EE" w14:textId="77777777" w:rsidTr="007F5204">
        <w:trPr>
          <w:trHeight w:val="586"/>
        </w:trPr>
        <w:tc>
          <w:tcPr>
            <w:tcW w:w="1967" w:type="dxa"/>
            <w:tcBorders>
              <w:top w:val="single" w:sz="4" w:space="0" w:color="auto"/>
              <w:left w:val="single" w:sz="4" w:space="0" w:color="auto"/>
              <w:bottom w:val="single" w:sz="4" w:space="0" w:color="auto"/>
              <w:right w:val="single" w:sz="4" w:space="0" w:color="auto"/>
            </w:tcBorders>
          </w:tcPr>
          <w:p w14:paraId="37A6377F" w14:textId="77777777" w:rsidR="00705AA5" w:rsidRPr="007F5204" w:rsidRDefault="00705AA5" w:rsidP="0070739F">
            <w:pPr>
              <w:rPr>
                <w:rFonts w:cs="Arial"/>
                <w:b/>
              </w:rPr>
            </w:pPr>
            <w:bookmarkStart w:id="62" w:name="_Hlk9002142"/>
          </w:p>
        </w:tc>
        <w:tc>
          <w:tcPr>
            <w:tcW w:w="1832" w:type="dxa"/>
            <w:tcBorders>
              <w:top w:val="single" w:sz="4" w:space="0" w:color="auto"/>
              <w:left w:val="single" w:sz="4" w:space="0" w:color="auto"/>
              <w:bottom w:val="single" w:sz="4" w:space="0" w:color="auto"/>
              <w:right w:val="single" w:sz="4" w:space="0" w:color="auto"/>
            </w:tcBorders>
          </w:tcPr>
          <w:p w14:paraId="7EABD448" w14:textId="77777777" w:rsidR="00705AA5" w:rsidRPr="007F5204" w:rsidRDefault="00705AA5" w:rsidP="0070739F">
            <w:pPr>
              <w:rPr>
                <w:rFonts w:cs="Arial"/>
                <w:b/>
              </w:rPr>
            </w:pPr>
            <w:r w:rsidRPr="007F5204">
              <w:rPr>
                <w:rFonts w:cs="Arial"/>
                <w:b/>
              </w:rPr>
              <w:t xml:space="preserve">Base </w:t>
            </w:r>
          </w:p>
        </w:tc>
        <w:tc>
          <w:tcPr>
            <w:tcW w:w="1835" w:type="dxa"/>
            <w:tcBorders>
              <w:top w:val="single" w:sz="4" w:space="0" w:color="auto"/>
              <w:left w:val="single" w:sz="4" w:space="0" w:color="auto"/>
              <w:bottom w:val="single" w:sz="4" w:space="0" w:color="auto"/>
              <w:right w:val="single" w:sz="4" w:space="0" w:color="auto"/>
            </w:tcBorders>
          </w:tcPr>
          <w:p w14:paraId="20FBC37F" w14:textId="77777777" w:rsidR="00705AA5" w:rsidRPr="007F5204" w:rsidRDefault="00705AA5" w:rsidP="0070739F">
            <w:pPr>
              <w:rPr>
                <w:rFonts w:cs="Arial"/>
                <w:b/>
              </w:rPr>
            </w:pPr>
            <w:r w:rsidRPr="007F5204">
              <w:rPr>
                <w:rFonts w:cs="Arial"/>
                <w:b/>
              </w:rPr>
              <w:t>FY2020</w:t>
            </w:r>
          </w:p>
        </w:tc>
        <w:tc>
          <w:tcPr>
            <w:tcW w:w="1835" w:type="dxa"/>
            <w:tcBorders>
              <w:top w:val="single" w:sz="4" w:space="0" w:color="auto"/>
              <w:left w:val="single" w:sz="4" w:space="0" w:color="auto"/>
              <w:bottom w:val="single" w:sz="4" w:space="0" w:color="auto"/>
              <w:right w:val="single" w:sz="4" w:space="0" w:color="auto"/>
            </w:tcBorders>
          </w:tcPr>
          <w:p w14:paraId="7587A3FE" w14:textId="77777777" w:rsidR="00705AA5" w:rsidRPr="007F5204" w:rsidRDefault="00705AA5" w:rsidP="0070739F">
            <w:pPr>
              <w:rPr>
                <w:rFonts w:cs="Arial"/>
                <w:b/>
              </w:rPr>
            </w:pPr>
            <w:r w:rsidRPr="007F5204">
              <w:rPr>
                <w:rFonts w:cs="Arial"/>
                <w:b/>
              </w:rPr>
              <w:t>FY2021</w:t>
            </w:r>
          </w:p>
        </w:tc>
        <w:tc>
          <w:tcPr>
            <w:tcW w:w="1669" w:type="dxa"/>
            <w:tcBorders>
              <w:top w:val="single" w:sz="4" w:space="0" w:color="auto"/>
              <w:left w:val="single" w:sz="4" w:space="0" w:color="auto"/>
              <w:bottom w:val="single" w:sz="4" w:space="0" w:color="auto"/>
              <w:right w:val="single" w:sz="4" w:space="0" w:color="auto"/>
            </w:tcBorders>
          </w:tcPr>
          <w:p w14:paraId="6FAB44B3" w14:textId="77777777" w:rsidR="00705AA5" w:rsidRPr="007F5204" w:rsidRDefault="00705AA5" w:rsidP="0070739F">
            <w:pPr>
              <w:rPr>
                <w:rFonts w:cs="Arial"/>
                <w:b/>
              </w:rPr>
            </w:pPr>
            <w:r w:rsidRPr="007F5204">
              <w:rPr>
                <w:rFonts w:cs="Arial"/>
                <w:b/>
              </w:rPr>
              <w:t>FY2022</w:t>
            </w:r>
          </w:p>
        </w:tc>
      </w:tr>
      <w:tr w:rsidR="00705AA5" w:rsidRPr="00BA1ED2" w14:paraId="0A57757A" w14:textId="77777777" w:rsidTr="007F5204">
        <w:trPr>
          <w:trHeight w:val="586"/>
        </w:trPr>
        <w:tc>
          <w:tcPr>
            <w:tcW w:w="1967" w:type="dxa"/>
            <w:tcBorders>
              <w:top w:val="single" w:sz="4" w:space="0" w:color="auto"/>
              <w:left w:val="single" w:sz="4" w:space="0" w:color="auto"/>
              <w:bottom w:val="single" w:sz="4" w:space="0" w:color="auto"/>
              <w:right w:val="single" w:sz="4" w:space="0" w:color="auto"/>
            </w:tcBorders>
          </w:tcPr>
          <w:p w14:paraId="3CF32F86" w14:textId="77777777" w:rsidR="00705AA5" w:rsidRPr="00E95640" w:rsidRDefault="00705AA5" w:rsidP="0070739F">
            <w:pPr>
              <w:rPr>
                <w:rFonts w:cs="Arial"/>
                <w:b/>
              </w:rPr>
            </w:pPr>
            <w:r w:rsidRPr="00E95640">
              <w:rPr>
                <w:rFonts w:cs="Arial"/>
                <w:b/>
              </w:rPr>
              <w:t>Income</w:t>
            </w:r>
          </w:p>
        </w:tc>
        <w:tc>
          <w:tcPr>
            <w:tcW w:w="1832" w:type="dxa"/>
            <w:tcBorders>
              <w:top w:val="single" w:sz="4" w:space="0" w:color="auto"/>
              <w:left w:val="single" w:sz="4" w:space="0" w:color="auto"/>
              <w:bottom w:val="single" w:sz="4" w:space="0" w:color="auto"/>
              <w:right w:val="single" w:sz="4" w:space="0" w:color="auto"/>
            </w:tcBorders>
          </w:tcPr>
          <w:p w14:paraId="58730D22" w14:textId="77777777" w:rsidR="00705AA5" w:rsidRPr="007F5204" w:rsidRDefault="00705AA5" w:rsidP="0070739F">
            <w:pPr>
              <w:rPr>
                <w:rFonts w:cs="Arial"/>
                <w:b/>
              </w:rPr>
            </w:pPr>
            <w:r w:rsidRPr="007F5204">
              <w:rPr>
                <w:rFonts w:cs="Arial"/>
                <w:b/>
              </w:rPr>
              <w:t>$1,139,645</w:t>
            </w:r>
          </w:p>
        </w:tc>
        <w:tc>
          <w:tcPr>
            <w:tcW w:w="1835" w:type="dxa"/>
            <w:tcBorders>
              <w:top w:val="single" w:sz="4" w:space="0" w:color="auto"/>
              <w:left w:val="single" w:sz="4" w:space="0" w:color="auto"/>
              <w:bottom w:val="single" w:sz="4" w:space="0" w:color="auto"/>
              <w:right w:val="single" w:sz="4" w:space="0" w:color="auto"/>
            </w:tcBorders>
          </w:tcPr>
          <w:p w14:paraId="50CBA8F1" w14:textId="77777777" w:rsidR="00705AA5" w:rsidRPr="007F5204" w:rsidRDefault="00705AA5" w:rsidP="0070739F">
            <w:pPr>
              <w:rPr>
                <w:rFonts w:cs="Arial"/>
                <w:b/>
              </w:rPr>
            </w:pPr>
            <w:r w:rsidRPr="007F5204">
              <w:rPr>
                <w:rFonts w:cs="Arial"/>
                <w:b/>
              </w:rPr>
              <w:t>$1,424,381</w:t>
            </w:r>
          </w:p>
        </w:tc>
        <w:tc>
          <w:tcPr>
            <w:tcW w:w="1835" w:type="dxa"/>
            <w:tcBorders>
              <w:top w:val="single" w:sz="4" w:space="0" w:color="auto"/>
              <w:left w:val="single" w:sz="4" w:space="0" w:color="auto"/>
              <w:bottom w:val="single" w:sz="4" w:space="0" w:color="auto"/>
              <w:right w:val="single" w:sz="4" w:space="0" w:color="auto"/>
            </w:tcBorders>
          </w:tcPr>
          <w:p w14:paraId="301D0C5B" w14:textId="77777777" w:rsidR="00705AA5" w:rsidRPr="007F5204" w:rsidRDefault="00705AA5" w:rsidP="0070739F">
            <w:pPr>
              <w:rPr>
                <w:rFonts w:cs="Arial"/>
                <w:b/>
              </w:rPr>
            </w:pPr>
            <w:r w:rsidRPr="007F5204">
              <w:rPr>
                <w:rFonts w:cs="Arial"/>
                <w:b/>
              </w:rPr>
              <w:t>$1,431,605</w:t>
            </w:r>
          </w:p>
        </w:tc>
        <w:tc>
          <w:tcPr>
            <w:tcW w:w="1669" w:type="dxa"/>
            <w:tcBorders>
              <w:top w:val="single" w:sz="4" w:space="0" w:color="auto"/>
              <w:left w:val="single" w:sz="4" w:space="0" w:color="auto"/>
              <w:bottom w:val="single" w:sz="4" w:space="0" w:color="auto"/>
              <w:right w:val="single" w:sz="4" w:space="0" w:color="auto"/>
            </w:tcBorders>
          </w:tcPr>
          <w:p w14:paraId="656FBAA0" w14:textId="77777777" w:rsidR="00705AA5" w:rsidRPr="007F5204" w:rsidRDefault="00705AA5" w:rsidP="0070739F">
            <w:pPr>
              <w:rPr>
                <w:rFonts w:cs="Arial"/>
                <w:b/>
              </w:rPr>
            </w:pPr>
            <w:r w:rsidRPr="007F5204">
              <w:rPr>
                <w:rFonts w:cs="Arial"/>
                <w:b/>
              </w:rPr>
              <w:t>$1,435,682</w:t>
            </w:r>
          </w:p>
        </w:tc>
      </w:tr>
      <w:tr w:rsidR="00705AA5" w:rsidRPr="00BA1ED2" w14:paraId="044F0D6B" w14:textId="77777777" w:rsidTr="007F5204">
        <w:trPr>
          <w:trHeight w:val="586"/>
        </w:trPr>
        <w:tc>
          <w:tcPr>
            <w:tcW w:w="1967" w:type="dxa"/>
            <w:tcBorders>
              <w:top w:val="single" w:sz="4" w:space="0" w:color="auto"/>
              <w:left w:val="single" w:sz="4" w:space="0" w:color="auto"/>
              <w:bottom w:val="single" w:sz="4" w:space="0" w:color="auto"/>
              <w:right w:val="single" w:sz="4" w:space="0" w:color="auto"/>
            </w:tcBorders>
          </w:tcPr>
          <w:p w14:paraId="58428BA1" w14:textId="77777777" w:rsidR="00705AA5" w:rsidRPr="00E95640" w:rsidRDefault="00705AA5" w:rsidP="0070739F">
            <w:pPr>
              <w:rPr>
                <w:rFonts w:cs="Arial"/>
                <w:b/>
              </w:rPr>
            </w:pPr>
            <w:r w:rsidRPr="00E95640">
              <w:rPr>
                <w:rFonts w:cs="Arial"/>
                <w:b/>
              </w:rPr>
              <w:t xml:space="preserve">Expenditure </w:t>
            </w:r>
          </w:p>
        </w:tc>
        <w:tc>
          <w:tcPr>
            <w:tcW w:w="1832" w:type="dxa"/>
            <w:tcBorders>
              <w:top w:val="single" w:sz="4" w:space="0" w:color="auto"/>
              <w:left w:val="single" w:sz="4" w:space="0" w:color="auto"/>
              <w:bottom w:val="single" w:sz="4" w:space="0" w:color="auto"/>
              <w:right w:val="single" w:sz="4" w:space="0" w:color="auto"/>
            </w:tcBorders>
          </w:tcPr>
          <w:p w14:paraId="0BF3962E" w14:textId="77777777" w:rsidR="00705AA5" w:rsidRPr="007F5204" w:rsidRDefault="00705AA5" w:rsidP="0070739F">
            <w:pPr>
              <w:rPr>
                <w:rFonts w:cs="Arial"/>
                <w:b/>
              </w:rPr>
            </w:pPr>
            <w:r w:rsidRPr="007F5204">
              <w:rPr>
                <w:rFonts w:cs="Arial"/>
                <w:b/>
              </w:rPr>
              <w:t>$1,359,723</w:t>
            </w:r>
          </w:p>
        </w:tc>
        <w:tc>
          <w:tcPr>
            <w:tcW w:w="1835" w:type="dxa"/>
            <w:tcBorders>
              <w:top w:val="single" w:sz="4" w:space="0" w:color="auto"/>
              <w:left w:val="single" w:sz="4" w:space="0" w:color="auto"/>
              <w:bottom w:val="single" w:sz="4" w:space="0" w:color="auto"/>
              <w:right w:val="single" w:sz="4" w:space="0" w:color="auto"/>
            </w:tcBorders>
          </w:tcPr>
          <w:p w14:paraId="1AD50B66" w14:textId="77777777" w:rsidR="00705AA5" w:rsidRPr="007F5204" w:rsidRDefault="00705AA5" w:rsidP="0070739F">
            <w:pPr>
              <w:rPr>
                <w:rFonts w:cs="Arial"/>
                <w:b/>
              </w:rPr>
            </w:pPr>
            <w:r w:rsidRPr="007F5204">
              <w:rPr>
                <w:rFonts w:cs="Arial"/>
                <w:b/>
              </w:rPr>
              <w:t>$1,496,678</w:t>
            </w:r>
          </w:p>
        </w:tc>
        <w:tc>
          <w:tcPr>
            <w:tcW w:w="1835" w:type="dxa"/>
            <w:tcBorders>
              <w:top w:val="single" w:sz="4" w:space="0" w:color="auto"/>
              <w:left w:val="single" w:sz="4" w:space="0" w:color="auto"/>
              <w:bottom w:val="single" w:sz="4" w:space="0" w:color="auto"/>
              <w:right w:val="single" w:sz="4" w:space="0" w:color="auto"/>
            </w:tcBorders>
          </w:tcPr>
          <w:p w14:paraId="7A2313BB" w14:textId="77777777" w:rsidR="00705AA5" w:rsidRPr="007F5204" w:rsidRDefault="00705AA5" w:rsidP="0070739F">
            <w:pPr>
              <w:rPr>
                <w:rFonts w:cs="Arial"/>
                <w:b/>
              </w:rPr>
            </w:pPr>
            <w:r w:rsidRPr="007F5204">
              <w:rPr>
                <w:rFonts w:cs="Arial"/>
                <w:b/>
              </w:rPr>
              <w:t>$1,519,426</w:t>
            </w:r>
          </w:p>
        </w:tc>
        <w:tc>
          <w:tcPr>
            <w:tcW w:w="1669" w:type="dxa"/>
            <w:tcBorders>
              <w:top w:val="single" w:sz="4" w:space="0" w:color="auto"/>
              <w:left w:val="single" w:sz="4" w:space="0" w:color="auto"/>
              <w:bottom w:val="single" w:sz="4" w:space="0" w:color="auto"/>
              <w:right w:val="single" w:sz="4" w:space="0" w:color="auto"/>
            </w:tcBorders>
          </w:tcPr>
          <w:p w14:paraId="2EB8D84F" w14:textId="77777777" w:rsidR="00705AA5" w:rsidRPr="007F5204" w:rsidRDefault="00705AA5" w:rsidP="0070739F">
            <w:pPr>
              <w:rPr>
                <w:rFonts w:cs="Arial"/>
                <w:b/>
              </w:rPr>
            </w:pPr>
            <w:r w:rsidRPr="007F5204">
              <w:rPr>
                <w:rFonts w:cs="Arial"/>
                <w:b/>
              </w:rPr>
              <w:t>$1,531,994</w:t>
            </w:r>
          </w:p>
        </w:tc>
      </w:tr>
      <w:tr w:rsidR="00705AA5" w:rsidRPr="00BA1ED2" w14:paraId="64DB45AD" w14:textId="77777777" w:rsidTr="007F5204">
        <w:trPr>
          <w:trHeight w:val="1217"/>
        </w:trPr>
        <w:tc>
          <w:tcPr>
            <w:tcW w:w="1967" w:type="dxa"/>
            <w:tcBorders>
              <w:top w:val="single" w:sz="4" w:space="0" w:color="auto"/>
              <w:left w:val="single" w:sz="4" w:space="0" w:color="auto"/>
              <w:bottom w:val="single" w:sz="4" w:space="0" w:color="auto"/>
              <w:right w:val="single" w:sz="4" w:space="0" w:color="auto"/>
            </w:tcBorders>
          </w:tcPr>
          <w:p w14:paraId="67C2769E" w14:textId="77777777" w:rsidR="00705AA5" w:rsidRPr="007F5204" w:rsidRDefault="00705AA5" w:rsidP="0070739F">
            <w:pPr>
              <w:rPr>
                <w:rFonts w:cs="Arial"/>
                <w:b/>
              </w:rPr>
            </w:pPr>
            <w:r w:rsidRPr="00E95640">
              <w:rPr>
                <w:rFonts w:cs="Arial"/>
                <w:b/>
              </w:rPr>
              <w:t>Annual surplus (deficit)</w:t>
            </w:r>
          </w:p>
        </w:tc>
        <w:tc>
          <w:tcPr>
            <w:tcW w:w="1832" w:type="dxa"/>
            <w:tcBorders>
              <w:top w:val="single" w:sz="4" w:space="0" w:color="auto"/>
              <w:left w:val="single" w:sz="4" w:space="0" w:color="auto"/>
              <w:bottom w:val="single" w:sz="4" w:space="0" w:color="auto"/>
              <w:right w:val="single" w:sz="4" w:space="0" w:color="auto"/>
            </w:tcBorders>
          </w:tcPr>
          <w:p w14:paraId="2A4D86CF" w14:textId="77777777" w:rsidR="00705AA5" w:rsidRPr="007F5204" w:rsidRDefault="00705AA5" w:rsidP="0070739F">
            <w:pPr>
              <w:rPr>
                <w:rFonts w:cs="Arial"/>
                <w:b/>
              </w:rPr>
            </w:pPr>
            <w:r w:rsidRPr="007F5204">
              <w:rPr>
                <w:rFonts w:cs="Arial"/>
                <w:b/>
              </w:rPr>
              <w:t>($220,077)</w:t>
            </w:r>
          </w:p>
        </w:tc>
        <w:tc>
          <w:tcPr>
            <w:tcW w:w="1835" w:type="dxa"/>
            <w:tcBorders>
              <w:top w:val="single" w:sz="4" w:space="0" w:color="auto"/>
              <w:left w:val="single" w:sz="4" w:space="0" w:color="auto"/>
              <w:bottom w:val="single" w:sz="4" w:space="0" w:color="auto"/>
              <w:right w:val="single" w:sz="4" w:space="0" w:color="auto"/>
            </w:tcBorders>
          </w:tcPr>
          <w:p w14:paraId="7B396CE4" w14:textId="77777777" w:rsidR="00705AA5" w:rsidRPr="007F5204" w:rsidRDefault="00705AA5" w:rsidP="0070739F">
            <w:pPr>
              <w:rPr>
                <w:rFonts w:cs="Arial"/>
                <w:b/>
              </w:rPr>
            </w:pPr>
            <w:r w:rsidRPr="007F5204">
              <w:rPr>
                <w:rFonts w:cs="Arial"/>
                <w:b/>
              </w:rPr>
              <w:t>($72,297)</w:t>
            </w:r>
          </w:p>
        </w:tc>
        <w:tc>
          <w:tcPr>
            <w:tcW w:w="1835" w:type="dxa"/>
            <w:tcBorders>
              <w:top w:val="single" w:sz="4" w:space="0" w:color="auto"/>
              <w:left w:val="single" w:sz="4" w:space="0" w:color="auto"/>
              <w:bottom w:val="single" w:sz="4" w:space="0" w:color="auto"/>
              <w:right w:val="single" w:sz="4" w:space="0" w:color="auto"/>
            </w:tcBorders>
          </w:tcPr>
          <w:p w14:paraId="651361C9" w14:textId="77777777" w:rsidR="00705AA5" w:rsidRPr="007F5204" w:rsidRDefault="00705AA5" w:rsidP="0070739F">
            <w:pPr>
              <w:rPr>
                <w:rFonts w:cs="Arial"/>
                <w:b/>
              </w:rPr>
            </w:pPr>
            <w:r w:rsidRPr="007F5204">
              <w:rPr>
                <w:rFonts w:cs="Arial"/>
                <w:b/>
              </w:rPr>
              <w:t>($87,821)</w:t>
            </w:r>
          </w:p>
        </w:tc>
        <w:tc>
          <w:tcPr>
            <w:tcW w:w="1669" w:type="dxa"/>
            <w:tcBorders>
              <w:top w:val="single" w:sz="4" w:space="0" w:color="auto"/>
              <w:left w:val="single" w:sz="4" w:space="0" w:color="auto"/>
              <w:bottom w:val="single" w:sz="4" w:space="0" w:color="auto"/>
              <w:right w:val="single" w:sz="4" w:space="0" w:color="auto"/>
            </w:tcBorders>
          </w:tcPr>
          <w:p w14:paraId="339B38B5" w14:textId="77777777" w:rsidR="00705AA5" w:rsidRPr="007F5204" w:rsidRDefault="00705AA5" w:rsidP="0070739F">
            <w:pPr>
              <w:rPr>
                <w:rFonts w:cs="Arial"/>
                <w:b/>
              </w:rPr>
            </w:pPr>
            <w:r w:rsidRPr="007F5204">
              <w:rPr>
                <w:rFonts w:cs="Arial"/>
                <w:b/>
              </w:rPr>
              <w:t>($96,312)</w:t>
            </w:r>
          </w:p>
        </w:tc>
      </w:tr>
      <w:tr w:rsidR="00705AA5" w:rsidRPr="00BA1ED2" w14:paraId="499E2788" w14:textId="77777777" w:rsidTr="007F5204">
        <w:trPr>
          <w:trHeight w:val="1217"/>
        </w:trPr>
        <w:tc>
          <w:tcPr>
            <w:tcW w:w="1967" w:type="dxa"/>
            <w:tcBorders>
              <w:top w:val="single" w:sz="4" w:space="0" w:color="auto"/>
              <w:left w:val="single" w:sz="4" w:space="0" w:color="auto"/>
              <w:bottom w:val="single" w:sz="4" w:space="0" w:color="auto"/>
              <w:right w:val="single" w:sz="4" w:space="0" w:color="auto"/>
            </w:tcBorders>
          </w:tcPr>
          <w:p w14:paraId="4B0CFA74" w14:textId="77777777" w:rsidR="00705AA5" w:rsidRPr="007F5204" w:rsidRDefault="00705AA5" w:rsidP="0070739F">
            <w:pPr>
              <w:rPr>
                <w:rFonts w:cs="Arial"/>
                <w:b/>
              </w:rPr>
            </w:pPr>
            <w:r w:rsidRPr="00E95640">
              <w:rPr>
                <w:rFonts w:cs="Arial"/>
                <w:b/>
              </w:rPr>
              <w:t>Memorandum account balance</w:t>
            </w:r>
          </w:p>
        </w:tc>
        <w:tc>
          <w:tcPr>
            <w:tcW w:w="1832" w:type="dxa"/>
            <w:tcBorders>
              <w:top w:val="single" w:sz="4" w:space="0" w:color="auto"/>
              <w:left w:val="single" w:sz="4" w:space="0" w:color="auto"/>
              <w:bottom w:val="single" w:sz="4" w:space="0" w:color="auto"/>
              <w:right w:val="single" w:sz="4" w:space="0" w:color="auto"/>
            </w:tcBorders>
          </w:tcPr>
          <w:p w14:paraId="4BF1109A" w14:textId="77777777" w:rsidR="00705AA5" w:rsidRPr="007F5204" w:rsidRDefault="00705AA5" w:rsidP="0070739F">
            <w:pPr>
              <w:rPr>
                <w:rFonts w:cs="Arial"/>
                <w:b/>
                <w:highlight w:val="yellow"/>
              </w:rPr>
            </w:pPr>
          </w:p>
        </w:tc>
        <w:tc>
          <w:tcPr>
            <w:tcW w:w="1835" w:type="dxa"/>
            <w:tcBorders>
              <w:top w:val="single" w:sz="4" w:space="0" w:color="auto"/>
              <w:left w:val="single" w:sz="4" w:space="0" w:color="auto"/>
              <w:bottom w:val="single" w:sz="4" w:space="0" w:color="auto"/>
              <w:right w:val="single" w:sz="4" w:space="0" w:color="auto"/>
            </w:tcBorders>
          </w:tcPr>
          <w:p w14:paraId="7A16C353" w14:textId="77777777" w:rsidR="00705AA5" w:rsidRPr="007F5204" w:rsidRDefault="00705AA5" w:rsidP="0070739F">
            <w:pPr>
              <w:rPr>
                <w:rFonts w:cs="Arial"/>
                <w:b/>
              </w:rPr>
            </w:pPr>
            <w:r w:rsidRPr="007F5204">
              <w:rPr>
                <w:rFonts w:cs="Arial"/>
                <w:b/>
              </w:rPr>
              <w:t>($177,154)</w:t>
            </w:r>
          </w:p>
        </w:tc>
        <w:tc>
          <w:tcPr>
            <w:tcW w:w="1835" w:type="dxa"/>
            <w:tcBorders>
              <w:top w:val="single" w:sz="4" w:space="0" w:color="auto"/>
              <w:left w:val="single" w:sz="4" w:space="0" w:color="auto"/>
              <w:bottom w:val="single" w:sz="4" w:space="0" w:color="auto"/>
              <w:right w:val="single" w:sz="4" w:space="0" w:color="auto"/>
            </w:tcBorders>
          </w:tcPr>
          <w:p w14:paraId="5650501F" w14:textId="77777777" w:rsidR="00705AA5" w:rsidRPr="007F5204" w:rsidRDefault="00705AA5" w:rsidP="0070739F">
            <w:pPr>
              <w:rPr>
                <w:rFonts w:cs="Arial"/>
                <w:b/>
              </w:rPr>
            </w:pPr>
            <w:r w:rsidRPr="007F5204">
              <w:rPr>
                <w:rFonts w:cs="Arial"/>
                <w:b/>
              </w:rPr>
              <w:t>($264,975)</w:t>
            </w:r>
          </w:p>
        </w:tc>
        <w:tc>
          <w:tcPr>
            <w:tcW w:w="1669" w:type="dxa"/>
            <w:tcBorders>
              <w:top w:val="single" w:sz="4" w:space="0" w:color="auto"/>
              <w:left w:val="single" w:sz="4" w:space="0" w:color="auto"/>
              <w:bottom w:val="single" w:sz="4" w:space="0" w:color="auto"/>
              <w:right w:val="single" w:sz="4" w:space="0" w:color="auto"/>
            </w:tcBorders>
          </w:tcPr>
          <w:p w14:paraId="621E9099" w14:textId="77777777" w:rsidR="00705AA5" w:rsidRPr="007F5204" w:rsidRDefault="00705AA5" w:rsidP="0070739F">
            <w:pPr>
              <w:rPr>
                <w:rFonts w:cs="Arial"/>
                <w:b/>
              </w:rPr>
            </w:pPr>
            <w:r w:rsidRPr="007F5204">
              <w:rPr>
                <w:rFonts w:cs="Arial"/>
                <w:b/>
              </w:rPr>
              <w:t>($361,286)</w:t>
            </w:r>
          </w:p>
        </w:tc>
      </w:tr>
      <w:bookmarkEnd w:id="62"/>
    </w:tbl>
    <w:p w14:paraId="535F601A" w14:textId="77777777" w:rsidR="00705AA5" w:rsidRPr="00E95640" w:rsidRDefault="00705AA5" w:rsidP="00C472E1">
      <w:pPr>
        <w:rPr>
          <w:rFonts w:cs="Arial"/>
        </w:rPr>
      </w:pPr>
    </w:p>
    <w:p w14:paraId="0CF69B2B" w14:textId="77777777" w:rsidR="00705AA5" w:rsidRPr="007F5204" w:rsidRDefault="00705AA5" w:rsidP="007F5204">
      <w:pPr>
        <w:keepNext/>
        <w:rPr>
          <w:rFonts w:cs="Arial"/>
        </w:rPr>
      </w:pPr>
      <w:r w:rsidRPr="00E95640">
        <w:rPr>
          <w:rFonts w:cs="Arial"/>
        </w:rPr>
        <w:t xml:space="preserve">Figure 1 shows the memorandum account balance over the </w:t>
      </w:r>
      <w:r w:rsidR="00BD74A5" w:rsidRPr="007F5204">
        <w:rPr>
          <w:rFonts w:cs="Arial"/>
        </w:rPr>
        <w:t>next three financial years with, and without, the proposed fee increase</w:t>
      </w:r>
      <w:r w:rsidR="00AB4D38" w:rsidRPr="007F5204">
        <w:rPr>
          <w:rFonts w:cs="Arial"/>
        </w:rPr>
        <w:t>s</w:t>
      </w:r>
      <w:r w:rsidR="00BD74A5" w:rsidRPr="007F5204">
        <w:rPr>
          <w:rFonts w:cs="Arial"/>
        </w:rPr>
        <w:t>.</w:t>
      </w:r>
    </w:p>
    <w:p w14:paraId="6BAB6C4D" w14:textId="77777777" w:rsidR="00041C6B" w:rsidRPr="00E95640" w:rsidRDefault="00CB71E2" w:rsidP="007F5204">
      <w:pPr>
        <w:spacing w:before="240"/>
        <w:rPr>
          <w:rFonts w:cs="Arial"/>
        </w:rPr>
      </w:pPr>
      <w:r>
        <w:rPr>
          <w:rFonts w:cs="Arial"/>
        </w:rPr>
        <w:pict w14:anchorId="47B64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275.15pt;mso-position-horizontal-relative:char;mso-position-vertical-relative:line">
            <v:imagedata r:id="rId13" o:title=""/>
          </v:shape>
        </w:pict>
      </w:r>
    </w:p>
    <w:p w14:paraId="051ECFF6" w14:textId="09AC1AB7" w:rsidR="00DB7655" w:rsidRPr="007F5204" w:rsidRDefault="00DB7655" w:rsidP="007F5204">
      <w:pPr>
        <w:spacing w:before="240"/>
        <w:rPr>
          <w:rFonts w:cs="Arial"/>
        </w:rPr>
      </w:pPr>
      <w:r w:rsidRPr="007F5204">
        <w:rPr>
          <w:rFonts w:cs="Arial"/>
        </w:rPr>
        <w:t xml:space="preserve">The costs </w:t>
      </w:r>
      <w:r w:rsidR="00A3202F" w:rsidRPr="007F5204">
        <w:rPr>
          <w:rFonts w:cs="Arial"/>
        </w:rPr>
        <w:t>to the Crown of administering the boating facilities include direct costs such as</w:t>
      </w:r>
      <w:r w:rsidR="003E379F" w:rsidRPr="007F5204">
        <w:rPr>
          <w:rFonts w:cs="Arial"/>
        </w:rPr>
        <w:t xml:space="preserve"> </w:t>
      </w:r>
      <w:r w:rsidR="00475C2D" w:rsidRPr="007F5204">
        <w:rPr>
          <w:rFonts w:cs="Arial"/>
        </w:rPr>
        <w:t>personnel costs</w:t>
      </w:r>
      <w:r w:rsidR="00A3202F" w:rsidRPr="007F5204">
        <w:rPr>
          <w:rFonts w:cs="Arial"/>
        </w:rPr>
        <w:t xml:space="preserve"> (</w:t>
      </w:r>
      <w:r w:rsidR="00475C2D" w:rsidRPr="007F5204">
        <w:rPr>
          <w:rFonts w:cs="Arial"/>
        </w:rPr>
        <w:t>staff salaries an</w:t>
      </w:r>
      <w:r w:rsidR="0055727D">
        <w:rPr>
          <w:rFonts w:cs="Arial"/>
        </w:rPr>
        <w:t>d</w:t>
      </w:r>
      <w:r w:rsidR="00475C2D" w:rsidRPr="007F5204">
        <w:rPr>
          <w:rFonts w:cs="Arial"/>
        </w:rPr>
        <w:t xml:space="preserve"> </w:t>
      </w:r>
      <w:r w:rsidR="00A3202F" w:rsidRPr="007F5204">
        <w:rPr>
          <w:rFonts w:cs="Arial"/>
        </w:rPr>
        <w:t xml:space="preserve">on-costs, such as training, </w:t>
      </w:r>
      <w:r w:rsidR="00185836" w:rsidRPr="007F5204">
        <w:rPr>
          <w:rFonts w:cs="Arial"/>
        </w:rPr>
        <w:t xml:space="preserve">and </w:t>
      </w:r>
      <w:r w:rsidR="00A3202F" w:rsidRPr="007F5204">
        <w:rPr>
          <w:rFonts w:cs="Arial"/>
        </w:rPr>
        <w:t>superannuation)</w:t>
      </w:r>
      <w:r w:rsidR="00D674DA" w:rsidRPr="007F5204">
        <w:rPr>
          <w:rFonts w:cs="Arial"/>
        </w:rPr>
        <w:t>,</w:t>
      </w:r>
      <w:r w:rsidR="00A3202F" w:rsidRPr="007F5204">
        <w:rPr>
          <w:rFonts w:cs="Arial"/>
        </w:rPr>
        <w:t xml:space="preserve"> operating costs including telecommunications and computer costs, and indirect costs such as accommodation costs for the Lake Taupō Harbourmaster team. The cost of undertak</w:t>
      </w:r>
      <w:r w:rsidR="002B0B6B" w:rsidRPr="007F5204">
        <w:rPr>
          <w:rFonts w:cs="Arial"/>
        </w:rPr>
        <w:t xml:space="preserve">ing </w:t>
      </w:r>
      <w:r w:rsidR="00A3202F" w:rsidRPr="007F5204">
        <w:rPr>
          <w:rFonts w:cs="Arial"/>
        </w:rPr>
        <w:t xml:space="preserve">general maintenance of the boating </w:t>
      </w:r>
      <w:r w:rsidR="0002562D" w:rsidRPr="007F5204">
        <w:rPr>
          <w:rFonts w:cs="Arial"/>
        </w:rPr>
        <w:t>facilities</w:t>
      </w:r>
      <w:r w:rsidR="00705AA5" w:rsidRPr="007F5204">
        <w:rPr>
          <w:rFonts w:cs="Arial"/>
        </w:rPr>
        <w:t xml:space="preserve">, </w:t>
      </w:r>
      <w:r w:rsidR="00F5382B" w:rsidRPr="007F5204">
        <w:rPr>
          <w:rFonts w:cs="Arial"/>
        </w:rPr>
        <w:t xml:space="preserve">including </w:t>
      </w:r>
      <w:r w:rsidR="00705AA5" w:rsidRPr="007F5204">
        <w:rPr>
          <w:rFonts w:cs="Arial"/>
        </w:rPr>
        <w:t>materials and consultants time,</w:t>
      </w:r>
      <w:r w:rsidR="0002562D" w:rsidRPr="007F5204">
        <w:rPr>
          <w:rFonts w:cs="Arial"/>
        </w:rPr>
        <w:t xml:space="preserve"> makes up a significant proportion of the costs</w:t>
      </w:r>
      <w:r w:rsidR="00D674DA" w:rsidRPr="007F5204">
        <w:rPr>
          <w:rFonts w:cs="Arial"/>
        </w:rPr>
        <w:t xml:space="preserve">. </w:t>
      </w:r>
    </w:p>
    <w:p w14:paraId="0A1CC1C0" w14:textId="77777777" w:rsidR="00B64C09" w:rsidRPr="007F5204" w:rsidRDefault="00B64C09" w:rsidP="00C472E1">
      <w:pPr>
        <w:rPr>
          <w:rFonts w:cs="Arial"/>
        </w:rPr>
      </w:pPr>
      <w:r w:rsidRPr="007F5204">
        <w:rPr>
          <w:rFonts w:cs="Arial"/>
        </w:rPr>
        <w:lastRenderedPageBreak/>
        <w:t xml:space="preserve">The main drivers of the fee increase are depreciation on Motuoapa marina and general inflation. </w:t>
      </w:r>
    </w:p>
    <w:p w14:paraId="0C418AC4" w14:textId="3E115193" w:rsidR="00213BF4" w:rsidRPr="007F5204" w:rsidRDefault="00B96417" w:rsidP="00213BF4">
      <w:pPr>
        <w:rPr>
          <w:rFonts w:cs="Arial"/>
        </w:rPr>
      </w:pPr>
      <w:r w:rsidRPr="007F5204">
        <w:rPr>
          <w:rFonts w:cs="Arial"/>
        </w:rPr>
        <w:t xml:space="preserve">Should expenses increase by more than inflation, demand drop, or large expenditure arise that has not been </w:t>
      </w:r>
      <w:r w:rsidR="00744A42" w:rsidRPr="007F5204">
        <w:rPr>
          <w:rFonts w:cs="Arial"/>
        </w:rPr>
        <w:t>allowed for</w:t>
      </w:r>
      <w:r w:rsidR="00F5382B" w:rsidRPr="007F5204">
        <w:rPr>
          <w:rFonts w:cs="Arial"/>
        </w:rPr>
        <w:t>,</w:t>
      </w:r>
      <w:r w:rsidR="00744A42" w:rsidRPr="007F5204">
        <w:rPr>
          <w:rFonts w:cs="Arial"/>
        </w:rPr>
        <w:t xml:space="preserve"> the Department’s </w:t>
      </w:r>
      <w:r w:rsidR="00057695" w:rsidRPr="007F5204">
        <w:rPr>
          <w:rFonts w:cs="Arial"/>
        </w:rPr>
        <w:t xml:space="preserve">assumptions for balancing the memorandum account </w:t>
      </w:r>
      <w:r w:rsidR="00F5382B" w:rsidRPr="007F5204">
        <w:rPr>
          <w:rFonts w:cs="Arial"/>
        </w:rPr>
        <w:t xml:space="preserve">over ten years </w:t>
      </w:r>
      <w:r w:rsidR="00A57418" w:rsidRPr="007F5204">
        <w:rPr>
          <w:rFonts w:cs="Arial"/>
        </w:rPr>
        <w:t>will not</w:t>
      </w:r>
      <w:r w:rsidR="00057695" w:rsidRPr="007F5204">
        <w:rPr>
          <w:rFonts w:cs="Arial"/>
        </w:rPr>
        <w:t xml:space="preserve"> hold. These factors </w:t>
      </w:r>
      <w:r w:rsidR="00F5382B" w:rsidRPr="007F5204">
        <w:rPr>
          <w:rFonts w:cs="Arial"/>
        </w:rPr>
        <w:t>will</w:t>
      </w:r>
      <w:r w:rsidR="00057695" w:rsidRPr="007F5204">
        <w:rPr>
          <w:rFonts w:cs="Arial"/>
        </w:rPr>
        <w:t xml:space="preserve"> determine the fee increase that is necessary in three years’ time.</w:t>
      </w:r>
      <w:r w:rsidRPr="007F5204">
        <w:rPr>
          <w:rFonts w:cs="Arial"/>
        </w:rPr>
        <w:t xml:space="preserve"> </w:t>
      </w:r>
      <w:r w:rsidR="009D0008">
        <w:rPr>
          <w:rFonts w:cs="Arial"/>
        </w:rPr>
        <w:t>Conversely, if occupancy at Motuoapa marina increases over the period less of a fee increase will be required.</w:t>
      </w:r>
    </w:p>
    <w:p w14:paraId="306D0925" w14:textId="2A6BC35E" w:rsidR="00FF3DAD" w:rsidRPr="007F5204" w:rsidRDefault="001B1DD2" w:rsidP="00C472E1">
      <w:pPr>
        <w:rPr>
          <w:rFonts w:cs="Arial"/>
        </w:rPr>
      </w:pPr>
      <w:r>
        <w:rPr>
          <w:rFonts w:cs="Arial"/>
        </w:rPr>
        <w:t>Our forecast for b</w:t>
      </w:r>
      <w:r w:rsidR="00FF3DAD" w:rsidRPr="007F5204">
        <w:rPr>
          <w:rFonts w:cs="Arial"/>
        </w:rPr>
        <w:t>alancing the memorandum account over the ten-year period requires fees for Nukuhau and Tokaanu marinas to rise to the same rate as Taupō and Motuoapa marinas wi</w:t>
      </w:r>
      <w:r w:rsidR="00200345" w:rsidRPr="007F5204">
        <w:rPr>
          <w:rFonts w:cs="Arial"/>
        </w:rPr>
        <w:t xml:space="preserve">thin two to </w:t>
      </w:r>
      <w:r w:rsidR="00FF3DAD" w:rsidRPr="007F5204">
        <w:rPr>
          <w:rFonts w:cs="Arial"/>
        </w:rPr>
        <w:t xml:space="preserve">three years. Should the Department be unable to secure funding </w:t>
      </w:r>
      <w:r w:rsidR="00200345" w:rsidRPr="007F5204">
        <w:rPr>
          <w:rFonts w:cs="Arial"/>
        </w:rPr>
        <w:t>for the dredging and remedial work neede</w:t>
      </w:r>
      <w:r w:rsidR="00381E21" w:rsidRPr="007F5204">
        <w:rPr>
          <w:rFonts w:cs="Arial"/>
        </w:rPr>
        <w:t>d</w:t>
      </w:r>
      <w:r w:rsidR="00744A42" w:rsidRPr="007F5204">
        <w:rPr>
          <w:rFonts w:cs="Arial"/>
        </w:rPr>
        <w:t>,</w:t>
      </w:r>
      <w:r w:rsidR="00381E21" w:rsidRPr="007F5204">
        <w:rPr>
          <w:rFonts w:cs="Arial"/>
        </w:rPr>
        <w:t xml:space="preserve"> </w:t>
      </w:r>
      <w:r w:rsidR="00BD500B" w:rsidRPr="007F5204">
        <w:rPr>
          <w:rFonts w:cs="Arial"/>
        </w:rPr>
        <w:t>other options to balance the memorandum account will need to be looked at.</w:t>
      </w:r>
      <w:r w:rsidR="00031559" w:rsidRPr="007F5204">
        <w:rPr>
          <w:rFonts w:cs="Arial"/>
        </w:rPr>
        <w:t xml:space="preserve"> This justifies the decision to review the fees again in 2022, rather than setting a further increase now, because the future condition of, and fees for, Nukuhau and Tokaanu marinas will influence the future fees of other boating facilities. </w:t>
      </w:r>
    </w:p>
    <w:p w14:paraId="62048BB5" w14:textId="2B68CF5B" w:rsidR="00E22D1F" w:rsidRPr="007F5204" w:rsidRDefault="00E22D1F" w:rsidP="00C472E1">
      <w:pPr>
        <w:rPr>
          <w:rFonts w:cs="Arial"/>
        </w:rPr>
      </w:pPr>
      <w:r w:rsidRPr="007F5204">
        <w:rPr>
          <w:rFonts w:cs="Arial"/>
        </w:rPr>
        <w:t>The Department does not consider</w:t>
      </w:r>
      <w:r w:rsidR="00213BF4" w:rsidRPr="007F5204">
        <w:rPr>
          <w:rFonts w:cs="Arial"/>
        </w:rPr>
        <w:t xml:space="preserve"> that</w:t>
      </w:r>
      <w:r w:rsidRPr="007F5204">
        <w:rPr>
          <w:rFonts w:cs="Arial"/>
        </w:rPr>
        <w:t xml:space="preserve"> cutting expenditure or decreasing the service level provided are viable options</w:t>
      </w:r>
      <w:r w:rsidR="002F7F5C" w:rsidRPr="007F5204">
        <w:rPr>
          <w:rFonts w:cs="Arial"/>
        </w:rPr>
        <w:t xml:space="preserve">. Decreased expenditure would not allow the Department to maintain the Crown’s assets to an appropriate standard as identified in its Asset Management Plan. </w:t>
      </w:r>
      <w:r w:rsidR="00A57418" w:rsidRPr="007F5204">
        <w:rPr>
          <w:rFonts w:cs="Arial"/>
        </w:rPr>
        <w:t>U</w:t>
      </w:r>
      <w:r w:rsidR="002F7F5C" w:rsidRPr="007F5204">
        <w:rPr>
          <w:rFonts w:cs="Arial"/>
        </w:rPr>
        <w:t>sers</w:t>
      </w:r>
      <w:r w:rsidR="00A57418" w:rsidRPr="007F5204">
        <w:rPr>
          <w:rFonts w:cs="Arial"/>
        </w:rPr>
        <w:t xml:space="preserve"> </w:t>
      </w:r>
      <w:r w:rsidR="002F7F5C" w:rsidRPr="007F5204">
        <w:rPr>
          <w:rFonts w:cs="Arial"/>
        </w:rPr>
        <w:t xml:space="preserve">of the boating facilities </w:t>
      </w:r>
      <w:r w:rsidR="00A57418" w:rsidRPr="007F5204">
        <w:rPr>
          <w:rFonts w:cs="Arial"/>
        </w:rPr>
        <w:t xml:space="preserve">have indicated </w:t>
      </w:r>
      <w:r w:rsidR="002F7F5C" w:rsidRPr="007F5204">
        <w:rPr>
          <w:rFonts w:cs="Arial"/>
        </w:rPr>
        <w:t xml:space="preserve">through the fees review </w:t>
      </w:r>
      <w:r w:rsidR="00A57418" w:rsidRPr="007F5204">
        <w:rPr>
          <w:rFonts w:cs="Arial"/>
        </w:rPr>
        <w:t xml:space="preserve">consultation </w:t>
      </w:r>
      <w:r w:rsidR="002F7F5C" w:rsidRPr="007F5204">
        <w:rPr>
          <w:rFonts w:cs="Arial"/>
        </w:rPr>
        <w:t xml:space="preserve">and customer satisfaction surveys </w:t>
      </w:r>
      <w:r w:rsidR="00A57418" w:rsidRPr="007F5204">
        <w:rPr>
          <w:rFonts w:cs="Arial"/>
        </w:rPr>
        <w:t xml:space="preserve">that </w:t>
      </w:r>
      <w:r w:rsidR="002F7F5C" w:rsidRPr="007F5204">
        <w:rPr>
          <w:rFonts w:cs="Arial"/>
        </w:rPr>
        <w:t xml:space="preserve">they want an increase in service rather than a decrease. </w:t>
      </w:r>
    </w:p>
    <w:p w14:paraId="63709297" w14:textId="77777777" w:rsidR="008D5CD9" w:rsidRPr="007F5204" w:rsidRDefault="00433954" w:rsidP="0088541D">
      <w:pPr>
        <w:pStyle w:val="Heading2"/>
        <w:rPr>
          <w:rFonts w:cs="Arial"/>
        </w:rPr>
      </w:pPr>
      <w:r w:rsidRPr="007F5204">
        <w:rPr>
          <w:rFonts w:cs="Arial"/>
        </w:rPr>
        <w:t>I</w:t>
      </w:r>
      <w:r w:rsidR="008D5CD9" w:rsidRPr="007F5204">
        <w:rPr>
          <w:rFonts w:cs="Arial"/>
        </w:rPr>
        <w:t>mpact analysis</w:t>
      </w:r>
      <w:bookmarkEnd w:id="50"/>
      <w:bookmarkEnd w:id="51"/>
      <w:bookmarkEnd w:id="52"/>
      <w:bookmarkEnd w:id="53"/>
      <w:bookmarkEnd w:id="54"/>
      <w:bookmarkEnd w:id="55"/>
      <w:bookmarkEnd w:id="56"/>
      <w:bookmarkEnd w:id="57"/>
      <w:bookmarkEnd w:id="58"/>
      <w:bookmarkEnd w:id="59"/>
      <w:bookmarkEnd w:id="60"/>
      <w:r w:rsidR="008D5CD9" w:rsidRPr="007F5204">
        <w:rPr>
          <w:rFonts w:cs="Arial"/>
        </w:rPr>
        <w:t xml:space="preserve"> </w:t>
      </w:r>
    </w:p>
    <w:p w14:paraId="70B4A403" w14:textId="0D844A0D" w:rsidR="002B0B6B" w:rsidRPr="007F5204" w:rsidRDefault="00600DE9" w:rsidP="002B0B6B">
      <w:pPr>
        <w:rPr>
          <w:rFonts w:cs="Arial"/>
        </w:rPr>
      </w:pPr>
      <w:bookmarkStart w:id="63" w:name="_Hlk11147010"/>
      <w:r>
        <w:rPr>
          <w:rFonts w:cs="Arial"/>
        </w:rPr>
        <w:t xml:space="preserve">The fee increase will </w:t>
      </w:r>
      <w:r w:rsidRPr="002421E4">
        <w:rPr>
          <w:rFonts w:cs="Arial"/>
        </w:rPr>
        <w:t xml:space="preserve">initially affect </w:t>
      </w:r>
      <w:r w:rsidR="002027BF" w:rsidRPr="007F5204">
        <w:rPr>
          <w:rFonts w:cs="Arial"/>
        </w:rPr>
        <w:t>2</w:t>
      </w:r>
      <w:r w:rsidR="00783DA4" w:rsidRPr="007F5204">
        <w:rPr>
          <w:rFonts w:cs="Arial"/>
        </w:rPr>
        <w:t>3</w:t>
      </w:r>
      <w:r w:rsidR="0055727D">
        <w:rPr>
          <w:rFonts w:cs="Arial"/>
        </w:rPr>
        <w:t>3</w:t>
      </w:r>
      <w:r w:rsidR="002027BF" w:rsidRPr="007F5204">
        <w:rPr>
          <w:rFonts w:cs="Arial"/>
        </w:rPr>
        <w:t xml:space="preserve"> berths across the </w:t>
      </w:r>
      <w:r w:rsidR="000E6BC9" w:rsidRPr="007F5204">
        <w:rPr>
          <w:rFonts w:cs="Arial"/>
        </w:rPr>
        <w:t xml:space="preserve">two </w:t>
      </w:r>
      <w:r w:rsidR="002027BF" w:rsidRPr="007F5204">
        <w:rPr>
          <w:rFonts w:cs="Arial"/>
        </w:rPr>
        <w:t>Crown marinas</w:t>
      </w:r>
      <w:r w:rsidR="00381E98">
        <w:rPr>
          <w:rFonts w:cs="Arial"/>
        </w:rPr>
        <w:t xml:space="preserve"> (Taupō and Motuoapa)</w:t>
      </w:r>
      <w:r w:rsidR="002B0B6B" w:rsidRPr="007F5204">
        <w:rPr>
          <w:rFonts w:cs="Arial"/>
        </w:rPr>
        <w:t>.</w:t>
      </w:r>
      <w:r w:rsidR="002027BF" w:rsidRPr="007F5204">
        <w:rPr>
          <w:rFonts w:cs="Arial"/>
        </w:rPr>
        <w:t xml:space="preserve"> </w:t>
      </w:r>
      <w:r w:rsidR="002B0B6B" w:rsidRPr="007F5204">
        <w:rPr>
          <w:rFonts w:cs="Arial"/>
        </w:rPr>
        <w:t>Once fee increases are implemented for Nukuhau and Tokaanu marinas an additional 53 berth</w:t>
      </w:r>
      <w:r w:rsidR="00744A42" w:rsidRPr="007F5204">
        <w:rPr>
          <w:rFonts w:cs="Arial"/>
        </w:rPr>
        <w:t>s</w:t>
      </w:r>
      <w:r w:rsidR="002B0B6B" w:rsidRPr="007F5204">
        <w:rPr>
          <w:rFonts w:cs="Arial"/>
        </w:rPr>
        <w:t xml:space="preserve"> will be affected.</w:t>
      </w:r>
    </w:p>
    <w:p w14:paraId="5D04FC47" w14:textId="538D5D5B" w:rsidR="002027BF" w:rsidRPr="007F5204" w:rsidRDefault="002B0B6B" w:rsidP="002027BF">
      <w:pPr>
        <w:rPr>
          <w:rFonts w:cs="Arial"/>
        </w:rPr>
      </w:pPr>
      <w:r w:rsidRPr="007F5204">
        <w:rPr>
          <w:rFonts w:cs="Arial"/>
        </w:rPr>
        <w:t xml:space="preserve">Of the 233 berths, </w:t>
      </w:r>
      <w:r w:rsidR="00381E98">
        <w:rPr>
          <w:rFonts w:cs="Arial"/>
        </w:rPr>
        <w:t>201</w:t>
      </w:r>
      <w:r w:rsidR="00645ADF">
        <w:rPr>
          <w:rFonts w:cs="Arial"/>
        </w:rPr>
        <w:t xml:space="preserve"> </w:t>
      </w:r>
      <w:r w:rsidR="002027BF" w:rsidRPr="007F5204">
        <w:rPr>
          <w:rFonts w:cs="Arial"/>
        </w:rPr>
        <w:t>are occupied</w:t>
      </w:r>
      <w:r w:rsidR="000B7EB8">
        <w:rPr>
          <w:rFonts w:cs="Arial"/>
        </w:rPr>
        <w:t>, 31 berths are vacant</w:t>
      </w:r>
      <w:r w:rsidR="00645ADF">
        <w:rPr>
          <w:rFonts w:cs="Arial"/>
        </w:rPr>
        <w:t xml:space="preserve"> and </w:t>
      </w:r>
      <w:r w:rsidR="00381E98">
        <w:rPr>
          <w:rFonts w:cs="Arial"/>
        </w:rPr>
        <w:t>1</w:t>
      </w:r>
      <w:r w:rsidR="00645ADF">
        <w:rPr>
          <w:rFonts w:cs="Arial"/>
        </w:rPr>
        <w:t xml:space="preserve"> </w:t>
      </w:r>
      <w:r w:rsidR="00381E98">
        <w:rPr>
          <w:rFonts w:cs="Arial"/>
        </w:rPr>
        <w:t xml:space="preserve">is </w:t>
      </w:r>
      <w:r w:rsidR="00645ADF">
        <w:rPr>
          <w:rFonts w:cs="Arial"/>
        </w:rPr>
        <w:t>currently unusable.</w:t>
      </w:r>
      <w:r w:rsidR="000B7EB8">
        <w:rPr>
          <w:rFonts w:cs="Arial"/>
        </w:rPr>
        <w:t xml:space="preserve"> </w:t>
      </w:r>
      <w:bookmarkEnd w:id="63"/>
      <w:r w:rsidR="00645ADF">
        <w:rPr>
          <w:rFonts w:cs="Arial"/>
        </w:rPr>
        <w:t>Twenty-eight berths</w:t>
      </w:r>
      <w:r w:rsidR="000B7EB8">
        <w:rPr>
          <w:rFonts w:cs="Arial"/>
        </w:rPr>
        <w:t xml:space="preserve"> </w:t>
      </w:r>
      <w:r w:rsidR="002027BF" w:rsidRPr="007F5204">
        <w:rPr>
          <w:rFonts w:cs="Arial"/>
        </w:rPr>
        <w:t xml:space="preserve">are occupied by commercial operators </w:t>
      </w:r>
      <w:r w:rsidR="0055727D">
        <w:rPr>
          <w:rFonts w:cs="Arial"/>
        </w:rPr>
        <w:t xml:space="preserve">and </w:t>
      </w:r>
      <w:r w:rsidR="002027BF" w:rsidRPr="007F5204">
        <w:rPr>
          <w:rFonts w:cs="Arial"/>
        </w:rPr>
        <w:t>the remain</w:t>
      </w:r>
      <w:r w:rsidR="0055727D">
        <w:rPr>
          <w:rFonts w:cs="Arial"/>
        </w:rPr>
        <w:t>der</w:t>
      </w:r>
      <w:r w:rsidR="002027BF" w:rsidRPr="007F5204">
        <w:rPr>
          <w:rFonts w:cs="Arial"/>
        </w:rPr>
        <w:t xml:space="preserve"> by private interests. </w:t>
      </w:r>
      <w:r w:rsidR="00645ADF" w:rsidRPr="007F5204">
        <w:rPr>
          <w:rFonts w:cs="Arial"/>
        </w:rPr>
        <w:t>1</w:t>
      </w:r>
      <w:r w:rsidR="00645ADF">
        <w:rPr>
          <w:rFonts w:cs="Arial"/>
        </w:rPr>
        <w:t>84</w:t>
      </w:r>
      <w:r w:rsidR="00645ADF" w:rsidRPr="007F5204">
        <w:rPr>
          <w:rFonts w:cs="Arial"/>
        </w:rPr>
        <w:t xml:space="preserve"> </w:t>
      </w:r>
      <w:r w:rsidR="002027BF" w:rsidRPr="007F5204">
        <w:rPr>
          <w:rFonts w:cs="Arial"/>
        </w:rPr>
        <w:t xml:space="preserve">annual mooring permit holders will </w:t>
      </w:r>
      <w:r w:rsidR="00381E21" w:rsidRPr="007F5204">
        <w:rPr>
          <w:rFonts w:cs="Arial"/>
        </w:rPr>
        <w:t>face higher fees</w:t>
      </w:r>
      <w:r w:rsidR="002027BF" w:rsidRPr="007F5204">
        <w:rPr>
          <w:rFonts w:cs="Arial"/>
        </w:rPr>
        <w:t>. To give an idea of the number of individuals that will be affected by the rise in ramp permit fees 9,165 ramp permits were sold in the 2017/18 financial year.</w:t>
      </w:r>
      <w:r w:rsidR="00F85F0C" w:rsidRPr="007F5204">
        <w:rPr>
          <w:rFonts w:cs="Arial"/>
        </w:rPr>
        <w:t xml:space="preserve"> On average approximately 140 temporary berth permits have been sold per annum over the past four years. </w:t>
      </w:r>
    </w:p>
    <w:p w14:paraId="234F0CEE" w14:textId="77777777" w:rsidR="00FA66A7" w:rsidRPr="007F5204" w:rsidRDefault="0037355A" w:rsidP="002027BF">
      <w:pPr>
        <w:rPr>
          <w:rFonts w:cs="Arial"/>
        </w:rPr>
      </w:pPr>
      <w:r w:rsidRPr="007F5204">
        <w:rPr>
          <w:rFonts w:cs="Arial"/>
        </w:rPr>
        <w:t>Berth holders will face an increase</w:t>
      </w:r>
      <w:r w:rsidR="00BD500B" w:rsidRPr="007F5204">
        <w:rPr>
          <w:rFonts w:cs="Arial"/>
        </w:rPr>
        <w:t xml:space="preserve"> </w:t>
      </w:r>
      <w:r w:rsidRPr="007F5204">
        <w:rPr>
          <w:rFonts w:cs="Arial"/>
        </w:rPr>
        <w:t>of between $330 and $880</w:t>
      </w:r>
      <w:r w:rsidR="00BD500B" w:rsidRPr="00E95640">
        <w:rPr>
          <w:rStyle w:val="FootnoteReference"/>
          <w:rFonts w:cs="Arial"/>
        </w:rPr>
        <w:footnoteReference w:id="3"/>
      </w:r>
      <w:r w:rsidR="00BD500B" w:rsidRPr="00E95640">
        <w:rPr>
          <w:rFonts w:cs="Arial"/>
        </w:rPr>
        <w:t xml:space="preserve"> </w:t>
      </w:r>
      <w:r w:rsidRPr="00E95640">
        <w:rPr>
          <w:rFonts w:cs="Arial"/>
        </w:rPr>
        <w:t>per annum dep</w:t>
      </w:r>
      <w:r w:rsidR="00FA66A7" w:rsidRPr="007F5204">
        <w:rPr>
          <w:rFonts w:cs="Arial"/>
        </w:rPr>
        <w:t xml:space="preserve">ending on the length of the berth. Mooring permit holders </w:t>
      </w:r>
      <w:r w:rsidR="002B0B6B" w:rsidRPr="007F5204">
        <w:rPr>
          <w:rFonts w:cs="Arial"/>
        </w:rPr>
        <w:t xml:space="preserve">will </w:t>
      </w:r>
      <w:r w:rsidR="00FA66A7" w:rsidRPr="007F5204">
        <w:rPr>
          <w:rFonts w:cs="Arial"/>
        </w:rPr>
        <w:t>face an increase of $42 per annum, or $11 per month if using one of the Department</w:t>
      </w:r>
      <w:r w:rsidR="002A2948" w:rsidRPr="007F5204">
        <w:rPr>
          <w:rFonts w:cs="Arial"/>
        </w:rPr>
        <w:t>’</w:t>
      </w:r>
      <w:r w:rsidR="00FA66A7" w:rsidRPr="007F5204">
        <w:rPr>
          <w:rFonts w:cs="Arial"/>
        </w:rPr>
        <w:t xml:space="preserve">s moorings on a temporary basis. Ramp users </w:t>
      </w:r>
      <w:r w:rsidR="00E22D1F" w:rsidRPr="007F5204">
        <w:rPr>
          <w:rFonts w:cs="Arial"/>
        </w:rPr>
        <w:t>will f</w:t>
      </w:r>
      <w:r w:rsidR="00FA66A7" w:rsidRPr="007F5204">
        <w:rPr>
          <w:rFonts w:cs="Arial"/>
        </w:rPr>
        <w:t xml:space="preserve">ace an increase of $1 for a </w:t>
      </w:r>
      <w:r w:rsidR="002B0B6B" w:rsidRPr="007F5204">
        <w:rPr>
          <w:rFonts w:cs="Arial"/>
        </w:rPr>
        <w:t>24-hour</w:t>
      </w:r>
      <w:r w:rsidR="00FA66A7" w:rsidRPr="007F5204">
        <w:rPr>
          <w:rFonts w:cs="Arial"/>
        </w:rPr>
        <w:t xml:space="preserve"> permit, $8 for two weeks, or $20 for an annual permit. Those using a temporary berth will pay an extra $100 a week or $200 a month. </w:t>
      </w:r>
    </w:p>
    <w:p w14:paraId="36F7EA42" w14:textId="77777777" w:rsidR="00FA66A7" w:rsidRPr="007F5204" w:rsidRDefault="00213BF4" w:rsidP="002027BF">
      <w:pPr>
        <w:rPr>
          <w:rFonts w:cs="Arial"/>
        </w:rPr>
      </w:pPr>
      <w:r w:rsidRPr="007F5204">
        <w:rPr>
          <w:rFonts w:cs="Arial"/>
        </w:rPr>
        <w:t>The Department made c</w:t>
      </w:r>
      <w:r w:rsidR="00FA66A7" w:rsidRPr="007F5204">
        <w:rPr>
          <w:rFonts w:cs="Arial"/>
        </w:rPr>
        <w:t>omparis</w:t>
      </w:r>
      <w:r w:rsidR="00E22D1F" w:rsidRPr="007F5204">
        <w:rPr>
          <w:rFonts w:cs="Arial"/>
        </w:rPr>
        <w:t xml:space="preserve">ons with other marinas around the country to test </w:t>
      </w:r>
      <w:r w:rsidRPr="007F5204">
        <w:rPr>
          <w:rFonts w:cs="Arial"/>
        </w:rPr>
        <w:t xml:space="preserve">that </w:t>
      </w:r>
      <w:r w:rsidR="00E22D1F" w:rsidRPr="007F5204">
        <w:rPr>
          <w:rFonts w:cs="Arial"/>
        </w:rPr>
        <w:t>the proposed fee levels were competitive. We received some feedback from submitters that the comparative marinas ha</w:t>
      </w:r>
      <w:r w:rsidR="002B0B6B" w:rsidRPr="007F5204">
        <w:rPr>
          <w:rFonts w:cs="Arial"/>
        </w:rPr>
        <w:t>ve</w:t>
      </w:r>
      <w:r w:rsidR="00E22D1F" w:rsidRPr="007F5204">
        <w:rPr>
          <w:rFonts w:cs="Arial"/>
        </w:rPr>
        <w:t xml:space="preserve"> better facilities than the Crown marinas. </w:t>
      </w:r>
      <w:r w:rsidR="00502F38" w:rsidRPr="007F5204">
        <w:rPr>
          <w:rFonts w:cs="Arial"/>
        </w:rPr>
        <w:t xml:space="preserve">It is difficult to make a direct comparison between service levels and facilities, and we note that the location of a marina is one of the factors that will influence the demand. </w:t>
      </w:r>
      <w:r w:rsidR="00A57418" w:rsidRPr="007F5204">
        <w:rPr>
          <w:rFonts w:cs="Arial"/>
        </w:rPr>
        <w:t>For example, while Motuoapa has vacant berths, there is a waiting list for Taup</w:t>
      </w:r>
      <w:r w:rsidR="00A57418" w:rsidRPr="00BA1ED2">
        <w:rPr>
          <w:rFonts w:cs="Arial"/>
        </w:rPr>
        <w:t>ō</w:t>
      </w:r>
      <w:r w:rsidR="00A57418" w:rsidRPr="00E95640">
        <w:rPr>
          <w:rFonts w:cs="Arial"/>
        </w:rPr>
        <w:t xml:space="preserve"> marina. Those on the waiting list for Taup</w:t>
      </w:r>
      <w:r w:rsidR="00A57418" w:rsidRPr="00BA1ED2">
        <w:rPr>
          <w:rFonts w:cs="Arial"/>
        </w:rPr>
        <w:t>ō</w:t>
      </w:r>
      <w:r w:rsidR="00A57418" w:rsidRPr="00E95640">
        <w:rPr>
          <w:rFonts w:cs="Arial"/>
        </w:rPr>
        <w:t xml:space="preserve"> marina have declined the opportunity to take a berth at Motuoapa, principally due to the more </w:t>
      </w:r>
      <w:r w:rsidR="00A57418" w:rsidRPr="00E95640">
        <w:rPr>
          <w:rFonts w:cs="Arial"/>
        </w:rPr>
        <w:lastRenderedPageBreak/>
        <w:t>desirable location</w:t>
      </w:r>
      <w:r w:rsidR="00A57418" w:rsidRPr="007F5204">
        <w:rPr>
          <w:rFonts w:cs="Arial"/>
        </w:rPr>
        <w:t xml:space="preserve"> at Taup</w:t>
      </w:r>
      <w:r w:rsidR="00A57418" w:rsidRPr="00BA1ED2">
        <w:rPr>
          <w:rFonts w:cs="Arial"/>
        </w:rPr>
        <w:t>ō</w:t>
      </w:r>
      <w:r w:rsidR="00A57418" w:rsidRPr="00E95640">
        <w:rPr>
          <w:rFonts w:cs="Arial"/>
        </w:rPr>
        <w:t xml:space="preserve">. </w:t>
      </w:r>
      <w:r w:rsidR="00E22D1F" w:rsidRPr="00E95640">
        <w:rPr>
          <w:rFonts w:cs="Arial"/>
        </w:rPr>
        <w:t xml:space="preserve">We consider our revised proposal is </w:t>
      </w:r>
      <w:r w:rsidR="002B0B6B" w:rsidRPr="007F5204">
        <w:rPr>
          <w:rFonts w:cs="Arial"/>
        </w:rPr>
        <w:t xml:space="preserve">appropriate given the standard of the </w:t>
      </w:r>
      <w:r w:rsidR="00E22D1F" w:rsidRPr="007F5204">
        <w:rPr>
          <w:rFonts w:cs="Arial"/>
        </w:rPr>
        <w:t>boating facilities</w:t>
      </w:r>
      <w:r w:rsidR="001941A3" w:rsidRPr="007F5204">
        <w:rPr>
          <w:rFonts w:cs="Arial"/>
        </w:rPr>
        <w:t xml:space="preserve">, and the level of service provided by the Department. </w:t>
      </w:r>
      <w:r w:rsidR="00E22D1F" w:rsidRPr="007F5204">
        <w:rPr>
          <w:rFonts w:cs="Arial"/>
        </w:rPr>
        <w:t xml:space="preserve">  </w:t>
      </w:r>
    </w:p>
    <w:p w14:paraId="5FE2C4AF" w14:textId="5EE00360" w:rsidR="00AE3213" w:rsidRPr="007F5204" w:rsidRDefault="002B0B6B" w:rsidP="002027BF">
      <w:pPr>
        <w:rPr>
          <w:rFonts w:cs="Arial"/>
        </w:rPr>
      </w:pPr>
      <w:r w:rsidRPr="007F5204">
        <w:rPr>
          <w:rFonts w:cs="Arial"/>
        </w:rPr>
        <w:t>We do</w:t>
      </w:r>
      <w:r w:rsidR="00AB4D38" w:rsidRPr="007F5204">
        <w:rPr>
          <w:rFonts w:cs="Arial"/>
        </w:rPr>
        <w:t xml:space="preserve"> </w:t>
      </w:r>
      <w:r w:rsidRPr="007F5204">
        <w:rPr>
          <w:rFonts w:cs="Arial"/>
        </w:rPr>
        <w:t>n</w:t>
      </w:r>
      <w:r w:rsidR="00AB4D38" w:rsidRPr="007F5204">
        <w:rPr>
          <w:rFonts w:cs="Arial"/>
        </w:rPr>
        <w:t>o</w:t>
      </w:r>
      <w:r w:rsidRPr="007F5204">
        <w:rPr>
          <w:rFonts w:cs="Arial"/>
        </w:rPr>
        <w:t>t expect the proposed fee increases to have a major impact on demand</w:t>
      </w:r>
      <w:r w:rsidR="00502F38" w:rsidRPr="007F5204">
        <w:rPr>
          <w:rFonts w:cs="Arial"/>
        </w:rPr>
        <w:t>. Submitters stated that the level of fees proposed on consultation were so high that they would consider ceasing to use the facilities, but some submitters indicated that they would accept a lower fee increase. Ultimately, demand for the facilities depends on a range of factors which includes, but is not limited to, the cost and service levels</w:t>
      </w:r>
      <w:r w:rsidRPr="007F5204">
        <w:rPr>
          <w:rFonts w:cs="Arial"/>
        </w:rPr>
        <w:t>. However, t</w:t>
      </w:r>
      <w:r w:rsidR="009D6EE6" w:rsidRPr="007F5204">
        <w:rPr>
          <w:rFonts w:cs="Arial"/>
        </w:rPr>
        <w:t>here is a risk</w:t>
      </w:r>
      <w:r w:rsidR="00AE3213" w:rsidRPr="007F5204">
        <w:rPr>
          <w:rFonts w:cs="Arial"/>
        </w:rPr>
        <w:t xml:space="preserve"> that demand </w:t>
      </w:r>
      <w:r w:rsidR="009D6EE6" w:rsidRPr="007F5204">
        <w:rPr>
          <w:rFonts w:cs="Arial"/>
        </w:rPr>
        <w:t xml:space="preserve">for the facilities will </w:t>
      </w:r>
      <w:r w:rsidR="00AE3213" w:rsidRPr="007F5204">
        <w:rPr>
          <w:rFonts w:cs="Arial"/>
        </w:rPr>
        <w:t>dr</w:t>
      </w:r>
      <w:r w:rsidR="009D6EE6" w:rsidRPr="007F5204">
        <w:rPr>
          <w:rFonts w:cs="Arial"/>
        </w:rPr>
        <w:t>op</w:t>
      </w:r>
      <w:r w:rsidR="00AE3213" w:rsidRPr="007F5204">
        <w:rPr>
          <w:rFonts w:cs="Arial"/>
        </w:rPr>
        <w:t xml:space="preserve"> </w:t>
      </w:r>
      <w:r w:rsidR="009D6EE6" w:rsidRPr="007F5204">
        <w:rPr>
          <w:rFonts w:cs="Arial"/>
        </w:rPr>
        <w:t xml:space="preserve">because of the fee increases or due to weather </w:t>
      </w:r>
      <w:r w:rsidR="00502F38" w:rsidRPr="007F5204">
        <w:rPr>
          <w:rFonts w:cs="Arial"/>
        </w:rPr>
        <w:t>a</w:t>
      </w:r>
      <w:r w:rsidR="009D6EE6" w:rsidRPr="007F5204">
        <w:rPr>
          <w:rFonts w:cs="Arial"/>
        </w:rPr>
        <w:t>ffecting use of the boat ramps. There is also a risk of</w:t>
      </w:r>
      <w:r w:rsidR="00AE3213" w:rsidRPr="007F5204">
        <w:rPr>
          <w:rFonts w:cs="Arial"/>
        </w:rPr>
        <w:t xml:space="preserve"> </w:t>
      </w:r>
      <w:r w:rsidR="00365619" w:rsidRPr="007F5204">
        <w:rPr>
          <w:rFonts w:cs="Arial"/>
        </w:rPr>
        <w:t xml:space="preserve">unexpected </w:t>
      </w:r>
      <w:r w:rsidR="00AE3213" w:rsidRPr="007F5204">
        <w:rPr>
          <w:rFonts w:cs="Arial"/>
        </w:rPr>
        <w:t>large expenditure aris</w:t>
      </w:r>
      <w:r w:rsidR="009D6EE6" w:rsidRPr="007F5204">
        <w:rPr>
          <w:rFonts w:cs="Arial"/>
        </w:rPr>
        <w:t>ing</w:t>
      </w:r>
      <w:r w:rsidR="00502F38" w:rsidRPr="007F5204">
        <w:rPr>
          <w:rFonts w:cs="Arial"/>
        </w:rPr>
        <w:t>, such as resulting from an emergency or weather event,</w:t>
      </w:r>
      <w:r w:rsidR="00AE3213" w:rsidRPr="007F5204">
        <w:rPr>
          <w:rFonts w:cs="Arial"/>
        </w:rPr>
        <w:t xml:space="preserve"> which the </w:t>
      </w:r>
      <w:r w:rsidR="00E22D1F" w:rsidRPr="007F5204">
        <w:rPr>
          <w:rFonts w:cs="Arial"/>
        </w:rPr>
        <w:t>Department can</w:t>
      </w:r>
      <w:r w:rsidR="00AE3213" w:rsidRPr="007F5204">
        <w:rPr>
          <w:rFonts w:cs="Arial"/>
        </w:rPr>
        <w:t xml:space="preserve">not </w:t>
      </w:r>
      <w:r w:rsidR="007C1315" w:rsidRPr="007F5204">
        <w:rPr>
          <w:rFonts w:cs="Arial"/>
        </w:rPr>
        <w:t xml:space="preserve">fund </w:t>
      </w:r>
      <w:r w:rsidR="00E22D1F" w:rsidRPr="007F5204">
        <w:rPr>
          <w:rFonts w:cs="Arial"/>
        </w:rPr>
        <w:t xml:space="preserve">through </w:t>
      </w:r>
      <w:r w:rsidR="00744A42" w:rsidRPr="007F5204">
        <w:rPr>
          <w:rFonts w:cs="Arial"/>
        </w:rPr>
        <w:t>user fees</w:t>
      </w:r>
      <w:r w:rsidR="00E22D1F" w:rsidRPr="007F5204">
        <w:rPr>
          <w:rFonts w:cs="Arial"/>
        </w:rPr>
        <w:t xml:space="preserve">. </w:t>
      </w:r>
    </w:p>
    <w:p w14:paraId="19A05E32" w14:textId="3C99346C" w:rsidR="009D6EE6" w:rsidRPr="007F5204" w:rsidRDefault="00526334" w:rsidP="002027BF">
      <w:pPr>
        <w:rPr>
          <w:rFonts w:cs="Arial"/>
        </w:rPr>
      </w:pPr>
      <w:r w:rsidRPr="007F5204">
        <w:rPr>
          <w:rFonts w:cs="Arial"/>
        </w:rPr>
        <w:t>Should these risks eventuate</w:t>
      </w:r>
      <w:r w:rsidR="00031559" w:rsidRPr="007F5204">
        <w:rPr>
          <w:rFonts w:cs="Arial"/>
        </w:rPr>
        <w:t xml:space="preserve"> before the next fees review, the consequences will be addressed through that fees review</w:t>
      </w:r>
      <w:r w:rsidR="00F85F0C" w:rsidRPr="007F5204">
        <w:rPr>
          <w:rFonts w:cs="Arial"/>
        </w:rPr>
        <w:t>.</w:t>
      </w:r>
      <w:r w:rsidR="002B0B6B" w:rsidRPr="007F5204">
        <w:rPr>
          <w:rFonts w:cs="Arial"/>
        </w:rPr>
        <w:t xml:space="preserve"> </w:t>
      </w:r>
    </w:p>
    <w:p w14:paraId="384A57DE" w14:textId="77777777" w:rsidR="008D5CD9" w:rsidRPr="007F5204" w:rsidRDefault="008D5CD9" w:rsidP="0088541D">
      <w:pPr>
        <w:pStyle w:val="Heading2"/>
        <w:rPr>
          <w:rFonts w:cs="Arial"/>
        </w:rPr>
      </w:pPr>
      <w:bookmarkStart w:id="64" w:name="_Toc244580366"/>
      <w:bookmarkStart w:id="65" w:name="_Toc244587042"/>
      <w:bookmarkStart w:id="66" w:name="_Toc244857276"/>
      <w:bookmarkStart w:id="67" w:name="_Toc244912541"/>
      <w:bookmarkStart w:id="68" w:name="_Toc244916998"/>
      <w:bookmarkStart w:id="69" w:name="_Toc362368107"/>
      <w:bookmarkStart w:id="70" w:name="_Toc362434948"/>
      <w:bookmarkStart w:id="71" w:name="_Toc362589334"/>
      <w:bookmarkStart w:id="72" w:name="_Toc362619034"/>
      <w:bookmarkStart w:id="73" w:name="_Toc362940598"/>
      <w:bookmarkStart w:id="74" w:name="_Toc363047106"/>
      <w:r w:rsidRPr="007F5204">
        <w:rPr>
          <w:rFonts w:cs="Arial"/>
        </w:rPr>
        <w:t>Consultation</w:t>
      </w:r>
      <w:bookmarkEnd w:id="64"/>
      <w:bookmarkEnd w:id="65"/>
      <w:bookmarkEnd w:id="66"/>
      <w:bookmarkEnd w:id="67"/>
      <w:bookmarkEnd w:id="68"/>
      <w:bookmarkEnd w:id="69"/>
      <w:bookmarkEnd w:id="70"/>
      <w:bookmarkEnd w:id="71"/>
      <w:bookmarkEnd w:id="72"/>
      <w:bookmarkEnd w:id="73"/>
      <w:bookmarkEnd w:id="74"/>
    </w:p>
    <w:p w14:paraId="17199FDD" w14:textId="009E4AAE" w:rsidR="0047415A" w:rsidRPr="007F5204" w:rsidRDefault="0047415A" w:rsidP="0047415A">
      <w:pPr>
        <w:rPr>
          <w:rFonts w:cs="Arial"/>
        </w:rPr>
      </w:pPr>
      <w:r w:rsidRPr="007F5204">
        <w:rPr>
          <w:rFonts w:cs="Arial"/>
        </w:rPr>
        <w:t xml:space="preserve">The Department consulted over 11 weeks, </w:t>
      </w:r>
      <w:r w:rsidR="0055727D">
        <w:rPr>
          <w:rFonts w:cs="Arial"/>
        </w:rPr>
        <w:t xml:space="preserve">from 7 December 2018 to </w:t>
      </w:r>
      <w:r w:rsidRPr="007F5204">
        <w:rPr>
          <w:rFonts w:cs="Arial"/>
        </w:rPr>
        <w:t xml:space="preserve">22 February 2019, targeting users of the boating facilities. Sixty-three written submissions were received. During the consultation period, the Department held two </w:t>
      </w:r>
      <w:proofErr w:type="gramStart"/>
      <w:r w:rsidRPr="007F5204">
        <w:rPr>
          <w:rFonts w:cs="Arial"/>
        </w:rPr>
        <w:t>hui</w:t>
      </w:r>
      <w:proofErr w:type="gramEnd"/>
      <w:r w:rsidRPr="007F5204">
        <w:rPr>
          <w:rFonts w:cs="Arial"/>
        </w:rPr>
        <w:t xml:space="preserve"> in the Taupō area which were attended by approximately 100 people.</w:t>
      </w:r>
    </w:p>
    <w:p w14:paraId="4D16AE50" w14:textId="77777777" w:rsidR="00A57266" w:rsidRPr="007F5204" w:rsidRDefault="00213BF4" w:rsidP="0047415A">
      <w:pPr>
        <w:rPr>
          <w:rFonts w:cs="Arial"/>
        </w:rPr>
      </w:pPr>
      <w:r w:rsidRPr="007F5204">
        <w:rPr>
          <w:rFonts w:cs="Arial"/>
        </w:rPr>
        <w:t>In the consultation document, t</w:t>
      </w:r>
      <w:r w:rsidR="00A57266" w:rsidRPr="007F5204">
        <w:rPr>
          <w:rFonts w:cs="Arial"/>
        </w:rPr>
        <w:t xml:space="preserve">he Department proposed a fee increase of 30 per cent in 2019, and an additional 30 per cent increase in 2022.  </w:t>
      </w:r>
    </w:p>
    <w:p w14:paraId="7A2A0269" w14:textId="6690D3C8" w:rsidR="00726B13" w:rsidRPr="007F5204" w:rsidRDefault="00726B13" w:rsidP="0047415A">
      <w:pPr>
        <w:rPr>
          <w:rFonts w:cs="Arial"/>
        </w:rPr>
      </w:pPr>
      <w:r w:rsidRPr="007F5204">
        <w:rPr>
          <w:rFonts w:cs="Arial"/>
        </w:rPr>
        <w:t>71.5 per cent of written submitters opposed the proposed fee increase, 11.1 per cent supported the Department’s proposal</w:t>
      </w:r>
      <w:r w:rsidR="002A2948" w:rsidRPr="007F5204">
        <w:rPr>
          <w:rFonts w:cs="Arial"/>
        </w:rPr>
        <w:t>,</w:t>
      </w:r>
      <w:r w:rsidRPr="007F5204">
        <w:rPr>
          <w:rFonts w:cs="Arial"/>
        </w:rPr>
        <w:t xml:space="preserve"> </w:t>
      </w:r>
      <w:r w:rsidR="002A2948" w:rsidRPr="007F5204">
        <w:rPr>
          <w:rFonts w:cs="Arial"/>
        </w:rPr>
        <w:t xml:space="preserve">and 17.4 </w:t>
      </w:r>
      <w:r w:rsidRPr="007F5204">
        <w:rPr>
          <w:rFonts w:cs="Arial"/>
        </w:rPr>
        <w:t xml:space="preserve">per cent did not </w:t>
      </w:r>
      <w:r w:rsidR="002A2948" w:rsidRPr="007F5204">
        <w:rPr>
          <w:rFonts w:cs="Arial"/>
        </w:rPr>
        <w:t xml:space="preserve">directly </w:t>
      </w:r>
      <w:r w:rsidRPr="007F5204">
        <w:rPr>
          <w:rFonts w:cs="Arial"/>
        </w:rPr>
        <w:t>state their view</w:t>
      </w:r>
      <w:r w:rsidR="002A2948" w:rsidRPr="007F5204">
        <w:rPr>
          <w:rFonts w:cs="Arial"/>
        </w:rPr>
        <w:t>.</w:t>
      </w:r>
      <w:r w:rsidRPr="007F5204">
        <w:rPr>
          <w:rFonts w:cs="Arial"/>
        </w:rPr>
        <w:t xml:space="preserve"> Many submitters, both in written and verbal submissions argued that the proposed fee increase was excessive</w:t>
      </w:r>
      <w:r w:rsidR="0055727D">
        <w:rPr>
          <w:rFonts w:cs="Arial"/>
        </w:rPr>
        <w:t>. Ho</w:t>
      </w:r>
      <w:r w:rsidR="0047415A" w:rsidRPr="007F5204">
        <w:rPr>
          <w:rFonts w:cs="Arial"/>
        </w:rPr>
        <w:t>wever, some submitters indicated they would accept a smaller fee increase if there are some operational improvements to the boating facilities.</w:t>
      </w:r>
    </w:p>
    <w:p w14:paraId="38AB5DB2" w14:textId="0304125D" w:rsidR="00726B13" w:rsidRDefault="002A2948" w:rsidP="0047415A">
      <w:pPr>
        <w:rPr>
          <w:rFonts w:cs="Arial"/>
        </w:rPr>
      </w:pPr>
      <w:r w:rsidRPr="007F5204">
        <w:rPr>
          <w:rFonts w:cs="Arial"/>
        </w:rPr>
        <w:t>Most</w:t>
      </w:r>
      <w:r w:rsidR="00726B13" w:rsidRPr="007F5204">
        <w:rPr>
          <w:rFonts w:cs="Arial"/>
        </w:rPr>
        <w:t xml:space="preserve"> of </w:t>
      </w:r>
      <w:r w:rsidRPr="007F5204">
        <w:rPr>
          <w:rFonts w:cs="Arial"/>
        </w:rPr>
        <w:t xml:space="preserve">the </w:t>
      </w:r>
      <w:r w:rsidR="00726B13" w:rsidRPr="007F5204">
        <w:rPr>
          <w:rFonts w:cs="Arial"/>
        </w:rPr>
        <w:t xml:space="preserve">Motuoapa berth holders </w:t>
      </w:r>
      <w:r w:rsidRPr="007F5204">
        <w:rPr>
          <w:rFonts w:cs="Arial"/>
        </w:rPr>
        <w:t>present</w:t>
      </w:r>
      <w:r w:rsidR="00726B13" w:rsidRPr="007F5204">
        <w:rPr>
          <w:rFonts w:cs="Arial"/>
        </w:rPr>
        <w:t xml:space="preserve"> at the Motuoapa engagement</w:t>
      </w:r>
      <w:r w:rsidR="00A01B64" w:rsidRPr="007F5204">
        <w:rPr>
          <w:rFonts w:cs="Arial"/>
        </w:rPr>
        <w:t xml:space="preserve"> hui</w:t>
      </w:r>
      <w:r w:rsidR="00726B13" w:rsidRPr="007F5204">
        <w:rPr>
          <w:rFonts w:cs="Arial"/>
        </w:rPr>
        <w:t xml:space="preserve"> </w:t>
      </w:r>
      <w:r w:rsidRPr="007F5204">
        <w:rPr>
          <w:rFonts w:cs="Arial"/>
        </w:rPr>
        <w:t xml:space="preserve">stated </w:t>
      </w:r>
      <w:r w:rsidR="00726B13" w:rsidRPr="007F5204">
        <w:rPr>
          <w:rFonts w:cs="Arial"/>
        </w:rPr>
        <w:t xml:space="preserve">that they would </w:t>
      </w:r>
      <w:r w:rsidRPr="007F5204">
        <w:rPr>
          <w:rFonts w:cs="Arial"/>
        </w:rPr>
        <w:t>consider</w:t>
      </w:r>
      <w:r w:rsidR="00726B13" w:rsidRPr="007F5204">
        <w:rPr>
          <w:rFonts w:cs="Arial"/>
        </w:rPr>
        <w:t xml:space="preserve"> vacat</w:t>
      </w:r>
      <w:r w:rsidRPr="007F5204">
        <w:rPr>
          <w:rFonts w:cs="Arial"/>
        </w:rPr>
        <w:t>ing</w:t>
      </w:r>
      <w:r w:rsidR="00726B13" w:rsidRPr="007F5204">
        <w:rPr>
          <w:rFonts w:cs="Arial"/>
        </w:rPr>
        <w:t xml:space="preserve"> their berths if the fee increase goes ahead. </w:t>
      </w:r>
      <w:r w:rsidRPr="007F5204">
        <w:rPr>
          <w:rFonts w:cs="Arial"/>
        </w:rPr>
        <w:t xml:space="preserve">Approximately 70 people attended the hui. </w:t>
      </w:r>
      <w:r w:rsidR="00726B13" w:rsidRPr="007F5204">
        <w:rPr>
          <w:rFonts w:cs="Arial"/>
        </w:rPr>
        <w:t xml:space="preserve">Motuoapa </w:t>
      </w:r>
      <w:r w:rsidR="007F5D3F" w:rsidRPr="007F5204">
        <w:rPr>
          <w:rFonts w:cs="Arial"/>
        </w:rPr>
        <w:t>is the largest marina</w:t>
      </w:r>
      <w:r w:rsidRPr="007F5204">
        <w:rPr>
          <w:rFonts w:cs="Arial"/>
        </w:rPr>
        <w:t xml:space="preserve"> and</w:t>
      </w:r>
      <w:r w:rsidR="007F5D3F" w:rsidRPr="007F5204">
        <w:rPr>
          <w:rFonts w:cs="Arial"/>
        </w:rPr>
        <w:t xml:space="preserve"> is currently </w:t>
      </w:r>
      <w:r w:rsidRPr="007F5204">
        <w:rPr>
          <w:rFonts w:cs="Arial"/>
        </w:rPr>
        <w:t xml:space="preserve">at </w:t>
      </w:r>
      <w:r w:rsidR="007F5D3F" w:rsidRPr="007F5204">
        <w:rPr>
          <w:rFonts w:cs="Arial"/>
        </w:rPr>
        <w:t>78 per cent occup</w:t>
      </w:r>
      <w:r w:rsidR="0055727D">
        <w:rPr>
          <w:rFonts w:cs="Arial"/>
        </w:rPr>
        <w:t>ancy</w:t>
      </w:r>
      <w:r w:rsidRPr="007F5204">
        <w:rPr>
          <w:rFonts w:cs="Arial"/>
        </w:rPr>
        <w:t xml:space="preserve"> with 1</w:t>
      </w:r>
      <w:r w:rsidR="007D190A">
        <w:rPr>
          <w:rFonts w:cs="Arial"/>
        </w:rPr>
        <w:t>24</w:t>
      </w:r>
      <w:r w:rsidRPr="007F5204">
        <w:rPr>
          <w:rFonts w:cs="Arial"/>
        </w:rPr>
        <w:t xml:space="preserve"> </w:t>
      </w:r>
      <w:r w:rsidR="007F5D3F" w:rsidRPr="007F5204">
        <w:rPr>
          <w:rFonts w:cs="Arial"/>
        </w:rPr>
        <w:t xml:space="preserve">berths occupied on </w:t>
      </w:r>
      <w:r w:rsidRPr="007F5204">
        <w:rPr>
          <w:rFonts w:cs="Arial"/>
        </w:rPr>
        <w:t>permanent basis</w:t>
      </w:r>
      <w:r w:rsidR="00A01B64" w:rsidRPr="007F5204">
        <w:rPr>
          <w:rFonts w:cs="Arial"/>
        </w:rPr>
        <w:t>.</w:t>
      </w:r>
    </w:p>
    <w:p w14:paraId="1631A1D9" w14:textId="28A6B308" w:rsidR="009D0008" w:rsidRPr="00AE3854" w:rsidRDefault="009D0008" w:rsidP="0047415A">
      <w:pPr>
        <w:rPr>
          <w:rFonts w:cs="Arial"/>
          <w:b/>
        </w:rPr>
      </w:pPr>
      <w:r w:rsidRPr="00AE3854">
        <w:rPr>
          <w:rFonts w:cs="Arial"/>
          <w:b/>
        </w:rPr>
        <w:t>Themes raised</w:t>
      </w:r>
    </w:p>
    <w:p w14:paraId="3BC2D777" w14:textId="35004A4A" w:rsidR="00A45E57" w:rsidRPr="007F5204" w:rsidRDefault="0047415A" w:rsidP="0047415A">
      <w:pPr>
        <w:rPr>
          <w:rFonts w:cs="Arial"/>
        </w:rPr>
      </w:pPr>
      <w:r w:rsidRPr="007F5204">
        <w:rPr>
          <w:rFonts w:cs="Arial"/>
        </w:rPr>
        <w:t xml:space="preserve"> Key themes emerged </w:t>
      </w:r>
      <w:r w:rsidR="00726B13" w:rsidRPr="007F5204">
        <w:rPr>
          <w:rFonts w:cs="Arial"/>
        </w:rPr>
        <w:t xml:space="preserve">through consultation </w:t>
      </w:r>
      <w:r w:rsidRPr="007F5204">
        <w:rPr>
          <w:rFonts w:cs="Arial"/>
        </w:rPr>
        <w:t>including:</w:t>
      </w:r>
    </w:p>
    <w:p w14:paraId="3271945D" w14:textId="2E3027AF" w:rsidR="00A45E57" w:rsidRPr="00BA1ED2" w:rsidRDefault="0047415A" w:rsidP="007F5204">
      <w:pPr>
        <w:pStyle w:val="Bullet"/>
      </w:pPr>
      <w:bookmarkStart w:id="75" w:name="_Hlk5272974"/>
      <w:r w:rsidRPr="007F5204">
        <w:t>enforcement of ramp permits is perceived as inadequate;</w:t>
      </w:r>
    </w:p>
    <w:p w14:paraId="501879EF" w14:textId="19A2E134" w:rsidR="00A45E57" w:rsidRPr="00BA1ED2" w:rsidRDefault="00A45E57">
      <w:pPr>
        <w:pStyle w:val="Bullet"/>
      </w:pPr>
      <w:r w:rsidRPr="007F5204">
        <w:t>t</w:t>
      </w:r>
      <w:r w:rsidR="0047415A" w:rsidRPr="007F5204">
        <w:t>he Crown’s contribution of $0.450 million per annum to support navigational safety on the Lake should be increased;</w:t>
      </w:r>
      <w:r w:rsidRPr="00BA1ED2">
        <w:t xml:space="preserve"> </w:t>
      </w:r>
    </w:p>
    <w:p w14:paraId="706850C1" w14:textId="0AE2A9CF" w:rsidR="00A45E57" w:rsidRPr="00BA1ED2" w:rsidRDefault="0047415A">
      <w:pPr>
        <w:pStyle w:val="Bullet"/>
      </w:pPr>
      <w:r w:rsidRPr="007F5204">
        <w:t>the depreciation of Motuoapa marina should be excluded from user fees;</w:t>
      </w:r>
      <w:r w:rsidR="00A45E57" w:rsidRPr="007F5204">
        <w:t xml:space="preserve"> </w:t>
      </w:r>
      <w:r w:rsidR="00A57418" w:rsidRPr="00BA1ED2">
        <w:t>and</w:t>
      </w:r>
    </w:p>
    <w:p w14:paraId="565D383B" w14:textId="77777777" w:rsidR="009D0008" w:rsidRDefault="0047415A">
      <w:pPr>
        <w:pStyle w:val="Bullet"/>
      </w:pPr>
      <w:r w:rsidRPr="007F5204">
        <w:t xml:space="preserve">the rate of inflation applied to the Department’s forecasted maintenance costs is </w:t>
      </w:r>
      <w:r w:rsidR="00EE1351" w:rsidRPr="007F5204">
        <w:t>too high</w:t>
      </w:r>
      <w:r w:rsidR="00BD500B" w:rsidRPr="007F5204">
        <w:t>;</w:t>
      </w:r>
      <w:r w:rsidR="00213BF4" w:rsidRPr="007F5204">
        <w:t xml:space="preserve"> and</w:t>
      </w:r>
      <w:r w:rsidR="00A45E57" w:rsidRPr="007F5204">
        <w:t xml:space="preserve"> </w:t>
      </w:r>
    </w:p>
    <w:p w14:paraId="26DF8659" w14:textId="5701D1D5" w:rsidR="00362099" w:rsidRPr="00E95640" w:rsidRDefault="009D0008">
      <w:pPr>
        <w:pStyle w:val="Bullet"/>
      </w:pPr>
      <w:r>
        <w:t xml:space="preserve">there are </w:t>
      </w:r>
      <w:r w:rsidR="0047415A" w:rsidRPr="00BA1ED2">
        <w:t>operational issues with the facilities.</w:t>
      </w:r>
    </w:p>
    <w:p w14:paraId="6831C9CA" w14:textId="77777777" w:rsidR="00EC5BC0" w:rsidRPr="007F5204" w:rsidRDefault="00EC5BC0" w:rsidP="007F5204">
      <w:pPr>
        <w:spacing w:before="180"/>
      </w:pPr>
      <w:r w:rsidRPr="00E95640">
        <w:rPr>
          <w:rFonts w:cs="Arial"/>
        </w:rPr>
        <w:t xml:space="preserve">The pricing anomaly regarding </w:t>
      </w:r>
      <w:r w:rsidRPr="007F5204">
        <w:rPr>
          <w:rFonts w:cs="Arial"/>
        </w:rPr>
        <w:t xml:space="preserve">temporary berths was also raised on multiple occasions by stakeholders at the engagement hui and in submissions. </w:t>
      </w:r>
    </w:p>
    <w:p w14:paraId="591732D5" w14:textId="77777777" w:rsidR="00F5382B" w:rsidRPr="007F5204" w:rsidRDefault="00F5382B" w:rsidP="007F5204">
      <w:r w:rsidRPr="007F5204">
        <w:rPr>
          <w:rFonts w:cs="Arial"/>
        </w:rPr>
        <w:lastRenderedPageBreak/>
        <w:t>Strong feedback was also received that dredging the lakebed was a navigational safety issue and not an operating expense that should be recovered from users of the boating facilities.</w:t>
      </w:r>
    </w:p>
    <w:p w14:paraId="06094083" w14:textId="1C4DE4D0" w:rsidR="009D0008" w:rsidRPr="00AE3854" w:rsidRDefault="009D0008" w:rsidP="007F5204">
      <w:pPr>
        <w:rPr>
          <w:rFonts w:cs="Arial"/>
          <w:b/>
        </w:rPr>
      </w:pPr>
      <w:r w:rsidRPr="00AE3854">
        <w:rPr>
          <w:rFonts w:cs="Arial"/>
          <w:b/>
        </w:rPr>
        <w:t>Department’s response</w:t>
      </w:r>
    </w:p>
    <w:p w14:paraId="6A05F728" w14:textId="4A13051B" w:rsidR="00362099" w:rsidRDefault="00362099" w:rsidP="007F5204">
      <w:pPr>
        <w:rPr>
          <w:rFonts w:cs="Arial"/>
        </w:rPr>
      </w:pPr>
      <w:r w:rsidRPr="007F5204">
        <w:rPr>
          <w:rFonts w:cs="Arial"/>
        </w:rPr>
        <w:t xml:space="preserve">The Department has responded to these concerns in a summary of submissions report which is being made public. </w:t>
      </w:r>
    </w:p>
    <w:p w14:paraId="56B7C94E" w14:textId="63B28FC6" w:rsidR="009D0008" w:rsidRPr="007F5204" w:rsidRDefault="009D0008" w:rsidP="007F5204">
      <w:r>
        <w:rPr>
          <w:rFonts w:cs="Arial"/>
        </w:rPr>
        <w:t>In summary:</w:t>
      </w:r>
    </w:p>
    <w:p w14:paraId="01E7BB50" w14:textId="77777777" w:rsidR="00362099" w:rsidRPr="007F5204" w:rsidRDefault="00673615" w:rsidP="00AE3854">
      <w:pPr>
        <w:pStyle w:val="Bullet"/>
      </w:pPr>
      <w:r w:rsidRPr="007F5204">
        <w:t>S</w:t>
      </w:r>
      <w:r w:rsidR="00362099" w:rsidRPr="007F5204">
        <w:t xml:space="preserve">pot checks for ramp permits have indicated a 95 per cent compliance rate however the Department acknowledges the limited resources of the Harbourmaster staff to monitor enforcement at </w:t>
      </w:r>
      <w:r w:rsidR="002A2948" w:rsidRPr="007F5204">
        <w:t>all</w:t>
      </w:r>
      <w:r w:rsidR="00362099" w:rsidRPr="007F5204">
        <w:t xml:space="preserve"> the boat ramps.</w:t>
      </w:r>
    </w:p>
    <w:p w14:paraId="32099041" w14:textId="77777777" w:rsidR="00673615" w:rsidRPr="00BA1ED2" w:rsidRDefault="00673615" w:rsidP="00AE3854">
      <w:pPr>
        <w:pStyle w:val="Bullet"/>
      </w:pPr>
      <w:r w:rsidRPr="007F5204">
        <w:t>The Department will continue to reprioritise funding within the Vote Internal Affairs baseline to meet the cost of the Harbourmaster’s statutory functions, as it may be required.</w:t>
      </w:r>
    </w:p>
    <w:bookmarkEnd w:id="75"/>
    <w:p w14:paraId="33EFDD31" w14:textId="16790249" w:rsidR="002A2948" w:rsidRPr="007F5204" w:rsidRDefault="00362099" w:rsidP="00AE3854">
      <w:pPr>
        <w:pStyle w:val="Bullet"/>
      </w:pPr>
      <w:r w:rsidRPr="007F5204">
        <w:t>As indicate</w:t>
      </w:r>
      <w:r w:rsidR="002A2948" w:rsidRPr="007F5204">
        <w:t xml:space="preserve">d, </w:t>
      </w:r>
      <w:r w:rsidR="0047415A" w:rsidRPr="007F5204">
        <w:t>the Department proposes to only recover 75 per cent of the depreciation of Motuoapa marina through user fees</w:t>
      </w:r>
      <w:r w:rsidRPr="007F5204">
        <w:t xml:space="preserve">. </w:t>
      </w:r>
    </w:p>
    <w:p w14:paraId="14056789" w14:textId="7F172525" w:rsidR="00362099" w:rsidRPr="007F5204" w:rsidRDefault="00362099" w:rsidP="00AE3854">
      <w:pPr>
        <w:pStyle w:val="Bullet"/>
      </w:pPr>
      <w:r w:rsidRPr="007F5204">
        <w:t>We adjusted the inflation we used to forecast repairs and maintenance expenditure from 5</w:t>
      </w:r>
      <w:r w:rsidR="00383238" w:rsidRPr="007F5204">
        <w:t> </w:t>
      </w:r>
      <w:r w:rsidRPr="007F5204">
        <w:t>per cent (</w:t>
      </w:r>
      <w:r w:rsidR="00383238" w:rsidRPr="007F5204">
        <w:t xml:space="preserve">on the </w:t>
      </w:r>
      <w:r w:rsidRPr="007F5204">
        <w:t xml:space="preserve">assumption that assets require greater repairs and maintenance as they age) to 3 per cent. This </w:t>
      </w:r>
      <w:r w:rsidR="00383238" w:rsidRPr="007F5204">
        <w:t xml:space="preserve">reduction </w:t>
      </w:r>
      <w:r w:rsidRPr="007F5204">
        <w:t>acknowledge</w:t>
      </w:r>
      <w:r w:rsidR="00383238" w:rsidRPr="007F5204">
        <w:t>s</w:t>
      </w:r>
      <w:r w:rsidRPr="007F5204">
        <w:t xml:space="preserve"> that Motuoapa</w:t>
      </w:r>
      <w:r w:rsidR="00383238" w:rsidRPr="007F5204">
        <w:t>,</w:t>
      </w:r>
      <w:r w:rsidRPr="007F5204">
        <w:t xml:space="preserve"> </w:t>
      </w:r>
      <w:r w:rsidR="00383238" w:rsidRPr="007F5204">
        <w:t xml:space="preserve">the largest marina, </w:t>
      </w:r>
      <w:r w:rsidRPr="007F5204">
        <w:t xml:space="preserve">is a new facility and </w:t>
      </w:r>
      <w:r w:rsidR="00383238" w:rsidRPr="007F5204">
        <w:t xml:space="preserve">to </w:t>
      </w:r>
      <w:r w:rsidRPr="007F5204">
        <w:t>apply ageing factors to it at this point in it</w:t>
      </w:r>
      <w:r w:rsidR="00383238" w:rsidRPr="007F5204">
        <w:t>s</w:t>
      </w:r>
      <w:r w:rsidRPr="007F5204">
        <w:t xml:space="preserve"> lifecycle is unnecessary.  </w:t>
      </w:r>
    </w:p>
    <w:p w14:paraId="2E61B83B" w14:textId="40BBE95E" w:rsidR="0047415A" w:rsidRPr="007F5204" w:rsidRDefault="00362099" w:rsidP="00AE3854">
      <w:pPr>
        <w:pStyle w:val="Bullet"/>
      </w:pPr>
      <w:r w:rsidRPr="007F5204">
        <w:t xml:space="preserve">We intend to </w:t>
      </w:r>
      <w:r w:rsidR="0047415A" w:rsidRPr="007F5204">
        <w:t>initiate more regular communication with users of the boating facilities</w:t>
      </w:r>
      <w:r w:rsidR="00673615" w:rsidRPr="007F5204">
        <w:t xml:space="preserve"> on what the</w:t>
      </w:r>
      <w:r w:rsidR="00EC5BC0" w:rsidRPr="007F5204">
        <w:t xml:space="preserve"> Department is doing to remedy </w:t>
      </w:r>
      <w:r w:rsidR="00673615" w:rsidRPr="007F5204">
        <w:t xml:space="preserve">operational issues </w:t>
      </w:r>
      <w:r w:rsidR="00EC5BC0" w:rsidRPr="007F5204">
        <w:t>as they</w:t>
      </w:r>
      <w:r w:rsidR="00673615" w:rsidRPr="007F5204">
        <w:t xml:space="preserve"> arise. </w:t>
      </w:r>
    </w:p>
    <w:p w14:paraId="75E57184" w14:textId="77777777" w:rsidR="008D5CD9" w:rsidRPr="007F5204" w:rsidRDefault="008D5CD9" w:rsidP="00397F68">
      <w:pPr>
        <w:pStyle w:val="Heading2"/>
        <w:rPr>
          <w:rFonts w:cs="Arial"/>
        </w:rPr>
      </w:pPr>
      <w:bookmarkStart w:id="76" w:name="_Preferred_option_[optional]"/>
      <w:bookmarkStart w:id="77" w:name="_Toc244580367"/>
      <w:bookmarkStart w:id="78" w:name="_Toc244587043"/>
      <w:bookmarkStart w:id="79" w:name="_Toc244857277"/>
      <w:bookmarkStart w:id="80" w:name="_Toc244912542"/>
      <w:bookmarkStart w:id="81" w:name="_Toc244916999"/>
      <w:bookmarkStart w:id="82" w:name="_Toc362368108"/>
      <w:bookmarkStart w:id="83" w:name="_Toc362434949"/>
      <w:bookmarkStart w:id="84" w:name="_Toc362589335"/>
      <w:bookmarkStart w:id="85" w:name="_Toc362619035"/>
      <w:bookmarkStart w:id="86" w:name="_Toc362940599"/>
      <w:bookmarkStart w:id="87" w:name="_Toc363047107"/>
      <w:bookmarkEnd w:id="76"/>
      <w:r w:rsidRPr="007F5204">
        <w:rPr>
          <w:rFonts w:cs="Arial"/>
        </w:rPr>
        <w:t>Conclusions and recommendations</w:t>
      </w:r>
      <w:bookmarkEnd w:id="77"/>
      <w:bookmarkEnd w:id="78"/>
      <w:bookmarkEnd w:id="79"/>
      <w:bookmarkEnd w:id="80"/>
      <w:bookmarkEnd w:id="81"/>
      <w:bookmarkEnd w:id="82"/>
      <w:bookmarkEnd w:id="83"/>
      <w:bookmarkEnd w:id="84"/>
      <w:bookmarkEnd w:id="85"/>
      <w:bookmarkEnd w:id="86"/>
      <w:bookmarkEnd w:id="87"/>
    </w:p>
    <w:p w14:paraId="7E40DD18" w14:textId="5C25EA6F" w:rsidR="00047505" w:rsidRPr="00BA1ED2" w:rsidRDefault="00EE1378" w:rsidP="00E51C6C">
      <w:pPr>
        <w:rPr>
          <w:rFonts w:cs="Arial"/>
          <w:szCs w:val="22"/>
        </w:rPr>
      </w:pPr>
      <w:r w:rsidRPr="007F5204">
        <w:rPr>
          <w:rFonts w:cs="Arial"/>
        </w:rPr>
        <w:t xml:space="preserve">The Department has revised its proposal to a fee increase of 22 per cent in 2019 </w:t>
      </w:r>
      <w:r w:rsidR="00047505" w:rsidRPr="007F5204">
        <w:rPr>
          <w:rFonts w:cs="Arial"/>
        </w:rPr>
        <w:t xml:space="preserve">across </w:t>
      </w:r>
      <w:r w:rsidR="00E51C6C" w:rsidRPr="007F5204">
        <w:rPr>
          <w:rFonts w:cs="Arial"/>
        </w:rPr>
        <w:t>all</w:t>
      </w:r>
      <w:r w:rsidR="00047505" w:rsidRPr="007F5204">
        <w:rPr>
          <w:rFonts w:cs="Arial"/>
        </w:rPr>
        <w:t xml:space="preserve"> the boating facilities excluding marina</w:t>
      </w:r>
      <w:r w:rsidR="00047505" w:rsidRPr="00BA1ED2">
        <w:rPr>
          <w:rFonts w:cs="Arial"/>
          <w:szCs w:val="22"/>
        </w:rPr>
        <w:t xml:space="preserve"> temporary berth permit fees which we recommend increase by</w:t>
      </w:r>
      <w:r w:rsidR="00E51C6C" w:rsidRPr="00BA1ED2">
        <w:rPr>
          <w:rFonts w:cs="Arial"/>
          <w:szCs w:val="22"/>
        </w:rPr>
        <w:t xml:space="preserve"> </w:t>
      </w:r>
      <w:r w:rsidR="00047505" w:rsidRPr="00BA1ED2">
        <w:rPr>
          <w:rFonts w:cs="Arial"/>
          <w:szCs w:val="22"/>
        </w:rPr>
        <w:t xml:space="preserve">100 per cent to address a pricing anomaly. We recommend a new option for a 24-hour marina berthing permit priced at $40.00 (GST </w:t>
      </w:r>
      <w:r w:rsidR="00383238" w:rsidRPr="00BA1ED2">
        <w:rPr>
          <w:rFonts w:cs="Arial"/>
          <w:szCs w:val="22"/>
        </w:rPr>
        <w:t>i</w:t>
      </w:r>
      <w:r w:rsidR="00047505" w:rsidRPr="00BA1ED2">
        <w:rPr>
          <w:rFonts w:cs="Arial"/>
          <w:szCs w:val="22"/>
        </w:rPr>
        <w:t>nclusive) per day is introduced.</w:t>
      </w:r>
    </w:p>
    <w:p w14:paraId="196EE392" w14:textId="5C9ECBF6" w:rsidR="00E51C6C" w:rsidRPr="007F5204" w:rsidRDefault="00E51C6C">
      <w:pPr>
        <w:rPr>
          <w:rFonts w:cs="Arial"/>
        </w:rPr>
      </w:pPr>
      <w:r w:rsidRPr="00BA1ED2">
        <w:rPr>
          <w:rFonts w:cs="Arial"/>
          <w:szCs w:val="22"/>
        </w:rPr>
        <w:t xml:space="preserve">We consider the proposed fees are fair and </w:t>
      </w:r>
      <w:r w:rsidR="000841A7" w:rsidRPr="00BA1ED2">
        <w:rPr>
          <w:rFonts w:cs="Arial"/>
          <w:szCs w:val="22"/>
        </w:rPr>
        <w:t>equitable</w:t>
      </w:r>
      <w:r w:rsidR="000841A7">
        <w:rPr>
          <w:rFonts w:cs="Arial"/>
          <w:szCs w:val="22"/>
        </w:rPr>
        <w:t xml:space="preserve"> and</w:t>
      </w:r>
      <w:r w:rsidRPr="00BA1ED2">
        <w:rPr>
          <w:rFonts w:cs="Arial"/>
          <w:szCs w:val="22"/>
        </w:rPr>
        <w:t xml:space="preserve"> </w:t>
      </w:r>
      <w:r w:rsidRPr="00E95640">
        <w:rPr>
          <w:rFonts w:cs="Arial"/>
        </w:rPr>
        <w:t>strike the appropriate balance between the need to recover costs and set fees at a level that is sustainable over the long term.</w:t>
      </w:r>
    </w:p>
    <w:p w14:paraId="4E1D29A3" w14:textId="77777777" w:rsidR="00E51C6C" w:rsidRPr="007F5204" w:rsidRDefault="00047505" w:rsidP="007F5204">
      <w:r w:rsidRPr="007F5204">
        <w:rPr>
          <w:rFonts w:cs="Arial"/>
          <w:szCs w:val="22"/>
        </w:rPr>
        <w:t xml:space="preserve">We recommend Nukuhau and Tokaanu marinas are initially exempt from the fee increase until Nukuhau marina has been dredged and Tokaanu marina has been brought to an appropriate standard to justify increased fees. </w:t>
      </w:r>
      <w:r w:rsidR="00E51C6C" w:rsidRPr="007F5204">
        <w:rPr>
          <w:rFonts w:cs="Arial"/>
          <w:szCs w:val="22"/>
        </w:rPr>
        <w:t>Our analysis assumes this will happen within the next two to three years.</w:t>
      </w:r>
    </w:p>
    <w:p w14:paraId="4FD324A3" w14:textId="77777777" w:rsidR="0043152F" w:rsidRPr="007F5204" w:rsidRDefault="0043152F" w:rsidP="007F5204">
      <w:pPr>
        <w:rPr>
          <w:rFonts w:cs="Arial"/>
        </w:rPr>
      </w:pPr>
      <w:r w:rsidRPr="007F5204">
        <w:rPr>
          <w:rFonts w:cs="Arial"/>
        </w:rPr>
        <w:t>The Department cons</w:t>
      </w:r>
      <w:r w:rsidR="00240FAD" w:rsidRPr="007F5204">
        <w:rPr>
          <w:rFonts w:cs="Arial"/>
        </w:rPr>
        <w:t xml:space="preserve">iders the status quo </w:t>
      </w:r>
      <w:r w:rsidR="00213BF4" w:rsidRPr="007F5204">
        <w:rPr>
          <w:rFonts w:cs="Arial"/>
        </w:rPr>
        <w:t xml:space="preserve">is </w:t>
      </w:r>
      <w:r w:rsidR="00240FAD" w:rsidRPr="007F5204">
        <w:rPr>
          <w:rFonts w:cs="Arial"/>
        </w:rPr>
        <w:t xml:space="preserve">untenable as </w:t>
      </w:r>
      <w:r w:rsidRPr="007F5204">
        <w:rPr>
          <w:rFonts w:cs="Arial"/>
        </w:rPr>
        <w:t xml:space="preserve">it would </w:t>
      </w:r>
      <w:r w:rsidR="00CA7C90" w:rsidRPr="007F5204">
        <w:rPr>
          <w:rFonts w:cs="Arial"/>
        </w:rPr>
        <w:t>be</w:t>
      </w:r>
      <w:r w:rsidRPr="007F5204">
        <w:rPr>
          <w:rFonts w:cs="Arial"/>
        </w:rPr>
        <w:t xml:space="preserve"> </w:t>
      </w:r>
      <w:r w:rsidR="00CA7C90" w:rsidRPr="007F5204">
        <w:rPr>
          <w:rFonts w:cs="Arial"/>
        </w:rPr>
        <w:t>in</w:t>
      </w:r>
      <w:r w:rsidRPr="007F5204">
        <w:rPr>
          <w:rFonts w:cs="Arial"/>
        </w:rPr>
        <w:t xml:space="preserve">appropriate for the Department to subsidise users of the boating </w:t>
      </w:r>
      <w:r w:rsidR="00CA7C90" w:rsidRPr="007F5204">
        <w:rPr>
          <w:rFonts w:cs="Arial"/>
        </w:rPr>
        <w:t xml:space="preserve">facilities or seek additional funding </w:t>
      </w:r>
      <w:r w:rsidR="005914F6" w:rsidRPr="007F5204">
        <w:rPr>
          <w:rFonts w:cs="Arial"/>
        </w:rPr>
        <w:t xml:space="preserve">through the budget process </w:t>
      </w:r>
      <w:r w:rsidR="00CA7C90" w:rsidRPr="007F5204">
        <w:rPr>
          <w:rFonts w:cs="Arial"/>
        </w:rPr>
        <w:t xml:space="preserve">to balance its memorandum account. </w:t>
      </w:r>
    </w:p>
    <w:p w14:paraId="7231538F" w14:textId="77777777" w:rsidR="008D5CD9" w:rsidRPr="007F5204" w:rsidRDefault="008D5CD9" w:rsidP="0088541D">
      <w:pPr>
        <w:pStyle w:val="Heading2"/>
        <w:rPr>
          <w:rFonts w:cs="Arial"/>
        </w:rPr>
      </w:pPr>
      <w:bookmarkStart w:id="88" w:name="_Toc244580368"/>
      <w:bookmarkStart w:id="89" w:name="_Toc244587044"/>
      <w:bookmarkStart w:id="90" w:name="_Toc244857278"/>
      <w:bookmarkStart w:id="91" w:name="_Toc244912543"/>
      <w:bookmarkStart w:id="92" w:name="_Toc244917000"/>
      <w:bookmarkStart w:id="93" w:name="_Toc362368109"/>
      <w:bookmarkStart w:id="94" w:name="_Toc362434950"/>
      <w:bookmarkStart w:id="95" w:name="_Toc362589336"/>
      <w:bookmarkStart w:id="96" w:name="_Toc362619036"/>
      <w:bookmarkStart w:id="97" w:name="_Toc362940600"/>
      <w:bookmarkStart w:id="98" w:name="_Toc363047108"/>
      <w:r w:rsidRPr="007F5204">
        <w:rPr>
          <w:rFonts w:cs="Arial"/>
        </w:rPr>
        <w:t>Implementation</w:t>
      </w:r>
      <w:bookmarkEnd w:id="88"/>
      <w:bookmarkEnd w:id="89"/>
      <w:bookmarkEnd w:id="90"/>
      <w:bookmarkEnd w:id="91"/>
      <w:bookmarkEnd w:id="92"/>
      <w:r w:rsidRPr="007F5204">
        <w:rPr>
          <w:rFonts w:cs="Arial"/>
        </w:rPr>
        <w:t xml:space="preserve"> plan</w:t>
      </w:r>
      <w:bookmarkEnd w:id="93"/>
      <w:bookmarkEnd w:id="94"/>
      <w:bookmarkEnd w:id="95"/>
      <w:bookmarkEnd w:id="96"/>
      <w:bookmarkEnd w:id="97"/>
      <w:bookmarkEnd w:id="98"/>
    </w:p>
    <w:p w14:paraId="695F86B0" w14:textId="77777777" w:rsidR="001941A3" w:rsidRPr="007F5204" w:rsidRDefault="001941A3">
      <w:pPr>
        <w:rPr>
          <w:rFonts w:cs="Arial"/>
        </w:rPr>
      </w:pPr>
      <w:r w:rsidRPr="007F5204">
        <w:rPr>
          <w:rFonts w:cs="Arial"/>
        </w:rPr>
        <w:t xml:space="preserve">The Department recommends that its proposed fee increases are implemented in September 2019. </w:t>
      </w:r>
      <w:r w:rsidR="008E48E0" w:rsidRPr="007F5204">
        <w:rPr>
          <w:rFonts w:cs="Arial"/>
        </w:rPr>
        <w:t>This will allow time to promulgate the Order in Council to increase the fees, and to communicate the changes to service users.</w:t>
      </w:r>
    </w:p>
    <w:p w14:paraId="10BF03F4" w14:textId="56D3C480" w:rsidR="00134C28" w:rsidRPr="007F5204" w:rsidRDefault="00134C28">
      <w:pPr>
        <w:rPr>
          <w:rFonts w:cs="Arial"/>
        </w:rPr>
      </w:pPr>
      <w:r w:rsidRPr="007F5204">
        <w:rPr>
          <w:rFonts w:cs="Arial"/>
        </w:rPr>
        <w:lastRenderedPageBreak/>
        <w:t>The Department will communicate the new fees directly to facility users</w:t>
      </w:r>
      <w:r w:rsidR="00240FAD" w:rsidRPr="007F5204">
        <w:rPr>
          <w:rFonts w:cs="Arial"/>
        </w:rPr>
        <w:t xml:space="preserve"> by email</w:t>
      </w:r>
      <w:r w:rsidRPr="007F5204">
        <w:rPr>
          <w:rFonts w:cs="Arial"/>
        </w:rPr>
        <w:t>. The Department will also publish the new fees on its website and update signage and brochures at the facilities.</w:t>
      </w:r>
      <w:r w:rsidR="00240FAD" w:rsidRPr="007F5204">
        <w:rPr>
          <w:rFonts w:cs="Arial"/>
        </w:rPr>
        <w:t xml:space="preserve"> The Department will update the fees at the point of sale, such as invoicing for annual berth and mooring permits, online and through </w:t>
      </w:r>
      <w:r w:rsidR="0037417E" w:rsidRPr="007F5204">
        <w:rPr>
          <w:rFonts w:cs="Arial"/>
        </w:rPr>
        <w:t>third</w:t>
      </w:r>
      <w:r w:rsidR="0037417E">
        <w:rPr>
          <w:rFonts w:cs="Arial"/>
        </w:rPr>
        <w:t>-</w:t>
      </w:r>
      <w:r w:rsidR="00240FAD" w:rsidRPr="007F5204">
        <w:rPr>
          <w:rFonts w:cs="Arial"/>
        </w:rPr>
        <w:t>party providers for ramp permits.</w:t>
      </w:r>
    </w:p>
    <w:p w14:paraId="0B075E58" w14:textId="77777777" w:rsidR="008D5CD9" w:rsidRPr="007F5204" w:rsidRDefault="008540AD" w:rsidP="0088541D">
      <w:pPr>
        <w:pStyle w:val="Heading2"/>
        <w:rPr>
          <w:rFonts w:cs="Arial"/>
        </w:rPr>
      </w:pPr>
      <w:bookmarkStart w:id="99" w:name="_Toc244580369"/>
      <w:bookmarkStart w:id="100" w:name="_Toc244587045"/>
      <w:bookmarkStart w:id="101" w:name="_Toc244857279"/>
      <w:bookmarkStart w:id="102" w:name="_Toc244912544"/>
      <w:bookmarkStart w:id="103" w:name="_Toc244917001"/>
      <w:bookmarkStart w:id="104" w:name="_Toc362368110"/>
      <w:bookmarkStart w:id="105" w:name="_Toc362434951"/>
      <w:bookmarkStart w:id="106" w:name="_Toc362589337"/>
      <w:bookmarkStart w:id="107" w:name="_Toc362619037"/>
      <w:bookmarkStart w:id="108" w:name="_Toc362940601"/>
      <w:bookmarkStart w:id="109" w:name="_Toc363047109"/>
      <w:r w:rsidRPr="007F5204">
        <w:rPr>
          <w:rFonts w:cs="Arial"/>
        </w:rPr>
        <w:t>Monitoring and</w:t>
      </w:r>
      <w:r w:rsidR="008D5CD9" w:rsidRPr="007F5204">
        <w:rPr>
          <w:rFonts w:cs="Arial"/>
        </w:rPr>
        <w:t xml:space="preserve"> evaluation</w:t>
      </w:r>
      <w:bookmarkEnd w:id="99"/>
      <w:bookmarkEnd w:id="100"/>
      <w:bookmarkEnd w:id="101"/>
      <w:bookmarkEnd w:id="102"/>
      <w:bookmarkEnd w:id="103"/>
      <w:bookmarkEnd w:id="104"/>
      <w:bookmarkEnd w:id="105"/>
      <w:bookmarkEnd w:id="106"/>
      <w:bookmarkEnd w:id="107"/>
      <w:bookmarkEnd w:id="108"/>
      <w:bookmarkEnd w:id="109"/>
    </w:p>
    <w:p w14:paraId="34BAFA03" w14:textId="77777777" w:rsidR="007663DD" w:rsidRPr="007F5204" w:rsidRDefault="007663DD">
      <w:pPr>
        <w:rPr>
          <w:rFonts w:cs="Arial"/>
        </w:rPr>
      </w:pPr>
      <w:r w:rsidRPr="007F5204">
        <w:rPr>
          <w:rFonts w:cs="Arial"/>
        </w:rPr>
        <w:t>The Departmen</w:t>
      </w:r>
      <w:r w:rsidR="00E51C6C" w:rsidRPr="007F5204">
        <w:rPr>
          <w:rFonts w:cs="Arial"/>
        </w:rPr>
        <w:t>t</w:t>
      </w:r>
      <w:r w:rsidRPr="007F5204">
        <w:rPr>
          <w:rFonts w:cs="Arial"/>
        </w:rPr>
        <w:t xml:space="preserve"> </w:t>
      </w:r>
      <w:r w:rsidR="00910BEE" w:rsidRPr="007F5204">
        <w:rPr>
          <w:rFonts w:cs="Arial"/>
        </w:rPr>
        <w:t xml:space="preserve">regularly monitors actual revenue and expenditure in the memorandum account against </w:t>
      </w:r>
      <w:r w:rsidR="00185836" w:rsidRPr="007F5204">
        <w:rPr>
          <w:rFonts w:cs="Arial"/>
        </w:rPr>
        <w:t xml:space="preserve">its </w:t>
      </w:r>
      <w:r w:rsidR="00910BEE" w:rsidRPr="007F5204">
        <w:rPr>
          <w:rFonts w:cs="Arial"/>
        </w:rPr>
        <w:t xml:space="preserve">budget. If a large variance is discovered, it is investigated, and action is taken if necessary. </w:t>
      </w:r>
    </w:p>
    <w:p w14:paraId="041606BB" w14:textId="77777777" w:rsidR="00910BEE" w:rsidRPr="007F5204" w:rsidRDefault="00910BEE">
      <w:pPr>
        <w:rPr>
          <w:rFonts w:cs="Arial"/>
        </w:rPr>
      </w:pPr>
      <w:r w:rsidRPr="007F5204">
        <w:rPr>
          <w:rFonts w:cs="Arial"/>
        </w:rPr>
        <w:t xml:space="preserve">The Department reports annually on the performance of the memorandum account at which time the effect of the fee increases will be evaluated. </w:t>
      </w:r>
    </w:p>
    <w:p w14:paraId="5C0CEBE7" w14:textId="3E96D397" w:rsidR="008E48E0" w:rsidRPr="007F5204" w:rsidRDefault="008E48E0">
      <w:pPr>
        <w:rPr>
          <w:rFonts w:cs="Arial"/>
        </w:rPr>
      </w:pPr>
      <w:r w:rsidRPr="007F5204">
        <w:rPr>
          <w:rFonts w:cs="Arial"/>
        </w:rPr>
        <w:t xml:space="preserve">The </w:t>
      </w:r>
      <w:r w:rsidR="009E320A" w:rsidRPr="007F5204">
        <w:rPr>
          <w:rFonts w:cs="Arial"/>
        </w:rPr>
        <w:t>A</w:t>
      </w:r>
      <w:r w:rsidRPr="007F5204">
        <w:rPr>
          <w:rFonts w:cs="Arial"/>
        </w:rPr>
        <w:t xml:space="preserve">sset </w:t>
      </w:r>
      <w:r w:rsidR="009E320A" w:rsidRPr="007F5204">
        <w:rPr>
          <w:rFonts w:cs="Arial"/>
        </w:rPr>
        <w:t>M</w:t>
      </w:r>
      <w:r w:rsidRPr="007F5204">
        <w:rPr>
          <w:rFonts w:cs="Arial"/>
        </w:rPr>
        <w:t xml:space="preserve">anagement </w:t>
      </w:r>
      <w:r w:rsidR="009E320A" w:rsidRPr="007F5204">
        <w:rPr>
          <w:rFonts w:cs="Arial"/>
        </w:rPr>
        <w:t>P</w:t>
      </w:r>
      <w:r w:rsidRPr="007F5204">
        <w:rPr>
          <w:rFonts w:cs="Arial"/>
        </w:rPr>
        <w:t>lan sets out the Department’s approach to monitoring the performance and condition of the assets, to ensure that the level of service is maintained efficiently.</w:t>
      </w:r>
    </w:p>
    <w:p w14:paraId="76C2F10E" w14:textId="77777777" w:rsidR="00910BEE" w:rsidRPr="007F5204" w:rsidRDefault="00910BEE">
      <w:pPr>
        <w:rPr>
          <w:rFonts w:cs="Arial"/>
        </w:rPr>
      </w:pPr>
      <w:r w:rsidRPr="007F5204">
        <w:rPr>
          <w:rFonts w:cs="Arial"/>
        </w:rPr>
        <w:t xml:space="preserve">This will feed in to the next fee review in 2022. </w:t>
      </w:r>
    </w:p>
    <w:p w14:paraId="2FA694C2" w14:textId="77777777" w:rsidR="008540AD" w:rsidRPr="007F5204" w:rsidRDefault="008540AD" w:rsidP="008540AD">
      <w:pPr>
        <w:pStyle w:val="Heading2"/>
        <w:rPr>
          <w:rFonts w:cs="Arial"/>
        </w:rPr>
      </w:pPr>
      <w:r w:rsidRPr="007F5204">
        <w:rPr>
          <w:rFonts w:cs="Arial"/>
        </w:rPr>
        <w:t>Review</w:t>
      </w:r>
    </w:p>
    <w:p w14:paraId="24A594E5" w14:textId="77777777" w:rsidR="00910BEE" w:rsidRPr="007F5204" w:rsidRDefault="00510B2E">
      <w:pPr>
        <w:rPr>
          <w:rFonts w:cs="Arial"/>
        </w:rPr>
      </w:pPr>
      <w:r w:rsidRPr="007F5204">
        <w:rPr>
          <w:rFonts w:cs="Arial"/>
        </w:rPr>
        <w:t xml:space="preserve">The Department plans to review fees for the boating facilities again in 2022. </w:t>
      </w:r>
    </w:p>
    <w:p w14:paraId="7F4DD46D" w14:textId="77777777" w:rsidR="00910BEE" w:rsidRPr="007F5204" w:rsidRDefault="00510B2E">
      <w:pPr>
        <w:rPr>
          <w:rFonts w:cs="Arial"/>
        </w:rPr>
      </w:pPr>
      <w:r w:rsidRPr="007F5204">
        <w:rPr>
          <w:rFonts w:cs="Arial"/>
        </w:rPr>
        <w:t xml:space="preserve">This will </w:t>
      </w:r>
      <w:r w:rsidR="00910BEE" w:rsidRPr="007F5204">
        <w:rPr>
          <w:rFonts w:cs="Arial"/>
        </w:rPr>
        <w:t xml:space="preserve">start with an evaluation of the effect of the fee increases and how the memorandum account balance and demand for the facilities is tracking.  </w:t>
      </w:r>
    </w:p>
    <w:p w14:paraId="67DB657D" w14:textId="3B40176E" w:rsidR="00910BEE" w:rsidRPr="007F5204" w:rsidRDefault="00910BEE">
      <w:pPr>
        <w:rPr>
          <w:rFonts w:cs="Arial"/>
        </w:rPr>
      </w:pPr>
      <w:r w:rsidRPr="007F5204">
        <w:rPr>
          <w:rFonts w:cs="Arial"/>
        </w:rPr>
        <w:t xml:space="preserve">Should another fee increase be necessary we will follow the same process as </w:t>
      </w:r>
      <w:r w:rsidR="00383238" w:rsidRPr="007F5204">
        <w:rPr>
          <w:rFonts w:cs="Arial"/>
        </w:rPr>
        <w:t>used</w:t>
      </w:r>
      <w:r w:rsidR="00EE1378" w:rsidRPr="007F5204">
        <w:rPr>
          <w:rFonts w:cs="Arial"/>
        </w:rPr>
        <w:t xml:space="preserve"> in this </w:t>
      </w:r>
      <w:r w:rsidRPr="007F5204">
        <w:rPr>
          <w:rFonts w:cs="Arial"/>
        </w:rPr>
        <w:t xml:space="preserve">review. A proposal will be developed and consulted on with users of the boating facilities and other key stakeholders. </w:t>
      </w:r>
      <w:r w:rsidR="00EE1378" w:rsidRPr="007F5204">
        <w:rPr>
          <w:rFonts w:cs="Arial"/>
        </w:rPr>
        <w:t>Comparative</w:t>
      </w:r>
      <w:r w:rsidRPr="007F5204">
        <w:rPr>
          <w:rFonts w:cs="Arial"/>
        </w:rPr>
        <w:t xml:space="preserve"> analysis with other marinas will </w:t>
      </w:r>
      <w:r w:rsidR="00EE1378" w:rsidRPr="007F5204">
        <w:rPr>
          <w:rFonts w:cs="Arial"/>
        </w:rPr>
        <w:t xml:space="preserve">also </w:t>
      </w:r>
      <w:r w:rsidRPr="007F5204">
        <w:rPr>
          <w:rFonts w:cs="Arial"/>
        </w:rPr>
        <w:t xml:space="preserve">be undertaken. </w:t>
      </w:r>
    </w:p>
    <w:bookmarkEnd w:id="8"/>
    <w:bookmarkEnd w:id="9"/>
    <w:bookmarkEnd w:id="10"/>
    <w:bookmarkEnd w:id="11"/>
    <w:bookmarkEnd w:id="12"/>
    <w:bookmarkEnd w:id="13"/>
    <w:bookmarkEnd w:id="14"/>
    <w:bookmarkEnd w:id="15"/>
    <w:bookmarkEnd w:id="16"/>
    <w:bookmarkEnd w:id="17"/>
    <w:p w14:paraId="66D14B0B" w14:textId="77777777" w:rsidR="00732B9C" w:rsidRPr="007F5204" w:rsidRDefault="00732B9C" w:rsidP="00732B9C">
      <w:pPr>
        <w:pStyle w:val="Heading2"/>
        <w:rPr>
          <w:rFonts w:cs="Arial"/>
        </w:rPr>
      </w:pPr>
      <w:r w:rsidRPr="007F5204">
        <w:rPr>
          <w:rFonts w:cs="Arial"/>
        </w:rPr>
        <w:t>Version control</w:t>
      </w: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868"/>
        <w:gridCol w:w="1984"/>
        <w:gridCol w:w="5220"/>
      </w:tblGrid>
      <w:tr w:rsidR="00D62C3A" w:rsidRPr="00BA1ED2" w14:paraId="54A84090" w14:textId="77777777" w:rsidTr="008A0157">
        <w:tc>
          <w:tcPr>
            <w:tcW w:w="1868" w:type="dxa"/>
            <w:shd w:val="clear" w:color="auto" w:fill="EBF5F8"/>
          </w:tcPr>
          <w:p w14:paraId="0638CEA6" w14:textId="77777777" w:rsidR="00732B9C" w:rsidRPr="007F5204" w:rsidRDefault="00732B9C" w:rsidP="00C5192E">
            <w:pPr>
              <w:pStyle w:val="TableText"/>
              <w:rPr>
                <w:rFonts w:cs="Arial"/>
                <w:b/>
                <w:color w:val="0082AB"/>
              </w:rPr>
            </w:pPr>
            <w:proofErr w:type="gramStart"/>
            <w:r w:rsidRPr="007F5204">
              <w:rPr>
                <w:rFonts w:cs="Arial"/>
                <w:b/>
                <w:color w:val="0082AB"/>
              </w:rPr>
              <w:t>Other</w:t>
            </w:r>
            <w:proofErr w:type="gramEnd"/>
            <w:r w:rsidRPr="007F5204">
              <w:rPr>
                <w:rFonts w:cs="Arial"/>
                <w:b/>
                <w:color w:val="0082AB"/>
              </w:rPr>
              <w:t xml:space="preserve"> version</w:t>
            </w:r>
          </w:p>
        </w:tc>
        <w:tc>
          <w:tcPr>
            <w:tcW w:w="1984" w:type="dxa"/>
            <w:shd w:val="clear" w:color="auto" w:fill="EBF5F8"/>
          </w:tcPr>
          <w:p w14:paraId="4C5C6E20" w14:textId="77777777" w:rsidR="00732B9C" w:rsidRPr="007F5204" w:rsidRDefault="00732B9C" w:rsidP="00C5192E">
            <w:pPr>
              <w:pStyle w:val="TableText"/>
              <w:rPr>
                <w:rFonts w:cs="Arial"/>
                <w:b/>
                <w:color w:val="0082AB"/>
              </w:rPr>
            </w:pPr>
            <w:r w:rsidRPr="007F5204">
              <w:rPr>
                <w:rFonts w:cs="Arial"/>
                <w:b/>
                <w:color w:val="0082AB"/>
              </w:rPr>
              <w:t>Date</w:t>
            </w:r>
          </w:p>
        </w:tc>
        <w:tc>
          <w:tcPr>
            <w:tcW w:w="5220" w:type="dxa"/>
            <w:shd w:val="clear" w:color="auto" w:fill="EBF5F8"/>
          </w:tcPr>
          <w:p w14:paraId="10F9A7D5" w14:textId="77777777" w:rsidR="00732B9C" w:rsidRPr="007F5204" w:rsidRDefault="00732B9C" w:rsidP="00C5192E">
            <w:pPr>
              <w:pStyle w:val="TableText"/>
              <w:rPr>
                <w:rFonts w:cs="Arial"/>
                <w:b/>
                <w:color w:val="0082AB"/>
              </w:rPr>
            </w:pPr>
            <w:r w:rsidRPr="007F5204">
              <w:rPr>
                <w:rFonts w:cs="Arial"/>
                <w:b/>
                <w:color w:val="0082AB"/>
              </w:rPr>
              <w:t>Link</w:t>
            </w:r>
          </w:p>
        </w:tc>
      </w:tr>
      <w:tr w:rsidR="00732B9C" w:rsidRPr="00BA1ED2" w14:paraId="6E6765BC" w14:textId="77777777" w:rsidTr="008A0157">
        <w:tc>
          <w:tcPr>
            <w:tcW w:w="1868" w:type="dxa"/>
            <w:shd w:val="clear" w:color="auto" w:fill="auto"/>
          </w:tcPr>
          <w:p w14:paraId="55C1B844" w14:textId="77777777" w:rsidR="00732B9C" w:rsidRPr="00E95640" w:rsidRDefault="00732B9C" w:rsidP="00C5192E">
            <w:pPr>
              <w:pStyle w:val="TableText"/>
              <w:rPr>
                <w:rFonts w:cs="Arial"/>
              </w:rPr>
            </w:pPr>
          </w:p>
        </w:tc>
        <w:tc>
          <w:tcPr>
            <w:tcW w:w="1984" w:type="dxa"/>
            <w:shd w:val="clear" w:color="auto" w:fill="auto"/>
          </w:tcPr>
          <w:p w14:paraId="03C6EE63" w14:textId="77777777" w:rsidR="00732B9C" w:rsidRPr="007F5204" w:rsidRDefault="00732B9C" w:rsidP="00C5192E">
            <w:pPr>
              <w:pStyle w:val="TableText"/>
              <w:rPr>
                <w:rFonts w:cs="Arial"/>
              </w:rPr>
            </w:pPr>
          </w:p>
        </w:tc>
        <w:tc>
          <w:tcPr>
            <w:tcW w:w="5220" w:type="dxa"/>
            <w:shd w:val="clear" w:color="auto" w:fill="auto"/>
          </w:tcPr>
          <w:p w14:paraId="01B3EBBD" w14:textId="77777777" w:rsidR="00732B9C" w:rsidRPr="007F5204" w:rsidRDefault="00732B9C" w:rsidP="00C5192E">
            <w:pPr>
              <w:pStyle w:val="TableText"/>
              <w:rPr>
                <w:rFonts w:cs="Arial"/>
              </w:rPr>
            </w:pPr>
          </w:p>
        </w:tc>
      </w:tr>
      <w:tr w:rsidR="00732B9C" w:rsidRPr="00BA1ED2" w14:paraId="3C0D168C" w14:textId="77777777" w:rsidTr="008A0157">
        <w:tc>
          <w:tcPr>
            <w:tcW w:w="1868" w:type="dxa"/>
            <w:shd w:val="clear" w:color="auto" w:fill="auto"/>
          </w:tcPr>
          <w:p w14:paraId="0FB6C05C" w14:textId="77777777" w:rsidR="00732B9C" w:rsidRPr="00E95640" w:rsidRDefault="00732B9C" w:rsidP="00C5192E">
            <w:pPr>
              <w:pStyle w:val="TableText"/>
              <w:rPr>
                <w:rFonts w:cs="Arial"/>
              </w:rPr>
            </w:pPr>
          </w:p>
        </w:tc>
        <w:tc>
          <w:tcPr>
            <w:tcW w:w="1984" w:type="dxa"/>
            <w:shd w:val="clear" w:color="auto" w:fill="auto"/>
          </w:tcPr>
          <w:p w14:paraId="70FE328E" w14:textId="77777777" w:rsidR="00732B9C" w:rsidRPr="007F5204" w:rsidRDefault="00732B9C" w:rsidP="00C5192E">
            <w:pPr>
              <w:pStyle w:val="TableText"/>
              <w:rPr>
                <w:rFonts w:cs="Arial"/>
              </w:rPr>
            </w:pPr>
          </w:p>
        </w:tc>
        <w:tc>
          <w:tcPr>
            <w:tcW w:w="5220" w:type="dxa"/>
            <w:shd w:val="clear" w:color="auto" w:fill="auto"/>
          </w:tcPr>
          <w:p w14:paraId="62E66712" w14:textId="77777777" w:rsidR="00732B9C" w:rsidRPr="007F5204" w:rsidRDefault="00732B9C" w:rsidP="00C5192E">
            <w:pPr>
              <w:pStyle w:val="TableText"/>
              <w:rPr>
                <w:rFonts w:cs="Arial"/>
              </w:rPr>
            </w:pPr>
          </w:p>
        </w:tc>
      </w:tr>
    </w:tbl>
    <w:p w14:paraId="6622EEF5" w14:textId="77777777" w:rsidR="00732B9C" w:rsidRPr="00E95640" w:rsidRDefault="00732B9C" w:rsidP="00ED186A">
      <w:pPr>
        <w:rPr>
          <w:rFonts w:cs="Arial"/>
        </w:rPr>
      </w:pPr>
    </w:p>
    <w:p w14:paraId="653620D7" w14:textId="77777777" w:rsidR="00B62A9E" w:rsidRPr="007F5204" w:rsidRDefault="00447DD2" w:rsidP="00397F68">
      <w:pPr>
        <w:pStyle w:val="Heading2"/>
        <w:rPr>
          <w:rFonts w:cs="Arial"/>
        </w:rPr>
      </w:pPr>
      <w:r w:rsidRPr="007F5204">
        <w:rPr>
          <w:rFonts w:cs="Arial"/>
        </w:rPr>
        <w:br w:type="page"/>
      </w:r>
      <w:r w:rsidRPr="007F5204">
        <w:rPr>
          <w:rFonts w:cs="Arial"/>
        </w:rPr>
        <w:lastRenderedPageBreak/>
        <w:t xml:space="preserve">Annex 1: </w:t>
      </w:r>
      <w:r w:rsidR="00240FAD" w:rsidRPr="007F5204">
        <w:rPr>
          <w:rFonts w:cs="Arial"/>
        </w:rPr>
        <w:t xml:space="preserve">Current, consulted on and recommended fees </w:t>
      </w:r>
    </w:p>
    <w:tbl>
      <w:tblPr>
        <w:tblW w:w="926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905"/>
        <w:gridCol w:w="1797"/>
        <w:gridCol w:w="1685"/>
        <w:gridCol w:w="1940"/>
        <w:gridCol w:w="1940"/>
      </w:tblGrid>
      <w:tr w:rsidR="00240FAD" w:rsidRPr="00BA1ED2" w14:paraId="422771B2" w14:textId="77777777" w:rsidTr="007F5204">
        <w:tc>
          <w:tcPr>
            <w:tcW w:w="1905" w:type="dxa"/>
            <w:tcBorders>
              <w:bottom w:val="nil"/>
              <w:right w:val="nil"/>
            </w:tcBorders>
            <w:shd w:val="clear" w:color="auto" w:fill="000000"/>
          </w:tcPr>
          <w:p w14:paraId="6896D143" w14:textId="77777777" w:rsidR="00240FAD" w:rsidRPr="007F5204" w:rsidRDefault="00240FAD" w:rsidP="00DE0940">
            <w:pPr>
              <w:spacing w:before="40" w:after="40" w:line="240" w:lineRule="auto"/>
              <w:rPr>
                <w:rFonts w:eastAsia="Calibri" w:cs="Arial"/>
                <w:b/>
                <w:bCs/>
                <w:color w:val="FFFFFF"/>
                <w:szCs w:val="22"/>
                <w:lang w:val="en-NZ" w:eastAsia="en-US"/>
              </w:rPr>
            </w:pPr>
            <w:bookmarkStart w:id="110" w:name="_Hlk8037058"/>
          </w:p>
        </w:tc>
        <w:tc>
          <w:tcPr>
            <w:tcW w:w="1797" w:type="dxa"/>
            <w:shd w:val="clear" w:color="auto" w:fill="000000"/>
          </w:tcPr>
          <w:p w14:paraId="7CE6EC86" w14:textId="77777777" w:rsidR="00240FAD" w:rsidRPr="007F5204" w:rsidRDefault="00240FAD" w:rsidP="00DE0940">
            <w:pPr>
              <w:spacing w:before="40" w:after="40" w:line="240" w:lineRule="auto"/>
              <w:rPr>
                <w:rFonts w:eastAsia="Calibri" w:cs="Arial"/>
                <w:b/>
                <w:bCs/>
                <w:color w:val="FFFFFF"/>
                <w:szCs w:val="22"/>
                <w:lang w:val="en-NZ" w:eastAsia="en-US"/>
              </w:rPr>
            </w:pPr>
            <w:r w:rsidRPr="007F5204">
              <w:rPr>
                <w:rFonts w:eastAsia="Calibri" w:cs="Arial"/>
                <w:b/>
                <w:bCs/>
                <w:color w:val="FFFFFF"/>
                <w:szCs w:val="22"/>
                <w:lang w:val="en-NZ" w:eastAsia="en-US"/>
              </w:rPr>
              <w:t xml:space="preserve">Current fee </w:t>
            </w:r>
          </w:p>
        </w:tc>
        <w:tc>
          <w:tcPr>
            <w:tcW w:w="1685" w:type="dxa"/>
            <w:shd w:val="clear" w:color="auto" w:fill="000000"/>
          </w:tcPr>
          <w:p w14:paraId="420CD42E" w14:textId="77777777" w:rsidR="00240FAD" w:rsidRPr="007F5204" w:rsidRDefault="00240FAD" w:rsidP="00DE0940">
            <w:pPr>
              <w:spacing w:before="40" w:after="40" w:line="240" w:lineRule="auto"/>
              <w:rPr>
                <w:rFonts w:eastAsia="Calibri" w:cs="Arial"/>
                <w:b/>
                <w:bCs/>
                <w:color w:val="FFFFFF"/>
                <w:szCs w:val="22"/>
                <w:lang w:val="en-NZ" w:eastAsia="en-US"/>
              </w:rPr>
            </w:pPr>
            <w:r w:rsidRPr="007F5204">
              <w:rPr>
                <w:rFonts w:eastAsia="Calibri" w:cs="Arial"/>
                <w:b/>
                <w:bCs/>
                <w:color w:val="FFFFFF"/>
                <w:szCs w:val="22"/>
                <w:lang w:val="en-NZ" w:eastAsia="en-US"/>
              </w:rPr>
              <w:t xml:space="preserve">2019 Fees </w:t>
            </w:r>
          </w:p>
          <w:p w14:paraId="0134BA2A" w14:textId="77777777" w:rsidR="00240FAD" w:rsidRPr="007F5204" w:rsidRDefault="00240FAD" w:rsidP="00DE0940">
            <w:pPr>
              <w:spacing w:before="40" w:after="40" w:line="240" w:lineRule="auto"/>
              <w:rPr>
                <w:rFonts w:eastAsia="Calibri" w:cs="Arial"/>
                <w:b/>
                <w:bCs/>
                <w:color w:val="FFFFFF"/>
                <w:szCs w:val="22"/>
                <w:lang w:val="en-NZ" w:eastAsia="en-US"/>
              </w:rPr>
            </w:pPr>
            <w:r w:rsidRPr="007F5204">
              <w:rPr>
                <w:rFonts w:eastAsia="Calibri" w:cs="Arial"/>
                <w:b/>
                <w:bCs/>
                <w:color w:val="FFFFFF"/>
                <w:szCs w:val="22"/>
                <w:lang w:val="en-NZ" w:eastAsia="en-US"/>
              </w:rPr>
              <w:t xml:space="preserve">(Consulted on) </w:t>
            </w:r>
          </w:p>
        </w:tc>
        <w:tc>
          <w:tcPr>
            <w:tcW w:w="1940" w:type="dxa"/>
            <w:shd w:val="clear" w:color="auto" w:fill="000000"/>
          </w:tcPr>
          <w:p w14:paraId="5ED67B61" w14:textId="77777777" w:rsidR="00240FAD" w:rsidRPr="007F5204" w:rsidRDefault="00240FAD" w:rsidP="00DE0940">
            <w:pPr>
              <w:spacing w:before="40" w:after="40" w:line="240" w:lineRule="auto"/>
              <w:rPr>
                <w:rFonts w:eastAsia="Calibri" w:cs="Arial"/>
                <w:b/>
                <w:bCs/>
                <w:color w:val="FFFFFF"/>
                <w:szCs w:val="22"/>
                <w:lang w:val="en-NZ" w:eastAsia="en-US"/>
              </w:rPr>
            </w:pPr>
            <w:r w:rsidRPr="007F5204">
              <w:rPr>
                <w:rFonts w:eastAsia="Calibri" w:cs="Arial"/>
                <w:b/>
                <w:bCs/>
                <w:color w:val="FFFFFF"/>
                <w:szCs w:val="22"/>
                <w:lang w:val="en-NZ" w:eastAsia="en-US"/>
              </w:rPr>
              <w:t>2019 Fees (Recommended)</w:t>
            </w:r>
          </w:p>
        </w:tc>
        <w:tc>
          <w:tcPr>
            <w:tcW w:w="1940" w:type="dxa"/>
            <w:shd w:val="clear" w:color="auto" w:fill="000000"/>
          </w:tcPr>
          <w:p w14:paraId="654812D3" w14:textId="77777777" w:rsidR="00240FAD" w:rsidRPr="007F5204" w:rsidRDefault="00240FAD" w:rsidP="00DE0940">
            <w:pPr>
              <w:spacing w:before="40" w:after="40" w:line="240" w:lineRule="auto"/>
              <w:rPr>
                <w:rFonts w:eastAsia="Calibri" w:cs="Arial"/>
                <w:b/>
                <w:bCs/>
                <w:color w:val="FFFFFF"/>
                <w:szCs w:val="22"/>
                <w:lang w:val="en-NZ" w:eastAsia="en-US"/>
              </w:rPr>
            </w:pPr>
            <w:r w:rsidRPr="007F5204">
              <w:rPr>
                <w:rFonts w:eastAsia="Calibri" w:cs="Arial"/>
                <w:b/>
                <w:bCs/>
                <w:color w:val="FFFFFF"/>
                <w:szCs w:val="22"/>
                <w:lang w:val="en-NZ" w:eastAsia="en-US"/>
              </w:rPr>
              <w:t xml:space="preserve">Total fee increase </w:t>
            </w:r>
          </w:p>
          <w:p w14:paraId="1907251C" w14:textId="77777777" w:rsidR="00240FAD" w:rsidRPr="007F5204" w:rsidRDefault="00240FAD" w:rsidP="00DE0940">
            <w:pPr>
              <w:spacing w:before="40" w:after="40" w:line="240" w:lineRule="auto"/>
              <w:rPr>
                <w:rFonts w:eastAsia="Calibri" w:cs="Arial"/>
                <w:b/>
                <w:bCs/>
                <w:color w:val="FFFFFF"/>
                <w:szCs w:val="22"/>
                <w:lang w:val="en-NZ" w:eastAsia="en-US"/>
              </w:rPr>
            </w:pPr>
            <w:r w:rsidRPr="007F5204">
              <w:rPr>
                <w:rFonts w:eastAsia="Calibri" w:cs="Arial"/>
                <w:b/>
                <w:bCs/>
                <w:color w:val="FFFFFF"/>
                <w:szCs w:val="22"/>
                <w:lang w:val="en-NZ" w:eastAsia="en-US"/>
              </w:rPr>
              <w:t>(Recommended)</w:t>
            </w:r>
          </w:p>
        </w:tc>
      </w:tr>
      <w:tr w:rsidR="00240FAD" w:rsidRPr="00BA1ED2" w14:paraId="36D575BD" w14:textId="77777777" w:rsidTr="007F5204">
        <w:tc>
          <w:tcPr>
            <w:tcW w:w="9267" w:type="dxa"/>
            <w:gridSpan w:val="5"/>
            <w:tcBorders>
              <w:top w:val="single" w:sz="4" w:space="0" w:color="000000"/>
              <w:bottom w:val="single" w:sz="4" w:space="0" w:color="000000"/>
              <w:right w:val="nil"/>
            </w:tcBorders>
            <w:shd w:val="clear" w:color="auto" w:fill="FFFFFF"/>
          </w:tcPr>
          <w:p w14:paraId="7E41A149" w14:textId="77777777" w:rsidR="00240FAD" w:rsidRPr="007F5204" w:rsidRDefault="00240FAD" w:rsidP="00DE0940">
            <w:pPr>
              <w:spacing w:before="40" w:after="40" w:line="240" w:lineRule="auto"/>
              <w:rPr>
                <w:rFonts w:eastAsia="Calibri" w:cs="Arial"/>
                <w:b/>
                <w:bCs/>
                <w:color w:val="FFFFFF"/>
                <w:szCs w:val="22"/>
                <w:lang w:val="en-NZ" w:eastAsia="en-US"/>
              </w:rPr>
            </w:pPr>
            <w:r w:rsidRPr="007F5204">
              <w:rPr>
                <w:rFonts w:eastAsia="Calibri" w:cs="Arial"/>
                <w:b/>
                <w:bCs/>
                <w:szCs w:val="22"/>
                <w:lang w:val="en-NZ" w:eastAsia="en-US"/>
              </w:rPr>
              <w:t xml:space="preserve">All fees GST Inclusive </w:t>
            </w:r>
          </w:p>
        </w:tc>
      </w:tr>
      <w:tr w:rsidR="00240FAD" w:rsidRPr="00BA1ED2" w14:paraId="06E44A2D" w14:textId="77777777" w:rsidTr="007F5204">
        <w:tc>
          <w:tcPr>
            <w:tcW w:w="9267" w:type="dxa"/>
            <w:gridSpan w:val="5"/>
            <w:tcBorders>
              <w:right w:val="nil"/>
            </w:tcBorders>
            <w:shd w:val="clear" w:color="auto" w:fill="FFFFFF"/>
          </w:tcPr>
          <w:p w14:paraId="3612B631" w14:textId="77777777" w:rsidR="00240FAD" w:rsidRPr="007F5204" w:rsidRDefault="00240FAD" w:rsidP="00DE0940">
            <w:pPr>
              <w:spacing w:before="40" w:after="40" w:line="240" w:lineRule="auto"/>
              <w:rPr>
                <w:rFonts w:eastAsia="Calibri" w:cs="Arial"/>
                <w:b/>
                <w:bCs/>
                <w:i/>
                <w:szCs w:val="22"/>
                <w:lang w:val="en-NZ" w:eastAsia="en-US"/>
              </w:rPr>
            </w:pPr>
            <w:r w:rsidRPr="007F5204">
              <w:rPr>
                <w:rFonts w:eastAsia="Calibri" w:cs="Arial"/>
                <w:b/>
                <w:bCs/>
                <w:i/>
                <w:szCs w:val="22"/>
                <w:lang w:val="en-NZ" w:eastAsia="en-US"/>
              </w:rPr>
              <w:t>Ramp permit</w:t>
            </w:r>
          </w:p>
        </w:tc>
      </w:tr>
      <w:tr w:rsidR="00240FAD" w:rsidRPr="00BA1ED2" w14:paraId="3E63ADE0" w14:textId="77777777" w:rsidTr="007F5204">
        <w:tc>
          <w:tcPr>
            <w:tcW w:w="1905" w:type="dxa"/>
            <w:tcBorders>
              <w:top w:val="single" w:sz="4" w:space="0" w:color="000000"/>
              <w:bottom w:val="single" w:sz="4" w:space="0" w:color="000000"/>
              <w:right w:val="nil"/>
            </w:tcBorders>
            <w:shd w:val="clear" w:color="auto" w:fill="FFFFFF"/>
          </w:tcPr>
          <w:p w14:paraId="7EFE41B0" w14:textId="77777777" w:rsidR="00240FAD" w:rsidRPr="007F5204" w:rsidRDefault="00240FAD" w:rsidP="00DE0940">
            <w:pPr>
              <w:spacing w:before="40" w:after="40" w:line="240" w:lineRule="auto"/>
              <w:rPr>
                <w:rFonts w:eastAsia="Calibri" w:cs="Arial"/>
                <w:b/>
                <w:bCs/>
                <w:szCs w:val="22"/>
                <w:lang w:val="en-NZ" w:eastAsia="en-US"/>
              </w:rPr>
            </w:pPr>
            <w:r w:rsidRPr="007F5204">
              <w:rPr>
                <w:rFonts w:eastAsia="Calibri" w:cs="Arial"/>
                <w:b/>
                <w:bCs/>
                <w:szCs w:val="22"/>
                <w:lang w:val="en-NZ" w:eastAsia="en-US"/>
              </w:rPr>
              <w:t xml:space="preserve">Up to 24 hours </w:t>
            </w:r>
          </w:p>
        </w:tc>
        <w:tc>
          <w:tcPr>
            <w:tcW w:w="1797" w:type="dxa"/>
            <w:tcBorders>
              <w:top w:val="single" w:sz="4" w:space="0" w:color="000000"/>
              <w:bottom w:val="single" w:sz="4" w:space="0" w:color="000000"/>
            </w:tcBorders>
            <w:shd w:val="clear" w:color="auto" w:fill="auto"/>
          </w:tcPr>
          <w:p w14:paraId="7B2AF69E"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$5</w:t>
            </w:r>
          </w:p>
        </w:tc>
        <w:tc>
          <w:tcPr>
            <w:tcW w:w="1685" w:type="dxa"/>
            <w:tcBorders>
              <w:top w:val="single" w:sz="4" w:space="0" w:color="000000"/>
              <w:bottom w:val="single" w:sz="4" w:space="0" w:color="000000"/>
            </w:tcBorders>
            <w:shd w:val="clear" w:color="auto" w:fill="auto"/>
          </w:tcPr>
          <w:p w14:paraId="3A440B01"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$6</w:t>
            </w:r>
          </w:p>
        </w:tc>
        <w:tc>
          <w:tcPr>
            <w:tcW w:w="1940" w:type="dxa"/>
            <w:tcBorders>
              <w:top w:val="single" w:sz="4" w:space="0" w:color="000000"/>
              <w:bottom w:val="single" w:sz="4" w:space="0" w:color="000000"/>
            </w:tcBorders>
            <w:shd w:val="clear" w:color="auto" w:fill="auto"/>
          </w:tcPr>
          <w:p w14:paraId="5F66E5BA"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$6</w:t>
            </w:r>
          </w:p>
        </w:tc>
        <w:tc>
          <w:tcPr>
            <w:tcW w:w="1940" w:type="dxa"/>
            <w:tcBorders>
              <w:top w:val="single" w:sz="4" w:space="0" w:color="000000"/>
              <w:bottom w:val="single" w:sz="4" w:space="0" w:color="000000"/>
            </w:tcBorders>
            <w:shd w:val="clear" w:color="auto" w:fill="auto"/>
          </w:tcPr>
          <w:p w14:paraId="0987EB89"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$1</w:t>
            </w:r>
            <w:r w:rsidR="00293F78" w:rsidRPr="007F5204">
              <w:rPr>
                <w:rFonts w:eastAsia="Calibri" w:cs="Arial"/>
                <w:szCs w:val="22"/>
                <w:lang w:val="en-NZ" w:eastAsia="en-US"/>
              </w:rPr>
              <w:t xml:space="preserve"> (22%)</w:t>
            </w:r>
          </w:p>
        </w:tc>
      </w:tr>
      <w:tr w:rsidR="00240FAD" w:rsidRPr="00BA1ED2" w14:paraId="7ED7F0DD" w14:textId="77777777" w:rsidTr="007F5204">
        <w:tc>
          <w:tcPr>
            <w:tcW w:w="1905" w:type="dxa"/>
            <w:tcBorders>
              <w:right w:val="nil"/>
            </w:tcBorders>
            <w:shd w:val="clear" w:color="auto" w:fill="FFFFFF"/>
          </w:tcPr>
          <w:p w14:paraId="111252AE" w14:textId="77777777" w:rsidR="00240FAD" w:rsidRPr="007F5204" w:rsidRDefault="00240FAD" w:rsidP="00DE0940">
            <w:pPr>
              <w:spacing w:before="40" w:after="40" w:line="240" w:lineRule="auto"/>
              <w:rPr>
                <w:rFonts w:eastAsia="Calibri" w:cs="Arial"/>
                <w:b/>
                <w:bCs/>
                <w:szCs w:val="22"/>
                <w:lang w:val="en-NZ" w:eastAsia="en-US"/>
              </w:rPr>
            </w:pPr>
            <w:r w:rsidRPr="007F5204">
              <w:rPr>
                <w:rFonts w:eastAsia="Calibri" w:cs="Arial"/>
                <w:b/>
                <w:bCs/>
                <w:szCs w:val="22"/>
                <w:lang w:val="en-NZ" w:eastAsia="en-US"/>
              </w:rPr>
              <w:t xml:space="preserve">2 weeks </w:t>
            </w:r>
          </w:p>
        </w:tc>
        <w:tc>
          <w:tcPr>
            <w:tcW w:w="1797" w:type="dxa"/>
            <w:shd w:val="clear" w:color="auto" w:fill="auto"/>
          </w:tcPr>
          <w:p w14:paraId="06FA8AB2"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$35</w:t>
            </w:r>
          </w:p>
        </w:tc>
        <w:tc>
          <w:tcPr>
            <w:tcW w:w="1685" w:type="dxa"/>
            <w:shd w:val="clear" w:color="auto" w:fill="auto"/>
          </w:tcPr>
          <w:p w14:paraId="54A78BF4"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$45</w:t>
            </w:r>
          </w:p>
        </w:tc>
        <w:tc>
          <w:tcPr>
            <w:tcW w:w="1940" w:type="dxa"/>
            <w:shd w:val="clear" w:color="auto" w:fill="auto"/>
          </w:tcPr>
          <w:p w14:paraId="3AB0FFCF"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$43</w:t>
            </w:r>
          </w:p>
        </w:tc>
        <w:tc>
          <w:tcPr>
            <w:tcW w:w="1940" w:type="dxa"/>
            <w:shd w:val="clear" w:color="auto" w:fill="auto"/>
          </w:tcPr>
          <w:p w14:paraId="33527ED1"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$8</w:t>
            </w:r>
            <w:r w:rsidR="00293F78" w:rsidRPr="007F5204">
              <w:rPr>
                <w:rFonts w:eastAsia="Calibri" w:cs="Arial"/>
                <w:szCs w:val="22"/>
                <w:lang w:val="en-NZ" w:eastAsia="en-US"/>
              </w:rPr>
              <w:t xml:space="preserve"> (22%)</w:t>
            </w:r>
          </w:p>
        </w:tc>
      </w:tr>
      <w:tr w:rsidR="00240FAD" w:rsidRPr="00BA1ED2" w14:paraId="16759146" w14:textId="77777777" w:rsidTr="007F5204">
        <w:tc>
          <w:tcPr>
            <w:tcW w:w="1905" w:type="dxa"/>
            <w:tcBorders>
              <w:top w:val="single" w:sz="4" w:space="0" w:color="000000"/>
              <w:bottom w:val="single" w:sz="4" w:space="0" w:color="000000"/>
              <w:right w:val="nil"/>
            </w:tcBorders>
            <w:shd w:val="clear" w:color="auto" w:fill="FFFFFF"/>
          </w:tcPr>
          <w:p w14:paraId="3D403F6D" w14:textId="77777777" w:rsidR="00240FAD" w:rsidRPr="007F5204" w:rsidRDefault="00240FAD" w:rsidP="00DE0940">
            <w:pPr>
              <w:spacing w:before="40" w:after="40" w:line="240" w:lineRule="auto"/>
              <w:rPr>
                <w:rFonts w:eastAsia="Calibri" w:cs="Arial"/>
                <w:b/>
                <w:bCs/>
                <w:szCs w:val="22"/>
                <w:lang w:val="en-NZ" w:eastAsia="en-US"/>
              </w:rPr>
            </w:pPr>
            <w:r w:rsidRPr="007F5204">
              <w:rPr>
                <w:rFonts w:eastAsia="Calibri" w:cs="Arial"/>
                <w:b/>
                <w:bCs/>
                <w:szCs w:val="22"/>
                <w:lang w:val="en-NZ" w:eastAsia="en-US"/>
              </w:rPr>
              <w:t>1 year</w:t>
            </w:r>
          </w:p>
        </w:tc>
        <w:tc>
          <w:tcPr>
            <w:tcW w:w="1797" w:type="dxa"/>
            <w:tcBorders>
              <w:top w:val="single" w:sz="4" w:space="0" w:color="000000"/>
              <w:bottom w:val="single" w:sz="4" w:space="0" w:color="000000"/>
            </w:tcBorders>
            <w:shd w:val="clear" w:color="auto" w:fill="auto"/>
          </w:tcPr>
          <w:p w14:paraId="64CE1D39"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$90</w:t>
            </w:r>
          </w:p>
        </w:tc>
        <w:tc>
          <w:tcPr>
            <w:tcW w:w="1685" w:type="dxa"/>
            <w:tcBorders>
              <w:top w:val="single" w:sz="4" w:space="0" w:color="000000"/>
              <w:bottom w:val="single" w:sz="4" w:space="0" w:color="000000"/>
            </w:tcBorders>
            <w:shd w:val="clear" w:color="auto" w:fill="auto"/>
          </w:tcPr>
          <w:p w14:paraId="524411BC"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$117</w:t>
            </w:r>
          </w:p>
        </w:tc>
        <w:tc>
          <w:tcPr>
            <w:tcW w:w="1940" w:type="dxa"/>
            <w:tcBorders>
              <w:top w:val="single" w:sz="4" w:space="0" w:color="000000"/>
              <w:bottom w:val="single" w:sz="4" w:space="0" w:color="000000"/>
            </w:tcBorders>
            <w:shd w:val="clear" w:color="auto" w:fill="auto"/>
          </w:tcPr>
          <w:p w14:paraId="18694712"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$110</w:t>
            </w:r>
          </w:p>
        </w:tc>
        <w:tc>
          <w:tcPr>
            <w:tcW w:w="1940" w:type="dxa"/>
            <w:tcBorders>
              <w:top w:val="single" w:sz="4" w:space="0" w:color="000000"/>
              <w:bottom w:val="single" w:sz="4" w:space="0" w:color="000000"/>
            </w:tcBorders>
            <w:shd w:val="clear" w:color="auto" w:fill="auto"/>
          </w:tcPr>
          <w:p w14:paraId="19D834FD"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$20</w:t>
            </w:r>
            <w:r w:rsidR="00293F78" w:rsidRPr="007F5204">
              <w:rPr>
                <w:rFonts w:eastAsia="Calibri" w:cs="Arial"/>
                <w:szCs w:val="22"/>
                <w:lang w:val="en-NZ" w:eastAsia="en-US"/>
              </w:rPr>
              <w:t xml:space="preserve"> (22%)</w:t>
            </w:r>
          </w:p>
        </w:tc>
      </w:tr>
      <w:tr w:rsidR="00240FAD" w:rsidRPr="00BA1ED2" w14:paraId="02C9EB6E" w14:textId="77777777" w:rsidTr="007F5204">
        <w:tc>
          <w:tcPr>
            <w:tcW w:w="9267" w:type="dxa"/>
            <w:gridSpan w:val="5"/>
            <w:tcBorders>
              <w:right w:val="nil"/>
            </w:tcBorders>
            <w:shd w:val="clear" w:color="auto" w:fill="FFFFFF"/>
          </w:tcPr>
          <w:p w14:paraId="3752E938" w14:textId="77777777" w:rsidR="00240FAD" w:rsidRPr="007F5204" w:rsidRDefault="00240FAD" w:rsidP="00DE0940">
            <w:pPr>
              <w:spacing w:before="40" w:after="40" w:line="240" w:lineRule="auto"/>
              <w:rPr>
                <w:rFonts w:eastAsia="Calibri" w:cs="Arial"/>
                <w:b/>
                <w:bCs/>
                <w:i/>
                <w:szCs w:val="22"/>
                <w:lang w:val="en-NZ" w:eastAsia="en-US"/>
              </w:rPr>
            </w:pPr>
            <w:r w:rsidRPr="007F5204">
              <w:rPr>
                <w:rFonts w:eastAsia="Calibri" w:cs="Arial"/>
                <w:b/>
                <w:bCs/>
                <w:i/>
                <w:szCs w:val="22"/>
                <w:lang w:val="en-NZ" w:eastAsia="en-US"/>
              </w:rPr>
              <w:t>Mooring permit</w:t>
            </w:r>
          </w:p>
        </w:tc>
      </w:tr>
      <w:tr w:rsidR="00240FAD" w:rsidRPr="00BA1ED2" w14:paraId="4CFA2713" w14:textId="77777777" w:rsidTr="007F5204">
        <w:tc>
          <w:tcPr>
            <w:tcW w:w="1905" w:type="dxa"/>
            <w:tcBorders>
              <w:top w:val="single" w:sz="4" w:space="0" w:color="000000"/>
              <w:bottom w:val="single" w:sz="4" w:space="0" w:color="000000"/>
              <w:right w:val="nil"/>
            </w:tcBorders>
            <w:shd w:val="clear" w:color="auto" w:fill="FFFFFF"/>
          </w:tcPr>
          <w:p w14:paraId="17598586" w14:textId="77777777" w:rsidR="00240FAD" w:rsidRPr="007F5204" w:rsidRDefault="00240FAD" w:rsidP="00DE0940">
            <w:pPr>
              <w:spacing w:before="40" w:after="40" w:line="240" w:lineRule="auto"/>
              <w:rPr>
                <w:rFonts w:eastAsia="Calibri" w:cs="Arial"/>
                <w:b/>
                <w:bCs/>
                <w:szCs w:val="22"/>
                <w:lang w:val="en-NZ" w:eastAsia="en-US"/>
              </w:rPr>
            </w:pPr>
            <w:r w:rsidRPr="007F5204">
              <w:rPr>
                <w:rFonts w:eastAsia="Calibri" w:cs="Arial"/>
                <w:b/>
                <w:bCs/>
                <w:szCs w:val="22"/>
                <w:lang w:val="en-NZ" w:eastAsia="en-US"/>
              </w:rPr>
              <w:t>1 month</w:t>
            </w:r>
          </w:p>
        </w:tc>
        <w:tc>
          <w:tcPr>
            <w:tcW w:w="1797" w:type="dxa"/>
            <w:tcBorders>
              <w:top w:val="single" w:sz="4" w:space="0" w:color="000000"/>
              <w:bottom w:val="single" w:sz="4" w:space="0" w:color="000000"/>
            </w:tcBorders>
            <w:shd w:val="clear" w:color="auto" w:fill="auto"/>
          </w:tcPr>
          <w:p w14:paraId="60641FC0"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$50</w:t>
            </w:r>
          </w:p>
        </w:tc>
        <w:tc>
          <w:tcPr>
            <w:tcW w:w="1685" w:type="dxa"/>
            <w:tcBorders>
              <w:top w:val="single" w:sz="4" w:space="0" w:color="000000"/>
              <w:bottom w:val="single" w:sz="4" w:space="0" w:color="000000"/>
            </w:tcBorders>
            <w:shd w:val="clear" w:color="auto" w:fill="auto"/>
          </w:tcPr>
          <w:p w14:paraId="7C22F0D2"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$84</w:t>
            </w:r>
          </w:p>
        </w:tc>
        <w:tc>
          <w:tcPr>
            <w:tcW w:w="1940" w:type="dxa"/>
            <w:tcBorders>
              <w:top w:val="single" w:sz="4" w:space="0" w:color="000000"/>
              <w:bottom w:val="single" w:sz="4" w:space="0" w:color="000000"/>
            </w:tcBorders>
            <w:shd w:val="clear" w:color="auto" w:fill="auto"/>
          </w:tcPr>
          <w:p w14:paraId="637DB3F4"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$61</w:t>
            </w:r>
          </w:p>
        </w:tc>
        <w:tc>
          <w:tcPr>
            <w:tcW w:w="1940" w:type="dxa"/>
            <w:tcBorders>
              <w:top w:val="single" w:sz="4" w:space="0" w:color="000000"/>
              <w:bottom w:val="single" w:sz="4" w:space="0" w:color="000000"/>
            </w:tcBorders>
            <w:shd w:val="clear" w:color="auto" w:fill="auto"/>
          </w:tcPr>
          <w:p w14:paraId="686D87A8"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$11</w:t>
            </w:r>
            <w:r w:rsidR="00293F78" w:rsidRPr="007F5204">
              <w:rPr>
                <w:rFonts w:eastAsia="Calibri" w:cs="Arial"/>
                <w:szCs w:val="22"/>
                <w:lang w:val="en-NZ" w:eastAsia="en-US"/>
              </w:rPr>
              <w:t xml:space="preserve"> (22%)</w:t>
            </w:r>
          </w:p>
        </w:tc>
      </w:tr>
      <w:tr w:rsidR="00240FAD" w:rsidRPr="00BA1ED2" w14:paraId="59D5CCC6" w14:textId="77777777" w:rsidTr="007F5204">
        <w:tc>
          <w:tcPr>
            <w:tcW w:w="1905" w:type="dxa"/>
            <w:tcBorders>
              <w:right w:val="nil"/>
            </w:tcBorders>
            <w:shd w:val="clear" w:color="auto" w:fill="FFFFFF"/>
          </w:tcPr>
          <w:p w14:paraId="33B9E516" w14:textId="77777777" w:rsidR="00240FAD" w:rsidRPr="007F5204" w:rsidRDefault="00240FAD" w:rsidP="00DE0940">
            <w:pPr>
              <w:spacing w:before="40" w:after="40" w:line="240" w:lineRule="auto"/>
              <w:rPr>
                <w:rFonts w:eastAsia="Calibri" w:cs="Arial"/>
                <w:b/>
                <w:bCs/>
                <w:szCs w:val="22"/>
                <w:lang w:val="en-NZ" w:eastAsia="en-US"/>
              </w:rPr>
            </w:pPr>
            <w:r w:rsidRPr="007F5204">
              <w:rPr>
                <w:rFonts w:eastAsia="Calibri" w:cs="Arial"/>
                <w:b/>
                <w:bCs/>
                <w:szCs w:val="22"/>
                <w:lang w:val="en-NZ" w:eastAsia="en-US"/>
              </w:rPr>
              <w:t>1 year</w:t>
            </w:r>
          </w:p>
        </w:tc>
        <w:tc>
          <w:tcPr>
            <w:tcW w:w="1797" w:type="dxa"/>
            <w:shd w:val="clear" w:color="auto" w:fill="auto"/>
          </w:tcPr>
          <w:p w14:paraId="7D964705"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$190</w:t>
            </w:r>
          </w:p>
        </w:tc>
        <w:tc>
          <w:tcPr>
            <w:tcW w:w="1685" w:type="dxa"/>
            <w:shd w:val="clear" w:color="auto" w:fill="auto"/>
          </w:tcPr>
          <w:p w14:paraId="092F7658"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$246</w:t>
            </w:r>
          </w:p>
        </w:tc>
        <w:tc>
          <w:tcPr>
            <w:tcW w:w="1940" w:type="dxa"/>
            <w:shd w:val="clear" w:color="auto" w:fill="auto"/>
          </w:tcPr>
          <w:p w14:paraId="7CDBB441"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$232</w:t>
            </w:r>
          </w:p>
        </w:tc>
        <w:tc>
          <w:tcPr>
            <w:tcW w:w="1940" w:type="dxa"/>
            <w:shd w:val="clear" w:color="auto" w:fill="auto"/>
          </w:tcPr>
          <w:p w14:paraId="139F1ADA"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$42</w:t>
            </w:r>
            <w:r w:rsidR="00293F78" w:rsidRPr="007F5204">
              <w:rPr>
                <w:rFonts w:eastAsia="Calibri" w:cs="Arial"/>
                <w:szCs w:val="22"/>
                <w:lang w:val="en-NZ" w:eastAsia="en-US"/>
              </w:rPr>
              <w:t xml:space="preserve"> (22%)</w:t>
            </w:r>
          </w:p>
        </w:tc>
      </w:tr>
      <w:tr w:rsidR="00240FAD" w:rsidRPr="00BA1ED2" w14:paraId="04A4647F" w14:textId="77777777" w:rsidTr="007F5204">
        <w:tc>
          <w:tcPr>
            <w:tcW w:w="9267" w:type="dxa"/>
            <w:gridSpan w:val="5"/>
            <w:tcBorders>
              <w:top w:val="single" w:sz="4" w:space="0" w:color="000000"/>
              <w:bottom w:val="single" w:sz="4" w:space="0" w:color="000000"/>
              <w:right w:val="nil"/>
            </w:tcBorders>
            <w:shd w:val="clear" w:color="auto" w:fill="FFFFFF"/>
          </w:tcPr>
          <w:p w14:paraId="7A1DAEE1" w14:textId="77777777" w:rsidR="00240FAD" w:rsidRPr="007F5204" w:rsidRDefault="00240FAD" w:rsidP="00DE0940">
            <w:pPr>
              <w:spacing w:before="44" w:after="24" w:line="240" w:lineRule="auto"/>
              <w:rPr>
                <w:rFonts w:eastAsia="Calibri" w:cs="Arial"/>
                <w:b/>
                <w:bCs/>
                <w:i/>
                <w:szCs w:val="22"/>
                <w:lang w:val="en-NZ" w:eastAsia="en-US"/>
              </w:rPr>
            </w:pPr>
            <w:r w:rsidRPr="007F5204">
              <w:rPr>
                <w:rFonts w:eastAsia="Calibri" w:cs="Arial"/>
                <w:b/>
                <w:bCs/>
                <w:i/>
                <w:szCs w:val="22"/>
                <w:lang w:val="en-NZ" w:eastAsia="en-US"/>
              </w:rPr>
              <w:t>Annual berth permit: Taupō, Nukuhau, and Tokaanu marinas</w:t>
            </w:r>
          </w:p>
          <w:p w14:paraId="5FCADD9B" w14:textId="77777777" w:rsidR="00240FAD" w:rsidRPr="007F5204" w:rsidRDefault="00240FAD" w:rsidP="00DE0940">
            <w:pPr>
              <w:spacing w:before="40" w:after="40" w:line="240" w:lineRule="auto"/>
              <w:rPr>
                <w:rFonts w:eastAsia="Calibri" w:cs="Arial"/>
                <w:b/>
                <w:bCs/>
                <w:szCs w:val="22"/>
                <w:lang w:val="en-NZ" w:eastAsia="en-US"/>
              </w:rPr>
            </w:pPr>
            <w:r w:rsidRPr="007F5204">
              <w:rPr>
                <w:rFonts w:eastAsia="Calibri" w:cs="Arial"/>
                <w:b/>
                <w:bCs/>
                <w:i/>
                <w:szCs w:val="22"/>
                <w:lang w:val="en-NZ" w:eastAsia="en-US"/>
              </w:rPr>
              <w:t>(Nukuhau and Tokaanu once dredging and remedial work are completed)</w:t>
            </w:r>
          </w:p>
        </w:tc>
      </w:tr>
      <w:tr w:rsidR="00240FAD" w:rsidRPr="00BA1ED2" w14:paraId="763E9017" w14:textId="77777777" w:rsidTr="007F5204">
        <w:tc>
          <w:tcPr>
            <w:tcW w:w="1905" w:type="dxa"/>
            <w:tcBorders>
              <w:right w:val="nil"/>
            </w:tcBorders>
            <w:shd w:val="clear" w:color="auto" w:fill="FFFFFF"/>
          </w:tcPr>
          <w:p w14:paraId="31AFFFCE" w14:textId="77777777" w:rsidR="00240FAD" w:rsidRPr="007F5204" w:rsidRDefault="00240FAD" w:rsidP="00DE0940">
            <w:pPr>
              <w:spacing w:before="40" w:after="40" w:line="240" w:lineRule="auto"/>
              <w:rPr>
                <w:rFonts w:eastAsia="Calibri" w:cs="Arial"/>
                <w:b/>
                <w:bCs/>
                <w:szCs w:val="22"/>
                <w:lang w:val="en-NZ" w:eastAsia="en-US"/>
              </w:rPr>
            </w:pPr>
            <w:r w:rsidRPr="007F5204">
              <w:rPr>
                <w:rFonts w:eastAsia="Calibri" w:cs="Arial"/>
                <w:b/>
                <w:bCs/>
                <w:szCs w:val="22"/>
                <w:lang w:val="en-NZ" w:eastAsia="en-US"/>
              </w:rPr>
              <w:t>Parallel and more than 12.5m in length</w:t>
            </w:r>
          </w:p>
        </w:tc>
        <w:tc>
          <w:tcPr>
            <w:tcW w:w="1797" w:type="dxa"/>
            <w:shd w:val="clear" w:color="auto" w:fill="auto"/>
          </w:tcPr>
          <w:p w14:paraId="47F546FF"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$4,000</w:t>
            </w:r>
          </w:p>
        </w:tc>
        <w:tc>
          <w:tcPr>
            <w:tcW w:w="1685" w:type="dxa"/>
            <w:shd w:val="clear" w:color="auto" w:fill="auto"/>
          </w:tcPr>
          <w:p w14:paraId="27B17137"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$5,182</w:t>
            </w:r>
          </w:p>
        </w:tc>
        <w:tc>
          <w:tcPr>
            <w:tcW w:w="1940" w:type="dxa"/>
            <w:shd w:val="clear" w:color="auto" w:fill="auto"/>
          </w:tcPr>
          <w:p w14:paraId="5D5116E2"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$4,880</w:t>
            </w:r>
          </w:p>
        </w:tc>
        <w:tc>
          <w:tcPr>
            <w:tcW w:w="1940" w:type="dxa"/>
            <w:shd w:val="clear" w:color="auto" w:fill="auto"/>
          </w:tcPr>
          <w:p w14:paraId="0AE7B605"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$880</w:t>
            </w:r>
            <w:r w:rsidR="00293F78" w:rsidRPr="007F5204">
              <w:rPr>
                <w:rFonts w:eastAsia="Calibri" w:cs="Arial"/>
                <w:szCs w:val="22"/>
                <w:lang w:val="en-NZ" w:eastAsia="en-US"/>
              </w:rPr>
              <w:t xml:space="preserve"> (22%)</w:t>
            </w:r>
          </w:p>
        </w:tc>
      </w:tr>
      <w:tr w:rsidR="00240FAD" w:rsidRPr="00BA1ED2" w14:paraId="29E8D4D7" w14:textId="77777777" w:rsidTr="007F5204">
        <w:tc>
          <w:tcPr>
            <w:tcW w:w="1905" w:type="dxa"/>
            <w:tcBorders>
              <w:top w:val="single" w:sz="4" w:space="0" w:color="000000"/>
              <w:bottom w:val="single" w:sz="4" w:space="0" w:color="000000"/>
              <w:right w:val="nil"/>
            </w:tcBorders>
            <w:shd w:val="clear" w:color="auto" w:fill="FFFFFF"/>
          </w:tcPr>
          <w:p w14:paraId="592ABDFC" w14:textId="77777777" w:rsidR="00240FAD" w:rsidRPr="007F5204" w:rsidRDefault="00240FAD" w:rsidP="00DE0940">
            <w:pPr>
              <w:spacing w:before="40" w:after="40" w:line="240" w:lineRule="auto"/>
              <w:rPr>
                <w:rFonts w:eastAsia="Calibri" w:cs="Arial"/>
                <w:b/>
                <w:bCs/>
                <w:szCs w:val="22"/>
                <w:lang w:val="en-NZ" w:eastAsia="en-US"/>
              </w:rPr>
            </w:pPr>
            <w:r w:rsidRPr="007F5204">
              <w:rPr>
                <w:rFonts w:eastAsia="Calibri" w:cs="Arial"/>
                <w:b/>
                <w:bCs/>
                <w:szCs w:val="22"/>
                <w:lang w:val="en-NZ" w:eastAsia="en-US"/>
              </w:rPr>
              <w:t>Parallel and 12.5m in length</w:t>
            </w:r>
          </w:p>
        </w:tc>
        <w:tc>
          <w:tcPr>
            <w:tcW w:w="1797" w:type="dxa"/>
            <w:tcBorders>
              <w:top w:val="single" w:sz="4" w:space="0" w:color="000000"/>
              <w:bottom w:val="single" w:sz="4" w:space="0" w:color="000000"/>
            </w:tcBorders>
            <w:shd w:val="clear" w:color="auto" w:fill="auto"/>
          </w:tcPr>
          <w:p w14:paraId="57C761A9"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$3,500</w:t>
            </w:r>
          </w:p>
        </w:tc>
        <w:tc>
          <w:tcPr>
            <w:tcW w:w="1685" w:type="dxa"/>
            <w:tcBorders>
              <w:top w:val="single" w:sz="4" w:space="0" w:color="000000"/>
              <w:bottom w:val="single" w:sz="4" w:space="0" w:color="000000"/>
            </w:tcBorders>
            <w:shd w:val="clear" w:color="auto" w:fill="auto"/>
          </w:tcPr>
          <w:p w14:paraId="16FA6691"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$4,534</w:t>
            </w:r>
          </w:p>
        </w:tc>
        <w:tc>
          <w:tcPr>
            <w:tcW w:w="1940" w:type="dxa"/>
            <w:tcBorders>
              <w:top w:val="single" w:sz="4" w:space="0" w:color="000000"/>
              <w:bottom w:val="single" w:sz="4" w:space="0" w:color="000000"/>
            </w:tcBorders>
            <w:shd w:val="clear" w:color="auto" w:fill="auto"/>
          </w:tcPr>
          <w:p w14:paraId="1F3D77CF"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$4,270</w:t>
            </w:r>
          </w:p>
        </w:tc>
        <w:tc>
          <w:tcPr>
            <w:tcW w:w="1940" w:type="dxa"/>
            <w:tcBorders>
              <w:top w:val="single" w:sz="4" w:space="0" w:color="000000"/>
              <w:bottom w:val="single" w:sz="4" w:space="0" w:color="000000"/>
            </w:tcBorders>
            <w:shd w:val="clear" w:color="auto" w:fill="auto"/>
          </w:tcPr>
          <w:p w14:paraId="1429FD58"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$770</w:t>
            </w:r>
            <w:r w:rsidR="00293F78" w:rsidRPr="007F5204">
              <w:rPr>
                <w:rFonts w:eastAsia="Calibri" w:cs="Arial"/>
                <w:szCs w:val="22"/>
                <w:lang w:val="en-NZ" w:eastAsia="en-US"/>
              </w:rPr>
              <w:t xml:space="preserve"> (22%)</w:t>
            </w:r>
          </w:p>
        </w:tc>
      </w:tr>
      <w:tr w:rsidR="00240FAD" w:rsidRPr="00BA1ED2" w14:paraId="51F9B0AD" w14:textId="77777777" w:rsidTr="007F5204">
        <w:tc>
          <w:tcPr>
            <w:tcW w:w="1905" w:type="dxa"/>
            <w:tcBorders>
              <w:right w:val="nil"/>
            </w:tcBorders>
            <w:shd w:val="clear" w:color="auto" w:fill="FFFFFF"/>
          </w:tcPr>
          <w:p w14:paraId="6439F499" w14:textId="77777777" w:rsidR="00240FAD" w:rsidRPr="007F5204" w:rsidRDefault="00240FAD" w:rsidP="00DE0940">
            <w:pPr>
              <w:spacing w:before="40" w:after="40" w:line="240" w:lineRule="auto"/>
              <w:rPr>
                <w:rFonts w:eastAsia="Calibri" w:cs="Arial"/>
                <w:b/>
                <w:bCs/>
                <w:szCs w:val="22"/>
                <w:lang w:val="en-NZ" w:eastAsia="en-US"/>
              </w:rPr>
            </w:pPr>
            <w:r w:rsidRPr="007F5204">
              <w:rPr>
                <w:rFonts w:eastAsia="Calibri" w:cs="Arial"/>
                <w:b/>
                <w:bCs/>
                <w:szCs w:val="22"/>
                <w:lang w:val="en-NZ" w:eastAsia="en-US"/>
              </w:rPr>
              <w:t>Parallel and less than 12.5m in length (per metre)</w:t>
            </w:r>
          </w:p>
        </w:tc>
        <w:tc>
          <w:tcPr>
            <w:tcW w:w="1797" w:type="dxa"/>
            <w:shd w:val="clear" w:color="auto" w:fill="auto"/>
          </w:tcPr>
          <w:p w14:paraId="1E699023"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$280</w:t>
            </w:r>
          </w:p>
        </w:tc>
        <w:tc>
          <w:tcPr>
            <w:tcW w:w="1685" w:type="dxa"/>
            <w:shd w:val="clear" w:color="auto" w:fill="auto"/>
          </w:tcPr>
          <w:p w14:paraId="52CB6089"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$363</w:t>
            </w:r>
          </w:p>
        </w:tc>
        <w:tc>
          <w:tcPr>
            <w:tcW w:w="1940" w:type="dxa"/>
            <w:shd w:val="clear" w:color="auto" w:fill="auto"/>
          </w:tcPr>
          <w:p w14:paraId="5F434F18"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$342</w:t>
            </w:r>
          </w:p>
        </w:tc>
        <w:tc>
          <w:tcPr>
            <w:tcW w:w="1940" w:type="dxa"/>
            <w:shd w:val="clear" w:color="auto" w:fill="auto"/>
          </w:tcPr>
          <w:p w14:paraId="343E3811"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$62</w:t>
            </w:r>
            <w:r w:rsidR="00293F78" w:rsidRPr="007F5204">
              <w:rPr>
                <w:rFonts w:eastAsia="Calibri" w:cs="Arial"/>
                <w:szCs w:val="22"/>
                <w:lang w:val="en-NZ" w:eastAsia="en-US"/>
              </w:rPr>
              <w:t xml:space="preserve"> (22%)</w:t>
            </w:r>
          </w:p>
        </w:tc>
      </w:tr>
      <w:tr w:rsidR="00240FAD" w:rsidRPr="00BA1ED2" w14:paraId="6E8C8B58" w14:textId="77777777" w:rsidTr="007F5204">
        <w:tc>
          <w:tcPr>
            <w:tcW w:w="1905" w:type="dxa"/>
            <w:tcBorders>
              <w:top w:val="single" w:sz="4" w:space="0" w:color="000000"/>
              <w:bottom w:val="single" w:sz="4" w:space="0" w:color="000000"/>
              <w:right w:val="nil"/>
            </w:tcBorders>
            <w:shd w:val="clear" w:color="auto" w:fill="FFFFFF"/>
          </w:tcPr>
          <w:p w14:paraId="72FBC824" w14:textId="77777777" w:rsidR="00240FAD" w:rsidRPr="007F5204" w:rsidRDefault="00240FAD" w:rsidP="00DE0940">
            <w:pPr>
              <w:spacing w:before="40" w:after="40" w:line="240" w:lineRule="auto"/>
              <w:rPr>
                <w:rFonts w:eastAsia="Calibri" w:cs="Arial"/>
                <w:b/>
                <w:bCs/>
                <w:szCs w:val="22"/>
                <w:lang w:val="en-NZ" w:eastAsia="en-US"/>
              </w:rPr>
            </w:pPr>
            <w:r w:rsidRPr="007F5204">
              <w:rPr>
                <w:rFonts w:eastAsia="Calibri" w:cs="Arial"/>
                <w:b/>
                <w:bCs/>
                <w:szCs w:val="22"/>
                <w:lang w:val="en-NZ" w:eastAsia="en-US"/>
              </w:rPr>
              <w:t>3m or more in width (jetty included)</w:t>
            </w:r>
          </w:p>
        </w:tc>
        <w:tc>
          <w:tcPr>
            <w:tcW w:w="1797" w:type="dxa"/>
            <w:tcBorders>
              <w:top w:val="single" w:sz="4" w:space="0" w:color="000000"/>
              <w:bottom w:val="single" w:sz="4" w:space="0" w:color="000000"/>
            </w:tcBorders>
            <w:shd w:val="clear" w:color="auto" w:fill="auto"/>
          </w:tcPr>
          <w:p w14:paraId="403A117A"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$2,700</w:t>
            </w:r>
          </w:p>
        </w:tc>
        <w:tc>
          <w:tcPr>
            <w:tcW w:w="1685" w:type="dxa"/>
            <w:tcBorders>
              <w:top w:val="single" w:sz="4" w:space="0" w:color="000000"/>
              <w:bottom w:val="single" w:sz="4" w:space="0" w:color="000000"/>
            </w:tcBorders>
            <w:shd w:val="clear" w:color="auto" w:fill="auto"/>
          </w:tcPr>
          <w:p w14:paraId="0EBD4DAA"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$3,498</w:t>
            </w:r>
          </w:p>
        </w:tc>
        <w:tc>
          <w:tcPr>
            <w:tcW w:w="1940" w:type="dxa"/>
            <w:tcBorders>
              <w:top w:val="single" w:sz="4" w:space="0" w:color="000000"/>
              <w:bottom w:val="single" w:sz="4" w:space="0" w:color="000000"/>
            </w:tcBorders>
            <w:shd w:val="clear" w:color="auto" w:fill="auto"/>
          </w:tcPr>
          <w:p w14:paraId="0F592C28"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$3,294</w:t>
            </w:r>
          </w:p>
        </w:tc>
        <w:tc>
          <w:tcPr>
            <w:tcW w:w="1940" w:type="dxa"/>
            <w:tcBorders>
              <w:top w:val="single" w:sz="4" w:space="0" w:color="000000"/>
              <w:bottom w:val="single" w:sz="4" w:space="0" w:color="000000"/>
            </w:tcBorders>
            <w:shd w:val="clear" w:color="auto" w:fill="auto"/>
          </w:tcPr>
          <w:p w14:paraId="6AFFB340"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$594</w:t>
            </w:r>
            <w:r w:rsidR="00293F78" w:rsidRPr="007F5204">
              <w:rPr>
                <w:rFonts w:eastAsia="Calibri" w:cs="Arial"/>
                <w:szCs w:val="22"/>
                <w:lang w:val="en-NZ" w:eastAsia="en-US"/>
              </w:rPr>
              <w:t xml:space="preserve"> (22%)</w:t>
            </w:r>
          </w:p>
        </w:tc>
      </w:tr>
      <w:tr w:rsidR="00240FAD" w:rsidRPr="00BA1ED2" w14:paraId="6786318E" w14:textId="77777777" w:rsidTr="007F5204">
        <w:tc>
          <w:tcPr>
            <w:tcW w:w="1905" w:type="dxa"/>
            <w:tcBorders>
              <w:right w:val="nil"/>
            </w:tcBorders>
            <w:shd w:val="clear" w:color="auto" w:fill="FFFFFF"/>
          </w:tcPr>
          <w:p w14:paraId="20CA9ACB" w14:textId="77777777" w:rsidR="00240FAD" w:rsidRPr="007F5204" w:rsidRDefault="00240FAD" w:rsidP="00DE0940">
            <w:pPr>
              <w:spacing w:before="40" w:after="40" w:line="240" w:lineRule="auto"/>
              <w:rPr>
                <w:rFonts w:eastAsia="Calibri" w:cs="Arial"/>
                <w:b/>
                <w:bCs/>
                <w:szCs w:val="22"/>
                <w:lang w:val="en-NZ" w:eastAsia="en-US"/>
              </w:rPr>
            </w:pPr>
            <w:r w:rsidRPr="007F5204">
              <w:rPr>
                <w:rFonts w:eastAsia="Calibri" w:cs="Arial"/>
                <w:b/>
                <w:bCs/>
                <w:szCs w:val="22"/>
                <w:lang w:val="en-NZ" w:eastAsia="en-US"/>
              </w:rPr>
              <w:t>3m or more in width (jetty not included)</w:t>
            </w:r>
          </w:p>
        </w:tc>
        <w:tc>
          <w:tcPr>
            <w:tcW w:w="1797" w:type="dxa"/>
            <w:shd w:val="clear" w:color="auto" w:fill="auto"/>
          </w:tcPr>
          <w:p w14:paraId="17A11FE9"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$2,300</w:t>
            </w:r>
          </w:p>
        </w:tc>
        <w:tc>
          <w:tcPr>
            <w:tcW w:w="1685" w:type="dxa"/>
            <w:shd w:val="clear" w:color="auto" w:fill="auto"/>
          </w:tcPr>
          <w:p w14:paraId="1B51F009"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$2,980</w:t>
            </w:r>
          </w:p>
        </w:tc>
        <w:tc>
          <w:tcPr>
            <w:tcW w:w="1940" w:type="dxa"/>
            <w:shd w:val="clear" w:color="auto" w:fill="auto"/>
          </w:tcPr>
          <w:p w14:paraId="31723A33"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$2,806</w:t>
            </w:r>
          </w:p>
        </w:tc>
        <w:tc>
          <w:tcPr>
            <w:tcW w:w="1940" w:type="dxa"/>
            <w:shd w:val="clear" w:color="auto" w:fill="auto"/>
          </w:tcPr>
          <w:p w14:paraId="062F8176"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$506</w:t>
            </w:r>
            <w:r w:rsidR="00293F78" w:rsidRPr="007F5204">
              <w:rPr>
                <w:rFonts w:eastAsia="Calibri" w:cs="Arial"/>
                <w:szCs w:val="22"/>
                <w:lang w:val="en-NZ" w:eastAsia="en-US"/>
              </w:rPr>
              <w:t xml:space="preserve"> (22%)</w:t>
            </w:r>
          </w:p>
        </w:tc>
      </w:tr>
      <w:tr w:rsidR="00240FAD" w:rsidRPr="00BA1ED2" w14:paraId="6D349B6B" w14:textId="77777777" w:rsidTr="007F5204">
        <w:tc>
          <w:tcPr>
            <w:tcW w:w="1905" w:type="dxa"/>
            <w:tcBorders>
              <w:top w:val="single" w:sz="4" w:space="0" w:color="000000"/>
              <w:bottom w:val="single" w:sz="4" w:space="0" w:color="000000"/>
              <w:right w:val="nil"/>
            </w:tcBorders>
            <w:shd w:val="clear" w:color="auto" w:fill="FFFFFF"/>
          </w:tcPr>
          <w:p w14:paraId="2227FC70" w14:textId="77777777" w:rsidR="00240FAD" w:rsidRPr="007F5204" w:rsidRDefault="00240FAD" w:rsidP="00DE0940">
            <w:pPr>
              <w:spacing w:before="40" w:after="40" w:line="240" w:lineRule="auto"/>
              <w:rPr>
                <w:rFonts w:eastAsia="Calibri" w:cs="Arial"/>
                <w:b/>
                <w:bCs/>
                <w:szCs w:val="22"/>
                <w:lang w:val="en-NZ" w:eastAsia="en-US"/>
              </w:rPr>
            </w:pPr>
            <w:r w:rsidRPr="007F5204">
              <w:rPr>
                <w:rFonts w:eastAsia="Calibri" w:cs="Arial"/>
                <w:b/>
                <w:bCs/>
                <w:szCs w:val="22"/>
                <w:lang w:val="en-NZ" w:eastAsia="en-US"/>
              </w:rPr>
              <w:t>less than 3m in width (jetty included)</w:t>
            </w:r>
          </w:p>
        </w:tc>
        <w:tc>
          <w:tcPr>
            <w:tcW w:w="1797" w:type="dxa"/>
            <w:tcBorders>
              <w:top w:val="single" w:sz="4" w:space="0" w:color="000000"/>
              <w:bottom w:val="single" w:sz="4" w:space="0" w:color="000000"/>
            </w:tcBorders>
            <w:shd w:val="clear" w:color="auto" w:fill="auto"/>
          </w:tcPr>
          <w:p w14:paraId="730C2515"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$1,800</w:t>
            </w:r>
          </w:p>
        </w:tc>
        <w:tc>
          <w:tcPr>
            <w:tcW w:w="1685" w:type="dxa"/>
            <w:tcBorders>
              <w:top w:val="single" w:sz="4" w:space="0" w:color="000000"/>
              <w:bottom w:val="single" w:sz="4" w:space="0" w:color="000000"/>
            </w:tcBorders>
            <w:shd w:val="clear" w:color="auto" w:fill="auto"/>
          </w:tcPr>
          <w:p w14:paraId="33F79303"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$2,332</w:t>
            </w:r>
          </w:p>
        </w:tc>
        <w:tc>
          <w:tcPr>
            <w:tcW w:w="1940" w:type="dxa"/>
            <w:tcBorders>
              <w:top w:val="single" w:sz="4" w:space="0" w:color="000000"/>
              <w:bottom w:val="single" w:sz="4" w:space="0" w:color="000000"/>
            </w:tcBorders>
            <w:shd w:val="clear" w:color="auto" w:fill="auto"/>
          </w:tcPr>
          <w:p w14:paraId="3BCFA1A6"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$2,196</w:t>
            </w:r>
          </w:p>
        </w:tc>
        <w:tc>
          <w:tcPr>
            <w:tcW w:w="1940" w:type="dxa"/>
            <w:tcBorders>
              <w:top w:val="single" w:sz="4" w:space="0" w:color="000000"/>
              <w:bottom w:val="single" w:sz="4" w:space="0" w:color="000000"/>
            </w:tcBorders>
            <w:shd w:val="clear" w:color="auto" w:fill="auto"/>
          </w:tcPr>
          <w:p w14:paraId="277922B1"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$396</w:t>
            </w:r>
            <w:r w:rsidR="00293F78" w:rsidRPr="007F5204">
              <w:rPr>
                <w:rFonts w:eastAsia="Calibri" w:cs="Arial"/>
                <w:szCs w:val="22"/>
                <w:lang w:val="en-NZ" w:eastAsia="en-US"/>
              </w:rPr>
              <w:t xml:space="preserve"> (22%)</w:t>
            </w:r>
          </w:p>
        </w:tc>
      </w:tr>
      <w:tr w:rsidR="00240FAD" w:rsidRPr="00BA1ED2" w14:paraId="4F3E6A16" w14:textId="77777777" w:rsidTr="007F5204">
        <w:tc>
          <w:tcPr>
            <w:tcW w:w="1905" w:type="dxa"/>
            <w:tcBorders>
              <w:right w:val="nil"/>
            </w:tcBorders>
            <w:shd w:val="clear" w:color="auto" w:fill="FFFFFF"/>
          </w:tcPr>
          <w:p w14:paraId="163B3DC7" w14:textId="77777777" w:rsidR="00240FAD" w:rsidRPr="007F5204" w:rsidRDefault="00240FAD" w:rsidP="00DE0940">
            <w:pPr>
              <w:spacing w:before="40" w:after="40" w:line="240" w:lineRule="auto"/>
              <w:rPr>
                <w:rFonts w:eastAsia="Calibri" w:cs="Arial"/>
                <w:b/>
                <w:bCs/>
                <w:szCs w:val="22"/>
                <w:lang w:val="en-NZ" w:eastAsia="en-US"/>
              </w:rPr>
            </w:pPr>
            <w:r w:rsidRPr="007F5204">
              <w:rPr>
                <w:rFonts w:eastAsia="Calibri" w:cs="Arial"/>
                <w:b/>
                <w:bCs/>
                <w:szCs w:val="22"/>
                <w:lang w:val="en-NZ" w:eastAsia="en-US"/>
              </w:rPr>
              <w:t>less than 3m in width (jetty not included)</w:t>
            </w:r>
          </w:p>
        </w:tc>
        <w:tc>
          <w:tcPr>
            <w:tcW w:w="1797" w:type="dxa"/>
            <w:shd w:val="clear" w:color="auto" w:fill="auto"/>
          </w:tcPr>
          <w:p w14:paraId="79BDAFF7"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$1,500</w:t>
            </w:r>
          </w:p>
        </w:tc>
        <w:tc>
          <w:tcPr>
            <w:tcW w:w="1685" w:type="dxa"/>
            <w:shd w:val="clear" w:color="auto" w:fill="auto"/>
          </w:tcPr>
          <w:p w14:paraId="7D148B2A"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$1,943</w:t>
            </w:r>
          </w:p>
        </w:tc>
        <w:tc>
          <w:tcPr>
            <w:tcW w:w="1940" w:type="dxa"/>
            <w:shd w:val="clear" w:color="auto" w:fill="auto"/>
          </w:tcPr>
          <w:p w14:paraId="182BD4F4"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$1,830</w:t>
            </w:r>
          </w:p>
        </w:tc>
        <w:tc>
          <w:tcPr>
            <w:tcW w:w="1940" w:type="dxa"/>
            <w:shd w:val="clear" w:color="auto" w:fill="auto"/>
          </w:tcPr>
          <w:p w14:paraId="64955082"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$330</w:t>
            </w:r>
            <w:r w:rsidR="00293F78" w:rsidRPr="007F5204">
              <w:rPr>
                <w:rFonts w:eastAsia="Calibri" w:cs="Arial"/>
                <w:szCs w:val="22"/>
                <w:lang w:val="en-NZ" w:eastAsia="en-US"/>
              </w:rPr>
              <w:t xml:space="preserve"> (22%)</w:t>
            </w:r>
          </w:p>
        </w:tc>
      </w:tr>
      <w:tr w:rsidR="00240FAD" w:rsidRPr="00BA1ED2" w14:paraId="378C2AE6" w14:textId="77777777" w:rsidTr="007F5204">
        <w:tc>
          <w:tcPr>
            <w:tcW w:w="9267" w:type="dxa"/>
            <w:gridSpan w:val="5"/>
            <w:tcBorders>
              <w:top w:val="single" w:sz="4" w:space="0" w:color="000000"/>
              <w:bottom w:val="single" w:sz="4" w:space="0" w:color="000000"/>
              <w:right w:val="nil"/>
            </w:tcBorders>
            <w:shd w:val="clear" w:color="auto" w:fill="FFFFFF"/>
          </w:tcPr>
          <w:p w14:paraId="2878A62F" w14:textId="77777777" w:rsidR="00240FAD" w:rsidRPr="007F5204" w:rsidRDefault="00240FAD" w:rsidP="00DE0940">
            <w:pPr>
              <w:spacing w:before="40" w:after="40" w:line="240" w:lineRule="auto"/>
              <w:rPr>
                <w:rFonts w:eastAsia="Calibri" w:cs="Arial"/>
                <w:b/>
                <w:bCs/>
                <w:i/>
                <w:szCs w:val="22"/>
                <w:lang w:val="en-NZ" w:eastAsia="en-US"/>
              </w:rPr>
            </w:pPr>
            <w:r w:rsidRPr="007F5204">
              <w:rPr>
                <w:rFonts w:eastAsia="Calibri" w:cs="Arial"/>
                <w:b/>
                <w:bCs/>
                <w:i/>
                <w:szCs w:val="22"/>
                <w:lang w:val="en-NZ" w:eastAsia="en-US"/>
              </w:rPr>
              <w:t>Annual berth permit: Motuoapa marina</w:t>
            </w:r>
          </w:p>
        </w:tc>
      </w:tr>
      <w:tr w:rsidR="00240FAD" w:rsidRPr="00BA1ED2" w14:paraId="6A0E45EC" w14:textId="77777777" w:rsidTr="007F5204">
        <w:tc>
          <w:tcPr>
            <w:tcW w:w="1905" w:type="dxa"/>
            <w:tcBorders>
              <w:right w:val="nil"/>
            </w:tcBorders>
            <w:shd w:val="clear" w:color="auto" w:fill="FFFFFF"/>
          </w:tcPr>
          <w:p w14:paraId="17567A85" w14:textId="77777777" w:rsidR="00240FAD" w:rsidRPr="007F5204" w:rsidRDefault="00240FAD" w:rsidP="00DE0940">
            <w:pPr>
              <w:spacing w:before="40" w:after="40" w:line="240" w:lineRule="auto"/>
              <w:rPr>
                <w:rFonts w:eastAsia="Calibri" w:cs="Arial"/>
                <w:b/>
                <w:bCs/>
                <w:szCs w:val="22"/>
                <w:lang w:val="en-NZ" w:eastAsia="en-US"/>
              </w:rPr>
            </w:pPr>
            <w:r w:rsidRPr="007F5204">
              <w:rPr>
                <w:rFonts w:eastAsia="Calibri" w:cs="Arial"/>
                <w:b/>
                <w:bCs/>
                <w:szCs w:val="22"/>
                <w:lang w:val="en-NZ" w:eastAsia="en-US"/>
              </w:rPr>
              <w:t>Parallel and more than 12.5m in length</w:t>
            </w:r>
          </w:p>
        </w:tc>
        <w:tc>
          <w:tcPr>
            <w:tcW w:w="1797" w:type="dxa"/>
            <w:shd w:val="clear" w:color="auto" w:fill="auto"/>
          </w:tcPr>
          <w:p w14:paraId="6BA7064C"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$4,000</w:t>
            </w:r>
          </w:p>
        </w:tc>
        <w:tc>
          <w:tcPr>
            <w:tcW w:w="1685" w:type="dxa"/>
            <w:shd w:val="clear" w:color="auto" w:fill="auto"/>
          </w:tcPr>
          <w:p w14:paraId="01A9847B"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$5,182</w:t>
            </w:r>
          </w:p>
        </w:tc>
        <w:tc>
          <w:tcPr>
            <w:tcW w:w="1940" w:type="dxa"/>
            <w:shd w:val="clear" w:color="auto" w:fill="auto"/>
          </w:tcPr>
          <w:p w14:paraId="5F4C0154"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$4,880</w:t>
            </w:r>
          </w:p>
        </w:tc>
        <w:tc>
          <w:tcPr>
            <w:tcW w:w="1940" w:type="dxa"/>
            <w:shd w:val="clear" w:color="auto" w:fill="auto"/>
          </w:tcPr>
          <w:p w14:paraId="01DBD886"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$880</w:t>
            </w:r>
            <w:r w:rsidR="00293F78" w:rsidRPr="007F5204">
              <w:rPr>
                <w:rFonts w:eastAsia="Calibri" w:cs="Arial"/>
                <w:szCs w:val="22"/>
                <w:lang w:val="en-NZ" w:eastAsia="en-US"/>
              </w:rPr>
              <w:t xml:space="preserve"> (22%)</w:t>
            </w:r>
          </w:p>
        </w:tc>
      </w:tr>
      <w:tr w:rsidR="00240FAD" w:rsidRPr="00BA1ED2" w14:paraId="483FDE54" w14:textId="77777777" w:rsidTr="007F5204">
        <w:tc>
          <w:tcPr>
            <w:tcW w:w="1905" w:type="dxa"/>
            <w:tcBorders>
              <w:top w:val="single" w:sz="4" w:space="0" w:color="000000"/>
              <w:bottom w:val="single" w:sz="4" w:space="0" w:color="000000"/>
              <w:right w:val="nil"/>
            </w:tcBorders>
            <w:shd w:val="clear" w:color="auto" w:fill="FFFFFF"/>
          </w:tcPr>
          <w:p w14:paraId="409D663F" w14:textId="77777777" w:rsidR="00240FAD" w:rsidRPr="007F5204" w:rsidRDefault="00240FAD" w:rsidP="00DE0940">
            <w:pPr>
              <w:spacing w:before="40" w:after="40" w:line="240" w:lineRule="auto"/>
              <w:rPr>
                <w:rFonts w:eastAsia="Calibri" w:cs="Arial"/>
                <w:b/>
                <w:bCs/>
                <w:szCs w:val="22"/>
                <w:lang w:val="en-NZ" w:eastAsia="en-US"/>
              </w:rPr>
            </w:pPr>
            <w:r w:rsidRPr="007F5204">
              <w:rPr>
                <w:rFonts w:eastAsia="Calibri" w:cs="Arial"/>
                <w:b/>
                <w:bCs/>
                <w:szCs w:val="22"/>
                <w:lang w:val="en-NZ" w:eastAsia="en-US"/>
              </w:rPr>
              <w:t>Per lineal metre of berth</w:t>
            </w:r>
          </w:p>
        </w:tc>
        <w:tc>
          <w:tcPr>
            <w:tcW w:w="1797" w:type="dxa"/>
            <w:tcBorders>
              <w:top w:val="single" w:sz="4" w:space="0" w:color="000000"/>
              <w:bottom w:val="single" w:sz="4" w:space="0" w:color="000000"/>
            </w:tcBorders>
            <w:shd w:val="clear" w:color="auto" w:fill="auto"/>
          </w:tcPr>
          <w:p w14:paraId="716864DD"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$280</w:t>
            </w:r>
          </w:p>
        </w:tc>
        <w:tc>
          <w:tcPr>
            <w:tcW w:w="1685" w:type="dxa"/>
            <w:tcBorders>
              <w:top w:val="single" w:sz="4" w:space="0" w:color="000000"/>
              <w:bottom w:val="single" w:sz="4" w:space="0" w:color="000000"/>
            </w:tcBorders>
            <w:shd w:val="clear" w:color="auto" w:fill="auto"/>
          </w:tcPr>
          <w:p w14:paraId="4CF2544A"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$363</w:t>
            </w:r>
          </w:p>
        </w:tc>
        <w:tc>
          <w:tcPr>
            <w:tcW w:w="1940" w:type="dxa"/>
            <w:tcBorders>
              <w:top w:val="single" w:sz="4" w:space="0" w:color="000000"/>
              <w:bottom w:val="single" w:sz="4" w:space="0" w:color="000000"/>
            </w:tcBorders>
            <w:shd w:val="clear" w:color="auto" w:fill="auto"/>
          </w:tcPr>
          <w:p w14:paraId="07988B34"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$342</w:t>
            </w:r>
          </w:p>
        </w:tc>
        <w:tc>
          <w:tcPr>
            <w:tcW w:w="1940" w:type="dxa"/>
            <w:tcBorders>
              <w:top w:val="single" w:sz="4" w:space="0" w:color="000000"/>
              <w:bottom w:val="single" w:sz="4" w:space="0" w:color="000000"/>
            </w:tcBorders>
            <w:shd w:val="clear" w:color="auto" w:fill="auto"/>
          </w:tcPr>
          <w:p w14:paraId="02210816"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$62</w:t>
            </w:r>
            <w:r w:rsidR="00293F78" w:rsidRPr="007F5204">
              <w:rPr>
                <w:rFonts w:eastAsia="Calibri" w:cs="Arial"/>
                <w:szCs w:val="22"/>
                <w:lang w:val="en-NZ" w:eastAsia="en-US"/>
              </w:rPr>
              <w:t xml:space="preserve"> (22%)</w:t>
            </w:r>
          </w:p>
        </w:tc>
      </w:tr>
      <w:tr w:rsidR="00240FAD" w:rsidRPr="00BA1ED2" w14:paraId="3ADE826F" w14:textId="77777777" w:rsidTr="007F5204">
        <w:tc>
          <w:tcPr>
            <w:tcW w:w="9267" w:type="dxa"/>
            <w:gridSpan w:val="5"/>
            <w:tcBorders>
              <w:right w:val="nil"/>
            </w:tcBorders>
            <w:shd w:val="clear" w:color="auto" w:fill="FFFFFF"/>
          </w:tcPr>
          <w:p w14:paraId="5541080B" w14:textId="77777777" w:rsidR="00240FAD" w:rsidRPr="007F5204" w:rsidRDefault="00240FAD" w:rsidP="00DE0940">
            <w:pPr>
              <w:keepNext/>
              <w:spacing w:before="40" w:after="40" w:line="240" w:lineRule="auto"/>
              <w:rPr>
                <w:rFonts w:eastAsia="Calibri" w:cs="Arial"/>
                <w:b/>
                <w:bCs/>
                <w:i/>
                <w:szCs w:val="22"/>
                <w:lang w:val="en-NZ" w:eastAsia="en-US"/>
              </w:rPr>
            </w:pPr>
            <w:r w:rsidRPr="007F5204">
              <w:rPr>
                <w:rFonts w:eastAsia="Calibri" w:cs="Arial"/>
                <w:b/>
                <w:bCs/>
                <w:i/>
                <w:szCs w:val="22"/>
                <w:lang w:val="en-NZ" w:eastAsia="en-US"/>
              </w:rPr>
              <w:t>Temporary berth permit</w:t>
            </w:r>
          </w:p>
        </w:tc>
      </w:tr>
      <w:tr w:rsidR="00240FAD" w:rsidRPr="00BA1ED2" w14:paraId="47E342B8" w14:textId="77777777" w:rsidTr="007F5204">
        <w:tc>
          <w:tcPr>
            <w:tcW w:w="1905" w:type="dxa"/>
            <w:tcBorders>
              <w:top w:val="single" w:sz="4" w:space="0" w:color="000000"/>
              <w:bottom w:val="single" w:sz="4" w:space="0" w:color="000000"/>
              <w:right w:val="nil"/>
            </w:tcBorders>
            <w:shd w:val="clear" w:color="auto" w:fill="FFFFFF"/>
          </w:tcPr>
          <w:p w14:paraId="053EC082" w14:textId="77777777" w:rsidR="00240FAD" w:rsidRPr="007F5204" w:rsidRDefault="00240FAD" w:rsidP="00DE0940">
            <w:pPr>
              <w:keepNext/>
              <w:spacing w:before="40" w:after="40" w:line="240" w:lineRule="auto"/>
              <w:rPr>
                <w:rFonts w:eastAsia="Calibri" w:cs="Arial"/>
                <w:b/>
                <w:bCs/>
                <w:szCs w:val="22"/>
                <w:lang w:val="en-NZ" w:eastAsia="en-US"/>
              </w:rPr>
            </w:pPr>
            <w:r w:rsidRPr="007F5204">
              <w:rPr>
                <w:rFonts w:eastAsia="Calibri" w:cs="Arial"/>
                <w:b/>
                <w:bCs/>
                <w:szCs w:val="22"/>
                <w:lang w:val="en-NZ" w:eastAsia="en-US"/>
              </w:rPr>
              <w:t xml:space="preserve">24 hours </w:t>
            </w:r>
          </w:p>
        </w:tc>
        <w:tc>
          <w:tcPr>
            <w:tcW w:w="1797" w:type="dxa"/>
            <w:tcBorders>
              <w:top w:val="single" w:sz="4" w:space="0" w:color="000000"/>
              <w:bottom w:val="single" w:sz="4" w:space="0" w:color="000000"/>
            </w:tcBorders>
            <w:shd w:val="clear" w:color="auto" w:fill="auto"/>
          </w:tcPr>
          <w:p w14:paraId="536BE915" w14:textId="77777777" w:rsidR="00240FAD" w:rsidRPr="007F5204" w:rsidRDefault="00240FAD" w:rsidP="00DE0940">
            <w:pPr>
              <w:keepNext/>
              <w:spacing w:before="40" w:after="40" w:line="240" w:lineRule="auto"/>
              <w:rPr>
                <w:rFonts w:eastAsia="Calibri" w:cs="Arial"/>
                <w:szCs w:val="22"/>
                <w:lang w:val="en-NZ" w:eastAsia="en-US"/>
              </w:rPr>
            </w:pPr>
            <w:r w:rsidRPr="007F5204">
              <w:rPr>
                <w:rFonts w:eastAsia="Calibri" w:cs="Arial"/>
                <w:b/>
                <w:szCs w:val="22"/>
                <w:lang w:val="en-NZ" w:eastAsia="en-US"/>
              </w:rPr>
              <w:t>(new product)</w:t>
            </w:r>
          </w:p>
        </w:tc>
        <w:tc>
          <w:tcPr>
            <w:tcW w:w="1685" w:type="dxa"/>
            <w:tcBorders>
              <w:top w:val="single" w:sz="4" w:space="0" w:color="000000"/>
              <w:bottom w:val="single" w:sz="4" w:space="0" w:color="000000"/>
            </w:tcBorders>
            <w:shd w:val="clear" w:color="auto" w:fill="auto"/>
          </w:tcPr>
          <w:p w14:paraId="6DD9AAC2" w14:textId="77777777" w:rsidR="00240FAD" w:rsidRPr="007F5204" w:rsidRDefault="00240FAD" w:rsidP="00DE0940">
            <w:pPr>
              <w:keepNext/>
              <w:spacing w:before="40" w:after="40" w:line="240" w:lineRule="auto"/>
              <w:rPr>
                <w:rFonts w:eastAsia="Calibri" w:cs="Arial"/>
                <w:szCs w:val="22"/>
                <w:lang w:val="en-NZ" w:eastAsia="en-US"/>
              </w:rPr>
            </w:pPr>
          </w:p>
        </w:tc>
        <w:tc>
          <w:tcPr>
            <w:tcW w:w="1940" w:type="dxa"/>
            <w:tcBorders>
              <w:top w:val="single" w:sz="4" w:space="0" w:color="000000"/>
              <w:bottom w:val="single" w:sz="4" w:space="0" w:color="000000"/>
            </w:tcBorders>
            <w:shd w:val="clear" w:color="auto" w:fill="auto"/>
          </w:tcPr>
          <w:p w14:paraId="5278D667" w14:textId="77777777" w:rsidR="00240FAD" w:rsidRPr="007F5204" w:rsidRDefault="00240FAD" w:rsidP="00DE0940">
            <w:pPr>
              <w:keepNext/>
              <w:spacing w:before="40" w:after="40" w:line="240" w:lineRule="auto"/>
              <w:rPr>
                <w:rFonts w:eastAsia="Calibri" w:cs="Arial"/>
                <w:szCs w:val="22"/>
                <w:lang w:val="en-NZ" w:eastAsia="en-US"/>
              </w:rPr>
            </w:pPr>
            <w:r w:rsidRPr="007F5204">
              <w:rPr>
                <w:rFonts w:eastAsia="Calibri" w:cs="Arial"/>
                <w:szCs w:val="22"/>
                <w:lang w:val="en-NZ" w:eastAsia="en-US"/>
              </w:rPr>
              <w:t>$40</w:t>
            </w:r>
          </w:p>
        </w:tc>
        <w:tc>
          <w:tcPr>
            <w:tcW w:w="1940" w:type="dxa"/>
            <w:tcBorders>
              <w:top w:val="single" w:sz="4" w:space="0" w:color="000000"/>
              <w:bottom w:val="single" w:sz="4" w:space="0" w:color="000000"/>
            </w:tcBorders>
            <w:shd w:val="clear" w:color="auto" w:fill="auto"/>
          </w:tcPr>
          <w:p w14:paraId="00C60610" w14:textId="1BDCA8AA" w:rsidR="00240FAD" w:rsidRPr="007F5204" w:rsidRDefault="00240FAD" w:rsidP="00DE0940">
            <w:pPr>
              <w:keepNext/>
              <w:spacing w:before="40" w:after="40" w:line="240" w:lineRule="auto"/>
              <w:rPr>
                <w:rFonts w:eastAsia="Calibri" w:cs="Arial"/>
                <w:szCs w:val="22"/>
                <w:lang w:val="en-NZ" w:eastAsia="en-US"/>
              </w:rPr>
            </w:pPr>
            <w:r w:rsidRPr="007F5204">
              <w:rPr>
                <w:rFonts w:eastAsia="Calibri" w:cs="Arial"/>
                <w:szCs w:val="22"/>
                <w:lang w:val="en-NZ" w:eastAsia="en-US"/>
              </w:rPr>
              <w:t>N/A</w:t>
            </w:r>
            <w:r w:rsidR="00293F78" w:rsidRPr="007F5204">
              <w:rPr>
                <w:rFonts w:eastAsia="Calibri" w:cs="Arial"/>
                <w:szCs w:val="22"/>
                <w:lang w:val="en-NZ" w:eastAsia="en-US"/>
              </w:rPr>
              <w:t xml:space="preserve"> (new</w:t>
            </w:r>
            <w:r w:rsidR="00A57418" w:rsidRPr="00BA1ED2">
              <w:rPr>
                <w:rFonts w:eastAsia="Calibri" w:cs="Arial"/>
                <w:szCs w:val="22"/>
                <w:lang w:val="en-NZ" w:eastAsia="en-US"/>
              </w:rPr>
              <w:t> </w:t>
            </w:r>
            <w:r w:rsidR="00293F78" w:rsidRPr="007F5204">
              <w:rPr>
                <w:rFonts w:eastAsia="Calibri" w:cs="Arial"/>
                <w:szCs w:val="22"/>
                <w:lang w:val="en-NZ" w:eastAsia="en-US"/>
              </w:rPr>
              <w:t xml:space="preserve">service) </w:t>
            </w:r>
          </w:p>
        </w:tc>
      </w:tr>
      <w:tr w:rsidR="00240FAD" w:rsidRPr="00BA1ED2" w14:paraId="7024C699" w14:textId="77777777" w:rsidTr="007F5204">
        <w:tc>
          <w:tcPr>
            <w:tcW w:w="1905" w:type="dxa"/>
            <w:tcBorders>
              <w:right w:val="nil"/>
            </w:tcBorders>
            <w:shd w:val="clear" w:color="auto" w:fill="FFFFFF"/>
          </w:tcPr>
          <w:p w14:paraId="74835B71" w14:textId="77777777" w:rsidR="00240FAD" w:rsidRPr="007F5204" w:rsidRDefault="00240FAD" w:rsidP="00DE0940">
            <w:pPr>
              <w:spacing w:before="40" w:after="40" w:line="240" w:lineRule="auto"/>
              <w:rPr>
                <w:rFonts w:eastAsia="Calibri" w:cs="Arial"/>
                <w:b/>
                <w:bCs/>
                <w:szCs w:val="22"/>
                <w:lang w:val="en-NZ" w:eastAsia="en-US"/>
              </w:rPr>
            </w:pPr>
            <w:r w:rsidRPr="007F5204">
              <w:rPr>
                <w:rFonts w:eastAsia="Calibri" w:cs="Arial"/>
                <w:b/>
                <w:bCs/>
                <w:szCs w:val="22"/>
                <w:lang w:val="en-NZ" w:eastAsia="en-US"/>
              </w:rPr>
              <w:t xml:space="preserve">1 week </w:t>
            </w:r>
          </w:p>
        </w:tc>
        <w:tc>
          <w:tcPr>
            <w:tcW w:w="1797" w:type="dxa"/>
            <w:shd w:val="clear" w:color="auto" w:fill="auto"/>
          </w:tcPr>
          <w:p w14:paraId="6E57F81B"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$100</w:t>
            </w:r>
          </w:p>
        </w:tc>
        <w:tc>
          <w:tcPr>
            <w:tcW w:w="1685" w:type="dxa"/>
            <w:shd w:val="clear" w:color="auto" w:fill="auto"/>
          </w:tcPr>
          <w:p w14:paraId="3FD61FF7" w14:textId="77777777" w:rsidR="00240FAD" w:rsidRPr="007F5204" w:rsidRDefault="00240FAD" w:rsidP="00DE0940">
            <w:pPr>
              <w:spacing w:before="40" w:after="40" w:line="240" w:lineRule="auto"/>
              <w:rPr>
                <w:rFonts w:eastAsia="Calibri" w:cs="Arial"/>
                <w:szCs w:val="22"/>
                <w:lang w:val="en-NZ" w:eastAsia="en-US"/>
              </w:rPr>
            </w:pPr>
          </w:p>
        </w:tc>
        <w:tc>
          <w:tcPr>
            <w:tcW w:w="1940" w:type="dxa"/>
            <w:shd w:val="clear" w:color="auto" w:fill="auto"/>
          </w:tcPr>
          <w:p w14:paraId="14951FD3"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$200</w:t>
            </w:r>
          </w:p>
        </w:tc>
        <w:tc>
          <w:tcPr>
            <w:tcW w:w="1940" w:type="dxa"/>
            <w:shd w:val="clear" w:color="auto" w:fill="auto"/>
          </w:tcPr>
          <w:p w14:paraId="37F29401"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$100</w:t>
            </w:r>
            <w:r w:rsidR="00293F78" w:rsidRPr="007F5204">
              <w:rPr>
                <w:rFonts w:eastAsia="Calibri" w:cs="Arial"/>
                <w:szCs w:val="22"/>
                <w:lang w:val="en-NZ" w:eastAsia="en-US"/>
              </w:rPr>
              <w:t xml:space="preserve"> (100%)</w:t>
            </w:r>
          </w:p>
        </w:tc>
      </w:tr>
      <w:tr w:rsidR="00240FAD" w:rsidRPr="00BA1ED2" w14:paraId="4DB22501" w14:textId="77777777" w:rsidTr="007F5204">
        <w:tc>
          <w:tcPr>
            <w:tcW w:w="1905" w:type="dxa"/>
            <w:tcBorders>
              <w:top w:val="single" w:sz="4" w:space="0" w:color="000000"/>
              <w:bottom w:val="single" w:sz="4" w:space="0" w:color="000000"/>
              <w:right w:val="nil"/>
            </w:tcBorders>
            <w:shd w:val="clear" w:color="auto" w:fill="FFFFFF"/>
          </w:tcPr>
          <w:p w14:paraId="4DE3CC6C" w14:textId="77777777" w:rsidR="00240FAD" w:rsidRPr="007F5204" w:rsidRDefault="00240FAD" w:rsidP="00DE0940">
            <w:pPr>
              <w:spacing w:before="40" w:after="40" w:line="240" w:lineRule="auto"/>
              <w:rPr>
                <w:rFonts w:eastAsia="Calibri" w:cs="Arial"/>
                <w:b/>
                <w:bCs/>
                <w:szCs w:val="22"/>
                <w:lang w:val="en-NZ" w:eastAsia="en-US"/>
              </w:rPr>
            </w:pPr>
            <w:r w:rsidRPr="007F5204">
              <w:rPr>
                <w:rFonts w:eastAsia="Calibri" w:cs="Arial"/>
                <w:b/>
                <w:bCs/>
                <w:szCs w:val="22"/>
                <w:lang w:val="en-NZ" w:eastAsia="en-US"/>
              </w:rPr>
              <w:t>1 month</w:t>
            </w:r>
          </w:p>
        </w:tc>
        <w:tc>
          <w:tcPr>
            <w:tcW w:w="1797" w:type="dxa"/>
            <w:tcBorders>
              <w:top w:val="single" w:sz="4" w:space="0" w:color="000000"/>
              <w:bottom w:val="single" w:sz="4" w:space="0" w:color="000000"/>
            </w:tcBorders>
            <w:shd w:val="clear" w:color="auto" w:fill="auto"/>
          </w:tcPr>
          <w:p w14:paraId="37263A5B"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$200</w:t>
            </w:r>
          </w:p>
        </w:tc>
        <w:tc>
          <w:tcPr>
            <w:tcW w:w="1685" w:type="dxa"/>
            <w:tcBorders>
              <w:top w:val="single" w:sz="4" w:space="0" w:color="000000"/>
              <w:bottom w:val="single" w:sz="4" w:space="0" w:color="000000"/>
            </w:tcBorders>
            <w:shd w:val="clear" w:color="auto" w:fill="auto"/>
          </w:tcPr>
          <w:p w14:paraId="509976D8" w14:textId="77777777" w:rsidR="00240FAD" w:rsidRPr="007F5204" w:rsidRDefault="00240FAD" w:rsidP="00DE0940">
            <w:pPr>
              <w:spacing w:before="40" w:after="40" w:line="240" w:lineRule="auto"/>
              <w:rPr>
                <w:rFonts w:eastAsia="Calibri" w:cs="Arial"/>
                <w:szCs w:val="22"/>
                <w:lang w:val="en-NZ" w:eastAsia="en-US"/>
              </w:rPr>
            </w:pPr>
          </w:p>
        </w:tc>
        <w:tc>
          <w:tcPr>
            <w:tcW w:w="1940" w:type="dxa"/>
            <w:tcBorders>
              <w:top w:val="single" w:sz="4" w:space="0" w:color="000000"/>
              <w:bottom w:val="single" w:sz="4" w:space="0" w:color="000000"/>
            </w:tcBorders>
            <w:shd w:val="clear" w:color="auto" w:fill="auto"/>
          </w:tcPr>
          <w:p w14:paraId="2A7128BE"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$400</w:t>
            </w:r>
          </w:p>
        </w:tc>
        <w:tc>
          <w:tcPr>
            <w:tcW w:w="1940" w:type="dxa"/>
            <w:tcBorders>
              <w:top w:val="single" w:sz="4" w:space="0" w:color="000000"/>
              <w:bottom w:val="single" w:sz="4" w:space="0" w:color="000000"/>
            </w:tcBorders>
            <w:shd w:val="clear" w:color="auto" w:fill="auto"/>
          </w:tcPr>
          <w:p w14:paraId="5234C68E" w14:textId="77777777" w:rsidR="00240FAD" w:rsidRPr="007F5204" w:rsidRDefault="00240FAD" w:rsidP="00DE0940">
            <w:pPr>
              <w:spacing w:before="40" w:after="40" w:line="240" w:lineRule="auto"/>
              <w:rPr>
                <w:rFonts w:eastAsia="Calibri" w:cs="Arial"/>
                <w:szCs w:val="22"/>
                <w:lang w:val="en-NZ" w:eastAsia="en-US"/>
              </w:rPr>
            </w:pPr>
            <w:r w:rsidRPr="007F5204">
              <w:rPr>
                <w:rFonts w:eastAsia="Calibri" w:cs="Arial"/>
                <w:szCs w:val="22"/>
                <w:lang w:val="en-NZ" w:eastAsia="en-US"/>
              </w:rPr>
              <w:t>$200</w:t>
            </w:r>
            <w:r w:rsidR="00293F78" w:rsidRPr="007F5204">
              <w:rPr>
                <w:rFonts w:eastAsia="Calibri" w:cs="Arial"/>
                <w:szCs w:val="22"/>
                <w:lang w:val="en-NZ" w:eastAsia="en-US"/>
              </w:rPr>
              <w:t xml:space="preserve"> (100%)</w:t>
            </w:r>
          </w:p>
        </w:tc>
      </w:tr>
      <w:bookmarkEnd w:id="110"/>
    </w:tbl>
    <w:p w14:paraId="46427506" w14:textId="77777777" w:rsidR="00240FAD" w:rsidRPr="00E95640" w:rsidRDefault="00240FAD" w:rsidP="00240FAD">
      <w:pPr>
        <w:rPr>
          <w:rFonts w:cs="Arial"/>
        </w:rPr>
      </w:pPr>
    </w:p>
    <w:sectPr w:rsidR="00240FAD" w:rsidRPr="00E95640" w:rsidSect="00C472E1">
      <w:headerReference w:type="even" r:id="rId14"/>
      <w:headerReference w:type="default" r:id="rId15"/>
      <w:footerReference w:type="even" r:id="rId16"/>
      <w:footerReference w:type="default" r:id="rId17"/>
      <w:headerReference w:type="first" r:id="rId18"/>
      <w:footerReference w:type="first" r:id="rId19"/>
      <w:pgSz w:w="11907" w:h="16840" w:code="9"/>
      <w:pgMar w:top="1134" w:right="1418" w:bottom="992" w:left="1418"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D3B6C" w14:textId="77777777" w:rsidR="007F5204" w:rsidRDefault="007F5204" w:rsidP="00F72085">
      <w:r>
        <w:separator/>
      </w:r>
    </w:p>
  </w:endnote>
  <w:endnote w:type="continuationSeparator" w:id="0">
    <w:p w14:paraId="311DA21C" w14:textId="77777777" w:rsidR="007F5204" w:rsidRDefault="007F5204" w:rsidP="00F7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Sans">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E7530" w14:textId="77777777" w:rsidR="007F5204" w:rsidRPr="00C73AEA" w:rsidRDefault="007F5204" w:rsidP="007A4CBF">
    <w:pPr>
      <w:pStyle w:val="EvenFooter"/>
      <w:rPr>
        <w:caps/>
      </w:rPr>
    </w:pPr>
    <w:r>
      <w:fldChar w:fldCharType="begin"/>
    </w:r>
    <w:r>
      <w:instrText xml:space="preserve">PAGE  </w:instrText>
    </w:r>
    <w:r>
      <w:fldChar w:fldCharType="separate"/>
    </w:r>
    <w:r>
      <w:t>8</w:t>
    </w:r>
    <w:r>
      <w:fldChar w:fldCharType="end"/>
    </w:r>
    <w:r w:rsidRPr="00281580">
      <w:t xml:space="preserve"> </w:t>
    </w:r>
    <w:r>
      <w:t xml:space="preserve"> </w:t>
    </w:r>
    <w:r w:rsidRPr="00281580">
      <w:t xml:space="preserve"> | </w:t>
    </w:r>
    <w:r>
      <w:t xml:space="preserve"> </w:t>
    </w:r>
    <w:r w:rsidRPr="00281580">
      <w:t xml:space="preserve"> </w:t>
    </w:r>
    <w:r w:rsidRPr="005D2127">
      <w:t>Regulator</w:t>
    </w:r>
    <w:r>
      <w:t xml:space="preserve">y Impact Analysis: Cost Recovery Impact Statement - Overview of Required Information - Template </w:t>
    </w:r>
    <w:r w:rsidRPr="00B9122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790A1" w14:textId="77777777" w:rsidR="007F5204" w:rsidRPr="00C73AEA" w:rsidRDefault="007F5204" w:rsidP="007A4CBF">
    <w:pPr>
      <w:pStyle w:val="Footer"/>
    </w:pPr>
    <w:r>
      <w:tab/>
    </w:r>
    <w:r w:rsidRPr="005D2127">
      <w:t>Regulator</w:t>
    </w:r>
    <w:r>
      <w:t xml:space="preserve">y Impact Analysis: Cost Recovery Impact Statement – Lake Taupō fees review </w:t>
    </w:r>
    <w:r w:rsidRPr="00B91224">
      <w:t xml:space="preserve">  | </w:t>
    </w:r>
    <w:r>
      <w:t xml:space="preserve"> </w:t>
    </w:r>
    <w:r w:rsidRPr="00B91224">
      <w:t xml:space="preserve"> </w:t>
    </w: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FA48" w14:textId="77777777" w:rsidR="007F5204" w:rsidRDefault="007F5204" w:rsidP="007A4CBF">
    <w:pPr>
      <w:pStyle w:val="Footer"/>
    </w:pPr>
    <w:r>
      <w:tab/>
    </w:r>
    <w:r w:rsidRPr="005D2127">
      <w:t>Regulator</w:t>
    </w:r>
    <w:r>
      <w:t xml:space="preserve">y Impact Analysis: Cost Recovery Impact Statement - Overview of Required Information - Template </w:t>
    </w:r>
    <w:r w:rsidRPr="00B91224">
      <w:t xml:space="preserve">  |</w:t>
    </w:r>
    <w:r>
      <w:t xml:space="preserve"> </w:t>
    </w:r>
    <w:r w:rsidRPr="00B91224">
      <w:t xml:space="preserve">  </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68609" w14:textId="77777777" w:rsidR="007F5204" w:rsidRDefault="007F5204" w:rsidP="00F72085">
      <w:r>
        <w:separator/>
      </w:r>
    </w:p>
  </w:footnote>
  <w:footnote w:type="continuationSeparator" w:id="0">
    <w:p w14:paraId="2920ADB6" w14:textId="77777777" w:rsidR="007F5204" w:rsidRDefault="007F5204" w:rsidP="00F72085">
      <w:r>
        <w:continuationSeparator/>
      </w:r>
    </w:p>
  </w:footnote>
  <w:footnote w:id="1">
    <w:p w14:paraId="65B4D98F" w14:textId="77777777" w:rsidR="007F5204" w:rsidRPr="006515EE" w:rsidRDefault="007F5204" w:rsidP="00DC689E">
      <w:pPr>
        <w:pStyle w:val="FootnoteText"/>
        <w:rPr>
          <w:lang w:val="en-NZ"/>
        </w:rPr>
      </w:pPr>
      <w:r>
        <w:rPr>
          <w:rStyle w:val="FootnoteReference"/>
        </w:rPr>
        <w:footnoteRef/>
      </w:r>
      <w:r>
        <w:t xml:space="preserve"> </w:t>
      </w:r>
      <w:r>
        <w:rPr>
          <w:lang w:val="en-NZ"/>
        </w:rPr>
        <w:t>Office of the Auditor General, Central government: Results of the 2011/12 audits.</w:t>
      </w:r>
    </w:p>
  </w:footnote>
  <w:footnote w:id="2">
    <w:p w14:paraId="660B36DC" w14:textId="7B3F34B5" w:rsidR="007F5204" w:rsidRPr="007F5204" w:rsidRDefault="007F5204" w:rsidP="007F5204">
      <w:pPr>
        <w:pStyle w:val="FootnoteText"/>
        <w:ind w:left="0" w:firstLine="0"/>
        <w:rPr>
          <w:lang w:val="en-NZ"/>
        </w:rPr>
      </w:pPr>
      <w:r>
        <w:rPr>
          <w:rStyle w:val="FootnoteReference"/>
        </w:rPr>
        <w:footnoteRef/>
      </w:r>
      <w:r>
        <w:t>Base figures are calculated using a combination of a 4-year average and 2017/18 actuals depending on expense type</w:t>
      </w:r>
    </w:p>
  </w:footnote>
  <w:footnote w:id="3">
    <w:p w14:paraId="5744960C" w14:textId="77777777" w:rsidR="007F5204" w:rsidRPr="00EE1351" w:rsidRDefault="007F5204" w:rsidP="00BD500B">
      <w:pPr>
        <w:pStyle w:val="FootnoteText"/>
        <w:rPr>
          <w:lang w:val="en-NZ"/>
        </w:rPr>
      </w:pPr>
      <w:r>
        <w:rPr>
          <w:rStyle w:val="FootnoteReference"/>
        </w:rPr>
        <w:footnoteRef/>
      </w:r>
      <w:r>
        <w:t xml:space="preserve"> </w:t>
      </w:r>
      <w:r>
        <w:rPr>
          <w:lang w:val="en-NZ"/>
        </w:rPr>
        <w:t>All quoted increases are inclusive of GST.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EB1F" w14:textId="77777777" w:rsidR="007F5204" w:rsidRDefault="007F5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98E0C" w14:textId="271F0833" w:rsidR="007F5204" w:rsidRDefault="007F5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EF01F" w14:textId="77777777" w:rsidR="007F5204" w:rsidRDefault="007F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83D"/>
    <w:multiLevelType w:val="hybridMultilevel"/>
    <w:tmpl w:val="0AB8B3DA"/>
    <w:lvl w:ilvl="0" w:tplc="14090001">
      <w:start w:val="1"/>
      <w:numFmt w:val="bullet"/>
      <w:lvlText w:val=""/>
      <w:lvlJc w:val="left"/>
      <w:pPr>
        <w:ind w:left="720" w:hanging="360"/>
      </w:pPr>
      <w:rPr>
        <w:rFonts w:ascii="Symbol" w:hAnsi="Symbol" w:hint="default"/>
      </w:rPr>
    </w:lvl>
    <w:lvl w:ilvl="1" w:tplc="14090017">
      <w:start w:val="1"/>
      <w:numFmt w:val="lowerLetter"/>
      <w:lvlText w:val="%2)"/>
      <w:lvlJc w:val="left"/>
      <w:pPr>
        <w:ind w:left="1440" w:hanging="360"/>
      </w:pPr>
      <w:rPr>
        <w:rFonts w:hint="default"/>
      </w:rPr>
    </w:lvl>
    <w:lvl w:ilvl="2" w:tplc="3222C25E">
      <w:numFmt w:val="bullet"/>
      <w:lvlText w:val="-"/>
      <w:lvlJc w:val="left"/>
      <w:pPr>
        <w:ind w:left="2160" w:hanging="360"/>
      </w:pPr>
      <w:rPr>
        <w:rFonts w:ascii="Arial" w:eastAsia="Times New Roman" w:hAnsi="Arial" w:cs="Aria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F25BD1"/>
    <w:multiLevelType w:val="hybridMultilevel"/>
    <w:tmpl w:val="790EA2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5A6CFD"/>
    <w:multiLevelType w:val="hybridMultilevel"/>
    <w:tmpl w:val="E312E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B660F6"/>
    <w:multiLevelType w:val="hybridMultilevel"/>
    <w:tmpl w:val="AFC00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1B263C"/>
    <w:multiLevelType w:val="hybridMultilevel"/>
    <w:tmpl w:val="2ECA5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6C6AB7"/>
    <w:multiLevelType w:val="hybridMultilevel"/>
    <w:tmpl w:val="88ACB5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A84E6C"/>
    <w:multiLevelType w:val="hybridMultilevel"/>
    <w:tmpl w:val="562C3BCA"/>
    <w:lvl w:ilvl="0" w:tplc="1409000F">
      <w:start w:val="1"/>
      <w:numFmt w:val="decimal"/>
      <w:lvlText w:val="%1."/>
      <w:lvlJc w:val="left"/>
      <w:pPr>
        <w:ind w:left="1211"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45B223C"/>
    <w:multiLevelType w:val="hybridMultilevel"/>
    <w:tmpl w:val="99ACD0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5D9525A"/>
    <w:multiLevelType w:val="hybridMultilevel"/>
    <w:tmpl w:val="14BCD7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7042124"/>
    <w:multiLevelType w:val="hybridMultilevel"/>
    <w:tmpl w:val="4B6A8AE0"/>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1" w15:restartNumberingAfterBreak="0">
    <w:nsid w:val="1C8A0DC7"/>
    <w:multiLevelType w:val="hybridMultilevel"/>
    <w:tmpl w:val="8522F3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044948"/>
    <w:multiLevelType w:val="hybridMultilevel"/>
    <w:tmpl w:val="16A6441E"/>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3" w15:restartNumberingAfterBreak="0">
    <w:nsid w:val="25D64CC4"/>
    <w:multiLevelType w:val="hybridMultilevel"/>
    <w:tmpl w:val="91026A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6CD4C39"/>
    <w:multiLevelType w:val="hybridMultilevel"/>
    <w:tmpl w:val="B14E74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A983124"/>
    <w:multiLevelType w:val="hybridMultilevel"/>
    <w:tmpl w:val="FF16B9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0E73959"/>
    <w:multiLevelType w:val="hybridMultilevel"/>
    <w:tmpl w:val="A0822810"/>
    <w:lvl w:ilvl="0" w:tplc="40EABA32">
      <w:start w:val="1"/>
      <w:numFmt w:val="bullet"/>
      <w:lvlText w:val="4"/>
      <w:lvlJc w:val="left"/>
      <w:pPr>
        <w:ind w:left="1004" w:hanging="360"/>
      </w:pPr>
      <w:rPr>
        <w:rFonts w:ascii="Webdings" w:hAnsi="Webdings" w:hint="default"/>
        <w:b/>
        <w:i w:val="0"/>
        <w:color w:val="AFCAFF"/>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7" w15:restartNumberingAfterBreak="0">
    <w:nsid w:val="336E3DB1"/>
    <w:multiLevelType w:val="hybridMultilevel"/>
    <w:tmpl w:val="CFB009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7DC27CA"/>
    <w:multiLevelType w:val="multilevel"/>
    <w:tmpl w:val="07A473D0"/>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9" w15:restartNumberingAfterBreak="0">
    <w:nsid w:val="38DE5A8D"/>
    <w:multiLevelType w:val="hybridMultilevel"/>
    <w:tmpl w:val="93802A1A"/>
    <w:lvl w:ilvl="0" w:tplc="E2C8BEB8">
      <w:start w:val="1"/>
      <w:numFmt w:val="bullet"/>
      <w:pStyle w:val="Bullet-list"/>
      <w:lvlText w:val=""/>
      <w:lvlJc w:val="left"/>
      <w:pPr>
        <w:ind w:left="729" w:hanging="360"/>
      </w:pPr>
      <w:rPr>
        <w:rFonts w:ascii="Symbol" w:hAnsi="Symbol" w:hint="default"/>
      </w:rPr>
    </w:lvl>
    <w:lvl w:ilvl="1" w:tplc="14090003">
      <w:start w:val="1"/>
      <w:numFmt w:val="bullet"/>
      <w:lvlText w:val="o"/>
      <w:lvlJc w:val="left"/>
      <w:pPr>
        <w:ind w:left="1449" w:hanging="360"/>
      </w:pPr>
      <w:rPr>
        <w:rFonts w:ascii="Courier New" w:hAnsi="Courier New" w:cs="Courier New" w:hint="default"/>
      </w:rPr>
    </w:lvl>
    <w:lvl w:ilvl="2" w:tplc="14090005" w:tentative="1">
      <w:start w:val="1"/>
      <w:numFmt w:val="bullet"/>
      <w:lvlText w:val=""/>
      <w:lvlJc w:val="left"/>
      <w:pPr>
        <w:ind w:left="2169" w:hanging="360"/>
      </w:pPr>
      <w:rPr>
        <w:rFonts w:ascii="Wingdings" w:hAnsi="Wingdings" w:hint="default"/>
      </w:rPr>
    </w:lvl>
    <w:lvl w:ilvl="3" w:tplc="14090001" w:tentative="1">
      <w:start w:val="1"/>
      <w:numFmt w:val="bullet"/>
      <w:lvlText w:val=""/>
      <w:lvlJc w:val="left"/>
      <w:pPr>
        <w:ind w:left="2889" w:hanging="360"/>
      </w:pPr>
      <w:rPr>
        <w:rFonts w:ascii="Symbol" w:hAnsi="Symbol" w:hint="default"/>
      </w:rPr>
    </w:lvl>
    <w:lvl w:ilvl="4" w:tplc="14090003" w:tentative="1">
      <w:start w:val="1"/>
      <w:numFmt w:val="bullet"/>
      <w:lvlText w:val="o"/>
      <w:lvlJc w:val="left"/>
      <w:pPr>
        <w:ind w:left="3609" w:hanging="360"/>
      </w:pPr>
      <w:rPr>
        <w:rFonts w:ascii="Courier New" w:hAnsi="Courier New" w:cs="Courier New" w:hint="default"/>
      </w:rPr>
    </w:lvl>
    <w:lvl w:ilvl="5" w:tplc="14090005" w:tentative="1">
      <w:start w:val="1"/>
      <w:numFmt w:val="bullet"/>
      <w:lvlText w:val=""/>
      <w:lvlJc w:val="left"/>
      <w:pPr>
        <w:ind w:left="4329" w:hanging="360"/>
      </w:pPr>
      <w:rPr>
        <w:rFonts w:ascii="Wingdings" w:hAnsi="Wingdings" w:hint="default"/>
      </w:rPr>
    </w:lvl>
    <w:lvl w:ilvl="6" w:tplc="14090001" w:tentative="1">
      <w:start w:val="1"/>
      <w:numFmt w:val="bullet"/>
      <w:lvlText w:val=""/>
      <w:lvlJc w:val="left"/>
      <w:pPr>
        <w:ind w:left="5049" w:hanging="360"/>
      </w:pPr>
      <w:rPr>
        <w:rFonts w:ascii="Symbol" w:hAnsi="Symbol" w:hint="default"/>
      </w:rPr>
    </w:lvl>
    <w:lvl w:ilvl="7" w:tplc="14090003" w:tentative="1">
      <w:start w:val="1"/>
      <w:numFmt w:val="bullet"/>
      <w:lvlText w:val="o"/>
      <w:lvlJc w:val="left"/>
      <w:pPr>
        <w:ind w:left="5769" w:hanging="360"/>
      </w:pPr>
      <w:rPr>
        <w:rFonts w:ascii="Courier New" w:hAnsi="Courier New" w:cs="Courier New" w:hint="default"/>
      </w:rPr>
    </w:lvl>
    <w:lvl w:ilvl="8" w:tplc="14090005" w:tentative="1">
      <w:start w:val="1"/>
      <w:numFmt w:val="bullet"/>
      <w:lvlText w:val=""/>
      <w:lvlJc w:val="left"/>
      <w:pPr>
        <w:ind w:left="6489" w:hanging="360"/>
      </w:pPr>
      <w:rPr>
        <w:rFonts w:ascii="Wingdings" w:hAnsi="Wingdings" w:hint="default"/>
      </w:rPr>
    </w:lvl>
  </w:abstractNum>
  <w:abstractNum w:abstractNumId="20" w15:restartNumberingAfterBreak="0">
    <w:nsid w:val="39176090"/>
    <w:multiLevelType w:val="hybridMultilevel"/>
    <w:tmpl w:val="91A2611E"/>
    <w:lvl w:ilvl="0" w:tplc="E2C8BEB8">
      <w:start w:val="1"/>
      <w:numFmt w:val="bullet"/>
      <w:lvlText w:val=""/>
      <w:lvlJc w:val="left"/>
      <w:pPr>
        <w:ind w:left="720" w:hanging="360"/>
      </w:pPr>
      <w:rPr>
        <w:rFonts w:ascii="Symbol" w:hAnsi="Symbol" w:hint="default"/>
      </w:rPr>
    </w:lvl>
    <w:lvl w:ilvl="1" w:tplc="3222C25E">
      <w:numFmt w:val="bullet"/>
      <w:lvlText w:val="-"/>
      <w:lvlJc w:val="left"/>
      <w:pPr>
        <w:ind w:left="1440" w:hanging="3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AB90FAC"/>
    <w:multiLevelType w:val="hybridMultilevel"/>
    <w:tmpl w:val="D47293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6D93FF8"/>
    <w:multiLevelType w:val="hybridMultilevel"/>
    <w:tmpl w:val="890294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74272D7"/>
    <w:multiLevelType w:val="hybridMultilevel"/>
    <w:tmpl w:val="C8F4C6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8372E19"/>
    <w:multiLevelType w:val="hybridMultilevel"/>
    <w:tmpl w:val="32D4708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8B628FC"/>
    <w:multiLevelType w:val="hybridMultilevel"/>
    <w:tmpl w:val="F4CCC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3D677C"/>
    <w:multiLevelType w:val="multilevel"/>
    <w:tmpl w:val="2FBCCE06"/>
    <w:lvl w:ilvl="0">
      <w:start w:val="1"/>
      <w:numFmt w:val="bullet"/>
      <w:lvlText w:val=""/>
      <w:lvlJc w:val="left"/>
      <w:pPr>
        <w:tabs>
          <w:tab w:val="num" w:pos="720"/>
        </w:tabs>
        <w:ind w:left="720" w:hanging="360"/>
      </w:pPr>
      <w:rPr>
        <w:rFonts w:ascii="Symbol" w:hAnsi="Symbol" w:hint="default"/>
        <w:sz w:val="20"/>
      </w:rPr>
    </w:lvl>
    <w:lvl w:ilvl="1">
      <w:start w:val="1"/>
      <w:numFmt w:val="bullet"/>
      <w:pStyle w:val="Bulletlistlevel2"/>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4E213F"/>
    <w:multiLevelType w:val="hybridMultilevel"/>
    <w:tmpl w:val="12827620"/>
    <w:lvl w:ilvl="0" w:tplc="14090003">
      <w:start w:val="1"/>
      <w:numFmt w:val="bullet"/>
      <w:lvlText w:val="o"/>
      <w:lvlJc w:val="left"/>
      <w:pPr>
        <w:ind w:left="1004" w:hanging="360"/>
      </w:pPr>
      <w:rPr>
        <w:rFonts w:ascii="Courier New" w:hAnsi="Courier New" w:cs="Courier New"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8" w15:restartNumberingAfterBreak="0">
    <w:nsid w:val="4BB11A0A"/>
    <w:multiLevelType w:val="hybridMultilevel"/>
    <w:tmpl w:val="350C6926"/>
    <w:lvl w:ilvl="0" w:tplc="40EABA32">
      <w:start w:val="1"/>
      <w:numFmt w:val="bullet"/>
      <w:lvlText w:val="4"/>
      <w:lvlJc w:val="left"/>
      <w:pPr>
        <w:ind w:left="1004" w:hanging="360"/>
      </w:pPr>
      <w:rPr>
        <w:rFonts w:ascii="Webdings" w:hAnsi="Webdings" w:hint="default"/>
        <w:b/>
        <w:i w:val="0"/>
        <w:color w:val="AFCAFF"/>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9" w15:restartNumberingAfterBreak="0">
    <w:nsid w:val="4D3B07B0"/>
    <w:multiLevelType w:val="hybridMultilevel"/>
    <w:tmpl w:val="F46EE8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E9851FF"/>
    <w:multiLevelType w:val="hybridMultilevel"/>
    <w:tmpl w:val="1A0A64D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EA73462"/>
    <w:multiLevelType w:val="hybridMultilevel"/>
    <w:tmpl w:val="21C8485A"/>
    <w:lvl w:ilvl="0" w:tplc="40EABA32">
      <w:start w:val="1"/>
      <w:numFmt w:val="bullet"/>
      <w:lvlText w:val="4"/>
      <w:lvlJc w:val="left"/>
      <w:pPr>
        <w:ind w:left="1004" w:hanging="360"/>
      </w:pPr>
      <w:rPr>
        <w:rFonts w:ascii="Webdings" w:hAnsi="Webdings" w:hint="default"/>
        <w:b/>
        <w:i w:val="0"/>
        <w:color w:val="AFCAFF"/>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2" w15:restartNumberingAfterBreak="0">
    <w:nsid w:val="5095325D"/>
    <w:multiLevelType w:val="hybridMultilevel"/>
    <w:tmpl w:val="CF94F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2246F9A"/>
    <w:multiLevelType w:val="hybridMultilevel"/>
    <w:tmpl w:val="55482CE0"/>
    <w:lvl w:ilvl="0" w:tplc="D7929876">
      <w:start w:val="3"/>
      <w:numFmt w:val="bullet"/>
      <w:lvlText w:val="-"/>
      <w:lvlJc w:val="left"/>
      <w:pPr>
        <w:ind w:left="502" w:hanging="360"/>
      </w:pPr>
      <w:rPr>
        <w:rFonts w:ascii="Arial" w:eastAsia="Times New Roman" w:hAnsi="Arial" w:cs="Arial" w:hint="default"/>
        <w:i/>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34" w15:restartNumberingAfterBreak="0">
    <w:nsid w:val="55072391"/>
    <w:multiLevelType w:val="hybridMultilevel"/>
    <w:tmpl w:val="5B02AF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5329DF"/>
    <w:multiLevelType w:val="hybridMultilevel"/>
    <w:tmpl w:val="F62220B0"/>
    <w:lvl w:ilvl="0" w:tplc="14090001">
      <w:start w:val="1"/>
      <w:numFmt w:val="bullet"/>
      <w:lvlText w:val=""/>
      <w:lvlJc w:val="left"/>
      <w:pPr>
        <w:ind w:left="862" w:hanging="360"/>
      </w:pPr>
      <w:rPr>
        <w:rFonts w:ascii="Symbol" w:hAnsi="Symbol" w:hint="default"/>
      </w:rPr>
    </w:lvl>
    <w:lvl w:ilvl="1" w:tplc="14090003">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37" w15:restartNumberingAfterBreak="0">
    <w:nsid w:val="5A9A1D5A"/>
    <w:multiLevelType w:val="hybridMultilevel"/>
    <w:tmpl w:val="65C4AB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E400CA1"/>
    <w:multiLevelType w:val="hybridMultilevel"/>
    <w:tmpl w:val="60B69A9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9" w15:restartNumberingAfterBreak="0">
    <w:nsid w:val="5F8672F0"/>
    <w:multiLevelType w:val="hybridMultilevel"/>
    <w:tmpl w:val="7BDC27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FD40A31"/>
    <w:multiLevelType w:val="multilevel"/>
    <w:tmpl w:val="58122082"/>
    <w:lvl w:ilvl="0">
      <w:start w:val="1"/>
      <w:numFmt w:val="bullet"/>
      <w:pStyle w:val="Bullet"/>
      <w:lvlText w:val=""/>
      <w:lvlJc w:val="left"/>
      <w:pPr>
        <w:ind w:left="2628" w:hanging="360"/>
      </w:pPr>
      <w:rPr>
        <w:rFonts w:ascii="Symbol" w:hAnsi="Symbol" w:hint="default"/>
        <w:sz w:val="20"/>
      </w:rPr>
    </w:lvl>
    <w:lvl w:ilvl="1">
      <w:start w:val="1"/>
      <w:numFmt w:val="bullet"/>
      <w:pStyle w:val="Bulletlevel2"/>
      <w:lvlText w:val="○"/>
      <w:lvlJc w:val="left"/>
      <w:pPr>
        <w:ind w:left="2982" w:hanging="357"/>
      </w:pPr>
      <w:rPr>
        <w:rFonts w:ascii="Courier New" w:hAnsi="Courier New" w:hint="default"/>
        <w:b/>
        <w:i w:val="0"/>
        <w:sz w:val="18"/>
      </w:rPr>
    </w:lvl>
    <w:lvl w:ilvl="2">
      <w:start w:val="1"/>
      <w:numFmt w:val="bullet"/>
      <w:pStyle w:val="Bulletlevel3"/>
      <w:lvlText w:val="-"/>
      <w:lvlJc w:val="left"/>
      <w:pPr>
        <w:ind w:left="3340" w:hanging="358"/>
      </w:pPr>
      <w:rPr>
        <w:rFonts w:ascii="Calibri" w:hAnsi="Calibri" w:hint="default"/>
      </w:rPr>
    </w:lvl>
    <w:lvl w:ilvl="3">
      <w:start w:val="1"/>
      <w:numFmt w:val="none"/>
      <w:lvlRestart w:val="0"/>
      <w:suff w:val="nothing"/>
      <w:lvlText w:val=""/>
      <w:lvlJc w:val="left"/>
      <w:pPr>
        <w:ind w:left="3402" w:firstLine="0"/>
      </w:pPr>
      <w:rPr>
        <w:rFonts w:hint="default"/>
      </w:rPr>
    </w:lvl>
    <w:lvl w:ilvl="4">
      <w:start w:val="1"/>
      <w:numFmt w:val="none"/>
      <w:lvlRestart w:val="0"/>
      <w:lvlText w:val=""/>
      <w:lvlJc w:val="left"/>
      <w:pPr>
        <w:tabs>
          <w:tab w:val="num" w:pos="1984"/>
        </w:tabs>
        <w:ind w:left="1984" w:firstLine="0"/>
      </w:pPr>
      <w:rPr>
        <w:rFonts w:hint="default"/>
      </w:rPr>
    </w:lvl>
    <w:lvl w:ilvl="5">
      <w:start w:val="1"/>
      <w:numFmt w:val="none"/>
      <w:lvlRestart w:val="0"/>
      <w:lvlText w:val=""/>
      <w:lvlJc w:val="left"/>
      <w:pPr>
        <w:tabs>
          <w:tab w:val="num" w:pos="1984"/>
        </w:tabs>
        <w:ind w:left="1984" w:firstLine="0"/>
      </w:pPr>
      <w:rPr>
        <w:rFonts w:hint="default"/>
      </w:rPr>
    </w:lvl>
    <w:lvl w:ilvl="6">
      <w:start w:val="1"/>
      <w:numFmt w:val="none"/>
      <w:lvlRestart w:val="0"/>
      <w:lvlText w:val=""/>
      <w:lvlJc w:val="left"/>
      <w:pPr>
        <w:tabs>
          <w:tab w:val="num" w:pos="1984"/>
        </w:tabs>
        <w:ind w:left="1984" w:firstLine="0"/>
      </w:pPr>
      <w:rPr>
        <w:rFonts w:hint="default"/>
      </w:rPr>
    </w:lvl>
    <w:lvl w:ilvl="7">
      <w:start w:val="1"/>
      <w:numFmt w:val="none"/>
      <w:lvlRestart w:val="0"/>
      <w:lvlText w:val=""/>
      <w:lvlJc w:val="left"/>
      <w:pPr>
        <w:tabs>
          <w:tab w:val="num" w:pos="1984"/>
        </w:tabs>
        <w:ind w:left="1984" w:firstLine="0"/>
      </w:pPr>
      <w:rPr>
        <w:rFonts w:hint="default"/>
      </w:rPr>
    </w:lvl>
    <w:lvl w:ilvl="8">
      <w:start w:val="1"/>
      <w:numFmt w:val="none"/>
      <w:lvlRestart w:val="0"/>
      <w:lvlText w:val=""/>
      <w:lvlJc w:val="left"/>
      <w:pPr>
        <w:tabs>
          <w:tab w:val="num" w:pos="1984"/>
        </w:tabs>
        <w:ind w:left="1984" w:firstLine="0"/>
      </w:pPr>
      <w:rPr>
        <w:rFonts w:hint="default"/>
      </w:rPr>
    </w:lvl>
  </w:abstractNum>
  <w:abstractNum w:abstractNumId="41" w15:restartNumberingAfterBreak="0">
    <w:nsid w:val="62D84958"/>
    <w:multiLevelType w:val="hybridMultilevel"/>
    <w:tmpl w:val="2E26CD2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3CF3854"/>
    <w:multiLevelType w:val="hybridMultilevel"/>
    <w:tmpl w:val="492ED3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63D23740"/>
    <w:multiLevelType w:val="hybridMultilevel"/>
    <w:tmpl w:val="562C3BCA"/>
    <w:lvl w:ilvl="0" w:tplc="1409000F">
      <w:start w:val="1"/>
      <w:numFmt w:val="decimal"/>
      <w:lvlText w:val="%1."/>
      <w:lvlJc w:val="left"/>
      <w:pPr>
        <w:ind w:left="1211"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4" w15:restartNumberingAfterBreak="0">
    <w:nsid w:val="66B56E68"/>
    <w:multiLevelType w:val="hybridMultilevel"/>
    <w:tmpl w:val="D28CE9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C8B51BC"/>
    <w:multiLevelType w:val="hybridMultilevel"/>
    <w:tmpl w:val="8168D594"/>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6D0D68D9"/>
    <w:multiLevelType w:val="hybridMultilevel"/>
    <w:tmpl w:val="2E9EAE1A"/>
    <w:lvl w:ilvl="0" w:tplc="E2C8BEB8">
      <w:start w:val="1"/>
      <w:numFmt w:val="bullet"/>
      <w:lvlText w:val=""/>
      <w:lvlJc w:val="left"/>
      <w:pPr>
        <w:ind w:left="720" w:hanging="360"/>
      </w:pPr>
      <w:rPr>
        <w:rFonts w:ascii="Symbol" w:hAnsi="Symbol" w:hint="default"/>
      </w:rPr>
    </w:lvl>
    <w:lvl w:ilvl="1" w:tplc="6A549158">
      <w:start w:val="1"/>
      <w:numFmt w:val="bullet"/>
      <w:pStyle w:val="Table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FCE08F1"/>
    <w:multiLevelType w:val="hybridMultilevel"/>
    <w:tmpl w:val="8B083E5C"/>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48" w15:restartNumberingAfterBreak="0">
    <w:nsid w:val="6FDB06C3"/>
    <w:multiLevelType w:val="hybridMultilevel"/>
    <w:tmpl w:val="ACD04356"/>
    <w:lvl w:ilvl="0" w:tplc="BCA82F1A">
      <w:start w:val="1"/>
      <w:numFmt w:val="bullet"/>
      <w:lvlText w:val="4"/>
      <w:lvlJc w:val="left"/>
      <w:pPr>
        <w:ind w:left="720" w:hanging="360"/>
      </w:pPr>
      <w:rPr>
        <w:rFonts w:ascii="Webdings" w:hAnsi="Webdings" w:hint="default"/>
        <w:color w:val="003399"/>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74331BF5"/>
    <w:multiLevelType w:val="hybridMultilevel"/>
    <w:tmpl w:val="5C0A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C952B3A"/>
    <w:multiLevelType w:val="hybridMultilevel"/>
    <w:tmpl w:val="11D434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0"/>
  </w:num>
  <w:num w:numId="4">
    <w:abstractNumId w:val="18"/>
  </w:num>
  <w:num w:numId="5">
    <w:abstractNumId w:val="5"/>
  </w:num>
  <w:num w:numId="6">
    <w:abstractNumId w:val="3"/>
  </w:num>
  <w:num w:numId="7">
    <w:abstractNumId w:val="44"/>
  </w:num>
  <w:num w:numId="8">
    <w:abstractNumId w:val="13"/>
  </w:num>
  <w:num w:numId="9">
    <w:abstractNumId w:val="2"/>
  </w:num>
  <w:num w:numId="10">
    <w:abstractNumId w:val="4"/>
  </w:num>
  <w:num w:numId="11">
    <w:abstractNumId w:val="50"/>
  </w:num>
  <w:num w:numId="12">
    <w:abstractNumId w:val="38"/>
  </w:num>
  <w:num w:numId="13">
    <w:abstractNumId w:val="37"/>
  </w:num>
  <w:num w:numId="14">
    <w:abstractNumId w:val="49"/>
  </w:num>
  <w:num w:numId="15">
    <w:abstractNumId w:val="17"/>
  </w:num>
  <w:num w:numId="16">
    <w:abstractNumId w:val="22"/>
  </w:num>
  <w:num w:numId="17">
    <w:abstractNumId w:val="45"/>
  </w:num>
  <w:num w:numId="18">
    <w:abstractNumId w:val="21"/>
  </w:num>
  <w:num w:numId="19">
    <w:abstractNumId w:val="36"/>
  </w:num>
  <w:num w:numId="20">
    <w:abstractNumId w:val="47"/>
  </w:num>
  <w:num w:numId="21">
    <w:abstractNumId w:val="42"/>
  </w:num>
  <w:num w:numId="22">
    <w:abstractNumId w:val="9"/>
  </w:num>
  <w:num w:numId="23">
    <w:abstractNumId w:val="12"/>
  </w:num>
  <w:num w:numId="24">
    <w:abstractNumId w:val="25"/>
  </w:num>
  <w:num w:numId="25">
    <w:abstractNumId w:val="14"/>
  </w:num>
  <w:num w:numId="26">
    <w:abstractNumId w:val="7"/>
  </w:num>
  <w:num w:numId="27">
    <w:abstractNumId w:val="33"/>
  </w:num>
  <w:num w:numId="28">
    <w:abstractNumId w:val="43"/>
  </w:num>
  <w:num w:numId="29">
    <w:abstractNumId w:val="24"/>
  </w:num>
  <w:num w:numId="30">
    <w:abstractNumId w:val="11"/>
  </w:num>
  <w:num w:numId="31">
    <w:abstractNumId w:val="23"/>
  </w:num>
  <w:num w:numId="32">
    <w:abstractNumId w:val="20"/>
  </w:num>
  <w:num w:numId="33">
    <w:abstractNumId w:val="46"/>
  </w:num>
  <w:num w:numId="34">
    <w:abstractNumId w:val="31"/>
  </w:num>
  <w:num w:numId="35">
    <w:abstractNumId w:val="27"/>
  </w:num>
  <w:num w:numId="36">
    <w:abstractNumId w:val="15"/>
  </w:num>
  <w:num w:numId="37">
    <w:abstractNumId w:val="29"/>
  </w:num>
  <w:num w:numId="38">
    <w:abstractNumId w:val="8"/>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28"/>
  </w:num>
  <w:num w:numId="42">
    <w:abstractNumId w:val="16"/>
  </w:num>
  <w:num w:numId="43">
    <w:abstractNumId w:val="35"/>
  </w:num>
  <w:num w:numId="44">
    <w:abstractNumId w:val="26"/>
  </w:num>
  <w:num w:numId="45">
    <w:abstractNumId w:val="19"/>
  </w:num>
  <w:num w:numId="46">
    <w:abstractNumId w:val="40"/>
  </w:num>
  <w:num w:numId="47">
    <w:abstractNumId w:val="1"/>
  </w:num>
  <w:num w:numId="48">
    <w:abstractNumId w:val="34"/>
  </w:num>
  <w:num w:numId="49">
    <w:abstractNumId w:val="30"/>
  </w:num>
  <w:num w:numId="50">
    <w:abstractNumId w:val="41"/>
  </w:num>
  <w:num w:numId="51">
    <w:abstractNumId w:val="39"/>
  </w:num>
  <w:num w:numId="52">
    <w:abstractNumId w:val="40"/>
  </w:num>
  <w:num w:numId="53">
    <w:abstractNumId w:val="40"/>
  </w:num>
  <w:num w:numId="54">
    <w:abstractNumId w:val="6"/>
  </w:num>
  <w:num w:numId="55">
    <w:abstractNumId w:val="40"/>
  </w:num>
  <w:num w:numId="56">
    <w:abstractNumId w:val="32"/>
  </w:num>
  <w:num w:numId="57">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rawingGridHorizontalSpacing w:val="110"/>
  <w:displayHorizontalDrawingGridEvery w:val="0"/>
  <w:displayVerticalDrawingGridEvery w:val="0"/>
  <w:noPunctuationKerning/>
  <w:characterSpacingControl w:val="doNotCompress"/>
  <w:hdrShapeDefaults>
    <o:shapedefaults v:ext="edit" spidmax="18433" fillcolor="white" stroke="f">
      <v:fill color="white" opacity="0"/>
      <v:stroke on="f"/>
      <o:colormru v:ext="edit" colors="#ddd,#cfcfcf,#cacaca,#66f,blue,#ccd3e1,#002469,#335087"/>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27"/>
    <w:rsid w:val="00001539"/>
    <w:rsid w:val="00002433"/>
    <w:rsid w:val="000037F4"/>
    <w:rsid w:val="00004A8A"/>
    <w:rsid w:val="00005DC9"/>
    <w:rsid w:val="00010986"/>
    <w:rsid w:val="00010F7D"/>
    <w:rsid w:val="00011834"/>
    <w:rsid w:val="00013A18"/>
    <w:rsid w:val="00014196"/>
    <w:rsid w:val="000147DC"/>
    <w:rsid w:val="00015072"/>
    <w:rsid w:val="00016722"/>
    <w:rsid w:val="0002068B"/>
    <w:rsid w:val="000232EB"/>
    <w:rsid w:val="00023BAB"/>
    <w:rsid w:val="00023EA6"/>
    <w:rsid w:val="0002562D"/>
    <w:rsid w:val="0002568E"/>
    <w:rsid w:val="00025954"/>
    <w:rsid w:val="00025AFB"/>
    <w:rsid w:val="00025EAB"/>
    <w:rsid w:val="00030DEA"/>
    <w:rsid w:val="00031559"/>
    <w:rsid w:val="00032FBB"/>
    <w:rsid w:val="00033950"/>
    <w:rsid w:val="000343E7"/>
    <w:rsid w:val="00035185"/>
    <w:rsid w:val="00036A3D"/>
    <w:rsid w:val="00036EE4"/>
    <w:rsid w:val="00041469"/>
    <w:rsid w:val="00041C6B"/>
    <w:rsid w:val="000435AD"/>
    <w:rsid w:val="00045AFC"/>
    <w:rsid w:val="00046B56"/>
    <w:rsid w:val="00046F46"/>
    <w:rsid w:val="00047505"/>
    <w:rsid w:val="00047559"/>
    <w:rsid w:val="0005079C"/>
    <w:rsid w:val="000523FC"/>
    <w:rsid w:val="000526E4"/>
    <w:rsid w:val="0005434D"/>
    <w:rsid w:val="00054C3B"/>
    <w:rsid w:val="0005503E"/>
    <w:rsid w:val="00055373"/>
    <w:rsid w:val="00056263"/>
    <w:rsid w:val="00056F77"/>
    <w:rsid w:val="00057695"/>
    <w:rsid w:val="00057AC4"/>
    <w:rsid w:val="000606D4"/>
    <w:rsid w:val="00060AAB"/>
    <w:rsid w:val="00060CD3"/>
    <w:rsid w:val="00064452"/>
    <w:rsid w:val="000655B2"/>
    <w:rsid w:val="00070193"/>
    <w:rsid w:val="00073A19"/>
    <w:rsid w:val="00073F31"/>
    <w:rsid w:val="00074B13"/>
    <w:rsid w:val="00074D02"/>
    <w:rsid w:val="000778A1"/>
    <w:rsid w:val="00080CE0"/>
    <w:rsid w:val="00080DE3"/>
    <w:rsid w:val="00082ABC"/>
    <w:rsid w:val="00083ADB"/>
    <w:rsid w:val="000841A7"/>
    <w:rsid w:val="00085C41"/>
    <w:rsid w:val="00086007"/>
    <w:rsid w:val="000863E2"/>
    <w:rsid w:val="00086824"/>
    <w:rsid w:val="00086898"/>
    <w:rsid w:val="0008712F"/>
    <w:rsid w:val="00087A25"/>
    <w:rsid w:val="00087C41"/>
    <w:rsid w:val="00094699"/>
    <w:rsid w:val="000957AE"/>
    <w:rsid w:val="00096BFA"/>
    <w:rsid w:val="000A18BF"/>
    <w:rsid w:val="000A20D1"/>
    <w:rsid w:val="000A39F4"/>
    <w:rsid w:val="000A43F8"/>
    <w:rsid w:val="000A4419"/>
    <w:rsid w:val="000B005C"/>
    <w:rsid w:val="000B01CC"/>
    <w:rsid w:val="000B0480"/>
    <w:rsid w:val="000B0615"/>
    <w:rsid w:val="000B0C12"/>
    <w:rsid w:val="000B0D42"/>
    <w:rsid w:val="000B16BF"/>
    <w:rsid w:val="000B29C0"/>
    <w:rsid w:val="000B3761"/>
    <w:rsid w:val="000B5B1E"/>
    <w:rsid w:val="000B7EB8"/>
    <w:rsid w:val="000C0912"/>
    <w:rsid w:val="000C26E9"/>
    <w:rsid w:val="000C3EB5"/>
    <w:rsid w:val="000C43B6"/>
    <w:rsid w:val="000C4A71"/>
    <w:rsid w:val="000C684B"/>
    <w:rsid w:val="000C6EED"/>
    <w:rsid w:val="000D0FA0"/>
    <w:rsid w:val="000D2A6B"/>
    <w:rsid w:val="000D3D96"/>
    <w:rsid w:val="000D5E01"/>
    <w:rsid w:val="000D6393"/>
    <w:rsid w:val="000D7A39"/>
    <w:rsid w:val="000D7C12"/>
    <w:rsid w:val="000E0036"/>
    <w:rsid w:val="000E2B57"/>
    <w:rsid w:val="000E3979"/>
    <w:rsid w:val="000E3CE1"/>
    <w:rsid w:val="000E6BC9"/>
    <w:rsid w:val="000E730B"/>
    <w:rsid w:val="000E73FF"/>
    <w:rsid w:val="000E7BDD"/>
    <w:rsid w:val="000E7C1C"/>
    <w:rsid w:val="000F03B0"/>
    <w:rsid w:val="000F1AAF"/>
    <w:rsid w:val="000F2286"/>
    <w:rsid w:val="000F3333"/>
    <w:rsid w:val="000F4A1A"/>
    <w:rsid w:val="000F6F99"/>
    <w:rsid w:val="000F7020"/>
    <w:rsid w:val="001015C8"/>
    <w:rsid w:val="00101A24"/>
    <w:rsid w:val="00113146"/>
    <w:rsid w:val="00114986"/>
    <w:rsid w:val="00114F56"/>
    <w:rsid w:val="00116006"/>
    <w:rsid w:val="00116B51"/>
    <w:rsid w:val="00124036"/>
    <w:rsid w:val="0012410B"/>
    <w:rsid w:val="00125812"/>
    <w:rsid w:val="00126CD1"/>
    <w:rsid w:val="00127757"/>
    <w:rsid w:val="00130E8F"/>
    <w:rsid w:val="00132272"/>
    <w:rsid w:val="001336E3"/>
    <w:rsid w:val="001339BB"/>
    <w:rsid w:val="00134C28"/>
    <w:rsid w:val="00136EED"/>
    <w:rsid w:val="00141B20"/>
    <w:rsid w:val="00141D39"/>
    <w:rsid w:val="00142051"/>
    <w:rsid w:val="00143437"/>
    <w:rsid w:val="00144369"/>
    <w:rsid w:val="00144ADC"/>
    <w:rsid w:val="00144BBB"/>
    <w:rsid w:val="00146FC1"/>
    <w:rsid w:val="00150932"/>
    <w:rsid w:val="00152D49"/>
    <w:rsid w:val="00156817"/>
    <w:rsid w:val="00157E18"/>
    <w:rsid w:val="00161022"/>
    <w:rsid w:val="00161358"/>
    <w:rsid w:val="001620EB"/>
    <w:rsid w:val="0016280B"/>
    <w:rsid w:val="0016538E"/>
    <w:rsid w:val="00166A7A"/>
    <w:rsid w:val="00166C49"/>
    <w:rsid w:val="001674EB"/>
    <w:rsid w:val="00167CD7"/>
    <w:rsid w:val="00167EE1"/>
    <w:rsid w:val="001705C4"/>
    <w:rsid w:val="00171281"/>
    <w:rsid w:val="001712D6"/>
    <w:rsid w:val="001726B0"/>
    <w:rsid w:val="00172BE9"/>
    <w:rsid w:val="00174A13"/>
    <w:rsid w:val="00175644"/>
    <w:rsid w:val="00175CA3"/>
    <w:rsid w:val="001767C7"/>
    <w:rsid w:val="001800AF"/>
    <w:rsid w:val="00180A3B"/>
    <w:rsid w:val="00180BD5"/>
    <w:rsid w:val="00180D17"/>
    <w:rsid w:val="00182594"/>
    <w:rsid w:val="00182C13"/>
    <w:rsid w:val="00183D99"/>
    <w:rsid w:val="00183EB1"/>
    <w:rsid w:val="00184219"/>
    <w:rsid w:val="00184B2D"/>
    <w:rsid w:val="00185836"/>
    <w:rsid w:val="00185884"/>
    <w:rsid w:val="00187CD4"/>
    <w:rsid w:val="001901C1"/>
    <w:rsid w:val="00190331"/>
    <w:rsid w:val="0019141D"/>
    <w:rsid w:val="00191B67"/>
    <w:rsid w:val="00191EEC"/>
    <w:rsid w:val="001941A3"/>
    <w:rsid w:val="00194CF9"/>
    <w:rsid w:val="00197273"/>
    <w:rsid w:val="001A13C8"/>
    <w:rsid w:val="001A1C61"/>
    <w:rsid w:val="001A1DFB"/>
    <w:rsid w:val="001A5694"/>
    <w:rsid w:val="001A5BEE"/>
    <w:rsid w:val="001A6C15"/>
    <w:rsid w:val="001B0726"/>
    <w:rsid w:val="001B0DF0"/>
    <w:rsid w:val="001B1A87"/>
    <w:rsid w:val="001B1BDF"/>
    <w:rsid w:val="001B1DD2"/>
    <w:rsid w:val="001B24D5"/>
    <w:rsid w:val="001B2869"/>
    <w:rsid w:val="001B3F6D"/>
    <w:rsid w:val="001B3F81"/>
    <w:rsid w:val="001B41EF"/>
    <w:rsid w:val="001B4E6C"/>
    <w:rsid w:val="001B7122"/>
    <w:rsid w:val="001C0CF6"/>
    <w:rsid w:val="001C2214"/>
    <w:rsid w:val="001C2523"/>
    <w:rsid w:val="001C2524"/>
    <w:rsid w:val="001C41C2"/>
    <w:rsid w:val="001C4555"/>
    <w:rsid w:val="001D0A46"/>
    <w:rsid w:val="001D16DB"/>
    <w:rsid w:val="001D22ED"/>
    <w:rsid w:val="001D3274"/>
    <w:rsid w:val="001D3440"/>
    <w:rsid w:val="001D37FB"/>
    <w:rsid w:val="001D3874"/>
    <w:rsid w:val="001D53A8"/>
    <w:rsid w:val="001D6B5E"/>
    <w:rsid w:val="001D7325"/>
    <w:rsid w:val="001E0958"/>
    <w:rsid w:val="001E1A8F"/>
    <w:rsid w:val="001E1F3D"/>
    <w:rsid w:val="001E50E9"/>
    <w:rsid w:val="001E7247"/>
    <w:rsid w:val="001F0DD3"/>
    <w:rsid w:val="001F21CB"/>
    <w:rsid w:val="001F2F68"/>
    <w:rsid w:val="001F492F"/>
    <w:rsid w:val="001F642F"/>
    <w:rsid w:val="001F6750"/>
    <w:rsid w:val="00200311"/>
    <w:rsid w:val="00200345"/>
    <w:rsid w:val="002008D1"/>
    <w:rsid w:val="002027BF"/>
    <w:rsid w:val="0020298F"/>
    <w:rsid w:val="002036AA"/>
    <w:rsid w:val="00203789"/>
    <w:rsid w:val="00205334"/>
    <w:rsid w:val="00205CD0"/>
    <w:rsid w:val="00210B4E"/>
    <w:rsid w:val="002111CF"/>
    <w:rsid w:val="00213A98"/>
    <w:rsid w:val="00213B41"/>
    <w:rsid w:val="00213BF4"/>
    <w:rsid w:val="00216DB5"/>
    <w:rsid w:val="00216F08"/>
    <w:rsid w:val="00222CA5"/>
    <w:rsid w:val="0022367A"/>
    <w:rsid w:val="00224A1F"/>
    <w:rsid w:val="002258FC"/>
    <w:rsid w:val="00226226"/>
    <w:rsid w:val="00226FD2"/>
    <w:rsid w:val="00227D78"/>
    <w:rsid w:val="00227FE4"/>
    <w:rsid w:val="002317B4"/>
    <w:rsid w:val="002331A0"/>
    <w:rsid w:val="002338AF"/>
    <w:rsid w:val="00233DC9"/>
    <w:rsid w:val="0023447D"/>
    <w:rsid w:val="00236911"/>
    <w:rsid w:val="0023708B"/>
    <w:rsid w:val="00237318"/>
    <w:rsid w:val="00237FE9"/>
    <w:rsid w:val="00240FAD"/>
    <w:rsid w:val="00244F20"/>
    <w:rsid w:val="00245DA0"/>
    <w:rsid w:val="00247ADA"/>
    <w:rsid w:val="00251406"/>
    <w:rsid w:val="00257836"/>
    <w:rsid w:val="00264EEE"/>
    <w:rsid w:val="0026530E"/>
    <w:rsid w:val="00265DED"/>
    <w:rsid w:val="00265E6C"/>
    <w:rsid w:val="00266A30"/>
    <w:rsid w:val="0026794D"/>
    <w:rsid w:val="00267FAB"/>
    <w:rsid w:val="002712C8"/>
    <w:rsid w:val="002719ED"/>
    <w:rsid w:val="00271EB7"/>
    <w:rsid w:val="00271FE2"/>
    <w:rsid w:val="00272E82"/>
    <w:rsid w:val="00273732"/>
    <w:rsid w:val="00273D5C"/>
    <w:rsid w:val="00273ECF"/>
    <w:rsid w:val="00275209"/>
    <w:rsid w:val="0027527B"/>
    <w:rsid w:val="00275B26"/>
    <w:rsid w:val="0027706F"/>
    <w:rsid w:val="00281580"/>
    <w:rsid w:val="00282D64"/>
    <w:rsid w:val="00282DD1"/>
    <w:rsid w:val="00283AFA"/>
    <w:rsid w:val="00283EF9"/>
    <w:rsid w:val="00286112"/>
    <w:rsid w:val="002869B2"/>
    <w:rsid w:val="00287942"/>
    <w:rsid w:val="00292626"/>
    <w:rsid w:val="0029399F"/>
    <w:rsid w:val="00293E21"/>
    <w:rsid w:val="00293F78"/>
    <w:rsid w:val="00295264"/>
    <w:rsid w:val="00296404"/>
    <w:rsid w:val="0029649F"/>
    <w:rsid w:val="002A05D3"/>
    <w:rsid w:val="002A06C6"/>
    <w:rsid w:val="002A2948"/>
    <w:rsid w:val="002A318F"/>
    <w:rsid w:val="002A535E"/>
    <w:rsid w:val="002A5881"/>
    <w:rsid w:val="002A5E7A"/>
    <w:rsid w:val="002B0025"/>
    <w:rsid w:val="002B0801"/>
    <w:rsid w:val="002B0B6B"/>
    <w:rsid w:val="002B316D"/>
    <w:rsid w:val="002B3319"/>
    <w:rsid w:val="002B5324"/>
    <w:rsid w:val="002B56E7"/>
    <w:rsid w:val="002C0074"/>
    <w:rsid w:val="002C097E"/>
    <w:rsid w:val="002C2315"/>
    <w:rsid w:val="002C301D"/>
    <w:rsid w:val="002C4A38"/>
    <w:rsid w:val="002C6298"/>
    <w:rsid w:val="002C65B8"/>
    <w:rsid w:val="002C734D"/>
    <w:rsid w:val="002C744C"/>
    <w:rsid w:val="002D01BF"/>
    <w:rsid w:val="002D0FAA"/>
    <w:rsid w:val="002D1556"/>
    <w:rsid w:val="002D3E81"/>
    <w:rsid w:val="002D4AC3"/>
    <w:rsid w:val="002D52A0"/>
    <w:rsid w:val="002D6691"/>
    <w:rsid w:val="002D68CC"/>
    <w:rsid w:val="002E062E"/>
    <w:rsid w:val="002E1D30"/>
    <w:rsid w:val="002E28C6"/>
    <w:rsid w:val="002E4DB3"/>
    <w:rsid w:val="002E79A6"/>
    <w:rsid w:val="002F10BF"/>
    <w:rsid w:val="002F110D"/>
    <w:rsid w:val="002F1429"/>
    <w:rsid w:val="002F32BD"/>
    <w:rsid w:val="002F4407"/>
    <w:rsid w:val="002F5A1A"/>
    <w:rsid w:val="002F6E67"/>
    <w:rsid w:val="002F70A1"/>
    <w:rsid w:val="002F71F1"/>
    <w:rsid w:val="002F7C03"/>
    <w:rsid w:val="002F7F5C"/>
    <w:rsid w:val="0030111A"/>
    <w:rsid w:val="003020F3"/>
    <w:rsid w:val="003038AC"/>
    <w:rsid w:val="00304AF6"/>
    <w:rsid w:val="00305726"/>
    <w:rsid w:val="00306E9B"/>
    <w:rsid w:val="003076FA"/>
    <w:rsid w:val="00310BAF"/>
    <w:rsid w:val="00310D70"/>
    <w:rsid w:val="0031214B"/>
    <w:rsid w:val="00312AEE"/>
    <w:rsid w:val="00313880"/>
    <w:rsid w:val="00313F3E"/>
    <w:rsid w:val="00315307"/>
    <w:rsid w:val="00315423"/>
    <w:rsid w:val="00315D17"/>
    <w:rsid w:val="003176BB"/>
    <w:rsid w:val="00317E1A"/>
    <w:rsid w:val="00322564"/>
    <w:rsid w:val="0032294B"/>
    <w:rsid w:val="003237B0"/>
    <w:rsid w:val="0032503F"/>
    <w:rsid w:val="003258CB"/>
    <w:rsid w:val="003262CE"/>
    <w:rsid w:val="003264ED"/>
    <w:rsid w:val="003308B4"/>
    <w:rsid w:val="003323FF"/>
    <w:rsid w:val="00333209"/>
    <w:rsid w:val="003339F8"/>
    <w:rsid w:val="00334A4E"/>
    <w:rsid w:val="003352EF"/>
    <w:rsid w:val="003365CD"/>
    <w:rsid w:val="003424A8"/>
    <w:rsid w:val="003425F7"/>
    <w:rsid w:val="00343012"/>
    <w:rsid w:val="00343233"/>
    <w:rsid w:val="0034349F"/>
    <w:rsid w:val="00343B25"/>
    <w:rsid w:val="003441E3"/>
    <w:rsid w:val="003445EA"/>
    <w:rsid w:val="00351EC0"/>
    <w:rsid w:val="00352990"/>
    <w:rsid w:val="00353113"/>
    <w:rsid w:val="00353518"/>
    <w:rsid w:val="003613F4"/>
    <w:rsid w:val="00361819"/>
    <w:rsid w:val="00362099"/>
    <w:rsid w:val="003625BB"/>
    <w:rsid w:val="00362FE1"/>
    <w:rsid w:val="00363DCE"/>
    <w:rsid w:val="00364E9D"/>
    <w:rsid w:val="00365619"/>
    <w:rsid w:val="00365680"/>
    <w:rsid w:val="00366A1A"/>
    <w:rsid w:val="00367B6E"/>
    <w:rsid w:val="003702AB"/>
    <w:rsid w:val="00370B2E"/>
    <w:rsid w:val="00372D68"/>
    <w:rsid w:val="0037355A"/>
    <w:rsid w:val="00374070"/>
    <w:rsid w:val="0037417E"/>
    <w:rsid w:val="0037447C"/>
    <w:rsid w:val="0037458C"/>
    <w:rsid w:val="00374E9A"/>
    <w:rsid w:val="003775A8"/>
    <w:rsid w:val="0038072A"/>
    <w:rsid w:val="00381832"/>
    <w:rsid w:val="00381DB8"/>
    <w:rsid w:val="00381E21"/>
    <w:rsid w:val="00381E98"/>
    <w:rsid w:val="003826A0"/>
    <w:rsid w:val="00382ACF"/>
    <w:rsid w:val="00383238"/>
    <w:rsid w:val="00383462"/>
    <w:rsid w:val="00383D49"/>
    <w:rsid w:val="00384B45"/>
    <w:rsid w:val="00385683"/>
    <w:rsid w:val="00386DD1"/>
    <w:rsid w:val="00387CA4"/>
    <w:rsid w:val="0039230B"/>
    <w:rsid w:val="00395750"/>
    <w:rsid w:val="0039581F"/>
    <w:rsid w:val="00396861"/>
    <w:rsid w:val="0039783E"/>
    <w:rsid w:val="00397BCF"/>
    <w:rsid w:val="00397F68"/>
    <w:rsid w:val="003A0009"/>
    <w:rsid w:val="003A0ADF"/>
    <w:rsid w:val="003A4360"/>
    <w:rsid w:val="003A76E4"/>
    <w:rsid w:val="003B0614"/>
    <w:rsid w:val="003B09F2"/>
    <w:rsid w:val="003B1384"/>
    <w:rsid w:val="003B35B8"/>
    <w:rsid w:val="003B4753"/>
    <w:rsid w:val="003B4A9D"/>
    <w:rsid w:val="003B4B13"/>
    <w:rsid w:val="003B4D2C"/>
    <w:rsid w:val="003B53A6"/>
    <w:rsid w:val="003C0785"/>
    <w:rsid w:val="003C1764"/>
    <w:rsid w:val="003C3AD0"/>
    <w:rsid w:val="003C56BA"/>
    <w:rsid w:val="003C722C"/>
    <w:rsid w:val="003C7985"/>
    <w:rsid w:val="003C7CAC"/>
    <w:rsid w:val="003D06F0"/>
    <w:rsid w:val="003D1191"/>
    <w:rsid w:val="003D1B2A"/>
    <w:rsid w:val="003D1CEE"/>
    <w:rsid w:val="003D20ED"/>
    <w:rsid w:val="003D26DF"/>
    <w:rsid w:val="003D4ED7"/>
    <w:rsid w:val="003D6531"/>
    <w:rsid w:val="003E017A"/>
    <w:rsid w:val="003E1FAF"/>
    <w:rsid w:val="003E20B9"/>
    <w:rsid w:val="003E379F"/>
    <w:rsid w:val="003E3836"/>
    <w:rsid w:val="003E39B9"/>
    <w:rsid w:val="003E4AC8"/>
    <w:rsid w:val="003E4BB4"/>
    <w:rsid w:val="003E68FB"/>
    <w:rsid w:val="003E7F60"/>
    <w:rsid w:val="003F14AC"/>
    <w:rsid w:val="003F1B59"/>
    <w:rsid w:val="003F27A7"/>
    <w:rsid w:val="003F2D09"/>
    <w:rsid w:val="003F34BF"/>
    <w:rsid w:val="003F37EA"/>
    <w:rsid w:val="003F47D7"/>
    <w:rsid w:val="003F47F5"/>
    <w:rsid w:val="003F59CC"/>
    <w:rsid w:val="003F5E57"/>
    <w:rsid w:val="003F5F9D"/>
    <w:rsid w:val="003F7652"/>
    <w:rsid w:val="003F7EDA"/>
    <w:rsid w:val="0040131E"/>
    <w:rsid w:val="00401D87"/>
    <w:rsid w:val="004022C6"/>
    <w:rsid w:val="00402BF8"/>
    <w:rsid w:val="00403755"/>
    <w:rsid w:val="00406227"/>
    <w:rsid w:val="00407D3B"/>
    <w:rsid w:val="004108AD"/>
    <w:rsid w:val="00415CC4"/>
    <w:rsid w:val="00415FD6"/>
    <w:rsid w:val="0041696F"/>
    <w:rsid w:val="00417F60"/>
    <w:rsid w:val="004200F7"/>
    <w:rsid w:val="00420D4C"/>
    <w:rsid w:val="00423B79"/>
    <w:rsid w:val="004240D2"/>
    <w:rsid w:val="00424ADF"/>
    <w:rsid w:val="0042580C"/>
    <w:rsid w:val="004303B8"/>
    <w:rsid w:val="0043104E"/>
    <w:rsid w:val="004312B1"/>
    <w:rsid w:val="0043152F"/>
    <w:rsid w:val="00431677"/>
    <w:rsid w:val="00433183"/>
    <w:rsid w:val="00433954"/>
    <w:rsid w:val="00433AED"/>
    <w:rsid w:val="00435F4A"/>
    <w:rsid w:val="00437C49"/>
    <w:rsid w:val="00440182"/>
    <w:rsid w:val="00440213"/>
    <w:rsid w:val="0044073D"/>
    <w:rsid w:val="0044117C"/>
    <w:rsid w:val="004418F2"/>
    <w:rsid w:val="00443662"/>
    <w:rsid w:val="00444BCD"/>
    <w:rsid w:val="00444E78"/>
    <w:rsid w:val="00445448"/>
    <w:rsid w:val="004455A5"/>
    <w:rsid w:val="00445911"/>
    <w:rsid w:val="00445F4D"/>
    <w:rsid w:val="00446050"/>
    <w:rsid w:val="00446FC1"/>
    <w:rsid w:val="00447C26"/>
    <w:rsid w:val="00447DD2"/>
    <w:rsid w:val="00447F1A"/>
    <w:rsid w:val="0045085A"/>
    <w:rsid w:val="00450CBA"/>
    <w:rsid w:val="0045110A"/>
    <w:rsid w:val="00455363"/>
    <w:rsid w:val="00455FE0"/>
    <w:rsid w:val="00456B8F"/>
    <w:rsid w:val="004574C4"/>
    <w:rsid w:val="00457A91"/>
    <w:rsid w:val="004604E9"/>
    <w:rsid w:val="00460A55"/>
    <w:rsid w:val="0046180A"/>
    <w:rsid w:val="004628A0"/>
    <w:rsid w:val="00462BC6"/>
    <w:rsid w:val="00463FEB"/>
    <w:rsid w:val="00465E71"/>
    <w:rsid w:val="00470622"/>
    <w:rsid w:val="00470C11"/>
    <w:rsid w:val="00471759"/>
    <w:rsid w:val="0047175C"/>
    <w:rsid w:val="004721E0"/>
    <w:rsid w:val="00472F9C"/>
    <w:rsid w:val="00473803"/>
    <w:rsid w:val="00473D1A"/>
    <w:rsid w:val="0047415A"/>
    <w:rsid w:val="00475C2D"/>
    <w:rsid w:val="00476857"/>
    <w:rsid w:val="00476B4E"/>
    <w:rsid w:val="0047782F"/>
    <w:rsid w:val="00477FFC"/>
    <w:rsid w:val="004828C6"/>
    <w:rsid w:val="004835C5"/>
    <w:rsid w:val="00484675"/>
    <w:rsid w:val="00484F33"/>
    <w:rsid w:val="004869CF"/>
    <w:rsid w:val="00487545"/>
    <w:rsid w:val="00487597"/>
    <w:rsid w:val="00490239"/>
    <w:rsid w:val="00490B1D"/>
    <w:rsid w:val="004911B9"/>
    <w:rsid w:val="00491DC5"/>
    <w:rsid w:val="00492871"/>
    <w:rsid w:val="004929EC"/>
    <w:rsid w:val="004935F6"/>
    <w:rsid w:val="00493965"/>
    <w:rsid w:val="00493B10"/>
    <w:rsid w:val="00493F24"/>
    <w:rsid w:val="00495017"/>
    <w:rsid w:val="0049615F"/>
    <w:rsid w:val="00496B41"/>
    <w:rsid w:val="004971EF"/>
    <w:rsid w:val="004A2043"/>
    <w:rsid w:val="004A61D5"/>
    <w:rsid w:val="004A6D51"/>
    <w:rsid w:val="004B03BE"/>
    <w:rsid w:val="004B1950"/>
    <w:rsid w:val="004B1C45"/>
    <w:rsid w:val="004B2839"/>
    <w:rsid w:val="004B300A"/>
    <w:rsid w:val="004B3C51"/>
    <w:rsid w:val="004B4B2B"/>
    <w:rsid w:val="004B4E7B"/>
    <w:rsid w:val="004B7418"/>
    <w:rsid w:val="004B780C"/>
    <w:rsid w:val="004C0FBA"/>
    <w:rsid w:val="004C1080"/>
    <w:rsid w:val="004C118D"/>
    <w:rsid w:val="004C2B29"/>
    <w:rsid w:val="004C3F7B"/>
    <w:rsid w:val="004C604B"/>
    <w:rsid w:val="004C78C4"/>
    <w:rsid w:val="004D2A1F"/>
    <w:rsid w:val="004D2B88"/>
    <w:rsid w:val="004D2EB8"/>
    <w:rsid w:val="004D3A3F"/>
    <w:rsid w:val="004D3F9F"/>
    <w:rsid w:val="004D512D"/>
    <w:rsid w:val="004D58A1"/>
    <w:rsid w:val="004D5F74"/>
    <w:rsid w:val="004D6ED4"/>
    <w:rsid w:val="004E1004"/>
    <w:rsid w:val="004E10E0"/>
    <w:rsid w:val="004E198A"/>
    <w:rsid w:val="004E2A32"/>
    <w:rsid w:val="004E3F7E"/>
    <w:rsid w:val="004E429D"/>
    <w:rsid w:val="004E67E6"/>
    <w:rsid w:val="004E7170"/>
    <w:rsid w:val="004E759F"/>
    <w:rsid w:val="004F19CD"/>
    <w:rsid w:val="004F1F6E"/>
    <w:rsid w:val="004F245D"/>
    <w:rsid w:val="004F2DDC"/>
    <w:rsid w:val="004F3340"/>
    <w:rsid w:val="004F582A"/>
    <w:rsid w:val="004F5E93"/>
    <w:rsid w:val="004F603D"/>
    <w:rsid w:val="004F6545"/>
    <w:rsid w:val="004F6D32"/>
    <w:rsid w:val="004F6FC8"/>
    <w:rsid w:val="0050046F"/>
    <w:rsid w:val="00500EEF"/>
    <w:rsid w:val="005015CE"/>
    <w:rsid w:val="00501BD9"/>
    <w:rsid w:val="00502F38"/>
    <w:rsid w:val="005041A7"/>
    <w:rsid w:val="00504E3C"/>
    <w:rsid w:val="00506456"/>
    <w:rsid w:val="00506825"/>
    <w:rsid w:val="00506FA2"/>
    <w:rsid w:val="00507196"/>
    <w:rsid w:val="005103B1"/>
    <w:rsid w:val="00510B2E"/>
    <w:rsid w:val="00513EA6"/>
    <w:rsid w:val="00515680"/>
    <w:rsid w:val="00516410"/>
    <w:rsid w:val="005173F5"/>
    <w:rsid w:val="00517D7F"/>
    <w:rsid w:val="00517E7D"/>
    <w:rsid w:val="00520779"/>
    <w:rsid w:val="00523AAC"/>
    <w:rsid w:val="00523CF5"/>
    <w:rsid w:val="005246FD"/>
    <w:rsid w:val="00525A4C"/>
    <w:rsid w:val="00525C51"/>
    <w:rsid w:val="00526334"/>
    <w:rsid w:val="005278CC"/>
    <w:rsid w:val="00530417"/>
    <w:rsid w:val="00530B0F"/>
    <w:rsid w:val="005321B7"/>
    <w:rsid w:val="005328C3"/>
    <w:rsid w:val="0053379A"/>
    <w:rsid w:val="005337D5"/>
    <w:rsid w:val="00533BE7"/>
    <w:rsid w:val="0053679A"/>
    <w:rsid w:val="0054067C"/>
    <w:rsid w:val="005412AA"/>
    <w:rsid w:val="00541C62"/>
    <w:rsid w:val="00543754"/>
    <w:rsid w:val="005437B7"/>
    <w:rsid w:val="00543E03"/>
    <w:rsid w:val="00545F4F"/>
    <w:rsid w:val="00545F60"/>
    <w:rsid w:val="00547754"/>
    <w:rsid w:val="0054782B"/>
    <w:rsid w:val="00550336"/>
    <w:rsid w:val="0055051C"/>
    <w:rsid w:val="00550BD7"/>
    <w:rsid w:val="005520E3"/>
    <w:rsid w:val="00552F40"/>
    <w:rsid w:val="005536BC"/>
    <w:rsid w:val="00554756"/>
    <w:rsid w:val="00554B2A"/>
    <w:rsid w:val="00554B2F"/>
    <w:rsid w:val="00557118"/>
    <w:rsid w:val="0055727D"/>
    <w:rsid w:val="005612C1"/>
    <w:rsid w:val="00561CB5"/>
    <w:rsid w:val="0056357E"/>
    <w:rsid w:val="00563B07"/>
    <w:rsid w:val="00564874"/>
    <w:rsid w:val="00566834"/>
    <w:rsid w:val="005668F0"/>
    <w:rsid w:val="005677E2"/>
    <w:rsid w:val="0057019F"/>
    <w:rsid w:val="005704E5"/>
    <w:rsid w:val="00570549"/>
    <w:rsid w:val="00571BA5"/>
    <w:rsid w:val="00573904"/>
    <w:rsid w:val="00573B85"/>
    <w:rsid w:val="00574342"/>
    <w:rsid w:val="00574ECF"/>
    <w:rsid w:val="005754DE"/>
    <w:rsid w:val="0057568C"/>
    <w:rsid w:val="00576798"/>
    <w:rsid w:val="00577C67"/>
    <w:rsid w:val="00580450"/>
    <w:rsid w:val="00580CDE"/>
    <w:rsid w:val="00582DC6"/>
    <w:rsid w:val="00585F5E"/>
    <w:rsid w:val="005866EE"/>
    <w:rsid w:val="00586DC7"/>
    <w:rsid w:val="00590BD9"/>
    <w:rsid w:val="00590D92"/>
    <w:rsid w:val="005914F6"/>
    <w:rsid w:val="00593561"/>
    <w:rsid w:val="005940A1"/>
    <w:rsid w:val="00594541"/>
    <w:rsid w:val="00596392"/>
    <w:rsid w:val="00597DFE"/>
    <w:rsid w:val="00597EC6"/>
    <w:rsid w:val="00597FAF"/>
    <w:rsid w:val="005A13E7"/>
    <w:rsid w:val="005A196E"/>
    <w:rsid w:val="005A2A29"/>
    <w:rsid w:val="005A3D06"/>
    <w:rsid w:val="005A3DA9"/>
    <w:rsid w:val="005A40CC"/>
    <w:rsid w:val="005A4502"/>
    <w:rsid w:val="005A6C3B"/>
    <w:rsid w:val="005A6CC1"/>
    <w:rsid w:val="005A6CCD"/>
    <w:rsid w:val="005A7107"/>
    <w:rsid w:val="005B174D"/>
    <w:rsid w:val="005B1979"/>
    <w:rsid w:val="005B25A8"/>
    <w:rsid w:val="005B29AF"/>
    <w:rsid w:val="005B39D2"/>
    <w:rsid w:val="005B3B36"/>
    <w:rsid w:val="005B545C"/>
    <w:rsid w:val="005B5516"/>
    <w:rsid w:val="005B55F8"/>
    <w:rsid w:val="005B5924"/>
    <w:rsid w:val="005B6561"/>
    <w:rsid w:val="005C0453"/>
    <w:rsid w:val="005C0EF3"/>
    <w:rsid w:val="005C10C5"/>
    <w:rsid w:val="005C21D1"/>
    <w:rsid w:val="005C24B6"/>
    <w:rsid w:val="005C29FA"/>
    <w:rsid w:val="005C6EDB"/>
    <w:rsid w:val="005D0763"/>
    <w:rsid w:val="005D0FD8"/>
    <w:rsid w:val="005D2127"/>
    <w:rsid w:val="005D3791"/>
    <w:rsid w:val="005D3DE0"/>
    <w:rsid w:val="005D4C84"/>
    <w:rsid w:val="005D57F3"/>
    <w:rsid w:val="005D6009"/>
    <w:rsid w:val="005D67EA"/>
    <w:rsid w:val="005E0B96"/>
    <w:rsid w:val="005E4156"/>
    <w:rsid w:val="005E61BD"/>
    <w:rsid w:val="005E7559"/>
    <w:rsid w:val="005F2C40"/>
    <w:rsid w:val="005F3E1E"/>
    <w:rsid w:val="005F4DCE"/>
    <w:rsid w:val="00600DE9"/>
    <w:rsid w:val="0060184B"/>
    <w:rsid w:val="00601A52"/>
    <w:rsid w:val="00602E73"/>
    <w:rsid w:val="00603627"/>
    <w:rsid w:val="006036A6"/>
    <w:rsid w:val="00603E2B"/>
    <w:rsid w:val="00603FA8"/>
    <w:rsid w:val="006050DD"/>
    <w:rsid w:val="006057D8"/>
    <w:rsid w:val="006062EF"/>
    <w:rsid w:val="006063A5"/>
    <w:rsid w:val="0061007F"/>
    <w:rsid w:val="0061025C"/>
    <w:rsid w:val="00612D19"/>
    <w:rsid w:val="0061317B"/>
    <w:rsid w:val="00613972"/>
    <w:rsid w:val="006141B0"/>
    <w:rsid w:val="00614A44"/>
    <w:rsid w:val="00614C02"/>
    <w:rsid w:val="006159F2"/>
    <w:rsid w:val="00615E70"/>
    <w:rsid w:val="006170F2"/>
    <w:rsid w:val="00617398"/>
    <w:rsid w:val="0061761D"/>
    <w:rsid w:val="006207E9"/>
    <w:rsid w:val="00621E70"/>
    <w:rsid w:val="00623880"/>
    <w:rsid w:val="00626B7E"/>
    <w:rsid w:val="00630D94"/>
    <w:rsid w:val="00632BA7"/>
    <w:rsid w:val="00632C89"/>
    <w:rsid w:val="00632E8C"/>
    <w:rsid w:val="00634F11"/>
    <w:rsid w:val="006359F5"/>
    <w:rsid w:val="00635A18"/>
    <w:rsid w:val="006362C2"/>
    <w:rsid w:val="006377D3"/>
    <w:rsid w:val="00637BB7"/>
    <w:rsid w:val="00641985"/>
    <w:rsid w:val="00642ADD"/>
    <w:rsid w:val="0064402C"/>
    <w:rsid w:val="006445A2"/>
    <w:rsid w:val="00645ADF"/>
    <w:rsid w:val="00645C45"/>
    <w:rsid w:val="00646179"/>
    <w:rsid w:val="006464FD"/>
    <w:rsid w:val="0064671E"/>
    <w:rsid w:val="0064763A"/>
    <w:rsid w:val="00654417"/>
    <w:rsid w:val="006544DB"/>
    <w:rsid w:val="00655537"/>
    <w:rsid w:val="00655D3C"/>
    <w:rsid w:val="00656647"/>
    <w:rsid w:val="0065713B"/>
    <w:rsid w:val="0065713C"/>
    <w:rsid w:val="0065773E"/>
    <w:rsid w:val="00660B1F"/>
    <w:rsid w:val="00662194"/>
    <w:rsid w:val="00663803"/>
    <w:rsid w:val="00663B17"/>
    <w:rsid w:val="00666A40"/>
    <w:rsid w:val="00667DD8"/>
    <w:rsid w:val="00671103"/>
    <w:rsid w:val="00671424"/>
    <w:rsid w:val="00671A52"/>
    <w:rsid w:val="00672C8A"/>
    <w:rsid w:val="00673615"/>
    <w:rsid w:val="006755C1"/>
    <w:rsid w:val="006772A7"/>
    <w:rsid w:val="006772CA"/>
    <w:rsid w:val="00677EE9"/>
    <w:rsid w:val="006822DA"/>
    <w:rsid w:val="00682473"/>
    <w:rsid w:val="006829A8"/>
    <w:rsid w:val="00682FBC"/>
    <w:rsid w:val="00683A57"/>
    <w:rsid w:val="0068449E"/>
    <w:rsid w:val="00684A4C"/>
    <w:rsid w:val="00684F00"/>
    <w:rsid w:val="006873EA"/>
    <w:rsid w:val="00692162"/>
    <w:rsid w:val="00693024"/>
    <w:rsid w:val="00694ABE"/>
    <w:rsid w:val="00694E49"/>
    <w:rsid w:val="006968AC"/>
    <w:rsid w:val="006A0E74"/>
    <w:rsid w:val="006A0FE1"/>
    <w:rsid w:val="006A218F"/>
    <w:rsid w:val="006A3F76"/>
    <w:rsid w:val="006A4054"/>
    <w:rsid w:val="006A40A1"/>
    <w:rsid w:val="006A5C00"/>
    <w:rsid w:val="006A6165"/>
    <w:rsid w:val="006A6392"/>
    <w:rsid w:val="006A7E28"/>
    <w:rsid w:val="006B1BBE"/>
    <w:rsid w:val="006B2116"/>
    <w:rsid w:val="006B2982"/>
    <w:rsid w:val="006B4903"/>
    <w:rsid w:val="006C095B"/>
    <w:rsid w:val="006C0A4C"/>
    <w:rsid w:val="006C1B43"/>
    <w:rsid w:val="006C1D7C"/>
    <w:rsid w:val="006C4A91"/>
    <w:rsid w:val="006C6659"/>
    <w:rsid w:val="006C6FA2"/>
    <w:rsid w:val="006C7000"/>
    <w:rsid w:val="006C7763"/>
    <w:rsid w:val="006D012B"/>
    <w:rsid w:val="006D12A7"/>
    <w:rsid w:val="006D2BD5"/>
    <w:rsid w:val="006D3ECE"/>
    <w:rsid w:val="006D4E45"/>
    <w:rsid w:val="006D5350"/>
    <w:rsid w:val="006D7858"/>
    <w:rsid w:val="006E0317"/>
    <w:rsid w:val="006E0511"/>
    <w:rsid w:val="006E12C1"/>
    <w:rsid w:val="006E5580"/>
    <w:rsid w:val="006E7DC2"/>
    <w:rsid w:val="006F0263"/>
    <w:rsid w:val="006F0D73"/>
    <w:rsid w:val="006F1342"/>
    <w:rsid w:val="006F3D80"/>
    <w:rsid w:val="006F3EF5"/>
    <w:rsid w:val="006F49F0"/>
    <w:rsid w:val="006F5009"/>
    <w:rsid w:val="006F7D7E"/>
    <w:rsid w:val="00702E8D"/>
    <w:rsid w:val="0070360B"/>
    <w:rsid w:val="00704726"/>
    <w:rsid w:val="007053E7"/>
    <w:rsid w:val="00705884"/>
    <w:rsid w:val="00705AA5"/>
    <w:rsid w:val="00705BD1"/>
    <w:rsid w:val="007063F2"/>
    <w:rsid w:val="00706E77"/>
    <w:rsid w:val="0070739F"/>
    <w:rsid w:val="00707B2E"/>
    <w:rsid w:val="007107FE"/>
    <w:rsid w:val="00710B00"/>
    <w:rsid w:val="00711471"/>
    <w:rsid w:val="00716DEA"/>
    <w:rsid w:val="0072105B"/>
    <w:rsid w:val="00721CD9"/>
    <w:rsid w:val="00723508"/>
    <w:rsid w:val="0072575B"/>
    <w:rsid w:val="00726B13"/>
    <w:rsid w:val="00727082"/>
    <w:rsid w:val="00727681"/>
    <w:rsid w:val="007276CD"/>
    <w:rsid w:val="007318CB"/>
    <w:rsid w:val="0073286C"/>
    <w:rsid w:val="007328CC"/>
    <w:rsid w:val="00732B9C"/>
    <w:rsid w:val="007330DF"/>
    <w:rsid w:val="00735070"/>
    <w:rsid w:val="00735AD3"/>
    <w:rsid w:val="007373FC"/>
    <w:rsid w:val="0073772A"/>
    <w:rsid w:val="007404F6"/>
    <w:rsid w:val="00742222"/>
    <w:rsid w:val="00743EA9"/>
    <w:rsid w:val="00744A42"/>
    <w:rsid w:val="0074529C"/>
    <w:rsid w:val="00747ECC"/>
    <w:rsid w:val="00750BF8"/>
    <w:rsid w:val="00750E2F"/>
    <w:rsid w:val="007515BC"/>
    <w:rsid w:val="00753328"/>
    <w:rsid w:val="00753433"/>
    <w:rsid w:val="00754513"/>
    <w:rsid w:val="00754E0C"/>
    <w:rsid w:val="00754E11"/>
    <w:rsid w:val="00756097"/>
    <w:rsid w:val="00762C09"/>
    <w:rsid w:val="00764F3A"/>
    <w:rsid w:val="00765CC1"/>
    <w:rsid w:val="007663DD"/>
    <w:rsid w:val="007669BA"/>
    <w:rsid w:val="007712EA"/>
    <w:rsid w:val="007726CB"/>
    <w:rsid w:val="00773ACD"/>
    <w:rsid w:val="007768C5"/>
    <w:rsid w:val="007773BD"/>
    <w:rsid w:val="00777B72"/>
    <w:rsid w:val="00777EEE"/>
    <w:rsid w:val="007811C0"/>
    <w:rsid w:val="007819CF"/>
    <w:rsid w:val="00783657"/>
    <w:rsid w:val="00783DA4"/>
    <w:rsid w:val="00784745"/>
    <w:rsid w:val="00786840"/>
    <w:rsid w:val="00791304"/>
    <w:rsid w:val="00791677"/>
    <w:rsid w:val="00791E8E"/>
    <w:rsid w:val="007931A9"/>
    <w:rsid w:val="00793A45"/>
    <w:rsid w:val="00794715"/>
    <w:rsid w:val="00794E52"/>
    <w:rsid w:val="00794E6C"/>
    <w:rsid w:val="007952A7"/>
    <w:rsid w:val="00795F09"/>
    <w:rsid w:val="00796982"/>
    <w:rsid w:val="007A02C7"/>
    <w:rsid w:val="007A1334"/>
    <w:rsid w:val="007A2C70"/>
    <w:rsid w:val="007A375D"/>
    <w:rsid w:val="007A3C3B"/>
    <w:rsid w:val="007A4CBF"/>
    <w:rsid w:val="007A5456"/>
    <w:rsid w:val="007A5826"/>
    <w:rsid w:val="007A657A"/>
    <w:rsid w:val="007B249F"/>
    <w:rsid w:val="007B3436"/>
    <w:rsid w:val="007B4330"/>
    <w:rsid w:val="007B435A"/>
    <w:rsid w:val="007B4F24"/>
    <w:rsid w:val="007B5D7E"/>
    <w:rsid w:val="007C1315"/>
    <w:rsid w:val="007C17B1"/>
    <w:rsid w:val="007C3547"/>
    <w:rsid w:val="007C43BB"/>
    <w:rsid w:val="007C47D9"/>
    <w:rsid w:val="007C6ED9"/>
    <w:rsid w:val="007D12FB"/>
    <w:rsid w:val="007D190A"/>
    <w:rsid w:val="007D1D13"/>
    <w:rsid w:val="007D3127"/>
    <w:rsid w:val="007D36F2"/>
    <w:rsid w:val="007D3B6C"/>
    <w:rsid w:val="007D3F11"/>
    <w:rsid w:val="007D57DC"/>
    <w:rsid w:val="007D6020"/>
    <w:rsid w:val="007D76DF"/>
    <w:rsid w:val="007E00A1"/>
    <w:rsid w:val="007E2BB1"/>
    <w:rsid w:val="007E2F2D"/>
    <w:rsid w:val="007E3A3A"/>
    <w:rsid w:val="007E6D47"/>
    <w:rsid w:val="007E6F9E"/>
    <w:rsid w:val="007E71C7"/>
    <w:rsid w:val="007F0096"/>
    <w:rsid w:val="007F2BB3"/>
    <w:rsid w:val="007F35FA"/>
    <w:rsid w:val="007F3724"/>
    <w:rsid w:val="007F4330"/>
    <w:rsid w:val="007F45A7"/>
    <w:rsid w:val="007F4C1B"/>
    <w:rsid w:val="007F5204"/>
    <w:rsid w:val="007F5830"/>
    <w:rsid w:val="007F5D3F"/>
    <w:rsid w:val="007F62A9"/>
    <w:rsid w:val="007F6D99"/>
    <w:rsid w:val="008007C3"/>
    <w:rsid w:val="00800998"/>
    <w:rsid w:val="008022F1"/>
    <w:rsid w:val="0080288A"/>
    <w:rsid w:val="00802E2A"/>
    <w:rsid w:val="00803569"/>
    <w:rsid w:val="008049CE"/>
    <w:rsid w:val="00807058"/>
    <w:rsid w:val="0080739F"/>
    <w:rsid w:val="0080758E"/>
    <w:rsid w:val="0081025E"/>
    <w:rsid w:val="00810E72"/>
    <w:rsid w:val="008124E6"/>
    <w:rsid w:val="00812B72"/>
    <w:rsid w:val="00813360"/>
    <w:rsid w:val="00813620"/>
    <w:rsid w:val="00816F3A"/>
    <w:rsid w:val="008171ED"/>
    <w:rsid w:val="00820A32"/>
    <w:rsid w:val="00820A94"/>
    <w:rsid w:val="008230AC"/>
    <w:rsid w:val="00823B52"/>
    <w:rsid w:val="00823B90"/>
    <w:rsid w:val="00825F5A"/>
    <w:rsid w:val="00831ACA"/>
    <w:rsid w:val="00831AD5"/>
    <w:rsid w:val="00831BAA"/>
    <w:rsid w:val="00831E32"/>
    <w:rsid w:val="00834982"/>
    <w:rsid w:val="00834C7B"/>
    <w:rsid w:val="00836367"/>
    <w:rsid w:val="008375CF"/>
    <w:rsid w:val="00843D20"/>
    <w:rsid w:val="00844454"/>
    <w:rsid w:val="008459FC"/>
    <w:rsid w:val="00847192"/>
    <w:rsid w:val="0084731D"/>
    <w:rsid w:val="00850142"/>
    <w:rsid w:val="008511D0"/>
    <w:rsid w:val="008540AD"/>
    <w:rsid w:val="00855476"/>
    <w:rsid w:val="0085597D"/>
    <w:rsid w:val="00857420"/>
    <w:rsid w:val="0085773A"/>
    <w:rsid w:val="008603F1"/>
    <w:rsid w:val="00860CCE"/>
    <w:rsid w:val="00862540"/>
    <w:rsid w:val="00862551"/>
    <w:rsid w:val="008628AF"/>
    <w:rsid w:val="0086294E"/>
    <w:rsid w:val="00863459"/>
    <w:rsid w:val="008637E1"/>
    <w:rsid w:val="00864CE2"/>
    <w:rsid w:val="008657E6"/>
    <w:rsid w:val="008668DC"/>
    <w:rsid w:val="00867E68"/>
    <w:rsid w:val="00871BAB"/>
    <w:rsid w:val="0087340F"/>
    <w:rsid w:val="00873D37"/>
    <w:rsid w:val="00876879"/>
    <w:rsid w:val="0088302D"/>
    <w:rsid w:val="008830FE"/>
    <w:rsid w:val="008831E9"/>
    <w:rsid w:val="00883DDC"/>
    <w:rsid w:val="008841C7"/>
    <w:rsid w:val="00884299"/>
    <w:rsid w:val="00885271"/>
    <w:rsid w:val="0088541D"/>
    <w:rsid w:val="00885C28"/>
    <w:rsid w:val="00885F6B"/>
    <w:rsid w:val="00887803"/>
    <w:rsid w:val="00891289"/>
    <w:rsid w:val="00891481"/>
    <w:rsid w:val="00893A34"/>
    <w:rsid w:val="00893F1F"/>
    <w:rsid w:val="008945EF"/>
    <w:rsid w:val="00897964"/>
    <w:rsid w:val="008A0157"/>
    <w:rsid w:val="008A2903"/>
    <w:rsid w:val="008A2ECB"/>
    <w:rsid w:val="008A41D1"/>
    <w:rsid w:val="008A57F3"/>
    <w:rsid w:val="008A6B32"/>
    <w:rsid w:val="008A7DEB"/>
    <w:rsid w:val="008B39F2"/>
    <w:rsid w:val="008B4E2D"/>
    <w:rsid w:val="008B5BF0"/>
    <w:rsid w:val="008B7CC7"/>
    <w:rsid w:val="008C0BAD"/>
    <w:rsid w:val="008C1654"/>
    <w:rsid w:val="008C2342"/>
    <w:rsid w:val="008C2E66"/>
    <w:rsid w:val="008C3CF3"/>
    <w:rsid w:val="008C4059"/>
    <w:rsid w:val="008C5061"/>
    <w:rsid w:val="008D321E"/>
    <w:rsid w:val="008D4069"/>
    <w:rsid w:val="008D4C74"/>
    <w:rsid w:val="008D4D6F"/>
    <w:rsid w:val="008D578D"/>
    <w:rsid w:val="008D5CD9"/>
    <w:rsid w:val="008D607D"/>
    <w:rsid w:val="008E0799"/>
    <w:rsid w:val="008E07CE"/>
    <w:rsid w:val="008E144C"/>
    <w:rsid w:val="008E1524"/>
    <w:rsid w:val="008E1751"/>
    <w:rsid w:val="008E2875"/>
    <w:rsid w:val="008E35D5"/>
    <w:rsid w:val="008E48E0"/>
    <w:rsid w:val="008E499D"/>
    <w:rsid w:val="008F078B"/>
    <w:rsid w:val="008F1742"/>
    <w:rsid w:val="008F2D23"/>
    <w:rsid w:val="008F45DD"/>
    <w:rsid w:val="008F524F"/>
    <w:rsid w:val="008F546B"/>
    <w:rsid w:val="008F58B7"/>
    <w:rsid w:val="009011FA"/>
    <w:rsid w:val="00903A46"/>
    <w:rsid w:val="009062B0"/>
    <w:rsid w:val="0090720F"/>
    <w:rsid w:val="00907276"/>
    <w:rsid w:val="00907EF1"/>
    <w:rsid w:val="00910BEE"/>
    <w:rsid w:val="009112D6"/>
    <w:rsid w:val="00911779"/>
    <w:rsid w:val="00911F30"/>
    <w:rsid w:val="00912583"/>
    <w:rsid w:val="0091465A"/>
    <w:rsid w:val="0091537A"/>
    <w:rsid w:val="0091613C"/>
    <w:rsid w:val="00917703"/>
    <w:rsid w:val="009215E1"/>
    <w:rsid w:val="00921613"/>
    <w:rsid w:val="00921641"/>
    <w:rsid w:val="00921AD9"/>
    <w:rsid w:val="00922DFB"/>
    <w:rsid w:val="00924DAD"/>
    <w:rsid w:val="00924EF9"/>
    <w:rsid w:val="00926B17"/>
    <w:rsid w:val="00931139"/>
    <w:rsid w:val="00931186"/>
    <w:rsid w:val="00931C60"/>
    <w:rsid w:val="00932080"/>
    <w:rsid w:val="009322FA"/>
    <w:rsid w:val="00932330"/>
    <w:rsid w:val="009328A9"/>
    <w:rsid w:val="009366A0"/>
    <w:rsid w:val="009376E9"/>
    <w:rsid w:val="009407EE"/>
    <w:rsid w:val="00943B26"/>
    <w:rsid w:val="00945222"/>
    <w:rsid w:val="009466BB"/>
    <w:rsid w:val="009479A1"/>
    <w:rsid w:val="00950357"/>
    <w:rsid w:val="009504FD"/>
    <w:rsid w:val="00951D9B"/>
    <w:rsid w:val="0095200D"/>
    <w:rsid w:val="009542D3"/>
    <w:rsid w:val="00956DA6"/>
    <w:rsid w:val="009575E3"/>
    <w:rsid w:val="00957F52"/>
    <w:rsid w:val="00960387"/>
    <w:rsid w:val="00961C3D"/>
    <w:rsid w:val="00961DC0"/>
    <w:rsid w:val="00962484"/>
    <w:rsid w:val="0096278C"/>
    <w:rsid w:val="009643C4"/>
    <w:rsid w:val="00966739"/>
    <w:rsid w:val="00967BAA"/>
    <w:rsid w:val="00970DF3"/>
    <w:rsid w:val="00972B5F"/>
    <w:rsid w:val="00975870"/>
    <w:rsid w:val="00975CDC"/>
    <w:rsid w:val="009768F2"/>
    <w:rsid w:val="00981A56"/>
    <w:rsid w:val="00983242"/>
    <w:rsid w:val="00984467"/>
    <w:rsid w:val="0098563C"/>
    <w:rsid w:val="0098603E"/>
    <w:rsid w:val="00986F53"/>
    <w:rsid w:val="0099053A"/>
    <w:rsid w:val="009918E8"/>
    <w:rsid w:val="00991ACC"/>
    <w:rsid w:val="00992345"/>
    <w:rsid w:val="0099604A"/>
    <w:rsid w:val="009962FE"/>
    <w:rsid w:val="00996894"/>
    <w:rsid w:val="00997E46"/>
    <w:rsid w:val="009A0E5A"/>
    <w:rsid w:val="009A131E"/>
    <w:rsid w:val="009A2280"/>
    <w:rsid w:val="009A2C24"/>
    <w:rsid w:val="009A6068"/>
    <w:rsid w:val="009A6E0D"/>
    <w:rsid w:val="009B0716"/>
    <w:rsid w:val="009B1209"/>
    <w:rsid w:val="009B3F9B"/>
    <w:rsid w:val="009B4464"/>
    <w:rsid w:val="009B5ED9"/>
    <w:rsid w:val="009B687E"/>
    <w:rsid w:val="009B78C5"/>
    <w:rsid w:val="009C00D0"/>
    <w:rsid w:val="009C2B89"/>
    <w:rsid w:val="009C4DC5"/>
    <w:rsid w:val="009C5262"/>
    <w:rsid w:val="009C6B0A"/>
    <w:rsid w:val="009D0008"/>
    <w:rsid w:val="009D496D"/>
    <w:rsid w:val="009D5865"/>
    <w:rsid w:val="009D5E4C"/>
    <w:rsid w:val="009D6D25"/>
    <w:rsid w:val="009D6EE6"/>
    <w:rsid w:val="009D76AB"/>
    <w:rsid w:val="009E03FB"/>
    <w:rsid w:val="009E17B9"/>
    <w:rsid w:val="009E31E7"/>
    <w:rsid w:val="009E320A"/>
    <w:rsid w:val="009E44DD"/>
    <w:rsid w:val="009E49D0"/>
    <w:rsid w:val="009E56D2"/>
    <w:rsid w:val="009F09E6"/>
    <w:rsid w:val="009F169C"/>
    <w:rsid w:val="009F39B2"/>
    <w:rsid w:val="009F630C"/>
    <w:rsid w:val="009F7F75"/>
    <w:rsid w:val="00A01B64"/>
    <w:rsid w:val="00A0358C"/>
    <w:rsid w:val="00A03704"/>
    <w:rsid w:val="00A05AD3"/>
    <w:rsid w:val="00A067D6"/>
    <w:rsid w:val="00A06AC7"/>
    <w:rsid w:val="00A11347"/>
    <w:rsid w:val="00A12961"/>
    <w:rsid w:val="00A136AC"/>
    <w:rsid w:val="00A13885"/>
    <w:rsid w:val="00A144CF"/>
    <w:rsid w:val="00A169B4"/>
    <w:rsid w:val="00A16CD8"/>
    <w:rsid w:val="00A178DF"/>
    <w:rsid w:val="00A20C92"/>
    <w:rsid w:val="00A227F2"/>
    <w:rsid w:val="00A23954"/>
    <w:rsid w:val="00A240B1"/>
    <w:rsid w:val="00A241BD"/>
    <w:rsid w:val="00A271BC"/>
    <w:rsid w:val="00A276DD"/>
    <w:rsid w:val="00A2777E"/>
    <w:rsid w:val="00A27ED8"/>
    <w:rsid w:val="00A30B9A"/>
    <w:rsid w:val="00A3103A"/>
    <w:rsid w:val="00A31268"/>
    <w:rsid w:val="00A31E8F"/>
    <w:rsid w:val="00A3202F"/>
    <w:rsid w:val="00A33FF9"/>
    <w:rsid w:val="00A3580A"/>
    <w:rsid w:val="00A3629D"/>
    <w:rsid w:val="00A36FCA"/>
    <w:rsid w:val="00A41E37"/>
    <w:rsid w:val="00A42070"/>
    <w:rsid w:val="00A44EB9"/>
    <w:rsid w:val="00A458F0"/>
    <w:rsid w:val="00A45E57"/>
    <w:rsid w:val="00A46A67"/>
    <w:rsid w:val="00A474F8"/>
    <w:rsid w:val="00A51932"/>
    <w:rsid w:val="00A51CC9"/>
    <w:rsid w:val="00A51EF6"/>
    <w:rsid w:val="00A52763"/>
    <w:rsid w:val="00A52964"/>
    <w:rsid w:val="00A535A2"/>
    <w:rsid w:val="00A5465F"/>
    <w:rsid w:val="00A57266"/>
    <w:rsid w:val="00A57418"/>
    <w:rsid w:val="00A65EA6"/>
    <w:rsid w:val="00A7150E"/>
    <w:rsid w:val="00A72D91"/>
    <w:rsid w:val="00A73D4B"/>
    <w:rsid w:val="00A761FA"/>
    <w:rsid w:val="00A771C0"/>
    <w:rsid w:val="00A80CA4"/>
    <w:rsid w:val="00A81192"/>
    <w:rsid w:val="00A81297"/>
    <w:rsid w:val="00A82A72"/>
    <w:rsid w:val="00A85A08"/>
    <w:rsid w:val="00A85C45"/>
    <w:rsid w:val="00A866DC"/>
    <w:rsid w:val="00A86724"/>
    <w:rsid w:val="00A8672D"/>
    <w:rsid w:val="00A8721D"/>
    <w:rsid w:val="00A90B93"/>
    <w:rsid w:val="00A92E1D"/>
    <w:rsid w:val="00A94F1D"/>
    <w:rsid w:val="00A95810"/>
    <w:rsid w:val="00A95DA6"/>
    <w:rsid w:val="00A97DC2"/>
    <w:rsid w:val="00AA0305"/>
    <w:rsid w:val="00AA1E55"/>
    <w:rsid w:val="00AA2A15"/>
    <w:rsid w:val="00AA2A96"/>
    <w:rsid w:val="00AA42A7"/>
    <w:rsid w:val="00AA5E68"/>
    <w:rsid w:val="00AA714E"/>
    <w:rsid w:val="00AB1C8B"/>
    <w:rsid w:val="00AB4B80"/>
    <w:rsid w:val="00AB4D38"/>
    <w:rsid w:val="00AB7678"/>
    <w:rsid w:val="00AC014E"/>
    <w:rsid w:val="00AC01E3"/>
    <w:rsid w:val="00AC238D"/>
    <w:rsid w:val="00AC4B7F"/>
    <w:rsid w:val="00AC7238"/>
    <w:rsid w:val="00AC7BEB"/>
    <w:rsid w:val="00AC7C05"/>
    <w:rsid w:val="00AD162D"/>
    <w:rsid w:val="00AD16E4"/>
    <w:rsid w:val="00AD2189"/>
    <w:rsid w:val="00AD2C02"/>
    <w:rsid w:val="00AD31A9"/>
    <w:rsid w:val="00AD5287"/>
    <w:rsid w:val="00AD6CF5"/>
    <w:rsid w:val="00AD7847"/>
    <w:rsid w:val="00AE097A"/>
    <w:rsid w:val="00AE1B5A"/>
    <w:rsid w:val="00AE1EE7"/>
    <w:rsid w:val="00AE2151"/>
    <w:rsid w:val="00AE249D"/>
    <w:rsid w:val="00AE31B0"/>
    <w:rsid w:val="00AE3213"/>
    <w:rsid w:val="00AE3854"/>
    <w:rsid w:val="00AE3EC0"/>
    <w:rsid w:val="00AE4B34"/>
    <w:rsid w:val="00AE6FC4"/>
    <w:rsid w:val="00AF0479"/>
    <w:rsid w:val="00AF26A2"/>
    <w:rsid w:val="00AF3D8D"/>
    <w:rsid w:val="00AF3DFB"/>
    <w:rsid w:val="00AF411C"/>
    <w:rsid w:val="00AF4B64"/>
    <w:rsid w:val="00AF7EC6"/>
    <w:rsid w:val="00B01B51"/>
    <w:rsid w:val="00B03333"/>
    <w:rsid w:val="00B033B6"/>
    <w:rsid w:val="00B0406A"/>
    <w:rsid w:val="00B06841"/>
    <w:rsid w:val="00B06B03"/>
    <w:rsid w:val="00B07DB6"/>
    <w:rsid w:val="00B113E5"/>
    <w:rsid w:val="00B1162D"/>
    <w:rsid w:val="00B14C06"/>
    <w:rsid w:val="00B153F0"/>
    <w:rsid w:val="00B162A3"/>
    <w:rsid w:val="00B16D79"/>
    <w:rsid w:val="00B17ECC"/>
    <w:rsid w:val="00B23398"/>
    <w:rsid w:val="00B245B0"/>
    <w:rsid w:val="00B25CD7"/>
    <w:rsid w:val="00B26E56"/>
    <w:rsid w:val="00B31879"/>
    <w:rsid w:val="00B3311C"/>
    <w:rsid w:val="00B33125"/>
    <w:rsid w:val="00B34A3B"/>
    <w:rsid w:val="00B355C5"/>
    <w:rsid w:val="00B3673D"/>
    <w:rsid w:val="00B4107B"/>
    <w:rsid w:val="00B43F15"/>
    <w:rsid w:val="00B44C6C"/>
    <w:rsid w:val="00B4757F"/>
    <w:rsid w:val="00B5187A"/>
    <w:rsid w:val="00B52E33"/>
    <w:rsid w:val="00B53D38"/>
    <w:rsid w:val="00B55B2B"/>
    <w:rsid w:val="00B55CD1"/>
    <w:rsid w:val="00B56B79"/>
    <w:rsid w:val="00B605F9"/>
    <w:rsid w:val="00B61C67"/>
    <w:rsid w:val="00B62A9E"/>
    <w:rsid w:val="00B6314D"/>
    <w:rsid w:val="00B64BD8"/>
    <w:rsid w:val="00B64C09"/>
    <w:rsid w:val="00B70EFF"/>
    <w:rsid w:val="00B713DA"/>
    <w:rsid w:val="00B71654"/>
    <w:rsid w:val="00B727C2"/>
    <w:rsid w:val="00B738C7"/>
    <w:rsid w:val="00B738F6"/>
    <w:rsid w:val="00B747AC"/>
    <w:rsid w:val="00B77124"/>
    <w:rsid w:val="00B8023E"/>
    <w:rsid w:val="00B802FE"/>
    <w:rsid w:val="00B82106"/>
    <w:rsid w:val="00B82526"/>
    <w:rsid w:val="00B82809"/>
    <w:rsid w:val="00B91224"/>
    <w:rsid w:val="00B91420"/>
    <w:rsid w:val="00B92DEC"/>
    <w:rsid w:val="00B9525A"/>
    <w:rsid w:val="00B96417"/>
    <w:rsid w:val="00BA015D"/>
    <w:rsid w:val="00BA064C"/>
    <w:rsid w:val="00BA0C85"/>
    <w:rsid w:val="00BA1B22"/>
    <w:rsid w:val="00BA1ED2"/>
    <w:rsid w:val="00BA4091"/>
    <w:rsid w:val="00BA4735"/>
    <w:rsid w:val="00BB0CEE"/>
    <w:rsid w:val="00BB2DB8"/>
    <w:rsid w:val="00BB3206"/>
    <w:rsid w:val="00BB3A50"/>
    <w:rsid w:val="00BB4D9B"/>
    <w:rsid w:val="00BB647C"/>
    <w:rsid w:val="00BC0C83"/>
    <w:rsid w:val="00BC33E7"/>
    <w:rsid w:val="00BC61B1"/>
    <w:rsid w:val="00BC74B2"/>
    <w:rsid w:val="00BD1EDC"/>
    <w:rsid w:val="00BD1F16"/>
    <w:rsid w:val="00BD201F"/>
    <w:rsid w:val="00BD500B"/>
    <w:rsid w:val="00BD55D3"/>
    <w:rsid w:val="00BD74A5"/>
    <w:rsid w:val="00BD787F"/>
    <w:rsid w:val="00BD7E26"/>
    <w:rsid w:val="00BE00F2"/>
    <w:rsid w:val="00BE209A"/>
    <w:rsid w:val="00BE2293"/>
    <w:rsid w:val="00BE24AF"/>
    <w:rsid w:val="00BE37DF"/>
    <w:rsid w:val="00BE37E1"/>
    <w:rsid w:val="00BE39F5"/>
    <w:rsid w:val="00BE4B28"/>
    <w:rsid w:val="00BE4ED0"/>
    <w:rsid w:val="00BE57F6"/>
    <w:rsid w:val="00BE5C64"/>
    <w:rsid w:val="00BE7220"/>
    <w:rsid w:val="00BF021D"/>
    <w:rsid w:val="00BF28B4"/>
    <w:rsid w:val="00BF2D80"/>
    <w:rsid w:val="00BF2DF2"/>
    <w:rsid w:val="00BF32A0"/>
    <w:rsid w:val="00BF32FB"/>
    <w:rsid w:val="00BF34A5"/>
    <w:rsid w:val="00BF3828"/>
    <w:rsid w:val="00BF4F4D"/>
    <w:rsid w:val="00BF5144"/>
    <w:rsid w:val="00BF5E9D"/>
    <w:rsid w:val="00C00747"/>
    <w:rsid w:val="00C01116"/>
    <w:rsid w:val="00C02336"/>
    <w:rsid w:val="00C04254"/>
    <w:rsid w:val="00C043A7"/>
    <w:rsid w:val="00C044F1"/>
    <w:rsid w:val="00C050D3"/>
    <w:rsid w:val="00C06D36"/>
    <w:rsid w:val="00C10374"/>
    <w:rsid w:val="00C12840"/>
    <w:rsid w:val="00C1593D"/>
    <w:rsid w:val="00C172E3"/>
    <w:rsid w:val="00C17AA0"/>
    <w:rsid w:val="00C217D7"/>
    <w:rsid w:val="00C21910"/>
    <w:rsid w:val="00C22372"/>
    <w:rsid w:val="00C22791"/>
    <w:rsid w:val="00C244FF"/>
    <w:rsid w:val="00C26A8B"/>
    <w:rsid w:val="00C26D2C"/>
    <w:rsid w:val="00C27FC3"/>
    <w:rsid w:val="00C3337C"/>
    <w:rsid w:val="00C33D51"/>
    <w:rsid w:val="00C351AE"/>
    <w:rsid w:val="00C35BF3"/>
    <w:rsid w:val="00C3670D"/>
    <w:rsid w:val="00C37110"/>
    <w:rsid w:val="00C407C6"/>
    <w:rsid w:val="00C41370"/>
    <w:rsid w:val="00C41AF0"/>
    <w:rsid w:val="00C41EED"/>
    <w:rsid w:val="00C42114"/>
    <w:rsid w:val="00C442B6"/>
    <w:rsid w:val="00C45975"/>
    <w:rsid w:val="00C459A1"/>
    <w:rsid w:val="00C472E1"/>
    <w:rsid w:val="00C5096F"/>
    <w:rsid w:val="00C5192E"/>
    <w:rsid w:val="00C51C05"/>
    <w:rsid w:val="00C525DC"/>
    <w:rsid w:val="00C52B10"/>
    <w:rsid w:val="00C5302D"/>
    <w:rsid w:val="00C53DB6"/>
    <w:rsid w:val="00C5403F"/>
    <w:rsid w:val="00C55956"/>
    <w:rsid w:val="00C55B2E"/>
    <w:rsid w:val="00C55BE3"/>
    <w:rsid w:val="00C55CDD"/>
    <w:rsid w:val="00C5787F"/>
    <w:rsid w:val="00C57E44"/>
    <w:rsid w:val="00C60E71"/>
    <w:rsid w:val="00C61A6F"/>
    <w:rsid w:val="00C62F4A"/>
    <w:rsid w:val="00C6318D"/>
    <w:rsid w:val="00C634DB"/>
    <w:rsid w:val="00C63883"/>
    <w:rsid w:val="00C650D3"/>
    <w:rsid w:val="00C66506"/>
    <w:rsid w:val="00C70729"/>
    <w:rsid w:val="00C7271B"/>
    <w:rsid w:val="00C72EF0"/>
    <w:rsid w:val="00C7318D"/>
    <w:rsid w:val="00C73AEA"/>
    <w:rsid w:val="00C74CC2"/>
    <w:rsid w:val="00C76487"/>
    <w:rsid w:val="00C77322"/>
    <w:rsid w:val="00C77ACD"/>
    <w:rsid w:val="00C82FC1"/>
    <w:rsid w:val="00C83726"/>
    <w:rsid w:val="00C85536"/>
    <w:rsid w:val="00C85A27"/>
    <w:rsid w:val="00C9240D"/>
    <w:rsid w:val="00C96565"/>
    <w:rsid w:val="00C970EE"/>
    <w:rsid w:val="00C9766A"/>
    <w:rsid w:val="00C9795B"/>
    <w:rsid w:val="00CA1310"/>
    <w:rsid w:val="00CA27D5"/>
    <w:rsid w:val="00CA3336"/>
    <w:rsid w:val="00CA3630"/>
    <w:rsid w:val="00CA3648"/>
    <w:rsid w:val="00CA3E1E"/>
    <w:rsid w:val="00CA49A2"/>
    <w:rsid w:val="00CA4D80"/>
    <w:rsid w:val="00CA552A"/>
    <w:rsid w:val="00CA55AC"/>
    <w:rsid w:val="00CA5DA4"/>
    <w:rsid w:val="00CA6831"/>
    <w:rsid w:val="00CA683E"/>
    <w:rsid w:val="00CA7C90"/>
    <w:rsid w:val="00CB0179"/>
    <w:rsid w:val="00CB0C87"/>
    <w:rsid w:val="00CB2278"/>
    <w:rsid w:val="00CB6BD8"/>
    <w:rsid w:val="00CB71E2"/>
    <w:rsid w:val="00CB74C1"/>
    <w:rsid w:val="00CB7862"/>
    <w:rsid w:val="00CC0031"/>
    <w:rsid w:val="00CC1B2D"/>
    <w:rsid w:val="00CC2C4F"/>
    <w:rsid w:val="00CC3FDF"/>
    <w:rsid w:val="00CC60B9"/>
    <w:rsid w:val="00CD1628"/>
    <w:rsid w:val="00CD2712"/>
    <w:rsid w:val="00CD29F0"/>
    <w:rsid w:val="00CD41EE"/>
    <w:rsid w:val="00CD4482"/>
    <w:rsid w:val="00CD476F"/>
    <w:rsid w:val="00CD664F"/>
    <w:rsid w:val="00CD7C95"/>
    <w:rsid w:val="00CE3D5E"/>
    <w:rsid w:val="00CE4977"/>
    <w:rsid w:val="00CE508F"/>
    <w:rsid w:val="00CE547B"/>
    <w:rsid w:val="00CE67B9"/>
    <w:rsid w:val="00CF08AC"/>
    <w:rsid w:val="00CF32E9"/>
    <w:rsid w:val="00CF345C"/>
    <w:rsid w:val="00CF4E94"/>
    <w:rsid w:val="00CF56C1"/>
    <w:rsid w:val="00CF75BA"/>
    <w:rsid w:val="00D010E3"/>
    <w:rsid w:val="00D01A19"/>
    <w:rsid w:val="00D02E90"/>
    <w:rsid w:val="00D03138"/>
    <w:rsid w:val="00D054B7"/>
    <w:rsid w:val="00D05810"/>
    <w:rsid w:val="00D05DAE"/>
    <w:rsid w:val="00D06B42"/>
    <w:rsid w:val="00D10925"/>
    <w:rsid w:val="00D15ADE"/>
    <w:rsid w:val="00D202AA"/>
    <w:rsid w:val="00D20416"/>
    <w:rsid w:val="00D20CCF"/>
    <w:rsid w:val="00D21942"/>
    <w:rsid w:val="00D21E92"/>
    <w:rsid w:val="00D22B65"/>
    <w:rsid w:val="00D23682"/>
    <w:rsid w:val="00D246AD"/>
    <w:rsid w:val="00D27C7F"/>
    <w:rsid w:val="00D3038F"/>
    <w:rsid w:val="00D30C9F"/>
    <w:rsid w:val="00D3196B"/>
    <w:rsid w:val="00D324FC"/>
    <w:rsid w:val="00D35397"/>
    <w:rsid w:val="00D35F36"/>
    <w:rsid w:val="00D378DF"/>
    <w:rsid w:val="00D37C75"/>
    <w:rsid w:val="00D41322"/>
    <w:rsid w:val="00D42B0C"/>
    <w:rsid w:val="00D47AC5"/>
    <w:rsid w:val="00D5113F"/>
    <w:rsid w:val="00D53CE6"/>
    <w:rsid w:val="00D56336"/>
    <w:rsid w:val="00D56BA7"/>
    <w:rsid w:val="00D576E9"/>
    <w:rsid w:val="00D5781D"/>
    <w:rsid w:val="00D57A02"/>
    <w:rsid w:val="00D617EF"/>
    <w:rsid w:val="00D62C3A"/>
    <w:rsid w:val="00D62ECD"/>
    <w:rsid w:val="00D64B5E"/>
    <w:rsid w:val="00D65CF2"/>
    <w:rsid w:val="00D65EA9"/>
    <w:rsid w:val="00D6682C"/>
    <w:rsid w:val="00D66CF8"/>
    <w:rsid w:val="00D66DB5"/>
    <w:rsid w:val="00D674DA"/>
    <w:rsid w:val="00D67F9B"/>
    <w:rsid w:val="00D7008D"/>
    <w:rsid w:val="00D7086E"/>
    <w:rsid w:val="00D70C49"/>
    <w:rsid w:val="00D70F3A"/>
    <w:rsid w:val="00D72BEF"/>
    <w:rsid w:val="00D72C62"/>
    <w:rsid w:val="00D73886"/>
    <w:rsid w:val="00D7659E"/>
    <w:rsid w:val="00D76AB8"/>
    <w:rsid w:val="00D772B3"/>
    <w:rsid w:val="00D77A52"/>
    <w:rsid w:val="00D81480"/>
    <w:rsid w:val="00D81B58"/>
    <w:rsid w:val="00D81C14"/>
    <w:rsid w:val="00D832D5"/>
    <w:rsid w:val="00D83376"/>
    <w:rsid w:val="00D834F6"/>
    <w:rsid w:val="00D84B5D"/>
    <w:rsid w:val="00D853FF"/>
    <w:rsid w:val="00D8705F"/>
    <w:rsid w:val="00D87A07"/>
    <w:rsid w:val="00D91C36"/>
    <w:rsid w:val="00D91F02"/>
    <w:rsid w:val="00D92A15"/>
    <w:rsid w:val="00D94BC8"/>
    <w:rsid w:val="00D94C8C"/>
    <w:rsid w:val="00D957C0"/>
    <w:rsid w:val="00D965FE"/>
    <w:rsid w:val="00DA03FB"/>
    <w:rsid w:val="00DA0546"/>
    <w:rsid w:val="00DA1332"/>
    <w:rsid w:val="00DA336B"/>
    <w:rsid w:val="00DA377B"/>
    <w:rsid w:val="00DA48F6"/>
    <w:rsid w:val="00DA5238"/>
    <w:rsid w:val="00DA53C1"/>
    <w:rsid w:val="00DA5621"/>
    <w:rsid w:val="00DA5B67"/>
    <w:rsid w:val="00DA7ECD"/>
    <w:rsid w:val="00DB09E4"/>
    <w:rsid w:val="00DB2D17"/>
    <w:rsid w:val="00DB58F2"/>
    <w:rsid w:val="00DB5E4D"/>
    <w:rsid w:val="00DB5F9F"/>
    <w:rsid w:val="00DB6D1F"/>
    <w:rsid w:val="00DB7655"/>
    <w:rsid w:val="00DB78EA"/>
    <w:rsid w:val="00DC11CB"/>
    <w:rsid w:val="00DC13EA"/>
    <w:rsid w:val="00DC1BB7"/>
    <w:rsid w:val="00DC3ADA"/>
    <w:rsid w:val="00DC4A0B"/>
    <w:rsid w:val="00DC4D66"/>
    <w:rsid w:val="00DC689E"/>
    <w:rsid w:val="00DD026E"/>
    <w:rsid w:val="00DD1715"/>
    <w:rsid w:val="00DD2C4D"/>
    <w:rsid w:val="00DD35FE"/>
    <w:rsid w:val="00DD37BF"/>
    <w:rsid w:val="00DD44AD"/>
    <w:rsid w:val="00DD45F6"/>
    <w:rsid w:val="00DD5596"/>
    <w:rsid w:val="00DD5A7F"/>
    <w:rsid w:val="00DD6B23"/>
    <w:rsid w:val="00DE0940"/>
    <w:rsid w:val="00DE1E06"/>
    <w:rsid w:val="00DE24BA"/>
    <w:rsid w:val="00DE342A"/>
    <w:rsid w:val="00DE48C3"/>
    <w:rsid w:val="00DE493A"/>
    <w:rsid w:val="00DE5099"/>
    <w:rsid w:val="00DE58AE"/>
    <w:rsid w:val="00DE7190"/>
    <w:rsid w:val="00DF041B"/>
    <w:rsid w:val="00DF1082"/>
    <w:rsid w:val="00DF1157"/>
    <w:rsid w:val="00DF178D"/>
    <w:rsid w:val="00DF2E2D"/>
    <w:rsid w:val="00DF38C7"/>
    <w:rsid w:val="00DF41B4"/>
    <w:rsid w:val="00DF4392"/>
    <w:rsid w:val="00DF4E1F"/>
    <w:rsid w:val="00DF69A1"/>
    <w:rsid w:val="00DF6AD8"/>
    <w:rsid w:val="00DF6DE1"/>
    <w:rsid w:val="00DF752E"/>
    <w:rsid w:val="00E0035B"/>
    <w:rsid w:val="00E00956"/>
    <w:rsid w:val="00E011B3"/>
    <w:rsid w:val="00E01A14"/>
    <w:rsid w:val="00E01A51"/>
    <w:rsid w:val="00E02EE2"/>
    <w:rsid w:val="00E04518"/>
    <w:rsid w:val="00E04D61"/>
    <w:rsid w:val="00E05109"/>
    <w:rsid w:val="00E05894"/>
    <w:rsid w:val="00E0642C"/>
    <w:rsid w:val="00E06BD0"/>
    <w:rsid w:val="00E109E0"/>
    <w:rsid w:val="00E11F11"/>
    <w:rsid w:val="00E14FA3"/>
    <w:rsid w:val="00E151B6"/>
    <w:rsid w:val="00E153CF"/>
    <w:rsid w:val="00E1543D"/>
    <w:rsid w:val="00E15D9B"/>
    <w:rsid w:val="00E17572"/>
    <w:rsid w:val="00E176F6"/>
    <w:rsid w:val="00E177EE"/>
    <w:rsid w:val="00E204AA"/>
    <w:rsid w:val="00E22D1F"/>
    <w:rsid w:val="00E245F0"/>
    <w:rsid w:val="00E2566D"/>
    <w:rsid w:val="00E25EF0"/>
    <w:rsid w:val="00E27820"/>
    <w:rsid w:val="00E27830"/>
    <w:rsid w:val="00E304B3"/>
    <w:rsid w:val="00E308FB"/>
    <w:rsid w:val="00E3165D"/>
    <w:rsid w:val="00E31996"/>
    <w:rsid w:val="00E329AF"/>
    <w:rsid w:val="00E342B0"/>
    <w:rsid w:val="00E3472B"/>
    <w:rsid w:val="00E350B7"/>
    <w:rsid w:val="00E356BA"/>
    <w:rsid w:val="00E37D1E"/>
    <w:rsid w:val="00E40979"/>
    <w:rsid w:val="00E41DAF"/>
    <w:rsid w:val="00E428EA"/>
    <w:rsid w:val="00E435B7"/>
    <w:rsid w:val="00E43A26"/>
    <w:rsid w:val="00E466D8"/>
    <w:rsid w:val="00E46AF2"/>
    <w:rsid w:val="00E46B12"/>
    <w:rsid w:val="00E47557"/>
    <w:rsid w:val="00E47BD3"/>
    <w:rsid w:val="00E503F7"/>
    <w:rsid w:val="00E50FE3"/>
    <w:rsid w:val="00E51C6C"/>
    <w:rsid w:val="00E5543F"/>
    <w:rsid w:val="00E6140D"/>
    <w:rsid w:val="00E61F52"/>
    <w:rsid w:val="00E63BF4"/>
    <w:rsid w:val="00E6414B"/>
    <w:rsid w:val="00E64851"/>
    <w:rsid w:val="00E67C51"/>
    <w:rsid w:val="00E67D5A"/>
    <w:rsid w:val="00E70BD3"/>
    <w:rsid w:val="00E71783"/>
    <w:rsid w:val="00E7237E"/>
    <w:rsid w:val="00E72799"/>
    <w:rsid w:val="00E72A5A"/>
    <w:rsid w:val="00E735B1"/>
    <w:rsid w:val="00E741ED"/>
    <w:rsid w:val="00E770AD"/>
    <w:rsid w:val="00E77FD2"/>
    <w:rsid w:val="00E81DCB"/>
    <w:rsid w:val="00E85206"/>
    <w:rsid w:val="00E85CD5"/>
    <w:rsid w:val="00E869BA"/>
    <w:rsid w:val="00E90B31"/>
    <w:rsid w:val="00E90BDF"/>
    <w:rsid w:val="00E92D03"/>
    <w:rsid w:val="00E94F36"/>
    <w:rsid w:val="00E95640"/>
    <w:rsid w:val="00E95883"/>
    <w:rsid w:val="00EA0A4A"/>
    <w:rsid w:val="00EA132C"/>
    <w:rsid w:val="00EA258A"/>
    <w:rsid w:val="00EA405A"/>
    <w:rsid w:val="00EA447E"/>
    <w:rsid w:val="00EA4DBC"/>
    <w:rsid w:val="00EA548C"/>
    <w:rsid w:val="00EB037F"/>
    <w:rsid w:val="00EB10EA"/>
    <w:rsid w:val="00EB31AB"/>
    <w:rsid w:val="00EB4305"/>
    <w:rsid w:val="00EB4EFE"/>
    <w:rsid w:val="00EB5751"/>
    <w:rsid w:val="00EB5E51"/>
    <w:rsid w:val="00EC175E"/>
    <w:rsid w:val="00EC22D7"/>
    <w:rsid w:val="00EC245A"/>
    <w:rsid w:val="00EC4771"/>
    <w:rsid w:val="00EC4BAE"/>
    <w:rsid w:val="00EC5BC0"/>
    <w:rsid w:val="00EC5D37"/>
    <w:rsid w:val="00EC6A3F"/>
    <w:rsid w:val="00EC7204"/>
    <w:rsid w:val="00ED186A"/>
    <w:rsid w:val="00ED1BB6"/>
    <w:rsid w:val="00ED2391"/>
    <w:rsid w:val="00ED3DA3"/>
    <w:rsid w:val="00EE1351"/>
    <w:rsid w:val="00EE1378"/>
    <w:rsid w:val="00EE184D"/>
    <w:rsid w:val="00EE328C"/>
    <w:rsid w:val="00EE6411"/>
    <w:rsid w:val="00EE66C7"/>
    <w:rsid w:val="00EE6B2F"/>
    <w:rsid w:val="00EF02F8"/>
    <w:rsid w:val="00EF0400"/>
    <w:rsid w:val="00EF1737"/>
    <w:rsid w:val="00EF52E3"/>
    <w:rsid w:val="00EF5C83"/>
    <w:rsid w:val="00EF7D7A"/>
    <w:rsid w:val="00F002B2"/>
    <w:rsid w:val="00F00AC2"/>
    <w:rsid w:val="00F01C27"/>
    <w:rsid w:val="00F0204B"/>
    <w:rsid w:val="00F0601A"/>
    <w:rsid w:val="00F0724E"/>
    <w:rsid w:val="00F105E2"/>
    <w:rsid w:val="00F12FA2"/>
    <w:rsid w:val="00F14C67"/>
    <w:rsid w:val="00F15518"/>
    <w:rsid w:val="00F17616"/>
    <w:rsid w:val="00F22E5F"/>
    <w:rsid w:val="00F233B0"/>
    <w:rsid w:val="00F24E5E"/>
    <w:rsid w:val="00F25D76"/>
    <w:rsid w:val="00F26DA9"/>
    <w:rsid w:val="00F31D64"/>
    <w:rsid w:val="00F33736"/>
    <w:rsid w:val="00F33B09"/>
    <w:rsid w:val="00F3434E"/>
    <w:rsid w:val="00F35873"/>
    <w:rsid w:val="00F358FC"/>
    <w:rsid w:val="00F36D4A"/>
    <w:rsid w:val="00F376EB"/>
    <w:rsid w:val="00F37FE5"/>
    <w:rsid w:val="00F40EC2"/>
    <w:rsid w:val="00F40EFA"/>
    <w:rsid w:val="00F41545"/>
    <w:rsid w:val="00F416D0"/>
    <w:rsid w:val="00F41EEA"/>
    <w:rsid w:val="00F4341D"/>
    <w:rsid w:val="00F4545C"/>
    <w:rsid w:val="00F45E80"/>
    <w:rsid w:val="00F50177"/>
    <w:rsid w:val="00F51132"/>
    <w:rsid w:val="00F51CC5"/>
    <w:rsid w:val="00F51F90"/>
    <w:rsid w:val="00F5382B"/>
    <w:rsid w:val="00F53BFA"/>
    <w:rsid w:val="00F559B1"/>
    <w:rsid w:val="00F567BF"/>
    <w:rsid w:val="00F56AC0"/>
    <w:rsid w:val="00F56F0E"/>
    <w:rsid w:val="00F56F47"/>
    <w:rsid w:val="00F57335"/>
    <w:rsid w:val="00F57A39"/>
    <w:rsid w:val="00F61F72"/>
    <w:rsid w:val="00F62680"/>
    <w:rsid w:val="00F63723"/>
    <w:rsid w:val="00F63BA4"/>
    <w:rsid w:val="00F64101"/>
    <w:rsid w:val="00F65E9E"/>
    <w:rsid w:val="00F6700F"/>
    <w:rsid w:val="00F7025D"/>
    <w:rsid w:val="00F72085"/>
    <w:rsid w:val="00F73FF5"/>
    <w:rsid w:val="00F74EFB"/>
    <w:rsid w:val="00F75577"/>
    <w:rsid w:val="00F76F54"/>
    <w:rsid w:val="00F7712A"/>
    <w:rsid w:val="00F803F8"/>
    <w:rsid w:val="00F804E7"/>
    <w:rsid w:val="00F80E02"/>
    <w:rsid w:val="00F8144D"/>
    <w:rsid w:val="00F82B0E"/>
    <w:rsid w:val="00F8415B"/>
    <w:rsid w:val="00F84536"/>
    <w:rsid w:val="00F85F0C"/>
    <w:rsid w:val="00F869F8"/>
    <w:rsid w:val="00F86BE3"/>
    <w:rsid w:val="00F90EFD"/>
    <w:rsid w:val="00F917F2"/>
    <w:rsid w:val="00F926D8"/>
    <w:rsid w:val="00F93F4C"/>
    <w:rsid w:val="00F9535B"/>
    <w:rsid w:val="00F95DE8"/>
    <w:rsid w:val="00F962C7"/>
    <w:rsid w:val="00F96FD2"/>
    <w:rsid w:val="00F9780A"/>
    <w:rsid w:val="00FA0E40"/>
    <w:rsid w:val="00FA13F8"/>
    <w:rsid w:val="00FA1906"/>
    <w:rsid w:val="00FA2EC0"/>
    <w:rsid w:val="00FA31AD"/>
    <w:rsid w:val="00FA47E1"/>
    <w:rsid w:val="00FA4EA3"/>
    <w:rsid w:val="00FA66A7"/>
    <w:rsid w:val="00FB13E0"/>
    <w:rsid w:val="00FB2D0D"/>
    <w:rsid w:val="00FB38D6"/>
    <w:rsid w:val="00FB4CA8"/>
    <w:rsid w:val="00FB5EBA"/>
    <w:rsid w:val="00FB6B34"/>
    <w:rsid w:val="00FC07C4"/>
    <w:rsid w:val="00FC1619"/>
    <w:rsid w:val="00FC19E8"/>
    <w:rsid w:val="00FC22CF"/>
    <w:rsid w:val="00FC4541"/>
    <w:rsid w:val="00FC5866"/>
    <w:rsid w:val="00FC5B63"/>
    <w:rsid w:val="00FC5E53"/>
    <w:rsid w:val="00FC63CC"/>
    <w:rsid w:val="00FC6A01"/>
    <w:rsid w:val="00FD0BDA"/>
    <w:rsid w:val="00FD1BB4"/>
    <w:rsid w:val="00FD3EB9"/>
    <w:rsid w:val="00FD449B"/>
    <w:rsid w:val="00FD4975"/>
    <w:rsid w:val="00FD4992"/>
    <w:rsid w:val="00FD79C6"/>
    <w:rsid w:val="00FD79FF"/>
    <w:rsid w:val="00FE196E"/>
    <w:rsid w:val="00FE297B"/>
    <w:rsid w:val="00FE371A"/>
    <w:rsid w:val="00FE3880"/>
    <w:rsid w:val="00FE47DF"/>
    <w:rsid w:val="00FE50A7"/>
    <w:rsid w:val="00FE7555"/>
    <w:rsid w:val="00FE75DD"/>
    <w:rsid w:val="00FF0C5F"/>
    <w:rsid w:val="00FF0CC1"/>
    <w:rsid w:val="00FF1E69"/>
    <w:rsid w:val="00FF274C"/>
    <w:rsid w:val="00FF2B67"/>
    <w:rsid w:val="00FF354D"/>
    <w:rsid w:val="00FF3DAD"/>
    <w:rsid w:val="00FF61E2"/>
    <w:rsid w:val="00FF63CA"/>
    <w:rsid w:val="00FF6B48"/>
    <w:rsid w:val="00FF75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stroke="f">
      <v:fill color="white" opacity="0"/>
      <v:stroke on="f"/>
      <o:colormru v:ext="edit" colors="#ddd,#cfcfcf,#cacaca,#66f,blue,#ccd3e1,#002469,#335087"/>
    </o:shapedefaults>
    <o:shapelayout v:ext="edit">
      <o:idmap v:ext="edit" data="1"/>
    </o:shapelayout>
  </w:shapeDefaults>
  <w:decimalSymbol w:val="."/>
  <w:listSeparator w:val=","/>
  <w14:docId w14:val="1CD04BED"/>
  <w15:chartTrackingRefBased/>
  <w15:docId w15:val="{4D866468-18B1-43FC-B76F-C5F45833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Default Paragraph Font" w:uiPriority="1"/>
    <w:lsdException w:name="Hyperlink" w:uiPriority="99"/>
    <w:lsdException w:name="Strong" w:uiPriority="22"/>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4A71"/>
    <w:pPr>
      <w:spacing w:after="240" w:line="280" w:lineRule="atLeast"/>
    </w:pPr>
    <w:rPr>
      <w:rFonts w:ascii="Arial" w:hAnsi="Arial"/>
      <w:sz w:val="22"/>
      <w:lang w:val="en-GB" w:eastAsia="en-GB"/>
    </w:rPr>
  </w:style>
  <w:style w:type="paragraph" w:styleId="Heading1">
    <w:name w:val="heading 1"/>
    <w:basedOn w:val="Normal"/>
    <w:next w:val="Normal"/>
    <w:link w:val="Heading1Char"/>
    <w:qFormat/>
    <w:rsid w:val="000C4A71"/>
    <w:pPr>
      <w:spacing w:before="120" w:line="240" w:lineRule="auto"/>
      <w:outlineLvl w:val="0"/>
    </w:pPr>
    <w:rPr>
      <w:b/>
      <w:color w:val="0082AB"/>
      <w:spacing w:val="20"/>
      <w:w w:val="90"/>
      <w:sz w:val="44"/>
      <w:szCs w:val="44"/>
      <w:lang w:val="en-NZ"/>
    </w:rPr>
  </w:style>
  <w:style w:type="paragraph" w:styleId="Heading2">
    <w:name w:val="heading 2"/>
    <w:basedOn w:val="Normal"/>
    <w:next w:val="Normal"/>
    <w:link w:val="Heading2Char"/>
    <w:autoRedefine/>
    <w:qFormat/>
    <w:rsid w:val="00244F20"/>
    <w:pPr>
      <w:keepNext/>
      <w:spacing w:before="120" w:after="180" w:line="240" w:lineRule="auto"/>
      <w:outlineLvl w:val="1"/>
    </w:pPr>
    <w:rPr>
      <w:b/>
      <w:color w:val="0082AB"/>
      <w:spacing w:val="20"/>
      <w:w w:val="90"/>
      <w:sz w:val="32"/>
      <w:szCs w:val="24"/>
    </w:rPr>
  </w:style>
  <w:style w:type="paragraph" w:styleId="Heading3">
    <w:name w:val="heading 3"/>
    <w:basedOn w:val="Heading2"/>
    <w:next w:val="Normal"/>
    <w:link w:val="Heading3Char"/>
    <w:qFormat/>
    <w:rsid w:val="000C4A71"/>
    <w:pPr>
      <w:spacing w:before="200"/>
      <w:outlineLvl w:val="2"/>
    </w:pPr>
    <w:rPr>
      <w:sz w:val="24"/>
      <w:szCs w:val="22"/>
    </w:rPr>
  </w:style>
  <w:style w:type="paragraph" w:styleId="Heading4">
    <w:name w:val="heading 4"/>
    <w:basedOn w:val="Normal"/>
    <w:next w:val="Normal"/>
    <w:link w:val="Heading4Char"/>
    <w:qFormat/>
    <w:rsid w:val="000C4A71"/>
    <w:pPr>
      <w:spacing w:before="120" w:after="200" w:line="240" w:lineRule="auto"/>
      <w:outlineLvl w:val="3"/>
    </w:pPr>
    <w:rPr>
      <w:b/>
      <w:bCs/>
      <w:color w:val="335087"/>
      <w:sz w:val="20"/>
    </w:rPr>
  </w:style>
  <w:style w:type="paragraph" w:styleId="Heading5">
    <w:name w:val="heading 5"/>
    <w:basedOn w:val="Normal"/>
    <w:next w:val="Normal"/>
    <w:link w:val="Heading5Char"/>
    <w:rsid w:val="000C4A71"/>
    <w:pPr>
      <w:keepNext/>
      <w:widowControl w:val="0"/>
      <w:spacing w:before="80" w:after="120"/>
      <w:outlineLvl w:val="4"/>
    </w:pPr>
    <w:rPr>
      <w:color w:val="000000"/>
      <w:szCs w:val="22"/>
    </w:rPr>
  </w:style>
  <w:style w:type="paragraph" w:styleId="Heading6">
    <w:name w:val="heading 6"/>
    <w:basedOn w:val="Normal"/>
    <w:next w:val="Normal"/>
    <w:link w:val="Heading6Char"/>
    <w:rsid w:val="000C4A71"/>
    <w:pPr>
      <w:spacing w:before="240"/>
      <w:outlineLvl w:val="5"/>
    </w:pPr>
    <w:rPr>
      <w:i/>
      <w:sz w:val="20"/>
    </w:rPr>
  </w:style>
  <w:style w:type="paragraph" w:styleId="Heading7">
    <w:name w:val="heading 7"/>
    <w:basedOn w:val="Normal"/>
    <w:next w:val="Normal"/>
    <w:link w:val="Heading7Char"/>
    <w:rsid w:val="000C4A71"/>
    <w:pPr>
      <w:spacing w:before="240"/>
      <w:outlineLvl w:val="6"/>
    </w:pPr>
    <w:rPr>
      <w:sz w:val="20"/>
    </w:rPr>
  </w:style>
  <w:style w:type="paragraph" w:styleId="Heading8">
    <w:name w:val="heading 8"/>
    <w:basedOn w:val="Normal"/>
    <w:next w:val="Normal"/>
    <w:link w:val="Heading8Char"/>
    <w:rsid w:val="000C4A71"/>
    <w:pPr>
      <w:spacing w:before="80" w:after="80"/>
      <w:outlineLvl w:val="7"/>
    </w:pPr>
    <w:rPr>
      <w:sz w:val="20"/>
    </w:rPr>
  </w:style>
  <w:style w:type="paragraph" w:styleId="Heading9">
    <w:name w:val="heading 9"/>
    <w:next w:val="Normal"/>
    <w:link w:val="Heading9Char"/>
    <w:rsid w:val="000C4A71"/>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4A71"/>
    <w:rPr>
      <w:rFonts w:ascii="Arial" w:hAnsi="Arial"/>
      <w:b/>
      <w:color w:val="0082AB"/>
      <w:spacing w:val="20"/>
      <w:w w:val="90"/>
      <w:sz w:val="44"/>
      <w:szCs w:val="44"/>
      <w:lang w:eastAsia="en-GB"/>
    </w:rPr>
  </w:style>
  <w:style w:type="character" w:customStyle="1" w:styleId="Heading2Char">
    <w:name w:val="Heading 2 Char"/>
    <w:link w:val="Heading2"/>
    <w:rsid w:val="00244F20"/>
    <w:rPr>
      <w:rFonts w:ascii="Arial" w:hAnsi="Arial"/>
      <w:b/>
      <w:color w:val="0082AB"/>
      <w:spacing w:val="20"/>
      <w:w w:val="90"/>
      <w:sz w:val="32"/>
      <w:szCs w:val="24"/>
      <w:lang w:val="en-GB" w:eastAsia="en-GB"/>
    </w:rPr>
  </w:style>
  <w:style w:type="paragraph" w:styleId="Header">
    <w:name w:val="header"/>
    <w:basedOn w:val="Normal"/>
    <w:link w:val="HeaderChar"/>
    <w:rsid w:val="000C4A71"/>
    <w:pPr>
      <w:tabs>
        <w:tab w:val="center" w:pos="4153"/>
        <w:tab w:val="right" w:pos="8306"/>
      </w:tabs>
    </w:pPr>
  </w:style>
  <w:style w:type="paragraph" w:styleId="Footer">
    <w:name w:val="footer"/>
    <w:basedOn w:val="Normal"/>
    <w:link w:val="FooterChar"/>
    <w:autoRedefine/>
    <w:rsid w:val="000C4A71"/>
    <w:pPr>
      <w:spacing w:after="0" w:line="240" w:lineRule="auto"/>
      <w:ind w:left="-1985"/>
      <w:jc w:val="right"/>
    </w:pPr>
    <w:rPr>
      <w:noProof/>
      <w:color w:val="0082AB"/>
      <w:spacing w:val="6"/>
      <w:sz w:val="16"/>
      <w:szCs w:val="16"/>
    </w:rPr>
  </w:style>
  <w:style w:type="character" w:customStyle="1" w:styleId="FooterChar">
    <w:name w:val="Footer Char"/>
    <w:link w:val="Footer"/>
    <w:rsid w:val="000C4A71"/>
    <w:rPr>
      <w:rFonts w:ascii="Arial" w:hAnsi="Arial"/>
      <w:noProof/>
      <w:color w:val="0082AB"/>
      <w:spacing w:val="6"/>
      <w:sz w:val="16"/>
      <w:szCs w:val="16"/>
      <w:lang w:val="en-GB" w:eastAsia="en-GB"/>
    </w:rPr>
  </w:style>
  <w:style w:type="character" w:styleId="Hyperlink">
    <w:name w:val="Hyperlink"/>
    <w:uiPriority w:val="99"/>
    <w:rsid w:val="000C4A71"/>
    <w:rPr>
      <w:color w:val="0082AB"/>
      <w:u w:val="single"/>
    </w:rPr>
  </w:style>
  <w:style w:type="paragraph" w:styleId="BalloonText">
    <w:name w:val="Balloon Text"/>
    <w:basedOn w:val="Normal"/>
    <w:link w:val="BalloonTextChar"/>
    <w:semiHidden/>
    <w:rsid w:val="000C4A71"/>
    <w:rPr>
      <w:rFonts w:ascii="Tahoma" w:hAnsi="Tahoma" w:cs="Tahoma"/>
      <w:sz w:val="16"/>
      <w:szCs w:val="16"/>
    </w:rPr>
  </w:style>
  <w:style w:type="paragraph" w:styleId="Caption">
    <w:name w:val="caption"/>
    <w:basedOn w:val="Normal"/>
    <w:next w:val="Normal"/>
    <w:rsid w:val="000C4A71"/>
    <w:rPr>
      <w:b/>
      <w:bCs/>
      <w:sz w:val="20"/>
    </w:rPr>
  </w:style>
  <w:style w:type="paragraph" w:styleId="FootnoteText">
    <w:name w:val="footnote text"/>
    <w:basedOn w:val="Normal"/>
    <w:link w:val="FootnoteTextChar"/>
    <w:rsid w:val="000C4A71"/>
    <w:pPr>
      <w:tabs>
        <w:tab w:val="left" w:pos="425"/>
      </w:tabs>
      <w:spacing w:after="60" w:line="240" w:lineRule="auto"/>
      <w:ind w:left="425" w:hanging="425"/>
    </w:pPr>
    <w:rPr>
      <w:sz w:val="18"/>
    </w:rPr>
  </w:style>
  <w:style w:type="character" w:customStyle="1" w:styleId="FootnoteTextChar">
    <w:name w:val="Footnote Text Char"/>
    <w:link w:val="FootnoteText"/>
    <w:rsid w:val="000C4A71"/>
    <w:rPr>
      <w:rFonts w:ascii="Arial" w:hAnsi="Arial"/>
      <w:sz w:val="18"/>
      <w:lang w:val="en-GB" w:eastAsia="en-GB"/>
    </w:rPr>
  </w:style>
  <w:style w:type="character" w:styleId="FootnoteReference">
    <w:name w:val="footnote reference"/>
    <w:semiHidden/>
    <w:rsid w:val="000C4A71"/>
    <w:rPr>
      <w:rFonts w:ascii="Arial" w:hAnsi="Arial"/>
      <w:color w:val="auto"/>
      <w:position w:val="8"/>
      <w:sz w:val="16"/>
    </w:rPr>
  </w:style>
  <w:style w:type="paragraph" w:styleId="TOC1">
    <w:name w:val="toc 1"/>
    <w:basedOn w:val="Normal"/>
    <w:next w:val="Normal"/>
    <w:uiPriority w:val="39"/>
    <w:rsid w:val="000C4A71"/>
    <w:pPr>
      <w:tabs>
        <w:tab w:val="right" w:leader="dot" w:pos="9214"/>
      </w:tabs>
      <w:spacing w:before="240" w:after="120"/>
      <w:ind w:left="284" w:right="284"/>
    </w:pPr>
    <w:rPr>
      <w:bCs/>
      <w:noProof/>
      <w:sz w:val="24"/>
      <w:szCs w:val="44"/>
    </w:rPr>
  </w:style>
  <w:style w:type="paragraph" w:styleId="TOC2">
    <w:name w:val="toc 2"/>
    <w:basedOn w:val="Normal"/>
    <w:next w:val="Normal"/>
    <w:uiPriority w:val="39"/>
    <w:rsid w:val="000C4A71"/>
    <w:pPr>
      <w:tabs>
        <w:tab w:val="right" w:leader="dot" w:pos="9214"/>
      </w:tabs>
      <w:spacing w:before="100" w:after="100"/>
      <w:ind w:left="709" w:right="284"/>
    </w:pPr>
    <w:rPr>
      <w:noProof/>
      <w:sz w:val="24"/>
    </w:rPr>
  </w:style>
  <w:style w:type="paragraph" w:styleId="TOC3">
    <w:name w:val="toc 3"/>
    <w:basedOn w:val="Normal"/>
    <w:next w:val="Normal"/>
    <w:rsid w:val="000C4A71"/>
    <w:pPr>
      <w:tabs>
        <w:tab w:val="left" w:leader="dot" w:pos="8646"/>
        <w:tab w:val="right" w:pos="9072"/>
      </w:tabs>
      <w:ind w:left="1418" w:right="850"/>
    </w:pPr>
  </w:style>
  <w:style w:type="paragraph" w:styleId="CommentText">
    <w:name w:val="annotation text"/>
    <w:basedOn w:val="Normal"/>
    <w:link w:val="CommentTextChar"/>
    <w:semiHidden/>
    <w:rsid w:val="000C4A71"/>
    <w:rPr>
      <w:sz w:val="20"/>
    </w:rPr>
  </w:style>
  <w:style w:type="character" w:customStyle="1" w:styleId="CommentTextChar">
    <w:name w:val="Comment Text Char"/>
    <w:link w:val="CommentText"/>
    <w:semiHidden/>
    <w:rsid w:val="000C4A71"/>
    <w:rPr>
      <w:rFonts w:ascii="Arial" w:hAnsi="Arial"/>
      <w:lang w:val="en-GB" w:eastAsia="en-GB"/>
    </w:rPr>
  </w:style>
  <w:style w:type="paragraph" w:styleId="CommentSubject">
    <w:name w:val="annotation subject"/>
    <w:basedOn w:val="CommentText"/>
    <w:next w:val="CommentText"/>
    <w:link w:val="CommentSubjectChar"/>
    <w:semiHidden/>
    <w:rsid w:val="000C4A71"/>
    <w:rPr>
      <w:b/>
      <w:bCs/>
    </w:rPr>
  </w:style>
  <w:style w:type="paragraph" w:styleId="DocumentMap">
    <w:name w:val="Document Map"/>
    <w:basedOn w:val="Normal"/>
    <w:link w:val="DocumentMapChar"/>
    <w:semiHidden/>
    <w:rsid w:val="000C4A71"/>
    <w:pPr>
      <w:shd w:val="clear" w:color="auto" w:fill="000080"/>
    </w:pPr>
    <w:rPr>
      <w:rFonts w:ascii="Tahoma" w:hAnsi="Tahoma" w:cs="Tahoma"/>
      <w:sz w:val="20"/>
    </w:rPr>
  </w:style>
  <w:style w:type="paragraph" w:customStyle="1" w:styleId="Boxtext">
    <w:name w:val="Box text"/>
    <w:basedOn w:val="Normal"/>
    <w:rsid w:val="000C4A71"/>
    <w:pPr>
      <w:pBdr>
        <w:top w:val="single" w:sz="4" w:space="10" w:color="EBF5F8"/>
        <w:left w:val="single" w:sz="4" w:space="4" w:color="EBF5F8"/>
        <w:bottom w:val="single" w:sz="4" w:space="10" w:color="EBF5F8"/>
        <w:right w:val="single" w:sz="4" w:space="4" w:color="EBF5F8"/>
      </w:pBdr>
      <w:shd w:val="clear" w:color="auto" w:fill="EBF5F8"/>
      <w:spacing w:after="80"/>
      <w:ind w:left="142" w:right="142"/>
    </w:pPr>
    <w:rPr>
      <w:color w:val="000000"/>
      <w:szCs w:val="22"/>
    </w:rPr>
  </w:style>
  <w:style w:type="paragraph" w:customStyle="1" w:styleId="Boxbullet">
    <w:name w:val="Box bullet"/>
    <w:basedOn w:val="Boxtext"/>
    <w:rsid w:val="000C4A71"/>
    <w:pPr>
      <w:numPr>
        <w:numId w:val="43"/>
      </w:numPr>
      <w:tabs>
        <w:tab w:val="clear" w:pos="644"/>
        <w:tab w:val="num" w:pos="426"/>
      </w:tabs>
      <w:spacing w:before="80"/>
    </w:pPr>
  </w:style>
  <w:style w:type="paragraph" w:customStyle="1" w:styleId="Boxheading">
    <w:name w:val="Box heading"/>
    <w:basedOn w:val="Normal"/>
    <w:next w:val="Boxtext"/>
    <w:autoRedefine/>
    <w:rsid w:val="000C4A71"/>
    <w:pPr>
      <w:spacing w:before="180" w:after="60" w:line="240" w:lineRule="auto"/>
      <w:ind w:left="284" w:right="284"/>
    </w:pPr>
    <w:rPr>
      <w:rFonts w:ascii="Arial Narrow" w:hAnsi="Arial Narrow"/>
      <w:b/>
      <w:bCs/>
      <w:color w:val="335087"/>
      <w:spacing w:val="10"/>
      <w:szCs w:val="22"/>
    </w:rPr>
  </w:style>
  <w:style w:type="paragraph" w:customStyle="1" w:styleId="Bullet-list">
    <w:name w:val="Bullet-list"/>
    <w:qFormat/>
    <w:rsid w:val="000C4A71"/>
    <w:pPr>
      <w:numPr>
        <w:numId w:val="45"/>
      </w:numPr>
      <w:spacing w:after="180" w:line="280" w:lineRule="exact"/>
    </w:pPr>
    <w:rPr>
      <w:rFonts w:ascii="Arial" w:hAnsi="Arial"/>
      <w:sz w:val="22"/>
      <w:lang w:val="en-AU" w:eastAsia="en-US"/>
    </w:rPr>
  </w:style>
  <w:style w:type="paragraph" w:customStyle="1" w:styleId="EvenFooter">
    <w:name w:val="Even Footer"/>
    <w:basedOn w:val="Footer"/>
    <w:rsid w:val="000C4A71"/>
    <w:pPr>
      <w:jc w:val="left"/>
    </w:pPr>
  </w:style>
  <w:style w:type="table" w:styleId="TableGrid">
    <w:name w:val="Table Grid"/>
    <w:basedOn w:val="TableNormal"/>
    <w:rsid w:val="000C4A7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0C4A71"/>
    <w:pPr>
      <w:keepNext/>
      <w:spacing w:after="0" w:line="240" w:lineRule="auto"/>
    </w:pPr>
    <w:rPr>
      <w:sz w:val="20"/>
    </w:rPr>
  </w:style>
  <w:style w:type="paragraph" w:customStyle="1" w:styleId="TableText">
    <w:name w:val="Table Text"/>
    <w:basedOn w:val="Normal"/>
    <w:link w:val="TableTextChar"/>
    <w:rsid w:val="000C4A71"/>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link w:val="TableText"/>
    <w:rsid w:val="00E25EF0"/>
    <w:rPr>
      <w:rFonts w:ascii="Arial" w:hAnsi="Arial" w:cs="GillSans"/>
      <w:szCs w:val="22"/>
      <w:lang w:val="en-GB" w:eastAsia="en-AU"/>
    </w:rPr>
  </w:style>
  <w:style w:type="paragraph" w:customStyle="1" w:styleId="Evenfooter-wide">
    <w:name w:val="Even footer-wide"/>
    <w:basedOn w:val="EvenFooter"/>
    <w:rsid w:val="000C4A71"/>
  </w:style>
  <w:style w:type="character" w:styleId="CommentReference">
    <w:name w:val="annotation reference"/>
    <w:semiHidden/>
    <w:rsid w:val="000C4A71"/>
    <w:rPr>
      <w:sz w:val="16"/>
      <w:szCs w:val="16"/>
    </w:rPr>
  </w:style>
  <w:style w:type="character" w:styleId="FollowedHyperlink">
    <w:name w:val="FollowedHyperlink"/>
    <w:rsid w:val="000C4A71"/>
    <w:rPr>
      <w:color w:val="800080"/>
      <w:u w:val="single"/>
    </w:rPr>
  </w:style>
  <w:style w:type="paragraph" w:styleId="List">
    <w:name w:val="List"/>
    <w:basedOn w:val="Normal"/>
    <w:rsid w:val="000C4A71"/>
    <w:pPr>
      <w:ind w:left="283" w:hanging="283"/>
    </w:pPr>
  </w:style>
  <w:style w:type="paragraph" w:customStyle="1" w:styleId="Boxindent">
    <w:name w:val="Box indent"/>
    <w:basedOn w:val="Boxtext"/>
    <w:rsid w:val="000C4A71"/>
    <w:pPr>
      <w:tabs>
        <w:tab w:val="left" w:pos="426"/>
      </w:tabs>
      <w:ind w:left="426" w:hanging="284"/>
    </w:pPr>
  </w:style>
  <w:style w:type="paragraph" w:styleId="Title">
    <w:name w:val="Title"/>
    <w:basedOn w:val="Normal"/>
    <w:link w:val="TitleChar"/>
    <w:rsid w:val="000C4A71"/>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0C4A71"/>
    <w:pPr>
      <w:spacing w:before="240" w:after="1200"/>
      <w:ind w:left="-181"/>
      <w:jc w:val="right"/>
    </w:pPr>
    <w:rPr>
      <w:rFonts w:cs="Arial"/>
      <w:i/>
      <w:sz w:val="40"/>
      <w:szCs w:val="22"/>
    </w:rPr>
  </w:style>
  <w:style w:type="paragraph" w:customStyle="1" w:styleId="spacer">
    <w:name w:val="spacer"/>
    <w:basedOn w:val="Normal"/>
    <w:qFormat/>
    <w:rsid w:val="000C4A71"/>
    <w:pPr>
      <w:spacing w:after="0" w:line="240" w:lineRule="auto"/>
    </w:pPr>
    <w:rPr>
      <w:sz w:val="16"/>
      <w:szCs w:val="22"/>
      <w:lang w:eastAsia="en-AU"/>
    </w:rPr>
  </w:style>
  <w:style w:type="paragraph" w:styleId="Subtitle">
    <w:name w:val="Subtitle"/>
    <w:basedOn w:val="Title"/>
    <w:next w:val="Normal"/>
    <w:link w:val="SubtitleChar"/>
    <w:rsid w:val="000C4A71"/>
    <w:pPr>
      <w:spacing w:before="360" w:line="600" w:lineRule="atLeast"/>
    </w:pPr>
    <w:rPr>
      <w:sz w:val="36"/>
      <w:szCs w:val="36"/>
    </w:rPr>
  </w:style>
  <w:style w:type="character" w:customStyle="1" w:styleId="SubtitleChar">
    <w:name w:val="Subtitle Char"/>
    <w:link w:val="Subtitle"/>
    <w:rsid w:val="000C4A71"/>
    <w:rPr>
      <w:rFonts w:ascii="Arial" w:hAnsi="Arial" w:cs="Arial"/>
      <w:color w:val="002469"/>
      <w:spacing w:val="40"/>
      <w:w w:val="90"/>
      <w:sz w:val="36"/>
      <w:szCs w:val="36"/>
      <w:lang w:val="en-GB" w:eastAsia="en-GB"/>
    </w:rPr>
  </w:style>
  <w:style w:type="paragraph" w:customStyle="1" w:styleId="TableBullet1">
    <w:name w:val="Table Bullet 1"/>
    <w:basedOn w:val="TableText"/>
    <w:rsid w:val="00E25EF0"/>
    <w:pPr>
      <w:numPr>
        <w:numId w:val="4"/>
      </w:numPr>
      <w:autoSpaceDE/>
      <w:autoSpaceDN/>
      <w:adjustRightInd/>
      <w:spacing w:before="30" w:after="30" w:line="240" w:lineRule="auto"/>
    </w:pPr>
    <w:rPr>
      <w:rFonts w:ascii="Garamond" w:hAnsi="Garamond" w:cs="Times New Roman"/>
      <w:sz w:val="22"/>
      <w:szCs w:val="24"/>
      <w:lang w:val="en-NZ" w:eastAsia="en-NZ"/>
    </w:rPr>
  </w:style>
  <w:style w:type="paragraph" w:customStyle="1" w:styleId="TableBullet2">
    <w:name w:val="Table Bullet 2"/>
    <w:basedOn w:val="TableText"/>
    <w:rsid w:val="00E25EF0"/>
    <w:pPr>
      <w:numPr>
        <w:ilvl w:val="1"/>
        <w:numId w:val="4"/>
      </w:numPr>
      <w:autoSpaceDE/>
      <w:autoSpaceDN/>
      <w:adjustRightInd/>
      <w:spacing w:before="30" w:after="30" w:line="240" w:lineRule="auto"/>
    </w:pPr>
    <w:rPr>
      <w:rFonts w:ascii="Garamond" w:hAnsi="Garamond" w:cs="Times New Roman"/>
      <w:sz w:val="22"/>
      <w:szCs w:val="24"/>
      <w:lang w:val="en-NZ" w:eastAsia="en-NZ"/>
    </w:rPr>
  </w:style>
  <w:style w:type="paragraph" w:customStyle="1" w:styleId="Intro">
    <w:name w:val="Intro"/>
    <w:basedOn w:val="Normal"/>
    <w:qFormat/>
    <w:rsid w:val="008D5CD9"/>
    <w:pPr>
      <w:spacing w:line="360" w:lineRule="atLeast"/>
    </w:pPr>
    <w:rPr>
      <w:color w:val="335087"/>
      <w:sz w:val="24"/>
    </w:rPr>
  </w:style>
  <w:style w:type="paragraph" w:styleId="ListParagraph">
    <w:name w:val="List Paragraph"/>
    <w:basedOn w:val="Normal"/>
    <w:link w:val="ListParagraphChar"/>
    <w:uiPriority w:val="34"/>
    <w:qFormat/>
    <w:rsid w:val="000C4A71"/>
    <w:pPr>
      <w:spacing w:after="0"/>
      <w:ind w:left="720"/>
      <w:contextualSpacing/>
    </w:pPr>
    <w:rPr>
      <w:rFonts w:cs="Arial"/>
    </w:rPr>
  </w:style>
  <w:style w:type="paragraph" w:customStyle="1" w:styleId="Text">
    <w:name w:val="Text"/>
    <w:basedOn w:val="Normal"/>
    <w:link w:val="TextChar"/>
    <w:rsid w:val="008D5CD9"/>
    <w:pPr>
      <w:spacing w:before="120" w:after="120" w:line="300" w:lineRule="exact"/>
      <w:jc w:val="both"/>
    </w:pPr>
    <w:rPr>
      <w:lang w:eastAsia="en-US"/>
    </w:rPr>
  </w:style>
  <w:style w:type="character" w:customStyle="1" w:styleId="TextChar">
    <w:name w:val="Text Char"/>
    <w:link w:val="Text"/>
    <w:rsid w:val="008D5CD9"/>
    <w:rPr>
      <w:rFonts w:ascii="Arial" w:hAnsi="Arial"/>
      <w:sz w:val="22"/>
      <w:lang w:val="en-GB" w:eastAsia="en-US"/>
    </w:rPr>
  </w:style>
  <w:style w:type="paragraph" w:customStyle="1" w:styleId="TableBullet">
    <w:name w:val="Table Bullet"/>
    <w:basedOn w:val="Normal"/>
    <w:rsid w:val="001F492F"/>
    <w:pPr>
      <w:numPr>
        <w:ilvl w:val="1"/>
        <w:numId w:val="33"/>
      </w:numPr>
    </w:pPr>
  </w:style>
  <w:style w:type="paragraph" w:styleId="NoSpacing">
    <w:name w:val="No Spacing"/>
    <w:uiPriority w:val="1"/>
    <w:qFormat/>
    <w:rsid w:val="00447DD2"/>
    <w:rPr>
      <w:rFonts w:ascii="Calibri" w:hAnsi="Calibri"/>
      <w:sz w:val="22"/>
      <w:szCs w:val="22"/>
      <w:lang w:val="en-US" w:eastAsia="en-US" w:bidi="en-US"/>
    </w:rPr>
  </w:style>
  <w:style w:type="paragraph" w:styleId="Revision">
    <w:name w:val="Revision"/>
    <w:hidden/>
    <w:uiPriority w:val="99"/>
    <w:semiHidden/>
    <w:rsid w:val="009215E1"/>
    <w:rPr>
      <w:rFonts w:ascii="Arial" w:hAnsi="Arial"/>
      <w:sz w:val="22"/>
      <w:lang w:val="en-GB" w:eastAsia="en-GB"/>
    </w:rPr>
  </w:style>
  <w:style w:type="paragraph" w:customStyle="1" w:styleId="Default">
    <w:name w:val="Default"/>
    <w:rsid w:val="00D62C3A"/>
    <w:pPr>
      <w:autoSpaceDE w:val="0"/>
      <w:autoSpaceDN w:val="0"/>
      <w:adjustRightInd w:val="0"/>
    </w:pPr>
    <w:rPr>
      <w:rFonts w:ascii="Tahoma" w:hAnsi="Tahoma" w:cs="Tahoma"/>
      <w:color w:val="000000"/>
      <w:sz w:val="24"/>
      <w:szCs w:val="24"/>
    </w:rPr>
  </w:style>
  <w:style w:type="character" w:customStyle="1" w:styleId="BalloonTextChar">
    <w:name w:val="Balloon Text Char"/>
    <w:link w:val="BalloonText"/>
    <w:semiHidden/>
    <w:rsid w:val="000C4A71"/>
    <w:rPr>
      <w:rFonts w:ascii="Tahoma" w:hAnsi="Tahoma" w:cs="Tahoma"/>
      <w:sz w:val="16"/>
      <w:szCs w:val="16"/>
      <w:lang w:val="en-GB" w:eastAsia="en-GB"/>
    </w:rPr>
  </w:style>
  <w:style w:type="paragraph" w:customStyle="1" w:styleId="Bulletlistlevel2">
    <w:name w:val="Bullet list level 2"/>
    <w:basedOn w:val="Normal"/>
    <w:qFormat/>
    <w:rsid w:val="000C4A71"/>
    <w:pPr>
      <w:numPr>
        <w:ilvl w:val="1"/>
        <w:numId w:val="44"/>
      </w:numPr>
      <w:tabs>
        <w:tab w:val="clear" w:pos="1440"/>
      </w:tabs>
      <w:spacing w:after="180" w:line="280" w:lineRule="exact"/>
      <w:ind w:left="924" w:hanging="357"/>
    </w:pPr>
    <w:rPr>
      <w:rFonts w:cs="Arial"/>
      <w:lang w:eastAsia="en-AU"/>
    </w:rPr>
  </w:style>
  <w:style w:type="character" w:customStyle="1" w:styleId="CommentSubjectChar">
    <w:name w:val="Comment Subject Char"/>
    <w:link w:val="CommentSubject"/>
    <w:semiHidden/>
    <w:rsid w:val="000C4A71"/>
    <w:rPr>
      <w:rFonts w:ascii="Arial" w:hAnsi="Arial"/>
      <w:b/>
      <w:bCs/>
      <w:lang w:val="en-GB" w:eastAsia="en-GB"/>
    </w:rPr>
  </w:style>
  <w:style w:type="character" w:customStyle="1" w:styleId="DocumentMapChar">
    <w:name w:val="Document Map Char"/>
    <w:link w:val="DocumentMap"/>
    <w:semiHidden/>
    <w:rsid w:val="000C4A71"/>
    <w:rPr>
      <w:rFonts w:ascii="Tahoma" w:hAnsi="Tahoma" w:cs="Tahoma"/>
      <w:shd w:val="clear" w:color="auto" w:fill="000080"/>
      <w:lang w:val="en-GB" w:eastAsia="en-GB"/>
    </w:rPr>
  </w:style>
  <w:style w:type="character" w:customStyle="1" w:styleId="HeaderChar">
    <w:name w:val="Header Char"/>
    <w:link w:val="Header"/>
    <w:rsid w:val="000C4A71"/>
    <w:rPr>
      <w:rFonts w:ascii="Arial" w:hAnsi="Arial"/>
      <w:sz w:val="22"/>
      <w:lang w:val="en-GB" w:eastAsia="en-GB"/>
    </w:rPr>
  </w:style>
  <w:style w:type="character" w:customStyle="1" w:styleId="Heading3Char">
    <w:name w:val="Heading 3 Char"/>
    <w:link w:val="Heading3"/>
    <w:rsid w:val="000C4A71"/>
    <w:rPr>
      <w:rFonts w:ascii="Arial" w:hAnsi="Arial"/>
      <w:b/>
      <w:color w:val="0082AB"/>
      <w:spacing w:val="20"/>
      <w:w w:val="90"/>
      <w:sz w:val="24"/>
      <w:szCs w:val="22"/>
      <w:lang w:val="en-GB" w:eastAsia="en-GB"/>
    </w:rPr>
  </w:style>
  <w:style w:type="character" w:customStyle="1" w:styleId="Heading4Char">
    <w:name w:val="Heading 4 Char"/>
    <w:link w:val="Heading4"/>
    <w:rsid w:val="000C4A71"/>
    <w:rPr>
      <w:rFonts w:ascii="Arial" w:hAnsi="Arial"/>
      <w:b/>
      <w:bCs/>
      <w:color w:val="335087"/>
      <w:lang w:val="en-GB" w:eastAsia="en-GB"/>
    </w:rPr>
  </w:style>
  <w:style w:type="character" w:customStyle="1" w:styleId="Heading5Char">
    <w:name w:val="Heading 5 Char"/>
    <w:link w:val="Heading5"/>
    <w:rsid w:val="000C4A71"/>
    <w:rPr>
      <w:rFonts w:ascii="Arial" w:hAnsi="Arial"/>
      <w:color w:val="000000"/>
      <w:sz w:val="22"/>
      <w:szCs w:val="22"/>
      <w:lang w:val="en-GB" w:eastAsia="en-GB"/>
    </w:rPr>
  </w:style>
  <w:style w:type="character" w:customStyle="1" w:styleId="Heading6Char">
    <w:name w:val="Heading 6 Char"/>
    <w:link w:val="Heading6"/>
    <w:rsid w:val="000C4A71"/>
    <w:rPr>
      <w:rFonts w:ascii="Arial" w:hAnsi="Arial"/>
      <w:i/>
      <w:lang w:val="en-GB" w:eastAsia="en-GB"/>
    </w:rPr>
  </w:style>
  <w:style w:type="character" w:customStyle="1" w:styleId="Heading7Char">
    <w:name w:val="Heading 7 Char"/>
    <w:link w:val="Heading7"/>
    <w:rsid w:val="000C4A71"/>
    <w:rPr>
      <w:rFonts w:ascii="Arial" w:hAnsi="Arial"/>
      <w:lang w:val="en-GB" w:eastAsia="en-GB"/>
    </w:rPr>
  </w:style>
  <w:style w:type="character" w:customStyle="1" w:styleId="Heading8Char">
    <w:name w:val="Heading 8 Char"/>
    <w:link w:val="Heading8"/>
    <w:rsid w:val="000C4A71"/>
    <w:rPr>
      <w:rFonts w:ascii="Arial" w:hAnsi="Arial"/>
      <w:lang w:val="en-GB" w:eastAsia="en-GB"/>
    </w:rPr>
  </w:style>
  <w:style w:type="character" w:customStyle="1" w:styleId="Heading9Char">
    <w:name w:val="Heading 9 Char"/>
    <w:link w:val="Heading9"/>
    <w:rsid w:val="000C4A71"/>
    <w:rPr>
      <w:rFonts w:ascii="Arial" w:hAnsi="Arial"/>
      <w:b/>
      <w:i/>
      <w:lang w:val="en-AU" w:eastAsia="en-US"/>
    </w:rPr>
  </w:style>
  <w:style w:type="character" w:customStyle="1" w:styleId="ListParagraphChar">
    <w:name w:val="List Paragraph Char"/>
    <w:link w:val="ListParagraph"/>
    <w:uiPriority w:val="34"/>
    <w:locked/>
    <w:rsid w:val="000C4A71"/>
    <w:rPr>
      <w:rFonts w:ascii="Arial" w:hAnsi="Arial" w:cs="Arial"/>
      <w:sz w:val="22"/>
      <w:lang w:val="en-GB" w:eastAsia="en-GB"/>
    </w:rPr>
  </w:style>
  <w:style w:type="character" w:customStyle="1" w:styleId="TitleChar">
    <w:name w:val="Title Char"/>
    <w:link w:val="Title"/>
    <w:rsid w:val="000C4A71"/>
    <w:rPr>
      <w:rFonts w:ascii="Arial" w:hAnsi="Arial" w:cs="Arial"/>
      <w:color w:val="002469"/>
      <w:spacing w:val="40"/>
      <w:w w:val="90"/>
      <w:sz w:val="48"/>
      <w:szCs w:val="48"/>
      <w:lang w:val="en-GB" w:eastAsia="en-GB"/>
    </w:rPr>
  </w:style>
  <w:style w:type="paragraph" w:customStyle="1" w:styleId="TableHeadings">
    <w:name w:val="Table Headings"/>
    <w:basedOn w:val="Normal"/>
    <w:qFormat/>
    <w:rsid w:val="000C4A71"/>
    <w:pPr>
      <w:spacing w:before="60" w:after="60"/>
    </w:pPr>
    <w:rPr>
      <w:rFonts w:cs="Arial"/>
      <w:b/>
      <w:color w:val="000000"/>
    </w:rPr>
  </w:style>
  <w:style w:type="paragraph" w:customStyle="1" w:styleId="Bullet">
    <w:name w:val="Bullet"/>
    <w:basedOn w:val="Normal"/>
    <w:rsid w:val="00E95640"/>
    <w:pPr>
      <w:keepLines/>
      <w:numPr>
        <w:numId w:val="46"/>
      </w:numPr>
      <w:spacing w:before="80" w:after="80" w:line="240" w:lineRule="auto"/>
      <w:ind w:left="567" w:hanging="567"/>
    </w:pPr>
    <w:rPr>
      <w:rFonts w:eastAsia="Calibri" w:cs="Arial"/>
      <w:szCs w:val="22"/>
      <w:lang w:val="en-NZ" w:eastAsia="en-US"/>
    </w:rPr>
  </w:style>
  <w:style w:type="paragraph" w:customStyle="1" w:styleId="Bulletlevel2">
    <w:name w:val="Bullet level 2"/>
    <w:basedOn w:val="Normal"/>
    <w:uiPriority w:val="1"/>
    <w:semiHidden/>
    <w:rsid w:val="00AE1EE7"/>
    <w:pPr>
      <w:keepLines/>
      <w:numPr>
        <w:ilvl w:val="1"/>
        <w:numId w:val="46"/>
      </w:numPr>
      <w:spacing w:before="80" w:after="80" w:line="240" w:lineRule="auto"/>
      <w:ind w:left="1440" w:hanging="360"/>
    </w:pPr>
    <w:rPr>
      <w:rFonts w:ascii="Calibri" w:eastAsia="Calibri" w:hAnsi="Calibri"/>
      <w:sz w:val="24"/>
      <w:szCs w:val="24"/>
      <w:lang w:val="en-NZ" w:eastAsia="en-US"/>
    </w:rPr>
  </w:style>
  <w:style w:type="paragraph" w:customStyle="1" w:styleId="Bulletlevel3">
    <w:name w:val="Bullet level 3"/>
    <w:basedOn w:val="Normal"/>
    <w:uiPriority w:val="1"/>
    <w:semiHidden/>
    <w:rsid w:val="00AE1EE7"/>
    <w:pPr>
      <w:keepLines/>
      <w:numPr>
        <w:ilvl w:val="2"/>
        <w:numId w:val="46"/>
      </w:numPr>
      <w:spacing w:before="80" w:after="80" w:line="240" w:lineRule="auto"/>
      <w:ind w:left="2160" w:hanging="360"/>
    </w:pPr>
    <w:rPr>
      <w:rFonts w:ascii="Calibri" w:eastAsia="Calibri" w:hAnsi="Calibri"/>
      <w:sz w:val="24"/>
      <w:szCs w:val="24"/>
      <w:lang w:val="en-NZ" w:eastAsia="en-US"/>
    </w:rPr>
  </w:style>
  <w:style w:type="paragraph" w:customStyle="1" w:styleId="Numberedpara3level1">
    <w:name w:val="Numbered para (3) level 1"/>
    <w:basedOn w:val="Normal"/>
    <w:qFormat/>
    <w:rsid w:val="00AE1EE7"/>
    <w:pPr>
      <w:keepLines/>
      <w:numPr>
        <w:numId w:val="47"/>
      </w:numPr>
      <w:spacing w:before="120" w:after="120" w:line="240" w:lineRule="auto"/>
      <w:ind w:left="720" w:hanging="360"/>
    </w:pPr>
    <w:rPr>
      <w:rFonts w:ascii="Calibri" w:eastAsia="Calibri" w:hAnsi="Calibri"/>
      <w:sz w:val="24"/>
      <w:szCs w:val="24"/>
      <w:lang w:val="en-NZ" w:eastAsia="en-US"/>
    </w:rPr>
  </w:style>
  <w:style w:type="paragraph" w:customStyle="1" w:styleId="Numberedpara3level211">
    <w:name w:val="Numbered para (3) level 2 (1.1)"/>
    <w:basedOn w:val="Normal"/>
    <w:qFormat/>
    <w:rsid w:val="00AE1EE7"/>
    <w:pPr>
      <w:keepLines/>
      <w:numPr>
        <w:ilvl w:val="1"/>
        <w:numId w:val="47"/>
      </w:numPr>
      <w:spacing w:before="120" w:after="120" w:line="240" w:lineRule="auto"/>
      <w:ind w:left="1440" w:hanging="360"/>
    </w:pPr>
    <w:rPr>
      <w:rFonts w:ascii="Calibri" w:eastAsia="Calibri" w:hAnsi="Calibri"/>
      <w:sz w:val="24"/>
      <w:szCs w:val="24"/>
      <w:lang w:val="en-NZ" w:eastAsia="en-US"/>
    </w:rPr>
  </w:style>
  <w:style w:type="paragraph" w:customStyle="1" w:styleId="Numberedpara3level3111">
    <w:name w:val="Numbered para (3) level 3 (1.1.1)"/>
    <w:basedOn w:val="Normal"/>
    <w:qFormat/>
    <w:rsid w:val="00AE1EE7"/>
    <w:pPr>
      <w:keepLines/>
      <w:numPr>
        <w:ilvl w:val="2"/>
        <w:numId w:val="47"/>
      </w:numPr>
      <w:tabs>
        <w:tab w:val="clear" w:pos="1247"/>
      </w:tabs>
      <w:spacing w:before="120" w:after="120" w:line="240" w:lineRule="auto"/>
      <w:ind w:left="2160" w:hanging="360"/>
    </w:pPr>
    <w:rPr>
      <w:rFonts w:ascii="Calibri" w:eastAsia="Calibri" w:hAnsi="Calibri"/>
      <w:sz w:val="24"/>
      <w:szCs w:val="24"/>
      <w:lang w:val="en-NZ" w:eastAsia="en-US"/>
    </w:rPr>
  </w:style>
  <w:style w:type="table" w:customStyle="1" w:styleId="ListTable31">
    <w:name w:val="List Table 31"/>
    <w:basedOn w:val="TableNormal"/>
    <w:next w:val="ListTable3"/>
    <w:uiPriority w:val="48"/>
    <w:rsid w:val="00240FAD"/>
    <w:pPr>
      <w:spacing w:before="120"/>
    </w:pPr>
    <w:rPr>
      <w:rFonts w:ascii="Calibri" w:eastAsia="Calibri" w:hAnsi="Calibri"/>
      <w:sz w:val="24"/>
      <w:szCs w:val="24"/>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240FAD"/>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13835">
      <w:bodyDiv w:val="1"/>
      <w:marLeft w:val="0"/>
      <w:marRight w:val="0"/>
      <w:marTop w:val="0"/>
      <w:marBottom w:val="0"/>
      <w:divBdr>
        <w:top w:val="none" w:sz="0" w:space="0" w:color="auto"/>
        <w:left w:val="none" w:sz="0" w:space="0" w:color="auto"/>
        <w:bottom w:val="none" w:sz="0" w:space="0" w:color="auto"/>
        <w:right w:val="none" w:sz="0" w:space="0" w:color="auto"/>
      </w:divBdr>
      <w:divsChild>
        <w:div w:id="671572252">
          <w:marLeft w:val="0"/>
          <w:marRight w:val="0"/>
          <w:marTop w:val="0"/>
          <w:marBottom w:val="0"/>
          <w:divBdr>
            <w:top w:val="none" w:sz="0" w:space="0" w:color="auto"/>
            <w:left w:val="none" w:sz="0" w:space="0" w:color="auto"/>
            <w:bottom w:val="none" w:sz="0" w:space="0" w:color="auto"/>
            <w:right w:val="none" w:sz="0" w:space="0" w:color="auto"/>
          </w:divBdr>
          <w:divsChild>
            <w:div w:id="859707625">
              <w:marLeft w:val="0"/>
              <w:marRight w:val="0"/>
              <w:marTop w:val="0"/>
              <w:marBottom w:val="0"/>
              <w:divBdr>
                <w:top w:val="none" w:sz="0" w:space="0" w:color="auto"/>
                <w:left w:val="none" w:sz="0" w:space="0" w:color="auto"/>
                <w:bottom w:val="none" w:sz="0" w:space="0" w:color="auto"/>
                <w:right w:val="none" w:sz="0" w:space="0" w:color="auto"/>
              </w:divBdr>
              <w:divsChild>
                <w:div w:id="649408707">
                  <w:marLeft w:val="0"/>
                  <w:marRight w:val="0"/>
                  <w:marTop w:val="0"/>
                  <w:marBottom w:val="0"/>
                  <w:divBdr>
                    <w:top w:val="none" w:sz="0" w:space="0" w:color="auto"/>
                    <w:left w:val="none" w:sz="0" w:space="0" w:color="auto"/>
                    <w:bottom w:val="none" w:sz="0" w:space="0" w:color="auto"/>
                    <w:right w:val="none" w:sz="0" w:space="0" w:color="auto"/>
                  </w:divBdr>
                  <w:divsChild>
                    <w:div w:id="809906057">
                      <w:marLeft w:val="0"/>
                      <w:marRight w:val="0"/>
                      <w:marTop w:val="0"/>
                      <w:marBottom w:val="0"/>
                      <w:divBdr>
                        <w:top w:val="none" w:sz="0" w:space="0" w:color="auto"/>
                        <w:left w:val="none" w:sz="0" w:space="0" w:color="auto"/>
                        <w:bottom w:val="none" w:sz="0" w:space="0" w:color="auto"/>
                        <w:right w:val="none" w:sz="0" w:space="0" w:color="auto"/>
                      </w:divBdr>
                      <w:divsChild>
                        <w:div w:id="1132791379">
                          <w:marLeft w:val="0"/>
                          <w:marRight w:val="0"/>
                          <w:marTop w:val="0"/>
                          <w:marBottom w:val="0"/>
                          <w:divBdr>
                            <w:top w:val="none" w:sz="0" w:space="0" w:color="auto"/>
                            <w:left w:val="none" w:sz="0" w:space="0" w:color="auto"/>
                            <w:bottom w:val="none" w:sz="0" w:space="0" w:color="auto"/>
                            <w:right w:val="none" w:sz="0" w:space="0" w:color="auto"/>
                          </w:divBdr>
                          <w:divsChild>
                            <w:div w:id="1112633500">
                              <w:marLeft w:val="0"/>
                              <w:marRight w:val="0"/>
                              <w:marTop w:val="0"/>
                              <w:marBottom w:val="0"/>
                              <w:divBdr>
                                <w:top w:val="none" w:sz="0" w:space="0" w:color="auto"/>
                                <w:left w:val="none" w:sz="0" w:space="0" w:color="auto"/>
                                <w:bottom w:val="none" w:sz="0" w:space="0" w:color="auto"/>
                                <w:right w:val="none" w:sz="0" w:space="0" w:color="auto"/>
                              </w:divBdr>
                              <w:divsChild>
                                <w:div w:id="1221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61280">
      <w:bodyDiv w:val="1"/>
      <w:marLeft w:val="0"/>
      <w:marRight w:val="0"/>
      <w:marTop w:val="0"/>
      <w:marBottom w:val="0"/>
      <w:divBdr>
        <w:top w:val="none" w:sz="0" w:space="0" w:color="auto"/>
        <w:left w:val="none" w:sz="0" w:space="0" w:color="auto"/>
        <w:bottom w:val="none" w:sz="0" w:space="0" w:color="auto"/>
        <w:right w:val="none" w:sz="0" w:space="0" w:color="auto"/>
      </w:divBdr>
    </w:div>
    <w:div w:id="137309396">
      <w:bodyDiv w:val="1"/>
      <w:marLeft w:val="0"/>
      <w:marRight w:val="0"/>
      <w:marTop w:val="0"/>
      <w:marBottom w:val="0"/>
      <w:divBdr>
        <w:top w:val="none" w:sz="0" w:space="0" w:color="auto"/>
        <w:left w:val="none" w:sz="0" w:space="0" w:color="auto"/>
        <w:bottom w:val="none" w:sz="0" w:space="0" w:color="auto"/>
        <w:right w:val="none" w:sz="0" w:space="0" w:color="auto"/>
      </w:divBdr>
    </w:div>
    <w:div w:id="200172542">
      <w:bodyDiv w:val="1"/>
      <w:marLeft w:val="0"/>
      <w:marRight w:val="0"/>
      <w:marTop w:val="0"/>
      <w:marBottom w:val="0"/>
      <w:divBdr>
        <w:top w:val="none" w:sz="0" w:space="0" w:color="auto"/>
        <w:left w:val="none" w:sz="0" w:space="0" w:color="auto"/>
        <w:bottom w:val="none" w:sz="0" w:space="0" w:color="auto"/>
        <w:right w:val="none" w:sz="0" w:space="0" w:color="auto"/>
      </w:divBdr>
      <w:divsChild>
        <w:div w:id="1975140607">
          <w:marLeft w:val="0"/>
          <w:marRight w:val="0"/>
          <w:marTop w:val="0"/>
          <w:marBottom w:val="0"/>
          <w:divBdr>
            <w:top w:val="none" w:sz="0" w:space="0" w:color="auto"/>
            <w:left w:val="none" w:sz="0" w:space="0" w:color="auto"/>
            <w:bottom w:val="none" w:sz="0" w:space="0" w:color="auto"/>
            <w:right w:val="none" w:sz="0" w:space="0" w:color="auto"/>
          </w:divBdr>
          <w:divsChild>
            <w:div w:id="2107115890">
              <w:marLeft w:val="0"/>
              <w:marRight w:val="0"/>
              <w:marTop w:val="0"/>
              <w:marBottom w:val="0"/>
              <w:divBdr>
                <w:top w:val="none" w:sz="0" w:space="0" w:color="auto"/>
                <w:left w:val="none" w:sz="0" w:space="0" w:color="auto"/>
                <w:bottom w:val="none" w:sz="0" w:space="0" w:color="auto"/>
                <w:right w:val="none" w:sz="0" w:space="0" w:color="auto"/>
              </w:divBdr>
              <w:divsChild>
                <w:div w:id="1439450257">
                  <w:marLeft w:val="0"/>
                  <w:marRight w:val="0"/>
                  <w:marTop w:val="0"/>
                  <w:marBottom w:val="0"/>
                  <w:divBdr>
                    <w:top w:val="none" w:sz="0" w:space="0" w:color="auto"/>
                    <w:left w:val="none" w:sz="0" w:space="0" w:color="auto"/>
                    <w:bottom w:val="none" w:sz="0" w:space="0" w:color="auto"/>
                    <w:right w:val="none" w:sz="0" w:space="0" w:color="auto"/>
                  </w:divBdr>
                  <w:divsChild>
                    <w:div w:id="1832716204">
                      <w:marLeft w:val="0"/>
                      <w:marRight w:val="0"/>
                      <w:marTop w:val="0"/>
                      <w:marBottom w:val="0"/>
                      <w:divBdr>
                        <w:top w:val="none" w:sz="0" w:space="0" w:color="auto"/>
                        <w:left w:val="none" w:sz="0" w:space="0" w:color="auto"/>
                        <w:bottom w:val="none" w:sz="0" w:space="0" w:color="auto"/>
                        <w:right w:val="none" w:sz="0" w:space="0" w:color="auto"/>
                      </w:divBdr>
                      <w:divsChild>
                        <w:div w:id="1923293342">
                          <w:marLeft w:val="0"/>
                          <w:marRight w:val="0"/>
                          <w:marTop w:val="0"/>
                          <w:marBottom w:val="0"/>
                          <w:divBdr>
                            <w:top w:val="none" w:sz="0" w:space="0" w:color="auto"/>
                            <w:left w:val="none" w:sz="0" w:space="0" w:color="auto"/>
                            <w:bottom w:val="none" w:sz="0" w:space="0" w:color="auto"/>
                            <w:right w:val="none" w:sz="0" w:space="0" w:color="auto"/>
                          </w:divBdr>
                          <w:divsChild>
                            <w:div w:id="1192455352">
                              <w:marLeft w:val="0"/>
                              <w:marRight w:val="0"/>
                              <w:marTop w:val="0"/>
                              <w:marBottom w:val="0"/>
                              <w:divBdr>
                                <w:top w:val="none" w:sz="0" w:space="0" w:color="auto"/>
                                <w:left w:val="none" w:sz="0" w:space="0" w:color="auto"/>
                                <w:bottom w:val="none" w:sz="0" w:space="0" w:color="auto"/>
                                <w:right w:val="none" w:sz="0" w:space="0" w:color="auto"/>
                              </w:divBdr>
                              <w:divsChild>
                                <w:div w:id="1540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485323">
      <w:bodyDiv w:val="1"/>
      <w:marLeft w:val="0"/>
      <w:marRight w:val="0"/>
      <w:marTop w:val="0"/>
      <w:marBottom w:val="0"/>
      <w:divBdr>
        <w:top w:val="none" w:sz="0" w:space="0" w:color="auto"/>
        <w:left w:val="none" w:sz="0" w:space="0" w:color="auto"/>
        <w:bottom w:val="none" w:sz="0" w:space="0" w:color="auto"/>
        <w:right w:val="none" w:sz="0" w:space="0" w:color="auto"/>
      </w:divBdr>
      <w:divsChild>
        <w:div w:id="745689828">
          <w:marLeft w:val="0"/>
          <w:marRight w:val="0"/>
          <w:marTop w:val="0"/>
          <w:marBottom w:val="0"/>
          <w:divBdr>
            <w:top w:val="none" w:sz="0" w:space="0" w:color="auto"/>
            <w:left w:val="none" w:sz="0" w:space="0" w:color="auto"/>
            <w:bottom w:val="none" w:sz="0" w:space="0" w:color="auto"/>
            <w:right w:val="none" w:sz="0" w:space="0" w:color="auto"/>
          </w:divBdr>
          <w:divsChild>
            <w:div w:id="1771196443">
              <w:marLeft w:val="0"/>
              <w:marRight w:val="0"/>
              <w:marTop w:val="0"/>
              <w:marBottom w:val="0"/>
              <w:divBdr>
                <w:top w:val="none" w:sz="0" w:space="0" w:color="auto"/>
                <w:left w:val="none" w:sz="0" w:space="0" w:color="auto"/>
                <w:bottom w:val="none" w:sz="0" w:space="0" w:color="auto"/>
                <w:right w:val="none" w:sz="0" w:space="0" w:color="auto"/>
              </w:divBdr>
              <w:divsChild>
                <w:div w:id="805047860">
                  <w:marLeft w:val="0"/>
                  <w:marRight w:val="0"/>
                  <w:marTop w:val="0"/>
                  <w:marBottom w:val="0"/>
                  <w:divBdr>
                    <w:top w:val="none" w:sz="0" w:space="0" w:color="auto"/>
                    <w:left w:val="none" w:sz="0" w:space="0" w:color="auto"/>
                    <w:bottom w:val="none" w:sz="0" w:space="0" w:color="auto"/>
                    <w:right w:val="none" w:sz="0" w:space="0" w:color="auto"/>
                  </w:divBdr>
                  <w:divsChild>
                    <w:div w:id="1012754767">
                      <w:marLeft w:val="0"/>
                      <w:marRight w:val="0"/>
                      <w:marTop w:val="0"/>
                      <w:marBottom w:val="0"/>
                      <w:divBdr>
                        <w:top w:val="none" w:sz="0" w:space="0" w:color="auto"/>
                        <w:left w:val="none" w:sz="0" w:space="0" w:color="auto"/>
                        <w:bottom w:val="none" w:sz="0" w:space="0" w:color="auto"/>
                        <w:right w:val="none" w:sz="0" w:space="0" w:color="auto"/>
                      </w:divBdr>
                      <w:divsChild>
                        <w:div w:id="138768720">
                          <w:marLeft w:val="0"/>
                          <w:marRight w:val="0"/>
                          <w:marTop w:val="0"/>
                          <w:marBottom w:val="0"/>
                          <w:divBdr>
                            <w:top w:val="none" w:sz="0" w:space="0" w:color="auto"/>
                            <w:left w:val="none" w:sz="0" w:space="0" w:color="auto"/>
                            <w:bottom w:val="none" w:sz="0" w:space="0" w:color="auto"/>
                            <w:right w:val="none" w:sz="0" w:space="0" w:color="auto"/>
                          </w:divBdr>
                          <w:divsChild>
                            <w:div w:id="138034671">
                              <w:marLeft w:val="0"/>
                              <w:marRight w:val="0"/>
                              <w:marTop w:val="0"/>
                              <w:marBottom w:val="0"/>
                              <w:divBdr>
                                <w:top w:val="none" w:sz="0" w:space="0" w:color="auto"/>
                                <w:left w:val="none" w:sz="0" w:space="0" w:color="auto"/>
                                <w:bottom w:val="none" w:sz="0" w:space="0" w:color="auto"/>
                                <w:right w:val="none" w:sz="0" w:space="0" w:color="auto"/>
                              </w:divBdr>
                              <w:divsChild>
                                <w:div w:id="17873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511637">
      <w:bodyDiv w:val="1"/>
      <w:marLeft w:val="0"/>
      <w:marRight w:val="0"/>
      <w:marTop w:val="0"/>
      <w:marBottom w:val="0"/>
      <w:divBdr>
        <w:top w:val="none" w:sz="0" w:space="0" w:color="auto"/>
        <w:left w:val="none" w:sz="0" w:space="0" w:color="auto"/>
        <w:bottom w:val="none" w:sz="0" w:space="0" w:color="auto"/>
        <w:right w:val="none" w:sz="0" w:space="0" w:color="auto"/>
      </w:divBdr>
    </w:div>
    <w:div w:id="325062850">
      <w:bodyDiv w:val="1"/>
      <w:marLeft w:val="0"/>
      <w:marRight w:val="0"/>
      <w:marTop w:val="0"/>
      <w:marBottom w:val="0"/>
      <w:divBdr>
        <w:top w:val="none" w:sz="0" w:space="0" w:color="auto"/>
        <w:left w:val="none" w:sz="0" w:space="0" w:color="auto"/>
        <w:bottom w:val="none" w:sz="0" w:space="0" w:color="auto"/>
        <w:right w:val="none" w:sz="0" w:space="0" w:color="auto"/>
      </w:divBdr>
    </w:div>
    <w:div w:id="463156412">
      <w:bodyDiv w:val="1"/>
      <w:marLeft w:val="0"/>
      <w:marRight w:val="0"/>
      <w:marTop w:val="0"/>
      <w:marBottom w:val="0"/>
      <w:divBdr>
        <w:top w:val="none" w:sz="0" w:space="0" w:color="auto"/>
        <w:left w:val="none" w:sz="0" w:space="0" w:color="auto"/>
        <w:bottom w:val="none" w:sz="0" w:space="0" w:color="auto"/>
        <w:right w:val="none" w:sz="0" w:space="0" w:color="auto"/>
      </w:divBdr>
      <w:divsChild>
        <w:div w:id="1691570663">
          <w:marLeft w:val="0"/>
          <w:marRight w:val="0"/>
          <w:marTop w:val="0"/>
          <w:marBottom w:val="0"/>
          <w:divBdr>
            <w:top w:val="none" w:sz="0" w:space="0" w:color="auto"/>
            <w:left w:val="none" w:sz="0" w:space="0" w:color="auto"/>
            <w:bottom w:val="none" w:sz="0" w:space="0" w:color="auto"/>
            <w:right w:val="none" w:sz="0" w:space="0" w:color="auto"/>
          </w:divBdr>
          <w:divsChild>
            <w:div w:id="433551838">
              <w:marLeft w:val="0"/>
              <w:marRight w:val="0"/>
              <w:marTop w:val="0"/>
              <w:marBottom w:val="0"/>
              <w:divBdr>
                <w:top w:val="none" w:sz="0" w:space="0" w:color="auto"/>
                <w:left w:val="none" w:sz="0" w:space="0" w:color="auto"/>
                <w:bottom w:val="none" w:sz="0" w:space="0" w:color="auto"/>
                <w:right w:val="none" w:sz="0" w:space="0" w:color="auto"/>
              </w:divBdr>
              <w:divsChild>
                <w:div w:id="1065418759">
                  <w:marLeft w:val="0"/>
                  <w:marRight w:val="0"/>
                  <w:marTop w:val="0"/>
                  <w:marBottom w:val="0"/>
                  <w:divBdr>
                    <w:top w:val="none" w:sz="0" w:space="0" w:color="auto"/>
                    <w:left w:val="none" w:sz="0" w:space="0" w:color="auto"/>
                    <w:bottom w:val="none" w:sz="0" w:space="0" w:color="auto"/>
                    <w:right w:val="none" w:sz="0" w:space="0" w:color="auto"/>
                  </w:divBdr>
                  <w:divsChild>
                    <w:div w:id="392050089">
                      <w:marLeft w:val="0"/>
                      <w:marRight w:val="0"/>
                      <w:marTop w:val="0"/>
                      <w:marBottom w:val="0"/>
                      <w:divBdr>
                        <w:top w:val="none" w:sz="0" w:space="0" w:color="auto"/>
                        <w:left w:val="none" w:sz="0" w:space="0" w:color="auto"/>
                        <w:bottom w:val="none" w:sz="0" w:space="0" w:color="auto"/>
                        <w:right w:val="none" w:sz="0" w:space="0" w:color="auto"/>
                      </w:divBdr>
                      <w:divsChild>
                        <w:div w:id="1319269234">
                          <w:marLeft w:val="0"/>
                          <w:marRight w:val="0"/>
                          <w:marTop w:val="0"/>
                          <w:marBottom w:val="0"/>
                          <w:divBdr>
                            <w:top w:val="none" w:sz="0" w:space="0" w:color="auto"/>
                            <w:left w:val="none" w:sz="0" w:space="0" w:color="auto"/>
                            <w:bottom w:val="none" w:sz="0" w:space="0" w:color="auto"/>
                            <w:right w:val="none" w:sz="0" w:space="0" w:color="auto"/>
                          </w:divBdr>
                          <w:divsChild>
                            <w:div w:id="1292591590">
                              <w:marLeft w:val="0"/>
                              <w:marRight w:val="0"/>
                              <w:marTop w:val="0"/>
                              <w:marBottom w:val="0"/>
                              <w:divBdr>
                                <w:top w:val="none" w:sz="0" w:space="0" w:color="auto"/>
                                <w:left w:val="none" w:sz="0" w:space="0" w:color="auto"/>
                                <w:bottom w:val="none" w:sz="0" w:space="0" w:color="auto"/>
                                <w:right w:val="none" w:sz="0" w:space="0" w:color="auto"/>
                              </w:divBdr>
                              <w:divsChild>
                                <w:div w:id="8832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607891">
      <w:bodyDiv w:val="1"/>
      <w:marLeft w:val="0"/>
      <w:marRight w:val="0"/>
      <w:marTop w:val="0"/>
      <w:marBottom w:val="0"/>
      <w:divBdr>
        <w:top w:val="none" w:sz="0" w:space="0" w:color="auto"/>
        <w:left w:val="none" w:sz="0" w:space="0" w:color="auto"/>
        <w:bottom w:val="none" w:sz="0" w:space="0" w:color="auto"/>
        <w:right w:val="none" w:sz="0" w:space="0" w:color="auto"/>
      </w:divBdr>
    </w:div>
    <w:div w:id="750543672">
      <w:bodyDiv w:val="1"/>
      <w:marLeft w:val="0"/>
      <w:marRight w:val="0"/>
      <w:marTop w:val="0"/>
      <w:marBottom w:val="0"/>
      <w:divBdr>
        <w:top w:val="none" w:sz="0" w:space="0" w:color="auto"/>
        <w:left w:val="none" w:sz="0" w:space="0" w:color="auto"/>
        <w:bottom w:val="none" w:sz="0" w:space="0" w:color="auto"/>
        <w:right w:val="none" w:sz="0" w:space="0" w:color="auto"/>
      </w:divBdr>
      <w:divsChild>
        <w:div w:id="369039519">
          <w:marLeft w:val="0"/>
          <w:marRight w:val="0"/>
          <w:marTop w:val="0"/>
          <w:marBottom w:val="0"/>
          <w:divBdr>
            <w:top w:val="none" w:sz="0" w:space="0" w:color="auto"/>
            <w:left w:val="none" w:sz="0" w:space="0" w:color="auto"/>
            <w:bottom w:val="none" w:sz="0" w:space="0" w:color="auto"/>
            <w:right w:val="none" w:sz="0" w:space="0" w:color="auto"/>
          </w:divBdr>
          <w:divsChild>
            <w:div w:id="1833064161">
              <w:marLeft w:val="0"/>
              <w:marRight w:val="0"/>
              <w:marTop w:val="0"/>
              <w:marBottom w:val="0"/>
              <w:divBdr>
                <w:top w:val="none" w:sz="0" w:space="0" w:color="auto"/>
                <w:left w:val="none" w:sz="0" w:space="0" w:color="auto"/>
                <w:bottom w:val="none" w:sz="0" w:space="0" w:color="auto"/>
                <w:right w:val="none" w:sz="0" w:space="0" w:color="auto"/>
              </w:divBdr>
              <w:divsChild>
                <w:div w:id="2073114934">
                  <w:marLeft w:val="0"/>
                  <w:marRight w:val="0"/>
                  <w:marTop w:val="0"/>
                  <w:marBottom w:val="0"/>
                  <w:divBdr>
                    <w:top w:val="none" w:sz="0" w:space="0" w:color="auto"/>
                    <w:left w:val="none" w:sz="0" w:space="0" w:color="auto"/>
                    <w:bottom w:val="none" w:sz="0" w:space="0" w:color="auto"/>
                    <w:right w:val="none" w:sz="0" w:space="0" w:color="auto"/>
                  </w:divBdr>
                  <w:divsChild>
                    <w:div w:id="1567687817">
                      <w:marLeft w:val="0"/>
                      <w:marRight w:val="0"/>
                      <w:marTop w:val="0"/>
                      <w:marBottom w:val="0"/>
                      <w:divBdr>
                        <w:top w:val="none" w:sz="0" w:space="0" w:color="auto"/>
                        <w:left w:val="none" w:sz="0" w:space="0" w:color="auto"/>
                        <w:bottom w:val="none" w:sz="0" w:space="0" w:color="auto"/>
                        <w:right w:val="none" w:sz="0" w:space="0" w:color="auto"/>
                      </w:divBdr>
                      <w:divsChild>
                        <w:div w:id="2107142745">
                          <w:marLeft w:val="0"/>
                          <w:marRight w:val="0"/>
                          <w:marTop w:val="0"/>
                          <w:marBottom w:val="0"/>
                          <w:divBdr>
                            <w:top w:val="none" w:sz="0" w:space="0" w:color="auto"/>
                            <w:left w:val="none" w:sz="0" w:space="0" w:color="auto"/>
                            <w:bottom w:val="none" w:sz="0" w:space="0" w:color="auto"/>
                            <w:right w:val="none" w:sz="0" w:space="0" w:color="auto"/>
                          </w:divBdr>
                          <w:divsChild>
                            <w:div w:id="1924214750">
                              <w:marLeft w:val="0"/>
                              <w:marRight w:val="0"/>
                              <w:marTop w:val="0"/>
                              <w:marBottom w:val="0"/>
                              <w:divBdr>
                                <w:top w:val="none" w:sz="0" w:space="0" w:color="auto"/>
                                <w:left w:val="none" w:sz="0" w:space="0" w:color="auto"/>
                                <w:bottom w:val="none" w:sz="0" w:space="0" w:color="auto"/>
                                <w:right w:val="none" w:sz="0" w:space="0" w:color="auto"/>
                              </w:divBdr>
                              <w:divsChild>
                                <w:div w:id="8249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754394">
      <w:bodyDiv w:val="1"/>
      <w:marLeft w:val="0"/>
      <w:marRight w:val="0"/>
      <w:marTop w:val="0"/>
      <w:marBottom w:val="0"/>
      <w:divBdr>
        <w:top w:val="none" w:sz="0" w:space="0" w:color="auto"/>
        <w:left w:val="none" w:sz="0" w:space="0" w:color="auto"/>
        <w:bottom w:val="none" w:sz="0" w:space="0" w:color="auto"/>
        <w:right w:val="none" w:sz="0" w:space="0" w:color="auto"/>
      </w:divBdr>
      <w:divsChild>
        <w:div w:id="1256133631">
          <w:marLeft w:val="0"/>
          <w:marRight w:val="0"/>
          <w:marTop w:val="0"/>
          <w:marBottom w:val="0"/>
          <w:divBdr>
            <w:top w:val="none" w:sz="0" w:space="0" w:color="auto"/>
            <w:left w:val="none" w:sz="0" w:space="0" w:color="auto"/>
            <w:bottom w:val="none" w:sz="0" w:space="0" w:color="auto"/>
            <w:right w:val="none" w:sz="0" w:space="0" w:color="auto"/>
          </w:divBdr>
          <w:divsChild>
            <w:div w:id="1994405637">
              <w:marLeft w:val="0"/>
              <w:marRight w:val="0"/>
              <w:marTop w:val="0"/>
              <w:marBottom w:val="0"/>
              <w:divBdr>
                <w:top w:val="none" w:sz="0" w:space="0" w:color="auto"/>
                <w:left w:val="none" w:sz="0" w:space="0" w:color="auto"/>
                <w:bottom w:val="none" w:sz="0" w:space="0" w:color="auto"/>
                <w:right w:val="none" w:sz="0" w:space="0" w:color="auto"/>
              </w:divBdr>
              <w:divsChild>
                <w:div w:id="1107040778">
                  <w:marLeft w:val="0"/>
                  <w:marRight w:val="0"/>
                  <w:marTop w:val="0"/>
                  <w:marBottom w:val="0"/>
                  <w:divBdr>
                    <w:top w:val="none" w:sz="0" w:space="0" w:color="auto"/>
                    <w:left w:val="none" w:sz="0" w:space="0" w:color="auto"/>
                    <w:bottom w:val="none" w:sz="0" w:space="0" w:color="auto"/>
                    <w:right w:val="none" w:sz="0" w:space="0" w:color="auto"/>
                  </w:divBdr>
                  <w:divsChild>
                    <w:div w:id="1397359591">
                      <w:marLeft w:val="0"/>
                      <w:marRight w:val="0"/>
                      <w:marTop w:val="0"/>
                      <w:marBottom w:val="0"/>
                      <w:divBdr>
                        <w:top w:val="none" w:sz="0" w:space="0" w:color="auto"/>
                        <w:left w:val="none" w:sz="0" w:space="0" w:color="auto"/>
                        <w:bottom w:val="none" w:sz="0" w:space="0" w:color="auto"/>
                        <w:right w:val="none" w:sz="0" w:space="0" w:color="auto"/>
                      </w:divBdr>
                      <w:divsChild>
                        <w:div w:id="641693520">
                          <w:marLeft w:val="0"/>
                          <w:marRight w:val="0"/>
                          <w:marTop w:val="0"/>
                          <w:marBottom w:val="0"/>
                          <w:divBdr>
                            <w:top w:val="none" w:sz="0" w:space="0" w:color="auto"/>
                            <w:left w:val="none" w:sz="0" w:space="0" w:color="auto"/>
                            <w:bottom w:val="none" w:sz="0" w:space="0" w:color="auto"/>
                            <w:right w:val="none" w:sz="0" w:space="0" w:color="auto"/>
                          </w:divBdr>
                          <w:divsChild>
                            <w:div w:id="102195685">
                              <w:marLeft w:val="0"/>
                              <w:marRight w:val="0"/>
                              <w:marTop w:val="0"/>
                              <w:marBottom w:val="0"/>
                              <w:divBdr>
                                <w:top w:val="none" w:sz="0" w:space="0" w:color="auto"/>
                                <w:left w:val="none" w:sz="0" w:space="0" w:color="auto"/>
                                <w:bottom w:val="none" w:sz="0" w:space="0" w:color="auto"/>
                                <w:right w:val="none" w:sz="0" w:space="0" w:color="auto"/>
                              </w:divBdr>
                              <w:divsChild>
                                <w:div w:id="14490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98744">
      <w:bodyDiv w:val="1"/>
      <w:marLeft w:val="0"/>
      <w:marRight w:val="0"/>
      <w:marTop w:val="0"/>
      <w:marBottom w:val="0"/>
      <w:divBdr>
        <w:top w:val="none" w:sz="0" w:space="0" w:color="auto"/>
        <w:left w:val="none" w:sz="0" w:space="0" w:color="auto"/>
        <w:bottom w:val="none" w:sz="0" w:space="0" w:color="auto"/>
        <w:right w:val="none" w:sz="0" w:space="0" w:color="auto"/>
      </w:divBdr>
    </w:div>
    <w:div w:id="1480613111">
      <w:bodyDiv w:val="1"/>
      <w:marLeft w:val="0"/>
      <w:marRight w:val="0"/>
      <w:marTop w:val="0"/>
      <w:marBottom w:val="0"/>
      <w:divBdr>
        <w:top w:val="none" w:sz="0" w:space="0" w:color="auto"/>
        <w:left w:val="none" w:sz="0" w:space="0" w:color="auto"/>
        <w:bottom w:val="none" w:sz="0" w:space="0" w:color="auto"/>
        <w:right w:val="none" w:sz="0" w:space="0" w:color="auto"/>
      </w:divBdr>
      <w:divsChild>
        <w:div w:id="379594136">
          <w:marLeft w:val="0"/>
          <w:marRight w:val="0"/>
          <w:marTop w:val="0"/>
          <w:marBottom w:val="0"/>
          <w:divBdr>
            <w:top w:val="none" w:sz="0" w:space="0" w:color="auto"/>
            <w:left w:val="none" w:sz="0" w:space="0" w:color="auto"/>
            <w:bottom w:val="none" w:sz="0" w:space="0" w:color="auto"/>
            <w:right w:val="none" w:sz="0" w:space="0" w:color="auto"/>
          </w:divBdr>
          <w:divsChild>
            <w:div w:id="1208180123">
              <w:marLeft w:val="0"/>
              <w:marRight w:val="0"/>
              <w:marTop w:val="0"/>
              <w:marBottom w:val="0"/>
              <w:divBdr>
                <w:top w:val="none" w:sz="0" w:space="0" w:color="auto"/>
                <w:left w:val="none" w:sz="0" w:space="0" w:color="auto"/>
                <w:bottom w:val="none" w:sz="0" w:space="0" w:color="auto"/>
                <w:right w:val="none" w:sz="0" w:space="0" w:color="auto"/>
              </w:divBdr>
              <w:divsChild>
                <w:div w:id="1784225956">
                  <w:marLeft w:val="0"/>
                  <w:marRight w:val="0"/>
                  <w:marTop w:val="0"/>
                  <w:marBottom w:val="0"/>
                  <w:divBdr>
                    <w:top w:val="none" w:sz="0" w:space="0" w:color="auto"/>
                    <w:left w:val="none" w:sz="0" w:space="0" w:color="auto"/>
                    <w:bottom w:val="none" w:sz="0" w:space="0" w:color="auto"/>
                    <w:right w:val="none" w:sz="0" w:space="0" w:color="auto"/>
                  </w:divBdr>
                  <w:divsChild>
                    <w:div w:id="1716656976">
                      <w:marLeft w:val="0"/>
                      <w:marRight w:val="0"/>
                      <w:marTop w:val="0"/>
                      <w:marBottom w:val="0"/>
                      <w:divBdr>
                        <w:top w:val="none" w:sz="0" w:space="0" w:color="auto"/>
                        <w:left w:val="none" w:sz="0" w:space="0" w:color="auto"/>
                        <w:bottom w:val="none" w:sz="0" w:space="0" w:color="auto"/>
                        <w:right w:val="none" w:sz="0" w:space="0" w:color="auto"/>
                      </w:divBdr>
                      <w:divsChild>
                        <w:div w:id="844589303">
                          <w:marLeft w:val="0"/>
                          <w:marRight w:val="0"/>
                          <w:marTop w:val="0"/>
                          <w:marBottom w:val="0"/>
                          <w:divBdr>
                            <w:top w:val="none" w:sz="0" w:space="0" w:color="auto"/>
                            <w:left w:val="none" w:sz="0" w:space="0" w:color="auto"/>
                            <w:bottom w:val="none" w:sz="0" w:space="0" w:color="auto"/>
                            <w:right w:val="none" w:sz="0" w:space="0" w:color="auto"/>
                          </w:divBdr>
                          <w:divsChild>
                            <w:div w:id="1649704807">
                              <w:marLeft w:val="0"/>
                              <w:marRight w:val="0"/>
                              <w:marTop w:val="0"/>
                              <w:marBottom w:val="0"/>
                              <w:divBdr>
                                <w:top w:val="none" w:sz="0" w:space="0" w:color="auto"/>
                                <w:left w:val="none" w:sz="0" w:space="0" w:color="auto"/>
                                <w:bottom w:val="none" w:sz="0" w:space="0" w:color="auto"/>
                                <w:right w:val="none" w:sz="0" w:space="0" w:color="auto"/>
                              </w:divBdr>
                              <w:divsChild>
                                <w:div w:id="19643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541265">
      <w:bodyDiv w:val="1"/>
      <w:marLeft w:val="0"/>
      <w:marRight w:val="0"/>
      <w:marTop w:val="0"/>
      <w:marBottom w:val="0"/>
      <w:divBdr>
        <w:top w:val="none" w:sz="0" w:space="0" w:color="auto"/>
        <w:left w:val="none" w:sz="0" w:space="0" w:color="auto"/>
        <w:bottom w:val="none" w:sz="0" w:space="0" w:color="auto"/>
        <w:right w:val="none" w:sz="0" w:space="0" w:color="auto"/>
      </w:divBdr>
      <w:divsChild>
        <w:div w:id="5858407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syTemplates\Guid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gulatory Impact Statement DIA" ma:contentTypeID="0x0101005496552013C0BA46BE88192D5C6EB20B00BC5596E001ADA740970B7D8A6FC249310052AD7B428202B146A28260C8A9ACC680" ma:contentTypeVersion="1" ma:contentTypeDescription="Use for the creation of any regulatory impact statement where sub legislation is being developed" ma:contentTypeScope="" ma:versionID="b6204786b579758e11fbb87f01cb1fba">
  <xsd:schema xmlns:xsd="http://www.w3.org/2001/XMLSchema" xmlns:xs="http://www.w3.org/2001/XMLSchema" xmlns:p="http://schemas.microsoft.com/office/2006/metadata/properties" xmlns:ns3="01be4277-2979-4a68-876d-b92b25fceece" xmlns:ns4="9f95e539-b96f-4a54-b834-0a3ec2f7a7f4" targetNamespace="http://schemas.microsoft.com/office/2006/metadata/properties" ma:root="true" ma:fieldsID="e343e868b75a56ed565ea0e1353b51ed" ns3:_="" ns4:_="">
    <xsd:import namespace="01be4277-2979-4a68-876d-b92b25fceece"/>
    <xsd:import namespace="9f95e539-b96f-4a54-b834-0a3ec2f7a7f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g5ce8ed864bc4a1098a472abde3bb525" minOccurs="0"/>
                <xsd:element ref="ns4:DIANotes" minOccurs="0"/>
                <xsd:element ref="ns4:_dlc_DocId" minOccurs="0"/>
                <xsd:element ref="ns4:_dlc_DocIdUrl" minOccurs="0"/>
                <xsd:element ref="ns4:_dlc_DocIdPersistId" minOccurs="0"/>
                <xsd:element ref="ns4:a39c36209d2f4a9d8d546ff8d1d4625e" minOccurs="0"/>
                <xsd:element ref="ns4:n8faadbdd5ba4e7db0fdd5c9c680a9c9" minOccurs="0"/>
                <xsd:element ref="ns4:DIAReferenceNumber" minOccurs="0"/>
                <xsd:element ref="ns4:o0aa7480675a43afbe215491d5e7e1ef" minOccurs="0"/>
                <xsd:element ref="ns4:DIAPrivateEnt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44ee9cd0-f5d8-436a-a063-58de440898c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95e539-b96f-4a54-b834-0a3ec2f7a7f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4cb270fd-b69f-47e4-8d45-6ca38296580b}" ma:internalName="TaxCatchAll" ma:showField="CatchAllData" ma:web="9f95e539-b96f-4a54-b834-0a3ec2f7a7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cb270fd-b69f-47e4-8d45-6ca38296580b}" ma:internalName="TaxCatchAllLabel" ma:readOnly="true" ma:showField="CatchAllDataLabel" ma:web="9f95e539-b96f-4a54-b834-0a3ec2f7a7f4">
      <xsd:complexType>
        <xsd:complexContent>
          <xsd:extension base="dms:MultiChoiceLookup">
            <xsd:sequence>
              <xsd:element name="Value" type="dms:Lookup" maxOccurs="unbounded" minOccurs="0" nillable="true"/>
            </xsd:sequence>
          </xsd:extension>
        </xsd:complexContent>
      </xsd:complexType>
    </xsd:element>
    <xsd:element name="g5ce8ed864bc4a1098a472abde3bb525" ma:index="14" ma:taxonomy="true" ma:internalName="g5ce8ed864bc4a1098a472abde3bb525" ma:taxonomyFieldName="DIASecurityClassification" ma:displayName="Security Classification" ma:default="2;#UNCLASSIFIED|875d92a8-67e2-4a32-9472-8fe99549e1eb" ma:fieldId="{05ce8ed8-64bc-4a10-98a4-72abde3bb525}"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39c36209d2f4a9d8d546ff8d1d4625e" ma:index="20" nillable="true" ma:taxonomy="true" ma:internalName="a39c36209d2f4a9d8d546ff8d1d4625e" ma:taxonomyFieldName="DIALegislation" ma:displayName="Legislation" ma:fieldId="{a39c3620-9d2f-4a9d-8d54-6ff8d1d4625e}"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n8faadbdd5ba4e7db0fdd5c9c680a9c9" ma:index="22" nillable="true" ma:taxonomy="true" ma:internalName="n8faadbdd5ba4e7db0fdd5c9c680a9c9" ma:taxonomyFieldName="DIAPortfolio" ma:displayName="Portfolio" ma:fieldId="{78faadbd-d5ba-4e7d-b0fd-d5c9c680a9c9}"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ReferenceNumber" ma:index="24" nillable="true" ma:displayName="Reference Number" ma:description="Use to specify the reference number" ma:internalName="DIAReferenceNumber">
      <xsd:simpleType>
        <xsd:restriction base="dms:Text"/>
      </xsd:simpleType>
    </xsd:element>
    <xsd:element name="o0aa7480675a43afbe215491d5e7e1ef" ma:index="25" nillable="true" ma:taxonomy="true" ma:internalName="o0aa7480675a43afbe215491d5e7e1ef" ma:taxonomyFieldName="DIAOfficialEntity" ma:displayName="Official Entity" ma:fieldId="{80aa7480-675a-43af-be21-5491d5e7e1ef}"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DIAPrivateEntity" ma:index="27"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9f95e539-b96f-4a54-b834-0a3ec2f7a7f4">
      <Terms xmlns="http://schemas.microsoft.com/office/infopath/2007/PartnerControls"/>
    </TaxKeywordTaxHTField>
    <g5ce8ed864bc4a1098a472abde3bb525 xmlns="9f95e539-b96f-4a54-b834-0a3ec2f7a7f4">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g5ce8ed864bc4a1098a472abde3bb525>
    <DIAPrivateEntity xmlns="9f95e539-b96f-4a54-b834-0a3ec2f7a7f4" xsi:nil="true"/>
    <DIANotes xmlns="9f95e539-b96f-4a54-b834-0a3ec2f7a7f4" xsi:nil="true"/>
    <o0aa7480675a43afbe215491d5e7e1ef xmlns="9f95e539-b96f-4a54-b834-0a3ec2f7a7f4">
      <Terms xmlns="http://schemas.microsoft.com/office/infopath/2007/PartnerControls"/>
    </o0aa7480675a43afbe215491d5e7e1ef>
    <a39c36209d2f4a9d8d546ff8d1d4625e xmlns="9f95e539-b96f-4a54-b834-0a3ec2f7a7f4">
      <Terms xmlns="http://schemas.microsoft.com/office/infopath/2007/PartnerControls">
        <TermInfo xmlns="http://schemas.microsoft.com/office/infopath/2007/PartnerControls">
          <TermName xmlns="http://schemas.microsoft.com/office/infopath/2007/PartnerControls">Lake Taupo (Crown Facilities, Permits and Fees) Regulations 2004</TermName>
          <TermId xmlns="http://schemas.microsoft.com/office/infopath/2007/PartnerControls">ab13e659-25e6-4b7d-bfa5-bd7f8abb19c2</TermId>
        </TermInfo>
      </Terms>
    </a39c36209d2f4a9d8d546ff8d1d4625e>
    <n8faadbdd5ba4e7db0fdd5c9c680a9c9 xmlns="9f95e539-b96f-4a54-b834-0a3ec2f7a7f4">
      <Terms xmlns="http://schemas.microsoft.com/office/infopath/2007/PartnerControls">
        <TermInfo xmlns="http://schemas.microsoft.com/office/infopath/2007/PartnerControls">
          <TermName xmlns="http://schemas.microsoft.com/office/infopath/2007/PartnerControls">Local Government</TermName>
          <TermId xmlns="http://schemas.microsoft.com/office/infopath/2007/PartnerControls">d4c83f0c-f81e-4391-a096-cd21301ce608</TermId>
        </TermInfo>
      </Terms>
    </n8faadbdd5ba4e7db0fdd5c9c680a9c9>
    <DIAReferenceNumber xmlns="9f95e539-b96f-4a54-b834-0a3ec2f7a7f4" xsi:nil="true"/>
    <TaxCatchAll xmlns="9f95e539-b96f-4a54-b834-0a3ec2f7a7f4">
      <Value>237</Value>
      <Value>61</Value>
      <Value>97</Value>
      <Value>52</Value>
      <Value>1</Value>
    </TaxCatchAll>
    <_dlc_DocId xmlns="9f95e539-b96f-4a54-b834-0a3ec2f7a7f4">C7UJ6YHJ5CC2-1592485590-284</_dlc_DocId>
    <_dlc_DocIdUrl xmlns="9f95e539-b96f-4a54-b834-0a3ec2f7a7f4">
      <Url>https://dia.cohesion.net.nz/Sites/TAU/PLM/PLI/FRP/_layouts/15/DocIdRedir.aspx?ID=C7UJ6YHJ5CC2-1592485590-284</Url>
      <Description>C7UJ6YHJ5CC2-1592485590-284</Description>
    </_dlc_DocIdUrl>
  </documentManagement>
</p:properties>
</file>

<file path=customXml/item3.xml><?xml version="1.0" encoding="utf-8"?>
<LongProperties xmlns="http://schemas.microsoft.com/office/2006/metadata/longProperties">
  <LongProp xmlns="" name="TaxCatchAll"><![CDATA[237;#Lake Taupo (Crown Facilities, Permits and Fees) Regulations 2004|ab13e659-25e6-4b7d-bfa5-bd7f8abb19c2;#61;#IN-CONFIDENCE|cf9276f4-acb3-404d-a80d-53cc76a30125;#52;#Local Government|d4c83f0c-f81e-4391-a096-cd21301ce608;#1;#Correspondence|dcd6b05f-dc80-4336-b228-09aebf3d212c]]></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AF3DA-6155-49BB-9778-CC13B9F2A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9f95e539-b96f-4a54-b834-0a3ec2f7a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09BC6-F0EC-4E15-AB16-0911A8F7FD5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f95e539-b96f-4a54-b834-0a3ec2f7a7f4"/>
    <ds:schemaRef ds:uri="01be4277-2979-4a68-876d-b92b25fceece"/>
    <ds:schemaRef ds:uri="http://www.w3.org/XML/1998/namespace"/>
    <ds:schemaRef ds:uri="http://purl.org/dc/dcmitype/"/>
  </ds:schemaRefs>
</ds:datastoreItem>
</file>

<file path=customXml/itemProps3.xml><?xml version="1.0" encoding="utf-8"?>
<ds:datastoreItem xmlns:ds="http://schemas.openxmlformats.org/officeDocument/2006/customXml" ds:itemID="{0432A372-8355-4DC0-B1EA-4B8F19FA8915}">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D9394B48-C8F5-49D1-93EF-4DD291F1C6DC}">
  <ds:schemaRefs>
    <ds:schemaRef ds:uri="http://schemas.microsoft.com/sharepoint/v3/contenttype/forms"/>
  </ds:schemaRefs>
</ds:datastoreItem>
</file>

<file path=customXml/itemProps5.xml><?xml version="1.0" encoding="utf-8"?>
<ds:datastoreItem xmlns:ds="http://schemas.openxmlformats.org/officeDocument/2006/customXml" ds:itemID="{896F62A7-1E78-4F0F-953C-8DF045FC9B19}">
  <ds:schemaRefs>
    <ds:schemaRef ds:uri="http://schemas.microsoft.com/sharepoint/events"/>
  </ds:schemaRefs>
</ds:datastoreItem>
</file>

<file path=customXml/itemProps6.xml><?xml version="1.0" encoding="utf-8"?>
<ds:datastoreItem xmlns:ds="http://schemas.openxmlformats.org/officeDocument/2006/customXml" ds:itemID="{8A3EABE8-4741-48E7-A3BD-39A84654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Template>
  <TotalTime>231</TotalTime>
  <Pages>15</Pages>
  <Words>5437</Words>
  <Characters>30994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36359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Bruin</dc:creator>
  <cp:keywords/>
  <dc:description/>
  <cp:lastModifiedBy>Andrew Freeth</cp:lastModifiedBy>
  <cp:revision>27</cp:revision>
  <cp:lastPrinted>2019-06-11T21:40:00Z</cp:lastPrinted>
  <dcterms:created xsi:type="dcterms:W3CDTF">2019-06-06T06:09:00Z</dcterms:created>
  <dcterms:modified xsi:type="dcterms:W3CDTF">2019-09-02T01:10:00Z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UpdateFooter">
    <vt:bool>false</vt:bool>
  </property>
  <property fmtid="{D5CDD505-2E9C-101B-9397-08002B2CF9AE}" pid="3" name="TsySecurityClassification">
    <vt:lpwstr>IN-CONFIDENCE</vt:lpwstr>
  </property>
  <property fmtid="{D5CDD505-2E9C-101B-9397-08002B2CF9AE}" pid="4" name="TsyDisplayedSecurityClassification">
    <vt:lpwstr>IN-CONFIDENCE</vt:lpwstr>
  </property>
  <property fmtid="{D5CDD505-2E9C-101B-9397-08002B2CF9AE}" pid="5" name="TsySeemailSecurityClassification">
    <vt:lpwstr> [IN-CONFIDENCE]</vt:lpwstr>
  </property>
  <property fmtid="{D5CDD505-2E9C-101B-9397-08002B2CF9AE}" pid="6" name="TsyDocNum">
    <vt:i4>3252791</vt:i4>
  </property>
  <property fmtid="{D5CDD505-2E9C-101B-9397-08002B2CF9AE}" pid="7" name="TsyDocVer">
    <vt:i4>4</vt:i4>
  </property>
  <property fmtid="{D5CDD505-2E9C-101B-9397-08002B2CF9AE}" pid="8" name="TsyDisplayedDocNumVer">
    <vt:lpwstr>Treasury:3252791v4</vt:lpwstr>
  </property>
  <property fmtid="{D5CDD505-2E9C-101B-9397-08002B2CF9AE}" pid="9" name="TsyFileNo">
    <vt:lpwstr>SH-11-2-7-2</vt:lpwstr>
  </property>
  <property fmtid="{D5CDD505-2E9C-101B-9397-08002B2CF9AE}" pid="10" name="TsyDescription">
    <vt:lpwstr>Stage 2 Cost Recovery Impact Statement - web version</vt:lpwstr>
  </property>
  <property fmtid="{D5CDD505-2E9C-101B-9397-08002B2CF9AE}" pid="11" name="TsyTrNum">
    <vt:lpwstr> </vt:lpwstr>
  </property>
  <property fmtid="{D5CDD505-2E9C-101B-9397-08002B2CF9AE}" pid="12" name="TsyOiaNum">
    <vt:lpwstr> </vt:lpwstr>
  </property>
  <property fmtid="{D5CDD505-2E9C-101B-9397-08002B2CF9AE}" pid="13" name="TsyManagerUsername">
    <vt:lpwstr> </vt:lpwstr>
  </property>
  <property fmtid="{D5CDD505-2E9C-101B-9397-08002B2CF9AE}" pid="14" name="TsyManagerFullname">
    <vt:lpwstr> </vt:lpwstr>
  </property>
  <property fmtid="{D5CDD505-2E9C-101B-9397-08002B2CF9AE}" pid="15" name="TsyHeaderFooterPropertyVersion">
    <vt:i4>1</vt:i4>
  </property>
  <property fmtid="{D5CDD505-2E9C-101B-9397-08002B2CF9AE}" pid="16" name="TsyAuthorUsername">
    <vt:lpwstr>SPENCEN</vt:lpwstr>
  </property>
  <property fmtid="{D5CDD505-2E9C-101B-9397-08002B2CF9AE}" pid="17" name="TsyAuthorFullname">
    <vt:lpwstr>Nathan Spence</vt:lpwstr>
  </property>
  <property fmtid="{D5CDD505-2E9C-101B-9397-08002B2CF9AE}" pid="18" name="c9db75c04e5140899f15ce896a34fb66">
    <vt:lpwstr>Correspondence|dcd6b05f-dc80-4336-b228-09aebf3d212c</vt:lpwstr>
  </property>
  <property fmtid="{D5CDD505-2E9C-101B-9397-08002B2CF9AE}" pid="19" name="DIAEmailContentType">
    <vt:lpwstr>1;#Correspondence|dcd6b05f-dc80-4336-b228-09aebf3d212c</vt:lpwstr>
  </property>
  <property fmtid="{D5CDD505-2E9C-101B-9397-08002B2CF9AE}" pid="20" name="DIASecurityClassification">
    <vt:lpwstr>61;#IN-CONFIDENCE|cf9276f4-acb3-404d-a80d-53cc76a30125</vt:lpwstr>
  </property>
  <property fmtid="{D5CDD505-2E9C-101B-9397-08002B2CF9AE}" pid="21" name="DIALegislation">
    <vt:lpwstr>237;#Lake Taupo (Crown Facilities, Permits and Fees) Regulations 2004|ab13e659-25e6-4b7d-bfa5-bd7f8abb19c2</vt:lpwstr>
  </property>
  <property fmtid="{D5CDD505-2E9C-101B-9397-08002B2CF9AE}" pid="22" name="DIAPortfolio">
    <vt:lpwstr>52;#Local Government|d4c83f0c-f81e-4391-a096-cd21301ce608</vt:lpwstr>
  </property>
  <property fmtid="{D5CDD505-2E9C-101B-9397-08002B2CF9AE}" pid="23" name="DIAOfficialEntity">
    <vt:lpwstr/>
  </property>
  <property fmtid="{D5CDD505-2E9C-101B-9397-08002B2CF9AE}" pid="24" name="_dlc_DocId">
    <vt:lpwstr>C7UJ6YHJ5CC2-1592485590-263</vt:lpwstr>
  </property>
  <property fmtid="{D5CDD505-2E9C-101B-9397-08002B2CF9AE}" pid="25" name="_dlc_DocIdItemGuid">
    <vt:lpwstr>62f92772-cc61-4af7-8698-cf06e48bbb37</vt:lpwstr>
  </property>
  <property fmtid="{D5CDD505-2E9C-101B-9397-08002B2CF9AE}" pid="26" name="_dlc_DocIdUrl">
    <vt:lpwstr>https://dia.cohesion.net.nz/Sites/TAU/PLM/POLA/_layouts/15/DocIdRedir.aspx?ID=C7UJ6YHJ5CC2-1592485590-263, C7UJ6YHJ5CC2-1592485590-263</vt:lpwstr>
  </property>
  <property fmtid="{D5CDD505-2E9C-101B-9397-08002B2CF9AE}" pid="27" name="dc77fd6bf4f94c2eb7a3adb956a5a255">
    <vt:lpwstr/>
  </property>
  <property fmtid="{D5CDD505-2E9C-101B-9397-08002B2CF9AE}" pid="28" name="C3Topic">
    <vt:lpwstr/>
  </property>
  <property fmtid="{D5CDD505-2E9C-101B-9397-08002B2CF9AE}" pid="29" name="DIAMediaDocumentType">
    <vt:lpwstr/>
  </property>
  <property fmtid="{D5CDD505-2E9C-101B-9397-08002B2CF9AE}" pid="30" name="DIAReportDocumentType">
    <vt:lpwstr/>
  </property>
  <property fmtid="{D5CDD505-2E9C-101B-9397-08002B2CF9AE}" pid="31" name="TaxKeyword">
    <vt:lpwstr/>
  </property>
  <property fmtid="{D5CDD505-2E9C-101B-9397-08002B2CF9AE}" pid="32" name="DIAMeetingDocumentType">
    <vt:lpwstr/>
  </property>
  <property fmtid="{D5CDD505-2E9C-101B-9397-08002B2CF9AE}" pid="33" name="i728ee98c6d349899933cdb7aae1970b">
    <vt:lpwstr/>
  </property>
  <property fmtid="{D5CDD505-2E9C-101B-9397-08002B2CF9AE}" pid="34" name="ContentTypeId">
    <vt:lpwstr>0x0101005496552013C0BA46BE88192D5C6EB20B00BC5596E001ADA740970B7D8A6FC249310052AD7B428202B146A28260C8A9ACC680</vt:lpwstr>
  </property>
  <property fmtid="{D5CDD505-2E9C-101B-9397-08002B2CF9AE}" pid="35" name="ib51272164ae4fd1b5d6e18c70d7fbcd">
    <vt:lpwstr/>
  </property>
  <property fmtid="{D5CDD505-2E9C-101B-9397-08002B2CF9AE}" pid="36" name="kc53dc1c8a60457f9291c117fc1d0b4f">
    <vt:lpwstr/>
  </property>
  <property fmtid="{D5CDD505-2E9C-101B-9397-08002B2CF9AE}" pid="37" name="DIAAdministrationDocumentType">
    <vt:lpwstr>97;#Memorandum|e81f9091-2347-4870-8d3c-2bac1e0b732c</vt:lpwstr>
  </property>
  <property fmtid="{D5CDD505-2E9C-101B-9397-08002B2CF9AE}" pid="38" name="DIABriefingAudience">
    <vt:lpwstr/>
  </property>
  <property fmtid="{D5CDD505-2E9C-101B-9397-08002B2CF9AE}" pid="39" name="ae9211cf396d44a3a95254cec5e0b1c4">
    <vt:lpwstr/>
  </property>
  <property fmtid="{D5CDD505-2E9C-101B-9397-08002B2CF9AE}" pid="40" name="a3f300a9e27343eca3de50687384c3f2">
    <vt:lpwstr>Memorandum|e81f9091-2347-4870-8d3c-2bac1e0b732c</vt:lpwstr>
  </property>
  <property fmtid="{D5CDD505-2E9C-101B-9397-08002B2CF9AE}" pid="41" name="DIABriefingType">
    <vt:lpwstr/>
  </property>
  <property fmtid="{D5CDD505-2E9C-101B-9397-08002B2CF9AE}" pid="42" name="EmReceivedByName">
    <vt:lpwstr/>
  </property>
  <property fmtid="{D5CDD505-2E9C-101B-9397-08002B2CF9AE}" pid="43" name="DIAParentID">
    <vt:lpwstr/>
  </property>
  <property fmtid="{D5CDD505-2E9C-101B-9397-08002B2CF9AE}" pid="44" name="DIAFolderDetails">
    <vt:lpwstr/>
  </property>
  <property fmtid="{D5CDD505-2E9C-101B-9397-08002B2CF9AE}" pid="45" name="DIADocumentEmailFields">
    <vt:lpwstr/>
  </property>
  <property fmtid="{D5CDD505-2E9C-101B-9397-08002B2CF9AE}" pid="46" name="DIAAuditHistory">
    <vt:lpwstr/>
  </property>
  <property fmtid="{D5CDD505-2E9C-101B-9397-08002B2CF9AE}" pid="47" name="DocumentSetDescription">
    <vt:lpwstr/>
  </property>
  <property fmtid="{D5CDD505-2E9C-101B-9397-08002B2CF9AE}" pid="48" name="DIAClassificationLevel3">
    <vt:lpwstr/>
  </property>
  <property fmtid="{D5CDD505-2E9C-101B-9397-08002B2CF9AE}" pid="49" name="EmSubject">
    <vt:lpwstr/>
  </property>
  <property fmtid="{D5CDD505-2E9C-101B-9397-08002B2CF9AE}" pid="50" name="EmToAddress">
    <vt:lpwstr/>
  </property>
  <property fmtid="{D5CDD505-2E9C-101B-9397-08002B2CF9AE}" pid="51" name="DIAOffsiteType">
    <vt:lpwstr/>
  </property>
  <property fmtid="{D5CDD505-2E9C-101B-9397-08002B2CF9AE}" pid="52" name="DIAFolderNamedAccess">
    <vt:lpwstr/>
  </property>
  <property fmtid="{D5CDD505-2E9C-101B-9397-08002B2CF9AE}" pid="53" name="EmCategory">
    <vt:lpwstr/>
  </property>
  <property fmtid="{D5CDD505-2E9C-101B-9397-08002B2CF9AE}" pid="54" name="EmConversationIndex">
    <vt:lpwstr/>
  </property>
  <property fmtid="{D5CDD505-2E9C-101B-9397-08002B2CF9AE}" pid="55" name="EmBody">
    <vt:lpwstr/>
  </property>
  <property fmtid="{D5CDD505-2E9C-101B-9397-08002B2CF9AE}" pid="56" name="DIAGroupPermissions">
    <vt:lpwstr/>
  </property>
  <property fmtid="{D5CDD505-2E9C-101B-9397-08002B2CF9AE}" pid="57" name="DIALegacyNotes">
    <vt:lpwstr/>
  </property>
  <property fmtid="{D5CDD505-2E9C-101B-9397-08002B2CF9AE}" pid="58" name="DIAClassificationLevel4">
    <vt:lpwstr/>
  </property>
  <property fmtid="{D5CDD505-2E9C-101B-9397-08002B2CF9AE}" pid="59" name="DIALegacyVersionNumberDIA">
    <vt:lpwstr/>
  </property>
  <property fmtid="{D5CDD505-2E9C-101B-9397-08002B2CF9AE}" pid="60" name="EmCC">
    <vt:lpwstr/>
  </property>
  <property fmtid="{D5CDD505-2E9C-101B-9397-08002B2CF9AE}" pid="61" name="EmFromName">
    <vt:lpwstr/>
  </property>
  <property fmtid="{D5CDD505-2E9C-101B-9397-08002B2CF9AE}" pid="62" name="EmBCCSMTPAddress">
    <vt:lpwstr/>
  </property>
  <property fmtid="{D5CDD505-2E9C-101B-9397-08002B2CF9AE}" pid="63" name="DIASourceDataSource">
    <vt:lpwstr/>
  </property>
  <property fmtid="{D5CDD505-2E9C-101B-9397-08002B2CF9AE}" pid="64" name="DIALegacyModifiedByDIA">
    <vt:lpwstr/>
  </property>
  <property fmtid="{D5CDD505-2E9C-101B-9397-08002B2CF9AE}" pid="65" name="EmTo">
    <vt:lpwstr/>
  </property>
  <property fmtid="{D5CDD505-2E9C-101B-9397-08002B2CF9AE}" pid="66" name="EmType">
    <vt:lpwstr/>
  </property>
  <property fmtid="{D5CDD505-2E9C-101B-9397-08002B2CF9AE}" pid="67" name="EmToSMTPAddress">
    <vt:lpwstr/>
  </property>
  <property fmtid="{D5CDD505-2E9C-101B-9397-08002B2CF9AE}" pid="68" name="DIADocumentIdentifier">
    <vt:lpwstr/>
  </property>
  <property fmtid="{D5CDD505-2E9C-101B-9397-08002B2CF9AE}" pid="69" name="DIALegacySecurityClassification">
    <vt:lpwstr/>
  </property>
  <property fmtid="{D5CDD505-2E9C-101B-9397-08002B2CF9AE}" pid="70" name="DIAFolderComments">
    <vt:lpwstr/>
  </property>
  <property fmtid="{D5CDD505-2E9C-101B-9397-08002B2CF9AE}" pid="71" name="DIALegacyDocumentIDDIA">
    <vt:lpwstr/>
  </property>
  <property fmtid="{D5CDD505-2E9C-101B-9397-08002B2CF9AE}" pid="72" name="DIAFolderMedium">
    <vt:lpwstr/>
  </property>
  <property fmtid="{D5CDD505-2E9C-101B-9397-08002B2CF9AE}" pid="73" name="DIAFolderStatus">
    <vt:lpwstr/>
  </property>
  <property fmtid="{D5CDD505-2E9C-101B-9397-08002B2CF9AE}" pid="74" name="DIADocumentDetails">
    <vt:lpwstr/>
  </property>
  <property fmtid="{D5CDD505-2E9C-101B-9397-08002B2CF9AE}" pid="75" name="URL">
    <vt:lpwstr/>
  </property>
  <property fmtid="{D5CDD505-2E9C-101B-9397-08002B2CF9AE}" pid="76" name="DIAClassificationLevel5">
    <vt:lpwstr/>
  </property>
  <property fmtid="{D5CDD505-2E9C-101B-9397-08002B2CF9AE}" pid="77" name="EmCon">
    <vt:lpwstr/>
  </property>
  <property fmtid="{D5CDD505-2E9C-101B-9397-08002B2CF9AE}" pid="78" name="DIADocumentPublicationState">
    <vt:lpwstr/>
  </property>
  <property fmtid="{D5CDD505-2E9C-101B-9397-08002B2CF9AE}" pid="79" name="DIANamedAccess">
    <vt:lpwstr/>
  </property>
  <property fmtid="{D5CDD505-2E9C-101B-9397-08002B2CF9AE}" pid="80" name="DIAFolderBoxInformation">
    <vt:lpwstr/>
  </property>
  <property fmtid="{D5CDD505-2E9C-101B-9397-08002B2CF9AE}" pid="81" name="EmCompanies">
    <vt:lpwstr/>
  </property>
  <property fmtid="{D5CDD505-2E9C-101B-9397-08002B2CF9AE}" pid="82" name="EmFromSMTPAddress">
    <vt:lpwstr/>
  </property>
  <property fmtid="{D5CDD505-2E9C-101B-9397-08002B2CF9AE}" pid="83" name="DIADocumentTypeDIA">
    <vt:lpwstr/>
  </property>
  <property fmtid="{D5CDD505-2E9C-101B-9397-08002B2CF9AE}" pid="84" name="DIALoanStatus">
    <vt:lpwstr/>
  </property>
  <property fmtid="{D5CDD505-2E9C-101B-9397-08002B2CF9AE}" pid="85" name="EmAttachCount">
    <vt:lpwstr/>
  </property>
  <property fmtid="{D5CDD505-2E9C-101B-9397-08002B2CF9AE}" pid="86" name="DIALegacyCreatedByDIA">
    <vt:lpwstr/>
  </property>
  <property fmtid="{D5CDD505-2E9C-101B-9397-08002B2CF9AE}" pid="87" name="DIALegacyCommentsDIA">
    <vt:lpwstr/>
  </property>
  <property fmtid="{D5CDD505-2E9C-101B-9397-08002B2CF9AE}" pid="88" name="EmReceivedOnBehalfOfName">
    <vt:lpwstr/>
  </property>
  <property fmtid="{D5CDD505-2E9C-101B-9397-08002B2CF9AE}" pid="89" name="DIABusinessActivity">
    <vt:lpwstr/>
  </property>
  <property fmtid="{D5CDD505-2E9C-101B-9397-08002B2CF9AE}" pid="90" name="DIAClassificationLevel6">
    <vt:lpwstr/>
  </property>
  <property fmtid="{D5CDD505-2E9C-101B-9397-08002B2CF9AE}" pid="91" name="DIADocumentAuthor">
    <vt:lpwstr/>
  </property>
  <property fmtid="{D5CDD505-2E9C-101B-9397-08002B2CF9AE}" pid="92" name="DIAFolderGroupPermissions">
    <vt:lpwstr/>
  </property>
  <property fmtid="{D5CDD505-2E9C-101B-9397-08002B2CF9AE}" pid="93" name="DIAClassificationLevel1">
    <vt:lpwstr/>
  </property>
  <property fmtid="{D5CDD505-2E9C-101B-9397-08002B2CF9AE}" pid="94" name="DIARelatedItems">
    <vt:lpwstr/>
  </property>
  <property fmtid="{D5CDD505-2E9C-101B-9397-08002B2CF9AE}" pid="95" name="EmRetentionPolicyName">
    <vt:lpwstr/>
  </property>
  <property fmtid="{D5CDD505-2E9C-101B-9397-08002B2CF9AE}" pid="96" name="EmReplyRecipientNames">
    <vt:lpwstr/>
  </property>
  <property fmtid="{D5CDD505-2E9C-101B-9397-08002B2CF9AE}" pid="97" name="EmReplyRecipients">
    <vt:lpwstr/>
  </property>
  <property fmtid="{D5CDD505-2E9C-101B-9397-08002B2CF9AE}" pid="98" name="DIAFolderName">
    <vt:lpwstr/>
  </property>
  <property fmtid="{D5CDD505-2E9C-101B-9397-08002B2CF9AE}" pid="99" name="EmFrom">
    <vt:lpwstr/>
  </property>
  <property fmtid="{D5CDD505-2E9C-101B-9397-08002B2CF9AE}" pid="100" name="EmAttachmentNames">
    <vt:lpwstr/>
  </property>
  <property fmtid="{D5CDD505-2E9C-101B-9397-08002B2CF9AE}" pid="101" name="EmSentOnBehalfOfName">
    <vt:lpwstr/>
  </property>
  <property fmtid="{D5CDD505-2E9C-101B-9397-08002B2CF9AE}" pid="102" name="DIASourceLocation">
    <vt:lpwstr/>
  </property>
  <property fmtid="{D5CDD505-2E9C-101B-9397-08002B2CF9AE}" pid="103" name="DIALegacyFolderID">
    <vt:lpwstr/>
  </property>
  <property fmtid="{D5CDD505-2E9C-101B-9397-08002B2CF9AE}" pid="104" name="EmConversationID">
    <vt:lpwstr/>
  </property>
  <property fmtid="{D5CDD505-2E9C-101B-9397-08002B2CF9AE}" pid="105" name="EmCCSMTPAddress">
    <vt:lpwstr/>
  </property>
  <property fmtid="{D5CDD505-2E9C-101B-9397-08002B2CF9AE}" pid="106" name="DIADocumentMedium">
    <vt:lpwstr/>
  </property>
  <property fmtid="{D5CDD505-2E9C-101B-9397-08002B2CF9AE}" pid="107" name="EmBCC">
    <vt:lpwstr/>
  </property>
  <property fmtid="{D5CDD505-2E9C-101B-9397-08002B2CF9AE}" pid="108" name="EmID">
    <vt:lpwstr/>
  </property>
  <property fmtid="{D5CDD505-2E9C-101B-9397-08002B2CF9AE}" pid="109" name="DIAClassificationLevel2">
    <vt:lpwstr/>
  </property>
  <property fmtid="{D5CDD505-2E9C-101B-9397-08002B2CF9AE}" pid="110" name="DIAFolderBoxID">
    <vt:lpwstr/>
  </property>
  <property fmtid="{D5CDD505-2E9C-101B-9397-08002B2CF9AE}" pid="111" name="DIADocumentRegisteredBy">
    <vt:lpwstr/>
  </property>
  <property fmtid="{D5CDD505-2E9C-101B-9397-08002B2CF9AE}" pid="112" name="_docset_NoMedatataSyncRequired">
    <vt:lpwstr>False</vt:lpwstr>
  </property>
  <property fmtid="{D5CDD505-2E9C-101B-9397-08002B2CF9AE}" pid="113" name="DIAPlanningDocumentType">
    <vt:lpwstr/>
  </property>
  <property fmtid="{D5CDD505-2E9C-101B-9397-08002B2CF9AE}" pid="114" name="b3171456abc4481dab3ae110dda24841">
    <vt:lpwstr/>
  </property>
</Properties>
</file>