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43A6" w14:textId="6520038D" w:rsidR="006B190C" w:rsidRDefault="006B190C" w:rsidP="006B190C">
      <w:pPr>
        <w:pStyle w:val="Heading2"/>
      </w:pPr>
      <w:r w:rsidRPr="006B190C">
        <w:t xml:space="preserve">Te Tari </w:t>
      </w:r>
      <w:proofErr w:type="spellStart"/>
      <w:r w:rsidRPr="006B190C">
        <w:t>Taiwhenua</w:t>
      </w:r>
      <w:proofErr w:type="spellEnd"/>
      <w:r w:rsidRPr="006B190C">
        <w:t xml:space="preserve"> Department of </w:t>
      </w:r>
      <w:r w:rsidR="00152E9B">
        <w:t>I</w:t>
      </w:r>
      <w:r w:rsidRPr="006B190C">
        <w:t>nternal Affairs</w:t>
      </w:r>
    </w:p>
    <w:p w14:paraId="4DBC0C5A" w14:textId="77777777" w:rsidR="006B190C" w:rsidRPr="006B190C" w:rsidRDefault="006B190C" w:rsidP="006B190C">
      <w:pPr>
        <w:pStyle w:val="Tinyline"/>
      </w:pPr>
    </w:p>
    <w:p w14:paraId="4CFC6962" w14:textId="3FB1533C" w:rsidR="00C75CED" w:rsidRPr="006B190C" w:rsidRDefault="00C75CED" w:rsidP="006B190C">
      <w:pPr>
        <w:pStyle w:val="Heading2"/>
      </w:pPr>
      <w:r w:rsidRPr="006B190C">
        <w:t xml:space="preserve">Kia </w:t>
      </w:r>
      <w:proofErr w:type="spellStart"/>
      <w:r w:rsidRPr="006B190C">
        <w:t>Toipoto</w:t>
      </w:r>
      <w:proofErr w:type="spellEnd"/>
      <w:r w:rsidRPr="006B190C">
        <w:t xml:space="preserve"> – Closing Gender, Māori, Pacific</w:t>
      </w:r>
      <w:r w:rsidR="00D84256">
        <w:t>,</w:t>
      </w:r>
      <w:r w:rsidRPr="006B190C">
        <w:t xml:space="preserve"> and Ethnic Pay Gaps</w:t>
      </w:r>
      <w:r w:rsidR="006B190C" w:rsidRPr="006B190C">
        <w:t xml:space="preserve"> </w:t>
      </w:r>
      <w:r w:rsidRPr="006B190C">
        <w:t>Action Plan 2023</w:t>
      </w:r>
      <w:r w:rsidR="006B190C" w:rsidRPr="006B190C">
        <w:t>-2024</w:t>
      </w:r>
    </w:p>
    <w:p w14:paraId="13F37E64" w14:textId="77777777" w:rsidR="006B190C" w:rsidRDefault="006B190C" w:rsidP="006B190C">
      <w:pPr>
        <w:pStyle w:val="Tinyline"/>
      </w:pPr>
    </w:p>
    <w:p w14:paraId="00C14D81" w14:textId="6A432C8D" w:rsidR="006B190C" w:rsidRDefault="006B190C" w:rsidP="006B190C">
      <w:pPr>
        <w:pStyle w:val="Heading3"/>
      </w:pPr>
      <w:r>
        <w:t>Introduction</w:t>
      </w:r>
    </w:p>
    <w:p w14:paraId="725E9805" w14:textId="030FC7A9" w:rsidR="00A3013C" w:rsidRPr="00A3013C" w:rsidRDefault="00A968B3" w:rsidP="00A3013C">
      <w:pPr>
        <w:rPr>
          <w:b/>
          <w:bCs/>
        </w:rPr>
      </w:pPr>
      <w:r>
        <w:t xml:space="preserve">Kia </w:t>
      </w:r>
      <w:proofErr w:type="spellStart"/>
      <w:r>
        <w:t>Toipoto</w:t>
      </w:r>
      <w:proofErr w:type="spellEnd"/>
      <w:r>
        <w:t>, the Public Service Action Plan 2021 – 2024</w:t>
      </w:r>
      <w:r w:rsidR="00A3013C">
        <w:t>,</w:t>
      </w:r>
      <w:r w:rsidR="00C35B2F">
        <w:t xml:space="preserve"> is </w:t>
      </w:r>
      <w:r w:rsidR="00A3013C" w:rsidRPr="00A3013C">
        <w:t>a three-year action plan to be implemented by agencies and Crown entities over 2021-24</w:t>
      </w:r>
      <w:r w:rsidR="00A3013C">
        <w:t xml:space="preserve"> to better address </w:t>
      </w:r>
      <w:r w:rsidR="00BB7AE4">
        <w:t xml:space="preserve">gender and other </w:t>
      </w:r>
      <w:r w:rsidR="00A3013C" w:rsidRPr="00A3013C">
        <w:t>pay gaps</w:t>
      </w:r>
      <w:r w:rsidR="00A3013C">
        <w:t>.</w:t>
      </w:r>
    </w:p>
    <w:p w14:paraId="1FFA1337" w14:textId="07DEE2E5" w:rsidR="00A968B3" w:rsidRDefault="004955ED" w:rsidP="00A968B3">
      <w:r>
        <w:t xml:space="preserve">The Kia </w:t>
      </w:r>
      <w:proofErr w:type="spellStart"/>
      <w:r>
        <w:t>Toipoto</w:t>
      </w:r>
      <w:proofErr w:type="spellEnd"/>
      <w:r>
        <w:t xml:space="preserve"> </w:t>
      </w:r>
      <w:r w:rsidR="00281C86">
        <w:t>three-year</w:t>
      </w:r>
      <w:r w:rsidR="00A968B3">
        <w:t xml:space="preserve"> goals are</w:t>
      </w:r>
      <w:r w:rsidR="00281C86">
        <w:t xml:space="preserve"> to</w:t>
      </w:r>
      <w:r w:rsidR="00A968B3">
        <w:t>:</w:t>
      </w:r>
    </w:p>
    <w:p w14:paraId="3ABA0D51" w14:textId="77777777" w:rsidR="00A968B3" w:rsidRDefault="00A968B3" w:rsidP="00A968B3">
      <w:pPr>
        <w:pStyle w:val="ListParagraph"/>
        <w:numPr>
          <w:ilvl w:val="0"/>
          <w:numId w:val="26"/>
        </w:numPr>
      </w:pPr>
      <w:r>
        <w:t>make substantial progress towards closing gender, Māori, Pacific, and ethnic pay gaps</w:t>
      </w:r>
    </w:p>
    <w:p w14:paraId="68579F06" w14:textId="77777777" w:rsidR="00A968B3" w:rsidRDefault="00A968B3" w:rsidP="00A968B3">
      <w:pPr>
        <w:pStyle w:val="ListParagraph"/>
        <w:numPr>
          <w:ilvl w:val="0"/>
          <w:numId w:val="26"/>
        </w:numPr>
      </w:pPr>
      <w:r>
        <w:t xml:space="preserve">accelerate progress for </w:t>
      </w:r>
      <w:proofErr w:type="spellStart"/>
      <w:r>
        <w:t>wāhine</w:t>
      </w:r>
      <w:proofErr w:type="spellEnd"/>
      <w:r>
        <w:t xml:space="preserve"> Māori, Pacific women, and women from ethnic communities</w:t>
      </w:r>
    </w:p>
    <w:p w14:paraId="355157E7" w14:textId="460CAB63" w:rsidR="00A968B3" w:rsidRDefault="00A968B3" w:rsidP="00A968B3">
      <w:pPr>
        <w:pStyle w:val="ListParagraph"/>
        <w:numPr>
          <w:ilvl w:val="0"/>
          <w:numId w:val="26"/>
        </w:numPr>
      </w:pPr>
      <w:r>
        <w:t>create fairer workplaces for all, including disabled people and members of rainbow communities.</w:t>
      </w:r>
    </w:p>
    <w:p w14:paraId="25F0B8D6" w14:textId="77777777" w:rsidR="00BB7AE4" w:rsidRDefault="00A968B3" w:rsidP="00A968B3">
      <w:r>
        <w:t xml:space="preserve">This Action Plan sets out the Te Tari </w:t>
      </w:r>
      <w:proofErr w:type="spellStart"/>
      <w:r>
        <w:t>Taiwhenua</w:t>
      </w:r>
      <w:proofErr w:type="spellEnd"/>
      <w:r>
        <w:t xml:space="preserve">, Department of Internal Affairs commitment to the Kia </w:t>
      </w:r>
      <w:proofErr w:type="spellStart"/>
      <w:r>
        <w:t>Toipoto</w:t>
      </w:r>
      <w:proofErr w:type="spellEnd"/>
      <w:r>
        <w:t xml:space="preserve"> goals and continue to reduce gender and ethnic pay gaps. </w:t>
      </w:r>
      <w:r w:rsidR="00BB7AE4">
        <w:t xml:space="preserve">This plan builds on our work to close gender pay gaps and our Gender Pay Gap Action Plan 2022. </w:t>
      </w:r>
    </w:p>
    <w:p w14:paraId="1A1A4052" w14:textId="1C73EA50" w:rsidR="00C75CED" w:rsidRDefault="00A968B3" w:rsidP="00A968B3">
      <w:r>
        <w:t>Th</w:t>
      </w:r>
      <w:r w:rsidR="00BB7AE4">
        <w:t xml:space="preserve">e development of this plan </w:t>
      </w:r>
      <w:r w:rsidR="005D02A8">
        <w:t xml:space="preserve">has been </w:t>
      </w:r>
      <w:r w:rsidR="004955ED">
        <w:t xml:space="preserve">completed </w:t>
      </w:r>
      <w:r>
        <w:t>in conjunction with the Public Service Association (PSA).</w:t>
      </w:r>
      <w:r w:rsidR="00BB7AE4">
        <w:t xml:space="preserve"> </w:t>
      </w:r>
    </w:p>
    <w:p w14:paraId="5E41EA1F" w14:textId="3C5EBA7E" w:rsidR="006B190C" w:rsidRDefault="006B190C" w:rsidP="006B190C">
      <w:pPr>
        <w:pStyle w:val="Heading3"/>
      </w:pPr>
      <w:r>
        <w:t>Our progress</w:t>
      </w:r>
    </w:p>
    <w:p w14:paraId="1B8CF79D" w14:textId="4D06C68F" w:rsidR="00152E9B" w:rsidRDefault="00152E9B" w:rsidP="00152E9B">
      <w:pPr>
        <w:pStyle w:val="Heading4"/>
      </w:pPr>
      <w:r>
        <w:t>Gender diversity</w:t>
      </w:r>
    </w:p>
    <w:p w14:paraId="40410838" w14:textId="02905712" w:rsidR="00152E9B" w:rsidRDefault="00152E9B" w:rsidP="00152E9B">
      <w:r>
        <w:t xml:space="preserve">Women are strongly represented in Te Tari </w:t>
      </w:r>
      <w:proofErr w:type="spellStart"/>
      <w:r>
        <w:t>Taiwhenua</w:t>
      </w:r>
      <w:proofErr w:type="spellEnd"/>
      <w:r>
        <w:t xml:space="preserve"> with 62.7% identifying as female, 36.2% identifying as male and 1.1% as gender diverse or have not provided information on their gender.</w:t>
      </w:r>
    </w:p>
    <w:p w14:paraId="4D91A562" w14:textId="17FC2C6D" w:rsidR="00D829F1" w:rsidRDefault="00D829F1" w:rsidP="00152E9B">
      <w:pPr>
        <w:pStyle w:val="Heading4"/>
      </w:pPr>
      <w:r>
        <w:t xml:space="preserve">Gender </w:t>
      </w:r>
      <w:proofErr w:type="gramStart"/>
      <w:r>
        <w:t>pay</w:t>
      </w:r>
      <w:proofErr w:type="gramEnd"/>
      <w:r>
        <w:t xml:space="preserve"> gap</w:t>
      </w:r>
    </w:p>
    <w:p w14:paraId="2392B836" w14:textId="484A3116" w:rsidR="00E16C83" w:rsidRDefault="00E16C83" w:rsidP="00E16C83">
      <w:r>
        <w:t xml:space="preserve">We continue to </w:t>
      </w:r>
      <w:r w:rsidR="00BB7AE4">
        <w:t xml:space="preserve">make substantial progress to </w:t>
      </w:r>
      <w:r>
        <w:t xml:space="preserve">reduce our gender pay gap, which is measured as the difference between the average salary for women and for men. </w:t>
      </w:r>
      <w:proofErr w:type="gramStart"/>
      <w:r w:rsidR="00D829F1">
        <w:t>At</w:t>
      </w:r>
      <w:proofErr w:type="gramEnd"/>
      <w:r w:rsidR="00D829F1">
        <w:t xml:space="preserve"> </w:t>
      </w:r>
      <w:r>
        <w:t xml:space="preserve">30 June 2022, </w:t>
      </w:r>
      <w:r w:rsidR="00B71734">
        <w:t>the average salary for women was $</w:t>
      </w:r>
      <w:r w:rsidR="006D157A">
        <w:t>91,813,</w:t>
      </w:r>
      <w:r w:rsidR="00B71734">
        <w:t xml:space="preserve"> </w:t>
      </w:r>
      <w:r>
        <w:t>the gender pay gap was 8.5 percent, a reduction of 3.6 percent</w:t>
      </w:r>
      <w:r w:rsidR="00BB7AE4">
        <w:t>age points</w:t>
      </w:r>
      <w:r>
        <w:t xml:space="preserve"> from the previous year</w:t>
      </w:r>
      <w:r w:rsidR="00D829F1">
        <w:t xml:space="preserve"> and a reduction of 7.5</w:t>
      </w:r>
      <w:r w:rsidR="00BB7AE4">
        <w:t xml:space="preserve"> percentage points</w:t>
      </w:r>
      <w:r w:rsidR="00D829F1">
        <w:t xml:space="preserve"> over the last five years</w:t>
      </w:r>
      <w:r>
        <w:t xml:space="preserve">. </w:t>
      </w:r>
    </w:p>
    <w:p w14:paraId="3D0F7027" w14:textId="77777777" w:rsidR="00152E9B" w:rsidRDefault="00152E9B" w:rsidP="00E16C83"/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532"/>
        <w:gridCol w:w="1527"/>
        <w:gridCol w:w="1530"/>
        <w:gridCol w:w="1530"/>
        <w:gridCol w:w="1530"/>
        <w:gridCol w:w="1530"/>
      </w:tblGrid>
      <w:tr w:rsidR="00152E9B" w14:paraId="37C3D580" w14:textId="77777777" w:rsidTr="00D8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2" w:type="dxa"/>
          </w:tcPr>
          <w:p w14:paraId="0E1254C7" w14:textId="77777777" w:rsidR="001F0495" w:rsidRDefault="001F0495" w:rsidP="00E16C83"/>
        </w:tc>
        <w:tc>
          <w:tcPr>
            <w:tcW w:w="1527" w:type="dxa"/>
          </w:tcPr>
          <w:p w14:paraId="704B00ED" w14:textId="7C50B301" w:rsidR="001F0495" w:rsidRDefault="00A3013C" w:rsidP="00A3013C">
            <w:pPr>
              <w:tabs>
                <w:tab w:val="center" w:pos="655"/>
              </w:tabs>
            </w:pPr>
            <w:r>
              <w:tab/>
              <w:t xml:space="preserve">June </w:t>
            </w:r>
            <w:r w:rsidR="001F0495">
              <w:t>2022</w:t>
            </w:r>
          </w:p>
        </w:tc>
        <w:tc>
          <w:tcPr>
            <w:tcW w:w="1530" w:type="dxa"/>
          </w:tcPr>
          <w:p w14:paraId="086F6B81" w14:textId="7A6FCC0D" w:rsidR="001F0495" w:rsidRDefault="00A3013C" w:rsidP="001F0495">
            <w:pPr>
              <w:jc w:val="center"/>
            </w:pPr>
            <w:r>
              <w:t xml:space="preserve">June </w:t>
            </w:r>
            <w:r w:rsidR="001F0495">
              <w:t>2021</w:t>
            </w:r>
          </w:p>
        </w:tc>
        <w:tc>
          <w:tcPr>
            <w:tcW w:w="1530" w:type="dxa"/>
          </w:tcPr>
          <w:p w14:paraId="357BDA74" w14:textId="1D26C76F" w:rsidR="001F0495" w:rsidRDefault="00A3013C" w:rsidP="001F0495">
            <w:pPr>
              <w:jc w:val="center"/>
            </w:pPr>
            <w:r>
              <w:t xml:space="preserve">June </w:t>
            </w:r>
            <w:r w:rsidR="001F0495">
              <w:t>2020</w:t>
            </w:r>
          </w:p>
        </w:tc>
        <w:tc>
          <w:tcPr>
            <w:tcW w:w="1530" w:type="dxa"/>
          </w:tcPr>
          <w:p w14:paraId="6B785C85" w14:textId="114306C7" w:rsidR="001F0495" w:rsidRDefault="00A3013C" w:rsidP="001F0495">
            <w:pPr>
              <w:jc w:val="center"/>
            </w:pPr>
            <w:r>
              <w:t xml:space="preserve">June </w:t>
            </w:r>
            <w:r w:rsidR="001F0495">
              <w:t>2019</w:t>
            </w:r>
          </w:p>
        </w:tc>
        <w:tc>
          <w:tcPr>
            <w:tcW w:w="1530" w:type="dxa"/>
          </w:tcPr>
          <w:p w14:paraId="038245FE" w14:textId="43B4B3D2" w:rsidR="001F0495" w:rsidRDefault="00A3013C" w:rsidP="001F0495">
            <w:pPr>
              <w:jc w:val="center"/>
            </w:pPr>
            <w:r>
              <w:t xml:space="preserve">June </w:t>
            </w:r>
            <w:r w:rsidR="001F0495">
              <w:t>2018</w:t>
            </w:r>
          </w:p>
        </w:tc>
      </w:tr>
      <w:tr w:rsidR="00152E9B" w14:paraId="7431C9F5" w14:textId="77777777" w:rsidTr="00D829F1">
        <w:tc>
          <w:tcPr>
            <w:tcW w:w="1532" w:type="dxa"/>
          </w:tcPr>
          <w:p w14:paraId="6EE25A20" w14:textId="12A0CF79" w:rsidR="001F0495" w:rsidRDefault="001F0495" w:rsidP="00E16C83">
            <w:r>
              <w:t>Average gap</w:t>
            </w:r>
          </w:p>
        </w:tc>
        <w:tc>
          <w:tcPr>
            <w:tcW w:w="1527" w:type="dxa"/>
          </w:tcPr>
          <w:p w14:paraId="7CA87A87" w14:textId="230137A7" w:rsidR="001F0495" w:rsidRDefault="001F0495" w:rsidP="001F0495">
            <w:pPr>
              <w:jc w:val="center"/>
            </w:pPr>
            <w:r>
              <w:t>8.5%</w:t>
            </w:r>
          </w:p>
        </w:tc>
        <w:tc>
          <w:tcPr>
            <w:tcW w:w="1530" w:type="dxa"/>
          </w:tcPr>
          <w:p w14:paraId="66718573" w14:textId="00C0CBA0" w:rsidR="001F0495" w:rsidRDefault="001F0495" w:rsidP="001F0495">
            <w:pPr>
              <w:jc w:val="center"/>
            </w:pPr>
            <w:r>
              <w:t>12.1%</w:t>
            </w:r>
          </w:p>
        </w:tc>
        <w:tc>
          <w:tcPr>
            <w:tcW w:w="1530" w:type="dxa"/>
          </w:tcPr>
          <w:p w14:paraId="2C198916" w14:textId="23524C02" w:rsidR="001F0495" w:rsidRDefault="00D829F1" w:rsidP="001F0495">
            <w:pPr>
              <w:jc w:val="center"/>
            </w:pPr>
            <w:r>
              <w:t>13.9%</w:t>
            </w:r>
          </w:p>
        </w:tc>
        <w:tc>
          <w:tcPr>
            <w:tcW w:w="1530" w:type="dxa"/>
          </w:tcPr>
          <w:p w14:paraId="6AACD194" w14:textId="59A9E45A" w:rsidR="001F0495" w:rsidRDefault="00D829F1" w:rsidP="001F0495">
            <w:pPr>
              <w:jc w:val="center"/>
            </w:pPr>
            <w:r>
              <w:t>14.3%</w:t>
            </w:r>
          </w:p>
        </w:tc>
        <w:tc>
          <w:tcPr>
            <w:tcW w:w="1530" w:type="dxa"/>
          </w:tcPr>
          <w:p w14:paraId="02F10AA3" w14:textId="2A665964" w:rsidR="001F0495" w:rsidRDefault="00D829F1" w:rsidP="001F0495">
            <w:pPr>
              <w:jc w:val="center"/>
            </w:pPr>
            <w:r>
              <w:t>16.0%</w:t>
            </w:r>
          </w:p>
        </w:tc>
      </w:tr>
    </w:tbl>
    <w:p w14:paraId="54F812F8" w14:textId="77777777" w:rsidR="00D829F1" w:rsidRDefault="00D829F1" w:rsidP="00D829F1">
      <w:pPr>
        <w:pStyle w:val="Tinyline"/>
      </w:pPr>
    </w:p>
    <w:p w14:paraId="29FFBAF4" w14:textId="21899E51" w:rsidR="009D2F15" w:rsidRDefault="009D2F15" w:rsidP="009D2F15">
      <w:r>
        <w:t xml:space="preserve">The primary driver for the gender </w:t>
      </w:r>
      <w:proofErr w:type="gramStart"/>
      <w:r>
        <w:t>pay</w:t>
      </w:r>
      <w:proofErr w:type="gramEnd"/>
      <w:r>
        <w:t xml:space="preserve"> gap continues to be the high proportion of women in lower and mid-level positions.</w:t>
      </w:r>
    </w:p>
    <w:p w14:paraId="378B4E49" w14:textId="694F2527" w:rsidR="00B71734" w:rsidRDefault="00B71734" w:rsidP="009D2F15">
      <w:r w:rsidRPr="00BB7AE4">
        <w:t xml:space="preserve">In June 2022 Te Tari </w:t>
      </w:r>
      <w:proofErr w:type="spellStart"/>
      <w:r w:rsidRPr="00BB7AE4">
        <w:t>Taiwhenua</w:t>
      </w:r>
      <w:proofErr w:type="spellEnd"/>
      <w:r w:rsidRPr="00BB7AE4">
        <w:t xml:space="preserve"> moved to a new human resources system. This </w:t>
      </w:r>
      <w:r w:rsidR="00BB7AE4" w:rsidRPr="00BB7AE4">
        <w:t>will</w:t>
      </w:r>
      <w:r w:rsidRPr="00BB7AE4">
        <w:t xml:space="preserve"> enable </w:t>
      </w:r>
      <w:r w:rsidR="00BB7AE4" w:rsidRPr="00BB7AE4">
        <w:t xml:space="preserve">better quality information to be gathered about the diversity of our employees. </w:t>
      </w:r>
    </w:p>
    <w:p w14:paraId="68A9E33D" w14:textId="1C9648B1" w:rsidR="008D573D" w:rsidRDefault="008D573D" w:rsidP="008D573D">
      <w:pPr>
        <w:pStyle w:val="Heading4"/>
      </w:pPr>
      <w:r>
        <w:t xml:space="preserve">Ethnic pay gap </w:t>
      </w:r>
    </w:p>
    <w:p w14:paraId="6C833E23" w14:textId="3897B627" w:rsidR="008D573D" w:rsidRDefault="008D573D" w:rsidP="008D573D">
      <w:r>
        <w:t xml:space="preserve">Representation is the primary reason for our ethnic pay gaps. </w:t>
      </w:r>
      <w:r w:rsidR="00312E83">
        <w:t>We have significantly greater ethnic diversity in our lower paying jobs compared to our higher paying jobs.</w:t>
      </w:r>
    </w:p>
    <w:p w14:paraId="786185B8" w14:textId="4F52FF97" w:rsidR="008D573D" w:rsidRDefault="004C0AE2" w:rsidP="008D573D">
      <w:r>
        <w:t>The e</w:t>
      </w:r>
      <w:r w:rsidR="008D573D">
        <w:t xml:space="preserve">thnic pay gaps </w:t>
      </w:r>
      <w:r>
        <w:t xml:space="preserve">below </w:t>
      </w:r>
      <w:r w:rsidR="008D573D">
        <w:t xml:space="preserve">are calculated by comparing the average salaries of </w:t>
      </w:r>
      <w:proofErr w:type="spellStart"/>
      <w:r>
        <w:t>kaimahi</w:t>
      </w:r>
      <w:proofErr w:type="spellEnd"/>
      <w:r>
        <w:t xml:space="preserve"> </w:t>
      </w:r>
      <w:r w:rsidR="008D573D">
        <w:t>identifying with an ethnicity and the average salary of everyone else with a declared ethnicity.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4253"/>
        <w:gridCol w:w="1701"/>
        <w:gridCol w:w="1134"/>
      </w:tblGrid>
      <w:tr w:rsidR="00DB70AF" w14:paraId="140F86DB" w14:textId="77777777" w:rsidTr="00152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</w:tcPr>
          <w:p w14:paraId="13EA4655" w14:textId="5BB32B88" w:rsidR="00DB70AF" w:rsidRDefault="00DB70AF" w:rsidP="008D573D">
            <w:r>
              <w:t>Ethnicity</w:t>
            </w:r>
          </w:p>
        </w:tc>
        <w:tc>
          <w:tcPr>
            <w:tcW w:w="1701" w:type="dxa"/>
          </w:tcPr>
          <w:p w14:paraId="1D98DD4F" w14:textId="005284AB" w:rsidR="00DB70AF" w:rsidRDefault="00DB70AF" w:rsidP="008D573D">
            <w:r>
              <w:t>Average salary</w:t>
            </w:r>
          </w:p>
        </w:tc>
        <w:tc>
          <w:tcPr>
            <w:tcW w:w="1134" w:type="dxa"/>
          </w:tcPr>
          <w:p w14:paraId="0C6EDC8B" w14:textId="5A404856" w:rsidR="00DB70AF" w:rsidRDefault="00DB70AF" w:rsidP="008D573D">
            <w:r>
              <w:t>Pay gap</w:t>
            </w:r>
          </w:p>
        </w:tc>
      </w:tr>
      <w:tr w:rsidR="00DB70AF" w14:paraId="128F2CF9" w14:textId="77777777" w:rsidTr="00152E9B">
        <w:tc>
          <w:tcPr>
            <w:tcW w:w="4253" w:type="dxa"/>
          </w:tcPr>
          <w:p w14:paraId="32B5488A" w14:textId="1CFA97D6" w:rsidR="00DB70AF" w:rsidRDefault="00DB70AF" w:rsidP="008D573D">
            <w:r>
              <w:t>Asian</w:t>
            </w:r>
          </w:p>
        </w:tc>
        <w:tc>
          <w:tcPr>
            <w:tcW w:w="1701" w:type="dxa"/>
          </w:tcPr>
          <w:p w14:paraId="6FACACD2" w14:textId="0D236D4C" w:rsidR="00DB70AF" w:rsidRDefault="00152E9B" w:rsidP="00152E9B">
            <w:pPr>
              <w:jc w:val="right"/>
            </w:pPr>
            <w:r>
              <w:t>$83,350</w:t>
            </w:r>
          </w:p>
        </w:tc>
        <w:tc>
          <w:tcPr>
            <w:tcW w:w="1134" w:type="dxa"/>
          </w:tcPr>
          <w:p w14:paraId="4E6EFA8F" w14:textId="1213F46F" w:rsidR="00DB70AF" w:rsidRDefault="00152E9B" w:rsidP="00152E9B">
            <w:pPr>
              <w:jc w:val="right"/>
            </w:pPr>
            <w:r>
              <w:t>15.09%</w:t>
            </w:r>
          </w:p>
        </w:tc>
      </w:tr>
      <w:tr w:rsidR="00DB70AF" w14:paraId="09A00114" w14:textId="77777777" w:rsidTr="00152E9B">
        <w:tc>
          <w:tcPr>
            <w:tcW w:w="4253" w:type="dxa"/>
          </w:tcPr>
          <w:p w14:paraId="19BD0AF3" w14:textId="17751219" w:rsidR="00DB70AF" w:rsidRDefault="00DB70AF" w:rsidP="008D573D">
            <w:r>
              <w:t>Māori</w:t>
            </w:r>
          </w:p>
        </w:tc>
        <w:tc>
          <w:tcPr>
            <w:tcW w:w="1701" w:type="dxa"/>
          </w:tcPr>
          <w:p w14:paraId="0459D27D" w14:textId="106A017A" w:rsidR="00DB70AF" w:rsidRDefault="00152E9B" w:rsidP="00152E9B">
            <w:pPr>
              <w:jc w:val="right"/>
            </w:pPr>
            <w:r>
              <w:t>$99,691</w:t>
            </w:r>
          </w:p>
        </w:tc>
        <w:tc>
          <w:tcPr>
            <w:tcW w:w="1134" w:type="dxa"/>
          </w:tcPr>
          <w:p w14:paraId="04ECC075" w14:textId="014E8309" w:rsidR="00DB70AF" w:rsidRDefault="00152E9B" w:rsidP="00152E9B">
            <w:pPr>
              <w:jc w:val="right"/>
            </w:pPr>
            <w:r>
              <w:t>-4.16%</w:t>
            </w:r>
          </w:p>
        </w:tc>
      </w:tr>
      <w:tr w:rsidR="00DB70AF" w14:paraId="21EC38B6" w14:textId="77777777" w:rsidTr="00152E9B">
        <w:tc>
          <w:tcPr>
            <w:tcW w:w="4253" w:type="dxa"/>
          </w:tcPr>
          <w:p w14:paraId="5A56150F" w14:textId="3B5D4493" w:rsidR="00DB70AF" w:rsidRDefault="00DB70AF" w:rsidP="008D573D">
            <w:r>
              <w:t>Middle Eastern, Latin American, African</w:t>
            </w:r>
          </w:p>
        </w:tc>
        <w:tc>
          <w:tcPr>
            <w:tcW w:w="1701" w:type="dxa"/>
          </w:tcPr>
          <w:p w14:paraId="3372D484" w14:textId="04DC2FC0" w:rsidR="00DB70AF" w:rsidRDefault="00152E9B" w:rsidP="00152E9B">
            <w:pPr>
              <w:jc w:val="right"/>
            </w:pPr>
            <w:r>
              <w:t>$80,681</w:t>
            </w:r>
          </w:p>
        </w:tc>
        <w:tc>
          <w:tcPr>
            <w:tcW w:w="1134" w:type="dxa"/>
          </w:tcPr>
          <w:p w14:paraId="574F8D4A" w14:textId="549E9CBE" w:rsidR="00DB70AF" w:rsidRDefault="00152E9B" w:rsidP="00152E9B">
            <w:pPr>
              <w:jc w:val="right"/>
            </w:pPr>
            <w:r>
              <w:t>16.36%</w:t>
            </w:r>
          </w:p>
        </w:tc>
      </w:tr>
      <w:tr w:rsidR="00DB70AF" w14:paraId="7036EF66" w14:textId="77777777" w:rsidTr="00152E9B">
        <w:tc>
          <w:tcPr>
            <w:tcW w:w="4253" w:type="dxa"/>
          </w:tcPr>
          <w:p w14:paraId="7E485603" w14:textId="254A91E2" w:rsidR="00DB70AF" w:rsidRDefault="00DB70AF" w:rsidP="008D573D">
            <w:r>
              <w:t>New Zealand European</w:t>
            </w:r>
          </w:p>
        </w:tc>
        <w:tc>
          <w:tcPr>
            <w:tcW w:w="1701" w:type="dxa"/>
          </w:tcPr>
          <w:p w14:paraId="38189E43" w14:textId="157BF65A" w:rsidR="00DB70AF" w:rsidRDefault="00152E9B" w:rsidP="00152E9B">
            <w:pPr>
              <w:jc w:val="right"/>
            </w:pPr>
            <w:r>
              <w:t>$99,967</w:t>
            </w:r>
          </w:p>
        </w:tc>
        <w:tc>
          <w:tcPr>
            <w:tcW w:w="1134" w:type="dxa"/>
          </w:tcPr>
          <w:p w14:paraId="237C3CD8" w14:textId="50E8670E" w:rsidR="00DB70AF" w:rsidRDefault="00152E9B" w:rsidP="00152E9B">
            <w:pPr>
              <w:jc w:val="right"/>
            </w:pPr>
            <w:r>
              <w:t>-10.65%</w:t>
            </w:r>
          </w:p>
        </w:tc>
      </w:tr>
      <w:tr w:rsidR="00DB70AF" w14:paraId="36C15B57" w14:textId="77777777" w:rsidTr="00152E9B">
        <w:tc>
          <w:tcPr>
            <w:tcW w:w="4253" w:type="dxa"/>
          </w:tcPr>
          <w:p w14:paraId="4BDFE40D" w14:textId="031E58CE" w:rsidR="00DB70AF" w:rsidRDefault="00DB70AF" w:rsidP="008D573D">
            <w:r>
              <w:t>Other European</w:t>
            </w:r>
          </w:p>
        </w:tc>
        <w:tc>
          <w:tcPr>
            <w:tcW w:w="1701" w:type="dxa"/>
          </w:tcPr>
          <w:p w14:paraId="673C9A1E" w14:textId="79CFFFFC" w:rsidR="00DB70AF" w:rsidRDefault="00152E9B" w:rsidP="00152E9B">
            <w:pPr>
              <w:jc w:val="right"/>
            </w:pPr>
            <w:r>
              <w:t>$101,459</w:t>
            </w:r>
          </w:p>
        </w:tc>
        <w:tc>
          <w:tcPr>
            <w:tcW w:w="1134" w:type="dxa"/>
          </w:tcPr>
          <w:p w14:paraId="1AF1511C" w14:textId="26F702B7" w:rsidR="00DB70AF" w:rsidRDefault="00152E9B" w:rsidP="00152E9B">
            <w:pPr>
              <w:jc w:val="right"/>
            </w:pPr>
            <w:r>
              <w:t>-6.71%</w:t>
            </w:r>
          </w:p>
        </w:tc>
      </w:tr>
      <w:tr w:rsidR="00DB70AF" w14:paraId="518AD96D" w14:textId="77777777" w:rsidTr="00152E9B">
        <w:tc>
          <w:tcPr>
            <w:tcW w:w="4253" w:type="dxa"/>
          </w:tcPr>
          <w:p w14:paraId="01C4D000" w14:textId="45CED5E0" w:rsidR="00DB70AF" w:rsidRDefault="00DB70AF" w:rsidP="008D573D">
            <w:r>
              <w:t>Pasifika</w:t>
            </w:r>
          </w:p>
        </w:tc>
        <w:tc>
          <w:tcPr>
            <w:tcW w:w="1701" w:type="dxa"/>
          </w:tcPr>
          <w:p w14:paraId="766C395C" w14:textId="39071FB3" w:rsidR="00DB70AF" w:rsidRDefault="00152E9B" w:rsidP="00152E9B">
            <w:pPr>
              <w:jc w:val="right"/>
            </w:pPr>
            <w:r>
              <w:t>$74,568</w:t>
            </w:r>
          </w:p>
        </w:tc>
        <w:tc>
          <w:tcPr>
            <w:tcW w:w="1134" w:type="dxa"/>
          </w:tcPr>
          <w:p w14:paraId="30E16274" w14:textId="290868C4" w:rsidR="00DB70AF" w:rsidRDefault="00152E9B" w:rsidP="00152E9B">
            <w:pPr>
              <w:jc w:val="right"/>
            </w:pPr>
            <w:r>
              <w:t>24.42%</w:t>
            </w:r>
          </w:p>
        </w:tc>
      </w:tr>
    </w:tbl>
    <w:p w14:paraId="25FCBB27" w14:textId="36BE2528" w:rsidR="009D2F15" w:rsidRDefault="00D829F1" w:rsidP="00D829F1">
      <w:pPr>
        <w:pStyle w:val="Heading4"/>
      </w:pPr>
      <w:r>
        <w:t>Ethnic</w:t>
      </w:r>
      <w:r w:rsidR="00152E9B">
        <w:t xml:space="preserve"> diversity</w:t>
      </w:r>
    </w:p>
    <w:p w14:paraId="1BCDC943" w14:textId="648EC548" w:rsidR="00D829F1" w:rsidRPr="00D829F1" w:rsidRDefault="00D829F1" w:rsidP="00D829F1">
      <w:r>
        <w:t>Te Tari</w:t>
      </w:r>
      <w:r w:rsidR="00941B4A">
        <w:t xml:space="preserve"> </w:t>
      </w:r>
      <w:proofErr w:type="spellStart"/>
      <w:r w:rsidR="00941B4A">
        <w:t>Taiwhenua</w:t>
      </w:r>
      <w:proofErr w:type="spellEnd"/>
      <w:r>
        <w:t xml:space="preserve"> is slowly becoming more ethnically diverse. </w:t>
      </w:r>
      <w:r w:rsidR="00DB76D0">
        <w:t xml:space="preserve">While </w:t>
      </w:r>
      <w:r>
        <w:t xml:space="preserve">Europeans remain the highest proportion of our </w:t>
      </w:r>
      <w:proofErr w:type="spellStart"/>
      <w:r>
        <w:t>kaimahi</w:t>
      </w:r>
      <w:proofErr w:type="spellEnd"/>
      <w:r>
        <w:t xml:space="preserve"> Māori, Pacific and Asian representation increased over the past year. Our Pacific representation is higher</w:t>
      </w:r>
      <w:r w:rsidR="00941B4A">
        <w:t>,</w:t>
      </w:r>
      <w:r>
        <w:t xml:space="preserve"> </w:t>
      </w:r>
      <w:r w:rsidR="00941B4A">
        <w:t xml:space="preserve">at </w:t>
      </w:r>
      <w:r>
        <w:t>10.0%</w:t>
      </w:r>
      <w:r w:rsidR="00941B4A">
        <w:t>,</w:t>
      </w:r>
      <w:r>
        <w:t xml:space="preserve"> </w:t>
      </w:r>
      <w:r w:rsidR="00DB4885">
        <w:t xml:space="preserve">compared to </w:t>
      </w:r>
      <w:r>
        <w:t>the overall New</w:t>
      </w:r>
      <w:r w:rsidR="00941B4A">
        <w:t> </w:t>
      </w:r>
      <w:r>
        <w:t xml:space="preserve">Zealand working-age </w:t>
      </w:r>
      <w:r w:rsidR="00DB4885">
        <w:t xml:space="preserve">Pacific </w:t>
      </w:r>
      <w:r>
        <w:t>population of 6.5</w:t>
      </w:r>
      <w:r w:rsidR="00DB76D0">
        <w:t>%.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534"/>
        <w:gridCol w:w="1529"/>
        <w:gridCol w:w="1529"/>
        <w:gridCol w:w="1529"/>
        <w:gridCol w:w="1529"/>
        <w:gridCol w:w="1529"/>
      </w:tblGrid>
      <w:tr w:rsidR="001F0495" w14:paraId="32B2228F" w14:textId="77777777" w:rsidTr="009D2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4" w:type="dxa"/>
          </w:tcPr>
          <w:p w14:paraId="2B314352" w14:textId="77777777" w:rsidR="001F0495" w:rsidRDefault="001F0495" w:rsidP="00E16C83"/>
        </w:tc>
        <w:tc>
          <w:tcPr>
            <w:tcW w:w="1529" w:type="dxa"/>
          </w:tcPr>
          <w:p w14:paraId="1BF0668D" w14:textId="016BDC0D" w:rsidR="001F0495" w:rsidRDefault="001F0495" w:rsidP="00BB3509">
            <w:pPr>
              <w:jc w:val="center"/>
            </w:pPr>
            <w:r>
              <w:t>2022</w:t>
            </w:r>
          </w:p>
        </w:tc>
        <w:tc>
          <w:tcPr>
            <w:tcW w:w="1529" w:type="dxa"/>
          </w:tcPr>
          <w:p w14:paraId="709AE6D1" w14:textId="1C4C0C87" w:rsidR="001F0495" w:rsidRDefault="001F0495" w:rsidP="00BB3509">
            <w:pPr>
              <w:jc w:val="center"/>
            </w:pPr>
            <w:r>
              <w:t>2021</w:t>
            </w:r>
          </w:p>
        </w:tc>
        <w:tc>
          <w:tcPr>
            <w:tcW w:w="1529" w:type="dxa"/>
          </w:tcPr>
          <w:p w14:paraId="0195D797" w14:textId="65AA9B84" w:rsidR="001F0495" w:rsidRDefault="001F0495" w:rsidP="00BB3509">
            <w:pPr>
              <w:jc w:val="center"/>
            </w:pPr>
            <w:r>
              <w:t>2020</w:t>
            </w:r>
          </w:p>
        </w:tc>
        <w:tc>
          <w:tcPr>
            <w:tcW w:w="1529" w:type="dxa"/>
          </w:tcPr>
          <w:p w14:paraId="6C7C727A" w14:textId="26EADD75" w:rsidR="001F0495" w:rsidRDefault="001F0495" w:rsidP="00BB3509">
            <w:pPr>
              <w:jc w:val="center"/>
            </w:pPr>
            <w:r>
              <w:t>2019</w:t>
            </w:r>
          </w:p>
        </w:tc>
        <w:tc>
          <w:tcPr>
            <w:tcW w:w="1529" w:type="dxa"/>
          </w:tcPr>
          <w:p w14:paraId="7D409C1E" w14:textId="2CE155D5" w:rsidR="001F0495" w:rsidRDefault="001F0495" w:rsidP="00BB3509">
            <w:pPr>
              <w:jc w:val="center"/>
            </w:pPr>
            <w:r>
              <w:t>2018</w:t>
            </w:r>
          </w:p>
        </w:tc>
      </w:tr>
      <w:tr w:rsidR="001F0495" w14:paraId="42F47B76" w14:textId="77777777" w:rsidTr="009D2F15">
        <w:tc>
          <w:tcPr>
            <w:tcW w:w="1534" w:type="dxa"/>
          </w:tcPr>
          <w:p w14:paraId="76E4A4EF" w14:textId="518478FB" w:rsidR="001F0495" w:rsidRDefault="001F0495" w:rsidP="00E16C83">
            <w:r>
              <w:t>Asian</w:t>
            </w:r>
          </w:p>
        </w:tc>
        <w:tc>
          <w:tcPr>
            <w:tcW w:w="1529" w:type="dxa"/>
          </w:tcPr>
          <w:p w14:paraId="3C984EA0" w14:textId="296DC253" w:rsidR="001F0495" w:rsidRDefault="001F0495" w:rsidP="00BB3509">
            <w:pPr>
              <w:jc w:val="center"/>
            </w:pPr>
            <w:r>
              <w:t>13.2%</w:t>
            </w:r>
          </w:p>
        </w:tc>
        <w:tc>
          <w:tcPr>
            <w:tcW w:w="1529" w:type="dxa"/>
          </w:tcPr>
          <w:p w14:paraId="3A0D15E2" w14:textId="56ED167D" w:rsidR="001F0495" w:rsidRDefault="001F0495" w:rsidP="00BB3509">
            <w:pPr>
              <w:jc w:val="center"/>
            </w:pPr>
            <w:r>
              <w:t>12.6%</w:t>
            </w:r>
          </w:p>
        </w:tc>
        <w:tc>
          <w:tcPr>
            <w:tcW w:w="1529" w:type="dxa"/>
          </w:tcPr>
          <w:p w14:paraId="230D5D10" w14:textId="7D75DC9A" w:rsidR="001F0495" w:rsidRDefault="001F0495" w:rsidP="00BB3509">
            <w:pPr>
              <w:jc w:val="center"/>
            </w:pPr>
            <w:r>
              <w:t>11.7%</w:t>
            </w:r>
          </w:p>
        </w:tc>
        <w:tc>
          <w:tcPr>
            <w:tcW w:w="1529" w:type="dxa"/>
          </w:tcPr>
          <w:p w14:paraId="52B8001C" w14:textId="73D796D0" w:rsidR="001F0495" w:rsidRDefault="001F0495" w:rsidP="00BB3509">
            <w:pPr>
              <w:jc w:val="center"/>
            </w:pPr>
            <w:r>
              <w:t>11.2%</w:t>
            </w:r>
          </w:p>
        </w:tc>
        <w:tc>
          <w:tcPr>
            <w:tcW w:w="1529" w:type="dxa"/>
          </w:tcPr>
          <w:p w14:paraId="77E90F14" w14:textId="751D4F4B" w:rsidR="001F0495" w:rsidRDefault="001F0495" w:rsidP="00BB3509">
            <w:pPr>
              <w:jc w:val="center"/>
            </w:pPr>
            <w:r>
              <w:t>10.3%</w:t>
            </w:r>
          </w:p>
        </w:tc>
      </w:tr>
      <w:tr w:rsidR="001F0495" w14:paraId="65BE682D" w14:textId="77777777" w:rsidTr="009D2F15">
        <w:tc>
          <w:tcPr>
            <w:tcW w:w="1534" w:type="dxa"/>
          </w:tcPr>
          <w:p w14:paraId="383127D2" w14:textId="29EC0CB4" w:rsidR="001F0495" w:rsidRDefault="001F0495" w:rsidP="00E16C83">
            <w:r>
              <w:t>European</w:t>
            </w:r>
          </w:p>
        </w:tc>
        <w:tc>
          <w:tcPr>
            <w:tcW w:w="1529" w:type="dxa"/>
          </w:tcPr>
          <w:p w14:paraId="50D187D8" w14:textId="1BE62D0C" w:rsidR="001F0495" w:rsidRDefault="009D2F15" w:rsidP="00BB3509">
            <w:pPr>
              <w:jc w:val="center"/>
            </w:pPr>
            <w:r>
              <w:t>72.8%</w:t>
            </w:r>
          </w:p>
        </w:tc>
        <w:tc>
          <w:tcPr>
            <w:tcW w:w="1529" w:type="dxa"/>
          </w:tcPr>
          <w:p w14:paraId="11553A2B" w14:textId="00573A41" w:rsidR="001F0495" w:rsidRDefault="001F0495" w:rsidP="00BB3509">
            <w:pPr>
              <w:jc w:val="center"/>
            </w:pPr>
            <w:r>
              <w:t>73.</w:t>
            </w:r>
            <w:r w:rsidR="009D2F15">
              <w:t>9</w:t>
            </w:r>
            <w:r>
              <w:t>%</w:t>
            </w:r>
          </w:p>
        </w:tc>
        <w:tc>
          <w:tcPr>
            <w:tcW w:w="1529" w:type="dxa"/>
          </w:tcPr>
          <w:p w14:paraId="0DA54F27" w14:textId="6498418A" w:rsidR="001F0495" w:rsidRDefault="009D2F15" w:rsidP="00BB3509">
            <w:pPr>
              <w:jc w:val="center"/>
            </w:pPr>
            <w:r>
              <w:t>73.5%</w:t>
            </w:r>
          </w:p>
        </w:tc>
        <w:tc>
          <w:tcPr>
            <w:tcW w:w="1529" w:type="dxa"/>
          </w:tcPr>
          <w:p w14:paraId="19DA423E" w14:textId="5EC724C0" w:rsidR="001F0495" w:rsidRDefault="009D2F15" w:rsidP="00BB3509">
            <w:pPr>
              <w:jc w:val="center"/>
            </w:pPr>
            <w:r>
              <w:t>73.8%</w:t>
            </w:r>
          </w:p>
        </w:tc>
        <w:tc>
          <w:tcPr>
            <w:tcW w:w="1529" w:type="dxa"/>
          </w:tcPr>
          <w:p w14:paraId="652C0B67" w14:textId="2172F112" w:rsidR="001F0495" w:rsidRDefault="009D2F15" w:rsidP="00BB3509">
            <w:pPr>
              <w:jc w:val="center"/>
            </w:pPr>
            <w:r>
              <w:t>74.4%</w:t>
            </w:r>
          </w:p>
        </w:tc>
      </w:tr>
      <w:tr w:rsidR="001F0495" w14:paraId="05EE3A11" w14:textId="77777777" w:rsidTr="009D2F15">
        <w:tc>
          <w:tcPr>
            <w:tcW w:w="1534" w:type="dxa"/>
          </w:tcPr>
          <w:p w14:paraId="54AF668E" w14:textId="76C5CDAF" w:rsidR="001F0495" w:rsidRDefault="009D2F15" w:rsidP="00E16C83">
            <w:r>
              <w:t>MELAA*</w:t>
            </w:r>
          </w:p>
        </w:tc>
        <w:tc>
          <w:tcPr>
            <w:tcW w:w="1529" w:type="dxa"/>
          </w:tcPr>
          <w:p w14:paraId="67FE381D" w14:textId="4822289D" w:rsidR="001F0495" w:rsidRDefault="009D2F15" w:rsidP="00BB3509">
            <w:pPr>
              <w:jc w:val="center"/>
            </w:pPr>
            <w:r>
              <w:t>1.7%</w:t>
            </w:r>
          </w:p>
        </w:tc>
        <w:tc>
          <w:tcPr>
            <w:tcW w:w="1529" w:type="dxa"/>
          </w:tcPr>
          <w:p w14:paraId="1EBBAB45" w14:textId="366F7461" w:rsidR="001F0495" w:rsidRDefault="009D2F15" w:rsidP="00BB3509">
            <w:pPr>
              <w:jc w:val="center"/>
            </w:pPr>
            <w:r>
              <w:t>1.9%</w:t>
            </w:r>
          </w:p>
        </w:tc>
        <w:tc>
          <w:tcPr>
            <w:tcW w:w="1529" w:type="dxa"/>
          </w:tcPr>
          <w:p w14:paraId="20A63DC6" w14:textId="744AAA7F" w:rsidR="001F0495" w:rsidRDefault="009D2F15" w:rsidP="00BB3509">
            <w:pPr>
              <w:jc w:val="center"/>
            </w:pPr>
            <w:r>
              <w:t>1.7%</w:t>
            </w:r>
          </w:p>
        </w:tc>
        <w:tc>
          <w:tcPr>
            <w:tcW w:w="1529" w:type="dxa"/>
          </w:tcPr>
          <w:p w14:paraId="249CA840" w14:textId="4CE8E7CD" w:rsidR="001F0495" w:rsidRDefault="009D2F15" w:rsidP="00BB3509">
            <w:pPr>
              <w:jc w:val="center"/>
            </w:pPr>
            <w:r>
              <w:t>1.4%</w:t>
            </w:r>
          </w:p>
        </w:tc>
        <w:tc>
          <w:tcPr>
            <w:tcW w:w="1529" w:type="dxa"/>
          </w:tcPr>
          <w:p w14:paraId="28EF787E" w14:textId="4E6D4F01" w:rsidR="001F0495" w:rsidRDefault="009D2F15" w:rsidP="00BB3509">
            <w:pPr>
              <w:jc w:val="center"/>
            </w:pPr>
            <w:r>
              <w:t>1.3%</w:t>
            </w:r>
          </w:p>
        </w:tc>
      </w:tr>
      <w:tr w:rsidR="009D2F15" w14:paraId="4318C2E3" w14:textId="77777777" w:rsidTr="009D2F15">
        <w:tc>
          <w:tcPr>
            <w:tcW w:w="1534" w:type="dxa"/>
          </w:tcPr>
          <w:p w14:paraId="7918BB9D" w14:textId="087A4E3E" w:rsidR="009D2F15" w:rsidRDefault="009D2F15" w:rsidP="00E16C83">
            <w:r>
              <w:t>Māori</w:t>
            </w:r>
          </w:p>
        </w:tc>
        <w:tc>
          <w:tcPr>
            <w:tcW w:w="1529" w:type="dxa"/>
          </w:tcPr>
          <w:p w14:paraId="44E27903" w14:textId="3BA2D63D" w:rsidR="009D2F15" w:rsidRDefault="009D2F15" w:rsidP="00BB3509">
            <w:pPr>
              <w:jc w:val="center"/>
            </w:pPr>
            <w:r>
              <w:t>13.0%</w:t>
            </w:r>
          </w:p>
        </w:tc>
        <w:tc>
          <w:tcPr>
            <w:tcW w:w="1529" w:type="dxa"/>
          </w:tcPr>
          <w:p w14:paraId="3F492F0C" w14:textId="18A13BE0" w:rsidR="009D2F15" w:rsidRDefault="009D2F15" w:rsidP="00BB3509">
            <w:pPr>
              <w:jc w:val="center"/>
            </w:pPr>
            <w:r>
              <w:t>11.9%</w:t>
            </w:r>
          </w:p>
        </w:tc>
        <w:tc>
          <w:tcPr>
            <w:tcW w:w="1529" w:type="dxa"/>
          </w:tcPr>
          <w:p w14:paraId="759EB9B8" w14:textId="53A4895B" w:rsidR="009D2F15" w:rsidRDefault="009D2F15" w:rsidP="00BB3509">
            <w:pPr>
              <w:jc w:val="center"/>
            </w:pPr>
            <w:r>
              <w:t>11.5%</w:t>
            </w:r>
          </w:p>
        </w:tc>
        <w:tc>
          <w:tcPr>
            <w:tcW w:w="1529" w:type="dxa"/>
          </w:tcPr>
          <w:p w14:paraId="6547CA4B" w14:textId="19D9D023" w:rsidR="009D2F15" w:rsidRDefault="009D2F15" w:rsidP="00BB3509">
            <w:pPr>
              <w:jc w:val="center"/>
            </w:pPr>
            <w:r>
              <w:t>10.8%</w:t>
            </w:r>
          </w:p>
        </w:tc>
        <w:tc>
          <w:tcPr>
            <w:tcW w:w="1529" w:type="dxa"/>
          </w:tcPr>
          <w:p w14:paraId="0E28823B" w14:textId="2A624BB7" w:rsidR="009D2F15" w:rsidRDefault="009D2F15" w:rsidP="00BB3509">
            <w:pPr>
              <w:jc w:val="center"/>
            </w:pPr>
            <w:r>
              <w:t>10.6%</w:t>
            </w:r>
          </w:p>
        </w:tc>
      </w:tr>
      <w:tr w:rsidR="009D2F15" w14:paraId="34EC77AE" w14:textId="77777777" w:rsidTr="009D2F15">
        <w:tc>
          <w:tcPr>
            <w:tcW w:w="1534" w:type="dxa"/>
          </w:tcPr>
          <w:p w14:paraId="2AC1B41D" w14:textId="06CCB5B2" w:rsidR="009D2F15" w:rsidRDefault="009D2F15" w:rsidP="00E16C83">
            <w:r>
              <w:t>Pacific</w:t>
            </w:r>
          </w:p>
        </w:tc>
        <w:tc>
          <w:tcPr>
            <w:tcW w:w="1529" w:type="dxa"/>
          </w:tcPr>
          <w:p w14:paraId="642791BA" w14:textId="55B7F13A" w:rsidR="009D2F15" w:rsidRDefault="009D2F15" w:rsidP="00BB3509">
            <w:pPr>
              <w:jc w:val="center"/>
            </w:pPr>
            <w:r>
              <w:t>10.0%</w:t>
            </w:r>
          </w:p>
        </w:tc>
        <w:tc>
          <w:tcPr>
            <w:tcW w:w="1529" w:type="dxa"/>
          </w:tcPr>
          <w:p w14:paraId="5D0E7A90" w14:textId="364BCA6F" w:rsidR="009D2F15" w:rsidRDefault="009D2F15" w:rsidP="00BB3509">
            <w:pPr>
              <w:jc w:val="center"/>
            </w:pPr>
            <w:r>
              <w:t>9.3%</w:t>
            </w:r>
          </w:p>
        </w:tc>
        <w:tc>
          <w:tcPr>
            <w:tcW w:w="1529" w:type="dxa"/>
          </w:tcPr>
          <w:p w14:paraId="0F80D908" w14:textId="4A795A01" w:rsidR="009D2F15" w:rsidRDefault="009D2F15" w:rsidP="00BB3509">
            <w:pPr>
              <w:jc w:val="center"/>
            </w:pPr>
            <w:r>
              <w:t>10.1%</w:t>
            </w:r>
          </w:p>
        </w:tc>
        <w:tc>
          <w:tcPr>
            <w:tcW w:w="1529" w:type="dxa"/>
          </w:tcPr>
          <w:p w14:paraId="5D12BEE7" w14:textId="1DC38F2C" w:rsidR="009D2F15" w:rsidRDefault="009D2F15" w:rsidP="00BB3509">
            <w:pPr>
              <w:jc w:val="center"/>
            </w:pPr>
            <w:r>
              <w:t>10.4%</w:t>
            </w:r>
          </w:p>
        </w:tc>
        <w:tc>
          <w:tcPr>
            <w:tcW w:w="1529" w:type="dxa"/>
          </w:tcPr>
          <w:p w14:paraId="33328A32" w14:textId="6AC9FD8F" w:rsidR="009D2F15" w:rsidRDefault="009D2F15" w:rsidP="00BB3509">
            <w:pPr>
              <w:jc w:val="center"/>
            </w:pPr>
            <w:r>
              <w:t>9.8%</w:t>
            </w:r>
          </w:p>
        </w:tc>
      </w:tr>
    </w:tbl>
    <w:p w14:paraId="3BE4038F" w14:textId="5D9E8C68" w:rsidR="001F0495" w:rsidRDefault="009D2F15" w:rsidP="00E16C83">
      <w:r>
        <w:t>MELAA = Middle Eastern, Latin American, African</w:t>
      </w:r>
    </w:p>
    <w:p w14:paraId="04CD659B" w14:textId="023CF061" w:rsidR="00BB3509" w:rsidRDefault="005A47EB" w:rsidP="00D829F1">
      <w:pPr>
        <w:pStyle w:val="Heading4"/>
      </w:pPr>
      <w:r>
        <w:t>Diversity among s</w:t>
      </w:r>
      <w:r w:rsidR="00EF1B9A">
        <w:t>enior leaders</w:t>
      </w:r>
    </w:p>
    <w:p w14:paraId="0EB1B854" w14:textId="33CB7881" w:rsidR="00BB3509" w:rsidRDefault="00EF1B9A" w:rsidP="006B190C">
      <w:r>
        <w:t>Senior leaders are defined as Tier 2 and 3 managers.</w:t>
      </w:r>
      <w:r w:rsidR="008D573D">
        <w:t xml:space="preserve"> </w:t>
      </w:r>
      <w:r w:rsidR="00BB3509">
        <w:t xml:space="preserve">The number of women senior </w:t>
      </w:r>
      <w:r>
        <w:t xml:space="preserve">leaders </w:t>
      </w:r>
      <w:r w:rsidR="00BB3509">
        <w:t xml:space="preserve">has increased </w:t>
      </w:r>
      <w:r w:rsidR="005A47EB">
        <w:t xml:space="preserve">substantially </w:t>
      </w:r>
      <w:r w:rsidR="00BB3509">
        <w:t>by 22.1</w:t>
      </w:r>
      <w:r w:rsidR="005A47EB">
        <w:t xml:space="preserve"> percentage points</w:t>
      </w:r>
      <w:r w:rsidR="00BB3509">
        <w:t xml:space="preserve"> over the last five years</w:t>
      </w:r>
      <w:r w:rsidR="00941B4A">
        <w:t xml:space="preserve"> and is now proportionate to the number of women at Te Tari </w:t>
      </w:r>
      <w:proofErr w:type="spellStart"/>
      <w:r w:rsidR="00941B4A">
        <w:t>Taiwhenua</w:t>
      </w:r>
      <w:proofErr w:type="spellEnd"/>
      <w:r w:rsidR="00941B4A">
        <w:t>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</w:tblGrid>
      <w:tr w:rsidR="00BB3509" w14:paraId="2CBD614E" w14:textId="77777777" w:rsidTr="003A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9" w:type="dxa"/>
          </w:tcPr>
          <w:p w14:paraId="5C7026F5" w14:textId="77777777" w:rsidR="00BB3509" w:rsidRDefault="00BB3509" w:rsidP="00BB3509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529" w:type="dxa"/>
          </w:tcPr>
          <w:p w14:paraId="5593770B" w14:textId="77777777" w:rsidR="00BB3509" w:rsidRDefault="00BB3509" w:rsidP="00BB3509">
            <w:pPr>
              <w:jc w:val="center"/>
            </w:pPr>
            <w:r>
              <w:t>2021</w:t>
            </w:r>
          </w:p>
        </w:tc>
        <w:tc>
          <w:tcPr>
            <w:tcW w:w="1529" w:type="dxa"/>
          </w:tcPr>
          <w:p w14:paraId="154ACC5F" w14:textId="77777777" w:rsidR="00BB3509" w:rsidRDefault="00BB3509" w:rsidP="00BB3509">
            <w:pPr>
              <w:jc w:val="center"/>
            </w:pPr>
            <w:r>
              <w:t>2020</w:t>
            </w:r>
          </w:p>
        </w:tc>
        <w:tc>
          <w:tcPr>
            <w:tcW w:w="1529" w:type="dxa"/>
          </w:tcPr>
          <w:p w14:paraId="718F1726" w14:textId="77777777" w:rsidR="00BB3509" w:rsidRDefault="00BB3509" w:rsidP="00BB3509">
            <w:pPr>
              <w:jc w:val="center"/>
            </w:pPr>
            <w:r>
              <w:t>2019</w:t>
            </w:r>
          </w:p>
        </w:tc>
        <w:tc>
          <w:tcPr>
            <w:tcW w:w="1529" w:type="dxa"/>
          </w:tcPr>
          <w:p w14:paraId="19780751" w14:textId="77777777" w:rsidR="00BB3509" w:rsidRDefault="00BB3509" w:rsidP="00BB3509">
            <w:pPr>
              <w:jc w:val="center"/>
            </w:pPr>
            <w:r>
              <w:t>2018</w:t>
            </w:r>
          </w:p>
        </w:tc>
      </w:tr>
      <w:tr w:rsidR="00BB3509" w14:paraId="1755CE36" w14:textId="77777777" w:rsidTr="003A75D0">
        <w:tc>
          <w:tcPr>
            <w:tcW w:w="1529" w:type="dxa"/>
          </w:tcPr>
          <w:p w14:paraId="63F3A71E" w14:textId="4AE8DE6A" w:rsidR="00BB3509" w:rsidRDefault="00BB3509" w:rsidP="003A75D0">
            <w:pPr>
              <w:jc w:val="center"/>
            </w:pPr>
            <w:r>
              <w:t>64.7%</w:t>
            </w:r>
          </w:p>
        </w:tc>
        <w:tc>
          <w:tcPr>
            <w:tcW w:w="1529" w:type="dxa"/>
          </w:tcPr>
          <w:p w14:paraId="155F1B91" w14:textId="68075B26" w:rsidR="00BB3509" w:rsidRDefault="00BB3509" w:rsidP="003A75D0">
            <w:pPr>
              <w:jc w:val="center"/>
            </w:pPr>
            <w:r>
              <w:t>61.0%</w:t>
            </w:r>
          </w:p>
        </w:tc>
        <w:tc>
          <w:tcPr>
            <w:tcW w:w="1529" w:type="dxa"/>
          </w:tcPr>
          <w:p w14:paraId="7CB15234" w14:textId="1BE35582" w:rsidR="00BB3509" w:rsidRDefault="00BB3509" w:rsidP="003A75D0">
            <w:pPr>
              <w:jc w:val="center"/>
            </w:pPr>
            <w:r>
              <w:t>59.6%</w:t>
            </w:r>
          </w:p>
        </w:tc>
        <w:tc>
          <w:tcPr>
            <w:tcW w:w="1529" w:type="dxa"/>
          </w:tcPr>
          <w:p w14:paraId="39AB8E80" w14:textId="4D20383E" w:rsidR="00BB3509" w:rsidRDefault="00BB3509" w:rsidP="003A75D0">
            <w:pPr>
              <w:jc w:val="center"/>
            </w:pPr>
            <w:r>
              <w:t>56.4%</w:t>
            </w:r>
          </w:p>
        </w:tc>
        <w:tc>
          <w:tcPr>
            <w:tcW w:w="1529" w:type="dxa"/>
          </w:tcPr>
          <w:p w14:paraId="058696DA" w14:textId="63B57F6F" w:rsidR="00BB3509" w:rsidRDefault="00BB3509" w:rsidP="003A75D0">
            <w:pPr>
              <w:jc w:val="center"/>
            </w:pPr>
            <w:r>
              <w:t>42.6%</w:t>
            </w:r>
          </w:p>
        </w:tc>
      </w:tr>
    </w:tbl>
    <w:p w14:paraId="26EEBA19" w14:textId="77777777" w:rsidR="005A47EB" w:rsidRDefault="005A47EB" w:rsidP="005A47EB">
      <w:pPr>
        <w:pStyle w:val="Tinyline"/>
      </w:pPr>
    </w:p>
    <w:p w14:paraId="2CBEB788" w14:textId="1FDAC61B" w:rsidR="00EF1B9A" w:rsidRDefault="00EF1B9A" w:rsidP="006B190C">
      <w:r>
        <w:t xml:space="preserve">The ethnicity of senior leaders’ remains </w:t>
      </w:r>
      <w:r w:rsidR="00FE5586">
        <w:t xml:space="preserve">disproportionately </w:t>
      </w:r>
      <w:r>
        <w:t>European</w:t>
      </w:r>
      <w:r w:rsidR="00DB4885">
        <w:t>.</w:t>
      </w:r>
      <w:r>
        <w:t xml:space="preserve"> </w:t>
      </w:r>
      <w:r w:rsidR="00DB4885">
        <w:t>T</w:t>
      </w:r>
      <w:r>
        <w:t>he number of Māori senior leaders reflects the proportion of those who identify as Māori in the Department.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EF1B9A" w14:paraId="34A41941" w14:textId="77777777" w:rsidTr="008C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9" w:type="dxa"/>
          </w:tcPr>
          <w:p w14:paraId="66F60029" w14:textId="2D36D3BC" w:rsidR="00EF1B9A" w:rsidRDefault="00EF1B9A" w:rsidP="00EF1B9A">
            <w:pPr>
              <w:jc w:val="center"/>
            </w:pPr>
          </w:p>
        </w:tc>
        <w:tc>
          <w:tcPr>
            <w:tcW w:w="1529" w:type="dxa"/>
          </w:tcPr>
          <w:p w14:paraId="7037E813" w14:textId="66C9CE23" w:rsidR="00EF1B9A" w:rsidRDefault="00EF1B9A" w:rsidP="00EF1B9A">
            <w:pPr>
              <w:jc w:val="center"/>
            </w:pPr>
            <w:r>
              <w:t>2022</w:t>
            </w:r>
          </w:p>
        </w:tc>
        <w:tc>
          <w:tcPr>
            <w:tcW w:w="1529" w:type="dxa"/>
          </w:tcPr>
          <w:p w14:paraId="2BCF205B" w14:textId="77777777" w:rsidR="00EF1B9A" w:rsidRDefault="00EF1B9A" w:rsidP="00EF1B9A">
            <w:pPr>
              <w:jc w:val="center"/>
            </w:pPr>
            <w:r>
              <w:t>2021</w:t>
            </w:r>
          </w:p>
        </w:tc>
        <w:tc>
          <w:tcPr>
            <w:tcW w:w="1529" w:type="dxa"/>
          </w:tcPr>
          <w:p w14:paraId="44191BD9" w14:textId="77777777" w:rsidR="00EF1B9A" w:rsidRDefault="00EF1B9A" w:rsidP="00EF1B9A">
            <w:pPr>
              <w:jc w:val="center"/>
            </w:pPr>
            <w:r>
              <w:t>2020</w:t>
            </w:r>
          </w:p>
        </w:tc>
        <w:tc>
          <w:tcPr>
            <w:tcW w:w="1529" w:type="dxa"/>
          </w:tcPr>
          <w:p w14:paraId="124E370A" w14:textId="77777777" w:rsidR="00EF1B9A" w:rsidRDefault="00EF1B9A" w:rsidP="00EF1B9A">
            <w:pPr>
              <w:jc w:val="center"/>
            </w:pPr>
            <w:r>
              <w:t>2019</w:t>
            </w:r>
          </w:p>
        </w:tc>
        <w:tc>
          <w:tcPr>
            <w:tcW w:w="1529" w:type="dxa"/>
          </w:tcPr>
          <w:p w14:paraId="5DA240FD" w14:textId="77777777" w:rsidR="00EF1B9A" w:rsidRDefault="00EF1B9A" w:rsidP="00EF1B9A">
            <w:pPr>
              <w:jc w:val="center"/>
            </w:pPr>
            <w:r>
              <w:t>2018</w:t>
            </w:r>
          </w:p>
        </w:tc>
      </w:tr>
      <w:tr w:rsidR="00EF1B9A" w14:paraId="702D3C36" w14:textId="77777777" w:rsidTr="008C35E2">
        <w:tc>
          <w:tcPr>
            <w:tcW w:w="1529" w:type="dxa"/>
          </w:tcPr>
          <w:p w14:paraId="3AA0E4AC" w14:textId="36A99CE2" w:rsidR="00EF1B9A" w:rsidRDefault="00EF1B9A" w:rsidP="00EF1B9A">
            <w:pPr>
              <w:jc w:val="center"/>
            </w:pPr>
            <w:r>
              <w:t>European</w:t>
            </w:r>
          </w:p>
        </w:tc>
        <w:tc>
          <w:tcPr>
            <w:tcW w:w="1529" w:type="dxa"/>
          </w:tcPr>
          <w:p w14:paraId="1669A94F" w14:textId="618C72E2" w:rsidR="00EF1B9A" w:rsidRDefault="00EF1B9A" w:rsidP="00EF1B9A">
            <w:pPr>
              <w:jc w:val="center"/>
            </w:pPr>
            <w:r>
              <w:t>89.4%</w:t>
            </w:r>
          </w:p>
        </w:tc>
        <w:tc>
          <w:tcPr>
            <w:tcW w:w="1529" w:type="dxa"/>
          </w:tcPr>
          <w:p w14:paraId="6E90F53E" w14:textId="5345CD38" w:rsidR="00EF1B9A" w:rsidRDefault="00EF1B9A" w:rsidP="00EF1B9A">
            <w:pPr>
              <w:jc w:val="center"/>
            </w:pPr>
            <w:r>
              <w:t>84.5%</w:t>
            </w:r>
          </w:p>
        </w:tc>
        <w:tc>
          <w:tcPr>
            <w:tcW w:w="1529" w:type="dxa"/>
          </w:tcPr>
          <w:p w14:paraId="4A1D388B" w14:textId="2299F17F" w:rsidR="00EF1B9A" w:rsidRDefault="00EF1B9A" w:rsidP="00EF1B9A">
            <w:pPr>
              <w:jc w:val="center"/>
            </w:pPr>
            <w:r>
              <w:t>84.3%</w:t>
            </w:r>
          </w:p>
        </w:tc>
        <w:tc>
          <w:tcPr>
            <w:tcW w:w="1529" w:type="dxa"/>
          </w:tcPr>
          <w:p w14:paraId="5E0F116C" w14:textId="28FFDCCC" w:rsidR="00EF1B9A" w:rsidRDefault="00EF1B9A" w:rsidP="00EF1B9A">
            <w:pPr>
              <w:jc w:val="center"/>
            </w:pPr>
            <w:r>
              <w:t>87.9%</w:t>
            </w:r>
          </w:p>
        </w:tc>
        <w:tc>
          <w:tcPr>
            <w:tcW w:w="1529" w:type="dxa"/>
          </w:tcPr>
          <w:p w14:paraId="031C4FC7" w14:textId="09E06B23" w:rsidR="00EF1B9A" w:rsidRDefault="00EF1B9A" w:rsidP="00EF1B9A">
            <w:pPr>
              <w:jc w:val="center"/>
            </w:pPr>
            <w:r>
              <w:t>87.2%</w:t>
            </w:r>
          </w:p>
        </w:tc>
      </w:tr>
      <w:tr w:rsidR="00EF1B9A" w14:paraId="4AD0C603" w14:textId="77777777" w:rsidTr="008C35E2">
        <w:tc>
          <w:tcPr>
            <w:tcW w:w="1529" w:type="dxa"/>
          </w:tcPr>
          <w:p w14:paraId="18AE401F" w14:textId="1E74C3CF" w:rsidR="00EF1B9A" w:rsidRDefault="00EF1B9A" w:rsidP="00EF1B9A">
            <w:pPr>
              <w:jc w:val="center"/>
            </w:pPr>
            <w:r>
              <w:t>Māori</w:t>
            </w:r>
          </w:p>
        </w:tc>
        <w:tc>
          <w:tcPr>
            <w:tcW w:w="1529" w:type="dxa"/>
          </w:tcPr>
          <w:p w14:paraId="6FDEACE4" w14:textId="04418B5F" w:rsidR="00EF1B9A" w:rsidRDefault="00EF1B9A" w:rsidP="00EF1B9A">
            <w:pPr>
              <w:jc w:val="center"/>
            </w:pPr>
            <w:r>
              <w:t>12.8%</w:t>
            </w:r>
          </w:p>
        </w:tc>
        <w:tc>
          <w:tcPr>
            <w:tcW w:w="1529" w:type="dxa"/>
          </w:tcPr>
          <w:p w14:paraId="4C9B998B" w14:textId="38EC109B" w:rsidR="00EF1B9A" w:rsidRDefault="00EF1B9A" w:rsidP="00EF1B9A">
            <w:pPr>
              <w:jc w:val="center"/>
            </w:pPr>
            <w:r>
              <w:t>12.1%</w:t>
            </w:r>
          </w:p>
        </w:tc>
        <w:tc>
          <w:tcPr>
            <w:tcW w:w="1529" w:type="dxa"/>
          </w:tcPr>
          <w:p w14:paraId="085E46EF" w14:textId="397A4446" w:rsidR="00EF1B9A" w:rsidRDefault="00EF1B9A" w:rsidP="00EF1B9A">
            <w:pPr>
              <w:jc w:val="center"/>
            </w:pPr>
            <w:r>
              <w:t>7.8%</w:t>
            </w:r>
          </w:p>
        </w:tc>
        <w:tc>
          <w:tcPr>
            <w:tcW w:w="1529" w:type="dxa"/>
          </w:tcPr>
          <w:p w14:paraId="23D405B5" w14:textId="0F2E64DF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17EBC427" w14:textId="01E07B8F" w:rsidR="00EF1B9A" w:rsidRDefault="003C638C" w:rsidP="00EF1B9A">
            <w:pPr>
              <w:jc w:val="center"/>
            </w:pPr>
            <w:r>
              <w:t>-</w:t>
            </w:r>
          </w:p>
        </w:tc>
      </w:tr>
      <w:tr w:rsidR="00EF1B9A" w14:paraId="6A05BE8E" w14:textId="77777777" w:rsidTr="008C35E2">
        <w:tc>
          <w:tcPr>
            <w:tcW w:w="1529" w:type="dxa"/>
          </w:tcPr>
          <w:p w14:paraId="75183030" w14:textId="20A130F5" w:rsidR="00EF1B9A" w:rsidRDefault="00EF1B9A" w:rsidP="00EF1B9A">
            <w:pPr>
              <w:jc w:val="center"/>
            </w:pPr>
            <w:r>
              <w:t>Pacific</w:t>
            </w:r>
          </w:p>
        </w:tc>
        <w:tc>
          <w:tcPr>
            <w:tcW w:w="1529" w:type="dxa"/>
          </w:tcPr>
          <w:p w14:paraId="3BFD9A26" w14:textId="7F1FC6CA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0B0F6F43" w14:textId="623A55B1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6A2C0D71" w14:textId="54A783DB" w:rsidR="00EF1B9A" w:rsidRDefault="00EF1B9A" w:rsidP="00EF1B9A">
            <w:pPr>
              <w:jc w:val="center"/>
            </w:pPr>
            <w:r>
              <w:t>7.8%</w:t>
            </w:r>
          </w:p>
        </w:tc>
        <w:tc>
          <w:tcPr>
            <w:tcW w:w="1529" w:type="dxa"/>
          </w:tcPr>
          <w:p w14:paraId="370C996B" w14:textId="72F65AD7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796670E3" w14:textId="7007D2DA" w:rsidR="00EF1B9A" w:rsidRDefault="003C638C" w:rsidP="00EF1B9A">
            <w:pPr>
              <w:jc w:val="center"/>
            </w:pPr>
            <w:r>
              <w:t>-</w:t>
            </w:r>
          </w:p>
        </w:tc>
      </w:tr>
      <w:tr w:rsidR="00EF1B9A" w14:paraId="3A6C87FD" w14:textId="77777777" w:rsidTr="008C35E2">
        <w:tc>
          <w:tcPr>
            <w:tcW w:w="1529" w:type="dxa"/>
          </w:tcPr>
          <w:p w14:paraId="5145D034" w14:textId="443A272D" w:rsidR="00EF1B9A" w:rsidRDefault="00EF1B9A" w:rsidP="00EF1B9A">
            <w:pPr>
              <w:jc w:val="center"/>
            </w:pPr>
            <w:r>
              <w:t>Asian</w:t>
            </w:r>
          </w:p>
        </w:tc>
        <w:tc>
          <w:tcPr>
            <w:tcW w:w="1529" w:type="dxa"/>
          </w:tcPr>
          <w:p w14:paraId="7E51480F" w14:textId="2BE71FF1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0F465A3E" w14:textId="67E435AD" w:rsidR="00EF1B9A" w:rsidRDefault="00EF1B9A" w:rsidP="00EF1B9A">
            <w:pPr>
              <w:jc w:val="center"/>
            </w:pPr>
            <w:r>
              <w:t>8.6%</w:t>
            </w:r>
          </w:p>
        </w:tc>
        <w:tc>
          <w:tcPr>
            <w:tcW w:w="1529" w:type="dxa"/>
          </w:tcPr>
          <w:p w14:paraId="1900BA7E" w14:textId="06D2543B" w:rsidR="00EF1B9A" w:rsidRDefault="00EF1B9A" w:rsidP="00EF1B9A">
            <w:pPr>
              <w:jc w:val="center"/>
            </w:pPr>
            <w:r>
              <w:t>11.8%</w:t>
            </w:r>
          </w:p>
        </w:tc>
        <w:tc>
          <w:tcPr>
            <w:tcW w:w="1529" w:type="dxa"/>
          </w:tcPr>
          <w:p w14:paraId="4BFF2F91" w14:textId="79AAF9DD" w:rsidR="00EF1B9A" w:rsidRDefault="003C638C" w:rsidP="00EF1B9A">
            <w:pPr>
              <w:jc w:val="center"/>
            </w:pPr>
            <w:r>
              <w:t>-</w:t>
            </w:r>
          </w:p>
        </w:tc>
        <w:tc>
          <w:tcPr>
            <w:tcW w:w="1529" w:type="dxa"/>
          </w:tcPr>
          <w:p w14:paraId="17D0A592" w14:textId="19DEC886" w:rsidR="00EF1B9A" w:rsidRDefault="00EF1B9A" w:rsidP="00EF1B9A">
            <w:pPr>
              <w:jc w:val="center"/>
            </w:pPr>
            <w:r>
              <w:t>10.3%</w:t>
            </w:r>
          </w:p>
        </w:tc>
      </w:tr>
    </w:tbl>
    <w:p w14:paraId="0B4EC8B1" w14:textId="0C95F69E" w:rsidR="00EF1B9A" w:rsidRPr="006B190C" w:rsidRDefault="00EF1B9A" w:rsidP="006B190C">
      <w:pPr>
        <w:sectPr w:rsidR="00EF1B9A" w:rsidRPr="006B190C" w:rsidSect="00152E9B">
          <w:footerReference w:type="default" r:id="rId8"/>
          <w:headerReference w:type="first" r:id="rId9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944303B" w14:textId="7787AA55" w:rsidR="006B190C" w:rsidRDefault="00DB4885" w:rsidP="006B190C">
      <w:pPr>
        <w:pStyle w:val="Heading2"/>
      </w:pPr>
      <w:r>
        <w:lastRenderedPageBreak/>
        <w:t xml:space="preserve">Te Tari </w:t>
      </w:r>
      <w:proofErr w:type="spellStart"/>
      <w:r>
        <w:t>Taiwhenua</w:t>
      </w:r>
      <w:proofErr w:type="spellEnd"/>
      <w:r>
        <w:t xml:space="preserve"> – </w:t>
      </w:r>
      <w:r w:rsidR="006B190C">
        <w:t xml:space="preserve">Kia </w:t>
      </w:r>
      <w:proofErr w:type="spellStart"/>
      <w:r w:rsidR="006B190C">
        <w:t>Toipoto</w:t>
      </w:r>
      <w:proofErr w:type="spellEnd"/>
      <w:r w:rsidR="006B190C">
        <w:t xml:space="preserve"> </w:t>
      </w:r>
      <w:r>
        <w:t>(</w:t>
      </w:r>
      <w:r w:rsidR="006B190C">
        <w:t xml:space="preserve">Closing Gender, Māori, </w:t>
      </w:r>
      <w:proofErr w:type="gramStart"/>
      <w:r w:rsidR="006B190C">
        <w:t>Pacific</w:t>
      </w:r>
      <w:proofErr w:type="gramEnd"/>
      <w:r w:rsidR="006B190C">
        <w:t xml:space="preserve"> and Ethnic Pay Gaps</w:t>
      </w:r>
      <w:r>
        <w:t>)</w:t>
      </w:r>
      <w:r w:rsidR="006B190C">
        <w:t xml:space="preserve"> Action Plan 2023-2024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4395"/>
        <w:gridCol w:w="5071"/>
        <w:gridCol w:w="5072"/>
      </w:tblGrid>
      <w:tr w:rsidR="00C77053" w:rsidRPr="00233314" w14:paraId="142095E9" w14:textId="77777777" w:rsidTr="0092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tcW w:w="4395" w:type="dxa"/>
          </w:tcPr>
          <w:p w14:paraId="08D472FC" w14:textId="3F7CEB51" w:rsidR="00C75CED" w:rsidRPr="00233314" w:rsidRDefault="00C75CED" w:rsidP="00EB12BF">
            <w:pPr>
              <w:keepNext w:val="0"/>
              <w:keepLines w:val="0"/>
              <w:rPr>
                <w:szCs w:val="22"/>
              </w:rPr>
            </w:pPr>
            <w:r w:rsidRPr="00233314">
              <w:rPr>
                <w:szCs w:val="22"/>
              </w:rPr>
              <w:t xml:space="preserve">Kia </w:t>
            </w:r>
            <w:proofErr w:type="spellStart"/>
            <w:r w:rsidRPr="00233314">
              <w:rPr>
                <w:szCs w:val="22"/>
              </w:rPr>
              <w:t>Toipoto</w:t>
            </w:r>
            <w:proofErr w:type="spellEnd"/>
            <w:r w:rsidRPr="00233314">
              <w:rPr>
                <w:szCs w:val="22"/>
              </w:rPr>
              <w:t xml:space="preserve"> milestone and commitments</w:t>
            </w:r>
          </w:p>
        </w:tc>
        <w:tc>
          <w:tcPr>
            <w:tcW w:w="5071" w:type="dxa"/>
          </w:tcPr>
          <w:p w14:paraId="594BF34E" w14:textId="1DC7A237" w:rsidR="00C75CED" w:rsidRPr="00233314" w:rsidRDefault="00C77053" w:rsidP="00EB12BF">
            <w:pPr>
              <w:keepNext w:val="0"/>
              <w:keepLines w:val="0"/>
              <w:rPr>
                <w:szCs w:val="22"/>
              </w:rPr>
            </w:pPr>
            <w:r w:rsidRPr="00233314">
              <w:rPr>
                <w:szCs w:val="22"/>
              </w:rPr>
              <w:t xml:space="preserve">What </w:t>
            </w:r>
            <w:r w:rsidR="00D533E2" w:rsidRPr="00233314">
              <w:rPr>
                <w:szCs w:val="22"/>
              </w:rPr>
              <w:t xml:space="preserve">Te Tari </w:t>
            </w:r>
            <w:r w:rsidRPr="00233314">
              <w:rPr>
                <w:szCs w:val="22"/>
              </w:rPr>
              <w:t>currently does</w:t>
            </w:r>
          </w:p>
        </w:tc>
        <w:tc>
          <w:tcPr>
            <w:tcW w:w="5072" w:type="dxa"/>
          </w:tcPr>
          <w:p w14:paraId="51C1D54C" w14:textId="17E7A112" w:rsidR="00C75CED" w:rsidRPr="00233314" w:rsidRDefault="00D533E2" w:rsidP="00EB12BF">
            <w:pPr>
              <w:keepNext w:val="0"/>
              <w:keepLines w:val="0"/>
              <w:rPr>
                <w:szCs w:val="22"/>
              </w:rPr>
            </w:pPr>
            <w:r w:rsidRPr="00233314">
              <w:rPr>
                <w:szCs w:val="22"/>
              </w:rPr>
              <w:t>Our c</w:t>
            </w:r>
            <w:r w:rsidR="00C75CED" w:rsidRPr="00233314">
              <w:rPr>
                <w:szCs w:val="22"/>
              </w:rPr>
              <w:t>ommitment for 2023</w:t>
            </w:r>
            <w:r w:rsidR="00EB2FD7">
              <w:rPr>
                <w:szCs w:val="22"/>
              </w:rPr>
              <w:t>/2024</w:t>
            </w:r>
          </w:p>
        </w:tc>
      </w:tr>
      <w:tr w:rsidR="00C77053" w:rsidRPr="00233314" w14:paraId="0AF60786" w14:textId="77777777" w:rsidTr="00EB12BF">
        <w:trPr>
          <w:cantSplit w:val="0"/>
        </w:trPr>
        <w:tc>
          <w:tcPr>
            <w:tcW w:w="4395" w:type="dxa"/>
          </w:tcPr>
          <w:p w14:paraId="2AFFEBF2" w14:textId="3580B5FE" w:rsidR="00C75CED" w:rsidRPr="00233314" w:rsidRDefault="00EB12BF" w:rsidP="00EB12BF">
            <w:pPr>
              <w:pStyle w:val="Heading3"/>
              <w:keepNext w:val="0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t xml:space="preserve">Te </w:t>
            </w:r>
            <w:proofErr w:type="spellStart"/>
            <w:r w:rsidRPr="00233314">
              <w:rPr>
                <w:sz w:val="22"/>
                <w:szCs w:val="22"/>
              </w:rPr>
              <w:t>Pono</w:t>
            </w:r>
            <w:proofErr w:type="spellEnd"/>
            <w:r w:rsidRPr="00233314">
              <w:rPr>
                <w:sz w:val="22"/>
                <w:szCs w:val="22"/>
              </w:rPr>
              <w:t xml:space="preserve"> – </w:t>
            </w:r>
            <w:r w:rsidR="00C75CED" w:rsidRPr="00233314">
              <w:rPr>
                <w:sz w:val="22"/>
                <w:szCs w:val="22"/>
              </w:rPr>
              <w:t>Transparency</w:t>
            </w:r>
          </w:p>
          <w:p w14:paraId="36B73BE0" w14:textId="77777777" w:rsidR="00C77053" w:rsidRPr="00233314" w:rsidRDefault="00C7705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Publish annual action plans</w:t>
            </w:r>
          </w:p>
          <w:p w14:paraId="4123C231" w14:textId="4625A68E" w:rsidR="00C77053" w:rsidRPr="00233314" w:rsidRDefault="00C7705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Ensure easy access to HR and remuneration policies including salary bands</w:t>
            </w:r>
          </w:p>
        </w:tc>
        <w:tc>
          <w:tcPr>
            <w:tcW w:w="5071" w:type="dxa"/>
          </w:tcPr>
          <w:p w14:paraId="3B080CEA" w14:textId="6774A6EE" w:rsidR="00C75CED" w:rsidRPr="00233314" w:rsidRDefault="00A968B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Our </w:t>
            </w:r>
            <w:r w:rsidR="00C77053" w:rsidRPr="00233314">
              <w:rPr>
                <w:sz w:val="20"/>
                <w:szCs w:val="20"/>
              </w:rPr>
              <w:t xml:space="preserve">annual action plan is published on 1840 </w:t>
            </w:r>
            <w:r w:rsidR="005A47EB">
              <w:rPr>
                <w:sz w:val="20"/>
                <w:szCs w:val="20"/>
              </w:rPr>
              <w:t xml:space="preserve">(the intranet) </w:t>
            </w:r>
            <w:r w:rsidR="00C77053" w:rsidRPr="00233314">
              <w:rPr>
                <w:sz w:val="20"/>
                <w:szCs w:val="20"/>
              </w:rPr>
              <w:t xml:space="preserve">and </w:t>
            </w:r>
            <w:r w:rsidRPr="00233314">
              <w:rPr>
                <w:sz w:val="20"/>
                <w:szCs w:val="20"/>
              </w:rPr>
              <w:t xml:space="preserve">on </w:t>
            </w:r>
            <w:r w:rsidR="00C77053" w:rsidRPr="00233314">
              <w:rPr>
                <w:sz w:val="20"/>
                <w:szCs w:val="20"/>
              </w:rPr>
              <w:t>the Department’s website</w:t>
            </w:r>
          </w:p>
          <w:p w14:paraId="40A7CBFB" w14:textId="49511550" w:rsidR="00C77053" w:rsidRPr="00233314" w:rsidRDefault="00C7705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All organisational policies (including HR policies) are available to all employees </w:t>
            </w:r>
            <w:proofErr w:type="gramStart"/>
            <w:r w:rsidRPr="00233314">
              <w:rPr>
                <w:sz w:val="20"/>
                <w:szCs w:val="20"/>
              </w:rPr>
              <w:t>on</w:t>
            </w:r>
            <w:proofErr w:type="gramEnd"/>
            <w:r w:rsidRPr="00233314">
              <w:rPr>
                <w:sz w:val="20"/>
                <w:szCs w:val="20"/>
              </w:rPr>
              <w:t xml:space="preserve"> 1840</w:t>
            </w:r>
          </w:p>
          <w:p w14:paraId="3994C3CD" w14:textId="2C877686" w:rsidR="00EB12BF" w:rsidRPr="00233314" w:rsidRDefault="00C7705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Remuneration information (job family and band) for all jobs is </w:t>
            </w:r>
            <w:r w:rsidR="00A968B3" w:rsidRPr="00233314">
              <w:rPr>
                <w:sz w:val="20"/>
                <w:szCs w:val="20"/>
              </w:rPr>
              <w:t xml:space="preserve">provided </w:t>
            </w:r>
            <w:r w:rsidRPr="00233314">
              <w:rPr>
                <w:sz w:val="20"/>
                <w:szCs w:val="20"/>
              </w:rPr>
              <w:t xml:space="preserve">in the organisation charts available to all employees </w:t>
            </w:r>
            <w:proofErr w:type="gramStart"/>
            <w:r w:rsidRPr="00233314">
              <w:rPr>
                <w:sz w:val="20"/>
                <w:szCs w:val="20"/>
              </w:rPr>
              <w:t>on</w:t>
            </w:r>
            <w:proofErr w:type="gramEnd"/>
            <w:r w:rsidRPr="00233314">
              <w:rPr>
                <w:sz w:val="20"/>
                <w:szCs w:val="20"/>
              </w:rPr>
              <w:t xml:space="preserve"> 1840</w:t>
            </w:r>
          </w:p>
          <w:p w14:paraId="13DDB4A2" w14:textId="0AA6ECA7" w:rsidR="00C77053" w:rsidRPr="00233314" w:rsidRDefault="00881C8F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r</w:t>
            </w:r>
            <w:r w:rsidR="00EB12BF" w:rsidRPr="00233314">
              <w:rPr>
                <w:sz w:val="20"/>
                <w:szCs w:val="20"/>
              </w:rPr>
              <w:t xml:space="preserve">emuneration ranges for all jobs are available to all employees </w:t>
            </w:r>
            <w:proofErr w:type="gramStart"/>
            <w:r w:rsidR="00EB12BF" w:rsidRPr="00233314">
              <w:rPr>
                <w:sz w:val="20"/>
                <w:szCs w:val="20"/>
              </w:rPr>
              <w:t>on</w:t>
            </w:r>
            <w:proofErr w:type="gramEnd"/>
            <w:r w:rsidR="00EB12BF" w:rsidRPr="00233314">
              <w:rPr>
                <w:sz w:val="20"/>
                <w:szCs w:val="20"/>
              </w:rPr>
              <w:t xml:space="preserve"> 1840</w:t>
            </w:r>
          </w:p>
        </w:tc>
        <w:tc>
          <w:tcPr>
            <w:tcW w:w="5072" w:type="dxa"/>
          </w:tcPr>
          <w:p w14:paraId="3C529646" w14:textId="77777777" w:rsidR="00881C8F" w:rsidRDefault="00A968B3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Improve how Te Tari reports</w:t>
            </w:r>
            <w:r w:rsidR="00806354" w:rsidRPr="00233314">
              <w:rPr>
                <w:sz w:val="20"/>
                <w:szCs w:val="20"/>
              </w:rPr>
              <w:t xml:space="preserve"> and</w:t>
            </w:r>
            <w:r w:rsidRPr="00233314">
              <w:rPr>
                <w:sz w:val="20"/>
                <w:szCs w:val="20"/>
              </w:rPr>
              <w:t xml:space="preserve"> share</w:t>
            </w:r>
            <w:r w:rsidR="00281C86" w:rsidRPr="00233314">
              <w:rPr>
                <w:sz w:val="20"/>
                <w:szCs w:val="20"/>
              </w:rPr>
              <w:t xml:space="preserve">s </w:t>
            </w:r>
            <w:r w:rsidR="00D533E2" w:rsidRPr="00233314">
              <w:rPr>
                <w:sz w:val="20"/>
                <w:szCs w:val="20"/>
              </w:rPr>
              <w:t>information about the gender and ethnic pay gaps</w:t>
            </w:r>
          </w:p>
          <w:p w14:paraId="6DFA7964" w14:textId="6E40E40F" w:rsidR="00806354" w:rsidRDefault="00881C8F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how we share information </w:t>
            </w:r>
            <w:r w:rsidR="00D533E2" w:rsidRPr="00233314">
              <w:rPr>
                <w:sz w:val="20"/>
                <w:szCs w:val="20"/>
              </w:rPr>
              <w:t xml:space="preserve">and </w:t>
            </w:r>
            <w:r w:rsidR="00806354" w:rsidRPr="00233314">
              <w:rPr>
                <w:sz w:val="20"/>
                <w:szCs w:val="20"/>
              </w:rPr>
              <w:t xml:space="preserve">progress on the actions </w:t>
            </w:r>
            <w:r w:rsidR="00C43190" w:rsidRPr="00233314">
              <w:rPr>
                <w:sz w:val="20"/>
                <w:szCs w:val="20"/>
              </w:rPr>
              <w:t xml:space="preserve">in </w:t>
            </w:r>
            <w:r w:rsidR="00806354" w:rsidRPr="00233314">
              <w:rPr>
                <w:sz w:val="20"/>
                <w:szCs w:val="20"/>
              </w:rPr>
              <w:t>this plan</w:t>
            </w:r>
            <w:r w:rsidR="005A47EB">
              <w:rPr>
                <w:sz w:val="20"/>
                <w:szCs w:val="20"/>
              </w:rPr>
              <w:t xml:space="preserve"> with our </w:t>
            </w:r>
            <w:proofErr w:type="spellStart"/>
            <w:r w:rsidR="005A47EB">
              <w:rPr>
                <w:sz w:val="20"/>
                <w:szCs w:val="20"/>
              </w:rPr>
              <w:t>kaimahi</w:t>
            </w:r>
            <w:proofErr w:type="spellEnd"/>
          </w:p>
          <w:p w14:paraId="74807984" w14:textId="245ECC30" w:rsidR="00233314" w:rsidRPr="00233314" w:rsidRDefault="00233314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</w:t>
            </w:r>
            <w:r w:rsidR="00881C8F">
              <w:rPr>
                <w:sz w:val="20"/>
                <w:szCs w:val="20"/>
              </w:rPr>
              <w:t xml:space="preserve">gender and ethnic pay gap </w:t>
            </w:r>
            <w:r>
              <w:rPr>
                <w:sz w:val="20"/>
                <w:szCs w:val="20"/>
              </w:rPr>
              <w:t xml:space="preserve">action plans, </w:t>
            </w:r>
            <w:proofErr w:type="gramStart"/>
            <w:r>
              <w:rPr>
                <w:sz w:val="20"/>
                <w:szCs w:val="20"/>
              </w:rPr>
              <w:t>monitoring</w:t>
            </w:r>
            <w:proofErr w:type="gramEnd"/>
            <w:r>
              <w:rPr>
                <w:sz w:val="20"/>
                <w:szCs w:val="20"/>
              </w:rPr>
              <w:t xml:space="preserve"> and reporting</w:t>
            </w:r>
            <w:r w:rsidR="005A47EB">
              <w:rPr>
                <w:sz w:val="20"/>
                <w:szCs w:val="20"/>
              </w:rPr>
              <w:t xml:space="preserve"> within each branch</w:t>
            </w:r>
          </w:p>
          <w:p w14:paraId="3B6774BB" w14:textId="1464814C" w:rsidR="00C75CED" w:rsidRPr="00233314" w:rsidRDefault="00C43190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Provide i</w:t>
            </w:r>
            <w:r w:rsidR="00806354" w:rsidRPr="00233314">
              <w:rPr>
                <w:sz w:val="20"/>
                <w:szCs w:val="20"/>
              </w:rPr>
              <w:t>ncrease</w:t>
            </w:r>
            <w:r w:rsidRPr="00233314">
              <w:rPr>
                <w:sz w:val="20"/>
                <w:szCs w:val="20"/>
              </w:rPr>
              <w:t>d</w:t>
            </w:r>
            <w:r w:rsidR="00806354" w:rsidRPr="00233314">
              <w:rPr>
                <w:sz w:val="20"/>
                <w:szCs w:val="20"/>
              </w:rPr>
              <w:t xml:space="preserve"> opportunities for </w:t>
            </w:r>
            <w:proofErr w:type="spellStart"/>
            <w:r w:rsidR="00806354" w:rsidRPr="00233314">
              <w:rPr>
                <w:sz w:val="20"/>
                <w:szCs w:val="20"/>
              </w:rPr>
              <w:t>kaimahi</w:t>
            </w:r>
            <w:proofErr w:type="spellEnd"/>
            <w:r w:rsidR="00806354" w:rsidRPr="00233314">
              <w:rPr>
                <w:sz w:val="20"/>
                <w:szCs w:val="20"/>
              </w:rPr>
              <w:t xml:space="preserve"> to provide ongoing </w:t>
            </w:r>
            <w:r w:rsidR="00281C86" w:rsidRPr="00233314">
              <w:rPr>
                <w:sz w:val="20"/>
                <w:szCs w:val="20"/>
              </w:rPr>
              <w:t xml:space="preserve">feedback </w:t>
            </w:r>
            <w:r w:rsidR="005A47EB">
              <w:rPr>
                <w:sz w:val="20"/>
                <w:szCs w:val="20"/>
              </w:rPr>
              <w:t xml:space="preserve">on </w:t>
            </w:r>
            <w:proofErr w:type="spellStart"/>
            <w:r w:rsidR="005A47EB">
              <w:rPr>
                <w:sz w:val="20"/>
                <w:szCs w:val="20"/>
              </w:rPr>
              <w:t>ur</w:t>
            </w:r>
            <w:proofErr w:type="spellEnd"/>
            <w:r w:rsidR="005A47EB">
              <w:rPr>
                <w:sz w:val="20"/>
                <w:szCs w:val="20"/>
              </w:rPr>
              <w:t xml:space="preserve"> progress</w:t>
            </w:r>
          </w:p>
        </w:tc>
      </w:tr>
      <w:tr w:rsidR="00C77053" w:rsidRPr="00233314" w14:paraId="45DC1DCC" w14:textId="77777777" w:rsidTr="00EB12BF">
        <w:trPr>
          <w:cantSplit w:val="0"/>
        </w:trPr>
        <w:tc>
          <w:tcPr>
            <w:tcW w:w="4395" w:type="dxa"/>
          </w:tcPr>
          <w:p w14:paraId="0A8AE010" w14:textId="77777777" w:rsidR="00C75CED" w:rsidRPr="00233314" w:rsidRDefault="00EB12BF" w:rsidP="00EB12BF">
            <w:pPr>
              <w:pStyle w:val="Heading3"/>
              <w:keepNext w:val="0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t xml:space="preserve">Ngā Hua </w:t>
            </w:r>
            <w:proofErr w:type="spellStart"/>
            <w:r w:rsidRPr="00233314">
              <w:rPr>
                <w:sz w:val="22"/>
                <w:szCs w:val="22"/>
              </w:rPr>
              <w:t>Tōkeke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mō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te</w:t>
            </w:r>
            <w:proofErr w:type="spellEnd"/>
            <w:r w:rsidRPr="00233314">
              <w:rPr>
                <w:sz w:val="22"/>
                <w:szCs w:val="22"/>
              </w:rPr>
              <w:t xml:space="preserve"> Utu – equitable pay outcomes</w:t>
            </w:r>
          </w:p>
          <w:p w14:paraId="6DF38753" w14:textId="2102A919" w:rsidR="00EB12BF" w:rsidRPr="00233314" w:rsidRDefault="00EB12BF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Ensure starting salaries are not influenced by bias</w:t>
            </w:r>
          </w:p>
          <w:p w14:paraId="1B8B4E23" w14:textId="217BDF14" w:rsidR="00EB12BF" w:rsidRPr="00233314" w:rsidRDefault="00EB12BF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Ensure starting salaries and salaries for same or similar roles do not reopen pay gaps</w:t>
            </w:r>
          </w:p>
        </w:tc>
        <w:tc>
          <w:tcPr>
            <w:tcW w:w="5071" w:type="dxa"/>
          </w:tcPr>
          <w:p w14:paraId="18DAAC50" w14:textId="4F90145B" w:rsidR="00C43190" w:rsidRPr="00233314" w:rsidRDefault="00C43190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All vacancy advertisements include the salary range for the job</w:t>
            </w:r>
          </w:p>
          <w:p w14:paraId="5A6186BC" w14:textId="60328A42" w:rsidR="00C75CED" w:rsidRPr="00233314" w:rsidRDefault="00EB12BF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The starting salary tool is available for managers to use to determine </w:t>
            </w:r>
            <w:r w:rsidR="00881C8F">
              <w:rPr>
                <w:sz w:val="20"/>
                <w:szCs w:val="20"/>
              </w:rPr>
              <w:t xml:space="preserve">the appropriate </w:t>
            </w:r>
            <w:r w:rsidRPr="00233314">
              <w:rPr>
                <w:sz w:val="20"/>
                <w:szCs w:val="20"/>
              </w:rPr>
              <w:t>starting salary to offer new employees</w:t>
            </w:r>
          </w:p>
          <w:p w14:paraId="7FD06DDF" w14:textId="044914EC" w:rsidR="00881C8F" w:rsidRDefault="00881C8F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Salaries </w:t>
            </w:r>
            <w:r w:rsidR="005A47EB">
              <w:rPr>
                <w:sz w:val="20"/>
                <w:szCs w:val="20"/>
              </w:rPr>
              <w:t xml:space="preserve">within the same or similar jobs </w:t>
            </w:r>
            <w:r>
              <w:rPr>
                <w:sz w:val="20"/>
                <w:szCs w:val="20"/>
              </w:rPr>
              <w:t xml:space="preserve">are </w:t>
            </w:r>
            <w:r w:rsidR="00806354" w:rsidRPr="00233314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>ed</w:t>
            </w:r>
            <w:r w:rsidR="00806354" w:rsidRPr="00233314">
              <w:rPr>
                <w:sz w:val="20"/>
                <w:szCs w:val="20"/>
              </w:rPr>
              <w:t xml:space="preserve"> and monitor</w:t>
            </w:r>
            <w:r>
              <w:rPr>
                <w:sz w:val="20"/>
                <w:szCs w:val="20"/>
              </w:rPr>
              <w:t>ed yearly</w:t>
            </w:r>
            <w:r w:rsidR="00806354" w:rsidRPr="00233314">
              <w:rPr>
                <w:sz w:val="20"/>
                <w:szCs w:val="20"/>
              </w:rPr>
              <w:t xml:space="preserve"> to ensure pay gaps do not reopen</w:t>
            </w:r>
          </w:p>
          <w:p w14:paraId="4A415FDE" w14:textId="0E9D6133" w:rsidR="00C43190" w:rsidRPr="00233314" w:rsidRDefault="00881C8F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</w:t>
            </w:r>
            <w:r w:rsidR="005A47EB">
              <w:rPr>
                <w:sz w:val="20"/>
                <w:szCs w:val="20"/>
              </w:rPr>
              <w:t xml:space="preserve">corrections </w:t>
            </w:r>
            <w:r>
              <w:rPr>
                <w:sz w:val="20"/>
                <w:szCs w:val="20"/>
              </w:rPr>
              <w:t xml:space="preserve">are </w:t>
            </w:r>
            <w:r w:rsidR="00806354" w:rsidRPr="00233314">
              <w:rPr>
                <w:sz w:val="20"/>
                <w:szCs w:val="20"/>
              </w:rPr>
              <w:t>made where appropriate</w:t>
            </w:r>
          </w:p>
        </w:tc>
        <w:tc>
          <w:tcPr>
            <w:tcW w:w="5072" w:type="dxa"/>
          </w:tcPr>
          <w:p w14:paraId="5A8C098E" w14:textId="1E583E1A" w:rsidR="00C75CED" w:rsidRPr="00233314" w:rsidRDefault="00281C86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Continue to monitor starting salaries to ensure pay gaps do not reopen</w:t>
            </w:r>
          </w:p>
          <w:p w14:paraId="3A532092" w14:textId="3ACD628B" w:rsidR="00806354" w:rsidRPr="00233314" w:rsidRDefault="00806354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Analyse starting salaries </w:t>
            </w:r>
            <w:r w:rsidR="00881C8F">
              <w:rPr>
                <w:sz w:val="20"/>
                <w:szCs w:val="20"/>
              </w:rPr>
              <w:t xml:space="preserve">for </w:t>
            </w:r>
            <w:r w:rsidRPr="00233314">
              <w:rPr>
                <w:sz w:val="20"/>
                <w:szCs w:val="20"/>
              </w:rPr>
              <w:t xml:space="preserve">internal and external appointments to ensure </w:t>
            </w:r>
            <w:r w:rsidR="00881C8F">
              <w:rPr>
                <w:sz w:val="20"/>
                <w:szCs w:val="20"/>
              </w:rPr>
              <w:t>they</w:t>
            </w:r>
            <w:r w:rsidRPr="00233314">
              <w:rPr>
                <w:sz w:val="20"/>
                <w:szCs w:val="20"/>
              </w:rPr>
              <w:t xml:space="preserve"> are </w:t>
            </w:r>
            <w:r w:rsidR="00EB380C">
              <w:rPr>
                <w:sz w:val="20"/>
                <w:szCs w:val="20"/>
              </w:rPr>
              <w:t>appropriate and a fair placement in the salary band</w:t>
            </w:r>
          </w:p>
          <w:p w14:paraId="5256FA52" w14:textId="77777777" w:rsidR="00281C86" w:rsidRDefault="00DE2466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Continue </w:t>
            </w:r>
            <w:r w:rsidR="00881C8F">
              <w:rPr>
                <w:sz w:val="20"/>
                <w:szCs w:val="20"/>
              </w:rPr>
              <w:t xml:space="preserve">the </w:t>
            </w:r>
            <w:r w:rsidRPr="00233314">
              <w:rPr>
                <w:sz w:val="20"/>
                <w:szCs w:val="20"/>
              </w:rPr>
              <w:t>yearly monitor</w:t>
            </w:r>
            <w:r w:rsidR="00881C8F">
              <w:rPr>
                <w:sz w:val="20"/>
                <w:szCs w:val="20"/>
              </w:rPr>
              <w:t>ing</w:t>
            </w:r>
            <w:r w:rsidRPr="00233314">
              <w:rPr>
                <w:sz w:val="20"/>
                <w:szCs w:val="20"/>
              </w:rPr>
              <w:t xml:space="preserve"> of all salaries to ensure </w:t>
            </w:r>
            <w:r w:rsidR="00C35B2F">
              <w:rPr>
                <w:sz w:val="20"/>
                <w:szCs w:val="20"/>
              </w:rPr>
              <w:t xml:space="preserve">unjustifiable </w:t>
            </w:r>
            <w:r w:rsidRPr="00233314">
              <w:rPr>
                <w:sz w:val="20"/>
                <w:szCs w:val="20"/>
              </w:rPr>
              <w:t>pay gaps do not reopen</w:t>
            </w:r>
          </w:p>
          <w:p w14:paraId="4907A89B" w14:textId="2ECCFE9E" w:rsidR="00881C8F" w:rsidRPr="00233314" w:rsidRDefault="0083431D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educate managers </w:t>
            </w:r>
            <w:r w:rsidR="005A47EB">
              <w:rPr>
                <w:sz w:val="20"/>
                <w:szCs w:val="20"/>
              </w:rPr>
              <w:t xml:space="preserve">about removing bias from the recruitment, job descriptions, </w:t>
            </w:r>
            <w:r w:rsidR="003C638C">
              <w:rPr>
                <w:sz w:val="20"/>
                <w:szCs w:val="20"/>
              </w:rPr>
              <w:t xml:space="preserve">promotion and pay of </w:t>
            </w:r>
            <w:proofErr w:type="spellStart"/>
            <w:r w:rsidR="003C638C">
              <w:rPr>
                <w:sz w:val="20"/>
                <w:szCs w:val="20"/>
              </w:rPr>
              <w:t>kaimahi</w:t>
            </w:r>
            <w:proofErr w:type="spellEnd"/>
          </w:p>
        </w:tc>
      </w:tr>
      <w:tr w:rsidR="00C77053" w:rsidRPr="00233314" w14:paraId="71ED15D6" w14:textId="77777777" w:rsidTr="00EB12BF">
        <w:trPr>
          <w:cantSplit w:val="0"/>
        </w:trPr>
        <w:tc>
          <w:tcPr>
            <w:tcW w:w="4395" w:type="dxa"/>
          </w:tcPr>
          <w:p w14:paraId="07B3F292" w14:textId="77777777" w:rsidR="00C75CED" w:rsidRPr="00233314" w:rsidRDefault="00EB12BF" w:rsidP="00233314">
            <w:pPr>
              <w:pStyle w:val="Heading3"/>
              <w:keepNext w:val="0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t xml:space="preserve">Te </w:t>
            </w:r>
            <w:proofErr w:type="spellStart"/>
            <w:r w:rsidRPr="00233314">
              <w:rPr>
                <w:sz w:val="22"/>
                <w:szCs w:val="22"/>
              </w:rPr>
              <w:t>whai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kanohi</w:t>
            </w:r>
            <w:proofErr w:type="spellEnd"/>
            <w:r w:rsidRPr="00233314">
              <w:rPr>
                <w:sz w:val="22"/>
                <w:szCs w:val="22"/>
              </w:rPr>
              <w:t xml:space="preserve"> I </w:t>
            </w:r>
            <w:proofErr w:type="spellStart"/>
            <w:r w:rsidRPr="00233314">
              <w:rPr>
                <w:sz w:val="22"/>
                <w:szCs w:val="22"/>
              </w:rPr>
              <w:t>ngā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taumata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katoa</w:t>
            </w:r>
            <w:proofErr w:type="spellEnd"/>
            <w:r w:rsidRPr="00233314">
              <w:rPr>
                <w:sz w:val="22"/>
                <w:szCs w:val="22"/>
              </w:rPr>
              <w:t xml:space="preserve"> – Leadership and representation</w:t>
            </w:r>
          </w:p>
          <w:p w14:paraId="710B9CBE" w14:textId="572FAD5E" w:rsidR="00881C8F" w:rsidRPr="00C35B2F" w:rsidRDefault="00881C8F" w:rsidP="00881C8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35B2F">
              <w:rPr>
                <w:sz w:val="20"/>
                <w:szCs w:val="20"/>
              </w:rPr>
              <w:t>lans and targets to improve gender and ethnic representation in workforce and leadership</w:t>
            </w:r>
          </w:p>
          <w:p w14:paraId="65891677" w14:textId="52BCC2A9" w:rsidR="00881C8F" w:rsidRDefault="00881C8F" w:rsidP="00881C8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35B2F">
              <w:rPr>
                <w:sz w:val="20"/>
                <w:szCs w:val="20"/>
              </w:rPr>
              <w:t>he Public Service workforce and leadership are substantially more representative of society</w:t>
            </w:r>
          </w:p>
          <w:p w14:paraId="286FECA2" w14:textId="204FED37" w:rsidR="00EB12BF" w:rsidRPr="00233314" w:rsidRDefault="00EB12BF" w:rsidP="00EB12BF">
            <w:pPr>
              <w:keepLines w:val="0"/>
              <w:rPr>
                <w:sz w:val="20"/>
                <w:szCs w:val="20"/>
              </w:rPr>
            </w:pPr>
          </w:p>
        </w:tc>
        <w:tc>
          <w:tcPr>
            <w:tcW w:w="5071" w:type="dxa"/>
          </w:tcPr>
          <w:p w14:paraId="03A142B2" w14:textId="2322239D" w:rsidR="00C75CED" w:rsidRDefault="00B121EC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3431D">
              <w:rPr>
                <w:sz w:val="20"/>
                <w:szCs w:val="20"/>
              </w:rPr>
              <w:t>5% of our senior leadership roles are filled by women</w:t>
            </w:r>
          </w:p>
          <w:p w14:paraId="68D5CE4D" w14:textId="1B1315F8" w:rsidR="00B121EC" w:rsidRPr="00233314" w:rsidRDefault="002D1312" w:rsidP="002D1312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continue to develop our Māori and Pasifika capability through </w:t>
            </w:r>
            <w:r w:rsidR="00B121EC" w:rsidRPr="00B121EC">
              <w:rPr>
                <w:sz w:val="20"/>
                <w:szCs w:val="20"/>
              </w:rPr>
              <w:t xml:space="preserve">Te Aka Matua </w:t>
            </w:r>
            <w:r w:rsidR="00B121EC">
              <w:rPr>
                <w:sz w:val="20"/>
                <w:szCs w:val="20"/>
              </w:rPr>
              <w:t xml:space="preserve">our </w:t>
            </w:r>
            <w:r w:rsidR="00B121EC" w:rsidRPr="00B121EC">
              <w:rPr>
                <w:sz w:val="20"/>
                <w:szCs w:val="20"/>
              </w:rPr>
              <w:t xml:space="preserve">Māori leadership programme </w:t>
            </w:r>
            <w:r>
              <w:rPr>
                <w:sz w:val="20"/>
                <w:szCs w:val="20"/>
              </w:rPr>
              <w:t xml:space="preserve">and </w:t>
            </w:r>
            <w:proofErr w:type="spellStart"/>
            <w:r w:rsidR="00B121EC" w:rsidRPr="00B121EC">
              <w:rPr>
                <w:sz w:val="20"/>
                <w:szCs w:val="20"/>
              </w:rPr>
              <w:t>Avei’a</w:t>
            </w:r>
            <w:proofErr w:type="spellEnd"/>
            <w:r w:rsidR="00B121EC" w:rsidRPr="00B121EC">
              <w:rPr>
                <w:sz w:val="20"/>
                <w:szCs w:val="20"/>
              </w:rPr>
              <w:t>, our leadership and development programme</w:t>
            </w:r>
            <w:r w:rsidR="00B121EC">
              <w:rPr>
                <w:sz w:val="20"/>
                <w:szCs w:val="20"/>
              </w:rPr>
              <w:t xml:space="preserve"> for our Pasifika </w:t>
            </w:r>
            <w:proofErr w:type="spellStart"/>
            <w:r w:rsidR="00B121EC">
              <w:rPr>
                <w:sz w:val="20"/>
                <w:szCs w:val="20"/>
              </w:rPr>
              <w:t>kaimahi</w:t>
            </w:r>
            <w:proofErr w:type="spellEnd"/>
          </w:p>
        </w:tc>
        <w:tc>
          <w:tcPr>
            <w:tcW w:w="5072" w:type="dxa"/>
          </w:tcPr>
          <w:p w14:paraId="23555055" w14:textId="11A5D509" w:rsidR="00C75CED" w:rsidRPr="00233314" w:rsidRDefault="00EB12BF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By March 2023 agree plans and targets to improve gender and ethnic representation in leadership</w:t>
            </w:r>
          </w:p>
          <w:p w14:paraId="45FD4FD2" w14:textId="42FE89D8" w:rsidR="00EB12BF" w:rsidRPr="00233314" w:rsidRDefault="00EB12BF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Monitor and report on gender and ethnic representation </w:t>
            </w:r>
            <w:r w:rsidR="00DE2466" w:rsidRPr="00233314">
              <w:rPr>
                <w:sz w:val="20"/>
                <w:szCs w:val="20"/>
              </w:rPr>
              <w:t xml:space="preserve">across Te Tari with a focus on </w:t>
            </w:r>
            <w:r w:rsidRPr="00233314">
              <w:rPr>
                <w:sz w:val="20"/>
                <w:szCs w:val="20"/>
              </w:rPr>
              <w:t>leadership</w:t>
            </w:r>
          </w:p>
          <w:p w14:paraId="703D5D76" w14:textId="77777777" w:rsidR="00881C8F" w:rsidRDefault="00881C8F" w:rsidP="00C35B2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people leaders to </w:t>
            </w:r>
            <w:r w:rsidRPr="00C35B2F">
              <w:rPr>
                <w:sz w:val="20"/>
                <w:szCs w:val="20"/>
              </w:rPr>
              <w:t xml:space="preserve">attract a more ethnically diverse pool of applicants </w:t>
            </w:r>
          </w:p>
          <w:p w14:paraId="0FF9F037" w14:textId="55567117" w:rsidR="00C35B2F" w:rsidRDefault="00281C86" w:rsidP="00C35B2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Us</w:t>
            </w:r>
            <w:r w:rsidR="00DE2466" w:rsidRPr="00233314">
              <w:rPr>
                <w:sz w:val="20"/>
                <w:szCs w:val="20"/>
              </w:rPr>
              <w:t>e</w:t>
            </w:r>
            <w:r w:rsidRPr="00233314">
              <w:rPr>
                <w:sz w:val="20"/>
                <w:szCs w:val="20"/>
              </w:rPr>
              <w:t xml:space="preserve"> </w:t>
            </w:r>
            <w:r w:rsidR="00EB12BF" w:rsidRPr="00233314">
              <w:rPr>
                <w:sz w:val="20"/>
                <w:szCs w:val="20"/>
              </w:rPr>
              <w:t xml:space="preserve">data </w:t>
            </w:r>
            <w:r w:rsidR="00DE2466" w:rsidRPr="00233314">
              <w:rPr>
                <w:sz w:val="20"/>
                <w:szCs w:val="20"/>
              </w:rPr>
              <w:t>(</w:t>
            </w:r>
            <w:r w:rsidR="00EB12BF" w:rsidRPr="00233314">
              <w:rPr>
                <w:sz w:val="20"/>
                <w:szCs w:val="20"/>
              </w:rPr>
              <w:t xml:space="preserve">through </w:t>
            </w:r>
            <w:r w:rsidR="00DE2466" w:rsidRPr="00233314">
              <w:rPr>
                <w:sz w:val="20"/>
                <w:szCs w:val="20"/>
              </w:rPr>
              <w:t>the</w:t>
            </w:r>
            <w:r w:rsidR="00806354" w:rsidRPr="00233314">
              <w:rPr>
                <w:sz w:val="20"/>
                <w:szCs w:val="20"/>
              </w:rPr>
              <w:t xml:space="preserve"> </w:t>
            </w:r>
            <w:r w:rsidR="00EB12BF" w:rsidRPr="00233314">
              <w:rPr>
                <w:sz w:val="20"/>
                <w:szCs w:val="20"/>
              </w:rPr>
              <w:t>new recruitment system</w:t>
            </w:r>
            <w:r w:rsidR="00DE2466" w:rsidRPr="00233314">
              <w:rPr>
                <w:sz w:val="20"/>
                <w:szCs w:val="20"/>
              </w:rPr>
              <w:t>)</w:t>
            </w:r>
            <w:r w:rsidR="00EB12BF" w:rsidRPr="00233314">
              <w:rPr>
                <w:sz w:val="20"/>
                <w:szCs w:val="20"/>
              </w:rPr>
              <w:t xml:space="preserve"> </w:t>
            </w:r>
            <w:r w:rsidR="00DE2466" w:rsidRPr="00233314">
              <w:rPr>
                <w:sz w:val="20"/>
                <w:szCs w:val="20"/>
              </w:rPr>
              <w:t xml:space="preserve">to </w:t>
            </w:r>
            <w:r w:rsidR="00806354" w:rsidRPr="00233314">
              <w:rPr>
                <w:sz w:val="20"/>
                <w:szCs w:val="20"/>
              </w:rPr>
              <w:t xml:space="preserve">understand </w:t>
            </w:r>
            <w:r w:rsidR="00923D6E" w:rsidRPr="00233314">
              <w:rPr>
                <w:sz w:val="20"/>
                <w:szCs w:val="20"/>
              </w:rPr>
              <w:t xml:space="preserve">how women, Māori, </w:t>
            </w:r>
            <w:r w:rsidR="00D533E2" w:rsidRPr="00233314">
              <w:rPr>
                <w:sz w:val="20"/>
                <w:szCs w:val="20"/>
              </w:rPr>
              <w:t>Pasifika,</w:t>
            </w:r>
            <w:r w:rsidR="00923D6E" w:rsidRPr="00233314">
              <w:rPr>
                <w:sz w:val="20"/>
                <w:szCs w:val="20"/>
              </w:rPr>
              <w:t xml:space="preserve"> and other </w:t>
            </w:r>
            <w:r w:rsidR="00923D6E" w:rsidRPr="00233314">
              <w:rPr>
                <w:sz w:val="20"/>
                <w:szCs w:val="20"/>
              </w:rPr>
              <w:lastRenderedPageBreak/>
              <w:t>ethnicities progress through the recruitment process</w:t>
            </w:r>
            <w:r w:rsidR="00806354" w:rsidRPr="00233314">
              <w:rPr>
                <w:sz w:val="20"/>
                <w:szCs w:val="20"/>
              </w:rPr>
              <w:t xml:space="preserve"> and determine where changes can be made to improve outcomes</w:t>
            </w:r>
          </w:p>
          <w:p w14:paraId="6D585CCD" w14:textId="3DA1EE36" w:rsidR="00EB12BF" w:rsidRPr="00233314" w:rsidRDefault="00EB380C" w:rsidP="0083431D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431D" w:rsidRPr="0083431D">
              <w:rPr>
                <w:sz w:val="20"/>
                <w:szCs w:val="20"/>
              </w:rPr>
              <w:t>eek to increase diversity in our leadership roles</w:t>
            </w:r>
            <w:r w:rsidR="008343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using </w:t>
            </w:r>
            <w:r w:rsidR="0083431D" w:rsidRPr="0083431D">
              <w:rPr>
                <w:sz w:val="20"/>
                <w:szCs w:val="20"/>
              </w:rPr>
              <w:t xml:space="preserve">advertising channels </w:t>
            </w:r>
            <w:r>
              <w:rPr>
                <w:sz w:val="20"/>
                <w:szCs w:val="20"/>
              </w:rPr>
              <w:t xml:space="preserve">to </w:t>
            </w:r>
            <w:r w:rsidR="0083431D" w:rsidRPr="0083431D">
              <w:rPr>
                <w:sz w:val="20"/>
                <w:szCs w:val="20"/>
              </w:rPr>
              <w:t>target</w:t>
            </w:r>
            <w:r w:rsidR="0083431D">
              <w:rPr>
                <w:sz w:val="20"/>
                <w:szCs w:val="20"/>
              </w:rPr>
              <w:t xml:space="preserve"> diverse people</w:t>
            </w:r>
          </w:p>
        </w:tc>
      </w:tr>
      <w:tr w:rsidR="00923D6E" w:rsidRPr="00233314" w14:paraId="4442EFE0" w14:textId="77777777" w:rsidTr="00EB12BF">
        <w:trPr>
          <w:cantSplit w:val="0"/>
        </w:trPr>
        <w:tc>
          <w:tcPr>
            <w:tcW w:w="4395" w:type="dxa"/>
          </w:tcPr>
          <w:p w14:paraId="48673397" w14:textId="513F620F" w:rsidR="00923D6E" w:rsidRPr="00233314" w:rsidRDefault="00923D6E" w:rsidP="00281C86">
            <w:pPr>
              <w:pStyle w:val="Heading3"/>
              <w:keepNext w:val="0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lastRenderedPageBreak/>
              <w:t xml:space="preserve">Te </w:t>
            </w:r>
            <w:proofErr w:type="spellStart"/>
            <w:r w:rsidRPr="00233314">
              <w:rPr>
                <w:sz w:val="22"/>
                <w:szCs w:val="22"/>
              </w:rPr>
              <w:t>Whakawhanaketanga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i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te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Aramahi</w:t>
            </w:r>
            <w:proofErr w:type="spellEnd"/>
            <w:r w:rsidRPr="00233314">
              <w:rPr>
                <w:sz w:val="22"/>
                <w:szCs w:val="22"/>
              </w:rPr>
              <w:t xml:space="preserve"> – Effective career and leadership development</w:t>
            </w:r>
          </w:p>
          <w:p w14:paraId="20A5C41F" w14:textId="52E5A864" w:rsidR="00881C8F" w:rsidRPr="00233314" w:rsidRDefault="00881C8F" w:rsidP="00881C8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Career pathways and equitable progression opportunities that support women, Māori, </w:t>
            </w:r>
            <w:proofErr w:type="gramStart"/>
            <w:r w:rsidRPr="00233314">
              <w:rPr>
                <w:sz w:val="20"/>
                <w:szCs w:val="20"/>
              </w:rPr>
              <w:t>Pacific</w:t>
            </w:r>
            <w:proofErr w:type="gramEnd"/>
            <w:r w:rsidRPr="00233314">
              <w:rPr>
                <w:sz w:val="20"/>
                <w:szCs w:val="20"/>
              </w:rPr>
              <w:t xml:space="preserve"> and ethnic employees to achieve their career aspirations</w:t>
            </w:r>
          </w:p>
        </w:tc>
        <w:tc>
          <w:tcPr>
            <w:tcW w:w="5071" w:type="dxa"/>
          </w:tcPr>
          <w:p w14:paraId="4F13A054" w14:textId="77777777" w:rsidR="00B121EC" w:rsidRDefault="00B121EC" w:rsidP="00B121EC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Pacific Career Broker provides advice and support to Pasifika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to apply for more senior roles and be confident in their career pathway</w:t>
            </w:r>
          </w:p>
          <w:p w14:paraId="2D78251F" w14:textId="782822F7" w:rsidR="00B121EC" w:rsidRDefault="00B121EC" w:rsidP="00B121EC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2021 three Pasifika leaders participated in the Tu Mau Mana Moana scholarship programme – designed to deepen Pacific aspirations, personal growth, </w:t>
            </w:r>
            <w:r w:rsidRPr="003148ED">
              <w:rPr>
                <w:sz w:val="20"/>
                <w:szCs w:val="20"/>
              </w:rPr>
              <w:t>professional excellence, cultural strength, and collective mobilisation</w:t>
            </w:r>
          </w:p>
          <w:p w14:paraId="12618A45" w14:textId="2E10A195" w:rsidR="00923D6E" w:rsidRPr="00233314" w:rsidRDefault="00923D6E" w:rsidP="0083431D">
            <w:pPr>
              <w:keepLines w:val="0"/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5A69E462" w14:textId="24309683" w:rsidR="005C5616" w:rsidRPr="00233314" w:rsidRDefault="00EB380C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5C5616" w:rsidRPr="00233314">
              <w:rPr>
                <w:sz w:val="20"/>
                <w:szCs w:val="20"/>
              </w:rPr>
              <w:t xml:space="preserve">the barriers </w:t>
            </w:r>
            <w:r>
              <w:rPr>
                <w:sz w:val="20"/>
                <w:szCs w:val="20"/>
              </w:rPr>
              <w:t xml:space="preserve">that deter </w:t>
            </w:r>
            <w:r w:rsidR="005C5616" w:rsidRPr="00233314">
              <w:rPr>
                <w:sz w:val="20"/>
                <w:szCs w:val="20"/>
              </w:rPr>
              <w:t xml:space="preserve">Māori and Pasifika </w:t>
            </w:r>
            <w:proofErr w:type="spellStart"/>
            <w:r w:rsidR="00881C8F"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from advancing</w:t>
            </w:r>
            <w:r w:rsidR="00DE2466" w:rsidRPr="00233314">
              <w:rPr>
                <w:sz w:val="20"/>
                <w:szCs w:val="20"/>
              </w:rPr>
              <w:t xml:space="preserve"> their career</w:t>
            </w:r>
            <w:r w:rsidR="00150318" w:rsidRPr="00233314">
              <w:rPr>
                <w:sz w:val="20"/>
                <w:szCs w:val="20"/>
              </w:rPr>
              <w:t>s</w:t>
            </w:r>
            <w:r w:rsidR="00DE2466" w:rsidRPr="00233314">
              <w:rPr>
                <w:sz w:val="20"/>
                <w:szCs w:val="20"/>
              </w:rPr>
              <w:t xml:space="preserve"> (</w:t>
            </w:r>
            <w:r w:rsidR="00150318" w:rsidRPr="00233314">
              <w:rPr>
                <w:sz w:val="20"/>
                <w:szCs w:val="20"/>
              </w:rPr>
              <w:t xml:space="preserve">survey and </w:t>
            </w:r>
            <w:r w:rsidR="00DE2466" w:rsidRPr="00233314">
              <w:rPr>
                <w:sz w:val="20"/>
                <w:szCs w:val="20"/>
              </w:rPr>
              <w:t>workshops)</w:t>
            </w:r>
          </w:p>
          <w:p w14:paraId="7F1F0150" w14:textId="56E36F49" w:rsidR="00923D6E" w:rsidRPr="00233314" w:rsidRDefault="00DE2466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Develop</w:t>
            </w:r>
            <w:r w:rsidR="005C5616" w:rsidRPr="00233314">
              <w:rPr>
                <w:sz w:val="20"/>
                <w:szCs w:val="20"/>
              </w:rPr>
              <w:t xml:space="preserve"> career progression </w:t>
            </w:r>
            <w:r w:rsidRPr="00233314">
              <w:rPr>
                <w:sz w:val="20"/>
                <w:szCs w:val="20"/>
              </w:rPr>
              <w:t xml:space="preserve">strategies </w:t>
            </w:r>
            <w:r w:rsidR="00150318" w:rsidRPr="00233314">
              <w:rPr>
                <w:sz w:val="20"/>
                <w:szCs w:val="20"/>
              </w:rPr>
              <w:t xml:space="preserve">to enable Māori and Pasifika </w:t>
            </w:r>
            <w:proofErr w:type="spellStart"/>
            <w:r w:rsidR="00150318" w:rsidRPr="00233314">
              <w:rPr>
                <w:sz w:val="20"/>
                <w:szCs w:val="20"/>
              </w:rPr>
              <w:t>kaimahi</w:t>
            </w:r>
            <w:proofErr w:type="spellEnd"/>
            <w:r w:rsidR="00150318" w:rsidRPr="00233314">
              <w:rPr>
                <w:sz w:val="20"/>
                <w:szCs w:val="20"/>
              </w:rPr>
              <w:t xml:space="preserve"> opportunities to progress their careers</w:t>
            </w:r>
          </w:p>
          <w:p w14:paraId="4302249A" w14:textId="0D411BAE" w:rsidR="00DE2466" w:rsidRPr="00233314" w:rsidRDefault="0083431D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 support of the </w:t>
            </w:r>
            <w:r w:rsidR="00DE2466" w:rsidRPr="00233314">
              <w:rPr>
                <w:sz w:val="20"/>
                <w:szCs w:val="20"/>
              </w:rPr>
              <w:t xml:space="preserve">Pasifika Career Broker outcomes for Pasifika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improve and the number of Pasifika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across Te Tari improves</w:t>
            </w:r>
          </w:p>
        </w:tc>
      </w:tr>
      <w:tr w:rsidR="00923D6E" w:rsidRPr="00233314" w14:paraId="4720AEF5" w14:textId="77777777" w:rsidTr="00EB12BF">
        <w:trPr>
          <w:cantSplit w:val="0"/>
        </w:trPr>
        <w:tc>
          <w:tcPr>
            <w:tcW w:w="4395" w:type="dxa"/>
          </w:tcPr>
          <w:p w14:paraId="63BD08A2" w14:textId="77777777" w:rsidR="00923D6E" w:rsidRPr="00233314" w:rsidRDefault="00923D6E" w:rsidP="00281C86">
            <w:pPr>
              <w:pStyle w:val="Heading3"/>
              <w:keepNext w:val="0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t xml:space="preserve">Te </w:t>
            </w:r>
            <w:proofErr w:type="spellStart"/>
            <w:r w:rsidRPr="00233314">
              <w:rPr>
                <w:sz w:val="22"/>
                <w:szCs w:val="22"/>
              </w:rPr>
              <w:t>whakakore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i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te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katoa</w:t>
            </w:r>
            <w:proofErr w:type="spellEnd"/>
            <w:r w:rsidRPr="00233314">
              <w:rPr>
                <w:sz w:val="22"/>
                <w:szCs w:val="22"/>
              </w:rPr>
              <w:t xml:space="preserve"> o </w:t>
            </w:r>
            <w:proofErr w:type="spellStart"/>
            <w:r w:rsidRPr="00233314">
              <w:rPr>
                <w:sz w:val="22"/>
                <w:szCs w:val="22"/>
              </w:rPr>
              <w:t>ngā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momo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whakatoihara</w:t>
            </w:r>
            <w:proofErr w:type="spellEnd"/>
            <w:r w:rsidRPr="00233314">
              <w:rPr>
                <w:sz w:val="22"/>
                <w:szCs w:val="22"/>
              </w:rPr>
              <w:t xml:space="preserve">, </w:t>
            </w:r>
            <w:proofErr w:type="spellStart"/>
            <w:r w:rsidRPr="00233314">
              <w:rPr>
                <w:sz w:val="22"/>
                <w:szCs w:val="22"/>
              </w:rPr>
              <w:t>haukume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anō</w:t>
            </w:r>
            <w:proofErr w:type="spellEnd"/>
            <w:r w:rsidRPr="00233314">
              <w:rPr>
                <w:sz w:val="22"/>
                <w:szCs w:val="22"/>
              </w:rPr>
              <w:t xml:space="preserve"> </w:t>
            </w:r>
            <w:proofErr w:type="spellStart"/>
            <w:r w:rsidRPr="00233314">
              <w:rPr>
                <w:sz w:val="22"/>
                <w:szCs w:val="22"/>
              </w:rPr>
              <w:t>hoki</w:t>
            </w:r>
            <w:proofErr w:type="spellEnd"/>
            <w:r w:rsidRPr="00233314">
              <w:rPr>
                <w:sz w:val="22"/>
                <w:szCs w:val="22"/>
              </w:rPr>
              <w:t xml:space="preserve"> – Eliminating all forms of bias and discrimination</w:t>
            </w:r>
          </w:p>
          <w:p w14:paraId="78EBB636" w14:textId="5567572C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Remuneration and HR systems, policies and practices designed to remove all forms of bias and discrimination</w:t>
            </w:r>
          </w:p>
          <w:p w14:paraId="6CA4BD80" w14:textId="77777777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Embed and monitor the impact of bias-free HR and remuneration policies and practices</w:t>
            </w:r>
          </w:p>
          <w:p w14:paraId="5367D4DC" w14:textId="3C9B027C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Ensure leaders and employees learn about and demonstrate cultural competence</w:t>
            </w:r>
          </w:p>
        </w:tc>
        <w:tc>
          <w:tcPr>
            <w:tcW w:w="5071" w:type="dxa"/>
          </w:tcPr>
          <w:p w14:paraId="10FA7B72" w14:textId="1F4017FF" w:rsidR="00C35B2F" w:rsidRDefault="00C35B2F" w:rsidP="00B121EC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Unconscious bias training</w:t>
            </w:r>
            <w:r w:rsidR="00B121EC">
              <w:rPr>
                <w:sz w:val="20"/>
                <w:szCs w:val="20"/>
              </w:rPr>
              <w:t xml:space="preserve"> has and continues to be provided to our people leaders, as well as being </w:t>
            </w:r>
            <w:r w:rsidR="00B121EC" w:rsidRPr="00B121EC">
              <w:rPr>
                <w:sz w:val="20"/>
                <w:szCs w:val="20"/>
              </w:rPr>
              <w:t>embedded in our leadership programmes</w:t>
            </w:r>
          </w:p>
          <w:p w14:paraId="017AEDB0" w14:textId="34ED5C4B" w:rsidR="00923D6E" w:rsidRDefault="003148ED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2021/22 nearly 70 percent of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have either completed or started </w:t>
            </w:r>
            <w:r w:rsidR="00923D6E" w:rsidRPr="00233314">
              <w:rPr>
                <w:sz w:val="20"/>
                <w:szCs w:val="20"/>
              </w:rPr>
              <w:t>Mana Aki</w:t>
            </w:r>
            <w:r w:rsidR="00EB2FD7">
              <w:rPr>
                <w:sz w:val="20"/>
                <w:szCs w:val="20"/>
              </w:rPr>
              <w:t xml:space="preserve">, our </w:t>
            </w:r>
            <w:r>
              <w:rPr>
                <w:sz w:val="20"/>
                <w:szCs w:val="20"/>
              </w:rPr>
              <w:t xml:space="preserve">cultural competence programme. New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complete these modules as part of their induction programme</w:t>
            </w:r>
          </w:p>
          <w:p w14:paraId="51770CE1" w14:textId="77777777" w:rsidR="003148ED" w:rsidRDefault="003148ED" w:rsidP="003148ED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a partner agency in the Tupu Tai Pasifika internship programme</w:t>
            </w:r>
          </w:p>
          <w:p w14:paraId="3F2B2E6B" w14:textId="253CFE56" w:rsidR="003148ED" w:rsidRDefault="003148ED" w:rsidP="003148ED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support the Authentic Self (LGBTQI+), </w:t>
            </w:r>
            <w:proofErr w:type="spellStart"/>
            <w:r w:rsidR="006D036E">
              <w:rPr>
                <w:sz w:val="20"/>
                <w:szCs w:val="20"/>
              </w:rPr>
              <w:t>Tangata</w:t>
            </w:r>
            <w:proofErr w:type="spellEnd"/>
            <w:r w:rsidR="006D036E">
              <w:rPr>
                <w:sz w:val="20"/>
                <w:szCs w:val="20"/>
              </w:rPr>
              <w:t xml:space="preserve"> Whenua, </w:t>
            </w:r>
            <w:r>
              <w:rPr>
                <w:sz w:val="20"/>
                <w:szCs w:val="20"/>
              </w:rPr>
              <w:t xml:space="preserve">Taha Moana </w:t>
            </w:r>
            <w:r w:rsidR="00B121EC">
              <w:rPr>
                <w:sz w:val="20"/>
                <w:szCs w:val="20"/>
              </w:rPr>
              <w:t>Pacific,</w:t>
            </w:r>
            <w:r w:rsidR="006D0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Women’s networks</w:t>
            </w:r>
          </w:p>
          <w:p w14:paraId="003DB2F4" w14:textId="0C5B9BA5" w:rsidR="00B121EC" w:rsidRDefault="00B121EC" w:rsidP="00B121EC">
            <w:pPr>
              <w:keepLines w:val="0"/>
              <w:rPr>
                <w:sz w:val="20"/>
                <w:szCs w:val="20"/>
              </w:rPr>
            </w:pPr>
            <w:proofErr w:type="spellStart"/>
            <w:r w:rsidRPr="00B121EC">
              <w:rPr>
                <w:sz w:val="20"/>
                <w:szCs w:val="20"/>
              </w:rPr>
              <w:t>Whakahoki</w:t>
            </w:r>
            <w:proofErr w:type="spellEnd"/>
            <w:r w:rsidRPr="00B121EC">
              <w:rPr>
                <w:sz w:val="20"/>
                <w:szCs w:val="20"/>
              </w:rPr>
              <w:t xml:space="preserve"> </w:t>
            </w:r>
            <w:proofErr w:type="spellStart"/>
            <w:r w:rsidRPr="00B121EC">
              <w:rPr>
                <w:sz w:val="20"/>
                <w:szCs w:val="20"/>
              </w:rPr>
              <w:t>Kōrero</w:t>
            </w:r>
            <w:proofErr w:type="spellEnd"/>
            <w:r w:rsidRPr="00B121EC">
              <w:rPr>
                <w:sz w:val="20"/>
                <w:szCs w:val="20"/>
              </w:rPr>
              <w:t xml:space="preserve"> results show</w:t>
            </w:r>
            <w:r w:rsidR="004955ED">
              <w:rPr>
                <w:sz w:val="20"/>
                <w:szCs w:val="20"/>
              </w:rPr>
              <w:t xml:space="preserve"> more </w:t>
            </w:r>
            <w:proofErr w:type="spellStart"/>
            <w:r w:rsidR="004955ED">
              <w:rPr>
                <w:sz w:val="20"/>
                <w:szCs w:val="20"/>
              </w:rPr>
              <w:t>kaimahi</w:t>
            </w:r>
            <w:proofErr w:type="spellEnd"/>
            <w:r w:rsidRPr="00B121EC">
              <w:rPr>
                <w:sz w:val="20"/>
                <w:szCs w:val="20"/>
              </w:rPr>
              <w:t xml:space="preserve"> agree they are treated fairly, regardless of their disability, religious beliefs, gender identity, age, and sexual orientation</w:t>
            </w:r>
          </w:p>
          <w:p w14:paraId="515DCB7F" w14:textId="735E2057" w:rsidR="004955ED" w:rsidRPr="00233314" w:rsidRDefault="004955ED" w:rsidP="004955ED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Focusing on improving mechanisms and support to enable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to Speak Up and continue to reduce incidents of </w:t>
            </w:r>
            <w:r w:rsidR="00B121EC" w:rsidRPr="00B121EC">
              <w:rPr>
                <w:sz w:val="20"/>
                <w:szCs w:val="20"/>
              </w:rPr>
              <w:t xml:space="preserve">exclusion, bias, bullying, </w:t>
            </w:r>
            <w:r w:rsidR="00B121EC">
              <w:rPr>
                <w:sz w:val="20"/>
                <w:szCs w:val="20"/>
              </w:rPr>
              <w:t>d</w:t>
            </w:r>
            <w:r w:rsidR="00B121EC" w:rsidRPr="00B121EC">
              <w:rPr>
                <w:sz w:val="20"/>
                <w:szCs w:val="20"/>
              </w:rPr>
              <w:t>iscrimination</w:t>
            </w:r>
            <w:r>
              <w:rPr>
                <w:sz w:val="20"/>
                <w:szCs w:val="20"/>
              </w:rPr>
              <w:t>,</w:t>
            </w:r>
            <w:r w:rsidR="00B121EC" w:rsidRPr="00B121EC">
              <w:rPr>
                <w:sz w:val="20"/>
                <w:szCs w:val="20"/>
              </w:rPr>
              <w:t xml:space="preserve"> sexual harassment </w:t>
            </w:r>
          </w:p>
        </w:tc>
        <w:tc>
          <w:tcPr>
            <w:tcW w:w="5072" w:type="dxa"/>
          </w:tcPr>
          <w:p w14:paraId="78E8CB26" w14:textId="1B9AE5EA" w:rsidR="00EB2FD7" w:rsidRPr="00233314" w:rsidRDefault="00EB2FD7" w:rsidP="00EB2FD7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 </w:t>
            </w:r>
            <w:proofErr w:type="spellStart"/>
            <w:r>
              <w:rPr>
                <w:sz w:val="20"/>
                <w:szCs w:val="20"/>
              </w:rPr>
              <w:t>kaimahi</w:t>
            </w:r>
            <w:proofErr w:type="spellEnd"/>
            <w:r>
              <w:rPr>
                <w:sz w:val="20"/>
                <w:szCs w:val="20"/>
              </w:rPr>
              <w:t xml:space="preserve"> to review the demographic </w:t>
            </w:r>
            <w:r w:rsidRPr="00233314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currently held in </w:t>
            </w:r>
            <w:proofErr w:type="spellStart"/>
            <w:r>
              <w:rPr>
                <w:sz w:val="20"/>
                <w:szCs w:val="20"/>
              </w:rPr>
              <w:t>Rehutai</w:t>
            </w:r>
            <w:proofErr w:type="spellEnd"/>
            <w:r>
              <w:rPr>
                <w:sz w:val="20"/>
                <w:szCs w:val="20"/>
              </w:rPr>
              <w:t xml:space="preserve"> on gender, </w:t>
            </w:r>
            <w:r w:rsidRPr="00233314">
              <w:rPr>
                <w:sz w:val="20"/>
                <w:szCs w:val="20"/>
              </w:rPr>
              <w:t xml:space="preserve">ethnicity, disability, </w:t>
            </w:r>
            <w:r>
              <w:rPr>
                <w:sz w:val="20"/>
                <w:szCs w:val="20"/>
              </w:rPr>
              <w:t xml:space="preserve">to </w:t>
            </w:r>
            <w:r w:rsidRPr="00233314">
              <w:rPr>
                <w:sz w:val="20"/>
                <w:szCs w:val="20"/>
              </w:rPr>
              <w:t xml:space="preserve">ensure </w:t>
            </w:r>
            <w:r>
              <w:rPr>
                <w:sz w:val="20"/>
                <w:szCs w:val="20"/>
              </w:rPr>
              <w:t xml:space="preserve">it </w:t>
            </w:r>
            <w:r w:rsidRPr="00233314">
              <w:rPr>
                <w:sz w:val="20"/>
                <w:szCs w:val="20"/>
              </w:rPr>
              <w:t>is accurate</w:t>
            </w:r>
            <w:r w:rsidR="003C638C">
              <w:rPr>
                <w:sz w:val="20"/>
                <w:szCs w:val="20"/>
              </w:rPr>
              <w:t xml:space="preserve"> and up to date</w:t>
            </w:r>
          </w:p>
          <w:p w14:paraId="433CE73B" w14:textId="02706684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Improve the data collected </w:t>
            </w:r>
            <w:r w:rsidR="00EB2FD7">
              <w:rPr>
                <w:sz w:val="20"/>
                <w:szCs w:val="20"/>
              </w:rPr>
              <w:t xml:space="preserve">for new </w:t>
            </w:r>
            <w:proofErr w:type="spellStart"/>
            <w:r w:rsidR="00EB2FD7">
              <w:rPr>
                <w:sz w:val="20"/>
                <w:szCs w:val="20"/>
              </w:rPr>
              <w:t>kaimahi</w:t>
            </w:r>
            <w:proofErr w:type="spellEnd"/>
            <w:r w:rsidR="00EB2FD7">
              <w:rPr>
                <w:sz w:val="20"/>
                <w:szCs w:val="20"/>
              </w:rPr>
              <w:t xml:space="preserve"> </w:t>
            </w:r>
            <w:r w:rsidRPr="00233314">
              <w:rPr>
                <w:sz w:val="20"/>
                <w:szCs w:val="20"/>
              </w:rPr>
              <w:t xml:space="preserve">on </w:t>
            </w:r>
            <w:r w:rsidR="00EB2FD7">
              <w:rPr>
                <w:sz w:val="20"/>
                <w:szCs w:val="20"/>
              </w:rPr>
              <w:t xml:space="preserve">gender, </w:t>
            </w:r>
            <w:r w:rsidRPr="00233314">
              <w:rPr>
                <w:sz w:val="20"/>
                <w:szCs w:val="20"/>
              </w:rPr>
              <w:t>ethnicity, disability</w:t>
            </w:r>
            <w:r w:rsidR="00EB2FD7">
              <w:rPr>
                <w:sz w:val="20"/>
                <w:szCs w:val="20"/>
              </w:rPr>
              <w:t xml:space="preserve"> to provide accurate data </w:t>
            </w:r>
          </w:p>
          <w:p w14:paraId="5EDA8FE5" w14:textId="687C30AA" w:rsidR="00923D6E" w:rsidRPr="00233314" w:rsidRDefault="005C5616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Raise the importance of </w:t>
            </w:r>
            <w:proofErr w:type="spellStart"/>
            <w:r w:rsidRPr="00233314">
              <w:rPr>
                <w:sz w:val="20"/>
                <w:szCs w:val="20"/>
              </w:rPr>
              <w:t>kaimahi</w:t>
            </w:r>
            <w:proofErr w:type="spellEnd"/>
            <w:r w:rsidRPr="00233314">
              <w:rPr>
                <w:sz w:val="20"/>
                <w:szCs w:val="20"/>
              </w:rPr>
              <w:t xml:space="preserve"> completing the Mana Aki, m</w:t>
            </w:r>
            <w:r w:rsidR="00923D6E" w:rsidRPr="00233314">
              <w:rPr>
                <w:sz w:val="20"/>
                <w:szCs w:val="20"/>
              </w:rPr>
              <w:t>onitor</w:t>
            </w:r>
            <w:r w:rsidRPr="00233314">
              <w:rPr>
                <w:sz w:val="20"/>
                <w:szCs w:val="20"/>
              </w:rPr>
              <w:t>ing</w:t>
            </w:r>
            <w:r w:rsidR="00923D6E" w:rsidRPr="00233314">
              <w:rPr>
                <w:sz w:val="20"/>
                <w:szCs w:val="20"/>
              </w:rPr>
              <w:t xml:space="preserve"> </w:t>
            </w:r>
            <w:r w:rsidRPr="00233314">
              <w:rPr>
                <w:sz w:val="20"/>
                <w:szCs w:val="20"/>
              </w:rPr>
              <w:t xml:space="preserve">the </w:t>
            </w:r>
            <w:r w:rsidR="00923D6E" w:rsidRPr="00233314">
              <w:rPr>
                <w:sz w:val="20"/>
                <w:szCs w:val="20"/>
              </w:rPr>
              <w:t xml:space="preserve">completion </w:t>
            </w:r>
            <w:r w:rsidRPr="00233314">
              <w:rPr>
                <w:sz w:val="20"/>
                <w:szCs w:val="20"/>
              </w:rPr>
              <w:t>rate</w:t>
            </w:r>
          </w:p>
          <w:p w14:paraId="3EA8E4C6" w14:textId="6EFBEE34" w:rsidR="005C5616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Re-launch the e-learning unconscious bias module</w:t>
            </w:r>
            <w:r w:rsidR="005C5616" w:rsidRPr="00233314">
              <w:rPr>
                <w:sz w:val="20"/>
                <w:szCs w:val="20"/>
              </w:rPr>
              <w:t xml:space="preserve"> encouraging all </w:t>
            </w:r>
            <w:proofErr w:type="spellStart"/>
            <w:r w:rsidR="005C5616" w:rsidRPr="00233314">
              <w:rPr>
                <w:sz w:val="20"/>
                <w:szCs w:val="20"/>
              </w:rPr>
              <w:t>kaimahi</w:t>
            </w:r>
            <w:proofErr w:type="spellEnd"/>
            <w:r w:rsidR="005C5616" w:rsidRPr="00233314">
              <w:rPr>
                <w:sz w:val="20"/>
                <w:szCs w:val="20"/>
              </w:rPr>
              <w:t xml:space="preserve"> to complete</w:t>
            </w:r>
          </w:p>
          <w:p w14:paraId="51EE340E" w14:textId="0299DA35" w:rsidR="005C5616" w:rsidRPr="00233314" w:rsidRDefault="00DB76D0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analysis of </w:t>
            </w:r>
            <w:r w:rsidR="005C5616" w:rsidRPr="00233314">
              <w:rPr>
                <w:sz w:val="20"/>
                <w:szCs w:val="20"/>
              </w:rPr>
              <w:t xml:space="preserve">gender and ethnicity data by age and tenure </w:t>
            </w:r>
            <w:r>
              <w:rPr>
                <w:sz w:val="20"/>
                <w:szCs w:val="20"/>
              </w:rPr>
              <w:t>to ensure there are no gender or ethnic pay gaps in these groups</w:t>
            </w:r>
          </w:p>
          <w:p w14:paraId="6393A747" w14:textId="53B1F048" w:rsidR="00DE2466" w:rsidRPr="00233314" w:rsidRDefault="00EB2FD7" w:rsidP="00EB12BF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</w:t>
            </w:r>
            <w:r w:rsidR="00DE2466" w:rsidRPr="00233314">
              <w:rPr>
                <w:sz w:val="20"/>
                <w:szCs w:val="20"/>
              </w:rPr>
              <w:t xml:space="preserve">a disabled </w:t>
            </w:r>
            <w:proofErr w:type="spellStart"/>
            <w:r w:rsidR="00DB76D0">
              <w:rPr>
                <w:sz w:val="20"/>
                <w:szCs w:val="20"/>
              </w:rPr>
              <w:t>kaimahi</w:t>
            </w:r>
            <w:proofErr w:type="spellEnd"/>
            <w:r w:rsidR="00DB76D0">
              <w:rPr>
                <w:sz w:val="20"/>
                <w:szCs w:val="20"/>
              </w:rPr>
              <w:t xml:space="preserve"> </w:t>
            </w:r>
            <w:r w:rsidR="00DE2466" w:rsidRPr="00233314">
              <w:rPr>
                <w:sz w:val="20"/>
                <w:szCs w:val="20"/>
              </w:rPr>
              <w:t>network</w:t>
            </w:r>
          </w:p>
          <w:p w14:paraId="16549D3B" w14:textId="5906F3F6" w:rsidR="00923D6E" w:rsidRPr="00233314" w:rsidRDefault="00150318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Continue to monitor recruitment </w:t>
            </w:r>
            <w:r w:rsidR="003C638C">
              <w:rPr>
                <w:sz w:val="20"/>
                <w:szCs w:val="20"/>
              </w:rPr>
              <w:t xml:space="preserve">and other HR </w:t>
            </w:r>
            <w:r w:rsidRPr="00233314">
              <w:rPr>
                <w:sz w:val="20"/>
                <w:szCs w:val="20"/>
              </w:rPr>
              <w:t>practices against best practice guidelines</w:t>
            </w:r>
          </w:p>
        </w:tc>
      </w:tr>
      <w:tr w:rsidR="00923D6E" w:rsidRPr="00233314" w14:paraId="12892359" w14:textId="77777777" w:rsidTr="00EB12BF">
        <w:trPr>
          <w:cantSplit w:val="0"/>
        </w:trPr>
        <w:tc>
          <w:tcPr>
            <w:tcW w:w="4395" w:type="dxa"/>
          </w:tcPr>
          <w:p w14:paraId="2D35A156" w14:textId="77777777" w:rsidR="00923D6E" w:rsidRPr="00233314" w:rsidRDefault="00923D6E" w:rsidP="00D7257B">
            <w:pPr>
              <w:pStyle w:val="Heading3"/>
              <w:keepLines w:val="0"/>
              <w:spacing w:before="60"/>
              <w:outlineLvl w:val="2"/>
              <w:rPr>
                <w:sz w:val="22"/>
                <w:szCs w:val="22"/>
              </w:rPr>
            </w:pPr>
            <w:r w:rsidRPr="00233314">
              <w:rPr>
                <w:sz w:val="22"/>
                <w:szCs w:val="22"/>
              </w:rPr>
              <w:lastRenderedPageBreak/>
              <w:t xml:space="preserve">Te </w:t>
            </w:r>
            <w:proofErr w:type="spellStart"/>
            <w:r w:rsidRPr="00233314">
              <w:rPr>
                <w:sz w:val="22"/>
                <w:szCs w:val="22"/>
              </w:rPr>
              <w:t>Taunoa</w:t>
            </w:r>
            <w:proofErr w:type="spellEnd"/>
            <w:r w:rsidRPr="00233314">
              <w:rPr>
                <w:sz w:val="22"/>
                <w:szCs w:val="22"/>
              </w:rPr>
              <w:t xml:space="preserve"> o </w:t>
            </w:r>
            <w:proofErr w:type="spellStart"/>
            <w:r w:rsidRPr="00233314">
              <w:rPr>
                <w:sz w:val="22"/>
                <w:szCs w:val="22"/>
              </w:rPr>
              <w:t>te</w:t>
            </w:r>
            <w:proofErr w:type="spellEnd"/>
            <w:r w:rsidRPr="00233314">
              <w:rPr>
                <w:sz w:val="22"/>
                <w:szCs w:val="22"/>
              </w:rPr>
              <w:t xml:space="preserve"> Mahi </w:t>
            </w:r>
            <w:proofErr w:type="spellStart"/>
            <w:r w:rsidRPr="00233314">
              <w:rPr>
                <w:sz w:val="22"/>
                <w:szCs w:val="22"/>
              </w:rPr>
              <w:t>Pīngore</w:t>
            </w:r>
            <w:proofErr w:type="spellEnd"/>
            <w:r w:rsidRPr="00233314">
              <w:rPr>
                <w:sz w:val="22"/>
                <w:szCs w:val="22"/>
              </w:rPr>
              <w:t xml:space="preserve"> – flexible work by default</w:t>
            </w:r>
          </w:p>
          <w:p w14:paraId="1F46FBB3" w14:textId="69C56E0C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Equitable access to flexible-by-default working and ensure it does not undermine career progression or pay</w:t>
            </w:r>
          </w:p>
        </w:tc>
        <w:tc>
          <w:tcPr>
            <w:tcW w:w="5071" w:type="dxa"/>
          </w:tcPr>
          <w:p w14:paraId="37A91C97" w14:textId="77777777" w:rsidR="00281C86" w:rsidRPr="00233314" w:rsidRDefault="00281C86" w:rsidP="00281C86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Te Tari </w:t>
            </w:r>
            <w:r w:rsidR="00923D6E" w:rsidRPr="00233314">
              <w:rPr>
                <w:sz w:val="20"/>
                <w:szCs w:val="20"/>
              </w:rPr>
              <w:t>is flexible-by-default</w:t>
            </w:r>
            <w:r w:rsidRPr="00233314">
              <w:rPr>
                <w:sz w:val="20"/>
                <w:szCs w:val="20"/>
              </w:rPr>
              <w:t xml:space="preserve"> </w:t>
            </w:r>
          </w:p>
          <w:p w14:paraId="28D399E3" w14:textId="74B951C2" w:rsidR="00281C86" w:rsidRPr="00233314" w:rsidRDefault="00281C86" w:rsidP="00281C86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 xml:space="preserve">We have </w:t>
            </w:r>
            <w:r w:rsidR="004955ED">
              <w:rPr>
                <w:sz w:val="20"/>
                <w:szCs w:val="20"/>
              </w:rPr>
              <w:t xml:space="preserve">flexible working </w:t>
            </w:r>
            <w:r w:rsidRPr="00233314">
              <w:rPr>
                <w:sz w:val="20"/>
                <w:szCs w:val="20"/>
              </w:rPr>
              <w:t xml:space="preserve">principles that underpin our approach </w:t>
            </w:r>
            <w:r w:rsidR="00DE2466" w:rsidRPr="00233314">
              <w:rPr>
                <w:sz w:val="20"/>
                <w:szCs w:val="20"/>
              </w:rPr>
              <w:t>and guidance that supports flexible working arrangements</w:t>
            </w:r>
          </w:p>
          <w:p w14:paraId="0132D01B" w14:textId="1AF0A469" w:rsidR="00923D6E" w:rsidRPr="00233314" w:rsidRDefault="00281C86" w:rsidP="00281C86">
            <w:pPr>
              <w:keepLines w:val="0"/>
              <w:rPr>
                <w:sz w:val="20"/>
                <w:szCs w:val="20"/>
              </w:rPr>
            </w:pPr>
            <w:proofErr w:type="spellStart"/>
            <w:r w:rsidRPr="00233314">
              <w:rPr>
                <w:sz w:val="20"/>
                <w:szCs w:val="20"/>
              </w:rPr>
              <w:t>Kaimahi</w:t>
            </w:r>
            <w:proofErr w:type="spellEnd"/>
            <w:r w:rsidRPr="00233314">
              <w:rPr>
                <w:sz w:val="20"/>
                <w:szCs w:val="20"/>
              </w:rPr>
              <w:t xml:space="preserve"> are encouraged to discuss flexible arrangements with their manager that meet the Department’s, the </w:t>
            </w:r>
            <w:r w:rsidR="004955ED" w:rsidRPr="00233314">
              <w:rPr>
                <w:sz w:val="20"/>
                <w:szCs w:val="20"/>
              </w:rPr>
              <w:t>teams</w:t>
            </w:r>
            <w:r w:rsidR="00DE2466" w:rsidRPr="00233314">
              <w:rPr>
                <w:sz w:val="20"/>
                <w:szCs w:val="20"/>
              </w:rPr>
              <w:t>,</w:t>
            </w:r>
            <w:r w:rsidRPr="00233314">
              <w:rPr>
                <w:sz w:val="20"/>
                <w:szCs w:val="20"/>
              </w:rPr>
              <w:t xml:space="preserve"> and their individual requirements</w:t>
            </w:r>
          </w:p>
        </w:tc>
        <w:tc>
          <w:tcPr>
            <w:tcW w:w="5072" w:type="dxa"/>
          </w:tcPr>
          <w:p w14:paraId="2FDB1F3F" w14:textId="20AEB660" w:rsidR="00281C86" w:rsidRPr="00233314" w:rsidRDefault="00281C86" w:rsidP="00EB12BF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Provide ongoing support to enable managers to effectively implement the full range of flexible working options</w:t>
            </w:r>
          </w:p>
          <w:p w14:paraId="1777ACC0" w14:textId="43BB38C3" w:rsidR="00281C86" w:rsidRDefault="00281C86" w:rsidP="00281C86">
            <w:pPr>
              <w:keepLines w:val="0"/>
              <w:rPr>
                <w:sz w:val="20"/>
                <w:szCs w:val="20"/>
              </w:rPr>
            </w:pPr>
            <w:r w:rsidRPr="00233314">
              <w:rPr>
                <w:sz w:val="20"/>
                <w:szCs w:val="20"/>
              </w:rPr>
              <w:t>Review, updat</w:t>
            </w:r>
            <w:r w:rsidR="00233314">
              <w:rPr>
                <w:sz w:val="20"/>
                <w:szCs w:val="20"/>
              </w:rPr>
              <w:t>e</w:t>
            </w:r>
            <w:r w:rsidRPr="00233314">
              <w:rPr>
                <w:sz w:val="20"/>
                <w:szCs w:val="20"/>
              </w:rPr>
              <w:t xml:space="preserve"> </w:t>
            </w:r>
            <w:r w:rsidR="00233314">
              <w:rPr>
                <w:sz w:val="20"/>
                <w:szCs w:val="20"/>
              </w:rPr>
              <w:t>resource</w:t>
            </w:r>
            <w:r w:rsidR="003B6F9C">
              <w:rPr>
                <w:sz w:val="20"/>
                <w:szCs w:val="20"/>
              </w:rPr>
              <w:t>s</w:t>
            </w:r>
            <w:r w:rsidR="00233314">
              <w:rPr>
                <w:sz w:val="20"/>
                <w:szCs w:val="20"/>
              </w:rPr>
              <w:t xml:space="preserve"> </w:t>
            </w:r>
            <w:r w:rsidR="003B6F9C">
              <w:rPr>
                <w:sz w:val="20"/>
                <w:szCs w:val="20"/>
              </w:rPr>
              <w:t xml:space="preserve">to promote and enable </w:t>
            </w:r>
            <w:r w:rsidRPr="00233314">
              <w:rPr>
                <w:sz w:val="20"/>
                <w:szCs w:val="20"/>
              </w:rPr>
              <w:t xml:space="preserve">flexible working </w:t>
            </w:r>
          </w:p>
          <w:p w14:paraId="007D7B2B" w14:textId="633DD3D2" w:rsidR="006B190C" w:rsidRPr="00233314" w:rsidRDefault="006B190C" w:rsidP="006B190C">
            <w:pPr>
              <w:keepLine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B190C">
              <w:rPr>
                <w:sz w:val="20"/>
                <w:szCs w:val="20"/>
              </w:rPr>
              <w:t xml:space="preserve">mprove data capture </w:t>
            </w:r>
            <w:r>
              <w:rPr>
                <w:sz w:val="20"/>
                <w:szCs w:val="20"/>
              </w:rPr>
              <w:t xml:space="preserve">on </w:t>
            </w:r>
            <w:r w:rsidRPr="006B190C">
              <w:rPr>
                <w:sz w:val="20"/>
                <w:szCs w:val="20"/>
              </w:rPr>
              <w:t>formal flexible working arrangements</w:t>
            </w:r>
          </w:p>
          <w:p w14:paraId="156659A1" w14:textId="73A4E1CF" w:rsidR="00923D6E" w:rsidRPr="00233314" w:rsidRDefault="00923D6E" w:rsidP="00EB12BF">
            <w:pPr>
              <w:keepLines w:val="0"/>
              <w:rPr>
                <w:sz w:val="20"/>
                <w:szCs w:val="20"/>
              </w:rPr>
            </w:pPr>
          </w:p>
        </w:tc>
      </w:tr>
    </w:tbl>
    <w:p w14:paraId="48BA89B2" w14:textId="77777777" w:rsidR="00C75CED" w:rsidRPr="00603635" w:rsidRDefault="00C75CED" w:rsidP="00603635"/>
    <w:sectPr w:rsidR="00C75CED" w:rsidRPr="00603635" w:rsidSect="00C75CED">
      <w:pgSz w:w="16840" w:h="11907" w:orient="landscape" w:code="9"/>
      <w:pgMar w:top="1418" w:right="1418" w:bottom="1418" w:left="992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3CCC" w14:textId="77777777" w:rsidR="00C75CED" w:rsidRDefault="00C75CED">
      <w:r>
        <w:separator/>
      </w:r>
    </w:p>
    <w:p w14:paraId="10910766" w14:textId="77777777" w:rsidR="00C75CED" w:rsidRDefault="00C75CED"/>
    <w:p w14:paraId="26D58AC1" w14:textId="77777777" w:rsidR="00C75CED" w:rsidRDefault="00C75CED"/>
  </w:endnote>
  <w:endnote w:type="continuationSeparator" w:id="0">
    <w:p w14:paraId="44D727F4" w14:textId="77777777" w:rsidR="00C75CED" w:rsidRDefault="00C75CED">
      <w:r>
        <w:continuationSeparator/>
      </w:r>
    </w:p>
    <w:p w14:paraId="0D2499FB" w14:textId="77777777" w:rsidR="00C75CED" w:rsidRDefault="00C75CED"/>
    <w:p w14:paraId="5033D998" w14:textId="77777777" w:rsidR="00C75CED" w:rsidRDefault="00C7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1DA1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r w:rsidR="00AF5B9D">
      <w:fldChar w:fldCharType="begin"/>
    </w:r>
    <w:r w:rsidR="00AF5B9D">
      <w:instrText xml:space="preserve"> NUMPAGES   \* MERGEFORMAT </w:instrText>
    </w:r>
    <w:r w:rsidR="00AF5B9D">
      <w:fldChar w:fldCharType="separate"/>
    </w:r>
    <w:r w:rsidR="00603635">
      <w:rPr>
        <w:noProof/>
      </w:rPr>
      <w:t>1</w:t>
    </w:r>
    <w:r w:rsidR="00AF5B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976C" w14:textId="77777777" w:rsidR="00C75CED" w:rsidRDefault="00C75CED" w:rsidP="00FB1990">
      <w:pPr>
        <w:pStyle w:val="Spacer"/>
      </w:pPr>
      <w:r>
        <w:separator/>
      </w:r>
    </w:p>
    <w:p w14:paraId="7D27D05D" w14:textId="77777777" w:rsidR="00C75CED" w:rsidRDefault="00C75CED" w:rsidP="00FB1990">
      <w:pPr>
        <w:pStyle w:val="Spacer"/>
      </w:pPr>
    </w:p>
  </w:footnote>
  <w:footnote w:type="continuationSeparator" w:id="0">
    <w:p w14:paraId="4C5EDD9F" w14:textId="77777777" w:rsidR="00C75CED" w:rsidRDefault="00C75CED">
      <w:r>
        <w:continuationSeparator/>
      </w:r>
    </w:p>
    <w:p w14:paraId="6E690296" w14:textId="77777777" w:rsidR="00C75CED" w:rsidRDefault="00C75CED"/>
    <w:p w14:paraId="4D952EED" w14:textId="77777777" w:rsidR="00C75CED" w:rsidRDefault="00C7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DD4D" w14:textId="47D054B0" w:rsidR="00152E9B" w:rsidRDefault="00152E9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E4DB77C" wp14:editId="0C73B128">
          <wp:simplePos x="0" y="0"/>
          <wp:positionH relativeFrom="column">
            <wp:posOffset>4023360</wp:posOffset>
          </wp:positionH>
          <wp:positionV relativeFrom="paragraph">
            <wp:posOffset>-88164</wp:posOffset>
          </wp:positionV>
          <wp:extent cx="2338705" cy="627380"/>
          <wp:effectExtent l="0" t="0" r="0" b="1270"/>
          <wp:wrapSquare wrapText="bothSides"/>
          <wp:docPr id="2" name="Picture 2" descr="T:\Logos\DIA Logo\DIA Logo - Black (Word Templat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ogos\DIA Logo\DIA Logo - Black (Word Templates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2EF2E9E"/>
    <w:multiLevelType w:val="hybridMultilevel"/>
    <w:tmpl w:val="EA8EF57A"/>
    <w:lvl w:ilvl="0" w:tplc="272659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3641F80"/>
    <w:multiLevelType w:val="hybridMultilevel"/>
    <w:tmpl w:val="30080F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1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22"/>
  </w:num>
  <w:num w:numId="13">
    <w:abstractNumId w:val="24"/>
  </w:num>
  <w:num w:numId="14">
    <w:abstractNumId w:val="8"/>
  </w:num>
  <w:num w:numId="15">
    <w:abstractNumId w:val="13"/>
  </w:num>
  <w:num w:numId="16">
    <w:abstractNumId w:val="25"/>
  </w:num>
  <w:num w:numId="17">
    <w:abstractNumId w:val="23"/>
  </w:num>
  <w:num w:numId="18">
    <w:abstractNumId w:val="21"/>
  </w:num>
  <w:num w:numId="19">
    <w:abstractNumId w:val="17"/>
  </w:num>
  <w:num w:numId="20">
    <w:abstractNumId w:val="14"/>
  </w:num>
  <w:num w:numId="21">
    <w:abstractNumId w:val="10"/>
  </w:num>
  <w:num w:numId="22">
    <w:abstractNumId w:val="6"/>
  </w:num>
  <w:num w:numId="23">
    <w:abstractNumId w:val="12"/>
  </w:num>
  <w:num w:numId="24">
    <w:abstractNumId w:val="9"/>
  </w:num>
  <w:num w:numId="25">
    <w:abstractNumId w:val="16"/>
  </w:num>
  <w:num w:numId="2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5CE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0700"/>
    <w:rsid w:val="0013703F"/>
    <w:rsid w:val="00140ED2"/>
    <w:rsid w:val="00143E7C"/>
    <w:rsid w:val="0014415C"/>
    <w:rsid w:val="0014565E"/>
    <w:rsid w:val="00150318"/>
    <w:rsid w:val="00152E9B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495"/>
    <w:rsid w:val="001F0724"/>
    <w:rsid w:val="002007DF"/>
    <w:rsid w:val="00205FE8"/>
    <w:rsid w:val="00206BA3"/>
    <w:rsid w:val="00215160"/>
    <w:rsid w:val="002224B4"/>
    <w:rsid w:val="00226D5E"/>
    <w:rsid w:val="00233314"/>
    <w:rsid w:val="00237A3D"/>
    <w:rsid w:val="00240E83"/>
    <w:rsid w:val="002502D1"/>
    <w:rsid w:val="00260A17"/>
    <w:rsid w:val="00270EEC"/>
    <w:rsid w:val="002777D8"/>
    <w:rsid w:val="002806A2"/>
    <w:rsid w:val="00281C86"/>
    <w:rsid w:val="00297CC7"/>
    <w:rsid w:val="002A194F"/>
    <w:rsid w:val="002A4BD9"/>
    <w:rsid w:val="002A4FE7"/>
    <w:rsid w:val="002B1CEB"/>
    <w:rsid w:val="002D1312"/>
    <w:rsid w:val="002D3125"/>
    <w:rsid w:val="002D4F42"/>
    <w:rsid w:val="0030084C"/>
    <w:rsid w:val="003039E1"/>
    <w:rsid w:val="003129BA"/>
    <w:rsid w:val="00312E83"/>
    <w:rsid w:val="003148ED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B6F9C"/>
    <w:rsid w:val="003C638C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55ED"/>
    <w:rsid w:val="004A5823"/>
    <w:rsid w:val="004B0AAF"/>
    <w:rsid w:val="004B214C"/>
    <w:rsid w:val="004B3924"/>
    <w:rsid w:val="004C0AE2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47EB"/>
    <w:rsid w:val="005B7254"/>
    <w:rsid w:val="005C5616"/>
    <w:rsid w:val="005D02A8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90C"/>
    <w:rsid w:val="006B1CB2"/>
    <w:rsid w:val="006B1DD1"/>
    <w:rsid w:val="006B3396"/>
    <w:rsid w:val="006B4FE7"/>
    <w:rsid w:val="006C195E"/>
    <w:rsid w:val="006D036E"/>
    <w:rsid w:val="006D0565"/>
    <w:rsid w:val="006D157A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354"/>
    <w:rsid w:val="008065D7"/>
    <w:rsid w:val="008111A3"/>
    <w:rsid w:val="00816E30"/>
    <w:rsid w:val="0082264B"/>
    <w:rsid w:val="0082765B"/>
    <w:rsid w:val="0083431D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1C8F"/>
    <w:rsid w:val="00884A12"/>
    <w:rsid w:val="00890CE4"/>
    <w:rsid w:val="00891ED7"/>
    <w:rsid w:val="008B7B54"/>
    <w:rsid w:val="008C3187"/>
    <w:rsid w:val="008C5E4F"/>
    <w:rsid w:val="008D573D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3D6E"/>
    <w:rsid w:val="00927482"/>
    <w:rsid w:val="00936FF5"/>
    <w:rsid w:val="00941B4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D2F15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013C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68B3"/>
    <w:rsid w:val="00A97BFB"/>
    <w:rsid w:val="00AB0BBC"/>
    <w:rsid w:val="00AB3A92"/>
    <w:rsid w:val="00AB478B"/>
    <w:rsid w:val="00AB47AC"/>
    <w:rsid w:val="00AB4AD9"/>
    <w:rsid w:val="00AB7ACA"/>
    <w:rsid w:val="00AD6E77"/>
    <w:rsid w:val="00AD7A25"/>
    <w:rsid w:val="00AE2666"/>
    <w:rsid w:val="00AE478C"/>
    <w:rsid w:val="00AF3A5A"/>
    <w:rsid w:val="00AF3E15"/>
    <w:rsid w:val="00AF5218"/>
    <w:rsid w:val="00AF5B9D"/>
    <w:rsid w:val="00AF60A0"/>
    <w:rsid w:val="00B01A6F"/>
    <w:rsid w:val="00B0480E"/>
    <w:rsid w:val="00B1026A"/>
    <w:rsid w:val="00B121EC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734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3509"/>
    <w:rsid w:val="00BB60C6"/>
    <w:rsid w:val="00BB7984"/>
    <w:rsid w:val="00BB7AE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5B2F"/>
    <w:rsid w:val="00C43190"/>
    <w:rsid w:val="00C5028E"/>
    <w:rsid w:val="00C54E78"/>
    <w:rsid w:val="00C6078D"/>
    <w:rsid w:val="00C657CF"/>
    <w:rsid w:val="00C75CED"/>
    <w:rsid w:val="00C77053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33E2"/>
    <w:rsid w:val="00D560EB"/>
    <w:rsid w:val="00D65145"/>
    <w:rsid w:val="00D7257B"/>
    <w:rsid w:val="00D73D87"/>
    <w:rsid w:val="00D74314"/>
    <w:rsid w:val="00D81410"/>
    <w:rsid w:val="00D829F1"/>
    <w:rsid w:val="00D84256"/>
    <w:rsid w:val="00D92505"/>
    <w:rsid w:val="00DA267C"/>
    <w:rsid w:val="00DA27B3"/>
    <w:rsid w:val="00DA5101"/>
    <w:rsid w:val="00DA79EF"/>
    <w:rsid w:val="00DB0C0B"/>
    <w:rsid w:val="00DB3B74"/>
    <w:rsid w:val="00DB4885"/>
    <w:rsid w:val="00DB70AF"/>
    <w:rsid w:val="00DB76D0"/>
    <w:rsid w:val="00DC5870"/>
    <w:rsid w:val="00DD0384"/>
    <w:rsid w:val="00DD0901"/>
    <w:rsid w:val="00DD4AB0"/>
    <w:rsid w:val="00DE16B6"/>
    <w:rsid w:val="00DE2466"/>
    <w:rsid w:val="00DE3323"/>
    <w:rsid w:val="00DE36CA"/>
    <w:rsid w:val="00DE7E63"/>
    <w:rsid w:val="00DF77A2"/>
    <w:rsid w:val="00E16C8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2BF"/>
    <w:rsid w:val="00EB1583"/>
    <w:rsid w:val="00EB2FD7"/>
    <w:rsid w:val="00EB380C"/>
    <w:rsid w:val="00EB54A9"/>
    <w:rsid w:val="00EC23FB"/>
    <w:rsid w:val="00EC7017"/>
    <w:rsid w:val="00ED4356"/>
    <w:rsid w:val="00ED7681"/>
    <w:rsid w:val="00EE243C"/>
    <w:rsid w:val="00EF1B9A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0ED"/>
    <w:rsid w:val="00FA67D2"/>
    <w:rsid w:val="00FB1990"/>
    <w:rsid w:val="00FB302F"/>
    <w:rsid w:val="00FB5A92"/>
    <w:rsid w:val="00FC1C69"/>
    <w:rsid w:val="00FC3739"/>
    <w:rsid w:val="00FE5586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2D74B"/>
  <w15:chartTrackingRefBased/>
  <w15:docId w15:val="{F394D347-8555-48EB-BDFF-167EB30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McComb</dc:creator>
  <cp:keywords/>
  <dc:description/>
  <cp:lastModifiedBy>Helen McComb</cp:lastModifiedBy>
  <cp:revision>2</cp:revision>
  <cp:lastPrinted>2014-03-27T01:47:00Z</cp:lastPrinted>
  <dcterms:created xsi:type="dcterms:W3CDTF">2022-12-15T23:16:00Z</dcterms:created>
  <dcterms:modified xsi:type="dcterms:W3CDTF">2022-12-15T23:16:00Z</dcterms:modified>
</cp:coreProperties>
</file>