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49" w:rsidRDefault="00D40C49" w:rsidP="00D40C49">
      <w:pPr>
        <w:pStyle w:val="Title"/>
      </w:pPr>
      <w:bookmarkStart w:id="0" w:name="_GoBack"/>
      <w:bookmarkEnd w:id="0"/>
    </w:p>
    <w:p w:rsidR="00D40C49" w:rsidRDefault="00D40C49" w:rsidP="00D40C49">
      <w:pPr>
        <w:pStyle w:val="Title"/>
      </w:pPr>
    </w:p>
    <w:p w:rsidR="00D40C49" w:rsidRDefault="00D40C49" w:rsidP="004E0F69">
      <w:pPr>
        <w:pStyle w:val="Title"/>
      </w:pPr>
    </w:p>
    <w:p w:rsidR="004E0F69" w:rsidRDefault="004E0F69" w:rsidP="004E0F69">
      <w:pPr>
        <w:pStyle w:val="Title"/>
      </w:pPr>
      <w:r>
        <w:t xml:space="preserve">Consultation: </w:t>
      </w:r>
    </w:p>
    <w:p w:rsidR="004E0F69" w:rsidRDefault="004E0F69" w:rsidP="004E0F69">
      <w:pPr>
        <w:pStyle w:val="Title"/>
      </w:pPr>
      <w:r>
        <w:t>Proposed changes to gaming machine standards</w:t>
      </w:r>
    </w:p>
    <w:p w:rsidR="004E0F69" w:rsidRDefault="004E0F69" w:rsidP="004E0F69">
      <w:pPr>
        <w:pStyle w:val="Title"/>
      </w:pPr>
      <w:r>
        <w:t xml:space="preserve"> </w:t>
      </w:r>
    </w:p>
    <w:p w:rsidR="004E0F69" w:rsidRDefault="004E0F69" w:rsidP="004E0F69">
      <w:pPr>
        <w:pStyle w:val="Title2"/>
      </w:pPr>
      <w:r>
        <w:t>Department of Internal Affairs</w:t>
      </w:r>
    </w:p>
    <w:p w:rsidR="00FB52C9" w:rsidRDefault="00FB52C9" w:rsidP="004E0F69">
      <w:pPr>
        <w:pStyle w:val="Title2"/>
      </w:pPr>
      <w:r>
        <w:t>Te Tari Taiwhenua</w:t>
      </w:r>
    </w:p>
    <w:p w:rsidR="00D40C49" w:rsidRDefault="008B11FC" w:rsidP="00D40C49">
      <w:pPr>
        <w:pStyle w:val="Title2"/>
      </w:pPr>
      <w:r>
        <w:t>May</w:t>
      </w:r>
      <w:r w:rsidR="004E0F69">
        <w:t xml:space="preserve"> 201</w:t>
      </w:r>
      <w:r w:rsidR="00FB52C9">
        <w:t>6</w:t>
      </w:r>
      <w:r w:rsidR="00D40C49">
        <w:br/>
      </w:r>
    </w:p>
    <w:p w:rsidR="00D40C49" w:rsidRPr="00D40C49" w:rsidRDefault="00D40C49" w:rsidP="00D40C49">
      <w:pPr>
        <w:keepLines w:val="0"/>
        <w:rPr>
          <w:b/>
          <w:color w:val="1F546B"/>
          <w:sz w:val="52"/>
          <w:szCs w:val="80"/>
        </w:rPr>
      </w:pPr>
      <w:r>
        <w:br w:type="page"/>
      </w:r>
    </w:p>
    <w:p w:rsidR="004E0F69" w:rsidRPr="00D61E32" w:rsidRDefault="004E0F69" w:rsidP="00D40C49">
      <w:pPr>
        <w:pStyle w:val="NotforContentsheading1"/>
      </w:pPr>
      <w:r>
        <w:lastRenderedPageBreak/>
        <w:t>Contents</w:t>
      </w:r>
    </w:p>
    <w:p w:rsidR="00AD0312" w:rsidRDefault="004E0F69">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"1-3" \h \z \t "Heading appendix,1" </w:instrText>
      </w:r>
      <w:r>
        <w:fldChar w:fldCharType="separate"/>
      </w:r>
      <w:hyperlink w:anchor="_Toc450654178" w:history="1">
        <w:r w:rsidR="00AD0312" w:rsidRPr="006C15F0">
          <w:rPr>
            <w:rStyle w:val="Hyperlink"/>
            <w:noProof/>
          </w:rPr>
          <w:t>What is this document about?</w:t>
        </w:r>
        <w:r w:rsidR="00AD0312">
          <w:rPr>
            <w:noProof/>
            <w:webHidden/>
          </w:rPr>
          <w:tab/>
        </w:r>
        <w:r w:rsidR="00AD0312">
          <w:rPr>
            <w:noProof/>
            <w:webHidden/>
          </w:rPr>
          <w:fldChar w:fldCharType="begin"/>
        </w:r>
        <w:r w:rsidR="00AD0312">
          <w:rPr>
            <w:noProof/>
            <w:webHidden/>
          </w:rPr>
          <w:instrText xml:space="preserve"> PAGEREF _Toc450654178 \h </w:instrText>
        </w:r>
        <w:r w:rsidR="00AD0312">
          <w:rPr>
            <w:noProof/>
            <w:webHidden/>
          </w:rPr>
        </w:r>
        <w:r w:rsidR="00AD0312">
          <w:rPr>
            <w:noProof/>
            <w:webHidden/>
          </w:rPr>
          <w:fldChar w:fldCharType="separate"/>
        </w:r>
        <w:r w:rsidR="00AD0312">
          <w:rPr>
            <w:noProof/>
            <w:webHidden/>
          </w:rPr>
          <w:t>3</w:t>
        </w:r>
        <w:r w:rsidR="00AD0312">
          <w:rPr>
            <w:noProof/>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79" w:history="1">
        <w:r w:rsidR="00AD0312" w:rsidRPr="006C15F0">
          <w:rPr>
            <w:rStyle w:val="Hyperlink"/>
          </w:rPr>
          <w:t>Consultation requirements</w:t>
        </w:r>
        <w:r w:rsidR="00AD0312">
          <w:rPr>
            <w:webHidden/>
          </w:rPr>
          <w:tab/>
        </w:r>
        <w:r w:rsidR="00AD0312">
          <w:rPr>
            <w:webHidden/>
          </w:rPr>
          <w:fldChar w:fldCharType="begin"/>
        </w:r>
        <w:r w:rsidR="00AD0312">
          <w:rPr>
            <w:webHidden/>
          </w:rPr>
          <w:instrText xml:space="preserve"> PAGEREF _Toc450654179 \h </w:instrText>
        </w:r>
        <w:r w:rsidR="00AD0312">
          <w:rPr>
            <w:webHidden/>
          </w:rPr>
        </w:r>
        <w:r w:rsidR="00AD0312">
          <w:rPr>
            <w:webHidden/>
          </w:rPr>
          <w:fldChar w:fldCharType="separate"/>
        </w:r>
        <w:r w:rsidR="00AD0312">
          <w:rPr>
            <w:webHidden/>
          </w:rPr>
          <w:t>3</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80" w:history="1">
        <w:r w:rsidR="00AD0312" w:rsidRPr="006C15F0">
          <w:rPr>
            <w:rStyle w:val="Hyperlink"/>
          </w:rPr>
          <w:t>Sending us your submission</w:t>
        </w:r>
        <w:r w:rsidR="00AD0312">
          <w:rPr>
            <w:webHidden/>
          </w:rPr>
          <w:tab/>
        </w:r>
        <w:r w:rsidR="00AD0312">
          <w:rPr>
            <w:webHidden/>
          </w:rPr>
          <w:fldChar w:fldCharType="begin"/>
        </w:r>
        <w:r w:rsidR="00AD0312">
          <w:rPr>
            <w:webHidden/>
          </w:rPr>
          <w:instrText xml:space="preserve"> PAGEREF _Toc450654180 \h </w:instrText>
        </w:r>
        <w:r w:rsidR="00AD0312">
          <w:rPr>
            <w:webHidden/>
          </w:rPr>
        </w:r>
        <w:r w:rsidR="00AD0312">
          <w:rPr>
            <w:webHidden/>
          </w:rPr>
          <w:fldChar w:fldCharType="separate"/>
        </w:r>
        <w:r w:rsidR="00AD0312">
          <w:rPr>
            <w:webHidden/>
          </w:rPr>
          <w:t>3</w:t>
        </w:r>
        <w:r w:rsidR="00AD0312">
          <w:rPr>
            <w:webHidden/>
          </w:rPr>
          <w:fldChar w:fldCharType="end"/>
        </w:r>
      </w:hyperlink>
    </w:p>
    <w:p w:rsidR="00AD0312" w:rsidRDefault="00D117FA">
      <w:pPr>
        <w:pStyle w:val="TOC1"/>
        <w:rPr>
          <w:rFonts w:asciiTheme="minorHAnsi" w:eastAsiaTheme="minorEastAsia" w:hAnsiTheme="minorHAnsi" w:cstheme="minorBidi"/>
          <w:b w:val="0"/>
          <w:noProof/>
          <w:color w:val="auto"/>
          <w:sz w:val="22"/>
          <w:szCs w:val="22"/>
          <w:lang w:eastAsia="en-NZ"/>
        </w:rPr>
      </w:pPr>
      <w:hyperlink w:anchor="_Toc450654181" w:history="1">
        <w:r w:rsidR="00AD0312" w:rsidRPr="006C15F0">
          <w:rPr>
            <w:rStyle w:val="Hyperlink"/>
            <w:noProof/>
          </w:rPr>
          <w:t>Background information</w:t>
        </w:r>
        <w:r w:rsidR="00AD0312">
          <w:rPr>
            <w:noProof/>
            <w:webHidden/>
          </w:rPr>
          <w:tab/>
        </w:r>
        <w:r w:rsidR="00AD0312">
          <w:rPr>
            <w:noProof/>
            <w:webHidden/>
          </w:rPr>
          <w:fldChar w:fldCharType="begin"/>
        </w:r>
        <w:r w:rsidR="00AD0312">
          <w:rPr>
            <w:noProof/>
            <w:webHidden/>
          </w:rPr>
          <w:instrText xml:space="preserve"> PAGEREF _Toc450654181 \h </w:instrText>
        </w:r>
        <w:r w:rsidR="00AD0312">
          <w:rPr>
            <w:noProof/>
            <w:webHidden/>
          </w:rPr>
        </w:r>
        <w:r w:rsidR="00AD0312">
          <w:rPr>
            <w:noProof/>
            <w:webHidden/>
          </w:rPr>
          <w:fldChar w:fldCharType="separate"/>
        </w:r>
        <w:r w:rsidR="00AD0312">
          <w:rPr>
            <w:noProof/>
            <w:webHidden/>
          </w:rPr>
          <w:t>4</w:t>
        </w:r>
        <w:r w:rsidR="00AD0312">
          <w:rPr>
            <w:noProof/>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82" w:history="1">
        <w:r w:rsidR="00AD0312" w:rsidRPr="006C15F0">
          <w:rPr>
            <w:rStyle w:val="Hyperlink"/>
          </w:rPr>
          <w:t>1.</w:t>
        </w:r>
        <w:r w:rsidR="00AD0312">
          <w:rPr>
            <w:rFonts w:asciiTheme="minorHAnsi" w:eastAsiaTheme="minorEastAsia" w:hAnsiTheme="minorHAnsi" w:cstheme="minorBidi"/>
            <w:sz w:val="22"/>
            <w:szCs w:val="22"/>
            <w:lang w:eastAsia="en-NZ"/>
          </w:rPr>
          <w:tab/>
        </w:r>
        <w:r w:rsidR="00AD0312" w:rsidRPr="006C15F0">
          <w:rPr>
            <w:rStyle w:val="Hyperlink"/>
            <w:lang w:eastAsia="en-NZ"/>
          </w:rPr>
          <w:t>The National Standard and the NZ Appendix</w:t>
        </w:r>
        <w:r w:rsidR="00AD0312">
          <w:rPr>
            <w:webHidden/>
          </w:rPr>
          <w:tab/>
        </w:r>
        <w:r w:rsidR="00AD0312">
          <w:rPr>
            <w:webHidden/>
          </w:rPr>
          <w:fldChar w:fldCharType="begin"/>
        </w:r>
        <w:r w:rsidR="00AD0312">
          <w:rPr>
            <w:webHidden/>
          </w:rPr>
          <w:instrText xml:space="preserve"> PAGEREF _Toc450654182 \h </w:instrText>
        </w:r>
        <w:r w:rsidR="00AD0312">
          <w:rPr>
            <w:webHidden/>
          </w:rPr>
        </w:r>
        <w:r w:rsidR="00AD0312">
          <w:rPr>
            <w:webHidden/>
          </w:rPr>
          <w:fldChar w:fldCharType="separate"/>
        </w:r>
        <w:r w:rsidR="00AD0312">
          <w:rPr>
            <w:webHidden/>
          </w:rPr>
          <w:t>4</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83" w:history="1">
        <w:r w:rsidR="00AD0312" w:rsidRPr="006C15F0">
          <w:rPr>
            <w:rStyle w:val="Hyperlink"/>
          </w:rPr>
          <w:t>2.</w:t>
        </w:r>
        <w:r w:rsidR="00AD0312">
          <w:rPr>
            <w:rFonts w:asciiTheme="minorHAnsi" w:eastAsiaTheme="minorEastAsia" w:hAnsiTheme="minorHAnsi" w:cstheme="minorBidi"/>
            <w:sz w:val="22"/>
            <w:szCs w:val="22"/>
            <w:lang w:eastAsia="en-NZ"/>
          </w:rPr>
          <w:tab/>
        </w:r>
        <w:r w:rsidR="00AD0312" w:rsidRPr="006C15F0">
          <w:rPr>
            <w:rStyle w:val="Hyperlink"/>
          </w:rPr>
          <w:t>Scope</w:t>
        </w:r>
        <w:r w:rsidR="00AD0312">
          <w:rPr>
            <w:webHidden/>
          </w:rPr>
          <w:tab/>
        </w:r>
        <w:r w:rsidR="00AD0312">
          <w:rPr>
            <w:webHidden/>
          </w:rPr>
          <w:fldChar w:fldCharType="begin"/>
        </w:r>
        <w:r w:rsidR="00AD0312">
          <w:rPr>
            <w:webHidden/>
          </w:rPr>
          <w:instrText xml:space="preserve"> PAGEREF _Toc450654183 \h </w:instrText>
        </w:r>
        <w:r w:rsidR="00AD0312">
          <w:rPr>
            <w:webHidden/>
          </w:rPr>
        </w:r>
        <w:r w:rsidR="00AD0312">
          <w:rPr>
            <w:webHidden/>
          </w:rPr>
          <w:fldChar w:fldCharType="separate"/>
        </w:r>
        <w:r w:rsidR="00AD0312">
          <w:rPr>
            <w:webHidden/>
          </w:rPr>
          <w:t>4</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84" w:history="1">
        <w:r w:rsidR="00AD0312" w:rsidRPr="006C15F0">
          <w:rPr>
            <w:rStyle w:val="Hyperlink"/>
          </w:rPr>
          <w:t>3.</w:t>
        </w:r>
        <w:r w:rsidR="00AD0312">
          <w:rPr>
            <w:rFonts w:asciiTheme="minorHAnsi" w:eastAsiaTheme="minorEastAsia" w:hAnsiTheme="minorHAnsi" w:cstheme="minorBidi"/>
            <w:sz w:val="22"/>
            <w:szCs w:val="22"/>
            <w:lang w:eastAsia="en-NZ"/>
          </w:rPr>
          <w:tab/>
        </w:r>
        <w:r w:rsidR="00AD0312" w:rsidRPr="006C15F0">
          <w:rPr>
            <w:rStyle w:val="Hyperlink"/>
          </w:rPr>
          <w:t>Relevant legislation</w:t>
        </w:r>
        <w:r w:rsidR="00AD0312">
          <w:rPr>
            <w:webHidden/>
          </w:rPr>
          <w:tab/>
        </w:r>
        <w:r w:rsidR="00AD0312">
          <w:rPr>
            <w:webHidden/>
          </w:rPr>
          <w:fldChar w:fldCharType="begin"/>
        </w:r>
        <w:r w:rsidR="00AD0312">
          <w:rPr>
            <w:webHidden/>
          </w:rPr>
          <w:instrText xml:space="preserve"> PAGEREF _Toc450654184 \h </w:instrText>
        </w:r>
        <w:r w:rsidR="00AD0312">
          <w:rPr>
            <w:webHidden/>
          </w:rPr>
        </w:r>
        <w:r w:rsidR="00AD0312">
          <w:rPr>
            <w:webHidden/>
          </w:rPr>
          <w:fldChar w:fldCharType="separate"/>
        </w:r>
        <w:r w:rsidR="00AD0312">
          <w:rPr>
            <w:webHidden/>
          </w:rPr>
          <w:t>5</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85" w:history="1">
        <w:r w:rsidR="00AD0312" w:rsidRPr="006C15F0">
          <w:rPr>
            <w:rStyle w:val="Hyperlink"/>
          </w:rPr>
          <w:t xml:space="preserve">4. </w:t>
        </w:r>
        <w:r w:rsidR="00AD0312">
          <w:rPr>
            <w:rFonts w:asciiTheme="minorHAnsi" w:eastAsiaTheme="minorEastAsia" w:hAnsiTheme="minorHAnsi" w:cstheme="minorBidi"/>
            <w:sz w:val="22"/>
            <w:szCs w:val="22"/>
            <w:lang w:eastAsia="en-NZ"/>
          </w:rPr>
          <w:tab/>
        </w:r>
        <w:r w:rsidR="00AD0312" w:rsidRPr="006C15F0">
          <w:rPr>
            <w:rStyle w:val="Hyperlink"/>
          </w:rPr>
          <w:t>Effect on manufacture of new equipment</w:t>
        </w:r>
        <w:r w:rsidR="00AD0312">
          <w:rPr>
            <w:webHidden/>
          </w:rPr>
          <w:tab/>
        </w:r>
        <w:r w:rsidR="00AD0312">
          <w:rPr>
            <w:webHidden/>
          </w:rPr>
          <w:fldChar w:fldCharType="begin"/>
        </w:r>
        <w:r w:rsidR="00AD0312">
          <w:rPr>
            <w:webHidden/>
          </w:rPr>
          <w:instrText xml:space="preserve"> PAGEREF _Toc450654185 \h </w:instrText>
        </w:r>
        <w:r w:rsidR="00AD0312">
          <w:rPr>
            <w:webHidden/>
          </w:rPr>
        </w:r>
        <w:r w:rsidR="00AD0312">
          <w:rPr>
            <w:webHidden/>
          </w:rPr>
          <w:fldChar w:fldCharType="separate"/>
        </w:r>
        <w:r w:rsidR="00AD0312">
          <w:rPr>
            <w:webHidden/>
          </w:rPr>
          <w:t>5</w:t>
        </w:r>
        <w:r w:rsidR="00AD0312">
          <w:rPr>
            <w:webHidden/>
          </w:rPr>
          <w:fldChar w:fldCharType="end"/>
        </w:r>
      </w:hyperlink>
    </w:p>
    <w:p w:rsidR="00AD0312" w:rsidRDefault="00D117FA">
      <w:pPr>
        <w:pStyle w:val="TOC1"/>
        <w:rPr>
          <w:rFonts w:asciiTheme="minorHAnsi" w:eastAsiaTheme="minorEastAsia" w:hAnsiTheme="minorHAnsi" w:cstheme="minorBidi"/>
          <w:b w:val="0"/>
          <w:noProof/>
          <w:color w:val="auto"/>
          <w:sz w:val="22"/>
          <w:szCs w:val="22"/>
          <w:lang w:eastAsia="en-NZ"/>
        </w:rPr>
      </w:pPr>
      <w:hyperlink w:anchor="_Toc450654186" w:history="1">
        <w:r w:rsidR="00AD0312" w:rsidRPr="006C15F0">
          <w:rPr>
            <w:rStyle w:val="Hyperlink"/>
            <w:noProof/>
          </w:rPr>
          <w:t>Clarifying the Secretary’s discretion</w:t>
        </w:r>
        <w:r w:rsidR="00AD0312">
          <w:rPr>
            <w:noProof/>
            <w:webHidden/>
          </w:rPr>
          <w:tab/>
        </w:r>
        <w:r w:rsidR="00AD0312">
          <w:rPr>
            <w:noProof/>
            <w:webHidden/>
          </w:rPr>
          <w:fldChar w:fldCharType="begin"/>
        </w:r>
        <w:r w:rsidR="00AD0312">
          <w:rPr>
            <w:noProof/>
            <w:webHidden/>
          </w:rPr>
          <w:instrText xml:space="preserve"> PAGEREF _Toc450654186 \h </w:instrText>
        </w:r>
        <w:r w:rsidR="00AD0312">
          <w:rPr>
            <w:noProof/>
            <w:webHidden/>
          </w:rPr>
        </w:r>
        <w:r w:rsidR="00AD0312">
          <w:rPr>
            <w:noProof/>
            <w:webHidden/>
          </w:rPr>
          <w:fldChar w:fldCharType="separate"/>
        </w:r>
        <w:r w:rsidR="00AD0312">
          <w:rPr>
            <w:noProof/>
            <w:webHidden/>
          </w:rPr>
          <w:t>6</w:t>
        </w:r>
        <w:r w:rsidR="00AD0312">
          <w:rPr>
            <w:noProof/>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87" w:history="1">
        <w:r w:rsidR="00AD0312" w:rsidRPr="006C15F0">
          <w:rPr>
            <w:rStyle w:val="Hyperlink"/>
          </w:rPr>
          <w:t>1.</w:t>
        </w:r>
        <w:r w:rsidR="00AD0312">
          <w:rPr>
            <w:rFonts w:asciiTheme="minorHAnsi" w:eastAsiaTheme="minorEastAsia" w:hAnsiTheme="minorHAnsi" w:cstheme="minorBidi"/>
            <w:sz w:val="22"/>
            <w:szCs w:val="22"/>
            <w:lang w:eastAsia="en-NZ"/>
          </w:rPr>
          <w:tab/>
        </w:r>
        <w:r w:rsidR="00AD0312" w:rsidRPr="006C15F0">
          <w:rPr>
            <w:rStyle w:val="Hyperlink"/>
          </w:rPr>
          <w:t>Purpose</w:t>
        </w:r>
        <w:r w:rsidR="00AD0312">
          <w:rPr>
            <w:webHidden/>
          </w:rPr>
          <w:tab/>
        </w:r>
        <w:r w:rsidR="00AD0312">
          <w:rPr>
            <w:webHidden/>
          </w:rPr>
          <w:fldChar w:fldCharType="begin"/>
        </w:r>
        <w:r w:rsidR="00AD0312">
          <w:rPr>
            <w:webHidden/>
          </w:rPr>
          <w:instrText xml:space="preserve"> PAGEREF _Toc450654187 \h </w:instrText>
        </w:r>
        <w:r w:rsidR="00AD0312">
          <w:rPr>
            <w:webHidden/>
          </w:rPr>
        </w:r>
        <w:r w:rsidR="00AD0312">
          <w:rPr>
            <w:webHidden/>
          </w:rPr>
          <w:fldChar w:fldCharType="separate"/>
        </w:r>
        <w:r w:rsidR="00AD0312">
          <w:rPr>
            <w:webHidden/>
          </w:rPr>
          <w:t>6</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88" w:history="1">
        <w:r w:rsidR="00AD0312" w:rsidRPr="006C15F0">
          <w:rPr>
            <w:rStyle w:val="Hyperlink"/>
          </w:rPr>
          <w:t>2.</w:t>
        </w:r>
        <w:r w:rsidR="00AD0312">
          <w:rPr>
            <w:rFonts w:asciiTheme="minorHAnsi" w:eastAsiaTheme="minorEastAsia" w:hAnsiTheme="minorHAnsi" w:cstheme="minorBidi"/>
            <w:sz w:val="22"/>
            <w:szCs w:val="22"/>
            <w:lang w:eastAsia="en-NZ"/>
          </w:rPr>
          <w:tab/>
        </w:r>
        <w:r w:rsidR="00AD0312" w:rsidRPr="006C15F0">
          <w:rPr>
            <w:rStyle w:val="Hyperlink"/>
          </w:rPr>
          <w:t>The proposal to clarify the Secretary’s discretion</w:t>
        </w:r>
        <w:r w:rsidR="00AD0312">
          <w:rPr>
            <w:webHidden/>
          </w:rPr>
          <w:tab/>
        </w:r>
        <w:r w:rsidR="00AD0312">
          <w:rPr>
            <w:webHidden/>
          </w:rPr>
          <w:fldChar w:fldCharType="begin"/>
        </w:r>
        <w:r w:rsidR="00AD0312">
          <w:rPr>
            <w:webHidden/>
          </w:rPr>
          <w:instrText xml:space="preserve"> PAGEREF _Toc450654188 \h </w:instrText>
        </w:r>
        <w:r w:rsidR="00AD0312">
          <w:rPr>
            <w:webHidden/>
          </w:rPr>
        </w:r>
        <w:r w:rsidR="00AD0312">
          <w:rPr>
            <w:webHidden/>
          </w:rPr>
          <w:fldChar w:fldCharType="separate"/>
        </w:r>
        <w:r w:rsidR="00AD0312">
          <w:rPr>
            <w:webHidden/>
          </w:rPr>
          <w:t>6</w:t>
        </w:r>
        <w:r w:rsidR="00AD0312">
          <w:rPr>
            <w:webHidden/>
          </w:rPr>
          <w:fldChar w:fldCharType="end"/>
        </w:r>
      </w:hyperlink>
    </w:p>
    <w:p w:rsidR="00AD0312" w:rsidRDefault="00D117FA">
      <w:pPr>
        <w:pStyle w:val="TOC1"/>
        <w:rPr>
          <w:rFonts w:asciiTheme="minorHAnsi" w:eastAsiaTheme="minorEastAsia" w:hAnsiTheme="minorHAnsi" w:cstheme="minorBidi"/>
          <w:b w:val="0"/>
          <w:noProof/>
          <w:color w:val="auto"/>
          <w:sz w:val="22"/>
          <w:szCs w:val="22"/>
          <w:lang w:eastAsia="en-NZ"/>
        </w:rPr>
      </w:pPr>
      <w:hyperlink w:anchor="_Toc450654189" w:history="1">
        <w:r w:rsidR="00AD0312" w:rsidRPr="006C15F0">
          <w:rPr>
            <w:rStyle w:val="Hyperlink"/>
            <w:noProof/>
          </w:rPr>
          <w:t>Tidying up the standards</w:t>
        </w:r>
        <w:r w:rsidR="00AD0312">
          <w:rPr>
            <w:noProof/>
            <w:webHidden/>
          </w:rPr>
          <w:tab/>
        </w:r>
        <w:r w:rsidR="00AD0312">
          <w:rPr>
            <w:noProof/>
            <w:webHidden/>
          </w:rPr>
          <w:fldChar w:fldCharType="begin"/>
        </w:r>
        <w:r w:rsidR="00AD0312">
          <w:rPr>
            <w:noProof/>
            <w:webHidden/>
          </w:rPr>
          <w:instrText xml:space="preserve"> PAGEREF _Toc450654189 \h </w:instrText>
        </w:r>
        <w:r w:rsidR="00AD0312">
          <w:rPr>
            <w:noProof/>
            <w:webHidden/>
          </w:rPr>
        </w:r>
        <w:r w:rsidR="00AD0312">
          <w:rPr>
            <w:noProof/>
            <w:webHidden/>
          </w:rPr>
          <w:fldChar w:fldCharType="separate"/>
        </w:r>
        <w:r w:rsidR="00AD0312">
          <w:rPr>
            <w:noProof/>
            <w:webHidden/>
          </w:rPr>
          <w:t>7</w:t>
        </w:r>
        <w:r w:rsidR="00AD0312">
          <w:rPr>
            <w:noProof/>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90" w:history="1">
        <w:r w:rsidR="00AD0312" w:rsidRPr="006C15F0">
          <w:rPr>
            <w:rStyle w:val="Hyperlink"/>
          </w:rPr>
          <w:t xml:space="preserve">1. </w:t>
        </w:r>
        <w:r w:rsidR="00AD0312">
          <w:rPr>
            <w:rFonts w:asciiTheme="minorHAnsi" w:eastAsiaTheme="minorEastAsia" w:hAnsiTheme="minorHAnsi" w:cstheme="minorBidi"/>
            <w:sz w:val="22"/>
            <w:szCs w:val="22"/>
            <w:lang w:eastAsia="en-NZ"/>
          </w:rPr>
          <w:tab/>
        </w:r>
        <w:r w:rsidR="00AD0312" w:rsidRPr="006C15F0">
          <w:rPr>
            <w:rStyle w:val="Hyperlink"/>
          </w:rPr>
          <w:t>Deleting redundant requirements</w:t>
        </w:r>
        <w:r w:rsidR="00AD0312">
          <w:rPr>
            <w:webHidden/>
          </w:rPr>
          <w:tab/>
        </w:r>
        <w:r w:rsidR="00AD0312">
          <w:rPr>
            <w:webHidden/>
          </w:rPr>
          <w:fldChar w:fldCharType="begin"/>
        </w:r>
        <w:r w:rsidR="00AD0312">
          <w:rPr>
            <w:webHidden/>
          </w:rPr>
          <w:instrText xml:space="preserve"> PAGEREF _Toc450654190 \h </w:instrText>
        </w:r>
        <w:r w:rsidR="00AD0312">
          <w:rPr>
            <w:webHidden/>
          </w:rPr>
        </w:r>
        <w:r w:rsidR="00AD0312">
          <w:rPr>
            <w:webHidden/>
          </w:rPr>
          <w:fldChar w:fldCharType="separate"/>
        </w:r>
        <w:r w:rsidR="00AD0312">
          <w:rPr>
            <w:webHidden/>
          </w:rPr>
          <w:t>7</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91" w:history="1">
        <w:r w:rsidR="00AD0312" w:rsidRPr="006C15F0">
          <w:rPr>
            <w:rStyle w:val="Hyperlink"/>
          </w:rPr>
          <w:t xml:space="preserve">2. </w:t>
        </w:r>
        <w:r w:rsidR="00AD0312">
          <w:rPr>
            <w:rFonts w:asciiTheme="minorHAnsi" w:eastAsiaTheme="minorEastAsia" w:hAnsiTheme="minorHAnsi" w:cstheme="minorBidi"/>
            <w:sz w:val="22"/>
            <w:szCs w:val="22"/>
            <w:lang w:eastAsia="en-NZ"/>
          </w:rPr>
          <w:tab/>
        </w:r>
        <w:r w:rsidR="00AD0312" w:rsidRPr="006C15F0">
          <w:rPr>
            <w:rStyle w:val="Hyperlink"/>
          </w:rPr>
          <w:t>Other changes to tidy up existing requirements</w:t>
        </w:r>
        <w:r w:rsidR="00AD0312">
          <w:rPr>
            <w:webHidden/>
          </w:rPr>
          <w:tab/>
        </w:r>
        <w:r w:rsidR="00AD0312">
          <w:rPr>
            <w:webHidden/>
          </w:rPr>
          <w:fldChar w:fldCharType="begin"/>
        </w:r>
        <w:r w:rsidR="00AD0312">
          <w:rPr>
            <w:webHidden/>
          </w:rPr>
          <w:instrText xml:space="preserve"> PAGEREF _Toc450654191 \h </w:instrText>
        </w:r>
        <w:r w:rsidR="00AD0312">
          <w:rPr>
            <w:webHidden/>
          </w:rPr>
        </w:r>
        <w:r w:rsidR="00AD0312">
          <w:rPr>
            <w:webHidden/>
          </w:rPr>
          <w:fldChar w:fldCharType="separate"/>
        </w:r>
        <w:r w:rsidR="00AD0312">
          <w:rPr>
            <w:webHidden/>
          </w:rPr>
          <w:t>8</w:t>
        </w:r>
        <w:r w:rsidR="00AD0312">
          <w:rPr>
            <w:webHidden/>
          </w:rPr>
          <w:fldChar w:fldCharType="end"/>
        </w:r>
      </w:hyperlink>
    </w:p>
    <w:p w:rsidR="00AD0312" w:rsidRDefault="00D117FA">
      <w:pPr>
        <w:pStyle w:val="TOC3"/>
        <w:rPr>
          <w:rFonts w:asciiTheme="minorHAnsi" w:eastAsiaTheme="minorEastAsia" w:hAnsiTheme="minorHAnsi" w:cstheme="minorBidi"/>
          <w:sz w:val="22"/>
          <w:szCs w:val="22"/>
          <w:lang w:eastAsia="en-NZ"/>
        </w:rPr>
      </w:pPr>
      <w:hyperlink w:anchor="_Toc450654192" w:history="1">
        <w:r w:rsidR="00AD0312" w:rsidRPr="006C15F0">
          <w:rPr>
            <w:rStyle w:val="Hyperlink"/>
          </w:rPr>
          <w:t xml:space="preserve">i) </w:t>
        </w:r>
        <w:r w:rsidR="00AD0312">
          <w:rPr>
            <w:rFonts w:asciiTheme="minorHAnsi" w:eastAsiaTheme="minorEastAsia" w:hAnsiTheme="minorHAnsi" w:cstheme="minorBidi"/>
            <w:sz w:val="22"/>
            <w:szCs w:val="22"/>
            <w:lang w:eastAsia="en-NZ"/>
          </w:rPr>
          <w:tab/>
        </w:r>
        <w:r w:rsidR="00AD0312" w:rsidRPr="006C15F0">
          <w:rPr>
            <w:rStyle w:val="Hyperlink"/>
          </w:rPr>
          <w:t>Introductory information</w:t>
        </w:r>
        <w:r w:rsidR="00AD0312">
          <w:rPr>
            <w:webHidden/>
          </w:rPr>
          <w:tab/>
        </w:r>
        <w:r w:rsidR="00AD0312">
          <w:rPr>
            <w:webHidden/>
          </w:rPr>
          <w:fldChar w:fldCharType="begin"/>
        </w:r>
        <w:r w:rsidR="00AD0312">
          <w:rPr>
            <w:webHidden/>
          </w:rPr>
          <w:instrText xml:space="preserve"> PAGEREF _Toc450654192 \h </w:instrText>
        </w:r>
        <w:r w:rsidR="00AD0312">
          <w:rPr>
            <w:webHidden/>
          </w:rPr>
        </w:r>
        <w:r w:rsidR="00AD0312">
          <w:rPr>
            <w:webHidden/>
          </w:rPr>
          <w:fldChar w:fldCharType="separate"/>
        </w:r>
        <w:r w:rsidR="00AD0312">
          <w:rPr>
            <w:webHidden/>
          </w:rPr>
          <w:t>8</w:t>
        </w:r>
        <w:r w:rsidR="00AD0312">
          <w:rPr>
            <w:webHidden/>
          </w:rPr>
          <w:fldChar w:fldCharType="end"/>
        </w:r>
      </w:hyperlink>
    </w:p>
    <w:p w:rsidR="00AD0312" w:rsidRDefault="00D117FA">
      <w:pPr>
        <w:pStyle w:val="TOC3"/>
        <w:rPr>
          <w:rFonts w:asciiTheme="minorHAnsi" w:eastAsiaTheme="minorEastAsia" w:hAnsiTheme="minorHAnsi" w:cstheme="minorBidi"/>
          <w:sz w:val="22"/>
          <w:szCs w:val="22"/>
          <w:lang w:eastAsia="en-NZ"/>
        </w:rPr>
      </w:pPr>
      <w:hyperlink w:anchor="_Toc450654193" w:history="1">
        <w:r w:rsidR="00AD0312" w:rsidRPr="006C15F0">
          <w:rPr>
            <w:rStyle w:val="Hyperlink"/>
          </w:rPr>
          <w:t xml:space="preserve">ii) </w:t>
        </w:r>
        <w:r w:rsidR="00AD0312">
          <w:rPr>
            <w:rFonts w:asciiTheme="minorHAnsi" w:eastAsiaTheme="minorEastAsia" w:hAnsiTheme="minorHAnsi" w:cstheme="minorBidi"/>
            <w:sz w:val="22"/>
            <w:szCs w:val="22"/>
            <w:lang w:eastAsia="en-NZ"/>
          </w:rPr>
          <w:tab/>
        </w:r>
        <w:r w:rsidR="00AD0312" w:rsidRPr="006C15F0">
          <w:rPr>
            <w:rStyle w:val="Hyperlink"/>
          </w:rPr>
          <w:t>New sections</w:t>
        </w:r>
        <w:r w:rsidR="00AD0312">
          <w:rPr>
            <w:webHidden/>
          </w:rPr>
          <w:tab/>
        </w:r>
        <w:r w:rsidR="00AD0312">
          <w:rPr>
            <w:webHidden/>
          </w:rPr>
          <w:fldChar w:fldCharType="begin"/>
        </w:r>
        <w:r w:rsidR="00AD0312">
          <w:rPr>
            <w:webHidden/>
          </w:rPr>
          <w:instrText xml:space="preserve"> PAGEREF _Toc450654193 \h </w:instrText>
        </w:r>
        <w:r w:rsidR="00AD0312">
          <w:rPr>
            <w:webHidden/>
          </w:rPr>
        </w:r>
        <w:r w:rsidR="00AD0312">
          <w:rPr>
            <w:webHidden/>
          </w:rPr>
          <w:fldChar w:fldCharType="separate"/>
        </w:r>
        <w:r w:rsidR="00AD0312">
          <w:rPr>
            <w:webHidden/>
          </w:rPr>
          <w:t>8</w:t>
        </w:r>
        <w:r w:rsidR="00AD0312">
          <w:rPr>
            <w:webHidden/>
          </w:rPr>
          <w:fldChar w:fldCharType="end"/>
        </w:r>
      </w:hyperlink>
    </w:p>
    <w:p w:rsidR="00AD0312" w:rsidRDefault="00D117FA">
      <w:pPr>
        <w:pStyle w:val="TOC3"/>
        <w:rPr>
          <w:rFonts w:asciiTheme="minorHAnsi" w:eastAsiaTheme="minorEastAsia" w:hAnsiTheme="minorHAnsi" w:cstheme="minorBidi"/>
          <w:sz w:val="22"/>
          <w:szCs w:val="22"/>
          <w:lang w:eastAsia="en-NZ"/>
        </w:rPr>
      </w:pPr>
      <w:hyperlink w:anchor="_Toc450654194" w:history="1">
        <w:r w:rsidR="00AD0312" w:rsidRPr="006C15F0">
          <w:rPr>
            <w:rStyle w:val="Hyperlink"/>
          </w:rPr>
          <w:t>iii)</w:t>
        </w:r>
        <w:r w:rsidR="00AD0312">
          <w:rPr>
            <w:rFonts w:asciiTheme="minorHAnsi" w:eastAsiaTheme="minorEastAsia" w:hAnsiTheme="minorHAnsi" w:cstheme="minorBidi"/>
            <w:sz w:val="22"/>
            <w:szCs w:val="22"/>
            <w:lang w:eastAsia="en-NZ"/>
          </w:rPr>
          <w:tab/>
        </w:r>
        <w:r w:rsidR="00AD0312" w:rsidRPr="006C15F0">
          <w:rPr>
            <w:rStyle w:val="Hyperlink"/>
          </w:rPr>
          <w:t>Other amendments</w:t>
        </w:r>
        <w:r w:rsidR="00AD0312">
          <w:rPr>
            <w:webHidden/>
          </w:rPr>
          <w:tab/>
        </w:r>
        <w:r w:rsidR="00AD0312">
          <w:rPr>
            <w:webHidden/>
          </w:rPr>
          <w:fldChar w:fldCharType="begin"/>
        </w:r>
        <w:r w:rsidR="00AD0312">
          <w:rPr>
            <w:webHidden/>
          </w:rPr>
          <w:instrText xml:space="preserve"> PAGEREF _Toc450654194 \h </w:instrText>
        </w:r>
        <w:r w:rsidR="00AD0312">
          <w:rPr>
            <w:webHidden/>
          </w:rPr>
        </w:r>
        <w:r w:rsidR="00AD0312">
          <w:rPr>
            <w:webHidden/>
          </w:rPr>
          <w:fldChar w:fldCharType="separate"/>
        </w:r>
        <w:r w:rsidR="00AD0312">
          <w:rPr>
            <w:webHidden/>
          </w:rPr>
          <w:t>8</w:t>
        </w:r>
        <w:r w:rsidR="00AD0312">
          <w:rPr>
            <w:webHidden/>
          </w:rPr>
          <w:fldChar w:fldCharType="end"/>
        </w:r>
      </w:hyperlink>
    </w:p>
    <w:p w:rsidR="00AD0312" w:rsidRDefault="00D117FA">
      <w:pPr>
        <w:pStyle w:val="TOC3"/>
        <w:rPr>
          <w:rFonts w:asciiTheme="minorHAnsi" w:eastAsiaTheme="minorEastAsia" w:hAnsiTheme="minorHAnsi" w:cstheme="minorBidi"/>
          <w:sz w:val="22"/>
          <w:szCs w:val="22"/>
          <w:lang w:eastAsia="en-NZ"/>
        </w:rPr>
      </w:pPr>
      <w:hyperlink w:anchor="_Toc450654195" w:history="1">
        <w:r w:rsidR="00AD0312" w:rsidRPr="006C15F0">
          <w:rPr>
            <w:rStyle w:val="Hyperlink"/>
          </w:rPr>
          <w:t>iv)</w:t>
        </w:r>
        <w:r w:rsidR="00AD0312">
          <w:rPr>
            <w:rFonts w:asciiTheme="minorHAnsi" w:eastAsiaTheme="minorEastAsia" w:hAnsiTheme="minorHAnsi" w:cstheme="minorBidi"/>
            <w:sz w:val="22"/>
            <w:szCs w:val="22"/>
            <w:lang w:eastAsia="en-NZ"/>
          </w:rPr>
          <w:tab/>
        </w:r>
        <w:r w:rsidR="00AD0312" w:rsidRPr="006C15F0">
          <w:rPr>
            <w:rStyle w:val="Hyperlink"/>
          </w:rPr>
          <w:t>Amendments to requirements for linked jackpot systems</w:t>
        </w:r>
        <w:r w:rsidR="00AD0312">
          <w:rPr>
            <w:webHidden/>
          </w:rPr>
          <w:tab/>
        </w:r>
        <w:r w:rsidR="00AD0312">
          <w:rPr>
            <w:webHidden/>
          </w:rPr>
          <w:fldChar w:fldCharType="begin"/>
        </w:r>
        <w:r w:rsidR="00AD0312">
          <w:rPr>
            <w:webHidden/>
          </w:rPr>
          <w:instrText xml:space="preserve"> PAGEREF _Toc450654195 \h </w:instrText>
        </w:r>
        <w:r w:rsidR="00AD0312">
          <w:rPr>
            <w:webHidden/>
          </w:rPr>
        </w:r>
        <w:r w:rsidR="00AD0312">
          <w:rPr>
            <w:webHidden/>
          </w:rPr>
          <w:fldChar w:fldCharType="separate"/>
        </w:r>
        <w:r w:rsidR="00AD0312">
          <w:rPr>
            <w:webHidden/>
          </w:rPr>
          <w:t>9</w:t>
        </w:r>
        <w:r w:rsidR="00AD0312">
          <w:rPr>
            <w:webHidden/>
          </w:rPr>
          <w:fldChar w:fldCharType="end"/>
        </w:r>
      </w:hyperlink>
    </w:p>
    <w:p w:rsidR="00AD0312" w:rsidRDefault="00D117FA">
      <w:pPr>
        <w:pStyle w:val="TOC1"/>
        <w:rPr>
          <w:rFonts w:asciiTheme="minorHAnsi" w:eastAsiaTheme="minorEastAsia" w:hAnsiTheme="minorHAnsi" w:cstheme="minorBidi"/>
          <w:b w:val="0"/>
          <w:noProof/>
          <w:color w:val="auto"/>
          <w:sz w:val="22"/>
          <w:szCs w:val="22"/>
          <w:lang w:eastAsia="en-NZ"/>
        </w:rPr>
      </w:pPr>
      <w:hyperlink w:anchor="_Toc450654196" w:history="1">
        <w:r w:rsidR="00AD0312" w:rsidRPr="006C15F0">
          <w:rPr>
            <w:rStyle w:val="Hyperlink"/>
            <w:noProof/>
          </w:rPr>
          <w:t>Application for USB cell phone charger</w:t>
        </w:r>
        <w:r w:rsidR="00AD0312">
          <w:rPr>
            <w:noProof/>
            <w:webHidden/>
          </w:rPr>
          <w:tab/>
        </w:r>
        <w:r w:rsidR="00AD0312">
          <w:rPr>
            <w:noProof/>
            <w:webHidden/>
          </w:rPr>
          <w:fldChar w:fldCharType="begin"/>
        </w:r>
        <w:r w:rsidR="00AD0312">
          <w:rPr>
            <w:noProof/>
            <w:webHidden/>
          </w:rPr>
          <w:instrText xml:space="preserve"> PAGEREF _Toc450654196 \h </w:instrText>
        </w:r>
        <w:r w:rsidR="00AD0312">
          <w:rPr>
            <w:noProof/>
            <w:webHidden/>
          </w:rPr>
        </w:r>
        <w:r w:rsidR="00AD0312">
          <w:rPr>
            <w:noProof/>
            <w:webHidden/>
          </w:rPr>
          <w:fldChar w:fldCharType="separate"/>
        </w:r>
        <w:r w:rsidR="00AD0312">
          <w:rPr>
            <w:noProof/>
            <w:webHidden/>
          </w:rPr>
          <w:t>10</w:t>
        </w:r>
        <w:r w:rsidR="00AD0312">
          <w:rPr>
            <w:noProof/>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97" w:history="1">
        <w:r w:rsidR="00AD0312" w:rsidRPr="006C15F0">
          <w:rPr>
            <w:rStyle w:val="Hyperlink"/>
          </w:rPr>
          <w:t>1.</w:t>
        </w:r>
        <w:r w:rsidR="00AD0312">
          <w:rPr>
            <w:rFonts w:asciiTheme="minorHAnsi" w:eastAsiaTheme="minorEastAsia" w:hAnsiTheme="minorHAnsi" w:cstheme="minorBidi"/>
            <w:sz w:val="22"/>
            <w:szCs w:val="22"/>
            <w:lang w:eastAsia="en-NZ"/>
          </w:rPr>
          <w:tab/>
        </w:r>
        <w:r w:rsidR="00AD0312" w:rsidRPr="006C15F0">
          <w:rPr>
            <w:rStyle w:val="Hyperlink"/>
          </w:rPr>
          <w:t>Background information</w:t>
        </w:r>
        <w:r w:rsidR="00AD0312">
          <w:rPr>
            <w:webHidden/>
          </w:rPr>
          <w:tab/>
        </w:r>
        <w:r w:rsidR="00AD0312">
          <w:rPr>
            <w:webHidden/>
          </w:rPr>
          <w:fldChar w:fldCharType="begin"/>
        </w:r>
        <w:r w:rsidR="00AD0312">
          <w:rPr>
            <w:webHidden/>
          </w:rPr>
          <w:instrText xml:space="preserve"> PAGEREF _Toc450654197 \h </w:instrText>
        </w:r>
        <w:r w:rsidR="00AD0312">
          <w:rPr>
            <w:webHidden/>
          </w:rPr>
        </w:r>
        <w:r w:rsidR="00AD0312">
          <w:rPr>
            <w:webHidden/>
          </w:rPr>
          <w:fldChar w:fldCharType="separate"/>
        </w:r>
        <w:r w:rsidR="00AD0312">
          <w:rPr>
            <w:webHidden/>
          </w:rPr>
          <w:t>10</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98" w:history="1">
        <w:r w:rsidR="00AD0312" w:rsidRPr="006C15F0">
          <w:rPr>
            <w:rStyle w:val="Hyperlink"/>
          </w:rPr>
          <w:t xml:space="preserve">2. </w:t>
        </w:r>
        <w:r w:rsidR="00AD0312">
          <w:rPr>
            <w:rFonts w:asciiTheme="minorHAnsi" w:eastAsiaTheme="minorEastAsia" w:hAnsiTheme="minorHAnsi" w:cstheme="minorBidi"/>
            <w:sz w:val="22"/>
            <w:szCs w:val="22"/>
            <w:lang w:eastAsia="en-NZ"/>
          </w:rPr>
          <w:tab/>
        </w:r>
        <w:r w:rsidR="00AD0312" w:rsidRPr="006C15F0">
          <w:rPr>
            <w:rStyle w:val="Hyperlink"/>
          </w:rPr>
          <w:t>Framework for analysis</w:t>
        </w:r>
        <w:r w:rsidR="00AD0312">
          <w:rPr>
            <w:webHidden/>
          </w:rPr>
          <w:tab/>
        </w:r>
        <w:r w:rsidR="00AD0312">
          <w:rPr>
            <w:webHidden/>
          </w:rPr>
          <w:fldChar w:fldCharType="begin"/>
        </w:r>
        <w:r w:rsidR="00AD0312">
          <w:rPr>
            <w:webHidden/>
          </w:rPr>
          <w:instrText xml:space="preserve"> PAGEREF _Toc450654198 \h </w:instrText>
        </w:r>
        <w:r w:rsidR="00AD0312">
          <w:rPr>
            <w:webHidden/>
          </w:rPr>
        </w:r>
        <w:r w:rsidR="00AD0312">
          <w:rPr>
            <w:webHidden/>
          </w:rPr>
          <w:fldChar w:fldCharType="separate"/>
        </w:r>
        <w:r w:rsidR="00AD0312">
          <w:rPr>
            <w:webHidden/>
          </w:rPr>
          <w:t>10</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199" w:history="1">
        <w:r w:rsidR="00AD0312" w:rsidRPr="006C15F0">
          <w:rPr>
            <w:rStyle w:val="Hyperlink"/>
          </w:rPr>
          <w:t>3.</w:t>
        </w:r>
        <w:r w:rsidR="00AD0312">
          <w:rPr>
            <w:rFonts w:asciiTheme="minorHAnsi" w:eastAsiaTheme="minorEastAsia" w:hAnsiTheme="minorHAnsi" w:cstheme="minorBidi"/>
            <w:sz w:val="22"/>
            <w:szCs w:val="22"/>
            <w:lang w:eastAsia="en-NZ"/>
          </w:rPr>
          <w:tab/>
        </w:r>
        <w:r w:rsidR="00AD0312" w:rsidRPr="006C15F0">
          <w:rPr>
            <w:rStyle w:val="Hyperlink"/>
          </w:rPr>
          <w:t>Description of device</w:t>
        </w:r>
        <w:r w:rsidR="00AD0312">
          <w:rPr>
            <w:webHidden/>
          </w:rPr>
          <w:tab/>
        </w:r>
        <w:r w:rsidR="00AD0312">
          <w:rPr>
            <w:webHidden/>
          </w:rPr>
          <w:fldChar w:fldCharType="begin"/>
        </w:r>
        <w:r w:rsidR="00AD0312">
          <w:rPr>
            <w:webHidden/>
          </w:rPr>
          <w:instrText xml:space="preserve"> PAGEREF _Toc450654199 \h </w:instrText>
        </w:r>
        <w:r w:rsidR="00AD0312">
          <w:rPr>
            <w:webHidden/>
          </w:rPr>
        </w:r>
        <w:r w:rsidR="00AD0312">
          <w:rPr>
            <w:webHidden/>
          </w:rPr>
          <w:fldChar w:fldCharType="separate"/>
        </w:r>
        <w:r w:rsidR="00AD0312">
          <w:rPr>
            <w:webHidden/>
          </w:rPr>
          <w:t>11</w:t>
        </w:r>
        <w:r w:rsidR="00AD0312">
          <w:rPr>
            <w:webHidden/>
          </w:rPr>
          <w:fldChar w:fldCharType="end"/>
        </w:r>
      </w:hyperlink>
    </w:p>
    <w:p w:rsidR="00AD0312" w:rsidRDefault="00D117FA">
      <w:pPr>
        <w:pStyle w:val="TOC2"/>
        <w:rPr>
          <w:rFonts w:asciiTheme="minorHAnsi" w:eastAsiaTheme="minorEastAsia" w:hAnsiTheme="minorHAnsi" w:cstheme="minorBidi"/>
          <w:sz w:val="22"/>
          <w:szCs w:val="22"/>
          <w:lang w:eastAsia="en-NZ"/>
        </w:rPr>
      </w:pPr>
      <w:hyperlink w:anchor="_Toc450654200" w:history="1">
        <w:r w:rsidR="00AD0312" w:rsidRPr="006C15F0">
          <w:rPr>
            <w:rStyle w:val="Hyperlink"/>
          </w:rPr>
          <w:t>4.</w:t>
        </w:r>
        <w:r w:rsidR="00AD0312">
          <w:rPr>
            <w:rFonts w:asciiTheme="minorHAnsi" w:eastAsiaTheme="minorEastAsia" w:hAnsiTheme="minorHAnsi" w:cstheme="minorBidi"/>
            <w:sz w:val="22"/>
            <w:szCs w:val="22"/>
            <w:lang w:eastAsia="en-NZ"/>
          </w:rPr>
          <w:tab/>
        </w:r>
        <w:r w:rsidR="00AD0312" w:rsidRPr="006C15F0">
          <w:rPr>
            <w:rStyle w:val="Hyperlink"/>
          </w:rPr>
          <w:t>Questions for submitters</w:t>
        </w:r>
        <w:r w:rsidR="00AD0312">
          <w:rPr>
            <w:webHidden/>
          </w:rPr>
          <w:tab/>
        </w:r>
        <w:r w:rsidR="00AD0312">
          <w:rPr>
            <w:webHidden/>
          </w:rPr>
          <w:fldChar w:fldCharType="begin"/>
        </w:r>
        <w:r w:rsidR="00AD0312">
          <w:rPr>
            <w:webHidden/>
          </w:rPr>
          <w:instrText xml:space="preserve"> PAGEREF _Toc450654200 \h </w:instrText>
        </w:r>
        <w:r w:rsidR="00AD0312">
          <w:rPr>
            <w:webHidden/>
          </w:rPr>
        </w:r>
        <w:r w:rsidR="00AD0312">
          <w:rPr>
            <w:webHidden/>
          </w:rPr>
          <w:fldChar w:fldCharType="separate"/>
        </w:r>
        <w:r w:rsidR="00AD0312">
          <w:rPr>
            <w:webHidden/>
          </w:rPr>
          <w:t>11</w:t>
        </w:r>
        <w:r w:rsidR="00AD0312">
          <w:rPr>
            <w:webHidden/>
          </w:rPr>
          <w:fldChar w:fldCharType="end"/>
        </w:r>
      </w:hyperlink>
    </w:p>
    <w:p w:rsidR="00AD0312" w:rsidRDefault="00D117FA">
      <w:pPr>
        <w:pStyle w:val="TOC1"/>
        <w:rPr>
          <w:rFonts w:asciiTheme="minorHAnsi" w:eastAsiaTheme="minorEastAsia" w:hAnsiTheme="minorHAnsi" w:cstheme="minorBidi"/>
          <w:b w:val="0"/>
          <w:noProof/>
          <w:color w:val="auto"/>
          <w:sz w:val="22"/>
          <w:szCs w:val="22"/>
          <w:lang w:eastAsia="en-NZ"/>
        </w:rPr>
      </w:pPr>
      <w:hyperlink w:anchor="_Toc450654201" w:history="1">
        <w:r w:rsidR="00AD0312" w:rsidRPr="006C15F0">
          <w:rPr>
            <w:rStyle w:val="Hyperlink"/>
            <w:noProof/>
          </w:rPr>
          <w:t>Addendum to NS15 Consultation</w:t>
        </w:r>
        <w:r w:rsidR="00AD0312">
          <w:rPr>
            <w:noProof/>
            <w:webHidden/>
          </w:rPr>
          <w:tab/>
        </w:r>
        <w:r w:rsidR="00AD0312">
          <w:rPr>
            <w:noProof/>
            <w:webHidden/>
          </w:rPr>
          <w:fldChar w:fldCharType="begin"/>
        </w:r>
        <w:r w:rsidR="00AD0312">
          <w:rPr>
            <w:noProof/>
            <w:webHidden/>
          </w:rPr>
          <w:instrText xml:space="preserve"> PAGEREF _Toc450654201 \h </w:instrText>
        </w:r>
        <w:r w:rsidR="00AD0312">
          <w:rPr>
            <w:noProof/>
            <w:webHidden/>
          </w:rPr>
        </w:r>
        <w:r w:rsidR="00AD0312">
          <w:rPr>
            <w:noProof/>
            <w:webHidden/>
          </w:rPr>
          <w:fldChar w:fldCharType="separate"/>
        </w:r>
        <w:r w:rsidR="00AD0312">
          <w:rPr>
            <w:noProof/>
            <w:webHidden/>
          </w:rPr>
          <w:t>12</w:t>
        </w:r>
        <w:r w:rsidR="00AD0312">
          <w:rPr>
            <w:noProof/>
            <w:webHidden/>
          </w:rPr>
          <w:fldChar w:fldCharType="end"/>
        </w:r>
      </w:hyperlink>
    </w:p>
    <w:p w:rsidR="00AD0312" w:rsidRDefault="00D117FA">
      <w:pPr>
        <w:pStyle w:val="TOC1"/>
        <w:rPr>
          <w:rFonts w:asciiTheme="minorHAnsi" w:eastAsiaTheme="minorEastAsia" w:hAnsiTheme="minorHAnsi" w:cstheme="minorBidi"/>
          <w:b w:val="0"/>
          <w:noProof/>
          <w:color w:val="auto"/>
          <w:sz w:val="22"/>
          <w:szCs w:val="22"/>
          <w:lang w:eastAsia="en-NZ"/>
        </w:rPr>
      </w:pPr>
      <w:hyperlink w:anchor="_Toc450654202" w:history="1">
        <w:r w:rsidR="00AD0312" w:rsidRPr="006C15F0">
          <w:rPr>
            <w:rStyle w:val="Hyperlink"/>
            <w:noProof/>
          </w:rPr>
          <w:t>List of Appendices</w:t>
        </w:r>
        <w:r w:rsidR="00AD0312">
          <w:rPr>
            <w:noProof/>
            <w:webHidden/>
          </w:rPr>
          <w:tab/>
        </w:r>
        <w:r w:rsidR="00AD0312">
          <w:rPr>
            <w:noProof/>
            <w:webHidden/>
          </w:rPr>
          <w:fldChar w:fldCharType="begin"/>
        </w:r>
        <w:r w:rsidR="00AD0312">
          <w:rPr>
            <w:noProof/>
            <w:webHidden/>
          </w:rPr>
          <w:instrText xml:space="preserve"> PAGEREF _Toc450654202 \h </w:instrText>
        </w:r>
        <w:r w:rsidR="00AD0312">
          <w:rPr>
            <w:noProof/>
            <w:webHidden/>
          </w:rPr>
        </w:r>
        <w:r w:rsidR="00AD0312">
          <w:rPr>
            <w:noProof/>
            <w:webHidden/>
          </w:rPr>
          <w:fldChar w:fldCharType="separate"/>
        </w:r>
        <w:r w:rsidR="00AD0312">
          <w:rPr>
            <w:noProof/>
            <w:webHidden/>
          </w:rPr>
          <w:t>13</w:t>
        </w:r>
        <w:r w:rsidR="00AD0312">
          <w:rPr>
            <w:noProof/>
            <w:webHidden/>
          </w:rPr>
          <w:fldChar w:fldCharType="end"/>
        </w:r>
      </w:hyperlink>
    </w:p>
    <w:p w:rsidR="00D40C49" w:rsidRDefault="004E0F69" w:rsidP="00D40C49">
      <w:r>
        <w:fldChar w:fldCharType="end"/>
      </w:r>
    </w:p>
    <w:p w:rsidR="00D40C49" w:rsidRDefault="00D40C49">
      <w:pPr>
        <w:keepLines w:val="0"/>
      </w:pPr>
      <w:r>
        <w:br w:type="page"/>
      </w:r>
    </w:p>
    <w:p w:rsidR="004E0F69" w:rsidRDefault="004E0F69" w:rsidP="002E022E">
      <w:pPr>
        <w:pStyle w:val="Heading1"/>
        <w:spacing w:after="240"/>
      </w:pPr>
      <w:bookmarkStart w:id="1" w:name="_Toc450654178"/>
      <w:r>
        <w:lastRenderedPageBreak/>
        <w:t>What is this document about?</w:t>
      </w:r>
      <w:bookmarkEnd w:id="1"/>
    </w:p>
    <w:p w:rsidR="004E0F69" w:rsidRPr="005E1508" w:rsidRDefault="00843A43" w:rsidP="004E0F69">
      <w:pPr>
        <w:jc w:val="both"/>
      </w:pPr>
      <w:r>
        <w:t>This document invites comments on</w:t>
      </w:r>
      <w:r w:rsidR="004E0F69" w:rsidRPr="005E1508">
        <w:t xml:space="preserve"> proposed changes to the Gambling Act </w:t>
      </w:r>
      <w:r w:rsidR="004E0F69">
        <w:t xml:space="preserve">(Class 4 Gambling Equipment) Minimum Standard and the Gambling Act (Casino Gambling Equipment) Minimum </w:t>
      </w:r>
      <w:r w:rsidR="003A6B98">
        <w:t>S</w:t>
      </w:r>
      <w:r w:rsidR="004E0F69">
        <w:t>tandard</w:t>
      </w:r>
      <w:r w:rsidR="004E0F69" w:rsidRPr="005E1508">
        <w:t xml:space="preserve"> (the Standards).</w:t>
      </w:r>
    </w:p>
    <w:p w:rsidR="004E0F69" w:rsidRDefault="004E0F69" w:rsidP="004E0F69">
      <w:pPr>
        <w:pStyle w:val="Heading2"/>
        <w:jc w:val="both"/>
      </w:pPr>
      <w:bookmarkStart w:id="2" w:name="_Toc450654179"/>
      <w:r>
        <w:t>Consultation requirements</w:t>
      </w:r>
      <w:bookmarkEnd w:id="2"/>
    </w:p>
    <w:p w:rsidR="004E0F69" w:rsidRPr="005E1508" w:rsidRDefault="004E0F69" w:rsidP="004E0F69">
      <w:pPr>
        <w:pStyle w:val="Default"/>
        <w:jc w:val="both"/>
      </w:pPr>
      <w:r w:rsidRPr="005E1508">
        <w:t xml:space="preserve">Section 372 of the Gambling Act 2003 (the Act) requires that, before standards are made, persons and organisations that are likely to be substantially affected by the standards must be consulted and given a reasonable opportunity to respond. Submissions will be given adequate and appropriate consideration. </w:t>
      </w:r>
    </w:p>
    <w:p w:rsidR="004E0F69" w:rsidRDefault="004E0F69" w:rsidP="004E0F69">
      <w:pPr>
        <w:pStyle w:val="Heading2"/>
      </w:pPr>
      <w:bookmarkStart w:id="3" w:name="_Toc450654180"/>
      <w:r>
        <w:t>Sending us your submission</w:t>
      </w:r>
      <w:bookmarkEnd w:id="3"/>
    </w:p>
    <w:p w:rsidR="004E0F69" w:rsidRPr="005E1508" w:rsidRDefault="004E0F69" w:rsidP="00427802">
      <w:pPr>
        <w:pStyle w:val="Default"/>
        <w:spacing w:after="120"/>
        <w:jc w:val="both"/>
      </w:pPr>
      <w:r w:rsidRPr="005E1508">
        <w:t xml:space="preserve">The proposed amendments will be assessed in accordance with the purposes of the Act. The Department of Internal Affairs (the Department) seeks your comment on </w:t>
      </w:r>
      <w:r>
        <w:t xml:space="preserve">all of </w:t>
      </w:r>
      <w:r w:rsidRPr="005E1508">
        <w:t>the changes</w:t>
      </w:r>
      <w:r>
        <w:t xml:space="preserve"> described within this document</w:t>
      </w:r>
      <w:r w:rsidRPr="005E1508">
        <w:t>. Comment in relation to the purposes of the Act is</w:t>
      </w:r>
      <w:r>
        <w:t xml:space="preserve"> particularly</w:t>
      </w:r>
      <w:r w:rsidRPr="005E1508">
        <w:t xml:space="preserve"> valued</w:t>
      </w:r>
      <w:r w:rsidR="00427802">
        <w:t>.</w:t>
      </w:r>
    </w:p>
    <w:p w:rsidR="004E0F69" w:rsidRPr="005E1508" w:rsidRDefault="004E0F69" w:rsidP="004E0F69">
      <w:r w:rsidRPr="005E1508">
        <w:t>We ask you to make your submission with these particular purposes in mind.</w:t>
      </w:r>
    </w:p>
    <w:p w:rsidR="004E0F69" w:rsidRPr="005E1508" w:rsidRDefault="004E0F69" w:rsidP="004E0F69">
      <w:pPr>
        <w:pStyle w:val="Default"/>
      </w:pPr>
      <w:r w:rsidRPr="005E1508">
        <w:t xml:space="preserve">Please send your submission to the Department </w:t>
      </w:r>
      <w:r w:rsidRPr="00BE3B43">
        <w:rPr>
          <w:color w:val="auto"/>
        </w:rPr>
        <w:t xml:space="preserve">by </w:t>
      </w:r>
      <w:r w:rsidR="00C15918">
        <w:rPr>
          <w:color w:val="auto"/>
        </w:rPr>
        <w:t>8 June</w:t>
      </w:r>
      <w:r w:rsidRPr="00BE3B43">
        <w:rPr>
          <w:color w:val="auto"/>
        </w:rPr>
        <w:t xml:space="preserve"> 2016. </w:t>
      </w:r>
    </w:p>
    <w:p w:rsidR="004E0F69" w:rsidRPr="005E1508" w:rsidRDefault="004E0F69" w:rsidP="004E0F69">
      <w:pPr>
        <w:pStyle w:val="Default"/>
      </w:pPr>
    </w:p>
    <w:p w:rsidR="00FF0DF3" w:rsidRDefault="004E0F69" w:rsidP="004E0F69">
      <w:pPr>
        <w:pStyle w:val="Default"/>
        <w:spacing w:after="120"/>
        <w:rPr>
          <w:rStyle w:val="Hyperlink"/>
        </w:rPr>
      </w:pPr>
      <w:r w:rsidRPr="005E1508">
        <w:t xml:space="preserve">Your submission can be sent </w:t>
      </w:r>
      <w:r w:rsidR="004E49B9">
        <w:t xml:space="preserve">by email to: </w:t>
      </w:r>
      <w:hyperlink r:id="rId9" w:history="1">
        <w:r w:rsidR="00C0707B" w:rsidRPr="00864310">
          <w:rPr>
            <w:rStyle w:val="Hyperlink"/>
          </w:rPr>
          <w:t>bruce.manuge@dia.govt.nz</w:t>
        </w:r>
      </w:hyperlink>
    </w:p>
    <w:p w:rsidR="00FA0C58" w:rsidRPr="00FA0C58" w:rsidRDefault="00FA0C58" w:rsidP="004E0F69">
      <w:pPr>
        <w:pStyle w:val="Default"/>
        <w:spacing w:after="120"/>
        <w:rPr>
          <w:color w:val="auto"/>
        </w:rPr>
      </w:pPr>
      <w:r>
        <w:rPr>
          <w:rStyle w:val="Hyperlink"/>
          <w:color w:val="auto"/>
          <w:u w:val="none"/>
        </w:rPr>
        <w:t xml:space="preserve">Alternatively, if you have any questions about this document please telephone Bruce Manuge on (04) </w:t>
      </w:r>
      <w:r>
        <w:t>495 9343.</w:t>
      </w:r>
    </w:p>
    <w:p w:rsidR="00C0707B" w:rsidRDefault="00C0707B" w:rsidP="004E0F69">
      <w:pPr>
        <w:pStyle w:val="Default"/>
        <w:spacing w:after="120"/>
      </w:pPr>
    </w:p>
    <w:p w:rsidR="004E49B9" w:rsidRDefault="004E49B9" w:rsidP="004E0F69">
      <w:pPr>
        <w:pStyle w:val="Default"/>
        <w:spacing w:after="120"/>
      </w:pPr>
    </w:p>
    <w:p w:rsidR="004E0F69" w:rsidRDefault="004E0F69" w:rsidP="00DB4CA7">
      <w:pPr>
        <w:keepLines w:val="0"/>
      </w:pPr>
      <w:r>
        <w:br w:type="page"/>
      </w:r>
    </w:p>
    <w:p w:rsidR="004E0F69" w:rsidRDefault="005F655E" w:rsidP="00DB4CA7">
      <w:pPr>
        <w:pStyle w:val="Heading1"/>
      </w:pPr>
      <w:bookmarkStart w:id="4" w:name="_Toc450654181"/>
      <w:r>
        <w:lastRenderedPageBreak/>
        <w:t>Background information</w:t>
      </w:r>
      <w:bookmarkEnd w:id="4"/>
    </w:p>
    <w:p w:rsidR="005F655E" w:rsidRPr="005F655E" w:rsidRDefault="005F655E" w:rsidP="005F655E">
      <w:pPr>
        <w:pStyle w:val="Heading2"/>
        <w:numPr>
          <w:ilvl w:val="0"/>
          <w:numId w:val="70"/>
        </w:numPr>
        <w:spacing w:after="240"/>
        <w:ind w:left="567" w:hanging="567"/>
      </w:pPr>
      <w:bookmarkStart w:id="5" w:name="_Toc450654182"/>
      <w:r w:rsidRPr="005F655E">
        <w:rPr>
          <w:lang w:eastAsia="en-NZ"/>
        </w:rPr>
        <w:t xml:space="preserve">The National Standard </w:t>
      </w:r>
      <w:r>
        <w:rPr>
          <w:lang w:eastAsia="en-NZ"/>
        </w:rPr>
        <w:t>and</w:t>
      </w:r>
      <w:r w:rsidR="00912401">
        <w:rPr>
          <w:lang w:eastAsia="en-NZ"/>
        </w:rPr>
        <w:t xml:space="preserve"> the</w:t>
      </w:r>
      <w:r>
        <w:rPr>
          <w:lang w:eastAsia="en-NZ"/>
        </w:rPr>
        <w:t xml:space="preserve"> NZ Appendix</w:t>
      </w:r>
      <w:bookmarkEnd w:id="5"/>
    </w:p>
    <w:p w:rsidR="005F655E" w:rsidRDefault="005F655E" w:rsidP="005F655E">
      <w:pPr>
        <w:autoSpaceDE w:val="0"/>
        <w:autoSpaceDN w:val="0"/>
        <w:adjustRightInd w:val="0"/>
        <w:jc w:val="both"/>
        <w:rPr>
          <w:rFonts w:cs="Arial"/>
          <w:lang w:eastAsia="en-NZ"/>
        </w:rPr>
      </w:pPr>
      <w:r w:rsidRPr="005F655E">
        <w:rPr>
          <w:rFonts w:cs="Arial"/>
          <w:lang w:eastAsia="en-NZ"/>
        </w:rPr>
        <w:t xml:space="preserve">The Australian / New Zealand Gaming Machine National Standard (“the National Standard”) </w:t>
      </w:r>
      <w:r w:rsidR="00912401">
        <w:rPr>
          <w:rFonts w:cs="Arial"/>
          <w:lang w:eastAsia="en-NZ"/>
        </w:rPr>
        <w:t>was</w:t>
      </w:r>
      <w:r w:rsidRPr="005F655E">
        <w:rPr>
          <w:rFonts w:cs="Arial"/>
          <w:lang w:eastAsia="en-NZ"/>
        </w:rPr>
        <w:t xml:space="preserve"> developed by a working party that includes participants from New Zealand and all Australian state regulators. </w:t>
      </w:r>
      <w:r w:rsidR="00912401">
        <w:rPr>
          <w:rFonts w:cs="Arial"/>
          <w:lang w:eastAsia="en-NZ"/>
        </w:rPr>
        <w:t xml:space="preserve">The latest version </w:t>
      </w:r>
      <w:r>
        <w:rPr>
          <w:rFonts w:cs="Arial"/>
          <w:lang w:eastAsia="en-NZ"/>
        </w:rPr>
        <w:t>of</w:t>
      </w:r>
      <w:r w:rsidRPr="005F655E">
        <w:rPr>
          <w:rFonts w:cs="Arial"/>
          <w:lang w:eastAsia="en-NZ"/>
        </w:rPr>
        <w:t xml:space="preserve"> </w:t>
      </w:r>
      <w:r w:rsidR="00912401">
        <w:rPr>
          <w:rFonts w:cs="Arial"/>
          <w:lang w:eastAsia="en-NZ"/>
        </w:rPr>
        <w:t xml:space="preserve">the </w:t>
      </w:r>
      <w:r w:rsidRPr="005F655E">
        <w:rPr>
          <w:rFonts w:cs="Arial"/>
          <w:lang w:eastAsia="en-NZ"/>
        </w:rPr>
        <w:t xml:space="preserve">National Standard </w:t>
      </w:r>
      <w:r w:rsidR="00C0707B">
        <w:rPr>
          <w:rFonts w:cs="Arial"/>
          <w:lang w:eastAsia="en-NZ"/>
        </w:rPr>
        <w:t xml:space="preserve">(NS15) </w:t>
      </w:r>
      <w:r w:rsidRPr="005F655E">
        <w:rPr>
          <w:rFonts w:cs="Arial"/>
          <w:lang w:eastAsia="en-NZ"/>
        </w:rPr>
        <w:t xml:space="preserve">was </w:t>
      </w:r>
      <w:r>
        <w:rPr>
          <w:rFonts w:cs="Arial"/>
          <w:lang w:eastAsia="en-NZ"/>
        </w:rPr>
        <w:t xml:space="preserve">recently subject to </w:t>
      </w:r>
      <w:r w:rsidR="00912401">
        <w:rPr>
          <w:rFonts w:cs="Arial"/>
          <w:lang w:eastAsia="en-NZ"/>
        </w:rPr>
        <w:t>public</w:t>
      </w:r>
      <w:r>
        <w:rPr>
          <w:rFonts w:cs="Arial"/>
          <w:lang w:eastAsia="en-NZ"/>
        </w:rPr>
        <w:t xml:space="preserve"> consultation</w:t>
      </w:r>
      <w:r w:rsidR="00912401">
        <w:rPr>
          <w:rFonts w:cs="Arial"/>
          <w:lang w:eastAsia="en-NZ"/>
        </w:rPr>
        <w:t xml:space="preserve"> in New Zealand</w:t>
      </w:r>
      <w:r>
        <w:rPr>
          <w:rFonts w:cs="Arial"/>
          <w:lang w:eastAsia="en-NZ"/>
        </w:rPr>
        <w:t xml:space="preserve">. </w:t>
      </w:r>
    </w:p>
    <w:p w:rsidR="005F655E" w:rsidRPr="005F655E" w:rsidRDefault="005F655E" w:rsidP="005F655E">
      <w:pPr>
        <w:autoSpaceDE w:val="0"/>
        <w:autoSpaceDN w:val="0"/>
        <w:adjustRightInd w:val="0"/>
        <w:jc w:val="both"/>
        <w:rPr>
          <w:rFonts w:cs="Arial"/>
          <w:lang w:eastAsia="en-NZ"/>
        </w:rPr>
      </w:pPr>
      <w:r w:rsidRPr="005F655E">
        <w:rPr>
          <w:rFonts w:cs="Arial"/>
          <w:lang w:eastAsia="en-NZ"/>
        </w:rPr>
        <w:t>The purpose of the National Standard is to set out the core requirements, common to all jurisdictions, for the design of gaming machines and games for operation throughout Australia and New Zealand, and to guide testers in their testing for compliance with the National Standard.</w:t>
      </w:r>
      <w:r w:rsidR="00F942A7">
        <w:rPr>
          <w:rStyle w:val="FootnoteReference"/>
          <w:rFonts w:cs="Arial"/>
          <w:lang w:eastAsia="en-NZ"/>
        </w:rPr>
        <w:footnoteReference w:id="1"/>
      </w:r>
    </w:p>
    <w:p w:rsidR="005F655E" w:rsidRDefault="00C0707B" w:rsidP="005F655E">
      <w:pPr>
        <w:shd w:val="clear" w:color="auto" w:fill="FFFFFF"/>
        <w:autoSpaceDE w:val="0"/>
        <w:autoSpaceDN w:val="0"/>
        <w:adjustRightInd w:val="0"/>
        <w:jc w:val="both"/>
        <w:rPr>
          <w:rFonts w:cs="Arial"/>
          <w:lang w:eastAsia="en-NZ"/>
        </w:rPr>
      </w:pPr>
      <w:r>
        <w:rPr>
          <w:rFonts w:cs="Arial"/>
          <w:lang w:eastAsia="en-NZ"/>
        </w:rPr>
        <w:t>G</w:t>
      </w:r>
      <w:r w:rsidR="005F655E" w:rsidRPr="005F655E">
        <w:rPr>
          <w:rFonts w:cs="Arial"/>
          <w:lang w:eastAsia="en-NZ"/>
        </w:rPr>
        <w:t>ambling legislation can vary considerably across the different Australasian jurisdictions. To reflect jurisdictional differences, each jurisdiction provides its own appendix to the above National Standard, setting out any additional or differing requirements for that jurisdiction.</w:t>
      </w:r>
    </w:p>
    <w:p w:rsidR="005F655E" w:rsidRPr="005F655E" w:rsidRDefault="005F655E" w:rsidP="005F655E">
      <w:pPr>
        <w:autoSpaceDE w:val="0"/>
        <w:autoSpaceDN w:val="0"/>
        <w:adjustRightInd w:val="0"/>
        <w:jc w:val="both"/>
        <w:rPr>
          <w:rFonts w:cs="Arial"/>
          <w:lang w:eastAsia="en-NZ"/>
        </w:rPr>
      </w:pPr>
      <w:r w:rsidRPr="005F655E">
        <w:rPr>
          <w:rFonts w:cs="Arial"/>
          <w:lang w:eastAsia="en-NZ"/>
        </w:rPr>
        <w:t>In 2014 the Chief Executives of the different Australasian regulators agreed to initiate a review of the National Standard, to be led by the New South Wales regulato</w:t>
      </w:r>
      <w:r w:rsidR="00C0707B">
        <w:rPr>
          <w:rFonts w:cs="Arial"/>
          <w:lang w:eastAsia="en-NZ"/>
        </w:rPr>
        <w:t>r. This project is now complete, and resulted in the revised NS15 document.</w:t>
      </w:r>
    </w:p>
    <w:p w:rsidR="005F655E" w:rsidRDefault="00912401" w:rsidP="005F655E">
      <w:pPr>
        <w:shd w:val="clear" w:color="auto" w:fill="FFFFFF"/>
        <w:autoSpaceDE w:val="0"/>
        <w:autoSpaceDN w:val="0"/>
        <w:adjustRightInd w:val="0"/>
        <w:jc w:val="both"/>
        <w:rPr>
          <w:rFonts w:cs="Arial"/>
          <w:lang w:eastAsia="en-NZ"/>
        </w:rPr>
      </w:pPr>
      <w:r>
        <w:rPr>
          <w:rFonts w:cs="Arial"/>
          <w:lang w:eastAsia="en-NZ"/>
        </w:rPr>
        <w:t>The Department is now</w:t>
      </w:r>
      <w:r w:rsidR="005F655E">
        <w:rPr>
          <w:rFonts w:cs="Arial"/>
          <w:lang w:eastAsia="en-NZ"/>
        </w:rPr>
        <w:t xml:space="preserve"> consulting on some amendments to the NZ Appendix, </w:t>
      </w:r>
      <w:r>
        <w:rPr>
          <w:rFonts w:cs="Arial"/>
          <w:lang w:eastAsia="en-NZ"/>
        </w:rPr>
        <w:t xml:space="preserve">described within this document, </w:t>
      </w:r>
      <w:r w:rsidR="005F655E">
        <w:rPr>
          <w:rFonts w:cs="Arial"/>
          <w:lang w:eastAsia="en-NZ"/>
        </w:rPr>
        <w:t>to reflect the revised National Standard</w:t>
      </w:r>
      <w:r w:rsidR="00001BBC">
        <w:rPr>
          <w:rFonts w:cs="Arial"/>
          <w:lang w:eastAsia="en-NZ"/>
        </w:rPr>
        <w:t xml:space="preserve"> (NS</w:t>
      </w:r>
      <w:r w:rsidR="00C0707B">
        <w:rPr>
          <w:rFonts w:cs="Arial"/>
          <w:lang w:eastAsia="en-NZ"/>
        </w:rPr>
        <w:t>15)</w:t>
      </w:r>
      <w:r w:rsidR="005F655E">
        <w:rPr>
          <w:rFonts w:cs="Arial"/>
          <w:lang w:eastAsia="en-NZ"/>
        </w:rPr>
        <w:t>.</w:t>
      </w:r>
    </w:p>
    <w:p w:rsidR="004E0F69" w:rsidRDefault="005F655E" w:rsidP="005F655E">
      <w:pPr>
        <w:pStyle w:val="Heading2"/>
        <w:spacing w:after="240"/>
        <w:ind w:left="567" w:hanging="567"/>
      </w:pPr>
      <w:bookmarkStart w:id="6" w:name="_Toc450654183"/>
      <w:r>
        <w:t>2.</w:t>
      </w:r>
      <w:r w:rsidR="004E0F69">
        <w:tab/>
        <w:t>Scope</w:t>
      </w:r>
      <w:bookmarkEnd w:id="6"/>
    </w:p>
    <w:p w:rsidR="004E0F69" w:rsidRDefault="004E0F69" w:rsidP="00DB4CA7">
      <w:pPr>
        <w:jc w:val="both"/>
      </w:pPr>
      <w:r w:rsidRPr="005E1508">
        <w:t>This document</w:t>
      </w:r>
      <w:r w:rsidR="003A6B98">
        <w:t xml:space="preserve"> seeks your </w:t>
      </w:r>
      <w:r w:rsidR="00427802">
        <w:t>comment</w:t>
      </w:r>
      <w:r w:rsidR="00001BBC">
        <w:t>s</w:t>
      </w:r>
      <w:r w:rsidR="003A6B98">
        <w:t xml:space="preserve"> on proposed</w:t>
      </w:r>
      <w:r w:rsidRPr="005E1508">
        <w:t xml:space="preserve"> </w:t>
      </w:r>
      <w:r w:rsidR="00427802">
        <w:t xml:space="preserve">amendments to the NZ Appendices to the Australian/NZ </w:t>
      </w:r>
      <w:r w:rsidR="00001BBC">
        <w:t>G</w:t>
      </w:r>
      <w:r w:rsidR="00427802">
        <w:t xml:space="preserve">aming </w:t>
      </w:r>
      <w:r w:rsidR="00001BBC">
        <w:t>M</w:t>
      </w:r>
      <w:r w:rsidR="00427802">
        <w:t xml:space="preserve">achine </w:t>
      </w:r>
      <w:r w:rsidR="00001BBC">
        <w:t>N</w:t>
      </w:r>
      <w:r w:rsidR="00427802">
        <w:t xml:space="preserve">ational </w:t>
      </w:r>
      <w:r w:rsidR="00001BBC">
        <w:t>S</w:t>
      </w:r>
      <w:r w:rsidR="00427802">
        <w:t>tandard</w:t>
      </w:r>
      <w:r w:rsidR="00001BBC">
        <w:t>,</w:t>
      </w:r>
      <w:r w:rsidR="00070071">
        <w:t xml:space="preserve"> and the requirements for linked jackpot systems</w:t>
      </w:r>
      <w:r w:rsidR="00427802">
        <w:t>.</w:t>
      </w:r>
    </w:p>
    <w:p w:rsidR="004E0F69" w:rsidRPr="005E1508" w:rsidRDefault="004E0F69" w:rsidP="00DB4CA7">
      <w:pPr>
        <w:spacing w:after="120"/>
        <w:jc w:val="both"/>
      </w:pPr>
      <w:r w:rsidRPr="005E1508">
        <w:t xml:space="preserve">The proposal involves </w:t>
      </w:r>
      <w:r w:rsidR="00427802">
        <w:t>three</w:t>
      </w:r>
      <w:r w:rsidRPr="005E1508">
        <w:t xml:space="preserve"> main areas of potential change:</w:t>
      </w:r>
    </w:p>
    <w:p w:rsidR="004E0F69" w:rsidRPr="005E1508" w:rsidRDefault="004E0F69" w:rsidP="008B11FC">
      <w:pPr>
        <w:pStyle w:val="ListParagraph"/>
        <w:numPr>
          <w:ilvl w:val="0"/>
          <w:numId w:val="31"/>
        </w:numPr>
        <w:tabs>
          <w:tab w:val="left" w:pos="142"/>
        </w:tabs>
        <w:ind w:left="426" w:hanging="426"/>
        <w:jc w:val="both"/>
      </w:pPr>
      <w:r w:rsidRPr="005E1508">
        <w:t>Clarifying the Secretary’s discretion</w:t>
      </w:r>
      <w:r>
        <w:t xml:space="preserve"> to approve</w:t>
      </w:r>
      <w:r w:rsidR="00B676D2">
        <w:t xml:space="preserve"> and/or </w:t>
      </w:r>
      <w:r>
        <w:t xml:space="preserve">decline applications </w:t>
      </w:r>
      <w:r w:rsidR="00B676D2">
        <w:t xml:space="preserve">from equipment manufacturers </w:t>
      </w:r>
      <w:r>
        <w:t>for new games, features, and/or equipment.</w:t>
      </w:r>
    </w:p>
    <w:p w:rsidR="008A3390" w:rsidRPr="005E1508" w:rsidRDefault="008A3390" w:rsidP="008B11FC">
      <w:pPr>
        <w:pStyle w:val="ListParagraph"/>
        <w:numPr>
          <w:ilvl w:val="0"/>
          <w:numId w:val="31"/>
        </w:numPr>
        <w:tabs>
          <w:tab w:val="left" w:pos="426"/>
        </w:tabs>
        <w:spacing w:before="0" w:after="120"/>
        <w:ind w:left="426" w:hanging="426"/>
        <w:jc w:val="both"/>
      </w:pPr>
      <w:r>
        <w:t>Removing outdated or redundant requirements; minor wording changes for purposes of clarity.</w:t>
      </w:r>
    </w:p>
    <w:p w:rsidR="005F655E" w:rsidRDefault="00B676D2" w:rsidP="008B11FC">
      <w:pPr>
        <w:pStyle w:val="ListParagraph"/>
        <w:numPr>
          <w:ilvl w:val="0"/>
          <w:numId w:val="31"/>
        </w:numPr>
        <w:spacing w:before="0" w:after="120"/>
        <w:ind w:left="426" w:hanging="426"/>
        <w:jc w:val="both"/>
      </w:pPr>
      <w:r>
        <w:t xml:space="preserve">Consultation on </w:t>
      </w:r>
      <w:r w:rsidR="00D40C49">
        <w:t xml:space="preserve">a </w:t>
      </w:r>
      <w:r>
        <w:t>s</w:t>
      </w:r>
      <w:r w:rsidR="00D40C49">
        <w:t xml:space="preserve">takeholder application for </w:t>
      </w:r>
      <w:r w:rsidR="00843A43">
        <w:t xml:space="preserve">a </w:t>
      </w:r>
      <w:r w:rsidR="00D40C49">
        <w:t>USB cell phone charger on gaming machines.</w:t>
      </w:r>
    </w:p>
    <w:p w:rsidR="004E0F69" w:rsidRPr="008B11FC" w:rsidRDefault="005F655E" w:rsidP="005F655E">
      <w:pPr>
        <w:keepLines w:val="0"/>
      </w:pPr>
      <w:r>
        <w:br w:type="page"/>
      </w:r>
    </w:p>
    <w:p w:rsidR="004E0F69" w:rsidRDefault="005F655E" w:rsidP="004E0F69">
      <w:pPr>
        <w:pStyle w:val="Heading2"/>
        <w:spacing w:after="240"/>
      </w:pPr>
      <w:bookmarkStart w:id="7" w:name="_Toc450654184"/>
      <w:r>
        <w:lastRenderedPageBreak/>
        <w:t>3</w:t>
      </w:r>
      <w:r w:rsidR="004E0F69">
        <w:t>.</w:t>
      </w:r>
      <w:r w:rsidR="004E0F69">
        <w:tab/>
      </w:r>
      <w:r w:rsidR="002C613E">
        <w:t>Relevant</w:t>
      </w:r>
      <w:r w:rsidR="004E0F69">
        <w:t xml:space="preserve"> legislation</w:t>
      </w:r>
      <w:bookmarkEnd w:id="7"/>
    </w:p>
    <w:p w:rsidR="008B11FC" w:rsidRPr="00CE2CB8" w:rsidRDefault="008B11FC" w:rsidP="008B11FC">
      <w:pPr>
        <w:pStyle w:val="BodyText"/>
        <w:spacing w:after="120"/>
        <w:jc w:val="both"/>
      </w:pPr>
      <w:r w:rsidRPr="00CE2CB8">
        <w:t>Gambling in New Zealand is regulated by the Gambling Act 2003 (the Act). This includes the regulation of both cas</w:t>
      </w:r>
      <w:r>
        <w:t>ino gambling and C</w:t>
      </w:r>
      <w:r w:rsidRPr="00CE2CB8">
        <w:t xml:space="preserve">lass 4 gambling. The Act’s relevant objectives include to: </w:t>
      </w:r>
    </w:p>
    <w:p w:rsidR="008B11FC" w:rsidRPr="00CE2CB8" w:rsidRDefault="008B11FC" w:rsidP="008B11FC">
      <w:pPr>
        <w:pStyle w:val="BodyText"/>
        <w:keepLines w:val="0"/>
        <w:numPr>
          <w:ilvl w:val="0"/>
          <w:numId w:val="28"/>
        </w:numPr>
        <w:spacing w:after="120"/>
        <w:jc w:val="both"/>
      </w:pPr>
      <w:r w:rsidRPr="00CE2CB8">
        <w:t xml:space="preserve">Prevent and minimise harm from gambling, including problem gambling; and </w:t>
      </w:r>
    </w:p>
    <w:p w:rsidR="008B11FC" w:rsidRPr="00CE2CB8" w:rsidRDefault="008B11FC" w:rsidP="008B11FC">
      <w:pPr>
        <w:pStyle w:val="BodyText"/>
        <w:keepLines w:val="0"/>
        <w:numPr>
          <w:ilvl w:val="0"/>
          <w:numId w:val="28"/>
        </w:numPr>
        <w:spacing w:after="120"/>
        <w:jc w:val="both"/>
      </w:pPr>
      <w:r w:rsidRPr="00CE2CB8">
        <w:t>facilitate responsible gambling; and</w:t>
      </w:r>
    </w:p>
    <w:p w:rsidR="008B11FC" w:rsidRPr="00CE2CB8" w:rsidRDefault="008B11FC" w:rsidP="008B11FC">
      <w:pPr>
        <w:pStyle w:val="BodyText"/>
        <w:keepLines w:val="0"/>
        <w:numPr>
          <w:ilvl w:val="0"/>
          <w:numId w:val="28"/>
        </w:numPr>
        <w:spacing w:after="120"/>
        <w:jc w:val="both"/>
      </w:pPr>
      <w:r w:rsidRPr="00CE2CB8">
        <w:rPr>
          <w:rFonts w:cs="Arial"/>
        </w:rPr>
        <w:t>authorise some gambling and prohibit the rest; and</w:t>
      </w:r>
    </w:p>
    <w:p w:rsidR="008B11FC" w:rsidRPr="00CE2CB8" w:rsidRDefault="008B11FC" w:rsidP="008B11FC">
      <w:pPr>
        <w:pStyle w:val="BodyText"/>
        <w:keepLines w:val="0"/>
        <w:numPr>
          <w:ilvl w:val="0"/>
          <w:numId w:val="28"/>
        </w:numPr>
        <w:spacing w:after="120"/>
        <w:jc w:val="both"/>
      </w:pPr>
      <w:r w:rsidRPr="00CE2CB8">
        <w:rPr>
          <w:rFonts w:cs="Arial"/>
        </w:rPr>
        <w:t>limit opportunities for crime and dishonesty associated with gambling and the conduct of gambling; and</w:t>
      </w:r>
    </w:p>
    <w:p w:rsidR="008B11FC" w:rsidRPr="0075678D" w:rsidRDefault="008B11FC" w:rsidP="008B11FC">
      <w:pPr>
        <w:pStyle w:val="BodyText"/>
        <w:keepLines w:val="0"/>
        <w:numPr>
          <w:ilvl w:val="0"/>
          <w:numId w:val="28"/>
        </w:numPr>
        <w:spacing w:after="360"/>
        <w:jc w:val="both"/>
      </w:pPr>
      <w:r w:rsidRPr="00CE2CB8">
        <w:rPr>
          <w:rFonts w:cs="Arial"/>
        </w:rPr>
        <w:t>ensure the integrity and fairness of games.</w:t>
      </w:r>
    </w:p>
    <w:p w:rsidR="008B11FC" w:rsidRPr="00CE2CB8" w:rsidRDefault="008B11FC" w:rsidP="008B11FC">
      <w:pPr>
        <w:pStyle w:val="BodyText"/>
        <w:spacing w:after="240"/>
        <w:jc w:val="both"/>
        <w:rPr>
          <w:rFonts w:cs="TimesNewRomanPSMT-Identity-H"/>
          <w:lang w:eastAsia="en-NZ"/>
        </w:rPr>
      </w:pPr>
      <w:r w:rsidRPr="00CE2CB8">
        <w:rPr>
          <w:b/>
        </w:rPr>
        <w:t>Section 326(1)</w:t>
      </w:r>
      <w:r w:rsidRPr="00CE2CB8">
        <w:t xml:space="preserve"> of the Act states that </w:t>
      </w:r>
      <w:r w:rsidRPr="00CE2CB8">
        <w:rPr>
          <w:rFonts w:cs="TimesNewRomanPSMT-Identity-H"/>
          <w:lang w:eastAsia="en-NZ"/>
        </w:rPr>
        <w:t xml:space="preserve">the Secretary may, by notice in the </w:t>
      </w:r>
      <w:r w:rsidRPr="00CE2CB8">
        <w:rPr>
          <w:rFonts w:cs="TimesNewRomanPS-ItalicMT-Identi"/>
          <w:i/>
          <w:iCs/>
          <w:lang w:eastAsia="en-NZ"/>
        </w:rPr>
        <w:t>Gazette</w:t>
      </w:r>
      <w:r w:rsidRPr="00CE2CB8">
        <w:rPr>
          <w:rFonts w:cs="TimesNewRomanPSMT-Identity-H"/>
          <w:lang w:eastAsia="en-NZ"/>
        </w:rPr>
        <w:t>, declare that any particular gambling equipment or class of gambling equipment must be approved by the Secretary as complying with minimum standards relevant to the equipment before it may be used under a licence granted under this Act.</w:t>
      </w:r>
    </w:p>
    <w:p w:rsidR="008B11FC" w:rsidRPr="00CE2CB8" w:rsidRDefault="008B11FC" w:rsidP="008B11FC">
      <w:pPr>
        <w:pStyle w:val="BodyText"/>
        <w:spacing w:line="280" w:lineRule="atLeast"/>
        <w:jc w:val="both"/>
      </w:pPr>
      <w:r w:rsidRPr="00CE2CB8">
        <w:rPr>
          <w:b/>
        </w:rPr>
        <w:t>Section 327</w:t>
      </w:r>
      <w:r w:rsidRPr="00CE2CB8">
        <w:t xml:space="preserve"> gives the Secretary the power to prescribe minimum standards for design, manufacture, and performance of gambling equipment, by notification in the </w:t>
      </w:r>
      <w:r w:rsidRPr="00CE2CB8">
        <w:rPr>
          <w:i/>
        </w:rPr>
        <w:t>Gazette.</w:t>
      </w:r>
      <w:r w:rsidRPr="00CE2CB8">
        <w:t xml:space="preserve"> The Secretary is permitted to amend or revoke minimum standards at any time, provided that any changes are notified in the </w:t>
      </w:r>
      <w:r w:rsidRPr="00CE2CB8">
        <w:rPr>
          <w:i/>
        </w:rPr>
        <w:t>Gazette.</w:t>
      </w:r>
      <w:r w:rsidRPr="00CE2CB8">
        <w:t xml:space="preserve"> </w:t>
      </w:r>
    </w:p>
    <w:p w:rsidR="008B11FC" w:rsidRPr="00CE2CB8" w:rsidRDefault="008B11FC" w:rsidP="008B11FC">
      <w:pPr>
        <w:autoSpaceDE w:val="0"/>
        <w:autoSpaceDN w:val="0"/>
        <w:adjustRightInd w:val="0"/>
        <w:spacing w:after="0"/>
        <w:jc w:val="both"/>
        <w:rPr>
          <w:rFonts w:cs="TimesNewRomanPSMT"/>
          <w:lang w:eastAsia="en-NZ"/>
        </w:rPr>
      </w:pPr>
      <w:r>
        <w:rPr>
          <w:rFonts w:cs="TimesNewRomanPSMT"/>
          <w:b/>
          <w:lang w:eastAsia="en-NZ"/>
        </w:rPr>
        <w:t>Section 328(2) s</w:t>
      </w:r>
      <w:r>
        <w:rPr>
          <w:rFonts w:cs="TimesNewRomanPSMT"/>
          <w:lang w:eastAsia="en-NZ"/>
        </w:rPr>
        <w:t>tates that if no minimum standard exists in respect of a particular item of gambling equipment, a person may apply to the Secretary for a minimum standard to be prescribed</w:t>
      </w:r>
    </w:p>
    <w:p w:rsidR="008B11FC" w:rsidRPr="0075678D" w:rsidRDefault="008B11FC" w:rsidP="008B11FC">
      <w:pPr>
        <w:autoSpaceDE w:val="0"/>
        <w:autoSpaceDN w:val="0"/>
        <w:adjustRightInd w:val="0"/>
        <w:spacing w:after="0"/>
        <w:jc w:val="both"/>
        <w:rPr>
          <w:rFonts w:cs="TimesNewRomanPSMT"/>
          <w:lang w:eastAsia="en-NZ"/>
        </w:rPr>
      </w:pPr>
      <w:r w:rsidRPr="00CE2CB8">
        <w:rPr>
          <w:b/>
          <w:sz w:val="23"/>
          <w:szCs w:val="23"/>
        </w:rPr>
        <w:t xml:space="preserve">Section </w:t>
      </w:r>
      <w:r w:rsidRPr="0075678D">
        <w:rPr>
          <w:b/>
        </w:rPr>
        <w:t>372</w:t>
      </w:r>
      <w:r w:rsidRPr="0075678D">
        <w:t xml:space="preserve"> of the Gambling Act 2003 requires that, before standards are made, persons and organisations that are likely to be substantially affected by the regulations must be consulted and given a reasonable opportunity to respond. Submissions will be given adequate and appropriate consideration</w:t>
      </w:r>
    </w:p>
    <w:p w:rsidR="00E43A9B" w:rsidRPr="00D855AE" w:rsidRDefault="00912401" w:rsidP="0034735A">
      <w:pPr>
        <w:pStyle w:val="Heading2"/>
        <w:spacing w:after="240"/>
      </w:pPr>
      <w:bookmarkStart w:id="8" w:name="_Toc450654185"/>
      <w:r>
        <w:t>4</w:t>
      </w:r>
      <w:r w:rsidR="00E43A9B" w:rsidRPr="00D855AE">
        <w:t xml:space="preserve">. </w:t>
      </w:r>
      <w:r w:rsidR="00E43A9B" w:rsidRPr="00D855AE">
        <w:tab/>
        <w:t>Effect on manufacture</w:t>
      </w:r>
      <w:r w:rsidR="00B676D2" w:rsidRPr="00D855AE">
        <w:t xml:space="preserve"> of new equipment</w:t>
      </w:r>
      <w:bookmarkEnd w:id="8"/>
    </w:p>
    <w:p w:rsidR="00FF0DF3" w:rsidRPr="00D855AE" w:rsidRDefault="00C0707B" w:rsidP="0034735A">
      <w:pPr>
        <w:jc w:val="both"/>
      </w:pPr>
      <w:r>
        <w:t>A</w:t>
      </w:r>
      <w:r w:rsidR="00FF0DF3" w:rsidRPr="009C4A16">
        <w:t xml:space="preserve">ll </w:t>
      </w:r>
      <w:r w:rsidR="00FF0DF3" w:rsidRPr="009C4A16">
        <w:rPr>
          <w:i/>
        </w:rPr>
        <w:t>previously</w:t>
      </w:r>
      <w:r w:rsidR="00FF0DF3" w:rsidRPr="009C4A16">
        <w:t xml:space="preserve"> approved equipment and games will remain unaffected by any changes to the standard. Any new and/or amended standards will </w:t>
      </w:r>
      <w:r w:rsidR="00811268">
        <w:t>be</w:t>
      </w:r>
      <w:r w:rsidR="00FF0DF3" w:rsidRPr="009C4A16">
        <w:t xml:space="preserve">come </w:t>
      </w:r>
      <w:r>
        <w:t>compulsory</w:t>
      </w:r>
      <w:r w:rsidR="00912401">
        <w:t xml:space="preserve"> </w:t>
      </w:r>
      <w:r w:rsidR="00811268" w:rsidRPr="009C4A16">
        <w:t>six</w:t>
      </w:r>
      <w:r w:rsidR="00FF0DF3" w:rsidRPr="009C4A16">
        <w:t xml:space="preserve"> months after they are prescribed</w:t>
      </w:r>
      <w:r w:rsidR="00DB4CA7">
        <w:t xml:space="preserve">. </w:t>
      </w:r>
      <w:r w:rsidR="00FF0DF3" w:rsidRPr="009C4A16">
        <w:t xml:space="preserve">This position is set out in the </w:t>
      </w:r>
      <w:r w:rsidR="00E925EA">
        <w:t xml:space="preserve">upcoming revision of the </w:t>
      </w:r>
      <w:r w:rsidR="00DB4CA7">
        <w:t xml:space="preserve">National Standard, </w:t>
      </w:r>
      <w:r w:rsidR="00FF0DF3" w:rsidRPr="009C4A16">
        <w:t>which states:</w:t>
      </w:r>
      <w:r w:rsidR="00FF0DF3">
        <w:t xml:space="preserve"> </w:t>
      </w:r>
    </w:p>
    <w:p w:rsidR="0034735A" w:rsidRPr="0034735A" w:rsidRDefault="0034735A" w:rsidP="00F25CDE">
      <w:pPr>
        <w:keepLines w:val="0"/>
        <w:autoSpaceDE w:val="0"/>
        <w:autoSpaceDN w:val="0"/>
        <w:adjustRightInd w:val="0"/>
        <w:spacing w:before="0" w:after="120"/>
        <w:ind w:left="567" w:right="424"/>
        <w:jc w:val="both"/>
        <w:rPr>
          <w:rFonts w:asciiTheme="minorHAnsi" w:eastAsia="Times New Roman" w:hAnsiTheme="minorHAnsi" w:cs="Verdana"/>
          <w:i/>
          <w:sz w:val="20"/>
          <w:szCs w:val="20"/>
          <w:lang w:eastAsia="en-NZ"/>
        </w:rPr>
      </w:pPr>
      <w:r w:rsidRPr="00D855AE">
        <w:rPr>
          <w:rFonts w:asciiTheme="minorHAnsi" w:eastAsia="Times New Roman" w:hAnsiTheme="minorHAnsi" w:cs="Verdana,Bold"/>
          <w:b/>
          <w:bCs/>
          <w:i/>
          <w:sz w:val="20"/>
          <w:szCs w:val="20"/>
          <w:lang w:eastAsia="en-NZ"/>
        </w:rPr>
        <w:t xml:space="preserve">“1.12 </w:t>
      </w:r>
      <w:r w:rsidRPr="00D855AE">
        <w:rPr>
          <w:rFonts w:asciiTheme="minorHAnsi" w:eastAsia="Times New Roman" w:hAnsiTheme="minorHAnsi" w:cs="Verdana"/>
          <w:i/>
          <w:sz w:val="20"/>
          <w:szCs w:val="20"/>
          <w:lang w:eastAsia="en-NZ"/>
        </w:rPr>
        <w:t>Any changes</w:t>
      </w:r>
      <w:r w:rsidRPr="0034735A">
        <w:rPr>
          <w:rFonts w:asciiTheme="minorHAnsi" w:eastAsia="Times New Roman" w:hAnsiTheme="minorHAnsi" w:cs="Verdana"/>
          <w:i/>
          <w:sz w:val="20"/>
          <w:szCs w:val="20"/>
          <w:lang w:eastAsia="en-NZ"/>
        </w:rPr>
        <w:t xml:space="preserve"> to the Standard will be communicated to manufacturers. When new requirements are adopted:</w:t>
      </w:r>
    </w:p>
    <w:p w:rsidR="0034735A" w:rsidRPr="0034735A" w:rsidRDefault="0034735A" w:rsidP="00F25CDE">
      <w:pPr>
        <w:keepLines w:val="0"/>
        <w:autoSpaceDE w:val="0"/>
        <w:autoSpaceDN w:val="0"/>
        <w:adjustRightInd w:val="0"/>
        <w:spacing w:before="0" w:after="120"/>
        <w:ind w:left="1134" w:right="424" w:hanging="567"/>
        <w:jc w:val="both"/>
        <w:rPr>
          <w:rFonts w:asciiTheme="minorHAnsi" w:eastAsia="Times New Roman" w:hAnsiTheme="minorHAnsi" w:cs="Verdana"/>
          <w:i/>
          <w:sz w:val="20"/>
          <w:szCs w:val="20"/>
          <w:lang w:eastAsia="en-NZ"/>
        </w:rPr>
      </w:pPr>
      <w:r w:rsidRPr="0034735A">
        <w:rPr>
          <w:rFonts w:asciiTheme="minorHAnsi" w:eastAsia="Times New Roman" w:hAnsiTheme="minorHAnsi" w:cs="Verdana"/>
          <w:i/>
          <w:sz w:val="20"/>
          <w:szCs w:val="20"/>
          <w:lang w:eastAsia="en-NZ"/>
        </w:rPr>
        <w:t xml:space="preserve">(a) </w:t>
      </w:r>
      <w:r w:rsidR="00F25CDE">
        <w:rPr>
          <w:rFonts w:asciiTheme="minorHAnsi" w:eastAsia="Times New Roman" w:hAnsiTheme="minorHAnsi" w:cs="Verdana"/>
          <w:i/>
          <w:sz w:val="20"/>
          <w:szCs w:val="20"/>
          <w:lang w:eastAsia="en-NZ"/>
        </w:rPr>
        <w:tab/>
      </w:r>
      <w:r w:rsidRPr="0034735A">
        <w:rPr>
          <w:rFonts w:asciiTheme="minorHAnsi" w:eastAsia="Times New Roman" w:hAnsiTheme="minorHAnsi" w:cs="Verdana"/>
          <w:i/>
          <w:sz w:val="20"/>
          <w:szCs w:val="20"/>
          <w:lang w:eastAsia="en-NZ"/>
        </w:rPr>
        <w:t>a grace period of 6 months will be granted before new requirements come into force. However, where practical a manufacturer may adopt the new requirements before they come into effect;</w:t>
      </w:r>
    </w:p>
    <w:p w:rsidR="0034735A" w:rsidRPr="0034735A" w:rsidRDefault="0034735A" w:rsidP="00F25CDE">
      <w:pPr>
        <w:keepLines w:val="0"/>
        <w:autoSpaceDE w:val="0"/>
        <w:autoSpaceDN w:val="0"/>
        <w:adjustRightInd w:val="0"/>
        <w:spacing w:before="0" w:after="120"/>
        <w:ind w:left="1134" w:right="424" w:hanging="567"/>
        <w:jc w:val="both"/>
        <w:rPr>
          <w:rFonts w:asciiTheme="minorHAnsi" w:eastAsia="Times New Roman" w:hAnsiTheme="minorHAnsi" w:cs="Verdana"/>
          <w:i/>
          <w:sz w:val="20"/>
          <w:szCs w:val="20"/>
          <w:lang w:eastAsia="en-NZ"/>
        </w:rPr>
      </w:pPr>
      <w:r w:rsidRPr="0034735A">
        <w:rPr>
          <w:rFonts w:asciiTheme="minorHAnsi" w:eastAsia="Times New Roman" w:hAnsiTheme="minorHAnsi" w:cs="Verdana"/>
          <w:i/>
          <w:sz w:val="20"/>
          <w:szCs w:val="20"/>
          <w:lang w:eastAsia="en-NZ"/>
        </w:rPr>
        <w:t xml:space="preserve">(b) </w:t>
      </w:r>
      <w:r w:rsidR="00F25CDE">
        <w:rPr>
          <w:rFonts w:asciiTheme="minorHAnsi" w:eastAsia="Times New Roman" w:hAnsiTheme="minorHAnsi" w:cs="Verdana"/>
          <w:i/>
          <w:sz w:val="20"/>
          <w:szCs w:val="20"/>
          <w:lang w:eastAsia="en-NZ"/>
        </w:rPr>
        <w:tab/>
      </w:r>
      <w:r w:rsidRPr="0034735A">
        <w:rPr>
          <w:rFonts w:asciiTheme="minorHAnsi" w:eastAsia="Times New Roman" w:hAnsiTheme="minorHAnsi" w:cs="Verdana"/>
          <w:i/>
          <w:sz w:val="20"/>
          <w:szCs w:val="20"/>
          <w:lang w:eastAsia="en-NZ"/>
        </w:rPr>
        <w:t>previously approved equipment remains unaffected and revisions to that equipment will be conducted under the requirements in force when the item was originally tested;</w:t>
      </w:r>
    </w:p>
    <w:p w:rsidR="00F25CDE" w:rsidRDefault="0034735A" w:rsidP="00F25CDE">
      <w:pPr>
        <w:keepLines w:val="0"/>
        <w:autoSpaceDE w:val="0"/>
        <w:autoSpaceDN w:val="0"/>
        <w:adjustRightInd w:val="0"/>
        <w:spacing w:before="0" w:after="120"/>
        <w:ind w:left="1134" w:right="424" w:hanging="567"/>
        <w:jc w:val="both"/>
        <w:rPr>
          <w:rFonts w:asciiTheme="minorHAnsi" w:eastAsia="Times New Roman" w:hAnsiTheme="minorHAnsi" w:cs="Verdana"/>
          <w:i/>
          <w:sz w:val="20"/>
          <w:szCs w:val="20"/>
          <w:lang w:eastAsia="en-NZ"/>
        </w:rPr>
      </w:pPr>
      <w:r w:rsidRPr="0034735A">
        <w:rPr>
          <w:rFonts w:asciiTheme="minorHAnsi" w:eastAsia="Times New Roman" w:hAnsiTheme="minorHAnsi" w:cs="Verdana"/>
          <w:i/>
          <w:sz w:val="20"/>
          <w:szCs w:val="20"/>
          <w:lang w:eastAsia="en-NZ"/>
        </w:rPr>
        <w:t xml:space="preserve">(c) </w:t>
      </w:r>
      <w:r w:rsidR="00F25CDE">
        <w:rPr>
          <w:rFonts w:asciiTheme="minorHAnsi" w:eastAsia="Times New Roman" w:hAnsiTheme="minorHAnsi" w:cs="Verdana"/>
          <w:i/>
          <w:sz w:val="20"/>
          <w:szCs w:val="20"/>
          <w:lang w:eastAsia="en-NZ"/>
        </w:rPr>
        <w:tab/>
      </w:r>
      <w:r w:rsidRPr="0034735A">
        <w:rPr>
          <w:rFonts w:asciiTheme="minorHAnsi" w:eastAsia="Times New Roman" w:hAnsiTheme="minorHAnsi" w:cs="Verdana"/>
          <w:i/>
          <w:sz w:val="20"/>
          <w:szCs w:val="20"/>
          <w:lang w:eastAsia="en-NZ"/>
        </w:rPr>
        <w:t xml:space="preserve">equipment under test at the time the new requirements come into force will be tested against the requirements in force when the item was submitted for </w:t>
      </w:r>
      <w:r w:rsidR="00F25CDE">
        <w:rPr>
          <w:rFonts w:asciiTheme="minorHAnsi" w:eastAsia="Times New Roman" w:hAnsiTheme="minorHAnsi" w:cs="Verdana"/>
          <w:i/>
          <w:sz w:val="20"/>
          <w:szCs w:val="20"/>
          <w:lang w:eastAsia="en-NZ"/>
        </w:rPr>
        <w:t>testing.”</w:t>
      </w:r>
    </w:p>
    <w:p w:rsidR="004E0F69" w:rsidRPr="00912401" w:rsidRDefault="004E0F69" w:rsidP="00912401">
      <w:pPr>
        <w:pStyle w:val="Heading1"/>
        <w:rPr>
          <w:rFonts w:asciiTheme="minorHAnsi" w:eastAsia="Times New Roman" w:hAnsiTheme="minorHAnsi" w:cs="Verdana"/>
          <w:sz w:val="20"/>
          <w:szCs w:val="20"/>
          <w:lang w:eastAsia="en-NZ"/>
        </w:rPr>
      </w:pPr>
      <w:bookmarkStart w:id="9" w:name="_Toc450654186"/>
      <w:r w:rsidRPr="001669DD">
        <w:lastRenderedPageBreak/>
        <w:t>Clarifying the Secretary’s discretion</w:t>
      </w:r>
      <w:bookmarkEnd w:id="9"/>
    </w:p>
    <w:p w:rsidR="004E0F69" w:rsidRPr="001669DD" w:rsidRDefault="004E0F69" w:rsidP="004E0F69">
      <w:pPr>
        <w:pStyle w:val="Heading2"/>
        <w:spacing w:after="240"/>
      </w:pPr>
      <w:bookmarkStart w:id="10" w:name="_Toc450654187"/>
      <w:r w:rsidRPr="001669DD">
        <w:t>1.</w:t>
      </w:r>
      <w:r w:rsidRPr="001669DD">
        <w:tab/>
        <w:t>Purpose</w:t>
      </w:r>
      <w:bookmarkEnd w:id="10"/>
    </w:p>
    <w:p w:rsidR="004E0F69" w:rsidRPr="001669DD" w:rsidRDefault="004E0F69" w:rsidP="004E0F69">
      <w:pPr>
        <w:jc w:val="both"/>
      </w:pPr>
      <w:r w:rsidRPr="001669DD">
        <w:t xml:space="preserve">Gambling stakeholders have previously expressed some uncertainty about the Secretary’s discretion to decline applications for new games or equipment that are not specifically prohibited in the </w:t>
      </w:r>
      <w:r w:rsidR="00843A43">
        <w:t>S</w:t>
      </w:r>
      <w:r w:rsidRPr="001669DD">
        <w:t xml:space="preserve">tandard. The current proposal is to clarify the Department’s current position, that the Secretary </w:t>
      </w:r>
      <w:r w:rsidRPr="001669DD">
        <w:rPr>
          <w:b/>
        </w:rPr>
        <w:t xml:space="preserve">does have </w:t>
      </w:r>
      <w:r w:rsidRPr="001669DD">
        <w:t xml:space="preserve">the discretion to decline any application that is inconsistent </w:t>
      </w:r>
      <w:r w:rsidR="00C7650A">
        <w:t xml:space="preserve">with </w:t>
      </w:r>
      <w:r w:rsidR="00E96683">
        <w:t xml:space="preserve">the </w:t>
      </w:r>
      <w:r w:rsidR="00E96683" w:rsidRPr="00E96683">
        <w:t>Gambling Act’s purpose and provisions to minimise harm</w:t>
      </w:r>
      <w:r w:rsidRPr="00E96683">
        <w:t>,</w:t>
      </w:r>
      <w:r w:rsidRPr="001669DD">
        <w:t xml:space="preserve"> and also has the discretion to decline, if appropriate, any appli</w:t>
      </w:r>
      <w:r w:rsidR="00A26923" w:rsidRPr="001669DD">
        <w:t>cation for equipment where the</w:t>
      </w:r>
      <w:r w:rsidRPr="001669DD">
        <w:t xml:space="preserve"> current </w:t>
      </w:r>
      <w:r w:rsidR="001D25F0">
        <w:t>requirements</w:t>
      </w:r>
      <w:r w:rsidRPr="001669DD">
        <w:t xml:space="preserve"> are absent or insufficient.</w:t>
      </w:r>
    </w:p>
    <w:p w:rsidR="004E0F69" w:rsidRPr="001669DD" w:rsidRDefault="004E0F69" w:rsidP="004E0F69">
      <w:pPr>
        <w:jc w:val="both"/>
      </w:pPr>
      <w:r w:rsidRPr="001669DD">
        <w:t xml:space="preserve">It is particularly important that </w:t>
      </w:r>
      <w:r w:rsidR="00E6289F" w:rsidRPr="001669DD">
        <w:t>gambling equipment manufacturers understand this discretion</w:t>
      </w:r>
      <w:r w:rsidRPr="001669DD">
        <w:t>, given the inherent unpredictability of new technical developments that will be applied for in the future.</w:t>
      </w:r>
    </w:p>
    <w:p w:rsidR="004E0F69" w:rsidRPr="001669DD" w:rsidRDefault="004E0F69" w:rsidP="004E0F69">
      <w:pPr>
        <w:pStyle w:val="Heading2"/>
        <w:spacing w:after="240"/>
      </w:pPr>
      <w:bookmarkStart w:id="11" w:name="_Toc450654188"/>
      <w:r w:rsidRPr="001669DD">
        <w:t>2.</w:t>
      </w:r>
      <w:r w:rsidRPr="001669DD">
        <w:tab/>
        <w:t>The propos</w:t>
      </w:r>
      <w:r w:rsidR="005B327C">
        <w:t>al to clarify the Secretary’s discretion</w:t>
      </w:r>
      <w:bookmarkEnd w:id="11"/>
    </w:p>
    <w:p w:rsidR="0052268D" w:rsidRDefault="0052268D" w:rsidP="004E0F69">
      <w:pPr>
        <w:spacing w:after="120"/>
      </w:pPr>
      <w:r>
        <w:t xml:space="preserve">The requirements </w:t>
      </w:r>
      <w:r w:rsidR="008B11FC">
        <w:t xml:space="preserve">set out below are proposed for the </w:t>
      </w:r>
      <w:r w:rsidR="00811268">
        <w:t>c</w:t>
      </w:r>
      <w:r w:rsidR="008B11FC">
        <w:t>asino and Class 4 Appendi</w:t>
      </w:r>
      <w:r w:rsidR="00C7650A">
        <w:t>c</w:t>
      </w:r>
      <w:r w:rsidR="008B11FC">
        <w:t>es</w:t>
      </w:r>
      <w:r w:rsidR="00811268">
        <w:t>,</w:t>
      </w:r>
      <w:r w:rsidR="008B11FC">
        <w:t xml:space="preserve"> and minimum technical requirements for jackpot systems</w:t>
      </w:r>
      <w:r w:rsidR="00811268">
        <w:t xml:space="preserve"> for both Class 4 and casino gaming machines</w:t>
      </w:r>
      <w:r w:rsidR="008B11FC">
        <w:t>.</w:t>
      </w:r>
    </w:p>
    <w:p w:rsidR="0052268D" w:rsidRPr="00343F97" w:rsidRDefault="0052268D" w:rsidP="00724C09">
      <w:pPr>
        <w:spacing w:before="240" w:after="60"/>
        <w:ind w:right="424" w:firstLine="567"/>
        <w:jc w:val="both"/>
        <w:rPr>
          <w:b/>
          <w:i/>
          <w:sz w:val="20"/>
          <w:szCs w:val="20"/>
        </w:rPr>
      </w:pPr>
      <w:bookmarkStart w:id="12" w:name="_Toc440457362"/>
      <w:r w:rsidRPr="00343F97">
        <w:rPr>
          <w:b/>
          <w:i/>
          <w:sz w:val="20"/>
          <w:szCs w:val="20"/>
        </w:rPr>
        <w:t>“DIA-1.6</w:t>
      </w:r>
      <w:r w:rsidRPr="00343F97">
        <w:rPr>
          <w:b/>
          <w:i/>
          <w:sz w:val="20"/>
          <w:szCs w:val="20"/>
        </w:rPr>
        <w:tab/>
        <w:t>Testing</w:t>
      </w:r>
      <w:bookmarkEnd w:id="12"/>
    </w:p>
    <w:p w:rsidR="0052268D" w:rsidRPr="00343F97" w:rsidRDefault="0052268D" w:rsidP="00A2527A">
      <w:pPr>
        <w:pStyle w:val="reftext"/>
        <w:spacing w:before="0" w:after="120"/>
        <w:ind w:left="567" w:right="424"/>
        <w:jc w:val="both"/>
        <w:rPr>
          <w:sz w:val="16"/>
          <w:szCs w:val="16"/>
        </w:rPr>
      </w:pPr>
      <w:r w:rsidRPr="00343F97">
        <w:rPr>
          <w:sz w:val="16"/>
          <w:szCs w:val="16"/>
        </w:rPr>
        <w:t xml:space="preserve">Refer NS 1.17 to NS 1.19 </w:t>
      </w:r>
    </w:p>
    <w:p w:rsidR="0052268D" w:rsidRPr="00343F97" w:rsidRDefault="0052268D" w:rsidP="00A2527A">
      <w:pPr>
        <w:pStyle w:val="ListParagraph"/>
        <w:numPr>
          <w:ilvl w:val="0"/>
          <w:numId w:val="58"/>
        </w:numPr>
        <w:spacing w:before="0" w:after="120"/>
        <w:ind w:left="1134" w:right="424" w:hanging="567"/>
        <w:jc w:val="both"/>
        <w:rPr>
          <w:i/>
          <w:sz w:val="20"/>
          <w:szCs w:val="20"/>
        </w:rPr>
      </w:pPr>
      <w:r w:rsidRPr="00343F97">
        <w:rPr>
          <w:i/>
          <w:sz w:val="20"/>
          <w:szCs w:val="20"/>
        </w:rPr>
        <w:t xml:space="preserve">Where, in the opinion of the gaming machine tester, there is non-compliance with the requirements of the Minimum Standard, the gaming machine tester must seek direction from the Secretary.  </w:t>
      </w:r>
    </w:p>
    <w:p w:rsidR="0052268D" w:rsidRDefault="0052268D" w:rsidP="00A2527A">
      <w:pPr>
        <w:pStyle w:val="ListParagraph"/>
        <w:numPr>
          <w:ilvl w:val="0"/>
          <w:numId w:val="58"/>
        </w:numPr>
        <w:spacing w:before="0" w:after="120"/>
        <w:ind w:left="1134" w:right="424" w:hanging="567"/>
        <w:jc w:val="both"/>
        <w:rPr>
          <w:i/>
          <w:sz w:val="20"/>
          <w:szCs w:val="20"/>
        </w:rPr>
      </w:pPr>
      <w:r w:rsidRPr="00343F97">
        <w:rPr>
          <w:i/>
          <w:sz w:val="20"/>
          <w:szCs w:val="20"/>
        </w:rPr>
        <w:t>Non-compliance with the Minimum Standard must be reported to the Secretary.</w:t>
      </w:r>
    </w:p>
    <w:p w:rsidR="00343F97" w:rsidRPr="00343F97" w:rsidRDefault="00343F97" w:rsidP="00343F97">
      <w:pPr>
        <w:pStyle w:val="ListParagraph"/>
        <w:spacing w:before="0" w:after="120"/>
        <w:ind w:left="1134" w:right="424"/>
        <w:jc w:val="both"/>
        <w:rPr>
          <w:i/>
          <w:sz w:val="20"/>
          <w:szCs w:val="20"/>
        </w:rPr>
      </w:pPr>
    </w:p>
    <w:p w:rsidR="0052268D" w:rsidRPr="00343F97" w:rsidRDefault="0052268D" w:rsidP="00724C09">
      <w:pPr>
        <w:spacing w:after="60"/>
        <w:ind w:right="424" w:firstLine="567"/>
        <w:jc w:val="both"/>
        <w:rPr>
          <w:b/>
          <w:i/>
          <w:sz w:val="20"/>
          <w:szCs w:val="20"/>
        </w:rPr>
      </w:pPr>
      <w:bookmarkStart w:id="13" w:name="_Toc440457363"/>
      <w:r w:rsidRPr="00343F97">
        <w:rPr>
          <w:b/>
          <w:i/>
          <w:sz w:val="20"/>
          <w:szCs w:val="20"/>
        </w:rPr>
        <w:t>DIA-1.7</w:t>
      </w:r>
      <w:r w:rsidRPr="00343F97">
        <w:rPr>
          <w:b/>
          <w:i/>
          <w:sz w:val="20"/>
          <w:szCs w:val="20"/>
        </w:rPr>
        <w:tab/>
        <w:t>Applications for new and innovative technology</w:t>
      </w:r>
      <w:bookmarkEnd w:id="13"/>
    </w:p>
    <w:p w:rsidR="0052268D" w:rsidRPr="00343F97" w:rsidRDefault="0052268D" w:rsidP="00343F97">
      <w:pPr>
        <w:pStyle w:val="reftext"/>
        <w:spacing w:before="0" w:after="120"/>
        <w:ind w:left="567" w:right="424"/>
        <w:jc w:val="both"/>
        <w:rPr>
          <w:sz w:val="16"/>
          <w:szCs w:val="16"/>
        </w:rPr>
      </w:pPr>
      <w:r w:rsidRPr="00343F97">
        <w:rPr>
          <w:sz w:val="16"/>
          <w:szCs w:val="16"/>
        </w:rPr>
        <w:t xml:space="preserve">Refer NS 1.18 and see also NS 3.2 </w:t>
      </w:r>
    </w:p>
    <w:p w:rsidR="0052268D" w:rsidRPr="00343F97" w:rsidRDefault="0052268D" w:rsidP="00343F97">
      <w:pPr>
        <w:pStyle w:val="ListParagraph"/>
        <w:numPr>
          <w:ilvl w:val="0"/>
          <w:numId w:val="57"/>
        </w:numPr>
        <w:spacing w:before="0" w:after="120"/>
        <w:ind w:left="1134" w:right="424" w:hanging="567"/>
        <w:jc w:val="both"/>
        <w:rPr>
          <w:i/>
          <w:sz w:val="20"/>
          <w:szCs w:val="20"/>
        </w:rPr>
      </w:pPr>
      <w:r w:rsidRPr="00343F97">
        <w:rPr>
          <w:i/>
          <w:sz w:val="20"/>
          <w:szCs w:val="20"/>
        </w:rPr>
        <w:t>Any matters of design, manufacture, and performance of class 4 gambling equipment that are not specifically addressed in the Minimum Standard will be considered by the Secretary as part of the approval process. For the avoidance of doubt, this applies to (but is not limited to) situations involving new technology or features, or in situations where innovative use is being made of existing features, or where the existing Minimum Standard is silent on whether a particular feature is permitted.</w:t>
      </w:r>
    </w:p>
    <w:p w:rsidR="0052268D" w:rsidRPr="00343F97" w:rsidRDefault="0052268D" w:rsidP="00343F97">
      <w:pPr>
        <w:pStyle w:val="ListParagraph"/>
        <w:numPr>
          <w:ilvl w:val="0"/>
          <w:numId w:val="57"/>
        </w:numPr>
        <w:spacing w:before="0" w:after="120"/>
        <w:ind w:left="1134" w:right="424" w:hanging="567"/>
        <w:jc w:val="both"/>
        <w:rPr>
          <w:i/>
          <w:sz w:val="20"/>
          <w:szCs w:val="20"/>
        </w:rPr>
      </w:pPr>
      <w:r w:rsidRPr="00343F97">
        <w:rPr>
          <w:i/>
          <w:sz w:val="20"/>
          <w:szCs w:val="20"/>
        </w:rPr>
        <w:t>In considering an application under subclause (1), the Secretary may take into account matters of harm minimisation and prevention, and may decline an application due to matters of harm minimisation and prevention.</w:t>
      </w:r>
    </w:p>
    <w:p w:rsidR="0052268D" w:rsidRPr="00343F97" w:rsidRDefault="0052268D" w:rsidP="00A2527A">
      <w:pPr>
        <w:pStyle w:val="ListParagraph"/>
        <w:numPr>
          <w:ilvl w:val="0"/>
          <w:numId w:val="57"/>
        </w:numPr>
        <w:spacing w:before="0" w:after="240"/>
        <w:ind w:left="1134" w:right="424" w:hanging="567"/>
        <w:jc w:val="both"/>
        <w:rPr>
          <w:i/>
          <w:sz w:val="20"/>
          <w:szCs w:val="20"/>
        </w:rPr>
      </w:pPr>
      <w:r w:rsidRPr="00343F97">
        <w:rPr>
          <w:i/>
          <w:sz w:val="20"/>
          <w:szCs w:val="20"/>
        </w:rPr>
        <w:t>The Secretary may amend the Minimum Standard as a result of an application involving features not addressed in the Minimum Standard.</w:t>
      </w:r>
    </w:p>
    <w:p w:rsidR="0052268D" w:rsidRPr="00343F97" w:rsidRDefault="0052268D" w:rsidP="00A2527A">
      <w:pPr>
        <w:pStyle w:val="ListParagraph"/>
        <w:spacing w:before="0" w:after="240"/>
        <w:ind w:left="567" w:right="424"/>
        <w:jc w:val="both"/>
        <w:rPr>
          <w:i/>
          <w:sz w:val="20"/>
          <w:szCs w:val="20"/>
        </w:rPr>
      </w:pPr>
      <w:r w:rsidRPr="00343F97">
        <w:rPr>
          <w:i/>
          <w:sz w:val="20"/>
          <w:szCs w:val="20"/>
        </w:rPr>
        <w:t>Note: Manufacturers and vendors of gam</w:t>
      </w:r>
      <w:r w:rsidR="00A2527A">
        <w:rPr>
          <w:i/>
          <w:sz w:val="20"/>
          <w:szCs w:val="20"/>
        </w:rPr>
        <w:t>bl</w:t>
      </w:r>
      <w:r w:rsidRPr="00343F97">
        <w:rPr>
          <w:i/>
          <w:sz w:val="20"/>
          <w:szCs w:val="20"/>
        </w:rPr>
        <w:t>ing equipment are encouraged to contact the Department of Internal Affairs in the course of developing new or innovative technology and features, in order to ensure compliance with the Minimum Standard and in order that any necessary amendments to the Minimum Standard may be made in advance of the equipment being submitted."</w:t>
      </w:r>
    </w:p>
    <w:p w:rsidR="005162BE" w:rsidRDefault="005162BE" w:rsidP="005162BE">
      <w:pPr>
        <w:pStyle w:val="Heading1"/>
      </w:pPr>
      <w:bookmarkStart w:id="14" w:name="_Toc450654189"/>
      <w:r>
        <w:lastRenderedPageBreak/>
        <w:t>Tidying up the standards</w:t>
      </w:r>
      <w:bookmarkEnd w:id="14"/>
      <w:r>
        <w:t xml:space="preserve"> </w:t>
      </w:r>
    </w:p>
    <w:p w:rsidR="001D6E95" w:rsidRDefault="001D6E95" w:rsidP="000819F9">
      <w:pPr>
        <w:pStyle w:val="Heading2"/>
        <w:spacing w:after="240"/>
      </w:pPr>
      <w:bookmarkStart w:id="15" w:name="_Toc450654190"/>
      <w:r>
        <w:t xml:space="preserve">1. </w:t>
      </w:r>
      <w:r>
        <w:tab/>
        <w:t>Deleting redundant requirements</w:t>
      </w:r>
      <w:bookmarkEnd w:id="15"/>
    </w:p>
    <w:p w:rsidR="005162BE" w:rsidRDefault="001D6E95" w:rsidP="005162BE">
      <w:pPr>
        <w:spacing w:before="0"/>
        <w:jc w:val="both"/>
      </w:pPr>
      <w:r>
        <w:t>T</w:t>
      </w:r>
      <w:r w:rsidR="005162BE" w:rsidRPr="001669DD">
        <w:t xml:space="preserve">he Secretary proposes to </w:t>
      </w:r>
      <w:r w:rsidR="005162BE">
        <w:t xml:space="preserve">remove </w:t>
      </w:r>
      <w:r w:rsidR="005162BE" w:rsidRPr="001669DD">
        <w:t>some outdated requirements currently listed in t</w:t>
      </w:r>
      <w:r w:rsidR="005162BE">
        <w:t>he NZ Appendi</w:t>
      </w:r>
      <w:r w:rsidR="00912401">
        <w:t>ces</w:t>
      </w:r>
      <w:r w:rsidR="005162BE">
        <w:t>. The proposal is to delete the following existing redundant requirements:</w:t>
      </w:r>
    </w:p>
    <w:p w:rsidR="005162BE" w:rsidRDefault="005162BE" w:rsidP="000819F9">
      <w:pPr>
        <w:pStyle w:val="ListParagraph"/>
        <w:numPr>
          <w:ilvl w:val="0"/>
          <w:numId w:val="53"/>
        </w:numPr>
        <w:spacing w:before="0" w:after="240"/>
        <w:jc w:val="both"/>
      </w:pPr>
      <w:r>
        <w:t>The section titled “DIA2.4 Hard Meters”</w:t>
      </w:r>
      <w:r w:rsidR="00811268">
        <w:t xml:space="preserve"> (at Appendices A and C)</w:t>
      </w:r>
      <w:r>
        <w:t>. The Secretary proposes to delete this section because</w:t>
      </w:r>
      <w:r w:rsidR="000819F9">
        <w:t xml:space="preserve"> there is no longer a hard meter requirement in the </w:t>
      </w:r>
      <w:r w:rsidR="00E925EA">
        <w:t>upcoming revision of the</w:t>
      </w:r>
      <w:r w:rsidR="000819F9">
        <w:t xml:space="preserve"> National Standard. Soft meters are considered adequate in today’s monitored environment.</w:t>
      </w:r>
    </w:p>
    <w:p w:rsidR="005162BE" w:rsidRPr="000819F9" w:rsidRDefault="005162BE" w:rsidP="000819F9">
      <w:pPr>
        <w:pStyle w:val="ListParagraph"/>
        <w:numPr>
          <w:ilvl w:val="0"/>
          <w:numId w:val="53"/>
        </w:numPr>
        <w:spacing w:before="0" w:after="240"/>
        <w:jc w:val="both"/>
      </w:pPr>
      <w:r>
        <w:t xml:space="preserve">The section titled “DIA3.1 Signature Algorithm” </w:t>
      </w:r>
      <w:r w:rsidR="00811268">
        <w:t>of the Class 4 Appendix (at A</w:t>
      </w:r>
      <w:r w:rsidR="00912401">
        <w:t>ppendix A)</w:t>
      </w:r>
      <w:r>
        <w:t xml:space="preserve">. </w:t>
      </w:r>
      <w:r w:rsidR="000819F9">
        <w:t xml:space="preserve">These </w:t>
      </w:r>
      <w:r w:rsidR="000819F9" w:rsidRPr="000819F9">
        <w:t xml:space="preserve">requirements are covered by the </w:t>
      </w:r>
      <w:r w:rsidR="00E925EA">
        <w:t>upcoming revision of the National Standard</w:t>
      </w:r>
      <w:r w:rsidR="000819F9" w:rsidRPr="000819F9">
        <w:t xml:space="preserve">. </w:t>
      </w:r>
    </w:p>
    <w:p w:rsidR="005162BE" w:rsidRPr="007000B4" w:rsidRDefault="005162BE" w:rsidP="000819F9">
      <w:pPr>
        <w:pStyle w:val="ListParagraph"/>
        <w:numPr>
          <w:ilvl w:val="0"/>
          <w:numId w:val="53"/>
        </w:numPr>
        <w:spacing w:before="0" w:after="240"/>
        <w:jc w:val="both"/>
      </w:pPr>
      <w:r w:rsidRPr="00811268">
        <w:t xml:space="preserve">The section titled “DIA3.2 Metering” </w:t>
      </w:r>
      <w:r w:rsidR="00811268" w:rsidRPr="00811268">
        <w:t>of the Class 4 Appendix (at Appendix A)</w:t>
      </w:r>
      <w:r w:rsidRPr="00811268">
        <w:t xml:space="preserve">. This section is no longer </w:t>
      </w:r>
      <w:r w:rsidR="000819F9" w:rsidRPr="00811268">
        <w:t xml:space="preserve">needed because these requirements are covered elsewhere, for instance in the minimum technical requirements for EMS </w:t>
      </w:r>
      <w:r w:rsidR="000819F9" w:rsidRPr="007000B4">
        <w:t>QCOM protocol.</w:t>
      </w:r>
    </w:p>
    <w:p w:rsidR="005162BE" w:rsidRDefault="005162BE" w:rsidP="000819F9">
      <w:pPr>
        <w:pStyle w:val="ListParagraph"/>
        <w:numPr>
          <w:ilvl w:val="0"/>
          <w:numId w:val="53"/>
        </w:numPr>
        <w:spacing w:before="0" w:after="240"/>
        <w:jc w:val="both"/>
      </w:pPr>
      <w:r w:rsidRPr="007000B4">
        <w:t xml:space="preserve">The </w:t>
      </w:r>
      <w:r w:rsidR="002360B0" w:rsidRPr="007000B4">
        <w:t>s</w:t>
      </w:r>
      <w:r w:rsidRPr="007000B4">
        <w:t>ection</w:t>
      </w:r>
      <w:r w:rsidR="007000B4" w:rsidRPr="007000B4">
        <w:t>s</w:t>
      </w:r>
      <w:r w:rsidRPr="007000B4">
        <w:t xml:space="preserve"> titled “DIA3.3 Display of Date and Time” </w:t>
      </w:r>
      <w:r w:rsidR="00811268" w:rsidRPr="007000B4">
        <w:t xml:space="preserve">of the Class 4 Appendix (at Appendix A) and “DIA3.1 Display of Date and Time” of the </w:t>
      </w:r>
      <w:r w:rsidR="007000B4" w:rsidRPr="007000B4">
        <w:t>casino</w:t>
      </w:r>
      <w:r w:rsidR="00811268" w:rsidRPr="007000B4">
        <w:t xml:space="preserve"> Appendix</w:t>
      </w:r>
      <w:r w:rsidR="00912401">
        <w:t xml:space="preserve">. These requirements </w:t>
      </w:r>
      <w:r w:rsidRPr="007000B4">
        <w:t>effectively replicate</w:t>
      </w:r>
      <w:r w:rsidR="006C21E0" w:rsidRPr="007000B4">
        <w:t xml:space="preserve"> another requirement covered by the </w:t>
      </w:r>
      <w:r w:rsidR="00E925EA">
        <w:t>upcoming revision of the National Standard</w:t>
      </w:r>
      <w:r w:rsidR="000819F9" w:rsidRPr="007000B4">
        <w:t>.</w:t>
      </w:r>
    </w:p>
    <w:p w:rsidR="005162BE" w:rsidRPr="007000B4" w:rsidRDefault="005162BE" w:rsidP="000819F9">
      <w:pPr>
        <w:pStyle w:val="ListParagraph"/>
        <w:numPr>
          <w:ilvl w:val="0"/>
          <w:numId w:val="53"/>
        </w:numPr>
        <w:spacing w:before="0" w:after="240"/>
        <w:jc w:val="both"/>
      </w:pPr>
      <w:r w:rsidRPr="007000B4">
        <w:t xml:space="preserve">The section titled “DIA3.8 Standard Deviation” </w:t>
      </w:r>
      <w:r w:rsidR="007000B4" w:rsidRPr="007000B4">
        <w:t>of the Class 4 Appendix (at Appendix A)</w:t>
      </w:r>
      <w:r w:rsidRPr="007000B4">
        <w:t>. This section is no longer required because</w:t>
      </w:r>
      <w:r w:rsidR="000819F9" w:rsidRPr="007000B4">
        <w:t xml:space="preserve"> it has been incorporated into </w:t>
      </w:r>
      <w:r w:rsidR="00E925EA" w:rsidRPr="000819F9">
        <w:t xml:space="preserve">the </w:t>
      </w:r>
      <w:r w:rsidR="00E925EA">
        <w:t>upcoming revision of the National Standard</w:t>
      </w:r>
      <w:r w:rsidR="00E925EA" w:rsidRPr="007000B4">
        <w:t xml:space="preserve"> </w:t>
      </w:r>
      <w:r w:rsidR="000819F9" w:rsidRPr="007000B4">
        <w:t>(8.21)</w:t>
      </w:r>
      <w:r w:rsidR="00C15918">
        <w:t>.</w:t>
      </w:r>
    </w:p>
    <w:p w:rsidR="005162BE" w:rsidRPr="007000B4" w:rsidRDefault="005162BE" w:rsidP="000819F9">
      <w:pPr>
        <w:pStyle w:val="ListParagraph"/>
        <w:numPr>
          <w:ilvl w:val="0"/>
          <w:numId w:val="53"/>
        </w:numPr>
        <w:spacing w:before="0" w:after="240"/>
        <w:jc w:val="both"/>
      </w:pPr>
      <w:r w:rsidRPr="007000B4">
        <w:t xml:space="preserve">The section titled “DIA8 Supplementary standards document” </w:t>
      </w:r>
      <w:r w:rsidR="007000B4" w:rsidRPr="007000B4">
        <w:t>of the Class 4 Appendix (at Appendix A)</w:t>
      </w:r>
      <w:r w:rsidRPr="007000B4">
        <w:t xml:space="preserve">. This section is no longer required because </w:t>
      </w:r>
      <w:r w:rsidR="006C21E0" w:rsidRPr="007000B4">
        <w:t>it is</w:t>
      </w:r>
      <w:r w:rsidR="000819F9" w:rsidRPr="007000B4">
        <w:t xml:space="preserve"> covered by </w:t>
      </w:r>
      <w:r w:rsidR="00E925EA" w:rsidRPr="000819F9">
        <w:t xml:space="preserve">the </w:t>
      </w:r>
      <w:r w:rsidR="00E925EA">
        <w:t>upcoming revision of the National Standard</w:t>
      </w:r>
      <w:r w:rsidR="000819F9" w:rsidRPr="007000B4">
        <w:t>.</w:t>
      </w:r>
    </w:p>
    <w:p w:rsidR="00137461" w:rsidRPr="00C0707B" w:rsidRDefault="001D25F0" w:rsidP="000819F9">
      <w:pPr>
        <w:pStyle w:val="ListParagraph"/>
        <w:numPr>
          <w:ilvl w:val="0"/>
          <w:numId w:val="53"/>
        </w:numPr>
        <w:spacing w:before="0" w:after="240"/>
        <w:jc w:val="both"/>
      </w:pPr>
      <w:r w:rsidRPr="00C0707B">
        <w:t xml:space="preserve">The Secretary seeks your comments on whether </w:t>
      </w:r>
      <w:r w:rsidR="00C0707B" w:rsidRPr="00C0707B">
        <w:t>sections on prize truncation and capping, and game play alteration are</w:t>
      </w:r>
      <w:r w:rsidRPr="00C0707B">
        <w:t xml:space="preserve"> still needed</w:t>
      </w:r>
      <w:r w:rsidR="00C0707B" w:rsidRPr="00C0707B">
        <w:t xml:space="preserve"> for the proposed </w:t>
      </w:r>
      <w:r w:rsidR="00C0707B">
        <w:t>NZ A</w:t>
      </w:r>
      <w:r w:rsidR="00C0707B" w:rsidRPr="00C0707B">
        <w:t>ppendix</w:t>
      </w:r>
      <w:r w:rsidRPr="00C0707B">
        <w:t>, or should be deleted</w:t>
      </w:r>
      <w:r w:rsidR="00C0707B" w:rsidRPr="00C0707B">
        <w:t xml:space="preserve"> (</w:t>
      </w:r>
      <w:r w:rsidR="00C7650A">
        <w:t>s</w:t>
      </w:r>
      <w:r w:rsidR="00C0707B" w:rsidRPr="00C0707B">
        <w:t>ee proposed DIA7.2 at Appendix B)</w:t>
      </w:r>
      <w:r w:rsidR="00C7650A">
        <w:t>.</w:t>
      </w:r>
    </w:p>
    <w:p w:rsidR="001D25F0" w:rsidRPr="00137461" w:rsidRDefault="001D25F0" w:rsidP="00137461">
      <w:pPr>
        <w:keepLines w:val="0"/>
        <w:rPr>
          <w:color w:val="FF0000"/>
          <w:highlight w:val="yellow"/>
        </w:rPr>
      </w:pPr>
    </w:p>
    <w:p w:rsidR="005162BE" w:rsidRDefault="008B11FC" w:rsidP="008B11FC">
      <w:pPr>
        <w:pStyle w:val="Heading2"/>
      </w:pPr>
      <w:bookmarkStart w:id="16" w:name="_Toc450654191"/>
      <w:r>
        <w:lastRenderedPageBreak/>
        <w:t xml:space="preserve">2. </w:t>
      </w:r>
      <w:r>
        <w:tab/>
      </w:r>
      <w:r w:rsidR="005162BE" w:rsidRPr="008B11FC">
        <w:t xml:space="preserve">Other changes to </w:t>
      </w:r>
      <w:r w:rsidR="00735949" w:rsidRPr="008B11FC">
        <w:t xml:space="preserve">tidy up </w:t>
      </w:r>
      <w:r w:rsidR="005162BE" w:rsidRPr="008B11FC">
        <w:t>existing requirements</w:t>
      </w:r>
      <w:bookmarkEnd w:id="16"/>
      <w:r w:rsidR="005162BE" w:rsidRPr="0052268D">
        <w:rPr>
          <w:color w:val="FF0000"/>
        </w:rPr>
        <w:t xml:space="preserve"> </w:t>
      </w:r>
    </w:p>
    <w:p w:rsidR="00B233C9" w:rsidRDefault="00B233C9" w:rsidP="00B233C9">
      <w:pPr>
        <w:pStyle w:val="Heading3"/>
      </w:pPr>
    </w:p>
    <w:p w:rsidR="005162BE" w:rsidRPr="00B233C9" w:rsidRDefault="00B411F6" w:rsidP="00B233C9">
      <w:pPr>
        <w:pStyle w:val="Heading3"/>
        <w:ind w:left="567" w:hanging="567"/>
        <w:rPr>
          <w:color w:val="215669"/>
        </w:rPr>
      </w:pPr>
      <w:bookmarkStart w:id="17" w:name="_Toc450654192"/>
      <w:r>
        <w:rPr>
          <w:color w:val="215669"/>
        </w:rPr>
        <w:t xml:space="preserve">i) </w:t>
      </w:r>
      <w:r>
        <w:rPr>
          <w:color w:val="215669"/>
        </w:rPr>
        <w:tab/>
      </w:r>
      <w:r w:rsidR="005162BE" w:rsidRPr="00B233C9">
        <w:rPr>
          <w:color w:val="215669"/>
        </w:rPr>
        <w:t>Introductory information</w:t>
      </w:r>
      <w:bookmarkEnd w:id="17"/>
    </w:p>
    <w:p w:rsidR="00B3351D" w:rsidRDefault="005162BE" w:rsidP="00B233C9">
      <w:pPr>
        <w:jc w:val="both"/>
      </w:pPr>
      <w:r>
        <w:t>The information set out in DIA1</w:t>
      </w:r>
      <w:r w:rsidR="00735949">
        <w:t xml:space="preserve"> of the current NZ Appendi</w:t>
      </w:r>
      <w:r w:rsidR="00137461">
        <w:t>ces</w:t>
      </w:r>
      <w:r>
        <w:t xml:space="preserve"> (see DIA1.1-1.4 at Appendi</w:t>
      </w:r>
      <w:r w:rsidR="004A58F8">
        <w:t xml:space="preserve">ces </w:t>
      </w:r>
      <w:r w:rsidR="00C80094">
        <w:t>A</w:t>
      </w:r>
      <w:r w:rsidR="004A58F8">
        <w:t xml:space="preserve"> and </w:t>
      </w:r>
      <w:r w:rsidR="00C80094">
        <w:t>C</w:t>
      </w:r>
      <w:r w:rsidR="004A58F8">
        <w:t>)</w:t>
      </w:r>
      <w:r>
        <w:t xml:space="preserve"> has been rewritten in the proposed NZ </w:t>
      </w:r>
      <w:r w:rsidR="00137461" w:rsidRPr="00C80094">
        <w:t>Appendi</w:t>
      </w:r>
      <w:r w:rsidR="00137461">
        <w:t>ces</w:t>
      </w:r>
      <w:r w:rsidRPr="00C80094">
        <w:t xml:space="preserve"> (see explanatory n</w:t>
      </w:r>
      <w:r w:rsidR="00922845" w:rsidRPr="00C80094">
        <w:t>ote</w:t>
      </w:r>
      <w:r w:rsidR="00137461">
        <w:t>s at</w:t>
      </w:r>
      <w:r w:rsidR="00922845" w:rsidRPr="00C80094">
        <w:t xml:space="preserve"> DIA1.1 – 1.5 at Appendices </w:t>
      </w:r>
      <w:r w:rsidR="00C80094">
        <w:t>B</w:t>
      </w:r>
      <w:r w:rsidR="00922845" w:rsidRPr="00C80094">
        <w:t xml:space="preserve"> and </w:t>
      </w:r>
      <w:r w:rsidR="00C80094">
        <w:t>C</w:t>
      </w:r>
      <w:r w:rsidRPr="00C80094">
        <w:t>). The intent behind the</w:t>
      </w:r>
      <w:r>
        <w:t>se changes is to clarify and improve the wording of these sections, and to better inform the reader on how the document is to be applied.</w:t>
      </w:r>
    </w:p>
    <w:p w:rsidR="00B233C9" w:rsidRPr="00137461" w:rsidRDefault="00B233C9" w:rsidP="00137461">
      <w:pPr>
        <w:pStyle w:val="Heading3"/>
        <w:rPr>
          <w:color w:val="auto"/>
        </w:rPr>
      </w:pPr>
      <w:bookmarkStart w:id="18" w:name="_Toc450654193"/>
      <w:r w:rsidRPr="00B233C9">
        <w:t xml:space="preserve">ii) </w:t>
      </w:r>
      <w:r w:rsidRPr="00B233C9">
        <w:tab/>
        <w:t xml:space="preserve">New </w:t>
      </w:r>
      <w:r w:rsidR="007378F2">
        <w:t>s</w:t>
      </w:r>
      <w:r w:rsidRPr="00B233C9">
        <w:t>ections</w:t>
      </w:r>
      <w:bookmarkEnd w:id="18"/>
      <w:r w:rsidR="007378F2">
        <w:t xml:space="preserve"> </w:t>
      </w:r>
    </w:p>
    <w:p w:rsidR="005162BE" w:rsidRPr="00B233C9" w:rsidRDefault="005162BE" w:rsidP="00B233C9">
      <w:pPr>
        <w:rPr>
          <w:b/>
          <w:i/>
          <w:color w:val="215669"/>
        </w:rPr>
      </w:pPr>
      <w:r w:rsidRPr="00C80094">
        <w:rPr>
          <w:b/>
          <w:i/>
          <w:color w:val="215669"/>
        </w:rPr>
        <w:t>New Section</w:t>
      </w:r>
      <w:r w:rsidR="00B233C9" w:rsidRPr="00C80094">
        <w:rPr>
          <w:b/>
          <w:i/>
          <w:color w:val="215669"/>
        </w:rPr>
        <w:t>:</w:t>
      </w:r>
      <w:r w:rsidRPr="00C80094">
        <w:rPr>
          <w:b/>
          <w:i/>
          <w:color w:val="215669"/>
        </w:rPr>
        <w:t xml:space="preserve"> DIA-2 Definitions</w:t>
      </w:r>
    </w:p>
    <w:p w:rsidR="005162BE" w:rsidRDefault="005162BE" w:rsidP="005162BE">
      <w:r>
        <w:t>To ensure the meanings of the document</w:t>
      </w:r>
      <w:r w:rsidR="0016478F">
        <w:t>’</w:t>
      </w:r>
      <w:r>
        <w:t>s key terms are clear, a def</w:t>
      </w:r>
      <w:r w:rsidR="00137461">
        <w:t>initions section has been added (see Appendices A and C).</w:t>
      </w:r>
    </w:p>
    <w:p w:rsidR="007378F2" w:rsidRPr="00B537B6" w:rsidRDefault="007378F2" w:rsidP="00C0707B">
      <w:pPr>
        <w:pStyle w:val="Heading3"/>
        <w:ind w:left="567" w:hanging="567"/>
        <w:jc w:val="both"/>
      </w:pPr>
      <w:bookmarkStart w:id="19" w:name="_Toc450654194"/>
      <w:r w:rsidRPr="00B537B6">
        <w:t>iii)</w:t>
      </w:r>
      <w:r w:rsidRPr="00B537B6">
        <w:tab/>
        <w:t>Other amendments</w:t>
      </w:r>
      <w:bookmarkEnd w:id="19"/>
    </w:p>
    <w:p w:rsidR="007378F2" w:rsidRPr="00B537B6" w:rsidRDefault="007378F2" w:rsidP="00C0707B">
      <w:pPr>
        <w:jc w:val="both"/>
      </w:pPr>
      <w:r w:rsidRPr="00B537B6">
        <w:t xml:space="preserve">The following </w:t>
      </w:r>
      <w:r w:rsidR="0016478F" w:rsidRPr="00B537B6">
        <w:t>proposed amendments aim to</w:t>
      </w:r>
      <w:r w:rsidRPr="00B537B6">
        <w:t xml:space="preserve"> clarify and improve the wording of these sections:</w:t>
      </w:r>
    </w:p>
    <w:p w:rsidR="007378F2" w:rsidRPr="00137461" w:rsidRDefault="007378F2" w:rsidP="00C0707B">
      <w:pPr>
        <w:pStyle w:val="ListParagraph"/>
        <w:numPr>
          <w:ilvl w:val="0"/>
          <w:numId w:val="67"/>
        </w:numPr>
        <w:jc w:val="both"/>
      </w:pPr>
      <w:r w:rsidRPr="00137461">
        <w:rPr>
          <w:i/>
          <w:u w:val="single"/>
        </w:rPr>
        <w:t>Feature exit:</w:t>
      </w:r>
      <w:r w:rsidRPr="00137461">
        <w:rPr>
          <w:i/>
        </w:rPr>
        <w:t xml:space="preserve"> </w:t>
      </w:r>
      <w:r w:rsidRPr="00137461">
        <w:t xml:space="preserve">See current “DIA3.6 </w:t>
      </w:r>
      <w:r w:rsidR="0016478F" w:rsidRPr="00137461">
        <w:t>F</w:t>
      </w:r>
      <w:r w:rsidRPr="00137461">
        <w:t xml:space="preserve">eature </w:t>
      </w:r>
      <w:r w:rsidR="0016478F" w:rsidRPr="00137461">
        <w:t>e</w:t>
      </w:r>
      <w:r w:rsidR="004A58F8" w:rsidRPr="00137461">
        <w:t xml:space="preserve">xit” </w:t>
      </w:r>
      <w:r w:rsidR="00137461" w:rsidRPr="00137461">
        <w:t xml:space="preserve">of the current Class 4 </w:t>
      </w:r>
      <w:r w:rsidR="00137461">
        <w:t>A</w:t>
      </w:r>
      <w:r w:rsidR="00137461" w:rsidRPr="00137461">
        <w:t>ppendix (at A</w:t>
      </w:r>
      <w:r w:rsidR="004A58F8" w:rsidRPr="00137461">
        <w:t>ppendi</w:t>
      </w:r>
      <w:r w:rsidR="00B537B6" w:rsidRPr="00137461">
        <w:t>x</w:t>
      </w:r>
      <w:r w:rsidR="004A58F8" w:rsidRPr="00137461">
        <w:t xml:space="preserve"> </w:t>
      </w:r>
      <w:r w:rsidR="00B537B6" w:rsidRPr="00137461">
        <w:t>A</w:t>
      </w:r>
      <w:r w:rsidR="00137461" w:rsidRPr="00137461">
        <w:t>)</w:t>
      </w:r>
      <w:r w:rsidR="004A58F8" w:rsidRPr="00137461">
        <w:t xml:space="preserve"> </w:t>
      </w:r>
      <w:r w:rsidRPr="00137461">
        <w:t>and proposed “DIA-</w:t>
      </w:r>
      <w:r w:rsidR="00B537B6" w:rsidRPr="00137461">
        <w:t>3</w:t>
      </w:r>
      <w:r w:rsidRPr="00137461">
        <w:t>.</w:t>
      </w:r>
      <w:r w:rsidR="00B537B6" w:rsidRPr="00137461">
        <w:t>1</w:t>
      </w:r>
      <w:r w:rsidRPr="00137461">
        <w:t xml:space="preserve"> Automatic </w:t>
      </w:r>
      <w:r w:rsidR="0016478F" w:rsidRPr="00137461">
        <w:t>f</w:t>
      </w:r>
      <w:r w:rsidRPr="00137461">
        <w:t xml:space="preserve">eature </w:t>
      </w:r>
      <w:r w:rsidR="0016478F" w:rsidRPr="00137461">
        <w:t>e</w:t>
      </w:r>
      <w:r w:rsidRPr="00137461">
        <w:t>xit” at Appendi</w:t>
      </w:r>
      <w:r w:rsidR="00C80094" w:rsidRPr="00137461">
        <w:t>x</w:t>
      </w:r>
      <w:r w:rsidR="004A58F8" w:rsidRPr="00137461">
        <w:t xml:space="preserve"> </w:t>
      </w:r>
      <w:r w:rsidR="00B537B6" w:rsidRPr="00137461">
        <w:t>B</w:t>
      </w:r>
      <w:r w:rsidR="00C80094" w:rsidRPr="00137461">
        <w:t>.</w:t>
      </w:r>
    </w:p>
    <w:p w:rsidR="007378F2" w:rsidRDefault="007378F2" w:rsidP="00C0707B">
      <w:pPr>
        <w:pStyle w:val="ListParagraph"/>
        <w:numPr>
          <w:ilvl w:val="0"/>
          <w:numId w:val="67"/>
        </w:numPr>
        <w:jc w:val="both"/>
      </w:pPr>
      <w:r w:rsidRPr="00137461">
        <w:rPr>
          <w:i/>
          <w:u w:val="single"/>
        </w:rPr>
        <w:t>Win truncation:</w:t>
      </w:r>
      <w:r w:rsidRPr="00137461">
        <w:t xml:space="preserve"> See current “DIA3.5 Win </w:t>
      </w:r>
      <w:r w:rsidR="0016478F" w:rsidRPr="00137461">
        <w:t>t</w:t>
      </w:r>
      <w:r w:rsidRPr="00137461">
        <w:t xml:space="preserve">runcation” </w:t>
      </w:r>
      <w:r w:rsidR="00485B35">
        <w:t>of t</w:t>
      </w:r>
      <w:r w:rsidR="00137461" w:rsidRPr="00137461">
        <w:t xml:space="preserve">he current Class 4 Appendix (at </w:t>
      </w:r>
      <w:r w:rsidR="004A58F8" w:rsidRPr="00137461">
        <w:t>Appendi</w:t>
      </w:r>
      <w:r w:rsidR="00B537B6" w:rsidRPr="00137461">
        <w:t>x</w:t>
      </w:r>
      <w:r w:rsidR="004A58F8" w:rsidRPr="00137461">
        <w:t xml:space="preserve"> </w:t>
      </w:r>
      <w:r w:rsidR="00B537B6" w:rsidRPr="00137461">
        <w:t>A</w:t>
      </w:r>
      <w:r w:rsidR="00137461" w:rsidRPr="00137461">
        <w:t>)</w:t>
      </w:r>
      <w:r w:rsidR="004A58F8" w:rsidRPr="00137461">
        <w:t xml:space="preserve"> </w:t>
      </w:r>
      <w:r w:rsidRPr="00137461">
        <w:t>and proposed “DIA-</w:t>
      </w:r>
      <w:r w:rsidR="00B537B6" w:rsidRPr="00137461">
        <w:t>3.2</w:t>
      </w:r>
      <w:r w:rsidRPr="00B537B6">
        <w:t xml:space="preserve"> Prize </w:t>
      </w:r>
      <w:r w:rsidR="0016478F" w:rsidRPr="00B537B6">
        <w:t>t</w:t>
      </w:r>
      <w:r w:rsidRPr="00B537B6">
        <w:t xml:space="preserve">runcation” at </w:t>
      </w:r>
      <w:r w:rsidR="004A58F8" w:rsidRPr="00B537B6">
        <w:t>Appendi</w:t>
      </w:r>
      <w:r w:rsidR="00B537B6">
        <w:t>x</w:t>
      </w:r>
      <w:r w:rsidR="004A58F8" w:rsidRPr="00B537B6">
        <w:t xml:space="preserve"> </w:t>
      </w:r>
      <w:r w:rsidR="00B537B6" w:rsidRPr="00B537B6">
        <w:t>B</w:t>
      </w:r>
      <w:r w:rsidR="004A58F8" w:rsidRPr="00B537B6">
        <w:t xml:space="preserve"> </w:t>
      </w:r>
    </w:p>
    <w:p w:rsidR="007378F2" w:rsidRPr="00485B35" w:rsidRDefault="007378F2" w:rsidP="00C0707B">
      <w:pPr>
        <w:pStyle w:val="ListParagraph"/>
        <w:numPr>
          <w:ilvl w:val="0"/>
          <w:numId w:val="67"/>
        </w:numPr>
        <w:jc w:val="both"/>
      </w:pPr>
      <w:r w:rsidRPr="00485B35">
        <w:rPr>
          <w:i/>
          <w:u w:val="single"/>
        </w:rPr>
        <w:t xml:space="preserve">General </w:t>
      </w:r>
      <w:r w:rsidR="0016478F" w:rsidRPr="00485B35">
        <w:rPr>
          <w:i/>
          <w:u w:val="single"/>
        </w:rPr>
        <w:t>a</w:t>
      </w:r>
      <w:r w:rsidRPr="00485B35">
        <w:rPr>
          <w:i/>
          <w:u w:val="single"/>
        </w:rPr>
        <w:t xml:space="preserve">rtwork </w:t>
      </w:r>
      <w:r w:rsidR="0016478F" w:rsidRPr="00485B35">
        <w:rPr>
          <w:i/>
          <w:u w:val="single"/>
        </w:rPr>
        <w:t>r</w:t>
      </w:r>
      <w:r w:rsidRPr="00485B35">
        <w:rPr>
          <w:i/>
          <w:u w:val="single"/>
        </w:rPr>
        <w:t>equirements (Maximum accumulated win message):</w:t>
      </w:r>
      <w:r w:rsidRPr="00485B35">
        <w:t xml:space="preserve"> See current “DIA4.1 General </w:t>
      </w:r>
      <w:r w:rsidR="0016478F" w:rsidRPr="00485B35">
        <w:t>a</w:t>
      </w:r>
      <w:r w:rsidRPr="00485B35">
        <w:t xml:space="preserve">rtwork </w:t>
      </w:r>
      <w:r w:rsidR="0016478F" w:rsidRPr="00485B35">
        <w:t>r</w:t>
      </w:r>
      <w:r w:rsidRPr="00485B35">
        <w:t xml:space="preserve">equirements” </w:t>
      </w:r>
      <w:r w:rsidR="00485B35" w:rsidRPr="00485B35">
        <w:t xml:space="preserve">of the current Class 4 Appendix (at </w:t>
      </w:r>
      <w:r w:rsidR="004A58F8" w:rsidRPr="00485B35">
        <w:t>Appendi</w:t>
      </w:r>
      <w:r w:rsidR="00B537B6" w:rsidRPr="00485B35">
        <w:t>x</w:t>
      </w:r>
      <w:r w:rsidR="004A58F8" w:rsidRPr="00485B35">
        <w:t xml:space="preserve"> </w:t>
      </w:r>
      <w:r w:rsidR="00B537B6" w:rsidRPr="00485B35">
        <w:t>A</w:t>
      </w:r>
      <w:r w:rsidR="00485B35" w:rsidRPr="00485B35">
        <w:t xml:space="preserve">) </w:t>
      </w:r>
      <w:r w:rsidRPr="00485B35">
        <w:t>and proposed “DIA-</w:t>
      </w:r>
      <w:r w:rsidR="00B537B6" w:rsidRPr="00485B35">
        <w:t>4</w:t>
      </w:r>
      <w:r w:rsidRPr="00485B35">
        <w:t>.</w:t>
      </w:r>
      <w:r w:rsidR="00B537B6" w:rsidRPr="00485B35">
        <w:t>1</w:t>
      </w:r>
      <w:r w:rsidRPr="00485B35">
        <w:t xml:space="preserve"> Maximum accumulated win message must be displayed” at </w:t>
      </w:r>
      <w:r w:rsidR="004A58F8" w:rsidRPr="00485B35">
        <w:t>Appendi</w:t>
      </w:r>
      <w:r w:rsidR="00B537B6" w:rsidRPr="00485B35">
        <w:t>x B.</w:t>
      </w:r>
    </w:p>
    <w:p w:rsidR="007378F2" w:rsidRPr="00485B35" w:rsidRDefault="007C6D44" w:rsidP="00C0707B">
      <w:pPr>
        <w:pStyle w:val="ListParagraph"/>
        <w:numPr>
          <w:ilvl w:val="0"/>
          <w:numId w:val="67"/>
        </w:numPr>
        <w:jc w:val="both"/>
      </w:pPr>
      <w:r w:rsidRPr="00485B35">
        <w:rPr>
          <w:i/>
          <w:u w:val="single"/>
        </w:rPr>
        <w:t>Cash Boxes:</w:t>
      </w:r>
      <w:r w:rsidRPr="00485B35">
        <w:t xml:space="preserve"> See current “DIA2.5 Cash </w:t>
      </w:r>
      <w:r w:rsidR="0016478F" w:rsidRPr="00485B35">
        <w:t>b</w:t>
      </w:r>
      <w:r w:rsidRPr="00485B35">
        <w:t xml:space="preserve">oxes” </w:t>
      </w:r>
      <w:r w:rsidR="00485B35" w:rsidRPr="00485B35">
        <w:t>of the current Class 4 Appendix (</w:t>
      </w:r>
      <w:r w:rsidRPr="00485B35">
        <w:t xml:space="preserve">at </w:t>
      </w:r>
      <w:r w:rsidR="004A58F8" w:rsidRPr="00485B35">
        <w:t>Appendi</w:t>
      </w:r>
      <w:r w:rsidR="0065281E" w:rsidRPr="00485B35">
        <w:t>x A</w:t>
      </w:r>
      <w:r w:rsidR="00485B35" w:rsidRPr="00485B35">
        <w:t>)</w:t>
      </w:r>
      <w:r w:rsidR="0065281E" w:rsidRPr="00485B35">
        <w:t xml:space="preserve"> </w:t>
      </w:r>
      <w:r w:rsidRPr="00485B35">
        <w:t>and proposed “DIA-</w:t>
      </w:r>
      <w:r w:rsidR="0065281E" w:rsidRPr="00485B35">
        <w:t>5</w:t>
      </w:r>
      <w:r w:rsidRPr="00485B35">
        <w:t xml:space="preserve">.2 Cashbox requirements” at </w:t>
      </w:r>
      <w:r w:rsidR="004A58F8" w:rsidRPr="00485B35">
        <w:t>Appendi</w:t>
      </w:r>
      <w:r w:rsidR="0065281E" w:rsidRPr="00485B35">
        <w:t>x</w:t>
      </w:r>
      <w:r w:rsidR="004A58F8" w:rsidRPr="00485B35">
        <w:t xml:space="preserve"> </w:t>
      </w:r>
      <w:r w:rsidR="0065281E" w:rsidRPr="00485B35">
        <w:t>B</w:t>
      </w:r>
      <w:r w:rsidR="00485B35" w:rsidRPr="00485B35">
        <w:t>.</w:t>
      </w:r>
    </w:p>
    <w:p w:rsidR="007C6D44" w:rsidRPr="00485B35" w:rsidRDefault="007C6D44" w:rsidP="00C0707B">
      <w:pPr>
        <w:pStyle w:val="ListParagraph"/>
        <w:numPr>
          <w:ilvl w:val="0"/>
          <w:numId w:val="67"/>
        </w:numPr>
        <w:jc w:val="both"/>
      </w:pPr>
      <w:r w:rsidRPr="00485B35">
        <w:rPr>
          <w:i/>
          <w:u w:val="single"/>
        </w:rPr>
        <w:t>Keying requirements:</w:t>
      </w:r>
      <w:r w:rsidRPr="00485B35">
        <w:t xml:space="preserve"> See current “DIA2.2 Keying requirements” </w:t>
      </w:r>
      <w:r w:rsidR="004A58F8" w:rsidRPr="00485B35">
        <w:t xml:space="preserve">at Appendices </w:t>
      </w:r>
      <w:r w:rsidR="00015369" w:rsidRPr="00485B35">
        <w:t>A</w:t>
      </w:r>
      <w:r w:rsidR="004A58F8" w:rsidRPr="00485B35">
        <w:t xml:space="preserve"> and </w:t>
      </w:r>
      <w:r w:rsidR="003B6F71">
        <w:t>C</w:t>
      </w:r>
      <w:r w:rsidR="004A58F8" w:rsidRPr="00485B35">
        <w:t xml:space="preserve"> </w:t>
      </w:r>
      <w:r w:rsidRPr="00485B35">
        <w:t>and proposed “DIA-</w:t>
      </w:r>
      <w:r w:rsidR="00015369" w:rsidRPr="00485B35">
        <w:t>5</w:t>
      </w:r>
      <w:r w:rsidRPr="00485B35">
        <w:t>.3 Locks and keys” at</w:t>
      </w:r>
      <w:r w:rsidR="00015369" w:rsidRPr="00485B35">
        <w:t xml:space="preserve"> </w:t>
      </w:r>
      <w:r w:rsidR="00485B35" w:rsidRPr="00485B35">
        <w:t xml:space="preserve">Appendix </w:t>
      </w:r>
      <w:r w:rsidR="00015369" w:rsidRPr="00485B35">
        <w:t>B</w:t>
      </w:r>
      <w:r w:rsidR="003B6F71">
        <w:t>, and</w:t>
      </w:r>
      <w:r w:rsidRPr="00485B35">
        <w:t xml:space="preserve"> </w:t>
      </w:r>
      <w:r w:rsidR="00015369" w:rsidRPr="00485B35">
        <w:t xml:space="preserve">“DIA-3.1 Locks and Keys” at </w:t>
      </w:r>
      <w:r w:rsidR="00485B35" w:rsidRPr="00485B35">
        <w:t>A</w:t>
      </w:r>
      <w:r w:rsidR="00015369" w:rsidRPr="00485B35">
        <w:t>ppendix D</w:t>
      </w:r>
      <w:r w:rsidR="00485B35" w:rsidRPr="00485B35">
        <w:t>.</w:t>
      </w:r>
    </w:p>
    <w:p w:rsidR="007C6D44" w:rsidRPr="00485B35" w:rsidRDefault="007C6D44" w:rsidP="00C0707B">
      <w:pPr>
        <w:pStyle w:val="ListParagraph"/>
        <w:numPr>
          <w:ilvl w:val="0"/>
          <w:numId w:val="67"/>
        </w:numPr>
        <w:jc w:val="both"/>
      </w:pPr>
      <w:r w:rsidRPr="00485B35">
        <w:rPr>
          <w:i/>
          <w:u w:val="single"/>
        </w:rPr>
        <w:t>Logic seals</w:t>
      </w:r>
      <w:r w:rsidR="008369E1" w:rsidRPr="00485B35">
        <w:rPr>
          <w:i/>
          <w:u w:val="single"/>
        </w:rPr>
        <w:t xml:space="preserve"> (Logic area)</w:t>
      </w:r>
      <w:r w:rsidRPr="00485B35">
        <w:rPr>
          <w:i/>
          <w:u w:val="single"/>
        </w:rPr>
        <w:t>:</w:t>
      </w:r>
      <w:r w:rsidRPr="00485B35">
        <w:t xml:space="preserve"> See current “DIA2.3 </w:t>
      </w:r>
      <w:r w:rsidR="0016478F" w:rsidRPr="00485B35">
        <w:t>L</w:t>
      </w:r>
      <w:r w:rsidRPr="00485B35">
        <w:t>ogic seals</w:t>
      </w:r>
      <w:r w:rsidR="008369E1" w:rsidRPr="00485B35">
        <w:t xml:space="preserve"> (Logic area)</w:t>
      </w:r>
      <w:r w:rsidRPr="00485B35">
        <w:t xml:space="preserve">” </w:t>
      </w:r>
      <w:r w:rsidR="00485B35" w:rsidRPr="00485B35">
        <w:t xml:space="preserve">at </w:t>
      </w:r>
      <w:r w:rsidR="004A58F8" w:rsidRPr="00485B35">
        <w:t xml:space="preserve">Appendices </w:t>
      </w:r>
      <w:r w:rsidR="00015369" w:rsidRPr="00485B35">
        <w:t>A</w:t>
      </w:r>
      <w:r w:rsidR="00922845" w:rsidRPr="00485B35">
        <w:t xml:space="preserve"> </w:t>
      </w:r>
      <w:r w:rsidR="004A58F8" w:rsidRPr="00485B35">
        <w:t xml:space="preserve">and </w:t>
      </w:r>
      <w:r w:rsidR="00015369" w:rsidRPr="00485B35">
        <w:t>C</w:t>
      </w:r>
      <w:r w:rsidR="00485B35" w:rsidRPr="00485B35">
        <w:t>,</w:t>
      </w:r>
      <w:r w:rsidR="004A58F8" w:rsidRPr="00485B35">
        <w:t xml:space="preserve"> </w:t>
      </w:r>
      <w:r w:rsidRPr="00485B35">
        <w:t>and proposed “DIA-</w:t>
      </w:r>
      <w:r w:rsidR="00015369" w:rsidRPr="00485B35">
        <w:t>5.4</w:t>
      </w:r>
      <w:r w:rsidRPr="00485B35">
        <w:t xml:space="preserve"> </w:t>
      </w:r>
      <w:r w:rsidR="0016478F" w:rsidRPr="00485B35">
        <w:t>L</w:t>
      </w:r>
      <w:r w:rsidRPr="00485B35">
        <w:t>ogic seals</w:t>
      </w:r>
      <w:r w:rsidR="008369E1" w:rsidRPr="00485B35">
        <w:t xml:space="preserve"> (Logic area)</w:t>
      </w:r>
      <w:r w:rsidRPr="00485B35">
        <w:t xml:space="preserve">” at </w:t>
      </w:r>
      <w:r w:rsidR="004A58F8" w:rsidRPr="00485B35">
        <w:t>Appendi</w:t>
      </w:r>
      <w:r w:rsidR="003B6F71">
        <w:t xml:space="preserve">x B </w:t>
      </w:r>
      <w:r w:rsidR="00015369" w:rsidRPr="00485B35">
        <w:t xml:space="preserve">and </w:t>
      </w:r>
      <w:r w:rsidR="003B6F71">
        <w:t>“</w:t>
      </w:r>
      <w:r w:rsidR="00015369" w:rsidRPr="00485B35">
        <w:t xml:space="preserve">DIA-3.2 </w:t>
      </w:r>
      <w:r w:rsidR="00485B35" w:rsidRPr="00485B35">
        <w:t>L</w:t>
      </w:r>
      <w:r w:rsidR="00015369" w:rsidRPr="00485B35">
        <w:t xml:space="preserve">ogic area” at </w:t>
      </w:r>
      <w:r w:rsidR="00485B35" w:rsidRPr="00485B35">
        <w:t>A</w:t>
      </w:r>
      <w:r w:rsidR="00015369" w:rsidRPr="00485B35">
        <w:t>ppendix D</w:t>
      </w:r>
      <w:r w:rsidR="00485B35">
        <w:t>.</w:t>
      </w:r>
    </w:p>
    <w:p w:rsidR="007C6D44" w:rsidRPr="00015369" w:rsidRDefault="007C6D44" w:rsidP="00C0707B">
      <w:pPr>
        <w:pStyle w:val="ListParagraph"/>
        <w:numPr>
          <w:ilvl w:val="0"/>
          <w:numId w:val="67"/>
        </w:numPr>
        <w:jc w:val="both"/>
      </w:pPr>
      <w:r w:rsidRPr="00485B35">
        <w:rPr>
          <w:i/>
          <w:u w:val="single"/>
        </w:rPr>
        <w:t>Banknote acceptance specifications:</w:t>
      </w:r>
      <w:r w:rsidRPr="00485B35">
        <w:t xml:space="preserve"> See current “DIA5 Banknote acceptance” </w:t>
      </w:r>
      <w:r w:rsidR="00485B35" w:rsidRPr="00485B35">
        <w:t>at</w:t>
      </w:r>
      <w:r w:rsidR="00485B35">
        <w:t xml:space="preserve"> </w:t>
      </w:r>
      <w:r w:rsidR="004A58F8" w:rsidRPr="00015369">
        <w:t xml:space="preserve">Appendices </w:t>
      </w:r>
      <w:r w:rsidR="00015369" w:rsidRPr="00015369">
        <w:t>A</w:t>
      </w:r>
      <w:r w:rsidR="004A58F8" w:rsidRPr="00015369">
        <w:t xml:space="preserve"> and </w:t>
      </w:r>
      <w:r w:rsidR="00E925EA">
        <w:t>C</w:t>
      </w:r>
      <w:r w:rsidR="00485B35">
        <w:t>,</w:t>
      </w:r>
      <w:r w:rsidRPr="00015369">
        <w:t xml:space="preserve"> and proposed “DIA-</w:t>
      </w:r>
      <w:r w:rsidR="00015369" w:rsidRPr="00015369">
        <w:t>5</w:t>
      </w:r>
      <w:r w:rsidRPr="00015369">
        <w:t xml:space="preserve">.5 </w:t>
      </w:r>
      <w:r w:rsidR="0016478F" w:rsidRPr="00015369">
        <w:t>B</w:t>
      </w:r>
      <w:r w:rsidRPr="00015369">
        <w:t xml:space="preserve">anknote acceptance specifications” at </w:t>
      </w:r>
      <w:r w:rsidR="004A58F8" w:rsidRPr="00015369">
        <w:t>Appendi</w:t>
      </w:r>
      <w:r w:rsidR="00485B35">
        <w:t>x</w:t>
      </w:r>
      <w:r w:rsidR="004A58F8" w:rsidRPr="00015369">
        <w:t xml:space="preserve"> </w:t>
      </w:r>
      <w:r w:rsidR="00015369" w:rsidRPr="00015369">
        <w:t xml:space="preserve">B and </w:t>
      </w:r>
      <w:r w:rsidR="003B6F71">
        <w:t>“</w:t>
      </w:r>
      <w:r w:rsidR="00015369" w:rsidRPr="00015369">
        <w:t xml:space="preserve">DIA-2.3 Banknote acceptance” at </w:t>
      </w:r>
      <w:r w:rsidR="00485B35">
        <w:t>A</w:t>
      </w:r>
      <w:r w:rsidR="00015369" w:rsidRPr="00015369">
        <w:t>ppendix D.</w:t>
      </w:r>
    </w:p>
    <w:p w:rsidR="007C6D44" w:rsidRPr="00603854" w:rsidRDefault="007C6D44" w:rsidP="00C0707B">
      <w:pPr>
        <w:pStyle w:val="ListParagraph"/>
        <w:numPr>
          <w:ilvl w:val="0"/>
          <w:numId w:val="67"/>
        </w:numPr>
        <w:jc w:val="both"/>
      </w:pPr>
      <w:r w:rsidRPr="00603854">
        <w:rPr>
          <w:i/>
          <w:u w:val="single"/>
        </w:rPr>
        <w:t>Cabinet identification:</w:t>
      </w:r>
      <w:r w:rsidRPr="00603854">
        <w:t xml:space="preserve"> See current “DIA2.1 </w:t>
      </w:r>
      <w:r w:rsidR="0016478F" w:rsidRPr="00603854">
        <w:t>C</w:t>
      </w:r>
      <w:r w:rsidRPr="00603854">
        <w:t xml:space="preserve">abinet identification” at </w:t>
      </w:r>
      <w:r w:rsidR="004A58F8" w:rsidRPr="00603854">
        <w:t xml:space="preserve">Appendices </w:t>
      </w:r>
      <w:r w:rsidR="00603854" w:rsidRPr="00603854">
        <w:t>A</w:t>
      </w:r>
      <w:r w:rsidR="004A58F8" w:rsidRPr="00603854">
        <w:t xml:space="preserve"> and </w:t>
      </w:r>
      <w:r w:rsidR="00603854" w:rsidRPr="00603854">
        <w:t>C</w:t>
      </w:r>
      <w:r w:rsidR="004A58F8" w:rsidRPr="00603854">
        <w:t xml:space="preserve"> </w:t>
      </w:r>
      <w:r w:rsidRPr="00603854">
        <w:t>and proposed “DIA-</w:t>
      </w:r>
      <w:r w:rsidR="00603854" w:rsidRPr="00603854">
        <w:t>6</w:t>
      </w:r>
      <w:r w:rsidR="0016478F" w:rsidRPr="00603854">
        <w:t>.1</w:t>
      </w:r>
      <w:r w:rsidRPr="00603854">
        <w:t xml:space="preserve"> </w:t>
      </w:r>
      <w:r w:rsidR="0016478F" w:rsidRPr="00603854">
        <w:t>I</w:t>
      </w:r>
      <w:r w:rsidRPr="00603854">
        <w:t xml:space="preserve">dentification of gaming machines” at </w:t>
      </w:r>
      <w:r w:rsidR="004A58F8" w:rsidRPr="00603854">
        <w:t>Appendi</w:t>
      </w:r>
      <w:r w:rsidR="00485B35">
        <w:t>x</w:t>
      </w:r>
      <w:r w:rsidR="004A58F8" w:rsidRPr="00603854">
        <w:t xml:space="preserve"> </w:t>
      </w:r>
      <w:r w:rsidR="00603854" w:rsidRPr="00603854">
        <w:t xml:space="preserve">B </w:t>
      </w:r>
      <w:r w:rsidR="004A58F8" w:rsidRPr="00603854">
        <w:t xml:space="preserve">and </w:t>
      </w:r>
      <w:r w:rsidR="00603854" w:rsidRPr="00603854">
        <w:t>“DIA-4.1 Identification of gaming machines” at Appendix D</w:t>
      </w:r>
      <w:r w:rsidR="003B6F71">
        <w:t>.</w:t>
      </w:r>
    </w:p>
    <w:p w:rsidR="007C6D44" w:rsidRPr="00603854" w:rsidRDefault="007C6D44" w:rsidP="00C0707B">
      <w:pPr>
        <w:pStyle w:val="ListParagraph"/>
        <w:numPr>
          <w:ilvl w:val="0"/>
          <w:numId w:val="67"/>
        </w:numPr>
        <w:jc w:val="both"/>
      </w:pPr>
      <w:r w:rsidRPr="00603854">
        <w:rPr>
          <w:i/>
          <w:u w:val="single"/>
        </w:rPr>
        <w:lastRenderedPageBreak/>
        <w:t>Configuration of multi-game gaming machines:</w:t>
      </w:r>
      <w:r w:rsidRPr="00603854">
        <w:t xml:space="preserve"> See current “DIA3.7 configuration of multi-game gaming machines” </w:t>
      </w:r>
      <w:r w:rsidR="00485B35" w:rsidRPr="00137461">
        <w:t xml:space="preserve">of the current Class 4 </w:t>
      </w:r>
      <w:r w:rsidR="00485B35">
        <w:t>A</w:t>
      </w:r>
      <w:r w:rsidR="003B6F71">
        <w:t>ppendix</w:t>
      </w:r>
      <w:r w:rsidR="00485B35">
        <w:t xml:space="preserve"> (</w:t>
      </w:r>
      <w:r w:rsidRPr="00603854">
        <w:t xml:space="preserve">at </w:t>
      </w:r>
      <w:r w:rsidR="004A58F8" w:rsidRPr="00603854">
        <w:t>Appendi</w:t>
      </w:r>
      <w:r w:rsidR="00603854" w:rsidRPr="00603854">
        <w:t>x</w:t>
      </w:r>
      <w:r w:rsidR="004A58F8" w:rsidRPr="00603854">
        <w:t xml:space="preserve"> </w:t>
      </w:r>
      <w:r w:rsidR="00603854" w:rsidRPr="00603854">
        <w:t>A</w:t>
      </w:r>
      <w:r w:rsidR="00485B35">
        <w:t>)</w:t>
      </w:r>
      <w:r w:rsidR="003B6F71">
        <w:t xml:space="preserve"> </w:t>
      </w:r>
      <w:r w:rsidRPr="00603854">
        <w:t>and proposed “DIA-</w:t>
      </w:r>
      <w:r w:rsidR="00603854" w:rsidRPr="00603854">
        <w:t>6</w:t>
      </w:r>
      <w:r w:rsidRPr="00603854">
        <w:t xml:space="preserve">.2 </w:t>
      </w:r>
      <w:r w:rsidR="003B6F71">
        <w:t>C</w:t>
      </w:r>
      <w:r w:rsidRPr="00603854">
        <w:t>onfiguration of multi-game gaming machines and permitted reconfiguration”</w:t>
      </w:r>
      <w:r w:rsidR="00485B35">
        <w:t>(a</w:t>
      </w:r>
      <w:r w:rsidRPr="00603854">
        <w:t xml:space="preserve">t </w:t>
      </w:r>
      <w:r w:rsidR="004A58F8" w:rsidRPr="00603854">
        <w:t>Appendi</w:t>
      </w:r>
      <w:r w:rsidR="00603854" w:rsidRPr="00603854">
        <w:t>x</w:t>
      </w:r>
      <w:r w:rsidR="004A58F8" w:rsidRPr="00603854">
        <w:t xml:space="preserve"> </w:t>
      </w:r>
      <w:r w:rsidR="00603854" w:rsidRPr="00603854">
        <w:t>B</w:t>
      </w:r>
      <w:r w:rsidR="00485B35">
        <w:t>)</w:t>
      </w:r>
      <w:r w:rsidR="00603854" w:rsidRPr="00603854">
        <w:t>.</w:t>
      </w:r>
    </w:p>
    <w:p w:rsidR="005162BE" w:rsidRPr="00603854" w:rsidRDefault="007C6D44" w:rsidP="00C0707B">
      <w:pPr>
        <w:pStyle w:val="ListParagraph"/>
        <w:numPr>
          <w:ilvl w:val="0"/>
          <w:numId w:val="67"/>
        </w:numPr>
        <w:jc w:val="both"/>
      </w:pPr>
      <w:r w:rsidRPr="00603854">
        <w:rPr>
          <w:i/>
          <w:u w:val="single"/>
        </w:rPr>
        <w:t>Bet and win limits:</w:t>
      </w:r>
      <w:r w:rsidRPr="00603854">
        <w:t xml:space="preserve"> See current sections “DIA3.</w:t>
      </w:r>
      <w:r w:rsidR="005162BE" w:rsidRPr="00603854">
        <w:t>4 Bet and win limits</w:t>
      </w:r>
      <w:r w:rsidRPr="00603854">
        <w:t>”</w:t>
      </w:r>
      <w:r w:rsidR="005162BE" w:rsidRPr="00603854">
        <w:t xml:space="preserve">, </w:t>
      </w:r>
      <w:r w:rsidRPr="00603854">
        <w:t>“DIA</w:t>
      </w:r>
      <w:r w:rsidR="005162BE" w:rsidRPr="00603854">
        <w:t xml:space="preserve">3.5 </w:t>
      </w:r>
      <w:r w:rsidR="0016478F" w:rsidRPr="00603854">
        <w:t>W</w:t>
      </w:r>
      <w:r w:rsidR="005162BE" w:rsidRPr="00603854">
        <w:t>in truncation</w:t>
      </w:r>
      <w:r w:rsidRPr="00603854">
        <w:t>”</w:t>
      </w:r>
      <w:r w:rsidR="005162BE" w:rsidRPr="00603854">
        <w:t xml:space="preserve"> and </w:t>
      </w:r>
      <w:r w:rsidRPr="00603854">
        <w:t>“DIA3.6 Feature ex</w:t>
      </w:r>
      <w:r w:rsidR="0016478F" w:rsidRPr="00603854">
        <w:t>i</w:t>
      </w:r>
      <w:r w:rsidRPr="00603854">
        <w:t xml:space="preserve">t” </w:t>
      </w:r>
      <w:r w:rsidR="00485B35" w:rsidRPr="00137461">
        <w:t xml:space="preserve">of the current Class 4 </w:t>
      </w:r>
      <w:r w:rsidR="00485B35">
        <w:t>A</w:t>
      </w:r>
      <w:r w:rsidR="00485B35" w:rsidRPr="00137461">
        <w:t xml:space="preserve">ppendix </w:t>
      </w:r>
      <w:r w:rsidR="00485B35">
        <w:t xml:space="preserve">(at Appendix A) </w:t>
      </w:r>
      <w:r w:rsidRPr="00603854">
        <w:t xml:space="preserve">and </w:t>
      </w:r>
      <w:r w:rsidR="005162BE" w:rsidRPr="00603854">
        <w:t xml:space="preserve">proposed section </w:t>
      </w:r>
      <w:r w:rsidRPr="00603854">
        <w:t>“</w:t>
      </w:r>
      <w:r w:rsidR="005162BE" w:rsidRPr="00603854">
        <w:t>DIA-</w:t>
      </w:r>
      <w:r w:rsidR="00603854" w:rsidRPr="00603854">
        <w:t>7</w:t>
      </w:r>
      <w:r w:rsidR="005162BE" w:rsidRPr="00603854">
        <w:t xml:space="preserve"> Limits and </w:t>
      </w:r>
      <w:r w:rsidR="003B6F71">
        <w:t>p</w:t>
      </w:r>
      <w:r w:rsidR="005162BE" w:rsidRPr="00603854">
        <w:t>arameters</w:t>
      </w:r>
      <w:r w:rsidRPr="00603854">
        <w:t>”</w:t>
      </w:r>
      <w:r w:rsidR="00603854" w:rsidRPr="00603854">
        <w:t xml:space="preserve"> </w:t>
      </w:r>
      <w:r w:rsidR="00485B35">
        <w:t>(</w:t>
      </w:r>
      <w:r w:rsidR="00603854" w:rsidRPr="00603854">
        <w:t>at Appendix B</w:t>
      </w:r>
      <w:r w:rsidR="00485B35">
        <w:t>)</w:t>
      </w:r>
      <w:r w:rsidR="00603854" w:rsidRPr="00603854">
        <w:t>.</w:t>
      </w:r>
    </w:p>
    <w:p w:rsidR="005162BE" w:rsidRPr="00603854" w:rsidRDefault="006832F2" w:rsidP="00C0707B">
      <w:pPr>
        <w:pStyle w:val="ListParagraph"/>
        <w:numPr>
          <w:ilvl w:val="0"/>
          <w:numId w:val="67"/>
        </w:numPr>
        <w:jc w:val="both"/>
      </w:pPr>
      <w:r w:rsidRPr="00603854">
        <w:rPr>
          <w:i/>
          <w:u w:val="single"/>
        </w:rPr>
        <w:t>Harm prevention and minimisation</w:t>
      </w:r>
      <w:r w:rsidR="00603854" w:rsidRPr="00603854">
        <w:rPr>
          <w:i/>
          <w:u w:val="single"/>
        </w:rPr>
        <w:t xml:space="preserve"> </w:t>
      </w:r>
      <w:r w:rsidRPr="00603854">
        <w:rPr>
          <w:i/>
          <w:u w:val="single"/>
        </w:rPr>
        <w:t>/ player information displays:</w:t>
      </w:r>
      <w:r w:rsidRPr="00603854">
        <w:t xml:space="preserve"> </w:t>
      </w:r>
      <w:r w:rsidR="003B6F71">
        <w:t>S</w:t>
      </w:r>
      <w:r w:rsidRPr="00603854">
        <w:t xml:space="preserve">ee </w:t>
      </w:r>
      <w:r w:rsidR="005162BE" w:rsidRPr="00603854">
        <w:t xml:space="preserve">current sections </w:t>
      </w:r>
      <w:r w:rsidRPr="00603854">
        <w:t>DIA9.1 – DIA9.6</w:t>
      </w:r>
      <w:r w:rsidR="00485B35">
        <w:t xml:space="preserve"> (at Appendices A and C)</w:t>
      </w:r>
      <w:r w:rsidR="005162BE" w:rsidRPr="00603854">
        <w:t xml:space="preserve"> </w:t>
      </w:r>
      <w:r w:rsidRPr="00603854">
        <w:t>and proposed</w:t>
      </w:r>
      <w:r w:rsidR="005162BE" w:rsidRPr="00603854">
        <w:t xml:space="preserve"> section</w:t>
      </w:r>
      <w:r w:rsidRPr="00603854">
        <w:t>s</w:t>
      </w:r>
      <w:r w:rsidR="005162BE" w:rsidRPr="00603854">
        <w:t xml:space="preserve"> DIA-</w:t>
      </w:r>
      <w:r w:rsidR="00603854" w:rsidRPr="00603854">
        <w:t>8</w:t>
      </w:r>
      <w:r w:rsidR="005162BE" w:rsidRPr="00603854">
        <w:t xml:space="preserve">.1 –DIA </w:t>
      </w:r>
      <w:r w:rsidR="00603854" w:rsidRPr="00603854">
        <w:t>8</w:t>
      </w:r>
      <w:r w:rsidR="005162BE" w:rsidRPr="00603854">
        <w:t>.8</w:t>
      </w:r>
      <w:r w:rsidR="00485B35">
        <w:t xml:space="preserve"> (at Appendices B and D).</w:t>
      </w:r>
    </w:p>
    <w:p w:rsidR="005162BE" w:rsidRDefault="00B3351D" w:rsidP="00C0707B">
      <w:pPr>
        <w:pStyle w:val="Heading3"/>
        <w:numPr>
          <w:ilvl w:val="0"/>
          <w:numId w:val="69"/>
        </w:numPr>
        <w:ind w:left="567" w:hanging="567"/>
        <w:jc w:val="both"/>
      </w:pPr>
      <w:bookmarkStart w:id="20" w:name="_Toc450654195"/>
      <w:r>
        <w:t>Amendments to requirements for linked jackpot systems</w:t>
      </w:r>
      <w:bookmarkEnd w:id="20"/>
    </w:p>
    <w:p w:rsidR="00B3351D" w:rsidRPr="00B3351D" w:rsidRDefault="00B3351D" w:rsidP="00485B35">
      <w:pPr>
        <w:jc w:val="both"/>
      </w:pPr>
      <w:r>
        <w:t>M</w:t>
      </w:r>
      <w:r w:rsidRPr="00B3351D">
        <w:t xml:space="preserve">inor changes </w:t>
      </w:r>
      <w:r>
        <w:t>have been made to the Minimum Technical Requirements for Linked Jackpot Systems (see Appendi</w:t>
      </w:r>
      <w:r w:rsidRPr="00D77F8F">
        <w:t xml:space="preserve">xes </w:t>
      </w:r>
      <w:r w:rsidR="003B6F71" w:rsidRPr="00D77F8F">
        <w:t>E</w:t>
      </w:r>
      <w:r w:rsidRPr="00D77F8F">
        <w:t xml:space="preserve"> and </w:t>
      </w:r>
      <w:r w:rsidR="003B6F71" w:rsidRPr="00D77F8F">
        <w:t>F</w:t>
      </w:r>
      <w:r w:rsidRPr="00D77F8F">
        <w:t>)</w:t>
      </w:r>
      <w:r>
        <w:t xml:space="preserve"> </w:t>
      </w:r>
      <w:r w:rsidRPr="00B3351D">
        <w:t xml:space="preserve">to clarify wording and to minimise inconsistencies between the </w:t>
      </w:r>
      <w:r>
        <w:t xml:space="preserve">casino </w:t>
      </w:r>
      <w:r w:rsidR="00C7650A">
        <w:t>requirements</w:t>
      </w:r>
      <w:r>
        <w:t xml:space="preserve"> and the </w:t>
      </w:r>
      <w:r w:rsidR="00922845">
        <w:t>C</w:t>
      </w:r>
      <w:r>
        <w:t xml:space="preserve">lass 4 </w:t>
      </w:r>
      <w:r w:rsidR="00C7650A">
        <w:t>requirements</w:t>
      </w:r>
      <w:r>
        <w:t>.</w:t>
      </w:r>
      <w:r w:rsidRPr="00B3351D">
        <w:t xml:space="preserve"> </w:t>
      </w:r>
      <w:r>
        <w:t>These</w:t>
      </w:r>
      <w:r w:rsidRPr="00B3351D">
        <w:t xml:space="preserve"> changes are not intended to change the </w:t>
      </w:r>
      <w:r>
        <w:t>meaning or interpretation of these standards.</w:t>
      </w:r>
    </w:p>
    <w:p w:rsidR="00B3351D" w:rsidRDefault="00B3351D">
      <w:pPr>
        <w:keepLines w:val="0"/>
      </w:pPr>
      <w:r>
        <w:br w:type="page"/>
      </w:r>
    </w:p>
    <w:p w:rsidR="004E0F69" w:rsidRDefault="00217470" w:rsidP="00403F0D">
      <w:pPr>
        <w:pStyle w:val="Heading1"/>
        <w:ind w:left="1701" w:hanging="1701"/>
      </w:pPr>
      <w:bookmarkStart w:id="21" w:name="_Toc450654196"/>
      <w:r>
        <w:lastRenderedPageBreak/>
        <w:t>Application</w:t>
      </w:r>
      <w:r w:rsidR="004E0F69">
        <w:t xml:space="preserve"> for </w:t>
      </w:r>
      <w:r w:rsidR="00403F0D">
        <w:t>USB cell phone charger</w:t>
      </w:r>
      <w:bookmarkEnd w:id="21"/>
    </w:p>
    <w:p w:rsidR="00E36919" w:rsidRDefault="00721BE2" w:rsidP="00721BE2">
      <w:pPr>
        <w:pStyle w:val="Heading2"/>
        <w:ind w:left="567" w:hanging="567"/>
      </w:pPr>
      <w:bookmarkStart w:id="22" w:name="_Toc450654197"/>
      <w:r>
        <w:t>1.</w:t>
      </w:r>
      <w:r>
        <w:tab/>
      </w:r>
      <w:r w:rsidR="00E36919">
        <w:t>Background information</w:t>
      </w:r>
      <w:bookmarkEnd w:id="22"/>
    </w:p>
    <w:p w:rsidR="005C2B6D" w:rsidRDefault="005C2B6D" w:rsidP="00C025F4">
      <w:r>
        <w:t xml:space="preserve">The Department received </w:t>
      </w:r>
      <w:r w:rsidR="00217470">
        <w:t xml:space="preserve">an </w:t>
      </w:r>
      <w:r>
        <w:t xml:space="preserve">application from </w:t>
      </w:r>
      <w:r w:rsidR="00217470">
        <w:t>a gambling equipment manufacturer</w:t>
      </w:r>
      <w:r w:rsidR="00C025F4">
        <w:t xml:space="preserve"> </w:t>
      </w:r>
      <w:r w:rsidR="00E36919">
        <w:t xml:space="preserve">to add </w:t>
      </w:r>
      <w:r w:rsidR="00C025F4">
        <w:t xml:space="preserve">a </w:t>
      </w:r>
      <w:r w:rsidR="00E36919">
        <w:t>USB charging port to the front</w:t>
      </w:r>
      <w:r w:rsidR="00C7650A">
        <w:t xml:space="preserve"> of</w:t>
      </w:r>
      <w:r w:rsidR="00E36919">
        <w:t xml:space="preserve"> gaming machines to allow to players to charge their phones.</w:t>
      </w:r>
    </w:p>
    <w:p w:rsidR="005C2B6D" w:rsidRDefault="00721BE2" w:rsidP="00721BE2">
      <w:pPr>
        <w:pStyle w:val="Heading2"/>
        <w:ind w:left="567" w:hanging="567"/>
      </w:pPr>
      <w:bookmarkStart w:id="23" w:name="_Toc450654198"/>
      <w:r>
        <w:t xml:space="preserve">2. </w:t>
      </w:r>
      <w:r>
        <w:tab/>
      </w:r>
      <w:r w:rsidR="00C025F4">
        <w:t xml:space="preserve">Framework for </w:t>
      </w:r>
      <w:r w:rsidR="00FB52C9">
        <w:t>a</w:t>
      </w:r>
      <w:r w:rsidR="00C025F4">
        <w:t>nalysis</w:t>
      </w:r>
      <w:bookmarkEnd w:id="23"/>
    </w:p>
    <w:p w:rsidR="005C2B6D" w:rsidRPr="003D4592" w:rsidRDefault="005C2B6D" w:rsidP="005C2B6D">
      <w:pPr>
        <w:pStyle w:val="Default"/>
        <w:spacing w:after="120"/>
        <w:jc w:val="both"/>
      </w:pPr>
      <w:r w:rsidRPr="003D4592">
        <w:t>The Department seeks your comment on th</w:t>
      </w:r>
      <w:r w:rsidR="00403F0D">
        <w:t>is</w:t>
      </w:r>
      <w:r w:rsidRPr="003D4592">
        <w:t xml:space="preserve"> application. Comment in relation to the purposes of the Act is valued, with particular reference to whether the propos</w:t>
      </w:r>
      <w:r w:rsidR="00403F0D">
        <w:t xml:space="preserve">al </w:t>
      </w:r>
      <w:r w:rsidRPr="003D4592">
        <w:t xml:space="preserve">will impact on the purposes to: </w:t>
      </w:r>
    </w:p>
    <w:p w:rsidR="005C2B6D" w:rsidRPr="003D4592" w:rsidRDefault="005C2B6D" w:rsidP="005C2B6D">
      <w:pPr>
        <w:pStyle w:val="Default"/>
        <w:numPr>
          <w:ilvl w:val="0"/>
          <w:numId w:val="27"/>
        </w:numPr>
        <w:spacing w:after="120"/>
        <w:jc w:val="both"/>
      </w:pPr>
      <w:r w:rsidRPr="003D4592">
        <w:t>Prevent and minimise the harm from gambling, including problem gambling</w:t>
      </w:r>
      <w:r>
        <w:t>;</w:t>
      </w:r>
      <w:r w:rsidRPr="003D4592">
        <w:t xml:space="preserve"> </w:t>
      </w:r>
    </w:p>
    <w:p w:rsidR="005C2B6D" w:rsidRPr="003D4592" w:rsidRDefault="005C2B6D" w:rsidP="005C2B6D">
      <w:pPr>
        <w:pStyle w:val="Default"/>
        <w:numPr>
          <w:ilvl w:val="0"/>
          <w:numId w:val="27"/>
        </w:numPr>
        <w:spacing w:after="120"/>
        <w:jc w:val="both"/>
      </w:pPr>
      <w:r w:rsidRPr="003D4592">
        <w:t>Facilitate responsible gambling</w:t>
      </w:r>
      <w:r>
        <w:t>;</w:t>
      </w:r>
      <w:r w:rsidR="00C025F4">
        <w:t xml:space="preserve"> and</w:t>
      </w:r>
    </w:p>
    <w:p w:rsidR="00C025F4" w:rsidRPr="003D4592" w:rsidRDefault="005C2B6D" w:rsidP="000461E2">
      <w:pPr>
        <w:pStyle w:val="Default"/>
        <w:numPr>
          <w:ilvl w:val="0"/>
          <w:numId w:val="27"/>
        </w:numPr>
        <w:spacing w:after="240"/>
        <w:jc w:val="both"/>
      </w:pPr>
      <w:r w:rsidRPr="003D4592">
        <w:t>Ensure the integrity and fairness of games</w:t>
      </w:r>
      <w:r w:rsidR="00C025F4">
        <w:t>.</w:t>
      </w:r>
    </w:p>
    <w:p w:rsidR="005C2B6D" w:rsidRPr="00445D9C" w:rsidRDefault="00445D9C" w:rsidP="005C2B6D">
      <w:pPr>
        <w:pStyle w:val="Default"/>
        <w:jc w:val="both"/>
      </w:pPr>
      <w:r>
        <w:t xml:space="preserve">After receiving your submissions on the application, the proposal </w:t>
      </w:r>
      <w:r w:rsidRPr="003D4592">
        <w:t xml:space="preserve">will be assessed </w:t>
      </w:r>
      <w:r w:rsidRPr="00EC4593">
        <w:rPr>
          <w:rFonts w:cs="Arial"/>
          <w:szCs w:val="22"/>
        </w:rPr>
        <w:t xml:space="preserve">to ensure </w:t>
      </w:r>
      <w:r>
        <w:rPr>
          <w:rFonts w:cs="Arial"/>
          <w:szCs w:val="22"/>
        </w:rPr>
        <w:t>it does</w:t>
      </w:r>
      <w:r w:rsidRPr="00EC4593">
        <w:rPr>
          <w:rFonts w:cs="Arial"/>
          <w:szCs w:val="22"/>
        </w:rPr>
        <w:t xml:space="preserve"> not derogate from any purposes of the </w:t>
      </w:r>
      <w:r w:rsidRPr="003D4592">
        <w:t xml:space="preserve">Gambling Act 2003. </w:t>
      </w:r>
      <w:r w:rsidR="005C2B6D" w:rsidRPr="008D71D9">
        <w:rPr>
          <w:rFonts w:asciiTheme="minorHAnsi" w:hAnsiTheme="minorHAnsi"/>
        </w:rPr>
        <w:t>To guide the assessment reference is made to the Department’s internal guidelines on Harm Prevention, Harm Minimisation and Responsible Gambling.</w:t>
      </w:r>
      <w:r w:rsidR="005C2B6D">
        <w:rPr>
          <w:rFonts w:asciiTheme="minorHAnsi" w:hAnsiTheme="minorHAnsi"/>
        </w:rPr>
        <w:t xml:space="preserve"> </w:t>
      </w:r>
      <w:r w:rsidR="005C2B6D" w:rsidRPr="008D71D9">
        <w:rPr>
          <w:rFonts w:asciiTheme="minorHAnsi" w:hAnsiTheme="minorHAnsi"/>
        </w:rPr>
        <w:t xml:space="preserve"> The guidelines are derived from the Act and associated regulations, the principles and processes of administrative law, and best practice in regard to good regulation. These guidelines require the Department to take</w:t>
      </w:r>
      <w:r w:rsidR="005C2B6D" w:rsidRPr="008D71D9">
        <w:rPr>
          <w:rFonts w:asciiTheme="minorHAnsi" w:hAnsiTheme="minorHAnsi" w:cs="Arial"/>
        </w:rPr>
        <w:t xml:space="preserve"> an evidence based approach in the first instance</w:t>
      </w:r>
      <w:r w:rsidR="005C2B6D" w:rsidRPr="008D71D9">
        <w:rPr>
          <w:rFonts w:asciiTheme="minorHAnsi" w:hAnsiTheme="minorHAnsi"/>
        </w:rPr>
        <w:t>. However, in the absence of evidence, a precautionary approach will be taken in decision making where there is reasonable concern that significant and/or widespread harm may occur. In the absence of evidence, the Department assesses th</w:t>
      </w:r>
      <w:r w:rsidR="00403F0D">
        <w:rPr>
          <w:rFonts w:asciiTheme="minorHAnsi" w:hAnsiTheme="minorHAnsi"/>
        </w:rPr>
        <w:t>is proposal</w:t>
      </w:r>
      <w:r w:rsidR="005C2B6D" w:rsidRPr="008D71D9">
        <w:rPr>
          <w:rFonts w:asciiTheme="minorHAnsi" w:hAnsiTheme="minorHAnsi"/>
        </w:rPr>
        <w:t xml:space="preserve"> against known harm determinants. </w:t>
      </w:r>
      <w:r w:rsidR="005C2B6D" w:rsidRPr="008D71D9">
        <w:rPr>
          <w:rFonts w:asciiTheme="minorHAnsi" w:hAnsiTheme="minorHAnsi" w:cs="Arial"/>
        </w:rPr>
        <w:t xml:space="preserve">It is considered that the proper base for making this assessment is to measure those considerations against the potential for harm that already exists under approved games. </w:t>
      </w:r>
    </w:p>
    <w:p w:rsidR="005C2B6D" w:rsidRPr="003D4592" w:rsidRDefault="005C2B6D" w:rsidP="005C2B6D">
      <w:pPr>
        <w:pStyle w:val="Default"/>
        <w:spacing w:before="120" w:after="200"/>
        <w:jc w:val="both"/>
        <w:rPr>
          <w:color w:val="auto"/>
        </w:rPr>
      </w:pPr>
      <w:r w:rsidRPr="003D4592">
        <w:rPr>
          <w:color w:val="auto"/>
        </w:rPr>
        <w:t xml:space="preserve">A copy of these guidelines can be found on the Department’s website at: </w:t>
      </w:r>
    </w:p>
    <w:p w:rsidR="005C2B6D" w:rsidRPr="003D4592" w:rsidRDefault="00D117FA" w:rsidP="005C2B6D">
      <w:pPr>
        <w:pStyle w:val="BodyText"/>
        <w:spacing w:after="120"/>
        <w:jc w:val="both"/>
      </w:pPr>
      <w:hyperlink r:id="rId10" w:history="1">
        <w:r w:rsidR="00C0707B" w:rsidRPr="00864310">
          <w:rPr>
            <w:rStyle w:val="Hyperlink"/>
          </w:rPr>
          <w:t>http://www.dia.govt.nz/pubforms.nsf/URL/GamingOperationalPolicy.pdf/$file/GamingOperationalPolicy.pdf</w:t>
        </w:r>
      </w:hyperlink>
    </w:p>
    <w:p w:rsidR="005C2B6D" w:rsidRPr="00E36919" w:rsidRDefault="005C2B6D" w:rsidP="00E36919">
      <w:pPr>
        <w:keepLines w:val="0"/>
        <w:rPr>
          <w:rFonts w:asciiTheme="minorHAnsi" w:hAnsiTheme="minorHAnsi"/>
          <w:sz w:val="22"/>
          <w:szCs w:val="22"/>
        </w:rPr>
      </w:pPr>
      <w:r>
        <w:rPr>
          <w:rFonts w:asciiTheme="minorHAnsi" w:hAnsiTheme="minorHAnsi"/>
          <w:sz w:val="22"/>
          <w:szCs w:val="22"/>
        </w:rPr>
        <w:br w:type="page"/>
      </w:r>
    </w:p>
    <w:p w:rsidR="004E0F69" w:rsidRDefault="00721BE2" w:rsidP="004E0F69">
      <w:pPr>
        <w:pStyle w:val="Heading2"/>
        <w:ind w:left="567" w:hanging="567"/>
      </w:pPr>
      <w:bookmarkStart w:id="24" w:name="_Toc450654199"/>
      <w:r>
        <w:lastRenderedPageBreak/>
        <w:t>3.</w:t>
      </w:r>
      <w:r>
        <w:tab/>
      </w:r>
      <w:r w:rsidR="00C025F4">
        <w:t>Description of device</w:t>
      </w:r>
      <w:bookmarkEnd w:id="24"/>
    </w:p>
    <w:p w:rsidR="004E0F69" w:rsidRDefault="000461E2" w:rsidP="004E0F69">
      <w:pPr>
        <w:jc w:val="both"/>
      </w:pPr>
      <w:r>
        <w:t>T</w:t>
      </w:r>
      <w:r w:rsidR="004E0F69">
        <w:t>he Department received a request from a gaming machine manufacturer “to add a 5 volt USB [cell-phone] charging port to the front of our new hardware platform as a service to players to charge their phones.” The manufacturer emphasised that there would be no data connection between gaming machines and cell phones.</w:t>
      </w:r>
    </w:p>
    <w:p w:rsidR="004E0F69" w:rsidRDefault="004E0F69" w:rsidP="004E0F69">
      <w:pPr>
        <w:jc w:val="both"/>
      </w:pPr>
      <w:r>
        <w:t xml:space="preserve">There were some preliminary concerns with this </w:t>
      </w:r>
      <w:r w:rsidR="00C7650A">
        <w:t>proposal</w:t>
      </w:r>
      <w:r>
        <w:t xml:space="preserve"> as to whether the presence and use of this device had potential to encourage continued play. However, </w:t>
      </w:r>
      <w:r w:rsidR="00C7650A">
        <w:t xml:space="preserve">a </w:t>
      </w:r>
      <w:r>
        <w:t>possible benefit</w:t>
      </w:r>
      <w:r w:rsidR="00C7650A">
        <w:t xml:space="preserve"> is</w:t>
      </w:r>
      <w:r>
        <w:t xml:space="preserve"> that ensuring that </w:t>
      </w:r>
      <w:r w:rsidR="00C7650A">
        <w:t>player’s</w:t>
      </w:r>
      <w:r>
        <w:t xml:space="preserve"> cell-phones are charged allows patrons to receive host responsib</w:t>
      </w:r>
      <w:r w:rsidR="00E96683">
        <w:t>i</w:t>
      </w:r>
      <w:r>
        <w:t>l</w:t>
      </w:r>
      <w:r w:rsidR="00E96683">
        <w:t>it</w:t>
      </w:r>
      <w:r>
        <w:t>y messages, at least from casino staff.</w:t>
      </w:r>
    </w:p>
    <w:p w:rsidR="00E36919" w:rsidRDefault="00E36919" w:rsidP="004E0F69">
      <w:pPr>
        <w:jc w:val="both"/>
      </w:pPr>
      <w:r>
        <w:t>The application is for both Class 4 and casino gaming machines.</w:t>
      </w:r>
    </w:p>
    <w:p w:rsidR="00C025F4" w:rsidRDefault="00721BE2" w:rsidP="00C025F4">
      <w:pPr>
        <w:pStyle w:val="Heading2"/>
      </w:pPr>
      <w:bookmarkStart w:id="25" w:name="_Toc450654200"/>
      <w:r>
        <w:t>4.</w:t>
      </w:r>
      <w:r>
        <w:tab/>
      </w:r>
      <w:r w:rsidR="00C025F4">
        <w:t>Question</w:t>
      </w:r>
      <w:r w:rsidR="00FB52C9">
        <w:t>s</w:t>
      </w:r>
      <w:r w:rsidR="00C025F4">
        <w:t xml:space="preserve"> for submitters</w:t>
      </w:r>
      <w:bookmarkEnd w:id="25"/>
    </w:p>
    <w:p w:rsidR="00E36919" w:rsidRDefault="00C025F4" w:rsidP="00E36919">
      <w:pPr>
        <w:jc w:val="both"/>
      </w:pPr>
      <w:r>
        <w:t xml:space="preserve">Do you think the gaming machine standards should be amended to allow for </w:t>
      </w:r>
      <w:r w:rsidR="00E36919">
        <w:t>this technology</w:t>
      </w:r>
      <w:r>
        <w:t>, or alternatively, prohibit?</w:t>
      </w: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C91C2C" w:rsidRDefault="00C91C2C" w:rsidP="00C91C2C">
      <w:pPr>
        <w:ind w:right="22"/>
        <w:jc w:val="both"/>
        <w:rPr>
          <w:rFonts w:asciiTheme="minorHAnsi" w:hAnsiTheme="minorHAnsi" w:cs="Arial"/>
        </w:rPr>
      </w:pPr>
    </w:p>
    <w:p w:rsidR="00AD0312" w:rsidRPr="00AD0312" w:rsidRDefault="00AD0312" w:rsidP="00AD0312">
      <w:pPr>
        <w:pStyle w:val="Heading1"/>
        <w:rPr>
          <w:rFonts w:eastAsia="Times New Roman"/>
        </w:rPr>
      </w:pPr>
      <w:bookmarkStart w:id="26" w:name="_Toc450654202"/>
      <w:r>
        <w:rPr>
          <w:rFonts w:eastAsia="Times New Roman"/>
        </w:rPr>
        <w:lastRenderedPageBreak/>
        <w:t>Addendum to NS2015 Consultation</w:t>
      </w:r>
    </w:p>
    <w:p w:rsidR="00AD0312" w:rsidRDefault="00AD0312" w:rsidP="00AD0312">
      <w:pPr>
        <w:ind w:right="22"/>
        <w:jc w:val="both"/>
      </w:pPr>
      <w:r>
        <w:t xml:space="preserve">NS2015 as a new standard is already in use in some Australian States.  The Industry Advisory Group representatives have recently met to discuss and resolve some outstanding issues that have subsequently arisen with the new standard. </w:t>
      </w:r>
    </w:p>
    <w:p w:rsidR="00AD0312" w:rsidRDefault="00AD0312" w:rsidP="00AD0312">
      <w:pPr>
        <w:ind w:right="22"/>
        <w:jc w:val="both"/>
      </w:pPr>
      <w:r>
        <w:t>The resolution of some outstanding issues, in consultation with the Industry Advisory Group, with the new Standard has resulted in minor amendments to:</w:t>
      </w:r>
    </w:p>
    <w:p w:rsidR="00AD0312" w:rsidRDefault="00AD0312" w:rsidP="00AD0312">
      <w:pPr>
        <w:keepLines w:val="0"/>
        <w:numPr>
          <w:ilvl w:val="0"/>
          <w:numId w:val="73"/>
        </w:numPr>
        <w:spacing w:before="0" w:after="0"/>
        <w:ind w:right="22"/>
        <w:jc w:val="both"/>
        <w:rPr>
          <w:rFonts w:eastAsia="Times New Roman"/>
        </w:rPr>
      </w:pPr>
      <w:r>
        <w:rPr>
          <w:rFonts w:eastAsia="Times New Roman"/>
        </w:rPr>
        <w:t>Introduction (new requirement 1.6);</w:t>
      </w:r>
    </w:p>
    <w:p w:rsidR="00AD0312" w:rsidRDefault="00AD0312" w:rsidP="00AD0312">
      <w:pPr>
        <w:keepLines w:val="0"/>
        <w:numPr>
          <w:ilvl w:val="0"/>
          <w:numId w:val="73"/>
        </w:numPr>
        <w:spacing w:before="0" w:after="0"/>
        <w:ind w:right="22"/>
        <w:jc w:val="both"/>
        <w:rPr>
          <w:rFonts w:eastAsia="Times New Roman"/>
        </w:rPr>
      </w:pPr>
      <w:r>
        <w:rPr>
          <w:rFonts w:eastAsia="Times New Roman"/>
        </w:rPr>
        <w:t>Artwork (requirement 5.4);</w:t>
      </w:r>
    </w:p>
    <w:p w:rsidR="00AD0312" w:rsidRDefault="00AD0312" w:rsidP="00AD0312">
      <w:pPr>
        <w:keepLines w:val="0"/>
        <w:numPr>
          <w:ilvl w:val="0"/>
          <w:numId w:val="73"/>
        </w:numPr>
        <w:spacing w:before="0" w:after="0"/>
        <w:ind w:right="22"/>
        <w:jc w:val="both"/>
        <w:rPr>
          <w:rFonts w:eastAsia="Times New Roman"/>
        </w:rPr>
      </w:pPr>
      <w:r>
        <w:rPr>
          <w:rFonts w:eastAsia="Times New Roman"/>
        </w:rPr>
        <w:t>Physical Security (requirement 6.11);</w:t>
      </w:r>
    </w:p>
    <w:p w:rsidR="00AD0312" w:rsidRDefault="00AD0312" w:rsidP="00AD0312">
      <w:pPr>
        <w:keepLines w:val="0"/>
        <w:numPr>
          <w:ilvl w:val="0"/>
          <w:numId w:val="73"/>
        </w:numPr>
        <w:spacing w:before="0" w:after="0"/>
        <w:ind w:right="22"/>
        <w:jc w:val="both"/>
        <w:rPr>
          <w:rFonts w:eastAsia="Times New Roman"/>
        </w:rPr>
      </w:pPr>
      <w:r>
        <w:rPr>
          <w:rFonts w:eastAsia="Times New Roman"/>
        </w:rPr>
        <w:t>Power Supply (requirements 6.28-6.30); and</w:t>
      </w:r>
    </w:p>
    <w:p w:rsidR="00AD0312" w:rsidRPr="00AD0312" w:rsidRDefault="00AD0312" w:rsidP="00AD0312">
      <w:pPr>
        <w:keepLines w:val="0"/>
        <w:numPr>
          <w:ilvl w:val="0"/>
          <w:numId w:val="73"/>
        </w:numPr>
        <w:spacing w:before="0"/>
        <w:ind w:right="22"/>
        <w:jc w:val="both"/>
        <w:rPr>
          <w:rFonts w:eastAsia="Times New Roman"/>
        </w:rPr>
      </w:pPr>
      <w:r>
        <w:rPr>
          <w:rFonts w:eastAsia="Times New Roman"/>
        </w:rPr>
        <w:t>Hidden Touch Points (requirement 6.47).</w:t>
      </w:r>
    </w:p>
    <w:p w:rsidR="00AD0312" w:rsidRDefault="00AD0312" w:rsidP="00AD0312">
      <w:pPr>
        <w:ind w:right="22"/>
        <w:jc w:val="both"/>
      </w:pPr>
      <w:r>
        <w:t>These agreed changes have been submitted to the Australasian Casino and Gaming Regulators CEO’s Forum for their ratification. It is expected that this might occur prior to NS2015 being prescribed in New Zealand.</w:t>
      </w:r>
    </w:p>
    <w:p w:rsidR="00AD0312" w:rsidRDefault="00AD0312" w:rsidP="00AD0312">
      <w:pPr>
        <w:ind w:right="22"/>
        <w:jc w:val="both"/>
      </w:pPr>
      <w:r>
        <w:t xml:space="preserve">If this ratification does take place the substantive document incorporating these changes would be designated NS2016 with some minor clause re-numbering. In all other respects NS2016 would be no different to NS2015 which forms the basis of our recent consultation. </w:t>
      </w:r>
    </w:p>
    <w:p w:rsidR="00AD0312" w:rsidRDefault="00AD0312" w:rsidP="00AD0312">
      <w:pPr>
        <w:ind w:right="22"/>
        <w:jc w:val="both"/>
      </w:pPr>
      <w:r>
        <w:t xml:space="preserve">The Department would accept the above amendments unchanged if ratified, though a note may be included to the effect that New Zealand laws would apply with respect to the new requirement NS1.6. </w:t>
      </w:r>
    </w:p>
    <w:p w:rsidR="00AD0312" w:rsidRDefault="00AD0312" w:rsidP="00AD0312">
      <w:pPr>
        <w:ind w:right="22"/>
        <w:jc w:val="both"/>
      </w:pPr>
      <w:r>
        <w:t xml:space="preserve">If the CEO’s Forum ratifies the agreed amendments, the consultation feedback on NS2015 and the new NZ appendices would be incorporated and Gazetted with the Australian/New Zealand Gaming Machine National Standard 2016. </w:t>
      </w:r>
    </w:p>
    <w:p w:rsidR="00AD0312" w:rsidRDefault="00AD0312" w:rsidP="00AD0312">
      <w:pPr>
        <w:jc w:val="both"/>
      </w:pPr>
      <w:r>
        <w:t xml:space="preserve">Please find attached at Appendix F the proposed NS2016 with amendments in tracked changes. Rather than delay release of consultation until this ratification occurs we invite </w:t>
      </w:r>
      <w:r w:rsidRPr="00AD0312">
        <w:t xml:space="preserve">your additional </w:t>
      </w:r>
      <w:r>
        <w:t>comment on these proposed amendments at this early stage.</w:t>
      </w:r>
    </w:p>
    <w:p w:rsidR="00AD0312" w:rsidRDefault="00AD0312" w:rsidP="00AD0312">
      <w:pPr>
        <w:keepLines w:val="0"/>
        <w:rPr>
          <w:color w:val="1F497D"/>
        </w:rPr>
      </w:pPr>
      <w:r>
        <w:rPr>
          <w:color w:val="1F497D"/>
        </w:rPr>
        <w:br w:type="page"/>
      </w:r>
    </w:p>
    <w:p w:rsidR="00C80094" w:rsidRDefault="00D77F8F" w:rsidP="00C80094">
      <w:pPr>
        <w:pStyle w:val="Heading1"/>
      </w:pPr>
      <w:r>
        <w:lastRenderedPageBreak/>
        <w:t>List of Appendices</w:t>
      </w:r>
      <w:bookmarkEnd w:id="26"/>
    </w:p>
    <w:p w:rsidR="00D77F8F" w:rsidRDefault="00D77F8F" w:rsidP="00C80094">
      <w:pPr>
        <w:rPr>
          <w:b/>
          <w:i/>
          <w:u w:val="single"/>
        </w:rPr>
      </w:pPr>
      <w:r>
        <w:rPr>
          <w:b/>
          <w:i/>
          <w:u w:val="single"/>
        </w:rPr>
        <w:t>Appendix A:</w:t>
      </w:r>
    </w:p>
    <w:p w:rsidR="00C80094" w:rsidRPr="00C80094" w:rsidRDefault="00C80094" w:rsidP="00C80094">
      <w:r>
        <w:t>Current Class 4 Appendix: New Zealand Class 4 Gaming Machine Appendix to the Austral</w:t>
      </w:r>
      <w:r w:rsidR="00D77F8F">
        <w:t xml:space="preserve">ian/New Zealand Gaming Machine </w:t>
      </w:r>
      <w:r>
        <w:t>National Standard Revision 10.0</w:t>
      </w:r>
    </w:p>
    <w:p w:rsidR="00D77F8F" w:rsidRPr="00D77F8F" w:rsidRDefault="00D77F8F" w:rsidP="00C80094">
      <w:pPr>
        <w:rPr>
          <w:b/>
          <w:i/>
          <w:u w:val="single"/>
        </w:rPr>
      </w:pPr>
      <w:r w:rsidRPr="00D77F8F">
        <w:rPr>
          <w:b/>
          <w:i/>
          <w:u w:val="single"/>
        </w:rPr>
        <w:t>Appendix B:</w:t>
      </w:r>
    </w:p>
    <w:p w:rsidR="00C80094" w:rsidRPr="00C80094" w:rsidRDefault="00C80094" w:rsidP="00C80094">
      <w:r>
        <w:t>Proposed Class 4 Appendix:</w:t>
      </w:r>
      <w:r w:rsidRPr="00C80094">
        <w:t xml:space="preserve"> </w:t>
      </w:r>
      <w:r>
        <w:t>New Zealand Class 4 Gaming Machine Appendix to the Australia New Zealand Gaming Machine National Standard 2015</w:t>
      </w:r>
    </w:p>
    <w:p w:rsidR="00D77F8F" w:rsidRPr="00D77F8F" w:rsidRDefault="00D77F8F" w:rsidP="00C80094">
      <w:pPr>
        <w:rPr>
          <w:b/>
          <w:i/>
          <w:u w:val="single"/>
        </w:rPr>
      </w:pPr>
      <w:r w:rsidRPr="00D77F8F">
        <w:rPr>
          <w:b/>
          <w:i/>
          <w:u w:val="single"/>
        </w:rPr>
        <w:t>Appendix C:</w:t>
      </w:r>
    </w:p>
    <w:p w:rsidR="00C80094" w:rsidRDefault="00C80094" w:rsidP="00C80094">
      <w:r w:rsidRPr="00C80094">
        <w:t>Current Casino Appendix: New Zealand Casino Gaming Machine Appendix to the Australian/New Zealand Gaming Machine National Standard Revision 10.0</w:t>
      </w:r>
    </w:p>
    <w:p w:rsidR="00D77F8F" w:rsidRPr="00D77F8F" w:rsidRDefault="00D77F8F" w:rsidP="00C80094">
      <w:pPr>
        <w:rPr>
          <w:b/>
          <w:i/>
          <w:u w:val="single"/>
        </w:rPr>
      </w:pPr>
      <w:r w:rsidRPr="00D77F8F">
        <w:rPr>
          <w:b/>
          <w:i/>
          <w:u w:val="single"/>
        </w:rPr>
        <w:t>Appendix D:</w:t>
      </w:r>
    </w:p>
    <w:p w:rsidR="00C80094" w:rsidRPr="00D77F8F" w:rsidRDefault="00C80094" w:rsidP="00C80094">
      <w:r w:rsidRPr="00D77F8F">
        <w:t>Proposed Casino Appendix: New Zealand Casino Gaming Machine Appendix to the Australia New Zealand Gaming Machine National Standard 2015</w:t>
      </w:r>
    </w:p>
    <w:p w:rsidR="00D77F8F" w:rsidRPr="00D77F8F" w:rsidRDefault="00D77F8F" w:rsidP="00D77F8F">
      <w:pPr>
        <w:rPr>
          <w:b/>
          <w:i/>
          <w:u w:val="single"/>
        </w:rPr>
      </w:pPr>
      <w:r w:rsidRPr="00D77F8F">
        <w:rPr>
          <w:b/>
          <w:i/>
          <w:u w:val="single"/>
        </w:rPr>
        <w:t xml:space="preserve">Appendix </w:t>
      </w:r>
      <w:r>
        <w:rPr>
          <w:b/>
          <w:i/>
          <w:u w:val="single"/>
        </w:rPr>
        <w:t>E</w:t>
      </w:r>
      <w:r w:rsidRPr="00D77F8F">
        <w:rPr>
          <w:b/>
          <w:i/>
          <w:u w:val="single"/>
        </w:rPr>
        <w:t>:</w:t>
      </w:r>
    </w:p>
    <w:p w:rsidR="00F942A7" w:rsidRDefault="00F942A7" w:rsidP="00F942A7">
      <w:r>
        <w:t>Proposed Class 4 Jackpot requirements: Minimum Technical Requirements for Linked Jackpot Systems (Class 4).</w:t>
      </w:r>
    </w:p>
    <w:p w:rsidR="00D77F8F" w:rsidRPr="00D77F8F" w:rsidRDefault="00D77F8F" w:rsidP="00D77F8F">
      <w:pPr>
        <w:rPr>
          <w:b/>
          <w:i/>
          <w:u w:val="single"/>
        </w:rPr>
      </w:pPr>
      <w:r w:rsidRPr="00D77F8F">
        <w:rPr>
          <w:b/>
          <w:i/>
          <w:u w:val="single"/>
        </w:rPr>
        <w:t xml:space="preserve">Appendix </w:t>
      </w:r>
      <w:r>
        <w:rPr>
          <w:b/>
          <w:i/>
          <w:u w:val="single"/>
        </w:rPr>
        <w:t>F</w:t>
      </w:r>
      <w:r w:rsidRPr="00D77F8F">
        <w:rPr>
          <w:b/>
          <w:i/>
          <w:u w:val="single"/>
        </w:rPr>
        <w:t>:</w:t>
      </w:r>
    </w:p>
    <w:p w:rsidR="00F942A7" w:rsidRDefault="00F942A7" w:rsidP="00F942A7">
      <w:r>
        <w:t>Proposed Casino Jackpot requirements: Minimum Technical Requirements for Linked Jackpot systems</w:t>
      </w:r>
    </w:p>
    <w:p w:rsidR="00D77F8F" w:rsidRPr="00D77F8F" w:rsidRDefault="00D77F8F" w:rsidP="00D77F8F">
      <w:pPr>
        <w:rPr>
          <w:b/>
          <w:i/>
          <w:u w:val="single"/>
        </w:rPr>
      </w:pPr>
      <w:r w:rsidRPr="00D77F8F">
        <w:rPr>
          <w:b/>
          <w:i/>
          <w:u w:val="single"/>
        </w:rPr>
        <w:t xml:space="preserve">Appendix </w:t>
      </w:r>
      <w:r>
        <w:rPr>
          <w:b/>
          <w:i/>
          <w:u w:val="single"/>
        </w:rPr>
        <w:t>G</w:t>
      </w:r>
      <w:r w:rsidRPr="00D77F8F">
        <w:rPr>
          <w:b/>
          <w:i/>
          <w:u w:val="single"/>
        </w:rPr>
        <w:t>:</w:t>
      </w:r>
    </w:p>
    <w:p w:rsidR="00F942A7" w:rsidRPr="00F942A7" w:rsidRDefault="00D77F8F" w:rsidP="00F942A7">
      <w:r>
        <w:t>Revised National Standard: Australian/New Zealand Gaming Machine National Standard 2015</w:t>
      </w:r>
    </w:p>
    <w:p w:rsidR="00C91C2C" w:rsidRPr="00D77F8F" w:rsidRDefault="00C91C2C" w:rsidP="00C91C2C">
      <w:pPr>
        <w:rPr>
          <w:b/>
          <w:i/>
          <w:u w:val="single"/>
        </w:rPr>
      </w:pPr>
      <w:r w:rsidRPr="00D77F8F">
        <w:rPr>
          <w:b/>
          <w:i/>
          <w:u w:val="single"/>
        </w:rPr>
        <w:t xml:space="preserve">Appendix </w:t>
      </w:r>
      <w:r w:rsidR="00DB6134">
        <w:rPr>
          <w:b/>
          <w:i/>
          <w:u w:val="single"/>
        </w:rPr>
        <w:t>H</w:t>
      </w:r>
      <w:r w:rsidRPr="00D77F8F">
        <w:rPr>
          <w:b/>
          <w:i/>
          <w:u w:val="single"/>
        </w:rPr>
        <w:t>:</w:t>
      </w:r>
    </w:p>
    <w:p w:rsidR="00C91C2C" w:rsidRPr="00F942A7" w:rsidRDefault="00AD0312" w:rsidP="00C91C2C">
      <w:r>
        <w:t xml:space="preserve">Addendum: </w:t>
      </w:r>
      <w:r w:rsidR="00C91C2C">
        <w:t>Proposed National Standard: Australian/New Zealand Gaming Machine National Standard 2016</w:t>
      </w:r>
    </w:p>
    <w:p w:rsidR="00C80094" w:rsidRDefault="00C80094" w:rsidP="00C80094"/>
    <w:p w:rsidR="00C80094" w:rsidRPr="00C80094" w:rsidRDefault="00C80094" w:rsidP="00C80094"/>
    <w:p w:rsidR="004E0F69" w:rsidRDefault="004E0F69" w:rsidP="004E0F69">
      <w:pPr>
        <w:pStyle w:val="Heading1"/>
      </w:pPr>
    </w:p>
    <w:p w:rsidR="005F13C0" w:rsidRPr="005F13C0" w:rsidRDefault="005F13C0" w:rsidP="008B11FC">
      <w:pPr>
        <w:keepLines w:val="0"/>
      </w:pPr>
    </w:p>
    <w:p w:rsidR="00C12F0B" w:rsidRPr="004E0F69" w:rsidRDefault="00C12F0B" w:rsidP="004E0F69"/>
    <w:sectPr w:rsidR="00C12F0B" w:rsidRPr="004E0F69" w:rsidSect="00CB1F4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91" w:right="1418" w:bottom="992" w:left="1418" w:header="425"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37" w:rsidRDefault="00DE1437">
      <w:r>
        <w:separator/>
      </w:r>
    </w:p>
  </w:endnote>
  <w:endnote w:type="continuationSeparator" w:id="0">
    <w:p w:rsidR="00DE1437" w:rsidRDefault="00DE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FA" w:rsidRDefault="00D11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32672"/>
      <w:docPartObj>
        <w:docPartGallery w:val="Page Numbers (Bottom of Page)"/>
        <w:docPartUnique/>
      </w:docPartObj>
    </w:sdtPr>
    <w:sdtEndPr>
      <w:rPr>
        <w:noProof/>
      </w:rPr>
    </w:sdtEndPr>
    <w:sdtContent>
      <w:p w:rsidR="00DE2BC8" w:rsidRDefault="00DE2BC8">
        <w:pPr>
          <w:pStyle w:val="Footer"/>
          <w:jc w:val="right"/>
        </w:pPr>
        <w:r>
          <w:fldChar w:fldCharType="begin"/>
        </w:r>
        <w:r>
          <w:instrText xml:space="preserve"> PAGE   \* MERGEFORMAT </w:instrText>
        </w:r>
        <w:r>
          <w:fldChar w:fldCharType="separate"/>
        </w:r>
        <w:r w:rsidR="00D117FA">
          <w:rPr>
            <w:noProof/>
          </w:rPr>
          <w:t>13</w:t>
        </w:r>
        <w:r>
          <w:rPr>
            <w:noProof/>
          </w:rPr>
          <w:fldChar w:fldCharType="end"/>
        </w:r>
      </w:p>
    </w:sdtContent>
  </w:sdt>
  <w:p w:rsidR="00DE2BC8" w:rsidRPr="006E173F" w:rsidRDefault="00DE2BC8" w:rsidP="006E1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FA" w:rsidRDefault="00D1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37" w:rsidRDefault="00DE1437" w:rsidP="001C6D4C">
      <w:pPr>
        <w:pStyle w:val="Spacer"/>
      </w:pPr>
      <w:r>
        <w:separator/>
      </w:r>
    </w:p>
    <w:p w:rsidR="00DE1437" w:rsidRDefault="00DE1437" w:rsidP="001C6D4C">
      <w:pPr>
        <w:pStyle w:val="Spacer"/>
      </w:pPr>
    </w:p>
  </w:footnote>
  <w:footnote w:type="continuationSeparator" w:id="0">
    <w:p w:rsidR="00DE1437" w:rsidRDefault="00DE1437">
      <w:r>
        <w:continuationSeparator/>
      </w:r>
    </w:p>
  </w:footnote>
  <w:footnote w:id="1">
    <w:p w:rsidR="00F942A7" w:rsidRDefault="00F942A7">
      <w:pPr>
        <w:pStyle w:val="FootnoteText"/>
      </w:pPr>
      <w:r>
        <w:rPr>
          <w:rStyle w:val="FootnoteReference"/>
        </w:rPr>
        <w:footnoteRef/>
      </w:r>
      <w:r>
        <w:t xml:space="preserve"> See Appendix G for the revised National Standard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FA" w:rsidRDefault="00D11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FA" w:rsidRDefault="00D11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C8" w:rsidRDefault="00DE2BC8" w:rsidP="00A95C13">
    <w:pPr>
      <w:pStyle w:val="Header"/>
      <w:tabs>
        <w:tab w:val="right" w:pos="9072"/>
      </w:tabs>
    </w:pPr>
    <w:r>
      <w:rPr>
        <w:noProof/>
        <w:lang w:eastAsia="en-NZ"/>
      </w:rPr>
      <w:drawing>
        <wp:anchor distT="0" distB="360045" distL="114300" distR="114300" simplePos="0" relativeHeight="251659264" behindDoc="0" locked="0" layoutInCell="1" allowOverlap="1" wp14:anchorId="707913E4" wp14:editId="6FFD1147">
          <wp:simplePos x="0" y="0"/>
          <wp:positionH relativeFrom="page">
            <wp:posOffset>3348355</wp:posOffset>
          </wp:positionH>
          <wp:positionV relativeFrom="page">
            <wp:posOffset>504190</wp:posOffset>
          </wp:positionV>
          <wp:extent cx="3708000" cy="655200"/>
          <wp:effectExtent l="0" t="0" r="0" b="0"/>
          <wp:wrapTopAndBottom/>
          <wp:docPr id="5" name="Picture 5"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BC8" w:rsidRDefault="00DE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5A95EC4"/>
    <w:multiLevelType w:val="hybridMultilevel"/>
    <w:tmpl w:val="ACF24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80E30E8"/>
    <w:multiLevelType w:val="hybridMultilevel"/>
    <w:tmpl w:val="E4F05110"/>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9105E9C"/>
    <w:multiLevelType w:val="hybridMultilevel"/>
    <w:tmpl w:val="99F24D40"/>
    <w:lvl w:ilvl="0" w:tplc="18CCAC68">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nsid w:val="0B1F50FE"/>
    <w:multiLevelType w:val="hybridMultilevel"/>
    <w:tmpl w:val="5D7A8446"/>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7">
    <w:nsid w:val="115F0CB2"/>
    <w:multiLevelType w:val="hybridMultilevel"/>
    <w:tmpl w:val="BB183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41D52A1"/>
    <w:multiLevelType w:val="hybridMultilevel"/>
    <w:tmpl w:val="A3602572"/>
    <w:lvl w:ilvl="0" w:tplc="967C9CA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5866CB5"/>
    <w:multiLevelType w:val="hybridMultilevel"/>
    <w:tmpl w:val="CDE0CA20"/>
    <w:lvl w:ilvl="0" w:tplc="F7E0F2F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1">
    <w:nsid w:val="206E41C6"/>
    <w:multiLevelType w:val="hybridMultilevel"/>
    <w:tmpl w:val="0CB03AE4"/>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38E3646"/>
    <w:multiLevelType w:val="hybridMultilevel"/>
    <w:tmpl w:val="C662567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5B70E97"/>
    <w:multiLevelType w:val="hybridMultilevel"/>
    <w:tmpl w:val="159C4224"/>
    <w:lvl w:ilvl="0" w:tplc="B2CA92E0">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7826A83"/>
    <w:multiLevelType w:val="hybridMultilevel"/>
    <w:tmpl w:val="E33E87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CA45321"/>
    <w:multiLevelType w:val="hybridMultilevel"/>
    <w:tmpl w:val="BED8FD32"/>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nsid w:val="2D4C72DF"/>
    <w:multiLevelType w:val="hybridMultilevel"/>
    <w:tmpl w:val="415E0ADE"/>
    <w:lvl w:ilvl="0" w:tplc="14090001">
      <w:start w:val="1"/>
      <w:numFmt w:val="bullet"/>
      <w:lvlText w:val=""/>
      <w:lvlJc w:val="left"/>
      <w:pPr>
        <w:ind w:left="768" w:hanging="720"/>
      </w:pPr>
      <w:rPr>
        <w:rFonts w:ascii="Symbol" w:hAnsi="Symbol" w:hint="default"/>
      </w:rPr>
    </w:lvl>
    <w:lvl w:ilvl="1" w:tplc="14090019">
      <w:start w:val="1"/>
      <w:numFmt w:val="lowerLetter"/>
      <w:lvlText w:val="%2."/>
      <w:lvlJc w:val="left"/>
      <w:pPr>
        <w:ind w:left="1128" w:hanging="360"/>
      </w:pPr>
    </w:lvl>
    <w:lvl w:ilvl="2" w:tplc="1409001B" w:tentative="1">
      <w:start w:val="1"/>
      <w:numFmt w:val="lowerRoman"/>
      <w:lvlText w:val="%3."/>
      <w:lvlJc w:val="right"/>
      <w:pPr>
        <w:ind w:left="1848" w:hanging="180"/>
      </w:pPr>
    </w:lvl>
    <w:lvl w:ilvl="3" w:tplc="1409000F" w:tentative="1">
      <w:start w:val="1"/>
      <w:numFmt w:val="decimal"/>
      <w:lvlText w:val="%4."/>
      <w:lvlJc w:val="left"/>
      <w:pPr>
        <w:ind w:left="2568" w:hanging="360"/>
      </w:pPr>
    </w:lvl>
    <w:lvl w:ilvl="4" w:tplc="14090019" w:tentative="1">
      <w:start w:val="1"/>
      <w:numFmt w:val="lowerLetter"/>
      <w:lvlText w:val="%5."/>
      <w:lvlJc w:val="left"/>
      <w:pPr>
        <w:ind w:left="3288" w:hanging="360"/>
      </w:pPr>
    </w:lvl>
    <w:lvl w:ilvl="5" w:tplc="1409001B" w:tentative="1">
      <w:start w:val="1"/>
      <w:numFmt w:val="lowerRoman"/>
      <w:lvlText w:val="%6."/>
      <w:lvlJc w:val="right"/>
      <w:pPr>
        <w:ind w:left="4008" w:hanging="180"/>
      </w:pPr>
    </w:lvl>
    <w:lvl w:ilvl="6" w:tplc="1409000F" w:tentative="1">
      <w:start w:val="1"/>
      <w:numFmt w:val="decimal"/>
      <w:lvlText w:val="%7."/>
      <w:lvlJc w:val="left"/>
      <w:pPr>
        <w:ind w:left="4728" w:hanging="360"/>
      </w:pPr>
    </w:lvl>
    <w:lvl w:ilvl="7" w:tplc="14090019" w:tentative="1">
      <w:start w:val="1"/>
      <w:numFmt w:val="lowerLetter"/>
      <w:lvlText w:val="%8."/>
      <w:lvlJc w:val="left"/>
      <w:pPr>
        <w:ind w:left="5448" w:hanging="360"/>
      </w:pPr>
    </w:lvl>
    <w:lvl w:ilvl="8" w:tplc="1409001B" w:tentative="1">
      <w:start w:val="1"/>
      <w:numFmt w:val="lowerRoman"/>
      <w:lvlText w:val="%9."/>
      <w:lvlJc w:val="right"/>
      <w:pPr>
        <w:ind w:left="6168" w:hanging="180"/>
      </w:pPr>
    </w:lvl>
  </w:abstractNum>
  <w:abstractNum w:abstractNumId="27">
    <w:nsid w:val="31222FBB"/>
    <w:multiLevelType w:val="hybridMultilevel"/>
    <w:tmpl w:val="AFBA0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3D0B00D5"/>
    <w:multiLevelType w:val="hybridMultilevel"/>
    <w:tmpl w:val="0B30AB2E"/>
    <w:lvl w:ilvl="0" w:tplc="259C3022">
      <w:start w:val="1"/>
      <w:numFmt w:val="lowerLetter"/>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32">
    <w:nsid w:val="3F236A50"/>
    <w:multiLevelType w:val="hybridMultilevel"/>
    <w:tmpl w:val="C03A0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1355095"/>
    <w:multiLevelType w:val="hybridMultilevel"/>
    <w:tmpl w:val="1E5637F2"/>
    <w:lvl w:ilvl="0" w:tplc="0D7CA8B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4F2483C"/>
    <w:multiLevelType w:val="hybridMultilevel"/>
    <w:tmpl w:val="BED8FD32"/>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nsid w:val="457862CE"/>
    <w:multiLevelType w:val="hybridMultilevel"/>
    <w:tmpl w:val="94AC09AE"/>
    <w:lvl w:ilvl="0" w:tplc="A7F857CA">
      <w:start w:val="1"/>
      <w:numFmt w:val="lowerLetter"/>
      <w:lvlText w:val="(%1)"/>
      <w:lvlJc w:val="left"/>
      <w:pPr>
        <w:ind w:left="1287" w:hanging="360"/>
      </w:pPr>
      <w:rPr>
        <w:rFonts w:asciiTheme="minorHAnsi" w:eastAsiaTheme="minorHAnsi" w:hAnsiTheme="minorHAnsi" w:cs="Times New Roman"/>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6">
    <w:nsid w:val="45C13748"/>
    <w:multiLevelType w:val="hybridMultilevel"/>
    <w:tmpl w:val="7CB846D0"/>
    <w:lvl w:ilvl="0" w:tplc="427A9D6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46851470"/>
    <w:multiLevelType w:val="hybridMultilevel"/>
    <w:tmpl w:val="7F185FD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3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A0140F2"/>
    <w:multiLevelType w:val="hybridMultilevel"/>
    <w:tmpl w:val="16144688"/>
    <w:lvl w:ilvl="0" w:tplc="45F8B20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4BBF25D7"/>
    <w:multiLevelType w:val="hybridMultilevel"/>
    <w:tmpl w:val="F5E26C78"/>
    <w:lvl w:ilvl="0" w:tplc="960A7402">
      <w:start w:val="1"/>
      <w:numFmt w:val="lowerLetter"/>
      <w:lvlText w:val="%1)"/>
      <w:lvlJc w:val="left"/>
      <w:pPr>
        <w:ind w:left="720" w:hanging="360"/>
      </w:pPr>
      <w:rPr>
        <w:rFonts w:asciiTheme="minorHAnsi" w:eastAsiaTheme="minorHAnsi" w:hAnsiTheme="minorHAnsi" w:cs="GillSans-Ligh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BD44A11"/>
    <w:multiLevelType w:val="hybridMultilevel"/>
    <w:tmpl w:val="CCE2A218"/>
    <w:lvl w:ilvl="0" w:tplc="A15E43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4C593EBE"/>
    <w:multiLevelType w:val="hybridMultilevel"/>
    <w:tmpl w:val="A0881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4CB74DCC"/>
    <w:multiLevelType w:val="hybridMultilevel"/>
    <w:tmpl w:val="BD7261B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4">
    <w:nsid w:val="4DE20BC5"/>
    <w:multiLevelType w:val="hybridMultilevel"/>
    <w:tmpl w:val="CC3A4300"/>
    <w:lvl w:ilvl="0" w:tplc="D264D65E">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4E044498"/>
    <w:multiLevelType w:val="hybridMultilevel"/>
    <w:tmpl w:val="70BC410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508556A1"/>
    <w:multiLevelType w:val="hybridMultilevel"/>
    <w:tmpl w:val="301E64E0"/>
    <w:lvl w:ilvl="0" w:tplc="57C0D1DC">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5306647A"/>
    <w:multiLevelType w:val="hybridMultilevel"/>
    <w:tmpl w:val="C89EE6CE"/>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4993871"/>
    <w:multiLevelType w:val="hybridMultilevel"/>
    <w:tmpl w:val="969A1082"/>
    <w:lvl w:ilvl="0" w:tplc="0D62DF5E">
      <w:start w:val="8"/>
      <w:numFmt w:val="lowerRoman"/>
      <w:lvlText w:val="(%1)"/>
      <w:lvlJc w:val="left"/>
      <w:pPr>
        <w:ind w:left="1284" w:hanging="720"/>
      </w:pPr>
      <w:rPr>
        <w:rFonts w:hint="default"/>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49">
    <w:nsid w:val="54DC3D14"/>
    <w:multiLevelType w:val="hybridMultilevel"/>
    <w:tmpl w:val="B5064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54F805FD"/>
    <w:multiLevelType w:val="hybridMultilevel"/>
    <w:tmpl w:val="8654A62C"/>
    <w:lvl w:ilvl="0" w:tplc="1206CEF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57506CE6"/>
    <w:multiLevelType w:val="hybridMultilevel"/>
    <w:tmpl w:val="05A03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5C3412AC"/>
    <w:multiLevelType w:val="hybridMultilevel"/>
    <w:tmpl w:val="245EA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5CE1662C"/>
    <w:multiLevelType w:val="hybridMultilevel"/>
    <w:tmpl w:val="285EE178"/>
    <w:lvl w:ilvl="0" w:tplc="A9FEE2E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7">
    <w:nsid w:val="60153D7F"/>
    <w:multiLevelType w:val="hybridMultilevel"/>
    <w:tmpl w:val="9B7C885A"/>
    <w:lvl w:ilvl="0" w:tplc="7918141A">
      <w:start w:val="4"/>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60723A25"/>
    <w:multiLevelType w:val="hybridMultilevel"/>
    <w:tmpl w:val="A10E0B84"/>
    <w:lvl w:ilvl="0" w:tplc="3370A5F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0">
    <w:nsid w:val="66C97928"/>
    <w:multiLevelType w:val="hybridMultilevel"/>
    <w:tmpl w:val="4C024428"/>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62">
    <w:nsid w:val="68596870"/>
    <w:multiLevelType w:val="hybridMultilevel"/>
    <w:tmpl w:val="BA0E1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69412D18"/>
    <w:multiLevelType w:val="hybridMultilevel"/>
    <w:tmpl w:val="45DA499C"/>
    <w:lvl w:ilvl="0" w:tplc="31F02B6E">
      <w:start w:val="1"/>
      <w:numFmt w:val="decimal"/>
      <w:lvlText w:val="%1)"/>
      <w:lvlJc w:val="left"/>
      <w:pPr>
        <w:ind w:left="2061" w:hanging="360"/>
      </w:pPr>
      <w:rPr>
        <w:rFonts w:ascii="Calibri" w:eastAsiaTheme="minorHAnsi" w:hAnsi="Calibri" w:cs="Times New Roman"/>
      </w:rPr>
    </w:lvl>
    <w:lvl w:ilvl="1" w:tplc="14090003" w:tentative="1">
      <w:start w:val="1"/>
      <w:numFmt w:val="bullet"/>
      <w:lvlText w:val="o"/>
      <w:lvlJc w:val="left"/>
      <w:pPr>
        <w:ind w:left="2781" w:hanging="360"/>
      </w:pPr>
      <w:rPr>
        <w:rFonts w:ascii="Courier New" w:hAnsi="Courier New" w:cs="Courier New" w:hint="default"/>
      </w:rPr>
    </w:lvl>
    <w:lvl w:ilvl="2" w:tplc="14090005" w:tentative="1">
      <w:start w:val="1"/>
      <w:numFmt w:val="bullet"/>
      <w:lvlText w:val=""/>
      <w:lvlJc w:val="left"/>
      <w:pPr>
        <w:ind w:left="3501" w:hanging="360"/>
      </w:pPr>
      <w:rPr>
        <w:rFonts w:ascii="Wingdings" w:hAnsi="Wingdings" w:hint="default"/>
      </w:rPr>
    </w:lvl>
    <w:lvl w:ilvl="3" w:tplc="14090001" w:tentative="1">
      <w:start w:val="1"/>
      <w:numFmt w:val="bullet"/>
      <w:lvlText w:val=""/>
      <w:lvlJc w:val="left"/>
      <w:pPr>
        <w:ind w:left="4221" w:hanging="360"/>
      </w:pPr>
      <w:rPr>
        <w:rFonts w:ascii="Symbol" w:hAnsi="Symbol" w:hint="default"/>
      </w:rPr>
    </w:lvl>
    <w:lvl w:ilvl="4" w:tplc="14090003" w:tentative="1">
      <w:start w:val="1"/>
      <w:numFmt w:val="bullet"/>
      <w:lvlText w:val="o"/>
      <w:lvlJc w:val="left"/>
      <w:pPr>
        <w:ind w:left="4941" w:hanging="360"/>
      </w:pPr>
      <w:rPr>
        <w:rFonts w:ascii="Courier New" w:hAnsi="Courier New" w:cs="Courier New" w:hint="default"/>
      </w:rPr>
    </w:lvl>
    <w:lvl w:ilvl="5" w:tplc="14090005" w:tentative="1">
      <w:start w:val="1"/>
      <w:numFmt w:val="bullet"/>
      <w:lvlText w:val=""/>
      <w:lvlJc w:val="left"/>
      <w:pPr>
        <w:ind w:left="5661" w:hanging="360"/>
      </w:pPr>
      <w:rPr>
        <w:rFonts w:ascii="Wingdings" w:hAnsi="Wingdings" w:hint="default"/>
      </w:rPr>
    </w:lvl>
    <w:lvl w:ilvl="6" w:tplc="14090001" w:tentative="1">
      <w:start w:val="1"/>
      <w:numFmt w:val="bullet"/>
      <w:lvlText w:val=""/>
      <w:lvlJc w:val="left"/>
      <w:pPr>
        <w:ind w:left="6381" w:hanging="360"/>
      </w:pPr>
      <w:rPr>
        <w:rFonts w:ascii="Symbol" w:hAnsi="Symbol" w:hint="default"/>
      </w:rPr>
    </w:lvl>
    <w:lvl w:ilvl="7" w:tplc="14090003" w:tentative="1">
      <w:start w:val="1"/>
      <w:numFmt w:val="bullet"/>
      <w:lvlText w:val="o"/>
      <w:lvlJc w:val="left"/>
      <w:pPr>
        <w:ind w:left="7101" w:hanging="360"/>
      </w:pPr>
      <w:rPr>
        <w:rFonts w:ascii="Courier New" w:hAnsi="Courier New" w:cs="Courier New" w:hint="default"/>
      </w:rPr>
    </w:lvl>
    <w:lvl w:ilvl="8" w:tplc="14090005" w:tentative="1">
      <w:start w:val="1"/>
      <w:numFmt w:val="bullet"/>
      <w:lvlText w:val=""/>
      <w:lvlJc w:val="left"/>
      <w:pPr>
        <w:ind w:left="7821" w:hanging="360"/>
      </w:pPr>
      <w:rPr>
        <w:rFonts w:ascii="Wingdings" w:hAnsi="Wingdings" w:hint="default"/>
      </w:rPr>
    </w:lvl>
  </w:abstractNum>
  <w:abstractNum w:abstractNumId="64">
    <w:nsid w:val="6AB31ADC"/>
    <w:multiLevelType w:val="hybridMultilevel"/>
    <w:tmpl w:val="3E082F7A"/>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67">
    <w:nsid w:val="70106DEE"/>
    <w:multiLevelType w:val="hybridMultilevel"/>
    <w:tmpl w:val="E3247322"/>
    <w:lvl w:ilvl="0" w:tplc="4CA2597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nsid w:val="73A60006"/>
    <w:multiLevelType w:val="hybridMultilevel"/>
    <w:tmpl w:val="28B8A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70">
    <w:nsid w:val="7CEB0CAA"/>
    <w:multiLevelType w:val="hybridMultilevel"/>
    <w:tmpl w:val="22D24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F110CCD"/>
    <w:multiLevelType w:val="hybridMultilevel"/>
    <w:tmpl w:val="71E24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5"/>
  </w:num>
  <w:num w:numId="2">
    <w:abstractNumId w:val="52"/>
  </w:num>
  <w:num w:numId="3">
    <w:abstractNumId w:val="30"/>
  </w:num>
  <w:num w:numId="4">
    <w:abstractNumId w:val="66"/>
  </w:num>
  <w:num w:numId="5">
    <w:abstractNumId w:val="56"/>
  </w:num>
  <w:num w:numId="6">
    <w:abstractNumId w:val="61"/>
  </w:num>
  <w:num w:numId="7">
    <w:abstractNumId w:val="2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69"/>
  </w:num>
  <w:num w:numId="21">
    <w:abstractNumId w:val="65"/>
  </w:num>
  <w:num w:numId="22">
    <w:abstractNumId w:val="59"/>
  </w:num>
  <w:num w:numId="23">
    <w:abstractNumId w:val="38"/>
  </w:num>
  <w:num w:numId="24">
    <w:abstractNumId w:val="29"/>
  </w:num>
  <w:num w:numId="25">
    <w:abstractNumId w:val="16"/>
  </w:num>
  <w:num w:numId="26">
    <w:abstractNumId w:val="10"/>
  </w:num>
  <w:num w:numId="27">
    <w:abstractNumId w:val="42"/>
  </w:num>
  <w:num w:numId="28">
    <w:abstractNumId w:val="27"/>
  </w:num>
  <w:num w:numId="29">
    <w:abstractNumId w:val="51"/>
  </w:num>
  <w:num w:numId="30">
    <w:abstractNumId w:val="62"/>
  </w:num>
  <w:num w:numId="31">
    <w:abstractNumId w:val="63"/>
  </w:num>
  <w:num w:numId="32">
    <w:abstractNumId w:val="37"/>
  </w:num>
  <w:num w:numId="33">
    <w:abstractNumId w:val="43"/>
  </w:num>
  <w:num w:numId="34">
    <w:abstractNumId w:val="17"/>
  </w:num>
  <w:num w:numId="35">
    <w:abstractNumId w:val="12"/>
  </w:num>
  <w:num w:numId="36">
    <w:abstractNumId w:val="49"/>
  </w:num>
  <w:num w:numId="37">
    <w:abstractNumId w:val="53"/>
  </w:num>
  <w:num w:numId="38">
    <w:abstractNumId w:val="67"/>
  </w:num>
  <w:num w:numId="39">
    <w:abstractNumId w:val="33"/>
  </w:num>
  <w:num w:numId="40">
    <w:abstractNumId w:val="58"/>
  </w:num>
  <w:num w:numId="41">
    <w:abstractNumId w:val="41"/>
  </w:num>
  <w:num w:numId="42">
    <w:abstractNumId w:val="36"/>
  </w:num>
  <w:num w:numId="43">
    <w:abstractNumId w:val="14"/>
  </w:num>
  <w:num w:numId="44">
    <w:abstractNumId w:val="50"/>
  </w:num>
  <w:num w:numId="45">
    <w:abstractNumId w:val="24"/>
  </w:num>
  <w:num w:numId="46">
    <w:abstractNumId w:val="15"/>
  </w:num>
  <w:num w:numId="47">
    <w:abstractNumId w:val="19"/>
  </w:num>
  <w:num w:numId="48">
    <w:abstractNumId w:val="31"/>
  </w:num>
  <w:num w:numId="49">
    <w:abstractNumId w:val="40"/>
  </w:num>
  <w:num w:numId="50">
    <w:abstractNumId w:val="26"/>
  </w:num>
  <w:num w:numId="51">
    <w:abstractNumId w:val="48"/>
  </w:num>
  <w:num w:numId="52">
    <w:abstractNumId w:val="71"/>
  </w:num>
  <w:num w:numId="53">
    <w:abstractNumId w:val="18"/>
  </w:num>
  <w:num w:numId="54">
    <w:abstractNumId w:val="35"/>
  </w:num>
  <w:num w:numId="55">
    <w:abstractNumId w:val="39"/>
  </w:num>
  <w:num w:numId="56">
    <w:abstractNumId w:val="54"/>
  </w:num>
  <w:num w:numId="57">
    <w:abstractNumId w:val="23"/>
  </w:num>
  <w:num w:numId="58">
    <w:abstractNumId w:val="44"/>
  </w:num>
  <w:num w:numId="59">
    <w:abstractNumId w:val="46"/>
  </w:num>
  <w:num w:numId="60">
    <w:abstractNumId w:val="21"/>
  </w:num>
  <w:num w:numId="61">
    <w:abstractNumId w:val="13"/>
  </w:num>
  <w:num w:numId="62">
    <w:abstractNumId w:val="60"/>
  </w:num>
  <w:num w:numId="63">
    <w:abstractNumId w:val="64"/>
  </w:num>
  <w:num w:numId="64">
    <w:abstractNumId w:val="22"/>
  </w:num>
  <w:num w:numId="65">
    <w:abstractNumId w:val="47"/>
  </w:num>
  <w:num w:numId="66">
    <w:abstractNumId w:val="45"/>
  </w:num>
  <w:num w:numId="67">
    <w:abstractNumId w:val="68"/>
  </w:num>
  <w:num w:numId="68">
    <w:abstractNumId w:val="32"/>
  </w:num>
  <w:num w:numId="69">
    <w:abstractNumId w:val="57"/>
  </w:num>
  <w:num w:numId="70">
    <w:abstractNumId w:val="34"/>
  </w:num>
  <w:num w:numId="71">
    <w:abstractNumId w:val="25"/>
  </w:num>
  <w:num w:numId="72">
    <w:abstractNumId w:val="70"/>
  </w:num>
  <w:num w:numId="73">
    <w:abstractNumId w:val="7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6"/>
    <w:rsid w:val="00000868"/>
    <w:rsid w:val="00001BBC"/>
    <w:rsid w:val="00003360"/>
    <w:rsid w:val="00003504"/>
    <w:rsid w:val="00010D49"/>
    <w:rsid w:val="000119B1"/>
    <w:rsid w:val="00012791"/>
    <w:rsid w:val="00015369"/>
    <w:rsid w:val="00020010"/>
    <w:rsid w:val="00024099"/>
    <w:rsid w:val="00034673"/>
    <w:rsid w:val="00034F24"/>
    <w:rsid w:val="00035462"/>
    <w:rsid w:val="0003650D"/>
    <w:rsid w:val="0003765E"/>
    <w:rsid w:val="000409E2"/>
    <w:rsid w:val="0004415F"/>
    <w:rsid w:val="00044EA1"/>
    <w:rsid w:val="000461E2"/>
    <w:rsid w:val="00054E23"/>
    <w:rsid w:val="00056B19"/>
    <w:rsid w:val="00056DB7"/>
    <w:rsid w:val="00063BB2"/>
    <w:rsid w:val="0006732C"/>
    <w:rsid w:val="00070071"/>
    <w:rsid w:val="0007068B"/>
    <w:rsid w:val="00076035"/>
    <w:rsid w:val="00077013"/>
    <w:rsid w:val="000819F9"/>
    <w:rsid w:val="0008403F"/>
    <w:rsid w:val="00091C3A"/>
    <w:rsid w:val="000936F4"/>
    <w:rsid w:val="000B0F5B"/>
    <w:rsid w:val="000B4B60"/>
    <w:rsid w:val="000C1E77"/>
    <w:rsid w:val="000C4B1F"/>
    <w:rsid w:val="000D6F08"/>
    <w:rsid w:val="000E555B"/>
    <w:rsid w:val="000E64F7"/>
    <w:rsid w:val="000E677B"/>
    <w:rsid w:val="000F1104"/>
    <w:rsid w:val="000F4ADF"/>
    <w:rsid w:val="000F59E8"/>
    <w:rsid w:val="000F61AF"/>
    <w:rsid w:val="0010171C"/>
    <w:rsid w:val="00102FAD"/>
    <w:rsid w:val="00114CFA"/>
    <w:rsid w:val="001154CC"/>
    <w:rsid w:val="001177D3"/>
    <w:rsid w:val="00121870"/>
    <w:rsid w:val="00122653"/>
    <w:rsid w:val="001254AB"/>
    <w:rsid w:val="00127485"/>
    <w:rsid w:val="00131262"/>
    <w:rsid w:val="00137461"/>
    <w:rsid w:val="001413A3"/>
    <w:rsid w:val="00141B2E"/>
    <w:rsid w:val="0015568C"/>
    <w:rsid w:val="00156B6F"/>
    <w:rsid w:val="00163BFE"/>
    <w:rsid w:val="0016433D"/>
    <w:rsid w:val="0016478F"/>
    <w:rsid w:val="001669DD"/>
    <w:rsid w:val="00173B4F"/>
    <w:rsid w:val="001763E3"/>
    <w:rsid w:val="001823BF"/>
    <w:rsid w:val="00183257"/>
    <w:rsid w:val="00183891"/>
    <w:rsid w:val="00187F6D"/>
    <w:rsid w:val="00191169"/>
    <w:rsid w:val="00192A67"/>
    <w:rsid w:val="001955BC"/>
    <w:rsid w:val="00195AE6"/>
    <w:rsid w:val="001A420E"/>
    <w:rsid w:val="001A5F55"/>
    <w:rsid w:val="001B0E80"/>
    <w:rsid w:val="001B2057"/>
    <w:rsid w:val="001B2067"/>
    <w:rsid w:val="001B58FF"/>
    <w:rsid w:val="001B5B05"/>
    <w:rsid w:val="001B6323"/>
    <w:rsid w:val="001C0031"/>
    <w:rsid w:val="001C2326"/>
    <w:rsid w:val="001C30C7"/>
    <w:rsid w:val="001C4364"/>
    <w:rsid w:val="001C6D4C"/>
    <w:rsid w:val="001D0111"/>
    <w:rsid w:val="001D25F0"/>
    <w:rsid w:val="001D3466"/>
    <w:rsid w:val="001D6E95"/>
    <w:rsid w:val="001F773B"/>
    <w:rsid w:val="00200C88"/>
    <w:rsid w:val="00205380"/>
    <w:rsid w:val="00205FE8"/>
    <w:rsid w:val="00206405"/>
    <w:rsid w:val="00206BA3"/>
    <w:rsid w:val="00214499"/>
    <w:rsid w:val="00215160"/>
    <w:rsid w:val="00215164"/>
    <w:rsid w:val="00217470"/>
    <w:rsid w:val="00217ACB"/>
    <w:rsid w:val="0022044A"/>
    <w:rsid w:val="002224B4"/>
    <w:rsid w:val="00223BF9"/>
    <w:rsid w:val="002256D2"/>
    <w:rsid w:val="00226D5E"/>
    <w:rsid w:val="002360B0"/>
    <w:rsid w:val="00237A3D"/>
    <w:rsid w:val="00240E83"/>
    <w:rsid w:val="002412C6"/>
    <w:rsid w:val="00246816"/>
    <w:rsid w:val="002502D1"/>
    <w:rsid w:val="00250B74"/>
    <w:rsid w:val="00255CA6"/>
    <w:rsid w:val="00255D6C"/>
    <w:rsid w:val="00257B04"/>
    <w:rsid w:val="00263CE7"/>
    <w:rsid w:val="002647D1"/>
    <w:rsid w:val="00267DB3"/>
    <w:rsid w:val="00270EEC"/>
    <w:rsid w:val="00272496"/>
    <w:rsid w:val="0027480E"/>
    <w:rsid w:val="00274C03"/>
    <w:rsid w:val="00275C1A"/>
    <w:rsid w:val="002806A2"/>
    <w:rsid w:val="00280D2C"/>
    <w:rsid w:val="0028779E"/>
    <w:rsid w:val="00291AE4"/>
    <w:rsid w:val="002928C3"/>
    <w:rsid w:val="002969AE"/>
    <w:rsid w:val="00297CC7"/>
    <w:rsid w:val="002A194F"/>
    <w:rsid w:val="002A4BD9"/>
    <w:rsid w:val="002A4FE7"/>
    <w:rsid w:val="002B1CEB"/>
    <w:rsid w:val="002B25CB"/>
    <w:rsid w:val="002B57F4"/>
    <w:rsid w:val="002C2E36"/>
    <w:rsid w:val="002C3CB5"/>
    <w:rsid w:val="002C613E"/>
    <w:rsid w:val="002D0B11"/>
    <w:rsid w:val="002D7658"/>
    <w:rsid w:val="002E022E"/>
    <w:rsid w:val="002E3FB6"/>
    <w:rsid w:val="002E60B8"/>
    <w:rsid w:val="002E6863"/>
    <w:rsid w:val="002F113D"/>
    <w:rsid w:val="0030084C"/>
    <w:rsid w:val="003024C1"/>
    <w:rsid w:val="00311F3B"/>
    <w:rsid w:val="003129BA"/>
    <w:rsid w:val="003148FC"/>
    <w:rsid w:val="00317B5C"/>
    <w:rsid w:val="0032484F"/>
    <w:rsid w:val="00330820"/>
    <w:rsid w:val="00332731"/>
    <w:rsid w:val="003439F8"/>
    <w:rsid w:val="00343F97"/>
    <w:rsid w:val="0034735A"/>
    <w:rsid w:val="00350FA0"/>
    <w:rsid w:val="00356224"/>
    <w:rsid w:val="00363304"/>
    <w:rsid w:val="00370FC0"/>
    <w:rsid w:val="00372433"/>
    <w:rsid w:val="00373206"/>
    <w:rsid w:val="00373624"/>
    <w:rsid w:val="0037412F"/>
    <w:rsid w:val="0037449C"/>
    <w:rsid w:val="003749EF"/>
    <w:rsid w:val="00374F84"/>
    <w:rsid w:val="00382E31"/>
    <w:rsid w:val="0038314D"/>
    <w:rsid w:val="00395B62"/>
    <w:rsid w:val="003A10DA"/>
    <w:rsid w:val="003A12C8"/>
    <w:rsid w:val="003A4F22"/>
    <w:rsid w:val="003A6B98"/>
    <w:rsid w:val="003A6FFE"/>
    <w:rsid w:val="003B3A23"/>
    <w:rsid w:val="003B62D1"/>
    <w:rsid w:val="003B6F71"/>
    <w:rsid w:val="003C179F"/>
    <w:rsid w:val="003D4592"/>
    <w:rsid w:val="003D6C68"/>
    <w:rsid w:val="003E2BDE"/>
    <w:rsid w:val="003E3347"/>
    <w:rsid w:val="003E5772"/>
    <w:rsid w:val="003E7293"/>
    <w:rsid w:val="003F3CD1"/>
    <w:rsid w:val="003F55CB"/>
    <w:rsid w:val="003F5886"/>
    <w:rsid w:val="0040020C"/>
    <w:rsid w:val="004005C0"/>
    <w:rsid w:val="00402094"/>
    <w:rsid w:val="00403F0D"/>
    <w:rsid w:val="0040700B"/>
    <w:rsid w:val="004075F8"/>
    <w:rsid w:val="00407F54"/>
    <w:rsid w:val="00410F60"/>
    <w:rsid w:val="00411341"/>
    <w:rsid w:val="00413966"/>
    <w:rsid w:val="004144E2"/>
    <w:rsid w:val="00415CDB"/>
    <w:rsid w:val="00421D03"/>
    <w:rsid w:val="004231DC"/>
    <w:rsid w:val="0042551E"/>
    <w:rsid w:val="0042634B"/>
    <w:rsid w:val="00427802"/>
    <w:rsid w:val="00430658"/>
    <w:rsid w:val="00433AD8"/>
    <w:rsid w:val="00434DB4"/>
    <w:rsid w:val="00435A83"/>
    <w:rsid w:val="00445D9C"/>
    <w:rsid w:val="0044712C"/>
    <w:rsid w:val="0045158F"/>
    <w:rsid w:val="004552A0"/>
    <w:rsid w:val="00456CCF"/>
    <w:rsid w:val="00457015"/>
    <w:rsid w:val="00457544"/>
    <w:rsid w:val="00460A83"/>
    <w:rsid w:val="00467C1F"/>
    <w:rsid w:val="004723ED"/>
    <w:rsid w:val="00477619"/>
    <w:rsid w:val="0048441E"/>
    <w:rsid w:val="00485B35"/>
    <w:rsid w:val="00485C94"/>
    <w:rsid w:val="00486E6E"/>
    <w:rsid w:val="00491BBC"/>
    <w:rsid w:val="004972F6"/>
    <w:rsid w:val="004A4292"/>
    <w:rsid w:val="004A5823"/>
    <w:rsid w:val="004A58F8"/>
    <w:rsid w:val="004A649B"/>
    <w:rsid w:val="004B0AAF"/>
    <w:rsid w:val="004B3924"/>
    <w:rsid w:val="004B395E"/>
    <w:rsid w:val="004B3E80"/>
    <w:rsid w:val="004C2AD0"/>
    <w:rsid w:val="004C4DDD"/>
    <w:rsid w:val="004D1706"/>
    <w:rsid w:val="004D243F"/>
    <w:rsid w:val="004D409F"/>
    <w:rsid w:val="004D5920"/>
    <w:rsid w:val="004D6BFF"/>
    <w:rsid w:val="004D7473"/>
    <w:rsid w:val="004D7DFF"/>
    <w:rsid w:val="004E0F69"/>
    <w:rsid w:val="004E21A0"/>
    <w:rsid w:val="004E49B9"/>
    <w:rsid w:val="004E4ED2"/>
    <w:rsid w:val="004F10DE"/>
    <w:rsid w:val="004F2F97"/>
    <w:rsid w:val="004F4676"/>
    <w:rsid w:val="004F684A"/>
    <w:rsid w:val="004F6CDB"/>
    <w:rsid w:val="005001D9"/>
    <w:rsid w:val="00512ACB"/>
    <w:rsid w:val="005162BE"/>
    <w:rsid w:val="0051774E"/>
    <w:rsid w:val="0052012D"/>
    <w:rsid w:val="00521451"/>
    <w:rsid w:val="0052216D"/>
    <w:rsid w:val="0052268D"/>
    <w:rsid w:val="00526115"/>
    <w:rsid w:val="00527FDC"/>
    <w:rsid w:val="00532429"/>
    <w:rsid w:val="00533FAF"/>
    <w:rsid w:val="00534036"/>
    <w:rsid w:val="005366B6"/>
    <w:rsid w:val="00543CC9"/>
    <w:rsid w:val="005528E5"/>
    <w:rsid w:val="005608F4"/>
    <w:rsid w:val="00561A97"/>
    <w:rsid w:val="00563DAC"/>
    <w:rsid w:val="00564541"/>
    <w:rsid w:val="005675E0"/>
    <w:rsid w:val="00570C00"/>
    <w:rsid w:val="00577BB8"/>
    <w:rsid w:val="005808C9"/>
    <w:rsid w:val="0058206B"/>
    <w:rsid w:val="005822D6"/>
    <w:rsid w:val="00585690"/>
    <w:rsid w:val="005872C6"/>
    <w:rsid w:val="00590667"/>
    <w:rsid w:val="005930E3"/>
    <w:rsid w:val="00595B33"/>
    <w:rsid w:val="00595C01"/>
    <w:rsid w:val="0059662F"/>
    <w:rsid w:val="005A7BCE"/>
    <w:rsid w:val="005B327C"/>
    <w:rsid w:val="005C073B"/>
    <w:rsid w:val="005C2B6D"/>
    <w:rsid w:val="005C3736"/>
    <w:rsid w:val="005D224C"/>
    <w:rsid w:val="005D3066"/>
    <w:rsid w:val="005D40F5"/>
    <w:rsid w:val="005E1508"/>
    <w:rsid w:val="005E2C5B"/>
    <w:rsid w:val="005E3715"/>
    <w:rsid w:val="005E4B13"/>
    <w:rsid w:val="005E4C02"/>
    <w:rsid w:val="005F01DF"/>
    <w:rsid w:val="005F0E3D"/>
    <w:rsid w:val="005F13C0"/>
    <w:rsid w:val="005F655E"/>
    <w:rsid w:val="005F76CC"/>
    <w:rsid w:val="005F7FF8"/>
    <w:rsid w:val="006009F8"/>
    <w:rsid w:val="00600CA4"/>
    <w:rsid w:val="00602416"/>
    <w:rsid w:val="00603854"/>
    <w:rsid w:val="00603BF3"/>
    <w:rsid w:val="006041F2"/>
    <w:rsid w:val="00610B7D"/>
    <w:rsid w:val="00613466"/>
    <w:rsid w:val="006138A4"/>
    <w:rsid w:val="00617CD8"/>
    <w:rsid w:val="00621FC0"/>
    <w:rsid w:val="006252A2"/>
    <w:rsid w:val="00627577"/>
    <w:rsid w:val="00630F6C"/>
    <w:rsid w:val="006355D3"/>
    <w:rsid w:val="0064690C"/>
    <w:rsid w:val="00646C6C"/>
    <w:rsid w:val="006514FC"/>
    <w:rsid w:val="0065281E"/>
    <w:rsid w:val="00652A6D"/>
    <w:rsid w:val="006533A4"/>
    <w:rsid w:val="00655423"/>
    <w:rsid w:val="006616C2"/>
    <w:rsid w:val="00662716"/>
    <w:rsid w:val="006649B6"/>
    <w:rsid w:val="0067032D"/>
    <w:rsid w:val="00671EFC"/>
    <w:rsid w:val="00673581"/>
    <w:rsid w:val="00675603"/>
    <w:rsid w:val="00675F3F"/>
    <w:rsid w:val="00676F0E"/>
    <w:rsid w:val="00677B13"/>
    <w:rsid w:val="00677F4E"/>
    <w:rsid w:val="00680762"/>
    <w:rsid w:val="00681A08"/>
    <w:rsid w:val="00681A55"/>
    <w:rsid w:val="006832F2"/>
    <w:rsid w:val="00685ECF"/>
    <w:rsid w:val="006875B8"/>
    <w:rsid w:val="00687CEA"/>
    <w:rsid w:val="006916DF"/>
    <w:rsid w:val="00695B75"/>
    <w:rsid w:val="00695C4D"/>
    <w:rsid w:val="006A1A95"/>
    <w:rsid w:val="006A38B7"/>
    <w:rsid w:val="006A42F1"/>
    <w:rsid w:val="006A4D2F"/>
    <w:rsid w:val="006B1CB2"/>
    <w:rsid w:val="006B1DD1"/>
    <w:rsid w:val="006B3396"/>
    <w:rsid w:val="006C21E0"/>
    <w:rsid w:val="006C6AF4"/>
    <w:rsid w:val="006C7EAD"/>
    <w:rsid w:val="006D638F"/>
    <w:rsid w:val="006E072B"/>
    <w:rsid w:val="006E173F"/>
    <w:rsid w:val="006E1CF5"/>
    <w:rsid w:val="006E3FA4"/>
    <w:rsid w:val="006E4DF8"/>
    <w:rsid w:val="006E63C8"/>
    <w:rsid w:val="006E7BF7"/>
    <w:rsid w:val="006F247A"/>
    <w:rsid w:val="006F2FD0"/>
    <w:rsid w:val="006F54E6"/>
    <w:rsid w:val="007000B4"/>
    <w:rsid w:val="00702C66"/>
    <w:rsid w:val="007030C7"/>
    <w:rsid w:val="00703FD0"/>
    <w:rsid w:val="007068C8"/>
    <w:rsid w:val="00706C7C"/>
    <w:rsid w:val="00707E88"/>
    <w:rsid w:val="00715B8F"/>
    <w:rsid w:val="0072047F"/>
    <w:rsid w:val="007208ED"/>
    <w:rsid w:val="00720C27"/>
    <w:rsid w:val="00721BE2"/>
    <w:rsid w:val="00721CA0"/>
    <w:rsid w:val="00724C09"/>
    <w:rsid w:val="00730342"/>
    <w:rsid w:val="0073106E"/>
    <w:rsid w:val="00733884"/>
    <w:rsid w:val="00735949"/>
    <w:rsid w:val="007378F2"/>
    <w:rsid w:val="0075025C"/>
    <w:rsid w:val="00755EE1"/>
    <w:rsid w:val="00756BB7"/>
    <w:rsid w:val="0075764B"/>
    <w:rsid w:val="00757A08"/>
    <w:rsid w:val="00760314"/>
    <w:rsid w:val="00760C01"/>
    <w:rsid w:val="00761293"/>
    <w:rsid w:val="007641DA"/>
    <w:rsid w:val="00766C49"/>
    <w:rsid w:val="00766E29"/>
    <w:rsid w:val="00767C04"/>
    <w:rsid w:val="00767E0D"/>
    <w:rsid w:val="00771E2F"/>
    <w:rsid w:val="00773578"/>
    <w:rsid w:val="007736A2"/>
    <w:rsid w:val="007749E1"/>
    <w:rsid w:val="00774A4A"/>
    <w:rsid w:val="00780679"/>
    <w:rsid w:val="00781493"/>
    <w:rsid w:val="00782648"/>
    <w:rsid w:val="00793B4E"/>
    <w:rsid w:val="00795552"/>
    <w:rsid w:val="00796F9A"/>
    <w:rsid w:val="007A6226"/>
    <w:rsid w:val="007B2FAF"/>
    <w:rsid w:val="007B3C61"/>
    <w:rsid w:val="007B693B"/>
    <w:rsid w:val="007B79FC"/>
    <w:rsid w:val="007C6D44"/>
    <w:rsid w:val="007C77EC"/>
    <w:rsid w:val="007C7D00"/>
    <w:rsid w:val="007D0531"/>
    <w:rsid w:val="007D1918"/>
    <w:rsid w:val="007D3715"/>
    <w:rsid w:val="007D677D"/>
    <w:rsid w:val="007D7219"/>
    <w:rsid w:val="007F54D5"/>
    <w:rsid w:val="00801B5B"/>
    <w:rsid w:val="00806E1E"/>
    <w:rsid w:val="0080740E"/>
    <w:rsid w:val="00811268"/>
    <w:rsid w:val="0081719E"/>
    <w:rsid w:val="008217EB"/>
    <w:rsid w:val="0082264B"/>
    <w:rsid w:val="008272AF"/>
    <w:rsid w:val="0082765B"/>
    <w:rsid w:val="00827E74"/>
    <w:rsid w:val="00834EB5"/>
    <w:rsid w:val="008356C9"/>
    <w:rsid w:val="00835BD7"/>
    <w:rsid w:val="0083600E"/>
    <w:rsid w:val="008369E1"/>
    <w:rsid w:val="00837272"/>
    <w:rsid w:val="00843A43"/>
    <w:rsid w:val="00843D71"/>
    <w:rsid w:val="0084745A"/>
    <w:rsid w:val="00847BB3"/>
    <w:rsid w:val="00853DF8"/>
    <w:rsid w:val="00854409"/>
    <w:rsid w:val="00860E2F"/>
    <w:rsid w:val="008646B7"/>
    <w:rsid w:val="00870045"/>
    <w:rsid w:val="00876E5F"/>
    <w:rsid w:val="00886285"/>
    <w:rsid w:val="00887053"/>
    <w:rsid w:val="00890CE4"/>
    <w:rsid w:val="00892B2B"/>
    <w:rsid w:val="00893D5A"/>
    <w:rsid w:val="00894177"/>
    <w:rsid w:val="00896745"/>
    <w:rsid w:val="008A040C"/>
    <w:rsid w:val="008A1694"/>
    <w:rsid w:val="008A17CB"/>
    <w:rsid w:val="008A3282"/>
    <w:rsid w:val="008A3390"/>
    <w:rsid w:val="008A5772"/>
    <w:rsid w:val="008B11FC"/>
    <w:rsid w:val="008B30DD"/>
    <w:rsid w:val="008B7F65"/>
    <w:rsid w:val="008C0CBF"/>
    <w:rsid w:val="008C30BB"/>
    <w:rsid w:val="008C3187"/>
    <w:rsid w:val="008C5E4F"/>
    <w:rsid w:val="008D2ACE"/>
    <w:rsid w:val="008D63B7"/>
    <w:rsid w:val="008D6A03"/>
    <w:rsid w:val="008D71D9"/>
    <w:rsid w:val="008E14FC"/>
    <w:rsid w:val="008E3ACD"/>
    <w:rsid w:val="008E69BD"/>
    <w:rsid w:val="008E6D1A"/>
    <w:rsid w:val="008E7FEE"/>
    <w:rsid w:val="008F43E1"/>
    <w:rsid w:val="008F67F5"/>
    <w:rsid w:val="008F6BCE"/>
    <w:rsid w:val="008F732C"/>
    <w:rsid w:val="008F7975"/>
    <w:rsid w:val="00900D4B"/>
    <w:rsid w:val="009036FC"/>
    <w:rsid w:val="0091152F"/>
    <w:rsid w:val="00912401"/>
    <w:rsid w:val="009170B9"/>
    <w:rsid w:val="00920FD4"/>
    <w:rsid w:val="00922845"/>
    <w:rsid w:val="00924828"/>
    <w:rsid w:val="00925124"/>
    <w:rsid w:val="00927482"/>
    <w:rsid w:val="0095112B"/>
    <w:rsid w:val="00954E7C"/>
    <w:rsid w:val="00963F13"/>
    <w:rsid w:val="00967681"/>
    <w:rsid w:val="00970DA1"/>
    <w:rsid w:val="009724ED"/>
    <w:rsid w:val="00973A6D"/>
    <w:rsid w:val="0098403A"/>
    <w:rsid w:val="009865AA"/>
    <w:rsid w:val="00987080"/>
    <w:rsid w:val="0098765A"/>
    <w:rsid w:val="00992DDC"/>
    <w:rsid w:val="009952C0"/>
    <w:rsid w:val="009959B5"/>
    <w:rsid w:val="009968B0"/>
    <w:rsid w:val="00996A48"/>
    <w:rsid w:val="009A4633"/>
    <w:rsid w:val="009A6595"/>
    <w:rsid w:val="009A6CB2"/>
    <w:rsid w:val="009B0982"/>
    <w:rsid w:val="009B1FA4"/>
    <w:rsid w:val="009B2EF7"/>
    <w:rsid w:val="009B4C99"/>
    <w:rsid w:val="009C05A5"/>
    <w:rsid w:val="009C41FF"/>
    <w:rsid w:val="009C5B40"/>
    <w:rsid w:val="009C70C6"/>
    <w:rsid w:val="009D28CF"/>
    <w:rsid w:val="009D36D8"/>
    <w:rsid w:val="009D7EB0"/>
    <w:rsid w:val="009E009A"/>
    <w:rsid w:val="009E1465"/>
    <w:rsid w:val="009E482A"/>
    <w:rsid w:val="009E5D36"/>
    <w:rsid w:val="009E6BB4"/>
    <w:rsid w:val="009E7352"/>
    <w:rsid w:val="009E7CA0"/>
    <w:rsid w:val="009F2243"/>
    <w:rsid w:val="00A02DCF"/>
    <w:rsid w:val="00A02FBB"/>
    <w:rsid w:val="00A03052"/>
    <w:rsid w:val="00A04392"/>
    <w:rsid w:val="00A045A4"/>
    <w:rsid w:val="00A059AC"/>
    <w:rsid w:val="00A147CA"/>
    <w:rsid w:val="00A16003"/>
    <w:rsid w:val="00A167D7"/>
    <w:rsid w:val="00A23D44"/>
    <w:rsid w:val="00A245D5"/>
    <w:rsid w:val="00A24FBB"/>
    <w:rsid w:val="00A2527A"/>
    <w:rsid w:val="00A26923"/>
    <w:rsid w:val="00A32C18"/>
    <w:rsid w:val="00A42ED2"/>
    <w:rsid w:val="00A44B33"/>
    <w:rsid w:val="00A50E00"/>
    <w:rsid w:val="00A5157D"/>
    <w:rsid w:val="00A52529"/>
    <w:rsid w:val="00A53118"/>
    <w:rsid w:val="00A53624"/>
    <w:rsid w:val="00A5527E"/>
    <w:rsid w:val="00A55EAF"/>
    <w:rsid w:val="00A5766B"/>
    <w:rsid w:val="00A62E69"/>
    <w:rsid w:val="00A654D4"/>
    <w:rsid w:val="00A67F89"/>
    <w:rsid w:val="00A71EE3"/>
    <w:rsid w:val="00A73BAA"/>
    <w:rsid w:val="00A749E3"/>
    <w:rsid w:val="00A76877"/>
    <w:rsid w:val="00A77B3B"/>
    <w:rsid w:val="00A80544"/>
    <w:rsid w:val="00A806B0"/>
    <w:rsid w:val="00A8447E"/>
    <w:rsid w:val="00A863E3"/>
    <w:rsid w:val="00A904B8"/>
    <w:rsid w:val="00A942F2"/>
    <w:rsid w:val="00A95C13"/>
    <w:rsid w:val="00A9690E"/>
    <w:rsid w:val="00AA76BC"/>
    <w:rsid w:val="00AB1E5E"/>
    <w:rsid w:val="00AB3A92"/>
    <w:rsid w:val="00AB3E28"/>
    <w:rsid w:val="00AB478B"/>
    <w:rsid w:val="00AB4AD9"/>
    <w:rsid w:val="00AB635D"/>
    <w:rsid w:val="00AC2D0A"/>
    <w:rsid w:val="00AC5D1A"/>
    <w:rsid w:val="00AD0312"/>
    <w:rsid w:val="00AD2CC7"/>
    <w:rsid w:val="00AD32D1"/>
    <w:rsid w:val="00AD65ED"/>
    <w:rsid w:val="00AD6E77"/>
    <w:rsid w:val="00AD7A25"/>
    <w:rsid w:val="00AE0C1E"/>
    <w:rsid w:val="00AE334D"/>
    <w:rsid w:val="00AF3A5A"/>
    <w:rsid w:val="00AF5218"/>
    <w:rsid w:val="00AF69EA"/>
    <w:rsid w:val="00B01182"/>
    <w:rsid w:val="00B0279A"/>
    <w:rsid w:val="00B0480E"/>
    <w:rsid w:val="00B04EA8"/>
    <w:rsid w:val="00B1026A"/>
    <w:rsid w:val="00B11356"/>
    <w:rsid w:val="00B14DAE"/>
    <w:rsid w:val="00B15B39"/>
    <w:rsid w:val="00B17C05"/>
    <w:rsid w:val="00B21166"/>
    <w:rsid w:val="00B21694"/>
    <w:rsid w:val="00B2243E"/>
    <w:rsid w:val="00B233C9"/>
    <w:rsid w:val="00B235EC"/>
    <w:rsid w:val="00B263AE"/>
    <w:rsid w:val="00B3351D"/>
    <w:rsid w:val="00B34557"/>
    <w:rsid w:val="00B40588"/>
    <w:rsid w:val="00B411F6"/>
    <w:rsid w:val="00B41428"/>
    <w:rsid w:val="00B45C34"/>
    <w:rsid w:val="00B47091"/>
    <w:rsid w:val="00B537B6"/>
    <w:rsid w:val="00B56B9F"/>
    <w:rsid w:val="00B56C12"/>
    <w:rsid w:val="00B60DDE"/>
    <w:rsid w:val="00B62C3E"/>
    <w:rsid w:val="00B645DE"/>
    <w:rsid w:val="00B65857"/>
    <w:rsid w:val="00B66698"/>
    <w:rsid w:val="00B676D2"/>
    <w:rsid w:val="00B7260E"/>
    <w:rsid w:val="00B745DC"/>
    <w:rsid w:val="00B80CDA"/>
    <w:rsid w:val="00B817D3"/>
    <w:rsid w:val="00B837D1"/>
    <w:rsid w:val="00B8382B"/>
    <w:rsid w:val="00B84350"/>
    <w:rsid w:val="00B855A6"/>
    <w:rsid w:val="00B91098"/>
    <w:rsid w:val="00B91904"/>
    <w:rsid w:val="00B92735"/>
    <w:rsid w:val="00B96689"/>
    <w:rsid w:val="00B969ED"/>
    <w:rsid w:val="00BA0264"/>
    <w:rsid w:val="00BA197B"/>
    <w:rsid w:val="00BA2C33"/>
    <w:rsid w:val="00BA3AAC"/>
    <w:rsid w:val="00BA5D4B"/>
    <w:rsid w:val="00BB070C"/>
    <w:rsid w:val="00BB0D90"/>
    <w:rsid w:val="00BB18F0"/>
    <w:rsid w:val="00BB197A"/>
    <w:rsid w:val="00BB2D31"/>
    <w:rsid w:val="00BB60C6"/>
    <w:rsid w:val="00BB705F"/>
    <w:rsid w:val="00BB7984"/>
    <w:rsid w:val="00BC6A06"/>
    <w:rsid w:val="00BD137C"/>
    <w:rsid w:val="00BD4A0C"/>
    <w:rsid w:val="00BD60D9"/>
    <w:rsid w:val="00BE2A74"/>
    <w:rsid w:val="00BE3B43"/>
    <w:rsid w:val="00BE5E89"/>
    <w:rsid w:val="00BF03AC"/>
    <w:rsid w:val="00BF1BB1"/>
    <w:rsid w:val="00BF2BD4"/>
    <w:rsid w:val="00BF790D"/>
    <w:rsid w:val="00C004B4"/>
    <w:rsid w:val="00C025F4"/>
    <w:rsid w:val="00C03596"/>
    <w:rsid w:val="00C03BBB"/>
    <w:rsid w:val="00C04C37"/>
    <w:rsid w:val="00C0707B"/>
    <w:rsid w:val="00C12F0B"/>
    <w:rsid w:val="00C15918"/>
    <w:rsid w:val="00C15A13"/>
    <w:rsid w:val="00C2307B"/>
    <w:rsid w:val="00C238D9"/>
    <w:rsid w:val="00C24A9D"/>
    <w:rsid w:val="00C2592F"/>
    <w:rsid w:val="00C2677E"/>
    <w:rsid w:val="00C27E1D"/>
    <w:rsid w:val="00C31542"/>
    <w:rsid w:val="00C376B6"/>
    <w:rsid w:val="00C415D6"/>
    <w:rsid w:val="00C450F8"/>
    <w:rsid w:val="00C4706D"/>
    <w:rsid w:val="00C47642"/>
    <w:rsid w:val="00C53F5B"/>
    <w:rsid w:val="00C57C33"/>
    <w:rsid w:val="00C6078D"/>
    <w:rsid w:val="00C609BB"/>
    <w:rsid w:val="00C61616"/>
    <w:rsid w:val="00C657CF"/>
    <w:rsid w:val="00C74A21"/>
    <w:rsid w:val="00C7650A"/>
    <w:rsid w:val="00C80094"/>
    <w:rsid w:val="00C80D62"/>
    <w:rsid w:val="00C834AA"/>
    <w:rsid w:val="00C90769"/>
    <w:rsid w:val="00C90EA8"/>
    <w:rsid w:val="00C90EC4"/>
    <w:rsid w:val="00C91C2C"/>
    <w:rsid w:val="00C948A1"/>
    <w:rsid w:val="00C96BFD"/>
    <w:rsid w:val="00CA01D1"/>
    <w:rsid w:val="00CA1459"/>
    <w:rsid w:val="00CA4ECC"/>
    <w:rsid w:val="00CA5358"/>
    <w:rsid w:val="00CB1F44"/>
    <w:rsid w:val="00CB3396"/>
    <w:rsid w:val="00CC1741"/>
    <w:rsid w:val="00CC6A6B"/>
    <w:rsid w:val="00CD11D1"/>
    <w:rsid w:val="00CD2925"/>
    <w:rsid w:val="00CD3ECB"/>
    <w:rsid w:val="00CD502A"/>
    <w:rsid w:val="00CD72FD"/>
    <w:rsid w:val="00CE2CB8"/>
    <w:rsid w:val="00CE6A64"/>
    <w:rsid w:val="00CF00DB"/>
    <w:rsid w:val="00CF12CF"/>
    <w:rsid w:val="00CF4DD1"/>
    <w:rsid w:val="00D0483C"/>
    <w:rsid w:val="00D05BB6"/>
    <w:rsid w:val="00D060D2"/>
    <w:rsid w:val="00D079CA"/>
    <w:rsid w:val="00D11468"/>
    <w:rsid w:val="00D117FA"/>
    <w:rsid w:val="00D12EAB"/>
    <w:rsid w:val="00D14394"/>
    <w:rsid w:val="00D15345"/>
    <w:rsid w:val="00D242CD"/>
    <w:rsid w:val="00D31052"/>
    <w:rsid w:val="00D32355"/>
    <w:rsid w:val="00D341C3"/>
    <w:rsid w:val="00D34737"/>
    <w:rsid w:val="00D3522E"/>
    <w:rsid w:val="00D35FB6"/>
    <w:rsid w:val="00D376D8"/>
    <w:rsid w:val="00D40C49"/>
    <w:rsid w:val="00D42843"/>
    <w:rsid w:val="00D5152A"/>
    <w:rsid w:val="00D54BCC"/>
    <w:rsid w:val="00D5611E"/>
    <w:rsid w:val="00D61E32"/>
    <w:rsid w:val="00D64AB9"/>
    <w:rsid w:val="00D65145"/>
    <w:rsid w:val="00D735AF"/>
    <w:rsid w:val="00D74314"/>
    <w:rsid w:val="00D767C1"/>
    <w:rsid w:val="00D76A43"/>
    <w:rsid w:val="00D778C8"/>
    <w:rsid w:val="00D77F8F"/>
    <w:rsid w:val="00D80222"/>
    <w:rsid w:val="00D8187A"/>
    <w:rsid w:val="00D855AE"/>
    <w:rsid w:val="00D90635"/>
    <w:rsid w:val="00D92505"/>
    <w:rsid w:val="00D92C3D"/>
    <w:rsid w:val="00D955C8"/>
    <w:rsid w:val="00DA0CB9"/>
    <w:rsid w:val="00DA267C"/>
    <w:rsid w:val="00DA5101"/>
    <w:rsid w:val="00DA79EF"/>
    <w:rsid w:val="00DB071C"/>
    <w:rsid w:val="00DB0C0B"/>
    <w:rsid w:val="00DB1BF5"/>
    <w:rsid w:val="00DB2BA4"/>
    <w:rsid w:val="00DB3B74"/>
    <w:rsid w:val="00DB4CA7"/>
    <w:rsid w:val="00DB6134"/>
    <w:rsid w:val="00DC2F52"/>
    <w:rsid w:val="00DC5870"/>
    <w:rsid w:val="00DD0384"/>
    <w:rsid w:val="00DD0901"/>
    <w:rsid w:val="00DD21E9"/>
    <w:rsid w:val="00DD2F77"/>
    <w:rsid w:val="00DE1437"/>
    <w:rsid w:val="00DE16B6"/>
    <w:rsid w:val="00DE2BC8"/>
    <w:rsid w:val="00DE36CA"/>
    <w:rsid w:val="00DE4F8D"/>
    <w:rsid w:val="00DE7948"/>
    <w:rsid w:val="00DE7E63"/>
    <w:rsid w:val="00E10E0A"/>
    <w:rsid w:val="00E24EDC"/>
    <w:rsid w:val="00E34562"/>
    <w:rsid w:val="00E35345"/>
    <w:rsid w:val="00E367C5"/>
    <w:rsid w:val="00E36919"/>
    <w:rsid w:val="00E37E71"/>
    <w:rsid w:val="00E42847"/>
    <w:rsid w:val="00E43A9B"/>
    <w:rsid w:val="00E4498D"/>
    <w:rsid w:val="00E458AB"/>
    <w:rsid w:val="00E46064"/>
    <w:rsid w:val="00E50DA4"/>
    <w:rsid w:val="00E52EBC"/>
    <w:rsid w:val="00E56DE5"/>
    <w:rsid w:val="00E604A1"/>
    <w:rsid w:val="00E6289F"/>
    <w:rsid w:val="00E73AA8"/>
    <w:rsid w:val="00E76AFA"/>
    <w:rsid w:val="00E7764A"/>
    <w:rsid w:val="00E80228"/>
    <w:rsid w:val="00E86BEE"/>
    <w:rsid w:val="00E90CB5"/>
    <w:rsid w:val="00E925EA"/>
    <w:rsid w:val="00E94F6B"/>
    <w:rsid w:val="00E96683"/>
    <w:rsid w:val="00EA2ED4"/>
    <w:rsid w:val="00EA4104"/>
    <w:rsid w:val="00EA491A"/>
    <w:rsid w:val="00EA632B"/>
    <w:rsid w:val="00EB1583"/>
    <w:rsid w:val="00EC23FB"/>
    <w:rsid w:val="00EC5798"/>
    <w:rsid w:val="00ED09C5"/>
    <w:rsid w:val="00ED0CEE"/>
    <w:rsid w:val="00ED227C"/>
    <w:rsid w:val="00ED7681"/>
    <w:rsid w:val="00EE49DD"/>
    <w:rsid w:val="00EF40C6"/>
    <w:rsid w:val="00EF5F7D"/>
    <w:rsid w:val="00EF63C6"/>
    <w:rsid w:val="00F034FB"/>
    <w:rsid w:val="00F03905"/>
    <w:rsid w:val="00F04C22"/>
    <w:rsid w:val="00F05606"/>
    <w:rsid w:val="00F100B9"/>
    <w:rsid w:val="00F105F5"/>
    <w:rsid w:val="00F1075A"/>
    <w:rsid w:val="00F113F7"/>
    <w:rsid w:val="00F14615"/>
    <w:rsid w:val="00F222C6"/>
    <w:rsid w:val="00F22E82"/>
    <w:rsid w:val="00F25406"/>
    <w:rsid w:val="00F25CDE"/>
    <w:rsid w:val="00F311FE"/>
    <w:rsid w:val="00F337BF"/>
    <w:rsid w:val="00F33D14"/>
    <w:rsid w:val="00F35B2A"/>
    <w:rsid w:val="00F37443"/>
    <w:rsid w:val="00F4089E"/>
    <w:rsid w:val="00F44E4F"/>
    <w:rsid w:val="00F473B6"/>
    <w:rsid w:val="00F518E1"/>
    <w:rsid w:val="00F52E57"/>
    <w:rsid w:val="00F53E06"/>
    <w:rsid w:val="00F53F1A"/>
    <w:rsid w:val="00F54188"/>
    <w:rsid w:val="00F54CC0"/>
    <w:rsid w:val="00F5743D"/>
    <w:rsid w:val="00F61674"/>
    <w:rsid w:val="00F727A5"/>
    <w:rsid w:val="00F80CEE"/>
    <w:rsid w:val="00F847A9"/>
    <w:rsid w:val="00F87D8A"/>
    <w:rsid w:val="00F942A7"/>
    <w:rsid w:val="00FA0C58"/>
    <w:rsid w:val="00FA37C2"/>
    <w:rsid w:val="00FA3B2D"/>
    <w:rsid w:val="00FA5FE9"/>
    <w:rsid w:val="00FA67D2"/>
    <w:rsid w:val="00FA6CEA"/>
    <w:rsid w:val="00FB302F"/>
    <w:rsid w:val="00FB52C9"/>
    <w:rsid w:val="00FB5A92"/>
    <w:rsid w:val="00FC09F6"/>
    <w:rsid w:val="00FC131C"/>
    <w:rsid w:val="00FC1C69"/>
    <w:rsid w:val="00FC3739"/>
    <w:rsid w:val="00FE08C4"/>
    <w:rsid w:val="00FE0DA1"/>
    <w:rsid w:val="00FE0F45"/>
    <w:rsid w:val="00FE143E"/>
    <w:rsid w:val="00FE1B04"/>
    <w:rsid w:val="00FE28C2"/>
    <w:rsid w:val="00FE4165"/>
    <w:rsid w:val="00FE5AD9"/>
    <w:rsid w:val="00FE7A33"/>
    <w:rsid w:val="00FF0DF3"/>
    <w:rsid w:val="00FF44E3"/>
    <w:rsid w:val="00FF56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E0F6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uiPriority w:val="99"/>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46"/>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rsid w:val="00D40C49"/>
    <w:rPr>
      <w:rFonts w:eastAsiaTheme="minorHAnsi"/>
      <w:i/>
      <w:color w:val="A6A6A6" w:themeColor="background1" w:themeShade="A6"/>
      <w:sz w:val="22"/>
      <w:lang w:eastAsia="en-US"/>
    </w:rPr>
  </w:style>
  <w:style w:type="paragraph" w:styleId="CommentSubject">
    <w:name w:val="annotation subject"/>
    <w:basedOn w:val="CommentText"/>
    <w:next w:val="CommentText"/>
    <w:link w:val="CommentSubjectChar"/>
    <w:uiPriority w:val="99"/>
    <w:semiHidden/>
    <w:unhideWhenUsed/>
    <w:rsid w:val="003749EF"/>
    <w:rPr>
      <w:rFonts w:eastAsiaTheme="minorHAnsi"/>
      <w:b/>
      <w:bCs/>
    </w:rPr>
  </w:style>
  <w:style w:type="character" w:customStyle="1" w:styleId="CommentSubjectChar">
    <w:name w:val="Comment Subject Char"/>
    <w:basedOn w:val="CommentTextChar"/>
    <w:link w:val="CommentSubject"/>
    <w:uiPriority w:val="99"/>
    <w:semiHidden/>
    <w:rsid w:val="003749EF"/>
    <w:rPr>
      <w:rFonts w:eastAsiaTheme="minorHAnsi"/>
      <w:b/>
      <w:bCs/>
      <w:sz w:val="20"/>
      <w:szCs w:val="20"/>
      <w:lang w:eastAsia="en-US"/>
    </w:rPr>
  </w:style>
  <w:style w:type="paragraph" w:customStyle="1" w:styleId="reftext">
    <w:name w:val="ref text"/>
    <w:basedOn w:val="Normal"/>
    <w:link w:val="reftextChar"/>
    <w:qFormat/>
    <w:rsid w:val="0052268D"/>
    <w:pPr>
      <w:spacing w:after="0"/>
    </w:pPr>
    <w:rPr>
      <w:i/>
      <w:sz w:val="18"/>
      <w:szCs w:val="18"/>
    </w:rPr>
  </w:style>
  <w:style w:type="character" w:customStyle="1" w:styleId="reftextChar">
    <w:name w:val="ref text Char"/>
    <w:basedOn w:val="DefaultParagraphFont"/>
    <w:link w:val="reftext"/>
    <w:rsid w:val="0052268D"/>
    <w:rPr>
      <w:rFonts w:eastAsiaTheme="minorHAnsi"/>
      <w: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E0F6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uiPriority w:val="99"/>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46"/>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rsid w:val="00D40C49"/>
    <w:rPr>
      <w:rFonts w:eastAsiaTheme="minorHAnsi"/>
      <w:i/>
      <w:color w:val="A6A6A6" w:themeColor="background1" w:themeShade="A6"/>
      <w:sz w:val="22"/>
      <w:lang w:eastAsia="en-US"/>
    </w:rPr>
  </w:style>
  <w:style w:type="paragraph" w:styleId="CommentSubject">
    <w:name w:val="annotation subject"/>
    <w:basedOn w:val="CommentText"/>
    <w:next w:val="CommentText"/>
    <w:link w:val="CommentSubjectChar"/>
    <w:uiPriority w:val="99"/>
    <w:semiHidden/>
    <w:unhideWhenUsed/>
    <w:rsid w:val="003749EF"/>
    <w:rPr>
      <w:rFonts w:eastAsiaTheme="minorHAnsi"/>
      <w:b/>
      <w:bCs/>
    </w:rPr>
  </w:style>
  <w:style w:type="character" w:customStyle="1" w:styleId="CommentSubjectChar">
    <w:name w:val="Comment Subject Char"/>
    <w:basedOn w:val="CommentTextChar"/>
    <w:link w:val="CommentSubject"/>
    <w:uiPriority w:val="99"/>
    <w:semiHidden/>
    <w:rsid w:val="003749EF"/>
    <w:rPr>
      <w:rFonts w:eastAsiaTheme="minorHAnsi"/>
      <w:b/>
      <w:bCs/>
      <w:sz w:val="20"/>
      <w:szCs w:val="20"/>
      <w:lang w:eastAsia="en-US"/>
    </w:rPr>
  </w:style>
  <w:style w:type="paragraph" w:customStyle="1" w:styleId="reftext">
    <w:name w:val="ref text"/>
    <w:basedOn w:val="Normal"/>
    <w:link w:val="reftextChar"/>
    <w:qFormat/>
    <w:rsid w:val="0052268D"/>
    <w:pPr>
      <w:spacing w:after="0"/>
    </w:pPr>
    <w:rPr>
      <w:i/>
      <w:sz w:val="18"/>
      <w:szCs w:val="18"/>
    </w:rPr>
  </w:style>
  <w:style w:type="character" w:customStyle="1" w:styleId="reftextChar">
    <w:name w:val="ref text Char"/>
    <w:basedOn w:val="DefaultParagraphFont"/>
    <w:link w:val="reftext"/>
    <w:rsid w:val="0052268D"/>
    <w:rPr>
      <w:rFonts w:eastAsiaTheme="minorHAnsi"/>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28">
      <w:bodyDiv w:val="1"/>
      <w:marLeft w:val="0"/>
      <w:marRight w:val="0"/>
      <w:marTop w:val="0"/>
      <w:marBottom w:val="0"/>
      <w:divBdr>
        <w:top w:val="none" w:sz="0" w:space="0" w:color="auto"/>
        <w:left w:val="none" w:sz="0" w:space="0" w:color="auto"/>
        <w:bottom w:val="none" w:sz="0" w:space="0" w:color="auto"/>
        <w:right w:val="none" w:sz="0" w:space="0" w:color="auto"/>
      </w:divBdr>
      <w:divsChild>
        <w:div w:id="1726441045">
          <w:marLeft w:val="0"/>
          <w:marRight w:val="0"/>
          <w:marTop w:val="0"/>
          <w:marBottom w:val="0"/>
          <w:divBdr>
            <w:top w:val="none" w:sz="0" w:space="0" w:color="auto"/>
            <w:left w:val="none" w:sz="0" w:space="0" w:color="auto"/>
            <w:bottom w:val="none" w:sz="0" w:space="0" w:color="auto"/>
            <w:right w:val="none" w:sz="0" w:space="0" w:color="auto"/>
          </w:divBdr>
          <w:divsChild>
            <w:div w:id="1694724160">
              <w:marLeft w:val="0"/>
              <w:marRight w:val="0"/>
              <w:marTop w:val="0"/>
              <w:marBottom w:val="0"/>
              <w:divBdr>
                <w:top w:val="none" w:sz="0" w:space="0" w:color="auto"/>
                <w:left w:val="none" w:sz="0" w:space="0" w:color="auto"/>
                <w:bottom w:val="none" w:sz="0" w:space="0" w:color="auto"/>
                <w:right w:val="none" w:sz="0" w:space="0" w:color="auto"/>
              </w:divBdr>
              <w:divsChild>
                <w:div w:id="2002461878">
                  <w:marLeft w:val="0"/>
                  <w:marRight w:val="0"/>
                  <w:marTop w:val="105"/>
                  <w:marBottom w:val="0"/>
                  <w:divBdr>
                    <w:top w:val="none" w:sz="0" w:space="0" w:color="auto"/>
                    <w:left w:val="none" w:sz="0" w:space="0" w:color="auto"/>
                    <w:bottom w:val="none" w:sz="0" w:space="0" w:color="auto"/>
                    <w:right w:val="none" w:sz="0" w:space="0" w:color="auto"/>
                  </w:divBdr>
                  <w:divsChild>
                    <w:div w:id="189757141">
                      <w:marLeft w:val="450"/>
                      <w:marRight w:val="225"/>
                      <w:marTop w:val="0"/>
                      <w:marBottom w:val="0"/>
                      <w:divBdr>
                        <w:top w:val="none" w:sz="0" w:space="0" w:color="auto"/>
                        <w:left w:val="none" w:sz="0" w:space="0" w:color="auto"/>
                        <w:bottom w:val="none" w:sz="0" w:space="0" w:color="auto"/>
                        <w:right w:val="none" w:sz="0" w:space="0" w:color="auto"/>
                      </w:divBdr>
                      <w:divsChild>
                        <w:div w:id="1442988384">
                          <w:marLeft w:val="0"/>
                          <w:marRight w:val="0"/>
                          <w:marTop w:val="0"/>
                          <w:marBottom w:val="600"/>
                          <w:divBdr>
                            <w:top w:val="single" w:sz="6" w:space="0" w:color="314664"/>
                            <w:left w:val="single" w:sz="6" w:space="0" w:color="314664"/>
                            <w:bottom w:val="single" w:sz="6" w:space="0" w:color="314664"/>
                            <w:right w:val="single" w:sz="6" w:space="0" w:color="314664"/>
                          </w:divBdr>
                          <w:divsChild>
                            <w:div w:id="130171274">
                              <w:marLeft w:val="0"/>
                              <w:marRight w:val="0"/>
                              <w:marTop w:val="0"/>
                              <w:marBottom w:val="0"/>
                              <w:divBdr>
                                <w:top w:val="none" w:sz="0" w:space="0" w:color="auto"/>
                                <w:left w:val="none" w:sz="0" w:space="0" w:color="auto"/>
                                <w:bottom w:val="none" w:sz="0" w:space="0" w:color="auto"/>
                                <w:right w:val="none" w:sz="0" w:space="0" w:color="auto"/>
                              </w:divBdr>
                              <w:divsChild>
                                <w:div w:id="1928493051">
                                  <w:marLeft w:val="0"/>
                                  <w:marRight w:val="0"/>
                                  <w:marTop w:val="0"/>
                                  <w:marBottom w:val="0"/>
                                  <w:divBdr>
                                    <w:top w:val="none" w:sz="0" w:space="0" w:color="auto"/>
                                    <w:left w:val="none" w:sz="0" w:space="0" w:color="auto"/>
                                    <w:bottom w:val="none" w:sz="0" w:space="0" w:color="auto"/>
                                    <w:right w:val="none" w:sz="0" w:space="0" w:color="auto"/>
                                  </w:divBdr>
                                  <w:divsChild>
                                    <w:div w:id="364335983">
                                      <w:marLeft w:val="0"/>
                                      <w:marRight w:val="0"/>
                                      <w:marTop w:val="0"/>
                                      <w:marBottom w:val="0"/>
                                      <w:divBdr>
                                        <w:top w:val="none" w:sz="0" w:space="0" w:color="auto"/>
                                        <w:left w:val="none" w:sz="0" w:space="0" w:color="auto"/>
                                        <w:bottom w:val="none" w:sz="0" w:space="0" w:color="auto"/>
                                        <w:right w:val="none" w:sz="0" w:space="0" w:color="auto"/>
                                      </w:divBdr>
                                      <w:divsChild>
                                        <w:div w:id="1871062236">
                                          <w:marLeft w:val="0"/>
                                          <w:marRight w:val="0"/>
                                          <w:marTop w:val="0"/>
                                          <w:marBottom w:val="0"/>
                                          <w:divBdr>
                                            <w:top w:val="none" w:sz="0" w:space="0" w:color="auto"/>
                                            <w:left w:val="none" w:sz="0" w:space="0" w:color="auto"/>
                                            <w:bottom w:val="none" w:sz="0" w:space="0" w:color="auto"/>
                                            <w:right w:val="none" w:sz="0" w:space="0" w:color="auto"/>
                                          </w:divBdr>
                                          <w:divsChild>
                                            <w:div w:id="698775006">
                                              <w:marLeft w:val="0"/>
                                              <w:marRight w:val="0"/>
                                              <w:marTop w:val="0"/>
                                              <w:marBottom w:val="0"/>
                                              <w:divBdr>
                                                <w:top w:val="none" w:sz="0" w:space="0" w:color="auto"/>
                                                <w:left w:val="none" w:sz="0" w:space="0" w:color="auto"/>
                                                <w:bottom w:val="none" w:sz="0" w:space="0" w:color="auto"/>
                                                <w:right w:val="none" w:sz="0" w:space="0" w:color="auto"/>
                                              </w:divBdr>
                                              <w:divsChild>
                                                <w:div w:id="1264874477">
                                                  <w:marLeft w:val="0"/>
                                                  <w:marRight w:val="0"/>
                                                  <w:marTop w:val="0"/>
                                                  <w:marBottom w:val="0"/>
                                                  <w:divBdr>
                                                    <w:top w:val="none" w:sz="0" w:space="0" w:color="auto"/>
                                                    <w:left w:val="none" w:sz="0" w:space="0" w:color="auto"/>
                                                    <w:bottom w:val="none" w:sz="0" w:space="0" w:color="auto"/>
                                                    <w:right w:val="none" w:sz="0" w:space="0" w:color="auto"/>
                                                  </w:divBdr>
                                                </w:div>
                                                <w:div w:id="1735853680">
                                                  <w:marLeft w:val="0"/>
                                                  <w:marRight w:val="0"/>
                                                  <w:marTop w:val="0"/>
                                                  <w:marBottom w:val="0"/>
                                                  <w:divBdr>
                                                    <w:top w:val="none" w:sz="0" w:space="0" w:color="auto"/>
                                                    <w:left w:val="none" w:sz="0" w:space="0" w:color="auto"/>
                                                    <w:bottom w:val="none" w:sz="0" w:space="0" w:color="auto"/>
                                                    <w:right w:val="none" w:sz="0" w:space="0" w:color="auto"/>
                                                  </w:divBdr>
                                                </w:div>
                                                <w:div w:id="63258394">
                                                  <w:marLeft w:val="0"/>
                                                  <w:marRight w:val="0"/>
                                                  <w:marTop w:val="0"/>
                                                  <w:marBottom w:val="0"/>
                                                  <w:divBdr>
                                                    <w:top w:val="none" w:sz="0" w:space="0" w:color="auto"/>
                                                    <w:left w:val="none" w:sz="0" w:space="0" w:color="auto"/>
                                                    <w:bottom w:val="none" w:sz="0" w:space="0" w:color="auto"/>
                                                    <w:right w:val="none" w:sz="0" w:space="0" w:color="auto"/>
                                                  </w:divBdr>
                                                </w:div>
                                                <w:div w:id="1547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58308">
      <w:bodyDiv w:val="1"/>
      <w:marLeft w:val="0"/>
      <w:marRight w:val="0"/>
      <w:marTop w:val="0"/>
      <w:marBottom w:val="0"/>
      <w:divBdr>
        <w:top w:val="none" w:sz="0" w:space="0" w:color="auto"/>
        <w:left w:val="none" w:sz="0" w:space="0" w:color="auto"/>
        <w:bottom w:val="none" w:sz="0" w:space="0" w:color="auto"/>
        <w:right w:val="none" w:sz="0" w:space="0" w:color="auto"/>
      </w:divBdr>
      <w:divsChild>
        <w:div w:id="1961493411">
          <w:marLeft w:val="0"/>
          <w:marRight w:val="0"/>
          <w:marTop w:val="0"/>
          <w:marBottom w:val="0"/>
          <w:divBdr>
            <w:top w:val="none" w:sz="0" w:space="0" w:color="auto"/>
            <w:left w:val="none" w:sz="0" w:space="0" w:color="auto"/>
            <w:bottom w:val="none" w:sz="0" w:space="0" w:color="auto"/>
            <w:right w:val="none" w:sz="0" w:space="0" w:color="auto"/>
          </w:divBdr>
          <w:divsChild>
            <w:div w:id="1005983005">
              <w:marLeft w:val="0"/>
              <w:marRight w:val="0"/>
              <w:marTop w:val="0"/>
              <w:marBottom w:val="0"/>
              <w:divBdr>
                <w:top w:val="none" w:sz="0" w:space="0" w:color="auto"/>
                <w:left w:val="none" w:sz="0" w:space="0" w:color="auto"/>
                <w:bottom w:val="none" w:sz="0" w:space="0" w:color="auto"/>
                <w:right w:val="none" w:sz="0" w:space="0" w:color="auto"/>
              </w:divBdr>
              <w:divsChild>
                <w:div w:id="961960467">
                  <w:marLeft w:val="0"/>
                  <w:marRight w:val="0"/>
                  <w:marTop w:val="105"/>
                  <w:marBottom w:val="0"/>
                  <w:divBdr>
                    <w:top w:val="none" w:sz="0" w:space="0" w:color="auto"/>
                    <w:left w:val="none" w:sz="0" w:space="0" w:color="auto"/>
                    <w:bottom w:val="none" w:sz="0" w:space="0" w:color="auto"/>
                    <w:right w:val="none" w:sz="0" w:space="0" w:color="auto"/>
                  </w:divBdr>
                  <w:divsChild>
                    <w:div w:id="84615612">
                      <w:marLeft w:val="450"/>
                      <w:marRight w:val="225"/>
                      <w:marTop w:val="0"/>
                      <w:marBottom w:val="0"/>
                      <w:divBdr>
                        <w:top w:val="none" w:sz="0" w:space="0" w:color="auto"/>
                        <w:left w:val="none" w:sz="0" w:space="0" w:color="auto"/>
                        <w:bottom w:val="none" w:sz="0" w:space="0" w:color="auto"/>
                        <w:right w:val="none" w:sz="0" w:space="0" w:color="auto"/>
                      </w:divBdr>
                      <w:divsChild>
                        <w:div w:id="76098056">
                          <w:marLeft w:val="0"/>
                          <w:marRight w:val="0"/>
                          <w:marTop w:val="0"/>
                          <w:marBottom w:val="600"/>
                          <w:divBdr>
                            <w:top w:val="single" w:sz="6" w:space="0" w:color="314664"/>
                            <w:left w:val="single" w:sz="6" w:space="0" w:color="314664"/>
                            <w:bottom w:val="single" w:sz="6" w:space="0" w:color="314664"/>
                            <w:right w:val="single" w:sz="6" w:space="0" w:color="314664"/>
                          </w:divBdr>
                          <w:divsChild>
                            <w:div w:id="1646007804">
                              <w:marLeft w:val="0"/>
                              <w:marRight w:val="0"/>
                              <w:marTop w:val="0"/>
                              <w:marBottom w:val="0"/>
                              <w:divBdr>
                                <w:top w:val="none" w:sz="0" w:space="0" w:color="auto"/>
                                <w:left w:val="none" w:sz="0" w:space="0" w:color="auto"/>
                                <w:bottom w:val="none" w:sz="0" w:space="0" w:color="auto"/>
                                <w:right w:val="none" w:sz="0" w:space="0" w:color="auto"/>
                              </w:divBdr>
                              <w:divsChild>
                                <w:div w:id="1532187763">
                                  <w:marLeft w:val="0"/>
                                  <w:marRight w:val="0"/>
                                  <w:marTop w:val="0"/>
                                  <w:marBottom w:val="0"/>
                                  <w:divBdr>
                                    <w:top w:val="none" w:sz="0" w:space="0" w:color="auto"/>
                                    <w:left w:val="none" w:sz="0" w:space="0" w:color="auto"/>
                                    <w:bottom w:val="none" w:sz="0" w:space="0" w:color="auto"/>
                                    <w:right w:val="none" w:sz="0" w:space="0" w:color="auto"/>
                                  </w:divBdr>
                                  <w:divsChild>
                                    <w:div w:id="934900920">
                                      <w:marLeft w:val="0"/>
                                      <w:marRight w:val="0"/>
                                      <w:marTop w:val="0"/>
                                      <w:marBottom w:val="0"/>
                                      <w:divBdr>
                                        <w:top w:val="none" w:sz="0" w:space="0" w:color="auto"/>
                                        <w:left w:val="none" w:sz="0" w:space="0" w:color="auto"/>
                                        <w:bottom w:val="none" w:sz="0" w:space="0" w:color="auto"/>
                                        <w:right w:val="none" w:sz="0" w:space="0" w:color="auto"/>
                                      </w:divBdr>
                                      <w:divsChild>
                                        <w:div w:id="310794571">
                                          <w:marLeft w:val="0"/>
                                          <w:marRight w:val="0"/>
                                          <w:marTop w:val="0"/>
                                          <w:marBottom w:val="0"/>
                                          <w:divBdr>
                                            <w:top w:val="none" w:sz="0" w:space="0" w:color="auto"/>
                                            <w:left w:val="none" w:sz="0" w:space="0" w:color="auto"/>
                                            <w:bottom w:val="none" w:sz="0" w:space="0" w:color="auto"/>
                                            <w:right w:val="none" w:sz="0" w:space="0" w:color="auto"/>
                                          </w:divBdr>
                                          <w:divsChild>
                                            <w:div w:id="135076272">
                                              <w:marLeft w:val="0"/>
                                              <w:marRight w:val="0"/>
                                              <w:marTop w:val="0"/>
                                              <w:marBottom w:val="0"/>
                                              <w:divBdr>
                                                <w:top w:val="none" w:sz="0" w:space="0" w:color="auto"/>
                                                <w:left w:val="none" w:sz="0" w:space="0" w:color="auto"/>
                                                <w:bottom w:val="none" w:sz="0" w:space="0" w:color="auto"/>
                                                <w:right w:val="none" w:sz="0" w:space="0" w:color="auto"/>
                                              </w:divBdr>
                                              <w:divsChild>
                                                <w:div w:id="1545946089">
                                                  <w:marLeft w:val="0"/>
                                                  <w:marRight w:val="0"/>
                                                  <w:marTop w:val="0"/>
                                                  <w:marBottom w:val="0"/>
                                                  <w:divBdr>
                                                    <w:top w:val="none" w:sz="0" w:space="0" w:color="auto"/>
                                                    <w:left w:val="none" w:sz="0" w:space="0" w:color="auto"/>
                                                    <w:bottom w:val="none" w:sz="0" w:space="0" w:color="auto"/>
                                                    <w:right w:val="none" w:sz="0" w:space="0" w:color="auto"/>
                                                  </w:divBdr>
                                                </w:div>
                                                <w:div w:id="18555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513726">
      <w:bodyDiv w:val="1"/>
      <w:marLeft w:val="0"/>
      <w:marRight w:val="0"/>
      <w:marTop w:val="0"/>
      <w:marBottom w:val="0"/>
      <w:divBdr>
        <w:top w:val="none" w:sz="0" w:space="0" w:color="auto"/>
        <w:left w:val="none" w:sz="0" w:space="0" w:color="auto"/>
        <w:bottom w:val="none" w:sz="0" w:space="0" w:color="auto"/>
        <w:right w:val="none" w:sz="0" w:space="0" w:color="auto"/>
      </w:divBdr>
    </w:div>
    <w:div w:id="743377956">
      <w:bodyDiv w:val="1"/>
      <w:marLeft w:val="0"/>
      <w:marRight w:val="0"/>
      <w:marTop w:val="0"/>
      <w:marBottom w:val="0"/>
      <w:divBdr>
        <w:top w:val="none" w:sz="0" w:space="0" w:color="auto"/>
        <w:left w:val="none" w:sz="0" w:space="0" w:color="auto"/>
        <w:bottom w:val="none" w:sz="0" w:space="0" w:color="auto"/>
        <w:right w:val="none" w:sz="0" w:space="0" w:color="auto"/>
      </w:divBdr>
      <w:divsChild>
        <w:div w:id="1375077968">
          <w:marLeft w:val="0"/>
          <w:marRight w:val="0"/>
          <w:marTop w:val="0"/>
          <w:marBottom w:val="0"/>
          <w:divBdr>
            <w:top w:val="none" w:sz="0" w:space="0" w:color="auto"/>
            <w:left w:val="none" w:sz="0" w:space="0" w:color="auto"/>
            <w:bottom w:val="none" w:sz="0" w:space="0" w:color="auto"/>
            <w:right w:val="none" w:sz="0" w:space="0" w:color="auto"/>
          </w:divBdr>
          <w:divsChild>
            <w:div w:id="383256619">
              <w:marLeft w:val="0"/>
              <w:marRight w:val="0"/>
              <w:marTop w:val="0"/>
              <w:marBottom w:val="0"/>
              <w:divBdr>
                <w:top w:val="none" w:sz="0" w:space="0" w:color="auto"/>
                <w:left w:val="none" w:sz="0" w:space="0" w:color="auto"/>
                <w:bottom w:val="none" w:sz="0" w:space="0" w:color="auto"/>
                <w:right w:val="none" w:sz="0" w:space="0" w:color="auto"/>
              </w:divBdr>
              <w:divsChild>
                <w:div w:id="1789199374">
                  <w:marLeft w:val="0"/>
                  <w:marRight w:val="0"/>
                  <w:marTop w:val="105"/>
                  <w:marBottom w:val="0"/>
                  <w:divBdr>
                    <w:top w:val="none" w:sz="0" w:space="0" w:color="auto"/>
                    <w:left w:val="none" w:sz="0" w:space="0" w:color="auto"/>
                    <w:bottom w:val="none" w:sz="0" w:space="0" w:color="auto"/>
                    <w:right w:val="none" w:sz="0" w:space="0" w:color="auto"/>
                  </w:divBdr>
                  <w:divsChild>
                    <w:div w:id="813982136">
                      <w:marLeft w:val="450"/>
                      <w:marRight w:val="225"/>
                      <w:marTop w:val="0"/>
                      <w:marBottom w:val="0"/>
                      <w:divBdr>
                        <w:top w:val="none" w:sz="0" w:space="0" w:color="auto"/>
                        <w:left w:val="none" w:sz="0" w:space="0" w:color="auto"/>
                        <w:bottom w:val="none" w:sz="0" w:space="0" w:color="auto"/>
                        <w:right w:val="none" w:sz="0" w:space="0" w:color="auto"/>
                      </w:divBdr>
                      <w:divsChild>
                        <w:div w:id="1518811131">
                          <w:marLeft w:val="0"/>
                          <w:marRight w:val="0"/>
                          <w:marTop w:val="0"/>
                          <w:marBottom w:val="600"/>
                          <w:divBdr>
                            <w:top w:val="single" w:sz="6" w:space="0" w:color="314664"/>
                            <w:left w:val="single" w:sz="6" w:space="0" w:color="314664"/>
                            <w:bottom w:val="single" w:sz="6" w:space="0" w:color="314664"/>
                            <w:right w:val="single" w:sz="6" w:space="0" w:color="314664"/>
                          </w:divBdr>
                          <w:divsChild>
                            <w:div w:id="1619796810">
                              <w:marLeft w:val="0"/>
                              <w:marRight w:val="0"/>
                              <w:marTop w:val="0"/>
                              <w:marBottom w:val="0"/>
                              <w:divBdr>
                                <w:top w:val="none" w:sz="0" w:space="0" w:color="auto"/>
                                <w:left w:val="none" w:sz="0" w:space="0" w:color="auto"/>
                                <w:bottom w:val="none" w:sz="0" w:space="0" w:color="auto"/>
                                <w:right w:val="none" w:sz="0" w:space="0" w:color="auto"/>
                              </w:divBdr>
                              <w:divsChild>
                                <w:div w:id="377243328">
                                  <w:marLeft w:val="0"/>
                                  <w:marRight w:val="0"/>
                                  <w:marTop w:val="0"/>
                                  <w:marBottom w:val="0"/>
                                  <w:divBdr>
                                    <w:top w:val="none" w:sz="0" w:space="0" w:color="auto"/>
                                    <w:left w:val="none" w:sz="0" w:space="0" w:color="auto"/>
                                    <w:bottom w:val="none" w:sz="0" w:space="0" w:color="auto"/>
                                    <w:right w:val="none" w:sz="0" w:space="0" w:color="auto"/>
                                  </w:divBdr>
                                  <w:divsChild>
                                    <w:div w:id="1673945152">
                                      <w:marLeft w:val="0"/>
                                      <w:marRight w:val="0"/>
                                      <w:marTop w:val="0"/>
                                      <w:marBottom w:val="0"/>
                                      <w:divBdr>
                                        <w:top w:val="none" w:sz="0" w:space="0" w:color="auto"/>
                                        <w:left w:val="none" w:sz="0" w:space="0" w:color="auto"/>
                                        <w:bottom w:val="none" w:sz="0" w:space="0" w:color="auto"/>
                                        <w:right w:val="none" w:sz="0" w:space="0" w:color="auto"/>
                                      </w:divBdr>
                                      <w:divsChild>
                                        <w:div w:id="1633945590">
                                          <w:marLeft w:val="0"/>
                                          <w:marRight w:val="0"/>
                                          <w:marTop w:val="0"/>
                                          <w:marBottom w:val="0"/>
                                          <w:divBdr>
                                            <w:top w:val="none" w:sz="0" w:space="0" w:color="auto"/>
                                            <w:left w:val="none" w:sz="0" w:space="0" w:color="auto"/>
                                            <w:bottom w:val="none" w:sz="0" w:space="0" w:color="auto"/>
                                            <w:right w:val="none" w:sz="0" w:space="0" w:color="auto"/>
                                          </w:divBdr>
                                          <w:divsChild>
                                            <w:div w:id="1830245318">
                                              <w:marLeft w:val="0"/>
                                              <w:marRight w:val="0"/>
                                              <w:marTop w:val="0"/>
                                              <w:marBottom w:val="0"/>
                                              <w:divBdr>
                                                <w:top w:val="none" w:sz="0" w:space="0" w:color="auto"/>
                                                <w:left w:val="none" w:sz="0" w:space="0" w:color="auto"/>
                                                <w:bottom w:val="none" w:sz="0" w:space="0" w:color="auto"/>
                                                <w:right w:val="none" w:sz="0" w:space="0" w:color="auto"/>
                                              </w:divBdr>
                                              <w:divsChild>
                                                <w:div w:id="493643727">
                                                  <w:marLeft w:val="0"/>
                                                  <w:marRight w:val="0"/>
                                                  <w:marTop w:val="0"/>
                                                  <w:marBottom w:val="0"/>
                                                  <w:divBdr>
                                                    <w:top w:val="none" w:sz="0" w:space="0" w:color="auto"/>
                                                    <w:left w:val="none" w:sz="0" w:space="0" w:color="auto"/>
                                                    <w:bottom w:val="none" w:sz="0" w:space="0" w:color="auto"/>
                                                    <w:right w:val="none" w:sz="0" w:space="0" w:color="auto"/>
                                                  </w:divBdr>
                                                </w:div>
                                                <w:div w:id="35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088358">
      <w:bodyDiv w:val="1"/>
      <w:marLeft w:val="0"/>
      <w:marRight w:val="0"/>
      <w:marTop w:val="0"/>
      <w:marBottom w:val="0"/>
      <w:divBdr>
        <w:top w:val="none" w:sz="0" w:space="0" w:color="auto"/>
        <w:left w:val="none" w:sz="0" w:space="0" w:color="auto"/>
        <w:bottom w:val="none" w:sz="0" w:space="0" w:color="auto"/>
        <w:right w:val="none" w:sz="0" w:space="0" w:color="auto"/>
      </w:divBdr>
    </w:div>
    <w:div w:id="1163664832">
      <w:bodyDiv w:val="1"/>
      <w:marLeft w:val="0"/>
      <w:marRight w:val="0"/>
      <w:marTop w:val="0"/>
      <w:marBottom w:val="0"/>
      <w:divBdr>
        <w:top w:val="none" w:sz="0" w:space="0" w:color="auto"/>
        <w:left w:val="none" w:sz="0" w:space="0" w:color="auto"/>
        <w:bottom w:val="none" w:sz="0" w:space="0" w:color="auto"/>
        <w:right w:val="none" w:sz="0" w:space="0" w:color="auto"/>
      </w:divBdr>
    </w:div>
    <w:div w:id="1642539200">
      <w:bodyDiv w:val="1"/>
      <w:marLeft w:val="0"/>
      <w:marRight w:val="0"/>
      <w:marTop w:val="0"/>
      <w:marBottom w:val="0"/>
      <w:divBdr>
        <w:top w:val="none" w:sz="0" w:space="0" w:color="auto"/>
        <w:left w:val="none" w:sz="0" w:space="0" w:color="auto"/>
        <w:bottom w:val="none" w:sz="0" w:space="0" w:color="auto"/>
        <w:right w:val="none" w:sz="0" w:space="0" w:color="auto"/>
      </w:divBdr>
    </w:div>
    <w:div w:id="19793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a.govt.nz/pubforms.nsf/URL/GamingOperationalPolicy.pdf/$file/GamingOperationalPolicy.pdf" TargetMode="External"/><Relationship Id="rId4" Type="http://schemas.microsoft.com/office/2007/relationships/stylesWithEffects" Target="stylesWithEffects.xml"/><Relationship Id="rId9" Type="http://schemas.openxmlformats.org/officeDocument/2006/relationships/hyperlink" Target="mailto:bruce.manuge@dia.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EDFB-5C64-4200-BF40-FA158130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8CF70A87</Template>
  <TotalTime>0</TotalTime>
  <Pages>13</Pages>
  <Words>3261</Words>
  <Characters>18591</Characters>
  <Application>Microsoft Office Word</Application>
  <DocSecurity>0</DocSecurity>
  <Lines>154</Lines>
  <Paragraphs>43</Paragraphs>
  <ScaleCrop>false</ScaleCrop>
  <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2016-05-26T03:48:00Z</dcterms:created>
  <dcterms:modified xsi:type="dcterms:W3CDTF">2016-05-26T03:48:00Z</dcterms:modified>
</cp:coreProperties>
</file>